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4082" w:rsidRDefault="00B74082">
      <w:pPr>
        <w:keepNext/>
        <w:pBdr>
          <w:top w:val="nil"/>
          <w:left w:val="nil"/>
          <w:bottom w:val="nil"/>
          <w:right w:val="nil"/>
          <w:between w:val="nil"/>
        </w:pBdr>
        <w:spacing w:line="240" w:lineRule="auto"/>
        <w:ind w:left="0" w:hanging="2"/>
        <w:jc w:val="both"/>
        <w:rPr>
          <w:rFonts w:ascii="Calibri" w:eastAsia="Calibri" w:hAnsi="Calibri" w:cs="Calibri"/>
          <w:b/>
          <w:color w:val="0000FF"/>
          <w:sz w:val="20"/>
          <w:szCs w:val="20"/>
        </w:rPr>
      </w:pPr>
    </w:p>
    <w:tbl>
      <w:tblPr>
        <w:tblStyle w:val="40"/>
        <w:tblW w:w="88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90"/>
      </w:tblGrid>
      <w:tr w:rsidR="00B74082">
        <w:tc>
          <w:tcPr>
            <w:tcW w:w="8890" w:type="dxa"/>
            <w:shd w:val="clear" w:color="auto" w:fill="FFCC99"/>
          </w:tcPr>
          <w:p w:rsidR="00B74082" w:rsidRDefault="00B74082">
            <w:pPr>
              <w:ind w:left="2" w:hanging="4"/>
              <w:rPr>
                <w:rFonts w:ascii="Arial" w:eastAsia="Arial" w:hAnsi="Arial" w:cs="Arial"/>
                <w:sz w:val="40"/>
                <w:szCs w:val="40"/>
              </w:rPr>
            </w:pPr>
          </w:p>
          <w:p w:rsidR="00B74082" w:rsidRDefault="00DA20C8">
            <w:pPr>
              <w:ind w:left="2" w:hanging="4"/>
              <w:jc w:val="center"/>
              <w:rPr>
                <w:rFonts w:ascii="Arial" w:eastAsia="Arial" w:hAnsi="Arial" w:cs="Arial"/>
                <w:sz w:val="40"/>
                <w:szCs w:val="40"/>
                <w:vertAlign w:val="superscript"/>
              </w:rPr>
            </w:pPr>
            <w:r>
              <w:rPr>
                <w:rFonts w:ascii="Arial" w:eastAsia="Arial" w:hAnsi="Arial" w:cs="Arial"/>
                <w:b/>
                <w:sz w:val="40"/>
                <w:szCs w:val="40"/>
              </w:rPr>
              <w:t>AVAPRITINIB</w:t>
            </w:r>
          </w:p>
          <w:p w:rsidR="00B74082" w:rsidRDefault="00DA20C8">
            <w:pPr>
              <w:ind w:left="2" w:hanging="4"/>
              <w:jc w:val="center"/>
              <w:rPr>
                <w:rFonts w:ascii="Arial" w:eastAsia="Arial" w:hAnsi="Arial" w:cs="Arial"/>
                <w:sz w:val="40"/>
                <w:szCs w:val="40"/>
              </w:rPr>
            </w:pPr>
            <w:r>
              <w:rPr>
                <w:rFonts w:ascii="Arial" w:eastAsia="Arial" w:hAnsi="Arial" w:cs="Arial"/>
                <w:b/>
                <w:sz w:val="40"/>
                <w:szCs w:val="40"/>
              </w:rPr>
              <w:t>en mastocitosis sistémica</w:t>
            </w:r>
            <w:r w:rsidR="00D81CBA">
              <w:rPr>
                <w:rFonts w:ascii="Arial" w:eastAsia="Arial" w:hAnsi="Arial" w:cs="Arial"/>
                <w:b/>
                <w:sz w:val="40"/>
                <w:szCs w:val="40"/>
              </w:rPr>
              <w:t xml:space="preserve"> </w:t>
            </w:r>
          </w:p>
          <w:p w:rsidR="002A2B50" w:rsidRDefault="002A2B50" w:rsidP="002A2B50">
            <w:pPr>
              <w:ind w:left="0" w:hanging="2"/>
              <w:jc w:val="center"/>
            </w:pPr>
            <w:r>
              <w:rPr>
                <w:rFonts w:ascii="Arial" w:hAnsi="Arial" w:cs="Arial"/>
                <w:b/>
                <w:bCs/>
              </w:rPr>
              <w:t>Informe GENESIS-SEFH</w:t>
            </w:r>
          </w:p>
          <w:p w:rsidR="002A2B50" w:rsidRDefault="002A2B50" w:rsidP="002A2B50">
            <w:pPr>
              <w:ind w:left="0" w:hanging="2"/>
              <w:jc w:val="center"/>
              <w:rPr>
                <w:rFonts w:ascii="Arial" w:hAnsi="Arial" w:cs="Arial"/>
                <w:b/>
                <w:bCs/>
              </w:rPr>
            </w:pPr>
          </w:p>
          <w:p w:rsidR="002A2B50" w:rsidRDefault="002A2B50" w:rsidP="002A2B50">
            <w:pPr>
              <w:ind w:left="0" w:hanging="2"/>
              <w:jc w:val="center"/>
            </w:pPr>
            <w:r>
              <w:rPr>
                <w:rFonts w:ascii="Arial" w:hAnsi="Arial" w:cs="Arial"/>
                <w:b/>
                <w:bCs/>
                <w:sz w:val="20"/>
                <w:szCs w:val="20"/>
              </w:rPr>
              <w:t>Informe para el grupo GENESIS elaborado según el método y procedimientos de</w:t>
            </w:r>
          </w:p>
          <w:p w:rsidR="002A2B50" w:rsidRDefault="002A2B50" w:rsidP="002A2B50">
            <w:pPr>
              <w:ind w:left="0" w:hanging="2"/>
              <w:jc w:val="center"/>
            </w:pPr>
            <w:r>
              <w:rPr>
                <w:rFonts w:ascii="Arial" w:hAnsi="Arial" w:cs="Arial"/>
                <w:b/>
                <w:bCs/>
                <w:sz w:val="20"/>
                <w:szCs w:val="20"/>
              </w:rPr>
              <w:t>evaluación compartida establecidos por este grupo de trabajo de la SEFH</w:t>
            </w:r>
          </w:p>
          <w:p w:rsidR="002A2B50" w:rsidRPr="002A2B50" w:rsidRDefault="002A2B50" w:rsidP="002A2B50">
            <w:pPr>
              <w:ind w:left="0" w:hanging="2"/>
              <w:rPr>
                <w:rFonts w:ascii="Arial" w:hAnsi="Arial" w:cs="Arial"/>
                <w:b/>
                <w:bCs/>
                <w:sz w:val="20"/>
                <w:szCs w:val="20"/>
              </w:rPr>
            </w:pPr>
          </w:p>
          <w:p w:rsidR="002A2B50" w:rsidRDefault="002A2B50" w:rsidP="002A2B50">
            <w:pPr>
              <w:ind w:left="0" w:hanging="2"/>
              <w:jc w:val="center"/>
              <w:rPr>
                <w:rFonts w:ascii="Arial" w:hAnsi="Arial" w:cs="Arial"/>
                <w:b/>
              </w:rPr>
            </w:pPr>
            <w:r w:rsidRPr="002A2B50">
              <w:rPr>
                <w:rFonts w:ascii="Arial" w:hAnsi="Arial" w:cs="Arial"/>
                <w:b/>
              </w:rPr>
              <w:t xml:space="preserve">BORRADOR </w:t>
            </w:r>
          </w:p>
          <w:p w:rsidR="002A2B50" w:rsidRPr="002A2B50" w:rsidRDefault="002A2B50" w:rsidP="002A2B50">
            <w:pPr>
              <w:ind w:left="0" w:hanging="2"/>
              <w:jc w:val="center"/>
              <w:rPr>
                <w:rFonts w:ascii="Arial" w:hAnsi="Arial" w:cs="Arial"/>
                <w:b/>
              </w:rPr>
            </w:pPr>
          </w:p>
          <w:p w:rsidR="002A2B50" w:rsidRPr="002A2B50" w:rsidRDefault="002A2B50" w:rsidP="002A2B50">
            <w:pPr>
              <w:ind w:left="0" w:hanging="2"/>
              <w:jc w:val="center"/>
            </w:pPr>
            <w:r w:rsidRPr="002A2B50">
              <w:rPr>
                <w:rFonts w:ascii="Arial" w:hAnsi="Arial" w:cs="Arial"/>
              </w:rPr>
              <w:t xml:space="preserve">Fecha redacción: </w:t>
            </w:r>
            <w:r>
              <w:rPr>
                <w:rFonts w:ascii="Arial" w:hAnsi="Arial" w:cs="Arial"/>
              </w:rPr>
              <w:t>junio 2022</w:t>
            </w:r>
          </w:p>
          <w:p w:rsidR="002A2B50" w:rsidRDefault="002A2B50" w:rsidP="002A2B50">
            <w:pPr>
              <w:ind w:left="0" w:hanging="2"/>
              <w:jc w:val="center"/>
              <w:rPr>
                <w:rFonts w:ascii="Arial" w:hAnsi="Arial" w:cs="Arial"/>
              </w:rPr>
            </w:pPr>
            <w:r w:rsidRPr="002A2B50">
              <w:rPr>
                <w:rFonts w:ascii="Arial" w:hAnsi="Arial" w:cs="Arial"/>
              </w:rPr>
              <w:t>Fecha final de alegaciones:</w:t>
            </w:r>
            <w:r w:rsidR="009D18C1">
              <w:rPr>
                <w:rFonts w:ascii="Arial" w:hAnsi="Arial" w:cs="Arial"/>
              </w:rPr>
              <w:t xml:space="preserve"> 09 de febrero de 2023</w:t>
            </w:r>
            <w:bookmarkStart w:id="0" w:name="_GoBack"/>
            <w:bookmarkEnd w:id="0"/>
          </w:p>
          <w:p w:rsidR="002A2B50" w:rsidRPr="002A2B50" w:rsidRDefault="002A2B50" w:rsidP="002A2B50">
            <w:pPr>
              <w:ind w:left="0" w:hanging="2"/>
              <w:jc w:val="center"/>
            </w:pPr>
          </w:p>
          <w:p w:rsidR="002A2B50" w:rsidRDefault="002A2B50" w:rsidP="002A2B50">
            <w:pPr>
              <w:ind w:left="0" w:hanging="2"/>
              <w:rPr>
                <w:rFonts w:ascii="Arial" w:hAnsi="Arial" w:cs="Arial"/>
                <w:sz w:val="16"/>
                <w:szCs w:val="16"/>
              </w:rPr>
            </w:pPr>
            <w:r>
              <w:rPr>
                <w:rFonts w:ascii="Arial" w:hAnsi="Arial" w:cs="Arial"/>
                <w:sz w:val="16"/>
                <w:szCs w:val="16"/>
              </w:rPr>
              <w:t>ISBN</w:t>
            </w:r>
          </w:p>
          <w:p w:rsidR="00B74082" w:rsidRDefault="002A2B50" w:rsidP="002A2B50">
            <w:pPr>
              <w:ind w:left="0" w:hanging="2"/>
              <w:rPr>
                <w:rFonts w:ascii="Arial" w:eastAsia="Arial" w:hAnsi="Arial" w:cs="Arial"/>
                <w:color w:val="0000FF"/>
              </w:rPr>
            </w:pPr>
            <w:r>
              <w:rPr>
                <w:rFonts w:ascii="Arial" w:hAnsi="Arial" w:cs="Arial"/>
                <w:sz w:val="16"/>
                <w:szCs w:val="16"/>
              </w:rPr>
              <w:t>DL</w:t>
            </w:r>
          </w:p>
        </w:tc>
      </w:tr>
    </w:tbl>
    <w:p w:rsidR="00B74082" w:rsidRDefault="00B74082">
      <w:pPr>
        <w:ind w:left="0" w:hanging="2"/>
        <w:rPr>
          <w:rFonts w:ascii="Arial" w:eastAsia="Arial" w:hAnsi="Arial" w:cs="Arial"/>
          <w:color w:val="0000FF"/>
          <w:u w:val="single"/>
        </w:rPr>
      </w:pPr>
    </w:p>
    <w:p w:rsidR="00B74082" w:rsidRDefault="00DA20C8">
      <w:pPr>
        <w:ind w:left="0" w:hanging="2"/>
        <w:rPr>
          <w:rFonts w:ascii="Arial" w:eastAsia="Arial" w:hAnsi="Arial" w:cs="Arial"/>
          <w:sz w:val="20"/>
          <w:szCs w:val="20"/>
        </w:rPr>
      </w:pPr>
      <w:r>
        <w:rPr>
          <w:rFonts w:ascii="Arial" w:eastAsia="Arial" w:hAnsi="Arial" w:cs="Arial"/>
          <w:b/>
          <w:sz w:val="20"/>
          <w:szCs w:val="20"/>
        </w:rPr>
        <w:t>ÍNDICE:</w:t>
      </w:r>
    </w:p>
    <w:p w:rsidR="00B74082" w:rsidRDefault="00B74082">
      <w:pPr>
        <w:ind w:left="0" w:hanging="2"/>
        <w:rPr>
          <w:rFonts w:ascii="Arial" w:eastAsia="Arial" w:hAnsi="Arial" w:cs="Arial"/>
          <w:color w:val="0000FF"/>
          <w:u w:val="single"/>
        </w:rPr>
      </w:pPr>
    </w:p>
    <w:p w:rsidR="00B74082" w:rsidRDefault="00E576C4">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b/>
          <w:sz w:val="20"/>
          <w:szCs w:val="20"/>
        </w:rPr>
        <w:t>Glosario</w:t>
      </w:r>
    </w:p>
    <w:p w:rsidR="004934D6" w:rsidRDefault="004934D6" w:rsidP="00DD3A6E">
      <w:pPr>
        <w:pBdr>
          <w:top w:val="single" w:sz="4" w:space="1" w:color="auto"/>
          <w:left w:val="single" w:sz="4" w:space="4" w:color="auto"/>
          <w:bottom w:val="single" w:sz="4" w:space="31" w:color="auto"/>
          <w:right w:val="single" w:sz="4" w:space="4" w:color="auto"/>
        </w:pBdr>
        <w:ind w:left="0" w:hanging="2"/>
        <w:rPr>
          <w:rFonts w:ascii="Arial" w:hAnsi="Arial" w:cs="Arial"/>
          <w:bCs/>
          <w:sz w:val="20"/>
          <w:szCs w:val="20"/>
        </w:rPr>
      </w:pPr>
      <w:r>
        <w:rPr>
          <w:rFonts w:ascii="Arial" w:hAnsi="Arial" w:cs="Arial"/>
          <w:b/>
          <w:bCs/>
          <w:sz w:val="20"/>
          <w:szCs w:val="20"/>
        </w:rPr>
        <w:t xml:space="preserve">AEMPS: </w:t>
      </w:r>
      <w:r>
        <w:rPr>
          <w:rFonts w:ascii="Arial" w:hAnsi="Arial" w:cs="Arial"/>
          <w:bCs/>
          <w:sz w:val="20"/>
          <w:szCs w:val="20"/>
        </w:rPr>
        <w:t>Agencia Española de Medicamentos y Productos Sanitarios</w:t>
      </w:r>
    </w:p>
    <w:p w:rsidR="00E576C4" w:rsidRDefault="00E576C4" w:rsidP="00DD3A6E">
      <w:pPr>
        <w:pBdr>
          <w:top w:val="single" w:sz="4" w:space="1" w:color="auto"/>
          <w:left w:val="single" w:sz="4" w:space="4" w:color="auto"/>
          <w:bottom w:val="single" w:sz="4" w:space="31" w:color="auto"/>
          <w:right w:val="single" w:sz="4" w:space="4" w:color="auto"/>
        </w:pBdr>
        <w:ind w:left="0" w:hanging="2"/>
        <w:rPr>
          <w:rFonts w:ascii="Arial" w:hAnsi="Arial" w:cs="Arial"/>
          <w:bCs/>
          <w:sz w:val="20"/>
          <w:szCs w:val="20"/>
        </w:rPr>
      </w:pPr>
      <w:r w:rsidRPr="00E576C4">
        <w:rPr>
          <w:rFonts w:ascii="Arial" w:hAnsi="Arial" w:cs="Arial"/>
          <w:b/>
          <w:bCs/>
          <w:sz w:val="20"/>
          <w:szCs w:val="20"/>
        </w:rPr>
        <w:t>BAT</w:t>
      </w:r>
      <w:r>
        <w:rPr>
          <w:rFonts w:ascii="Arial" w:hAnsi="Arial" w:cs="Arial"/>
          <w:bCs/>
          <w:sz w:val="20"/>
          <w:szCs w:val="20"/>
        </w:rPr>
        <w:t>: Best Available Therapy</w:t>
      </w:r>
    </w:p>
    <w:p w:rsidR="00E576C4" w:rsidRDefault="00E576C4" w:rsidP="00DD3A6E">
      <w:pPr>
        <w:pBdr>
          <w:top w:val="single" w:sz="4" w:space="1" w:color="auto"/>
          <w:left w:val="single" w:sz="4" w:space="4" w:color="auto"/>
          <w:bottom w:val="single" w:sz="4" w:space="31" w:color="auto"/>
          <w:right w:val="single" w:sz="4" w:space="4" w:color="auto"/>
        </w:pBdr>
        <w:ind w:left="0" w:hanging="2"/>
        <w:rPr>
          <w:rFonts w:ascii="Arial" w:hAnsi="Arial" w:cs="Arial"/>
          <w:bCs/>
          <w:sz w:val="20"/>
          <w:szCs w:val="20"/>
        </w:rPr>
      </w:pPr>
      <w:r w:rsidRPr="00E576C4">
        <w:rPr>
          <w:rFonts w:ascii="Arial" w:hAnsi="Arial" w:cs="Arial"/>
          <w:b/>
          <w:bCs/>
          <w:sz w:val="20"/>
          <w:szCs w:val="20"/>
        </w:rPr>
        <w:t>CCII:</w:t>
      </w:r>
      <w:r>
        <w:rPr>
          <w:rFonts w:ascii="Arial" w:hAnsi="Arial" w:cs="Arial"/>
          <w:bCs/>
          <w:sz w:val="20"/>
          <w:szCs w:val="20"/>
        </w:rPr>
        <w:t xml:space="preserve"> Comparaciones indirectas</w:t>
      </w:r>
    </w:p>
    <w:p w:rsidR="004934D6" w:rsidRDefault="004934D6" w:rsidP="00DD3A6E">
      <w:pPr>
        <w:pBdr>
          <w:top w:val="single" w:sz="4" w:space="1" w:color="auto"/>
          <w:left w:val="single" w:sz="4" w:space="4" w:color="auto"/>
          <w:bottom w:val="single" w:sz="4" w:space="31" w:color="auto"/>
          <w:right w:val="single" w:sz="4" w:space="4" w:color="auto"/>
        </w:pBdr>
        <w:ind w:left="0" w:hanging="2"/>
        <w:rPr>
          <w:rFonts w:ascii="Arial" w:hAnsi="Arial" w:cs="Arial"/>
          <w:sz w:val="20"/>
          <w:szCs w:val="20"/>
        </w:rPr>
      </w:pPr>
      <w:r>
        <w:rPr>
          <w:rFonts w:ascii="Arial" w:hAnsi="Arial" w:cs="Arial"/>
          <w:b/>
          <w:sz w:val="20"/>
          <w:szCs w:val="20"/>
        </w:rPr>
        <w:t>CEI</w:t>
      </w:r>
      <w:r>
        <w:rPr>
          <w:rFonts w:ascii="Arial" w:hAnsi="Arial" w:cs="Arial"/>
          <w:sz w:val="20"/>
          <w:szCs w:val="20"/>
        </w:rPr>
        <w:t>: Coste Eficacia Incremental</w:t>
      </w:r>
    </w:p>
    <w:p w:rsidR="00717178" w:rsidRDefault="00717178" w:rsidP="00DD3A6E">
      <w:pPr>
        <w:pBdr>
          <w:top w:val="single" w:sz="4" w:space="1" w:color="auto"/>
          <w:left w:val="single" w:sz="4" w:space="4" w:color="auto"/>
          <w:bottom w:val="single" w:sz="4" w:space="31" w:color="auto"/>
          <w:right w:val="single" w:sz="4" w:space="4" w:color="auto"/>
        </w:pBdr>
        <w:ind w:left="0" w:hanging="2"/>
        <w:rPr>
          <w:rFonts w:ascii="Arial" w:hAnsi="Arial" w:cs="Arial"/>
          <w:sz w:val="20"/>
          <w:szCs w:val="20"/>
        </w:rPr>
      </w:pPr>
      <w:r>
        <w:rPr>
          <w:rFonts w:ascii="Arial" w:eastAsia="Arial" w:hAnsi="Arial" w:cs="Arial"/>
          <w:b/>
          <w:sz w:val="20"/>
          <w:szCs w:val="20"/>
        </w:rPr>
        <w:t>Cl</w:t>
      </w:r>
      <w:r w:rsidR="00B173DD">
        <w:rPr>
          <w:rFonts w:ascii="Arial" w:eastAsia="Arial" w:hAnsi="Arial" w:cs="Arial"/>
          <w:b/>
          <w:sz w:val="20"/>
          <w:szCs w:val="20"/>
        </w:rPr>
        <w:t>c</w:t>
      </w:r>
      <w:r>
        <w:rPr>
          <w:rFonts w:ascii="Arial" w:eastAsia="Arial" w:hAnsi="Arial" w:cs="Arial"/>
          <w:b/>
          <w:sz w:val="20"/>
          <w:szCs w:val="20"/>
        </w:rPr>
        <w:t xml:space="preserve">r: </w:t>
      </w:r>
      <w:r w:rsidR="003A6FCC">
        <w:rPr>
          <w:rFonts w:ascii="Arial" w:eastAsia="Arial" w:hAnsi="Arial" w:cs="Arial"/>
          <w:sz w:val="20"/>
          <w:szCs w:val="20"/>
        </w:rPr>
        <w:t>A</w:t>
      </w:r>
      <w:r>
        <w:rPr>
          <w:rFonts w:ascii="Arial" w:eastAsia="Arial" w:hAnsi="Arial" w:cs="Arial"/>
          <w:sz w:val="20"/>
          <w:szCs w:val="20"/>
        </w:rPr>
        <w:t xml:space="preserve">claramiento de creatinina </w:t>
      </w:r>
    </w:p>
    <w:p w:rsidR="004934D6" w:rsidRPr="00155E6D" w:rsidRDefault="004934D6" w:rsidP="00DD3A6E">
      <w:pPr>
        <w:pBdr>
          <w:top w:val="single" w:sz="4" w:space="1" w:color="auto"/>
          <w:left w:val="single" w:sz="4" w:space="4" w:color="auto"/>
          <w:bottom w:val="single" w:sz="4" w:space="31" w:color="auto"/>
          <w:right w:val="single" w:sz="4" w:space="4" w:color="auto"/>
        </w:pBdr>
        <w:ind w:left="0" w:hanging="2"/>
        <w:rPr>
          <w:rFonts w:ascii="Arial" w:hAnsi="Arial" w:cs="Arial"/>
          <w:sz w:val="20"/>
          <w:szCs w:val="20"/>
        </w:rPr>
      </w:pPr>
      <w:r w:rsidRPr="00155E6D">
        <w:rPr>
          <w:rFonts w:ascii="Arial" w:hAnsi="Arial" w:cs="Arial"/>
          <w:b/>
          <w:sz w:val="20"/>
          <w:szCs w:val="20"/>
        </w:rPr>
        <w:t>EMA</w:t>
      </w:r>
      <w:r w:rsidRPr="00155E6D">
        <w:rPr>
          <w:rFonts w:ascii="Arial" w:hAnsi="Arial" w:cs="Arial"/>
          <w:sz w:val="20"/>
          <w:szCs w:val="20"/>
        </w:rPr>
        <w:t>: European Medicines Agency</w:t>
      </w:r>
    </w:p>
    <w:p w:rsidR="00DD3A6E" w:rsidRPr="00155E6D" w:rsidRDefault="00DD3A6E" w:rsidP="00DD3A6E">
      <w:pPr>
        <w:pBdr>
          <w:top w:val="single" w:sz="4" w:space="1" w:color="auto"/>
          <w:left w:val="single" w:sz="4" w:space="4" w:color="auto"/>
          <w:bottom w:val="single" w:sz="4" w:space="31" w:color="auto"/>
          <w:right w:val="single" w:sz="4" w:space="4" w:color="auto"/>
        </w:pBdr>
        <w:ind w:left="0" w:hanging="2"/>
        <w:rPr>
          <w:rFonts w:ascii="Arial" w:eastAsia="Arial" w:hAnsi="Arial" w:cs="Arial"/>
          <w:b/>
          <w:sz w:val="20"/>
          <w:szCs w:val="20"/>
          <w:lang w:val="en-US"/>
        </w:rPr>
      </w:pPr>
      <w:r w:rsidRPr="00155E6D">
        <w:rPr>
          <w:rFonts w:ascii="Arial" w:eastAsia="Arial" w:hAnsi="Arial" w:cs="Arial"/>
          <w:b/>
          <w:sz w:val="20"/>
          <w:szCs w:val="20"/>
          <w:lang w:val="en-US"/>
        </w:rPr>
        <w:t xml:space="preserve">ESMO: </w:t>
      </w:r>
      <w:r w:rsidRPr="00155E6D">
        <w:rPr>
          <w:rFonts w:ascii="Arial" w:eastAsia="Arial" w:hAnsi="Arial" w:cs="Arial"/>
          <w:sz w:val="20"/>
          <w:szCs w:val="20"/>
          <w:lang w:val="en-US"/>
        </w:rPr>
        <w:t>European Society for Medical Oncology's</w:t>
      </w:r>
    </w:p>
    <w:p w:rsidR="004934D6" w:rsidRDefault="004934D6" w:rsidP="00DD3A6E">
      <w:pPr>
        <w:pBdr>
          <w:top w:val="single" w:sz="4" w:space="1" w:color="auto"/>
          <w:left w:val="single" w:sz="4" w:space="4" w:color="auto"/>
          <w:bottom w:val="single" w:sz="4" w:space="31" w:color="auto"/>
          <w:right w:val="single" w:sz="4" w:space="4" w:color="auto"/>
        </w:pBdr>
        <w:ind w:left="0" w:hanging="2"/>
        <w:rPr>
          <w:rFonts w:ascii="Arial" w:hAnsi="Arial" w:cs="Arial"/>
          <w:sz w:val="20"/>
          <w:szCs w:val="20"/>
          <w:lang w:val="en-US"/>
        </w:rPr>
      </w:pPr>
      <w:r>
        <w:rPr>
          <w:rFonts w:ascii="Arial" w:hAnsi="Arial" w:cs="Arial"/>
          <w:b/>
          <w:sz w:val="20"/>
          <w:szCs w:val="20"/>
          <w:lang w:val="en-US"/>
        </w:rPr>
        <w:t>FDA</w:t>
      </w:r>
      <w:r>
        <w:rPr>
          <w:rFonts w:ascii="Arial" w:hAnsi="Arial" w:cs="Arial"/>
          <w:sz w:val="20"/>
          <w:szCs w:val="20"/>
          <w:lang w:val="en-US"/>
        </w:rPr>
        <w:t>: Food and Drug Administration</w:t>
      </w:r>
    </w:p>
    <w:p w:rsidR="00E576C4" w:rsidRDefault="00E576C4" w:rsidP="00DD3A6E">
      <w:pPr>
        <w:pBdr>
          <w:top w:val="single" w:sz="4" w:space="1" w:color="auto"/>
          <w:left w:val="single" w:sz="4" w:space="4" w:color="auto"/>
          <w:bottom w:val="single" w:sz="4" w:space="31" w:color="auto"/>
          <w:right w:val="single" w:sz="4" w:space="4" w:color="auto"/>
        </w:pBdr>
        <w:ind w:left="0" w:hanging="2"/>
        <w:rPr>
          <w:rFonts w:ascii="Arial" w:hAnsi="Arial" w:cs="Arial"/>
          <w:sz w:val="20"/>
          <w:szCs w:val="20"/>
          <w:lang w:val="en-US"/>
        </w:rPr>
      </w:pPr>
      <w:r w:rsidRPr="00E576C4">
        <w:rPr>
          <w:rFonts w:ascii="Arial" w:hAnsi="Arial" w:cs="Arial"/>
          <w:b/>
          <w:sz w:val="20"/>
          <w:szCs w:val="20"/>
          <w:lang w:val="en-US"/>
        </w:rPr>
        <w:t>HR</w:t>
      </w:r>
      <w:r>
        <w:rPr>
          <w:rFonts w:ascii="Arial" w:hAnsi="Arial" w:cs="Arial"/>
          <w:sz w:val="20"/>
          <w:szCs w:val="20"/>
          <w:lang w:val="en-US"/>
        </w:rPr>
        <w:t>: Hazard ratio</w:t>
      </w:r>
    </w:p>
    <w:p w:rsidR="00C056A1" w:rsidRDefault="00C056A1" w:rsidP="00DD3A6E">
      <w:pPr>
        <w:pBdr>
          <w:top w:val="single" w:sz="4" w:space="1" w:color="auto"/>
          <w:left w:val="single" w:sz="4" w:space="4" w:color="auto"/>
          <w:bottom w:val="single" w:sz="4" w:space="31" w:color="auto"/>
          <w:right w:val="single" w:sz="4" w:space="4" w:color="auto"/>
        </w:pBdr>
        <w:ind w:left="0" w:hanging="2"/>
        <w:rPr>
          <w:rFonts w:ascii="Arial" w:hAnsi="Arial" w:cs="Arial"/>
          <w:sz w:val="20"/>
          <w:szCs w:val="20"/>
          <w:lang w:val="en-US"/>
        </w:rPr>
      </w:pPr>
      <w:r w:rsidRPr="00C056A1">
        <w:rPr>
          <w:rFonts w:ascii="Arial" w:hAnsi="Arial" w:cs="Arial"/>
          <w:b/>
          <w:sz w:val="20"/>
          <w:szCs w:val="20"/>
          <w:lang w:val="en-US"/>
        </w:rPr>
        <w:t>IWG-MRT</w:t>
      </w:r>
      <w:r w:rsidR="00E37817">
        <w:rPr>
          <w:rFonts w:ascii="Arial" w:hAnsi="Arial" w:cs="Arial"/>
          <w:b/>
          <w:sz w:val="20"/>
          <w:szCs w:val="20"/>
          <w:lang w:val="en-US"/>
        </w:rPr>
        <w:t>-ECN</w:t>
      </w:r>
      <w:r w:rsidRPr="00C056A1">
        <w:rPr>
          <w:rFonts w:ascii="Arial" w:hAnsi="Arial" w:cs="Arial"/>
          <w:b/>
          <w:sz w:val="20"/>
          <w:szCs w:val="20"/>
          <w:lang w:val="en-US"/>
        </w:rPr>
        <w:t>:</w:t>
      </w:r>
      <w:r>
        <w:rPr>
          <w:rFonts w:ascii="Arial" w:hAnsi="Arial" w:cs="Arial"/>
          <w:sz w:val="20"/>
          <w:szCs w:val="20"/>
          <w:lang w:val="en-US"/>
        </w:rPr>
        <w:t xml:space="preserve"> </w:t>
      </w:r>
      <w:r w:rsidRPr="00C056A1">
        <w:rPr>
          <w:rFonts w:ascii="Arial" w:hAnsi="Arial" w:cs="Arial"/>
          <w:sz w:val="20"/>
          <w:szCs w:val="20"/>
          <w:lang w:val="en-US"/>
        </w:rPr>
        <w:t>International Working Group-Myeloproliferative Ne</w:t>
      </w:r>
      <w:r>
        <w:rPr>
          <w:rFonts w:ascii="Arial" w:hAnsi="Arial" w:cs="Arial"/>
          <w:sz w:val="20"/>
          <w:szCs w:val="20"/>
          <w:lang w:val="en-US"/>
        </w:rPr>
        <w:t xml:space="preserve">oplasms Research and Treatment </w:t>
      </w:r>
      <w:r w:rsidR="00E37817" w:rsidRPr="00E37817">
        <w:rPr>
          <w:rFonts w:ascii="Arial" w:hAnsi="Arial" w:cs="Arial"/>
          <w:sz w:val="20"/>
          <w:szCs w:val="20"/>
          <w:lang w:val="en-US"/>
        </w:rPr>
        <w:t>European Competence Network on Mastocytosis</w:t>
      </w:r>
      <w:r w:rsidR="00B173DD">
        <w:rPr>
          <w:rFonts w:ascii="Arial" w:hAnsi="Arial" w:cs="Arial"/>
          <w:sz w:val="20"/>
          <w:szCs w:val="20"/>
          <w:lang w:val="en-US"/>
        </w:rPr>
        <w:t xml:space="preserve"> (</w:t>
      </w:r>
      <w:r w:rsidR="00B173DD" w:rsidRPr="00B173DD">
        <w:rPr>
          <w:rFonts w:ascii="Arial" w:hAnsi="Arial" w:cs="Arial"/>
          <w:b/>
          <w:sz w:val="20"/>
          <w:szCs w:val="20"/>
          <w:lang w:val="en-US"/>
        </w:rPr>
        <w:t>mIWG</w:t>
      </w:r>
      <w:r w:rsidR="00B173DD" w:rsidRPr="00C056A1">
        <w:rPr>
          <w:rFonts w:ascii="Arial" w:hAnsi="Arial" w:cs="Arial"/>
          <w:b/>
          <w:sz w:val="20"/>
          <w:szCs w:val="20"/>
          <w:lang w:val="en-US"/>
        </w:rPr>
        <w:t>-MRT</w:t>
      </w:r>
      <w:r w:rsidR="00B173DD">
        <w:rPr>
          <w:rFonts w:ascii="Arial" w:hAnsi="Arial" w:cs="Arial"/>
          <w:b/>
          <w:sz w:val="20"/>
          <w:szCs w:val="20"/>
          <w:lang w:val="en-US"/>
        </w:rPr>
        <w:t>-ECN</w:t>
      </w:r>
      <w:r w:rsidR="00B173DD" w:rsidRPr="00C056A1">
        <w:rPr>
          <w:rFonts w:ascii="Arial" w:hAnsi="Arial" w:cs="Arial"/>
          <w:b/>
          <w:sz w:val="20"/>
          <w:szCs w:val="20"/>
          <w:lang w:val="en-US"/>
        </w:rPr>
        <w:t>:</w:t>
      </w:r>
      <w:r w:rsidR="00B173DD">
        <w:rPr>
          <w:rFonts w:ascii="Arial" w:hAnsi="Arial" w:cs="Arial"/>
          <w:b/>
          <w:sz w:val="20"/>
          <w:szCs w:val="20"/>
          <w:lang w:val="en-US"/>
        </w:rPr>
        <w:t xml:space="preserve"> </w:t>
      </w:r>
      <w:r w:rsidR="00B173DD" w:rsidRPr="00B173DD">
        <w:rPr>
          <w:rFonts w:ascii="Arial" w:hAnsi="Arial" w:cs="Arial"/>
          <w:sz w:val="20"/>
          <w:szCs w:val="20"/>
          <w:lang w:val="en-US"/>
        </w:rPr>
        <w:t>modificado)</w:t>
      </w:r>
      <w:r w:rsidR="00B173DD">
        <w:rPr>
          <w:rFonts w:ascii="Arial" w:hAnsi="Arial" w:cs="Arial"/>
          <w:b/>
          <w:sz w:val="20"/>
          <w:szCs w:val="20"/>
          <w:lang w:val="en-US"/>
        </w:rPr>
        <w:t xml:space="preserve"> </w:t>
      </w:r>
    </w:p>
    <w:p w:rsidR="004934D6" w:rsidRPr="00155E6D" w:rsidRDefault="004934D6" w:rsidP="00DD3A6E">
      <w:pPr>
        <w:pBdr>
          <w:top w:val="single" w:sz="4" w:space="1" w:color="auto"/>
          <w:left w:val="single" w:sz="4" w:space="4" w:color="auto"/>
          <w:bottom w:val="single" w:sz="4" w:space="31" w:color="auto"/>
          <w:right w:val="single" w:sz="4" w:space="4" w:color="auto"/>
        </w:pBdr>
        <w:ind w:left="0" w:hanging="2"/>
        <w:rPr>
          <w:rFonts w:ascii="Arial" w:hAnsi="Arial" w:cs="Arial"/>
          <w:sz w:val="20"/>
          <w:szCs w:val="20"/>
        </w:rPr>
      </w:pPr>
      <w:r w:rsidRPr="00155E6D">
        <w:rPr>
          <w:rFonts w:ascii="Arial" w:hAnsi="Arial" w:cs="Arial"/>
          <w:b/>
          <w:sz w:val="20"/>
          <w:szCs w:val="20"/>
        </w:rPr>
        <w:t>LM</w:t>
      </w:r>
      <w:r w:rsidRPr="00155E6D">
        <w:rPr>
          <w:rFonts w:ascii="Arial" w:hAnsi="Arial" w:cs="Arial"/>
          <w:sz w:val="20"/>
          <w:szCs w:val="20"/>
        </w:rPr>
        <w:t>: Leucemia mastocítica</w:t>
      </w:r>
    </w:p>
    <w:p w:rsidR="00C4592D" w:rsidRPr="00155E6D" w:rsidRDefault="00C4592D" w:rsidP="00DD3A6E">
      <w:pPr>
        <w:pBdr>
          <w:top w:val="single" w:sz="4" w:space="1" w:color="auto"/>
          <w:left w:val="single" w:sz="4" w:space="4" w:color="auto"/>
          <w:bottom w:val="single" w:sz="4" w:space="31" w:color="auto"/>
          <w:right w:val="single" w:sz="4" w:space="4" w:color="auto"/>
        </w:pBdr>
        <w:ind w:left="0" w:hanging="2"/>
        <w:rPr>
          <w:rFonts w:ascii="Arial" w:hAnsi="Arial" w:cs="Arial"/>
          <w:sz w:val="20"/>
          <w:szCs w:val="20"/>
        </w:rPr>
      </w:pPr>
      <w:r>
        <w:rPr>
          <w:rFonts w:ascii="Arial" w:eastAsia="Arial" w:hAnsi="Arial" w:cs="Arial"/>
          <w:b/>
          <w:sz w:val="20"/>
          <w:szCs w:val="20"/>
        </w:rPr>
        <w:t xml:space="preserve">LSN: </w:t>
      </w:r>
      <w:r w:rsidR="00B173DD">
        <w:rPr>
          <w:rFonts w:ascii="Arial" w:eastAsia="Arial" w:hAnsi="Arial" w:cs="Arial"/>
          <w:sz w:val="20"/>
          <w:szCs w:val="20"/>
        </w:rPr>
        <w:t>L</w:t>
      </w:r>
      <w:r>
        <w:rPr>
          <w:rFonts w:ascii="Arial" w:eastAsia="Arial" w:hAnsi="Arial" w:cs="Arial"/>
          <w:sz w:val="20"/>
          <w:szCs w:val="20"/>
        </w:rPr>
        <w:t xml:space="preserve">ímite superior de la normalidad </w:t>
      </w:r>
    </w:p>
    <w:p w:rsidR="004934D6" w:rsidRPr="00155E6D" w:rsidRDefault="004934D6" w:rsidP="00DD3A6E">
      <w:pPr>
        <w:pBdr>
          <w:top w:val="single" w:sz="4" w:space="1" w:color="auto"/>
          <w:left w:val="single" w:sz="4" w:space="4" w:color="auto"/>
          <w:bottom w:val="single" w:sz="4" w:space="31" w:color="auto"/>
          <w:right w:val="single" w:sz="4" w:space="4" w:color="auto"/>
        </w:pBdr>
        <w:ind w:left="0" w:hanging="2"/>
        <w:rPr>
          <w:rFonts w:ascii="Arial" w:hAnsi="Arial" w:cs="Arial"/>
          <w:sz w:val="20"/>
          <w:szCs w:val="20"/>
        </w:rPr>
      </w:pPr>
      <w:r w:rsidRPr="00155E6D">
        <w:rPr>
          <w:rFonts w:ascii="Arial" w:hAnsi="Arial" w:cs="Arial"/>
          <w:b/>
          <w:sz w:val="20"/>
          <w:szCs w:val="20"/>
        </w:rPr>
        <w:t>MS</w:t>
      </w:r>
      <w:r w:rsidRPr="00155E6D">
        <w:rPr>
          <w:rFonts w:ascii="Arial" w:hAnsi="Arial" w:cs="Arial"/>
          <w:sz w:val="20"/>
          <w:szCs w:val="20"/>
        </w:rPr>
        <w:t>: Mastocitosis sistémica</w:t>
      </w:r>
    </w:p>
    <w:p w:rsidR="004934D6" w:rsidRPr="00155E6D" w:rsidRDefault="004934D6" w:rsidP="00DD3A6E">
      <w:pPr>
        <w:pBdr>
          <w:top w:val="single" w:sz="4" w:space="1" w:color="auto"/>
          <w:left w:val="single" w:sz="4" w:space="4" w:color="auto"/>
          <w:bottom w:val="single" w:sz="4" w:space="31" w:color="auto"/>
          <w:right w:val="single" w:sz="4" w:space="4" w:color="auto"/>
        </w:pBdr>
        <w:ind w:left="0" w:hanging="2"/>
        <w:rPr>
          <w:rFonts w:ascii="Arial" w:hAnsi="Arial" w:cs="Arial"/>
          <w:sz w:val="20"/>
          <w:szCs w:val="20"/>
        </w:rPr>
      </w:pPr>
      <w:r w:rsidRPr="00155E6D">
        <w:rPr>
          <w:rFonts w:ascii="Arial" w:hAnsi="Arial" w:cs="Arial"/>
          <w:b/>
          <w:sz w:val="20"/>
          <w:szCs w:val="20"/>
        </w:rPr>
        <w:t>MSA</w:t>
      </w:r>
      <w:r w:rsidRPr="00155E6D">
        <w:rPr>
          <w:rFonts w:ascii="Arial" w:hAnsi="Arial" w:cs="Arial"/>
          <w:sz w:val="20"/>
          <w:szCs w:val="20"/>
        </w:rPr>
        <w:t>: Mastocitosis sistémica agresiva</w:t>
      </w:r>
    </w:p>
    <w:p w:rsidR="004934D6" w:rsidRPr="00155E6D" w:rsidRDefault="004934D6" w:rsidP="00DD3A6E">
      <w:pPr>
        <w:pBdr>
          <w:top w:val="single" w:sz="4" w:space="1" w:color="auto"/>
          <w:left w:val="single" w:sz="4" w:space="4" w:color="auto"/>
          <w:bottom w:val="single" w:sz="4" w:space="31" w:color="auto"/>
          <w:right w:val="single" w:sz="4" w:space="4" w:color="auto"/>
        </w:pBdr>
        <w:ind w:left="0" w:hanging="2"/>
        <w:rPr>
          <w:rFonts w:ascii="Arial" w:hAnsi="Arial" w:cs="Arial"/>
          <w:sz w:val="20"/>
          <w:szCs w:val="20"/>
        </w:rPr>
      </w:pPr>
      <w:r w:rsidRPr="00155E6D">
        <w:rPr>
          <w:rFonts w:ascii="Arial" w:hAnsi="Arial" w:cs="Arial"/>
          <w:b/>
          <w:sz w:val="20"/>
          <w:szCs w:val="20"/>
        </w:rPr>
        <w:t>MS-NHA</w:t>
      </w:r>
      <w:r w:rsidRPr="00155E6D">
        <w:rPr>
          <w:rFonts w:ascii="Arial" w:hAnsi="Arial" w:cs="Arial"/>
          <w:sz w:val="20"/>
          <w:szCs w:val="20"/>
        </w:rPr>
        <w:t>: Mastocitosis sistémica con neoplasia hemtológica asociada</w:t>
      </w:r>
    </w:p>
    <w:p w:rsidR="00502CC8" w:rsidRPr="00502CC8" w:rsidRDefault="00502CC8" w:rsidP="00DD3A6E">
      <w:pPr>
        <w:pBdr>
          <w:top w:val="single" w:sz="4" w:space="1" w:color="auto"/>
          <w:left w:val="single" w:sz="4" w:space="4" w:color="auto"/>
          <w:bottom w:val="single" w:sz="4" w:space="31" w:color="auto"/>
          <w:right w:val="single" w:sz="4" w:space="4" w:color="auto"/>
        </w:pBdr>
        <w:ind w:left="0" w:hanging="2"/>
        <w:rPr>
          <w:rFonts w:ascii="Arial" w:hAnsi="Arial" w:cs="Arial"/>
          <w:sz w:val="20"/>
          <w:szCs w:val="20"/>
          <w:lang w:val="en-US"/>
        </w:rPr>
      </w:pPr>
      <w:r>
        <w:rPr>
          <w:rFonts w:ascii="Arial" w:hAnsi="Arial" w:cs="Arial"/>
          <w:b/>
          <w:sz w:val="20"/>
          <w:szCs w:val="20"/>
          <w:lang w:val="en-US"/>
        </w:rPr>
        <w:t>NCCN</w:t>
      </w:r>
      <w:r w:rsidR="00F15281">
        <w:rPr>
          <w:rFonts w:ascii="Arial" w:hAnsi="Arial" w:cs="Arial"/>
          <w:b/>
          <w:sz w:val="20"/>
          <w:szCs w:val="20"/>
          <w:lang w:val="en-US"/>
        </w:rPr>
        <w:t>:</w:t>
      </w:r>
      <w:r>
        <w:rPr>
          <w:rFonts w:ascii="Arial" w:hAnsi="Arial" w:cs="Arial"/>
          <w:b/>
          <w:sz w:val="20"/>
          <w:szCs w:val="20"/>
          <w:lang w:val="en-US"/>
        </w:rPr>
        <w:t xml:space="preserve"> </w:t>
      </w:r>
      <w:r>
        <w:rPr>
          <w:rFonts w:ascii="Arial" w:hAnsi="Arial" w:cs="Arial"/>
          <w:sz w:val="20"/>
          <w:szCs w:val="20"/>
          <w:lang w:val="en-US"/>
        </w:rPr>
        <w:t>National comprehensive cancer network.</w:t>
      </w:r>
    </w:p>
    <w:p w:rsidR="00F36ED1" w:rsidRPr="00155E6D" w:rsidRDefault="00502CC8" w:rsidP="00DD3A6E">
      <w:pPr>
        <w:pBdr>
          <w:top w:val="single" w:sz="4" w:space="1" w:color="auto"/>
          <w:left w:val="single" w:sz="4" w:space="4" w:color="auto"/>
          <w:bottom w:val="single" w:sz="4" w:space="31" w:color="auto"/>
          <w:right w:val="single" w:sz="4" w:space="4" w:color="auto"/>
        </w:pBdr>
        <w:ind w:left="0" w:hanging="2"/>
        <w:rPr>
          <w:rFonts w:ascii="Arial" w:hAnsi="Arial" w:cs="Arial"/>
          <w:sz w:val="20"/>
          <w:szCs w:val="20"/>
        </w:rPr>
      </w:pPr>
      <w:r w:rsidRPr="00155E6D">
        <w:rPr>
          <w:rFonts w:ascii="Arial" w:hAnsi="Arial" w:cs="Arial"/>
          <w:b/>
          <w:sz w:val="20"/>
          <w:szCs w:val="20"/>
        </w:rPr>
        <w:t xml:space="preserve">OMS: </w:t>
      </w:r>
      <w:r w:rsidRPr="00155E6D">
        <w:rPr>
          <w:rFonts w:ascii="Arial" w:hAnsi="Arial" w:cs="Arial"/>
          <w:sz w:val="20"/>
          <w:szCs w:val="20"/>
        </w:rPr>
        <w:t>Organización Mundial de la Salud</w:t>
      </w:r>
    </w:p>
    <w:p w:rsidR="00F36ED1" w:rsidRDefault="00F36ED1" w:rsidP="00DD3A6E">
      <w:pPr>
        <w:pBdr>
          <w:top w:val="single" w:sz="4" w:space="1" w:color="auto"/>
          <w:left w:val="single" w:sz="4" w:space="4" w:color="auto"/>
          <w:bottom w:val="single" w:sz="4" w:space="31" w:color="auto"/>
          <w:right w:val="single" w:sz="4" w:space="4" w:color="auto"/>
        </w:pBdr>
        <w:ind w:left="0" w:hanging="2"/>
        <w:rPr>
          <w:rFonts w:ascii="Arial" w:hAnsi="Arial" w:cs="Arial"/>
          <w:sz w:val="20"/>
          <w:szCs w:val="20"/>
          <w:lang w:val="en-US"/>
        </w:rPr>
      </w:pPr>
      <w:r w:rsidRPr="00155E6D">
        <w:rPr>
          <w:rFonts w:ascii="Arial" w:eastAsia="Arial" w:hAnsi="Arial" w:cs="Arial"/>
          <w:b/>
          <w:color w:val="000000" w:themeColor="text1"/>
          <w:sz w:val="20"/>
          <w:szCs w:val="20"/>
          <w:lang w:val="en-US"/>
        </w:rPr>
        <w:t xml:space="preserve">PGIS score: </w:t>
      </w:r>
      <w:r w:rsidR="00B173DD" w:rsidRPr="00155E6D">
        <w:rPr>
          <w:rFonts w:ascii="Arial" w:eastAsia="Arial" w:hAnsi="Arial" w:cs="Arial"/>
          <w:color w:val="000000" w:themeColor="text1"/>
          <w:sz w:val="20"/>
          <w:szCs w:val="20"/>
          <w:lang w:val="en-US"/>
        </w:rPr>
        <w:t>P</w:t>
      </w:r>
      <w:r w:rsidRPr="00155E6D">
        <w:rPr>
          <w:rFonts w:ascii="Arial" w:eastAsia="Arial" w:hAnsi="Arial" w:cs="Arial"/>
          <w:color w:val="000000" w:themeColor="text1"/>
          <w:sz w:val="20"/>
          <w:szCs w:val="20"/>
          <w:lang w:val="en-US"/>
        </w:rPr>
        <w:t>atients global impresión of symptom severity</w:t>
      </w:r>
      <w:r>
        <w:rPr>
          <w:rFonts w:ascii="Arial" w:hAnsi="Arial" w:cs="Arial"/>
          <w:sz w:val="20"/>
          <w:szCs w:val="20"/>
          <w:lang w:val="en-US"/>
        </w:rPr>
        <w:t>.</w:t>
      </w:r>
    </w:p>
    <w:p w:rsidR="00502CC8" w:rsidRPr="00155E6D" w:rsidRDefault="00F36ED1" w:rsidP="00DD3A6E">
      <w:pPr>
        <w:pBdr>
          <w:top w:val="single" w:sz="4" w:space="1" w:color="auto"/>
          <w:left w:val="single" w:sz="4" w:space="4" w:color="auto"/>
          <w:bottom w:val="single" w:sz="4" w:space="31" w:color="auto"/>
          <w:right w:val="single" w:sz="4" w:space="4" w:color="auto"/>
        </w:pBdr>
        <w:ind w:left="0" w:hanging="2"/>
        <w:rPr>
          <w:rFonts w:ascii="Arial" w:hAnsi="Arial" w:cs="Arial"/>
          <w:sz w:val="20"/>
          <w:szCs w:val="20"/>
        </w:rPr>
      </w:pPr>
      <w:r>
        <w:rPr>
          <w:rFonts w:ascii="Arial" w:eastAsia="Arial" w:hAnsi="Arial" w:cs="Arial"/>
          <w:b/>
          <w:color w:val="000000" w:themeColor="text1"/>
          <w:sz w:val="20"/>
          <w:szCs w:val="20"/>
        </w:rPr>
        <w:t>PRO: R</w:t>
      </w:r>
      <w:r>
        <w:rPr>
          <w:rFonts w:ascii="Arial" w:eastAsia="Arial" w:hAnsi="Arial" w:cs="Arial"/>
          <w:color w:val="000000" w:themeColor="text1"/>
          <w:sz w:val="20"/>
          <w:szCs w:val="20"/>
        </w:rPr>
        <w:t>esultados aportados por los pacientes.</w:t>
      </w:r>
    </w:p>
    <w:p w:rsidR="004934D6" w:rsidRPr="00155E6D" w:rsidRDefault="004934D6" w:rsidP="00DD3A6E">
      <w:pPr>
        <w:pBdr>
          <w:top w:val="single" w:sz="4" w:space="1" w:color="auto"/>
          <w:left w:val="single" w:sz="4" w:space="4" w:color="auto"/>
          <w:bottom w:val="single" w:sz="4" w:space="31" w:color="auto"/>
          <w:right w:val="single" w:sz="4" w:space="4" w:color="auto"/>
        </w:pBdr>
        <w:ind w:left="0" w:hanging="2"/>
        <w:rPr>
          <w:rFonts w:ascii="Arial" w:hAnsi="Arial" w:cs="Arial"/>
          <w:sz w:val="20"/>
          <w:szCs w:val="20"/>
        </w:rPr>
      </w:pPr>
      <w:r w:rsidRPr="00155E6D">
        <w:rPr>
          <w:rFonts w:ascii="Arial" w:hAnsi="Arial" w:cs="Arial"/>
          <w:b/>
          <w:sz w:val="20"/>
          <w:szCs w:val="20"/>
        </w:rPr>
        <w:t>RE</w:t>
      </w:r>
      <w:r w:rsidRPr="00155E6D">
        <w:rPr>
          <w:rFonts w:ascii="Arial" w:hAnsi="Arial" w:cs="Arial"/>
          <w:sz w:val="20"/>
          <w:szCs w:val="20"/>
        </w:rPr>
        <w:t xml:space="preserve">: </w:t>
      </w:r>
      <w:r w:rsidR="00B173DD" w:rsidRPr="00155E6D">
        <w:rPr>
          <w:rFonts w:ascii="Arial" w:hAnsi="Arial" w:cs="Arial"/>
          <w:sz w:val="20"/>
          <w:szCs w:val="20"/>
        </w:rPr>
        <w:t>R</w:t>
      </w:r>
      <w:r w:rsidRPr="00155E6D">
        <w:rPr>
          <w:rFonts w:ascii="Arial" w:hAnsi="Arial" w:cs="Arial"/>
          <w:sz w:val="20"/>
          <w:szCs w:val="20"/>
        </w:rPr>
        <w:t>espuesta-evaluable</w:t>
      </w:r>
    </w:p>
    <w:p w:rsidR="004934D6" w:rsidRDefault="004934D6" w:rsidP="00DD3A6E">
      <w:pPr>
        <w:pBdr>
          <w:top w:val="single" w:sz="4" w:space="1" w:color="auto"/>
          <w:left w:val="single" w:sz="4" w:space="4" w:color="auto"/>
          <w:bottom w:val="single" w:sz="4" w:space="31" w:color="auto"/>
          <w:right w:val="single" w:sz="4" w:space="4" w:color="auto"/>
        </w:pBdr>
        <w:ind w:left="0" w:hanging="2"/>
        <w:rPr>
          <w:rFonts w:ascii="Arial" w:hAnsi="Arial" w:cs="Arial"/>
          <w:sz w:val="20"/>
          <w:szCs w:val="20"/>
        </w:rPr>
      </w:pPr>
      <w:r>
        <w:rPr>
          <w:rFonts w:ascii="Arial" w:hAnsi="Arial" w:cs="Arial"/>
          <w:b/>
          <w:sz w:val="20"/>
          <w:szCs w:val="20"/>
        </w:rPr>
        <w:t>SNS</w:t>
      </w:r>
      <w:r>
        <w:rPr>
          <w:rFonts w:ascii="Arial" w:hAnsi="Arial" w:cs="Arial"/>
          <w:sz w:val="20"/>
          <w:szCs w:val="20"/>
        </w:rPr>
        <w:t>: Sistema Nacional de Salud</w:t>
      </w:r>
    </w:p>
    <w:p w:rsidR="00F15281" w:rsidRPr="00F15281" w:rsidRDefault="00F15281" w:rsidP="00DD3A6E">
      <w:pPr>
        <w:pBdr>
          <w:top w:val="single" w:sz="4" w:space="1" w:color="auto"/>
          <w:left w:val="single" w:sz="4" w:space="4" w:color="auto"/>
          <w:bottom w:val="single" w:sz="4" w:space="31" w:color="auto"/>
          <w:right w:val="single" w:sz="4" w:space="4" w:color="auto"/>
        </w:pBdr>
        <w:ind w:left="0" w:hanging="2"/>
        <w:rPr>
          <w:rFonts w:ascii="Arial" w:hAnsi="Arial" w:cs="Arial"/>
          <w:b/>
          <w:sz w:val="20"/>
          <w:szCs w:val="20"/>
        </w:rPr>
      </w:pPr>
      <w:r>
        <w:rPr>
          <w:rFonts w:ascii="Arial" w:hAnsi="Arial" w:cs="Arial"/>
          <w:b/>
          <w:sz w:val="20"/>
          <w:szCs w:val="20"/>
        </w:rPr>
        <w:t>TEGI</w:t>
      </w:r>
      <w:r w:rsidRPr="00F15281">
        <w:rPr>
          <w:rFonts w:ascii="Arial" w:hAnsi="Arial" w:cs="Arial"/>
          <w:b/>
          <w:sz w:val="20"/>
          <w:szCs w:val="20"/>
        </w:rPr>
        <w:t xml:space="preserve">: </w:t>
      </w:r>
      <w:r w:rsidRPr="00F15281">
        <w:rPr>
          <w:rFonts w:ascii="Arial" w:hAnsi="Arial" w:cs="Arial"/>
          <w:sz w:val="20"/>
          <w:szCs w:val="20"/>
        </w:rPr>
        <w:t>tumores de estroma gastrointestinal</w:t>
      </w:r>
      <w:r>
        <w:rPr>
          <w:rFonts w:ascii="Arial" w:hAnsi="Arial" w:cs="Arial"/>
          <w:sz w:val="20"/>
          <w:szCs w:val="20"/>
        </w:rPr>
        <w:t>.</w:t>
      </w:r>
    </w:p>
    <w:p w:rsidR="004934D6" w:rsidRDefault="004934D6" w:rsidP="00DD3A6E">
      <w:pPr>
        <w:pBdr>
          <w:top w:val="single" w:sz="4" w:space="1" w:color="auto"/>
          <w:left w:val="single" w:sz="4" w:space="4" w:color="auto"/>
          <w:bottom w:val="single" w:sz="4" w:space="31" w:color="auto"/>
          <w:right w:val="single" w:sz="4" w:space="4" w:color="auto"/>
        </w:pBdr>
        <w:ind w:left="0" w:hanging="2"/>
        <w:rPr>
          <w:rFonts w:ascii="Arial" w:hAnsi="Arial" w:cs="Arial"/>
          <w:sz w:val="20"/>
          <w:szCs w:val="20"/>
        </w:rPr>
      </w:pPr>
      <w:r w:rsidRPr="00E576C4">
        <w:rPr>
          <w:rFonts w:ascii="Arial" w:hAnsi="Arial" w:cs="Arial"/>
          <w:b/>
          <w:sz w:val="20"/>
          <w:szCs w:val="20"/>
        </w:rPr>
        <w:t>TRG</w:t>
      </w:r>
      <w:r w:rsidR="00B173DD">
        <w:rPr>
          <w:rFonts w:ascii="Arial" w:hAnsi="Arial" w:cs="Arial"/>
          <w:sz w:val="20"/>
          <w:szCs w:val="20"/>
        </w:rPr>
        <w:t>: T</w:t>
      </w:r>
      <w:r>
        <w:rPr>
          <w:rFonts w:ascii="Arial" w:hAnsi="Arial" w:cs="Arial"/>
          <w:sz w:val="20"/>
          <w:szCs w:val="20"/>
        </w:rPr>
        <w:t>as</w:t>
      </w:r>
      <w:r w:rsidR="00B173DD">
        <w:rPr>
          <w:rFonts w:ascii="Arial" w:hAnsi="Arial" w:cs="Arial"/>
          <w:sz w:val="20"/>
          <w:szCs w:val="20"/>
        </w:rPr>
        <w:t>a</w:t>
      </w:r>
      <w:r>
        <w:rPr>
          <w:rFonts w:ascii="Arial" w:hAnsi="Arial" w:cs="Arial"/>
          <w:sz w:val="20"/>
          <w:szCs w:val="20"/>
        </w:rPr>
        <w:t xml:space="preserve"> de respuesta global</w:t>
      </w:r>
    </w:p>
    <w:p w:rsidR="00717178" w:rsidRDefault="00717178" w:rsidP="00DD3A6E">
      <w:pPr>
        <w:pBdr>
          <w:top w:val="single" w:sz="4" w:space="1" w:color="auto"/>
          <w:left w:val="single" w:sz="4" w:space="4" w:color="auto"/>
          <w:bottom w:val="single" w:sz="4" w:space="31" w:color="auto"/>
          <w:right w:val="single" w:sz="4" w:space="4" w:color="auto"/>
        </w:pBdr>
        <w:ind w:left="0" w:hanging="2"/>
        <w:rPr>
          <w:rFonts w:ascii="Arial" w:hAnsi="Arial" w:cs="Arial"/>
          <w:b/>
          <w:bCs/>
          <w:position w:val="0"/>
          <w:sz w:val="20"/>
          <w:szCs w:val="20"/>
        </w:rPr>
      </w:pPr>
      <w:r>
        <w:rPr>
          <w:rFonts w:ascii="Arial" w:eastAsia="Arial" w:hAnsi="Arial" w:cs="Arial"/>
          <w:b/>
          <w:color w:val="000000" w:themeColor="text1"/>
          <w:sz w:val="20"/>
          <w:szCs w:val="20"/>
        </w:rPr>
        <w:t xml:space="preserve">TSS: </w:t>
      </w:r>
      <w:r>
        <w:rPr>
          <w:rFonts w:ascii="Arial" w:eastAsia="Arial" w:hAnsi="Arial" w:cs="Arial"/>
          <w:color w:val="000000" w:themeColor="text1"/>
          <w:sz w:val="20"/>
          <w:szCs w:val="20"/>
        </w:rPr>
        <w:t xml:space="preserve">Total Symptom Score </w:t>
      </w:r>
    </w:p>
    <w:p w:rsidR="004934D6" w:rsidRDefault="004934D6" w:rsidP="00E576C4">
      <w:pPr>
        <w:pBdr>
          <w:top w:val="single" w:sz="4" w:space="1" w:color="auto"/>
          <w:left w:val="single" w:sz="4" w:space="4" w:color="auto"/>
          <w:bottom w:val="single" w:sz="4" w:space="31" w:color="auto"/>
          <w:right w:val="single" w:sz="4" w:space="4" w:color="auto"/>
        </w:pBdr>
        <w:ind w:left="0" w:hanging="2"/>
        <w:rPr>
          <w:rFonts w:ascii="Arial" w:hAnsi="Arial" w:cs="Arial"/>
          <w:sz w:val="20"/>
          <w:szCs w:val="20"/>
        </w:rPr>
      </w:pPr>
    </w:p>
    <w:p w:rsidR="00B74082" w:rsidRDefault="00B74082">
      <w:pPr>
        <w:ind w:left="0" w:hanging="2"/>
        <w:rPr>
          <w:rFonts w:ascii="Arial" w:eastAsia="Arial" w:hAnsi="Arial" w:cs="Arial"/>
          <w:sz w:val="20"/>
          <w:szCs w:val="20"/>
        </w:rPr>
      </w:pPr>
    </w:p>
    <w:p w:rsidR="00B74082" w:rsidRDefault="00DA20C8">
      <w:pPr>
        <w:ind w:left="0" w:hanging="2"/>
        <w:rPr>
          <w:rFonts w:ascii="Arial" w:eastAsia="Arial" w:hAnsi="Arial" w:cs="Arial"/>
          <w:sz w:val="20"/>
          <w:szCs w:val="20"/>
        </w:rPr>
      </w:pPr>
      <w:r>
        <w:rPr>
          <w:rFonts w:ascii="Arial" w:eastAsia="Arial" w:hAnsi="Arial" w:cs="Arial"/>
          <w:b/>
          <w:sz w:val="20"/>
          <w:szCs w:val="20"/>
        </w:rPr>
        <w:t>Nota:</w:t>
      </w:r>
      <w:r>
        <w:rPr>
          <w:rFonts w:ascii="Arial" w:eastAsia="Arial" w:hAnsi="Arial" w:cs="Arial"/>
          <w:sz w:val="20"/>
          <w:szCs w:val="20"/>
        </w:rPr>
        <w:t xml:space="preserve"> para acceder a instrucciones e hipervínculos descargar versión completa.</w:t>
      </w:r>
    </w:p>
    <w:p w:rsidR="00B74082" w:rsidRDefault="00B74082">
      <w:pPr>
        <w:ind w:left="0" w:hanging="2"/>
        <w:rPr>
          <w:rFonts w:ascii="Arial" w:eastAsia="Arial" w:hAnsi="Arial" w:cs="Arial"/>
          <w:sz w:val="20"/>
          <w:szCs w:val="20"/>
        </w:rPr>
      </w:pPr>
    </w:p>
    <w:p w:rsidR="00B74082" w:rsidRDefault="00DA20C8">
      <w:pPr>
        <w:ind w:left="0" w:hanging="2"/>
        <w:rPr>
          <w:rFonts w:ascii="Arial" w:eastAsia="Arial" w:hAnsi="Arial" w:cs="Arial"/>
          <w:sz w:val="20"/>
          <w:szCs w:val="20"/>
        </w:rPr>
      </w:pPr>
      <w:r>
        <w:rPr>
          <w:rFonts w:ascii="Arial" w:eastAsia="Arial" w:hAnsi="Arial" w:cs="Arial"/>
          <w:b/>
          <w:sz w:val="20"/>
          <w:szCs w:val="20"/>
        </w:rPr>
        <w:t>Citar este informe como:</w:t>
      </w:r>
    </w:p>
    <w:p w:rsidR="00B74082" w:rsidRDefault="00B74082">
      <w:pPr>
        <w:ind w:left="0" w:hanging="2"/>
        <w:rPr>
          <w:rFonts w:ascii="Arial" w:eastAsia="Arial" w:hAnsi="Arial" w:cs="Arial"/>
          <w:sz w:val="20"/>
          <w:szCs w:val="20"/>
        </w:rPr>
      </w:pPr>
    </w:p>
    <w:p w:rsidR="00B74082" w:rsidRDefault="00B74082">
      <w:pPr>
        <w:ind w:left="0" w:hanging="2"/>
        <w:jc w:val="right"/>
        <w:rPr>
          <w:rFonts w:ascii="Arial" w:eastAsia="Arial" w:hAnsi="Arial" w:cs="Arial"/>
          <w:color w:val="0000FF"/>
          <w:sz w:val="20"/>
          <w:szCs w:val="20"/>
          <w:u w:val="single"/>
        </w:rPr>
      </w:pPr>
    </w:p>
    <w:p w:rsidR="00B74082" w:rsidRDefault="00B74082">
      <w:pPr>
        <w:ind w:left="0" w:hanging="2"/>
        <w:rPr>
          <w:rFonts w:ascii="Arial" w:eastAsia="Arial" w:hAnsi="Arial" w:cs="Arial"/>
          <w:sz w:val="20"/>
          <w:szCs w:val="20"/>
        </w:rPr>
      </w:pPr>
      <w:bookmarkStart w:id="1" w:name="_heading=h.gjdgxs" w:colFirst="0" w:colLast="0"/>
      <w:bookmarkEnd w:id="1"/>
    </w:p>
    <w:tbl>
      <w:tblPr>
        <w:tblStyle w:val="39"/>
        <w:tblW w:w="88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90"/>
      </w:tblGrid>
      <w:tr w:rsidR="00B74082">
        <w:trPr>
          <w:trHeight w:val="131"/>
        </w:trPr>
        <w:tc>
          <w:tcPr>
            <w:tcW w:w="8890" w:type="dxa"/>
            <w:tcBorders>
              <w:top w:val="single" w:sz="4" w:space="0" w:color="000000"/>
              <w:left w:val="single" w:sz="4" w:space="0" w:color="000000"/>
              <w:bottom w:val="single" w:sz="4" w:space="0" w:color="000000"/>
              <w:right w:val="single" w:sz="4" w:space="0" w:color="000000"/>
            </w:tcBorders>
            <w:shd w:val="clear" w:color="auto" w:fill="BFBFBF"/>
          </w:tcPr>
          <w:p w:rsidR="00B74082" w:rsidRDefault="00DA20C8">
            <w:pPr>
              <w:keepNext/>
              <w:pBdr>
                <w:top w:val="nil"/>
                <w:left w:val="nil"/>
                <w:bottom w:val="nil"/>
                <w:right w:val="nil"/>
                <w:between w:val="nil"/>
              </w:pBdr>
              <w:shd w:val="clear" w:color="auto" w:fill="A6A6A6"/>
              <w:spacing w:line="240" w:lineRule="auto"/>
              <w:ind w:left="0" w:hanging="2"/>
              <w:rPr>
                <w:rFonts w:ascii="Arial" w:eastAsia="Arial" w:hAnsi="Arial" w:cs="Arial"/>
                <w:b/>
                <w:color w:val="000000"/>
                <w:sz w:val="20"/>
                <w:szCs w:val="20"/>
              </w:rPr>
            </w:pPr>
            <w:r>
              <w:rPr>
                <w:rFonts w:ascii="Arial" w:eastAsia="Arial" w:hAnsi="Arial" w:cs="Arial"/>
                <w:b/>
                <w:color w:val="000000"/>
                <w:sz w:val="20"/>
                <w:szCs w:val="20"/>
              </w:rPr>
              <w:t>1.- IDENTIFICACIÓN DEL FÁRMACO Y AUTORES DEL INFORME</w:t>
            </w:r>
          </w:p>
        </w:tc>
      </w:tr>
    </w:tbl>
    <w:p w:rsidR="00B74082" w:rsidRDefault="00B74082">
      <w:pPr>
        <w:ind w:left="0" w:hanging="2"/>
        <w:jc w:val="both"/>
        <w:rPr>
          <w:rFonts w:ascii="Arial" w:eastAsia="Arial" w:hAnsi="Arial" w:cs="Arial"/>
          <w:sz w:val="20"/>
          <w:szCs w:val="20"/>
        </w:rPr>
      </w:pPr>
    </w:p>
    <w:p w:rsidR="00B74082" w:rsidRDefault="00DA20C8">
      <w:pPr>
        <w:ind w:left="0" w:hanging="2"/>
        <w:jc w:val="both"/>
        <w:rPr>
          <w:rFonts w:ascii="Arial" w:eastAsia="Arial" w:hAnsi="Arial" w:cs="Arial"/>
          <w:sz w:val="20"/>
          <w:szCs w:val="20"/>
        </w:rPr>
      </w:pPr>
      <w:r>
        <w:rPr>
          <w:rFonts w:ascii="Arial" w:eastAsia="Arial" w:hAnsi="Arial" w:cs="Arial"/>
          <w:b/>
          <w:sz w:val="20"/>
          <w:szCs w:val="20"/>
        </w:rPr>
        <w:t>Fármaco</w:t>
      </w:r>
      <w:r>
        <w:rPr>
          <w:rFonts w:ascii="Arial" w:eastAsia="Arial" w:hAnsi="Arial" w:cs="Arial"/>
          <w:sz w:val="20"/>
          <w:szCs w:val="20"/>
        </w:rPr>
        <w:t xml:space="preserve">: AYVAKYT® (Avapritinib) </w:t>
      </w:r>
    </w:p>
    <w:p w:rsidR="00B74082" w:rsidRDefault="00DA20C8">
      <w:pPr>
        <w:keepLines/>
        <w:ind w:left="0" w:hanging="2"/>
        <w:jc w:val="both"/>
        <w:rPr>
          <w:rFonts w:ascii="Arial" w:eastAsia="Arial" w:hAnsi="Arial" w:cs="Arial"/>
          <w:sz w:val="20"/>
          <w:szCs w:val="20"/>
        </w:rPr>
      </w:pPr>
      <w:r>
        <w:rPr>
          <w:rFonts w:ascii="Arial" w:eastAsia="Arial" w:hAnsi="Arial" w:cs="Arial"/>
          <w:b/>
          <w:sz w:val="20"/>
          <w:szCs w:val="20"/>
        </w:rPr>
        <w:t>Indicación clínica solicitada:</w:t>
      </w:r>
      <w:r>
        <w:rPr>
          <w:rFonts w:ascii="Arial" w:eastAsia="Arial" w:hAnsi="Arial" w:cs="Arial"/>
          <w:sz w:val="20"/>
          <w:szCs w:val="20"/>
        </w:rPr>
        <w:t xml:space="preserve"> Monoterapia para el tratamiento de pacientes adultos con mastocitosis sistémica agresiva (MSA), mastocitosis sistémica con neoplasia hematológica asociada (MS-NHA) o leucemia mastocítica (LM) después de, al menos, un tratamiento sistémico.</w:t>
      </w:r>
    </w:p>
    <w:p w:rsidR="00B74082" w:rsidRDefault="00DA20C8">
      <w:pPr>
        <w:ind w:left="0" w:hanging="2"/>
        <w:jc w:val="both"/>
        <w:rPr>
          <w:rFonts w:ascii="Arial" w:eastAsia="Arial" w:hAnsi="Arial" w:cs="Arial"/>
          <w:sz w:val="20"/>
          <w:szCs w:val="20"/>
        </w:rPr>
      </w:pPr>
      <w:r>
        <w:rPr>
          <w:rFonts w:ascii="Arial" w:eastAsia="Arial" w:hAnsi="Arial" w:cs="Arial"/>
          <w:b/>
          <w:sz w:val="20"/>
          <w:szCs w:val="20"/>
        </w:rPr>
        <w:t xml:space="preserve">Autores / Revisores: </w:t>
      </w:r>
    </w:p>
    <w:p w:rsidR="00B74082" w:rsidRDefault="00DA20C8">
      <w:pPr>
        <w:ind w:left="0" w:hanging="2"/>
        <w:jc w:val="both"/>
        <w:rPr>
          <w:rFonts w:ascii="Arial" w:eastAsia="Arial" w:hAnsi="Arial" w:cs="Arial"/>
          <w:color w:val="C00000"/>
          <w:sz w:val="20"/>
          <w:szCs w:val="20"/>
        </w:rPr>
      </w:pPr>
      <w:r>
        <w:rPr>
          <w:rFonts w:ascii="Arial" w:eastAsia="Arial" w:hAnsi="Arial" w:cs="Arial"/>
          <w:b/>
          <w:sz w:val="20"/>
          <w:szCs w:val="20"/>
        </w:rPr>
        <w:t xml:space="preserve">Tipo de informe: </w:t>
      </w:r>
      <w:r>
        <w:rPr>
          <w:rFonts w:ascii="Arial" w:eastAsia="Arial" w:hAnsi="Arial" w:cs="Arial"/>
          <w:sz w:val="20"/>
          <w:szCs w:val="20"/>
        </w:rPr>
        <w:t>Informe compartido GENESIS-SEFH</w:t>
      </w:r>
    </w:p>
    <w:p w:rsidR="00B74082" w:rsidRDefault="00DA20C8">
      <w:pPr>
        <w:ind w:left="0" w:hanging="2"/>
        <w:jc w:val="both"/>
        <w:rPr>
          <w:rFonts w:ascii="Arial" w:eastAsia="Arial" w:hAnsi="Arial" w:cs="Arial"/>
          <w:sz w:val="20"/>
          <w:szCs w:val="20"/>
        </w:rPr>
      </w:pPr>
      <w:r>
        <w:rPr>
          <w:rFonts w:ascii="Arial" w:eastAsia="Arial" w:hAnsi="Arial" w:cs="Arial"/>
          <w:b/>
          <w:sz w:val="20"/>
          <w:szCs w:val="20"/>
        </w:rPr>
        <w:t xml:space="preserve">Declaración de conflicto de Intereses de los autores: </w:t>
      </w:r>
      <w:r>
        <w:rPr>
          <w:rFonts w:ascii="Arial" w:eastAsia="Arial" w:hAnsi="Arial" w:cs="Arial"/>
          <w:sz w:val="20"/>
          <w:szCs w:val="20"/>
        </w:rPr>
        <w:t>Ver declaración en anexo al final del informe.</w:t>
      </w:r>
    </w:p>
    <w:p w:rsidR="00B74082" w:rsidRDefault="00B74082">
      <w:pPr>
        <w:tabs>
          <w:tab w:val="left" w:pos="3343"/>
        </w:tabs>
        <w:ind w:left="0" w:hanging="2"/>
        <w:jc w:val="both"/>
        <w:rPr>
          <w:rFonts w:ascii="Arial" w:eastAsia="Arial" w:hAnsi="Arial" w:cs="Arial"/>
          <w:sz w:val="20"/>
          <w:szCs w:val="20"/>
        </w:rPr>
      </w:pPr>
    </w:p>
    <w:p w:rsidR="00B74082" w:rsidRDefault="00DA20C8">
      <w:pPr>
        <w:tabs>
          <w:tab w:val="left" w:pos="3343"/>
        </w:tabs>
        <w:ind w:left="0" w:hanging="2"/>
        <w:jc w:val="both"/>
        <w:rPr>
          <w:rFonts w:ascii="Arial" w:eastAsia="Arial" w:hAnsi="Arial" w:cs="Arial"/>
          <w:sz w:val="20"/>
          <w:szCs w:val="20"/>
        </w:rPr>
      </w:pPr>
      <w:r>
        <w:rPr>
          <w:rFonts w:ascii="Arial" w:eastAsia="Arial" w:hAnsi="Arial" w:cs="Arial"/>
          <w:sz w:val="20"/>
          <w:szCs w:val="20"/>
        </w:rPr>
        <w:t>Para la elaboración del informe se ha utilizado el Programa MADRE versión 4.0</w:t>
      </w:r>
      <w:r w:rsidR="004868D6">
        <w:rPr>
          <w:rFonts w:ascii="Arial" w:eastAsia="Arial" w:hAnsi="Arial" w:cs="Arial"/>
          <w:sz w:val="20"/>
          <w:szCs w:val="20"/>
          <w:vertAlign w:val="superscript"/>
        </w:rPr>
        <w:t>a</w:t>
      </w:r>
      <w:r>
        <w:rPr>
          <w:rFonts w:ascii="Arial" w:eastAsia="Arial" w:hAnsi="Arial" w:cs="Arial"/>
          <w:sz w:val="20"/>
          <w:szCs w:val="20"/>
        </w:rPr>
        <w:t xml:space="preserve"> y Guía EE e IP</w:t>
      </w:r>
      <w:r w:rsidR="004868D6">
        <w:rPr>
          <w:rFonts w:ascii="Arial" w:eastAsia="Arial" w:hAnsi="Arial" w:cs="Arial"/>
          <w:sz w:val="20"/>
          <w:szCs w:val="20"/>
          <w:vertAlign w:val="superscript"/>
        </w:rPr>
        <w:t>b</w:t>
      </w:r>
    </w:p>
    <w:p w:rsidR="00B74082" w:rsidRDefault="00B74082">
      <w:pPr>
        <w:ind w:left="0" w:hanging="2"/>
        <w:jc w:val="both"/>
        <w:rPr>
          <w:rFonts w:ascii="Arial" w:eastAsia="Arial" w:hAnsi="Arial" w:cs="Arial"/>
          <w:color w:val="0000FF"/>
          <w:sz w:val="20"/>
          <w:szCs w:val="20"/>
        </w:rPr>
      </w:pPr>
      <w:bookmarkStart w:id="2" w:name="_heading=h.30j0zll" w:colFirst="0" w:colLast="0"/>
      <w:bookmarkEnd w:id="2"/>
    </w:p>
    <w:tbl>
      <w:tblPr>
        <w:tblStyle w:val="38"/>
        <w:tblW w:w="88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90"/>
      </w:tblGrid>
      <w:tr w:rsidR="00B74082">
        <w:trPr>
          <w:trHeight w:val="90"/>
        </w:trPr>
        <w:tc>
          <w:tcPr>
            <w:tcW w:w="8890" w:type="dxa"/>
            <w:tcBorders>
              <w:top w:val="single" w:sz="4" w:space="0" w:color="000000"/>
              <w:left w:val="single" w:sz="4" w:space="0" w:color="000000"/>
              <w:bottom w:val="single" w:sz="4" w:space="0" w:color="000000"/>
              <w:right w:val="single" w:sz="4" w:space="0" w:color="000000"/>
            </w:tcBorders>
            <w:shd w:val="clear" w:color="auto" w:fill="B3B3B3"/>
          </w:tcPr>
          <w:p w:rsidR="00B74082" w:rsidRDefault="00DA20C8">
            <w:pPr>
              <w:keepNext/>
              <w:pBdr>
                <w:top w:val="nil"/>
                <w:left w:val="nil"/>
                <w:bottom w:val="nil"/>
                <w:right w:val="nil"/>
                <w:between w:val="nil"/>
              </w:pBdr>
              <w:shd w:val="clear" w:color="auto" w:fill="A6A6A6"/>
              <w:spacing w:line="240" w:lineRule="auto"/>
              <w:ind w:left="0" w:hanging="2"/>
              <w:rPr>
                <w:rFonts w:ascii="Arial" w:eastAsia="Arial" w:hAnsi="Arial" w:cs="Arial"/>
                <w:b/>
                <w:color w:val="000000"/>
                <w:sz w:val="20"/>
                <w:szCs w:val="20"/>
              </w:rPr>
            </w:pPr>
            <w:r>
              <w:rPr>
                <w:rFonts w:ascii="Arial" w:eastAsia="Arial" w:hAnsi="Arial" w:cs="Arial"/>
                <w:b/>
                <w:color w:val="000000"/>
                <w:sz w:val="20"/>
                <w:szCs w:val="20"/>
              </w:rPr>
              <w:t>2.- SOLICITUD Y DATOS DEL PROCESO DE EVALUACIÓN</w:t>
            </w:r>
          </w:p>
        </w:tc>
      </w:tr>
    </w:tbl>
    <w:p w:rsidR="00B74082" w:rsidRDefault="00B74082">
      <w:pPr>
        <w:ind w:left="0" w:hanging="2"/>
        <w:jc w:val="both"/>
        <w:rPr>
          <w:rFonts w:ascii="Arial" w:eastAsia="Arial" w:hAnsi="Arial" w:cs="Arial"/>
          <w:sz w:val="20"/>
          <w:szCs w:val="20"/>
        </w:rPr>
      </w:pPr>
    </w:p>
    <w:p w:rsidR="00105466" w:rsidRDefault="00DA20C8" w:rsidP="00105466">
      <w:pPr>
        <w:ind w:left="0" w:hanging="2"/>
        <w:jc w:val="both"/>
      </w:pPr>
      <w:r>
        <w:rPr>
          <w:rFonts w:ascii="Arial" w:eastAsia="Arial" w:hAnsi="Arial" w:cs="Arial"/>
          <w:b/>
          <w:sz w:val="20"/>
          <w:szCs w:val="20"/>
        </w:rPr>
        <w:t xml:space="preserve">Justificación de la solicitud: </w:t>
      </w:r>
      <w:r w:rsidR="00105466">
        <w:rPr>
          <w:rFonts w:ascii="Arial" w:hAnsi="Arial" w:cs="Arial"/>
          <w:b/>
          <w:bCs/>
          <w:sz w:val="20"/>
          <w:szCs w:val="20"/>
        </w:rPr>
        <w:t>Justificación de la solicitud:</w:t>
      </w:r>
      <w:r w:rsidR="00105466">
        <w:rPr>
          <w:rFonts w:ascii="Arial" w:hAnsi="Arial" w:cs="Arial"/>
          <w:sz w:val="20"/>
          <w:szCs w:val="20"/>
        </w:rPr>
        <w:t xml:space="preserve"> Revisión a demanda del grupo GENESIS, por tratarse de una indicación nueva para este fármaco, cuyo lugar en terapéutica precisa evaluación en el entorno hospitalario</w:t>
      </w:r>
    </w:p>
    <w:p w:rsidR="00B74082" w:rsidRDefault="00B74082" w:rsidP="00105466">
      <w:pPr>
        <w:ind w:left="0" w:hanging="2"/>
        <w:jc w:val="both"/>
        <w:rPr>
          <w:rFonts w:ascii="Arial" w:eastAsia="Arial" w:hAnsi="Arial" w:cs="Arial"/>
          <w:sz w:val="20"/>
          <w:szCs w:val="20"/>
        </w:rPr>
      </w:pPr>
    </w:p>
    <w:p w:rsidR="00B74082" w:rsidRDefault="00B74082">
      <w:pPr>
        <w:ind w:left="0" w:hanging="2"/>
        <w:jc w:val="both"/>
        <w:rPr>
          <w:rFonts w:ascii="Arial" w:eastAsia="Arial" w:hAnsi="Arial" w:cs="Arial"/>
          <w:sz w:val="20"/>
          <w:szCs w:val="20"/>
        </w:rPr>
      </w:pPr>
      <w:bookmarkStart w:id="3" w:name="_heading=h.1fob9te" w:colFirst="0" w:colLast="0"/>
      <w:bookmarkEnd w:id="3"/>
    </w:p>
    <w:tbl>
      <w:tblPr>
        <w:tblStyle w:val="37"/>
        <w:tblW w:w="88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59"/>
      </w:tblGrid>
      <w:tr w:rsidR="00B74082">
        <w:tc>
          <w:tcPr>
            <w:tcW w:w="8859" w:type="dxa"/>
            <w:tcBorders>
              <w:top w:val="single" w:sz="4" w:space="0" w:color="000000"/>
              <w:left w:val="single" w:sz="4" w:space="0" w:color="000000"/>
              <w:bottom w:val="single" w:sz="4" w:space="0" w:color="000000"/>
              <w:right w:val="single" w:sz="4" w:space="0" w:color="000000"/>
            </w:tcBorders>
            <w:shd w:val="clear" w:color="auto" w:fill="B3B3B3"/>
          </w:tcPr>
          <w:p w:rsidR="00B74082" w:rsidRDefault="00DA20C8">
            <w:pPr>
              <w:keepNext/>
              <w:pBdr>
                <w:top w:val="nil"/>
                <w:left w:val="nil"/>
                <w:bottom w:val="nil"/>
                <w:right w:val="nil"/>
                <w:between w:val="nil"/>
              </w:pBdr>
              <w:shd w:val="clear" w:color="auto" w:fill="A6A6A6"/>
              <w:spacing w:line="240" w:lineRule="auto"/>
              <w:ind w:left="0" w:hanging="2"/>
              <w:rPr>
                <w:rFonts w:ascii="Arial" w:eastAsia="Arial" w:hAnsi="Arial" w:cs="Arial"/>
                <w:b/>
                <w:color w:val="000000"/>
                <w:sz w:val="20"/>
                <w:szCs w:val="20"/>
              </w:rPr>
            </w:pPr>
            <w:r>
              <w:rPr>
                <w:rFonts w:ascii="Arial" w:eastAsia="Arial" w:hAnsi="Arial" w:cs="Arial"/>
                <w:b/>
                <w:color w:val="000000"/>
                <w:sz w:val="20"/>
                <w:szCs w:val="20"/>
              </w:rPr>
              <w:t>3.- AREA DESCRIPTIVA DEL MEDICAMENTO Y DEL PROBLEMA DE SALUD</w:t>
            </w:r>
          </w:p>
        </w:tc>
      </w:tr>
    </w:tbl>
    <w:p w:rsidR="00B74082" w:rsidRDefault="00B74082">
      <w:pPr>
        <w:ind w:left="0" w:hanging="2"/>
        <w:rPr>
          <w:rFonts w:ascii="Arial" w:eastAsia="Arial" w:hAnsi="Arial" w:cs="Arial"/>
          <w:sz w:val="20"/>
          <w:szCs w:val="20"/>
        </w:rPr>
      </w:pPr>
      <w:bookmarkStart w:id="4" w:name="_heading=h.3znysh7" w:colFirst="0" w:colLast="0"/>
      <w:bookmarkEnd w:id="4"/>
    </w:p>
    <w:p w:rsidR="00B74082" w:rsidRDefault="00DA20C8">
      <w:pPr>
        <w:keepNext/>
        <w:pBdr>
          <w:top w:val="single" w:sz="4" w:space="1" w:color="000000"/>
          <w:left w:val="single" w:sz="4" w:space="4" w:color="000000"/>
          <w:bottom w:val="single" w:sz="4" w:space="1" w:color="000000"/>
          <w:right w:val="single" w:sz="4" w:space="2"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3.1 Área descriptiva del medicamento</w:t>
      </w:r>
    </w:p>
    <w:p w:rsidR="00B74082" w:rsidRDefault="00B74082">
      <w:pPr>
        <w:ind w:left="0" w:hanging="2"/>
        <w:rPr>
          <w:rFonts w:ascii="Arial" w:eastAsia="Arial" w:hAnsi="Arial" w:cs="Arial"/>
          <w:sz w:val="20"/>
          <w:szCs w:val="20"/>
        </w:rPr>
      </w:pPr>
    </w:p>
    <w:p w:rsidR="00B74082" w:rsidRDefault="00DA20C8">
      <w:pPr>
        <w:ind w:left="0" w:hanging="2"/>
        <w:rPr>
          <w:rFonts w:ascii="Arial" w:eastAsia="Arial" w:hAnsi="Arial" w:cs="Arial"/>
          <w:sz w:val="20"/>
          <w:szCs w:val="20"/>
        </w:rPr>
      </w:pPr>
      <w:r>
        <w:rPr>
          <w:rFonts w:ascii="Arial" w:eastAsia="Arial" w:hAnsi="Arial" w:cs="Arial"/>
          <w:b/>
          <w:sz w:val="20"/>
          <w:szCs w:val="20"/>
        </w:rPr>
        <w:t>Nombre genérico</w:t>
      </w:r>
      <w:r>
        <w:rPr>
          <w:rFonts w:ascii="Arial" w:eastAsia="Arial" w:hAnsi="Arial" w:cs="Arial"/>
          <w:sz w:val="20"/>
          <w:szCs w:val="20"/>
        </w:rPr>
        <w:t>: Avapritinib</w:t>
      </w:r>
    </w:p>
    <w:p w:rsidR="00B74082" w:rsidRDefault="00DA20C8">
      <w:pPr>
        <w:ind w:left="0" w:hanging="2"/>
        <w:rPr>
          <w:rFonts w:ascii="Arial" w:eastAsia="Arial" w:hAnsi="Arial" w:cs="Arial"/>
          <w:sz w:val="20"/>
          <w:szCs w:val="20"/>
        </w:rPr>
      </w:pPr>
      <w:r>
        <w:rPr>
          <w:rFonts w:ascii="Arial" w:eastAsia="Arial" w:hAnsi="Arial" w:cs="Arial"/>
          <w:b/>
          <w:sz w:val="20"/>
          <w:szCs w:val="20"/>
        </w:rPr>
        <w:t>Nombre comercial</w:t>
      </w:r>
      <w:r>
        <w:rPr>
          <w:rFonts w:ascii="Arial" w:eastAsia="Arial" w:hAnsi="Arial" w:cs="Arial"/>
          <w:sz w:val="20"/>
          <w:szCs w:val="20"/>
        </w:rPr>
        <w:t>: AYVAKYT®</w:t>
      </w:r>
    </w:p>
    <w:p w:rsidR="00B74082" w:rsidRDefault="00DA20C8">
      <w:pPr>
        <w:ind w:left="0" w:hanging="2"/>
        <w:rPr>
          <w:rFonts w:ascii="Arial" w:eastAsia="Arial" w:hAnsi="Arial" w:cs="Arial"/>
          <w:sz w:val="20"/>
          <w:szCs w:val="20"/>
        </w:rPr>
      </w:pPr>
      <w:r>
        <w:rPr>
          <w:rFonts w:ascii="Arial" w:eastAsia="Arial" w:hAnsi="Arial" w:cs="Arial"/>
          <w:b/>
          <w:sz w:val="20"/>
          <w:szCs w:val="20"/>
        </w:rPr>
        <w:t>Laboratorio</w:t>
      </w:r>
      <w:r>
        <w:rPr>
          <w:rFonts w:ascii="Arial" w:eastAsia="Arial" w:hAnsi="Arial" w:cs="Arial"/>
          <w:sz w:val="20"/>
          <w:szCs w:val="20"/>
        </w:rPr>
        <w:t>: Blueprint Medicines</w:t>
      </w:r>
    </w:p>
    <w:p w:rsidR="00B74082" w:rsidRDefault="00DA20C8">
      <w:pPr>
        <w:ind w:left="0" w:hanging="2"/>
        <w:rPr>
          <w:rFonts w:ascii="Arial" w:eastAsia="Arial" w:hAnsi="Arial" w:cs="Arial"/>
          <w:sz w:val="20"/>
          <w:szCs w:val="20"/>
        </w:rPr>
      </w:pPr>
      <w:r>
        <w:rPr>
          <w:rFonts w:ascii="Arial" w:eastAsia="Arial" w:hAnsi="Arial" w:cs="Arial"/>
          <w:b/>
          <w:sz w:val="20"/>
          <w:szCs w:val="20"/>
        </w:rPr>
        <w:t>Grupo terapéutico</w:t>
      </w:r>
      <w:r>
        <w:rPr>
          <w:rFonts w:ascii="Arial" w:eastAsia="Arial" w:hAnsi="Arial" w:cs="Arial"/>
          <w:sz w:val="20"/>
          <w:szCs w:val="20"/>
        </w:rPr>
        <w:t xml:space="preserve">. Denominación: Otros inhibidores de la proteín-kinasa                            Código ATC: L01EX18  </w:t>
      </w:r>
    </w:p>
    <w:p w:rsidR="00B74082" w:rsidRDefault="00DA20C8">
      <w:pPr>
        <w:ind w:left="0" w:hanging="2"/>
        <w:rPr>
          <w:rFonts w:ascii="Arial" w:eastAsia="Arial" w:hAnsi="Arial" w:cs="Arial"/>
          <w:sz w:val="20"/>
          <w:szCs w:val="20"/>
        </w:rPr>
      </w:pPr>
      <w:r>
        <w:rPr>
          <w:rFonts w:ascii="Arial" w:eastAsia="Arial" w:hAnsi="Arial" w:cs="Arial"/>
          <w:b/>
          <w:sz w:val="20"/>
          <w:szCs w:val="20"/>
        </w:rPr>
        <w:t>Vía de administración</w:t>
      </w:r>
      <w:r>
        <w:rPr>
          <w:rFonts w:ascii="Arial" w:eastAsia="Arial" w:hAnsi="Arial" w:cs="Arial"/>
          <w:sz w:val="20"/>
          <w:szCs w:val="20"/>
        </w:rPr>
        <w:t xml:space="preserve">: Oral </w:t>
      </w:r>
    </w:p>
    <w:p w:rsidR="00B74082" w:rsidRDefault="00DA20C8">
      <w:pPr>
        <w:ind w:left="0" w:hanging="2"/>
        <w:jc w:val="both"/>
        <w:rPr>
          <w:rFonts w:ascii="Arial" w:eastAsia="Arial" w:hAnsi="Arial" w:cs="Arial"/>
          <w:sz w:val="20"/>
          <w:szCs w:val="20"/>
        </w:rPr>
      </w:pPr>
      <w:r>
        <w:rPr>
          <w:rFonts w:ascii="Arial" w:eastAsia="Arial" w:hAnsi="Arial" w:cs="Arial"/>
          <w:b/>
          <w:sz w:val="20"/>
          <w:szCs w:val="20"/>
        </w:rPr>
        <w:t>Tipo de dispensación</w:t>
      </w:r>
      <w:r>
        <w:rPr>
          <w:rFonts w:ascii="Arial" w:eastAsia="Arial" w:hAnsi="Arial" w:cs="Arial"/>
          <w:sz w:val="20"/>
          <w:szCs w:val="20"/>
        </w:rPr>
        <w:t>: Dispensación hospitalaria</w:t>
      </w:r>
    </w:p>
    <w:p w:rsidR="00B74082" w:rsidRDefault="00DA20C8">
      <w:pPr>
        <w:pBdr>
          <w:top w:val="nil"/>
          <w:left w:val="nil"/>
          <w:bottom w:val="nil"/>
          <w:right w:val="nil"/>
          <w:between w:val="nil"/>
        </w:pBdr>
        <w:tabs>
          <w:tab w:val="center" w:pos="4252"/>
          <w:tab w:val="right" w:pos="8504"/>
        </w:tabs>
        <w:spacing w:line="240" w:lineRule="auto"/>
        <w:ind w:left="0" w:hanging="2"/>
        <w:jc w:val="both"/>
        <w:rPr>
          <w:rFonts w:ascii="Arial" w:eastAsia="Arial" w:hAnsi="Arial" w:cs="Arial"/>
          <w:color w:val="000000"/>
        </w:rPr>
      </w:pPr>
      <w:r>
        <w:rPr>
          <w:rFonts w:ascii="Arial" w:eastAsia="Arial" w:hAnsi="Arial" w:cs="Arial"/>
          <w:b/>
          <w:color w:val="000000"/>
        </w:rPr>
        <w:t>Información de registro</w:t>
      </w:r>
      <w:r>
        <w:rPr>
          <w:rFonts w:ascii="Arial" w:eastAsia="Arial" w:hAnsi="Arial" w:cs="Arial"/>
          <w:color w:val="000000"/>
        </w:rPr>
        <w:t>:</w:t>
      </w:r>
      <w:r>
        <w:rPr>
          <w:rFonts w:ascii="Arial" w:eastAsia="Arial" w:hAnsi="Arial" w:cs="Arial"/>
          <w:sz w:val="20"/>
          <w:szCs w:val="20"/>
        </w:rPr>
        <w:t xml:space="preserve"> Medicamento huérfano. Solicitud de ampliación de indicación en medicamento con indicación previa aprobada.</w:t>
      </w:r>
      <w:r>
        <w:rPr>
          <w:rFonts w:ascii="Arial" w:eastAsia="Arial" w:hAnsi="Arial" w:cs="Arial"/>
          <w:color w:val="000000"/>
        </w:rPr>
        <w:t xml:space="preserve"> </w:t>
      </w:r>
    </w:p>
    <w:p w:rsidR="00B74082" w:rsidRDefault="00B74082">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rPr>
      </w:pPr>
    </w:p>
    <w:tbl>
      <w:tblPr>
        <w:tblStyle w:val="36"/>
        <w:tblW w:w="8962"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4"/>
        <w:gridCol w:w="1238"/>
        <w:gridCol w:w="965"/>
        <w:gridCol w:w="2007"/>
        <w:gridCol w:w="2188"/>
      </w:tblGrid>
      <w:tr w:rsidR="00B74082">
        <w:trPr>
          <w:cantSplit/>
        </w:trPr>
        <w:tc>
          <w:tcPr>
            <w:tcW w:w="8962" w:type="dxa"/>
            <w:gridSpan w:val="5"/>
            <w:shd w:val="clear" w:color="auto" w:fill="CCFFCC"/>
          </w:tcPr>
          <w:p w:rsidR="00B74082" w:rsidRDefault="00DA20C8">
            <w:pPr>
              <w:ind w:left="0" w:hanging="2"/>
              <w:jc w:val="both"/>
              <w:rPr>
                <w:rFonts w:ascii="Arial" w:eastAsia="Arial" w:hAnsi="Arial" w:cs="Arial"/>
                <w:sz w:val="16"/>
                <w:szCs w:val="16"/>
              </w:rPr>
            </w:pPr>
            <w:r>
              <w:rPr>
                <w:rFonts w:ascii="Arial" w:eastAsia="Arial" w:hAnsi="Arial" w:cs="Arial"/>
                <w:b/>
                <w:sz w:val="18"/>
                <w:szCs w:val="18"/>
              </w:rPr>
              <w:t xml:space="preserve">Presentaciones y precio </w:t>
            </w:r>
            <w:r>
              <w:rPr>
                <w:rFonts w:ascii="Arial" w:eastAsia="Arial" w:hAnsi="Arial" w:cs="Arial"/>
                <w:sz w:val="18"/>
                <w:szCs w:val="18"/>
              </w:rPr>
              <w:t xml:space="preserve"> </w:t>
            </w:r>
          </w:p>
        </w:tc>
      </w:tr>
      <w:tr w:rsidR="00B74082">
        <w:trPr>
          <w:cantSplit/>
        </w:trPr>
        <w:tc>
          <w:tcPr>
            <w:tcW w:w="2564" w:type="dxa"/>
          </w:tcPr>
          <w:p w:rsidR="00B74082" w:rsidRDefault="00DA20C8">
            <w:pPr>
              <w:ind w:left="0" w:hanging="2"/>
              <w:jc w:val="both"/>
              <w:rPr>
                <w:rFonts w:ascii="Arial" w:eastAsia="Arial" w:hAnsi="Arial" w:cs="Arial"/>
                <w:sz w:val="16"/>
                <w:szCs w:val="16"/>
              </w:rPr>
            </w:pPr>
            <w:r>
              <w:rPr>
                <w:rFonts w:ascii="Arial" w:eastAsia="Arial" w:hAnsi="Arial" w:cs="Arial"/>
                <w:sz w:val="16"/>
                <w:szCs w:val="16"/>
              </w:rPr>
              <w:t>Forma farmacéutica y dosis</w:t>
            </w:r>
          </w:p>
        </w:tc>
        <w:tc>
          <w:tcPr>
            <w:tcW w:w="1238" w:type="dxa"/>
          </w:tcPr>
          <w:p w:rsidR="00B74082" w:rsidRDefault="00DA20C8">
            <w:pPr>
              <w:ind w:left="0" w:hanging="2"/>
              <w:jc w:val="both"/>
              <w:rPr>
                <w:rFonts w:ascii="Arial" w:eastAsia="Arial" w:hAnsi="Arial" w:cs="Arial"/>
                <w:sz w:val="16"/>
                <w:szCs w:val="16"/>
              </w:rPr>
            </w:pPr>
            <w:r>
              <w:rPr>
                <w:rFonts w:ascii="Arial" w:eastAsia="Arial" w:hAnsi="Arial" w:cs="Arial"/>
                <w:sz w:val="16"/>
                <w:szCs w:val="16"/>
              </w:rPr>
              <w:t>Nº de unidades por envase</w:t>
            </w:r>
          </w:p>
        </w:tc>
        <w:tc>
          <w:tcPr>
            <w:tcW w:w="965" w:type="dxa"/>
          </w:tcPr>
          <w:p w:rsidR="00B74082" w:rsidRDefault="00DA20C8">
            <w:pPr>
              <w:ind w:left="0" w:hanging="2"/>
              <w:jc w:val="both"/>
              <w:rPr>
                <w:rFonts w:ascii="Arial" w:eastAsia="Arial" w:hAnsi="Arial" w:cs="Arial"/>
                <w:sz w:val="16"/>
                <w:szCs w:val="16"/>
              </w:rPr>
            </w:pPr>
            <w:r>
              <w:rPr>
                <w:rFonts w:ascii="Arial" w:eastAsia="Arial" w:hAnsi="Arial" w:cs="Arial"/>
                <w:sz w:val="16"/>
                <w:szCs w:val="16"/>
              </w:rPr>
              <w:t>Código</w:t>
            </w:r>
          </w:p>
        </w:tc>
        <w:tc>
          <w:tcPr>
            <w:tcW w:w="2007" w:type="dxa"/>
          </w:tcPr>
          <w:p w:rsidR="00B74082" w:rsidRDefault="00DA20C8">
            <w:pPr>
              <w:ind w:left="0" w:hanging="2"/>
              <w:jc w:val="both"/>
              <w:rPr>
                <w:rFonts w:ascii="Arial" w:eastAsia="Arial" w:hAnsi="Arial" w:cs="Arial"/>
                <w:sz w:val="16"/>
                <w:szCs w:val="16"/>
              </w:rPr>
            </w:pPr>
            <w:r>
              <w:rPr>
                <w:rFonts w:ascii="Arial" w:eastAsia="Arial" w:hAnsi="Arial" w:cs="Arial"/>
                <w:sz w:val="16"/>
                <w:szCs w:val="16"/>
              </w:rPr>
              <w:t xml:space="preserve">Coste por unidad PVP + IVA (1) </w:t>
            </w:r>
          </w:p>
        </w:tc>
        <w:tc>
          <w:tcPr>
            <w:tcW w:w="2188" w:type="dxa"/>
          </w:tcPr>
          <w:p w:rsidR="00B74082" w:rsidRDefault="00DA20C8">
            <w:pPr>
              <w:ind w:left="0" w:hanging="2"/>
              <w:jc w:val="both"/>
              <w:rPr>
                <w:rFonts w:ascii="Arial" w:eastAsia="Arial" w:hAnsi="Arial" w:cs="Arial"/>
                <w:sz w:val="16"/>
                <w:szCs w:val="16"/>
              </w:rPr>
            </w:pPr>
            <w:r>
              <w:rPr>
                <w:rFonts w:ascii="Arial" w:eastAsia="Arial" w:hAnsi="Arial" w:cs="Arial"/>
                <w:sz w:val="16"/>
                <w:szCs w:val="16"/>
              </w:rPr>
              <w:t xml:space="preserve">Coste por unidad PVL + IVA (1) </w:t>
            </w:r>
          </w:p>
        </w:tc>
      </w:tr>
      <w:tr w:rsidR="004868D6" w:rsidTr="004868D6">
        <w:trPr>
          <w:cantSplit/>
        </w:trPr>
        <w:tc>
          <w:tcPr>
            <w:tcW w:w="2564" w:type="dxa"/>
          </w:tcPr>
          <w:p w:rsidR="004868D6" w:rsidRDefault="004868D6">
            <w:pPr>
              <w:ind w:left="0" w:hanging="2"/>
              <w:jc w:val="both"/>
              <w:rPr>
                <w:rFonts w:ascii="Arial" w:eastAsia="Arial" w:hAnsi="Arial" w:cs="Arial"/>
                <w:sz w:val="16"/>
                <w:szCs w:val="16"/>
              </w:rPr>
            </w:pPr>
            <w:r>
              <w:rPr>
                <w:rFonts w:ascii="Arial" w:eastAsia="Arial" w:hAnsi="Arial" w:cs="Arial"/>
                <w:sz w:val="16"/>
                <w:szCs w:val="16"/>
              </w:rPr>
              <w:t>AYVAKYT 25 mg comprimidos recubiertos con película</w:t>
            </w:r>
          </w:p>
        </w:tc>
        <w:tc>
          <w:tcPr>
            <w:tcW w:w="1238" w:type="dxa"/>
          </w:tcPr>
          <w:p w:rsidR="004868D6" w:rsidRDefault="004868D6">
            <w:pPr>
              <w:ind w:left="0" w:hanging="2"/>
              <w:jc w:val="both"/>
              <w:rPr>
                <w:rFonts w:ascii="Arial" w:eastAsia="Arial" w:hAnsi="Arial" w:cs="Arial"/>
                <w:sz w:val="16"/>
                <w:szCs w:val="16"/>
              </w:rPr>
            </w:pPr>
            <w:r>
              <w:rPr>
                <w:rFonts w:ascii="Arial" w:eastAsia="Arial" w:hAnsi="Arial" w:cs="Arial"/>
                <w:sz w:val="16"/>
                <w:szCs w:val="16"/>
              </w:rPr>
              <w:t>30</w:t>
            </w:r>
          </w:p>
        </w:tc>
        <w:tc>
          <w:tcPr>
            <w:tcW w:w="965" w:type="dxa"/>
          </w:tcPr>
          <w:p w:rsidR="004868D6" w:rsidRDefault="004868D6">
            <w:pPr>
              <w:ind w:left="0" w:hanging="2"/>
              <w:jc w:val="both"/>
              <w:rPr>
                <w:rFonts w:ascii="Arial" w:eastAsia="Arial" w:hAnsi="Arial" w:cs="Arial"/>
                <w:sz w:val="16"/>
                <w:szCs w:val="16"/>
              </w:rPr>
            </w:pPr>
          </w:p>
        </w:tc>
        <w:tc>
          <w:tcPr>
            <w:tcW w:w="2007" w:type="dxa"/>
            <w:vMerge w:val="restart"/>
            <w:vAlign w:val="center"/>
          </w:tcPr>
          <w:p w:rsidR="004868D6" w:rsidRDefault="004868D6" w:rsidP="004868D6">
            <w:pPr>
              <w:ind w:left="0" w:hanging="2"/>
              <w:jc w:val="center"/>
              <w:rPr>
                <w:rFonts w:ascii="Arial" w:eastAsia="Arial" w:hAnsi="Arial" w:cs="Arial"/>
                <w:sz w:val="16"/>
                <w:szCs w:val="16"/>
              </w:rPr>
            </w:pPr>
            <w:r w:rsidRPr="004868D6">
              <w:rPr>
                <w:rFonts w:ascii="Arial" w:eastAsia="Arial" w:hAnsi="Arial" w:cs="Arial"/>
                <w:sz w:val="16"/>
                <w:szCs w:val="16"/>
              </w:rPr>
              <w:t>Pendiente de decisión de precio en España</w:t>
            </w:r>
          </w:p>
        </w:tc>
        <w:tc>
          <w:tcPr>
            <w:tcW w:w="2188" w:type="dxa"/>
          </w:tcPr>
          <w:p w:rsidR="004868D6" w:rsidRDefault="004868D6">
            <w:pPr>
              <w:ind w:left="0" w:hanging="2"/>
              <w:jc w:val="both"/>
              <w:rPr>
                <w:rFonts w:ascii="Arial" w:eastAsia="Arial" w:hAnsi="Arial" w:cs="Arial"/>
                <w:sz w:val="16"/>
                <w:szCs w:val="16"/>
              </w:rPr>
            </w:pPr>
          </w:p>
        </w:tc>
      </w:tr>
      <w:tr w:rsidR="004868D6">
        <w:trPr>
          <w:cantSplit/>
          <w:trHeight w:val="98"/>
        </w:trPr>
        <w:tc>
          <w:tcPr>
            <w:tcW w:w="2564" w:type="dxa"/>
          </w:tcPr>
          <w:p w:rsidR="004868D6" w:rsidRDefault="004868D6">
            <w:pPr>
              <w:ind w:left="0" w:hanging="2"/>
              <w:jc w:val="both"/>
              <w:rPr>
                <w:rFonts w:ascii="Arial" w:eastAsia="Arial" w:hAnsi="Arial" w:cs="Arial"/>
                <w:sz w:val="16"/>
                <w:szCs w:val="16"/>
              </w:rPr>
            </w:pPr>
            <w:r>
              <w:rPr>
                <w:rFonts w:ascii="Arial" w:eastAsia="Arial" w:hAnsi="Arial" w:cs="Arial"/>
                <w:sz w:val="16"/>
                <w:szCs w:val="16"/>
              </w:rPr>
              <w:t>AYVAKYT 50 mg comprimidos recubiertos con película</w:t>
            </w:r>
          </w:p>
        </w:tc>
        <w:tc>
          <w:tcPr>
            <w:tcW w:w="1238" w:type="dxa"/>
          </w:tcPr>
          <w:p w:rsidR="004868D6" w:rsidRDefault="004868D6">
            <w:pPr>
              <w:ind w:left="0" w:hanging="2"/>
              <w:jc w:val="both"/>
              <w:rPr>
                <w:rFonts w:ascii="Arial" w:eastAsia="Arial" w:hAnsi="Arial" w:cs="Arial"/>
                <w:sz w:val="16"/>
                <w:szCs w:val="16"/>
              </w:rPr>
            </w:pPr>
            <w:r>
              <w:rPr>
                <w:rFonts w:ascii="Arial" w:eastAsia="Arial" w:hAnsi="Arial" w:cs="Arial"/>
                <w:sz w:val="16"/>
                <w:szCs w:val="16"/>
              </w:rPr>
              <w:t>30</w:t>
            </w:r>
          </w:p>
        </w:tc>
        <w:tc>
          <w:tcPr>
            <w:tcW w:w="965" w:type="dxa"/>
          </w:tcPr>
          <w:p w:rsidR="004868D6" w:rsidRDefault="004868D6">
            <w:pPr>
              <w:ind w:left="0" w:hanging="2"/>
              <w:jc w:val="both"/>
              <w:rPr>
                <w:rFonts w:ascii="Arial" w:eastAsia="Arial" w:hAnsi="Arial" w:cs="Arial"/>
                <w:sz w:val="16"/>
                <w:szCs w:val="16"/>
              </w:rPr>
            </w:pPr>
          </w:p>
        </w:tc>
        <w:tc>
          <w:tcPr>
            <w:tcW w:w="2007" w:type="dxa"/>
            <w:vMerge/>
          </w:tcPr>
          <w:p w:rsidR="004868D6" w:rsidRDefault="004868D6">
            <w:pPr>
              <w:ind w:left="0" w:hanging="2"/>
              <w:jc w:val="both"/>
              <w:rPr>
                <w:rFonts w:ascii="Arial" w:eastAsia="Arial" w:hAnsi="Arial" w:cs="Arial"/>
                <w:sz w:val="16"/>
                <w:szCs w:val="16"/>
              </w:rPr>
            </w:pPr>
          </w:p>
        </w:tc>
        <w:tc>
          <w:tcPr>
            <w:tcW w:w="2188" w:type="dxa"/>
          </w:tcPr>
          <w:p w:rsidR="004868D6" w:rsidRDefault="004868D6">
            <w:pPr>
              <w:ind w:left="0" w:hanging="2"/>
              <w:jc w:val="both"/>
              <w:rPr>
                <w:rFonts w:ascii="Arial" w:eastAsia="Arial" w:hAnsi="Arial" w:cs="Arial"/>
                <w:sz w:val="16"/>
                <w:szCs w:val="16"/>
              </w:rPr>
            </w:pPr>
          </w:p>
        </w:tc>
      </w:tr>
      <w:tr w:rsidR="004868D6">
        <w:trPr>
          <w:cantSplit/>
        </w:trPr>
        <w:tc>
          <w:tcPr>
            <w:tcW w:w="2564" w:type="dxa"/>
          </w:tcPr>
          <w:p w:rsidR="004868D6" w:rsidRDefault="004868D6">
            <w:pPr>
              <w:ind w:left="0" w:hanging="2"/>
              <w:jc w:val="both"/>
              <w:rPr>
                <w:rFonts w:ascii="Arial" w:eastAsia="Arial" w:hAnsi="Arial" w:cs="Arial"/>
                <w:sz w:val="16"/>
                <w:szCs w:val="16"/>
              </w:rPr>
            </w:pPr>
            <w:r>
              <w:rPr>
                <w:rFonts w:ascii="Arial" w:eastAsia="Arial" w:hAnsi="Arial" w:cs="Arial"/>
                <w:sz w:val="16"/>
                <w:szCs w:val="16"/>
              </w:rPr>
              <w:t>AYVAKYT 100 mg comprimidos recubiertos con película</w:t>
            </w:r>
          </w:p>
        </w:tc>
        <w:tc>
          <w:tcPr>
            <w:tcW w:w="1238" w:type="dxa"/>
          </w:tcPr>
          <w:p w:rsidR="004868D6" w:rsidRDefault="004868D6">
            <w:pPr>
              <w:ind w:left="0" w:hanging="2"/>
              <w:jc w:val="both"/>
              <w:rPr>
                <w:rFonts w:ascii="Arial" w:eastAsia="Arial" w:hAnsi="Arial" w:cs="Arial"/>
                <w:sz w:val="16"/>
                <w:szCs w:val="16"/>
              </w:rPr>
            </w:pPr>
            <w:r>
              <w:rPr>
                <w:rFonts w:ascii="Arial" w:eastAsia="Arial" w:hAnsi="Arial" w:cs="Arial"/>
                <w:sz w:val="16"/>
                <w:szCs w:val="16"/>
              </w:rPr>
              <w:t>30</w:t>
            </w:r>
          </w:p>
        </w:tc>
        <w:tc>
          <w:tcPr>
            <w:tcW w:w="965" w:type="dxa"/>
          </w:tcPr>
          <w:p w:rsidR="004868D6" w:rsidRDefault="004868D6">
            <w:pPr>
              <w:ind w:left="0" w:hanging="2"/>
              <w:jc w:val="both"/>
              <w:rPr>
                <w:rFonts w:ascii="Arial" w:eastAsia="Arial" w:hAnsi="Arial" w:cs="Arial"/>
                <w:sz w:val="16"/>
                <w:szCs w:val="16"/>
              </w:rPr>
            </w:pPr>
          </w:p>
        </w:tc>
        <w:tc>
          <w:tcPr>
            <w:tcW w:w="2007" w:type="dxa"/>
            <w:vMerge/>
          </w:tcPr>
          <w:p w:rsidR="004868D6" w:rsidRDefault="004868D6">
            <w:pPr>
              <w:ind w:left="0" w:hanging="2"/>
              <w:jc w:val="both"/>
              <w:rPr>
                <w:rFonts w:ascii="Arial" w:eastAsia="Arial" w:hAnsi="Arial" w:cs="Arial"/>
                <w:sz w:val="16"/>
                <w:szCs w:val="16"/>
              </w:rPr>
            </w:pPr>
          </w:p>
        </w:tc>
        <w:tc>
          <w:tcPr>
            <w:tcW w:w="2188" w:type="dxa"/>
          </w:tcPr>
          <w:p w:rsidR="004868D6" w:rsidRDefault="004868D6">
            <w:pPr>
              <w:ind w:left="0" w:hanging="2"/>
              <w:jc w:val="both"/>
              <w:rPr>
                <w:rFonts w:ascii="Arial" w:eastAsia="Arial" w:hAnsi="Arial" w:cs="Arial"/>
                <w:sz w:val="16"/>
                <w:szCs w:val="16"/>
              </w:rPr>
            </w:pPr>
          </w:p>
        </w:tc>
      </w:tr>
      <w:tr w:rsidR="004868D6">
        <w:trPr>
          <w:cantSplit/>
        </w:trPr>
        <w:tc>
          <w:tcPr>
            <w:tcW w:w="2564" w:type="dxa"/>
          </w:tcPr>
          <w:p w:rsidR="004868D6" w:rsidRDefault="004868D6">
            <w:pPr>
              <w:ind w:left="0" w:hanging="2"/>
              <w:jc w:val="both"/>
              <w:rPr>
                <w:rFonts w:ascii="Arial" w:eastAsia="Arial" w:hAnsi="Arial" w:cs="Arial"/>
                <w:sz w:val="16"/>
                <w:szCs w:val="16"/>
              </w:rPr>
            </w:pPr>
            <w:r>
              <w:rPr>
                <w:rFonts w:ascii="Arial" w:eastAsia="Arial" w:hAnsi="Arial" w:cs="Arial"/>
                <w:sz w:val="16"/>
                <w:szCs w:val="16"/>
              </w:rPr>
              <w:t>AYVAKYT 200 mg comprimidos recubiertos con película</w:t>
            </w:r>
          </w:p>
        </w:tc>
        <w:tc>
          <w:tcPr>
            <w:tcW w:w="1238" w:type="dxa"/>
          </w:tcPr>
          <w:p w:rsidR="004868D6" w:rsidRDefault="004868D6">
            <w:pPr>
              <w:ind w:left="0" w:hanging="2"/>
              <w:jc w:val="both"/>
              <w:rPr>
                <w:rFonts w:ascii="Arial" w:eastAsia="Arial" w:hAnsi="Arial" w:cs="Arial"/>
                <w:sz w:val="16"/>
                <w:szCs w:val="16"/>
              </w:rPr>
            </w:pPr>
            <w:r>
              <w:rPr>
                <w:rFonts w:ascii="Arial" w:eastAsia="Arial" w:hAnsi="Arial" w:cs="Arial"/>
                <w:sz w:val="16"/>
                <w:szCs w:val="16"/>
              </w:rPr>
              <w:t>30</w:t>
            </w:r>
          </w:p>
        </w:tc>
        <w:tc>
          <w:tcPr>
            <w:tcW w:w="965" w:type="dxa"/>
          </w:tcPr>
          <w:p w:rsidR="004868D6" w:rsidRDefault="004868D6">
            <w:pPr>
              <w:ind w:left="0" w:hanging="2"/>
              <w:jc w:val="both"/>
              <w:rPr>
                <w:rFonts w:ascii="Arial" w:eastAsia="Arial" w:hAnsi="Arial" w:cs="Arial"/>
                <w:sz w:val="16"/>
                <w:szCs w:val="16"/>
              </w:rPr>
            </w:pPr>
          </w:p>
        </w:tc>
        <w:tc>
          <w:tcPr>
            <w:tcW w:w="2007" w:type="dxa"/>
            <w:vMerge/>
          </w:tcPr>
          <w:p w:rsidR="004868D6" w:rsidRDefault="004868D6">
            <w:pPr>
              <w:ind w:left="0" w:hanging="2"/>
              <w:jc w:val="both"/>
              <w:rPr>
                <w:rFonts w:ascii="Arial" w:eastAsia="Arial" w:hAnsi="Arial" w:cs="Arial"/>
                <w:sz w:val="16"/>
                <w:szCs w:val="16"/>
              </w:rPr>
            </w:pPr>
          </w:p>
        </w:tc>
        <w:tc>
          <w:tcPr>
            <w:tcW w:w="2188" w:type="dxa"/>
          </w:tcPr>
          <w:p w:rsidR="004868D6" w:rsidRDefault="004868D6">
            <w:pPr>
              <w:ind w:left="0" w:hanging="2"/>
              <w:jc w:val="both"/>
              <w:rPr>
                <w:rFonts w:ascii="Arial" w:eastAsia="Arial" w:hAnsi="Arial" w:cs="Arial"/>
                <w:sz w:val="16"/>
                <w:szCs w:val="16"/>
              </w:rPr>
            </w:pPr>
          </w:p>
        </w:tc>
      </w:tr>
      <w:tr w:rsidR="004868D6">
        <w:trPr>
          <w:cantSplit/>
        </w:trPr>
        <w:tc>
          <w:tcPr>
            <w:tcW w:w="2564" w:type="dxa"/>
          </w:tcPr>
          <w:p w:rsidR="004868D6" w:rsidRDefault="004868D6">
            <w:pPr>
              <w:ind w:left="0" w:hanging="2"/>
              <w:jc w:val="both"/>
              <w:rPr>
                <w:rFonts w:ascii="Arial" w:eastAsia="Arial" w:hAnsi="Arial" w:cs="Arial"/>
                <w:sz w:val="16"/>
                <w:szCs w:val="16"/>
              </w:rPr>
            </w:pPr>
            <w:r>
              <w:rPr>
                <w:rFonts w:ascii="Arial" w:eastAsia="Arial" w:hAnsi="Arial" w:cs="Arial"/>
                <w:sz w:val="16"/>
                <w:szCs w:val="16"/>
              </w:rPr>
              <w:t>AYVAKYT 300 mg comprimidos recubiertos con película</w:t>
            </w:r>
          </w:p>
        </w:tc>
        <w:tc>
          <w:tcPr>
            <w:tcW w:w="1238" w:type="dxa"/>
          </w:tcPr>
          <w:p w:rsidR="004868D6" w:rsidRDefault="004868D6">
            <w:pPr>
              <w:ind w:left="0" w:hanging="2"/>
              <w:jc w:val="both"/>
              <w:rPr>
                <w:rFonts w:ascii="Arial" w:eastAsia="Arial" w:hAnsi="Arial" w:cs="Arial"/>
                <w:sz w:val="16"/>
                <w:szCs w:val="16"/>
              </w:rPr>
            </w:pPr>
            <w:r>
              <w:rPr>
                <w:rFonts w:ascii="Arial" w:eastAsia="Arial" w:hAnsi="Arial" w:cs="Arial"/>
                <w:sz w:val="16"/>
                <w:szCs w:val="16"/>
              </w:rPr>
              <w:t>30</w:t>
            </w:r>
          </w:p>
        </w:tc>
        <w:tc>
          <w:tcPr>
            <w:tcW w:w="965" w:type="dxa"/>
          </w:tcPr>
          <w:p w:rsidR="004868D6" w:rsidRDefault="004868D6">
            <w:pPr>
              <w:ind w:left="0" w:hanging="2"/>
              <w:jc w:val="both"/>
              <w:rPr>
                <w:rFonts w:ascii="Arial" w:eastAsia="Arial" w:hAnsi="Arial" w:cs="Arial"/>
                <w:sz w:val="16"/>
                <w:szCs w:val="16"/>
              </w:rPr>
            </w:pPr>
          </w:p>
        </w:tc>
        <w:tc>
          <w:tcPr>
            <w:tcW w:w="2007" w:type="dxa"/>
            <w:vMerge/>
          </w:tcPr>
          <w:p w:rsidR="004868D6" w:rsidRDefault="004868D6">
            <w:pPr>
              <w:ind w:left="0" w:hanging="2"/>
              <w:jc w:val="both"/>
              <w:rPr>
                <w:rFonts w:ascii="Arial" w:eastAsia="Arial" w:hAnsi="Arial" w:cs="Arial"/>
                <w:sz w:val="16"/>
                <w:szCs w:val="16"/>
              </w:rPr>
            </w:pPr>
          </w:p>
        </w:tc>
        <w:tc>
          <w:tcPr>
            <w:tcW w:w="2188" w:type="dxa"/>
          </w:tcPr>
          <w:p w:rsidR="004868D6" w:rsidRDefault="004868D6">
            <w:pPr>
              <w:ind w:left="0" w:hanging="2"/>
              <w:jc w:val="both"/>
              <w:rPr>
                <w:rFonts w:ascii="Arial" w:eastAsia="Arial" w:hAnsi="Arial" w:cs="Arial"/>
                <w:sz w:val="16"/>
                <w:szCs w:val="16"/>
              </w:rPr>
            </w:pPr>
          </w:p>
        </w:tc>
      </w:tr>
    </w:tbl>
    <w:p w:rsidR="00B74082" w:rsidRDefault="00B74082">
      <w:pPr>
        <w:ind w:left="0" w:hanging="2"/>
        <w:rPr>
          <w:rFonts w:ascii="Arial" w:eastAsia="Arial" w:hAnsi="Arial" w:cs="Arial"/>
          <w:color w:val="0000FF"/>
          <w:sz w:val="20"/>
          <w:szCs w:val="20"/>
          <w:u w:val="single"/>
        </w:rPr>
      </w:pPr>
    </w:p>
    <w:p w:rsidR="00B74082" w:rsidRDefault="00B74082">
      <w:pPr>
        <w:ind w:left="0" w:hanging="2"/>
        <w:jc w:val="right"/>
        <w:rPr>
          <w:rFonts w:ascii="Arial" w:eastAsia="Arial" w:hAnsi="Arial" w:cs="Arial"/>
          <w:color w:val="0000FF"/>
          <w:sz w:val="20"/>
          <w:szCs w:val="20"/>
          <w:u w:val="single"/>
        </w:rPr>
      </w:pPr>
      <w:bookmarkStart w:id="5" w:name="_heading=h.2et92p0" w:colFirst="0" w:colLast="0"/>
      <w:bookmarkEnd w:id="5"/>
    </w:p>
    <w:p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3.2 Área descriptiva del problema de salud</w:t>
      </w:r>
    </w:p>
    <w:p w:rsidR="00B74082" w:rsidRDefault="00B74082">
      <w:pPr>
        <w:ind w:left="0" w:hanging="2"/>
        <w:jc w:val="both"/>
        <w:rPr>
          <w:rFonts w:ascii="Arial" w:eastAsia="Arial" w:hAnsi="Arial" w:cs="Arial"/>
          <w:color w:val="000080"/>
          <w:sz w:val="20"/>
          <w:szCs w:val="20"/>
        </w:rPr>
      </w:pPr>
      <w:bookmarkStart w:id="6" w:name="_heading=h.tyjcwt" w:colFirst="0" w:colLast="0"/>
      <w:bookmarkEnd w:id="6"/>
    </w:p>
    <w:p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3.2.a Descripción estructurada del problema de salud</w:t>
      </w:r>
    </w:p>
    <w:p w:rsidR="00B74082" w:rsidRDefault="00B74082">
      <w:pPr>
        <w:ind w:left="0" w:hanging="2"/>
        <w:jc w:val="both"/>
        <w:rPr>
          <w:rFonts w:ascii="Arial" w:eastAsia="Arial" w:hAnsi="Arial" w:cs="Arial"/>
          <w:color w:val="000080"/>
          <w:sz w:val="20"/>
          <w:szCs w:val="20"/>
        </w:rPr>
      </w:pPr>
    </w:p>
    <w:p w:rsidR="00B74082" w:rsidRDefault="00B74082">
      <w:pPr>
        <w:ind w:left="0" w:hanging="2"/>
        <w:jc w:val="both"/>
        <w:rPr>
          <w:rFonts w:ascii="Arial" w:eastAsia="Arial" w:hAnsi="Arial" w:cs="Arial"/>
          <w:color w:val="FF0000"/>
          <w:sz w:val="20"/>
          <w:szCs w:val="20"/>
        </w:rPr>
      </w:pPr>
    </w:p>
    <w:tbl>
      <w:tblPr>
        <w:tblStyle w:val="35"/>
        <w:tblW w:w="8931"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2"/>
        <w:gridCol w:w="7229"/>
      </w:tblGrid>
      <w:tr w:rsidR="00B74082">
        <w:trPr>
          <w:cantSplit/>
        </w:trPr>
        <w:tc>
          <w:tcPr>
            <w:tcW w:w="8931" w:type="dxa"/>
            <w:gridSpan w:val="2"/>
            <w:tcBorders>
              <w:top w:val="single" w:sz="4" w:space="0" w:color="000000"/>
              <w:left w:val="single" w:sz="4" w:space="0" w:color="000000"/>
              <w:right w:val="single" w:sz="4" w:space="0" w:color="000000"/>
            </w:tcBorders>
            <w:shd w:val="clear" w:color="auto" w:fill="CCFFCC"/>
          </w:tcPr>
          <w:p w:rsidR="00B74082" w:rsidRDefault="00DA20C8">
            <w:pPr>
              <w:ind w:left="0" w:hanging="2"/>
              <w:rPr>
                <w:rFonts w:ascii="Arial" w:eastAsia="Arial" w:hAnsi="Arial" w:cs="Arial"/>
                <w:sz w:val="18"/>
                <w:szCs w:val="18"/>
              </w:rPr>
            </w:pPr>
            <w:r>
              <w:rPr>
                <w:rFonts w:ascii="Arial" w:eastAsia="Arial" w:hAnsi="Arial" w:cs="Arial"/>
                <w:b/>
                <w:sz w:val="18"/>
                <w:szCs w:val="18"/>
              </w:rPr>
              <w:t>Descripción del problema de salud</w:t>
            </w:r>
          </w:p>
        </w:tc>
      </w:tr>
      <w:tr w:rsidR="00B74082" w:rsidTr="00502CC8">
        <w:trPr>
          <w:cantSplit/>
        </w:trPr>
        <w:tc>
          <w:tcPr>
            <w:tcW w:w="1702" w:type="dxa"/>
            <w:shd w:val="clear" w:color="auto" w:fill="E6E6E6"/>
          </w:tcPr>
          <w:p w:rsidR="00B74082" w:rsidRPr="00502CC8" w:rsidRDefault="00DA20C8">
            <w:pPr>
              <w:ind w:left="0" w:hanging="2"/>
              <w:rPr>
                <w:rFonts w:ascii="Arial" w:eastAsia="Arial" w:hAnsi="Arial" w:cs="Arial"/>
                <w:b/>
                <w:sz w:val="16"/>
                <w:szCs w:val="16"/>
              </w:rPr>
            </w:pPr>
            <w:r w:rsidRPr="00502CC8">
              <w:rPr>
                <w:rFonts w:ascii="Arial" w:eastAsia="Arial" w:hAnsi="Arial" w:cs="Arial"/>
                <w:b/>
                <w:sz w:val="16"/>
                <w:szCs w:val="16"/>
              </w:rPr>
              <w:lastRenderedPageBreak/>
              <w:t>Definición</w:t>
            </w:r>
          </w:p>
        </w:tc>
        <w:tc>
          <w:tcPr>
            <w:tcW w:w="7229" w:type="dxa"/>
          </w:tcPr>
          <w:p w:rsidR="00B74082" w:rsidRDefault="00DA20C8" w:rsidP="00502CC8">
            <w:pPr>
              <w:ind w:left="0" w:hanging="2"/>
              <w:jc w:val="both"/>
              <w:rPr>
                <w:rFonts w:ascii="Arial" w:eastAsia="Arial" w:hAnsi="Arial" w:cs="Arial"/>
                <w:sz w:val="20"/>
                <w:szCs w:val="20"/>
              </w:rPr>
            </w:pPr>
            <w:r>
              <w:rPr>
                <w:rFonts w:ascii="Arial" w:eastAsia="Arial" w:hAnsi="Arial" w:cs="Arial"/>
                <w:sz w:val="20"/>
                <w:szCs w:val="20"/>
              </w:rPr>
              <w:t>La mastocitosis sistémica (MS) engloba un grupo heterogéneo de neoplasias hematológicas malignas poco frecuentes, adquiridas y crónicas asociadas a un acúmulo/ proliferación anómala de células neoplásicas</w:t>
            </w:r>
          </w:p>
          <w:p w:rsidR="00B74082" w:rsidRDefault="00DA20C8" w:rsidP="00502CC8">
            <w:pPr>
              <w:ind w:left="0" w:hanging="2"/>
              <w:jc w:val="both"/>
              <w:rPr>
                <w:rFonts w:ascii="Arial" w:eastAsia="Arial" w:hAnsi="Arial" w:cs="Arial"/>
                <w:sz w:val="20"/>
                <w:szCs w:val="20"/>
              </w:rPr>
            </w:pPr>
            <w:r>
              <w:rPr>
                <w:rFonts w:ascii="Arial" w:eastAsia="Arial" w:hAnsi="Arial" w:cs="Arial"/>
                <w:sz w:val="20"/>
                <w:szCs w:val="20"/>
              </w:rPr>
              <w:t>mastocitoides (CM) en uno o varios órganos, principalmente en la médula ósea, asociada frecuentemente a afectación cutánea. Estas células mastocitoides son generalmente portadoras de la mutación KIT D816V, lo que da lugar a una activación del receptor tirosin-kinasa. La MS avanzada tiene un curso de la enfermedad más agresivo con una mediana de supervivencia que va de meses a años, e incluye las siguientes variantes: mastocitosis sistémica agresiva (MSA), mastocitosis sistémica con neoplasia hematológica asociada (MS-NHA) y leucemia mastocítica (LM).</w:t>
            </w:r>
            <w:sdt>
              <w:sdtPr>
                <w:rPr>
                  <w:rFonts w:ascii="Arial" w:eastAsia="Arial" w:hAnsi="Arial" w:cs="Arial"/>
                  <w:sz w:val="20"/>
                  <w:szCs w:val="20"/>
                </w:rPr>
                <w:id w:val="415447622"/>
                <w:citation/>
              </w:sdtPr>
              <w:sdtEndPr>
                <w:rPr>
                  <w:vertAlign w:val="superscript"/>
                </w:rPr>
              </w:sdtEndPr>
              <w:sdtContent>
                <w:r w:rsidR="00743E44" w:rsidRPr="00F3788E">
                  <w:rPr>
                    <w:rFonts w:ascii="Arial" w:eastAsia="Arial" w:hAnsi="Arial" w:cs="Arial"/>
                    <w:sz w:val="20"/>
                    <w:szCs w:val="20"/>
                    <w:vertAlign w:val="superscript"/>
                  </w:rPr>
                  <w:fldChar w:fldCharType="begin"/>
                </w:r>
                <w:r w:rsidR="00E415DE" w:rsidRPr="00F3788E">
                  <w:rPr>
                    <w:rFonts w:ascii="Arial" w:eastAsia="Arial" w:hAnsi="Arial" w:cs="Arial"/>
                    <w:sz w:val="20"/>
                    <w:szCs w:val="20"/>
                    <w:vertAlign w:val="superscript"/>
                  </w:rPr>
                  <w:instrText xml:space="preserve"> CITATION Par21 \l 3082 </w:instrText>
                </w:r>
                <w:r w:rsidR="00743E44" w:rsidRPr="00F3788E">
                  <w:rPr>
                    <w:rFonts w:ascii="Arial" w:eastAsia="Arial" w:hAnsi="Arial" w:cs="Arial"/>
                    <w:sz w:val="20"/>
                    <w:szCs w:val="20"/>
                    <w:vertAlign w:val="superscript"/>
                  </w:rPr>
                  <w:fldChar w:fldCharType="separate"/>
                </w:r>
                <w:r w:rsidR="00C560F5">
                  <w:rPr>
                    <w:rFonts w:ascii="Arial" w:eastAsia="Arial" w:hAnsi="Arial" w:cs="Arial"/>
                    <w:noProof/>
                    <w:sz w:val="20"/>
                    <w:szCs w:val="20"/>
                    <w:vertAlign w:val="superscript"/>
                  </w:rPr>
                  <w:t xml:space="preserve"> </w:t>
                </w:r>
                <w:r w:rsidR="00C560F5" w:rsidRPr="00C560F5">
                  <w:rPr>
                    <w:rFonts w:ascii="Arial" w:eastAsia="Arial" w:hAnsi="Arial" w:cs="Arial"/>
                    <w:noProof/>
                    <w:sz w:val="20"/>
                    <w:szCs w:val="20"/>
                  </w:rPr>
                  <w:t>(1)</w:t>
                </w:r>
                <w:r w:rsidR="00743E44" w:rsidRPr="00F3788E">
                  <w:rPr>
                    <w:rFonts w:ascii="Arial" w:eastAsia="Arial" w:hAnsi="Arial" w:cs="Arial"/>
                    <w:sz w:val="20"/>
                    <w:szCs w:val="20"/>
                    <w:vertAlign w:val="superscript"/>
                  </w:rPr>
                  <w:fldChar w:fldCharType="end"/>
                </w:r>
              </w:sdtContent>
            </w:sdt>
            <w:sdt>
              <w:sdtPr>
                <w:rPr>
                  <w:rFonts w:ascii="Arial" w:eastAsia="Arial" w:hAnsi="Arial" w:cs="Arial"/>
                  <w:sz w:val="20"/>
                  <w:szCs w:val="20"/>
                  <w:vertAlign w:val="superscript"/>
                </w:rPr>
                <w:id w:val="1804966438"/>
                <w:citation/>
              </w:sdtPr>
              <w:sdtEndPr/>
              <w:sdtContent>
                <w:r w:rsidR="00743E44" w:rsidRPr="00F3788E">
                  <w:rPr>
                    <w:rFonts w:ascii="Arial" w:eastAsia="Arial" w:hAnsi="Arial" w:cs="Arial"/>
                    <w:sz w:val="20"/>
                    <w:szCs w:val="20"/>
                    <w:vertAlign w:val="superscript"/>
                  </w:rPr>
                  <w:fldChar w:fldCharType="begin"/>
                </w:r>
                <w:r w:rsidR="00EF205E" w:rsidRPr="00F3788E">
                  <w:rPr>
                    <w:rFonts w:ascii="Arial" w:eastAsia="Arial" w:hAnsi="Arial" w:cs="Arial"/>
                    <w:sz w:val="20"/>
                    <w:szCs w:val="20"/>
                    <w:vertAlign w:val="superscript"/>
                  </w:rPr>
                  <w:instrText xml:space="preserve"> CITATION EPAR \l 3082 </w:instrText>
                </w:r>
                <w:r w:rsidR="00743E44" w:rsidRPr="00F3788E">
                  <w:rPr>
                    <w:rFonts w:ascii="Arial" w:eastAsia="Arial" w:hAnsi="Arial" w:cs="Arial"/>
                    <w:sz w:val="20"/>
                    <w:szCs w:val="20"/>
                    <w:vertAlign w:val="superscript"/>
                  </w:rPr>
                  <w:fldChar w:fldCharType="separate"/>
                </w:r>
                <w:r w:rsidR="00C560F5">
                  <w:rPr>
                    <w:rFonts w:ascii="Arial" w:eastAsia="Arial" w:hAnsi="Arial" w:cs="Arial"/>
                    <w:noProof/>
                    <w:sz w:val="20"/>
                    <w:szCs w:val="20"/>
                    <w:vertAlign w:val="superscript"/>
                  </w:rPr>
                  <w:t xml:space="preserve"> </w:t>
                </w:r>
                <w:r w:rsidR="00C560F5" w:rsidRPr="00C560F5">
                  <w:rPr>
                    <w:rFonts w:ascii="Arial" w:eastAsia="Arial" w:hAnsi="Arial" w:cs="Arial"/>
                    <w:noProof/>
                    <w:sz w:val="20"/>
                    <w:szCs w:val="20"/>
                  </w:rPr>
                  <w:t>(2)</w:t>
                </w:r>
                <w:r w:rsidR="00743E44" w:rsidRPr="00F3788E">
                  <w:rPr>
                    <w:rFonts w:ascii="Arial" w:eastAsia="Arial" w:hAnsi="Arial" w:cs="Arial"/>
                    <w:sz w:val="20"/>
                    <w:szCs w:val="20"/>
                    <w:vertAlign w:val="superscript"/>
                  </w:rPr>
                  <w:fldChar w:fldCharType="end"/>
                </w:r>
              </w:sdtContent>
            </w:sdt>
            <w:sdt>
              <w:sdtPr>
                <w:rPr>
                  <w:rFonts w:ascii="Arial" w:eastAsia="Arial" w:hAnsi="Arial" w:cs="Arial"/>
                  <w:sz w:val="20"/>
                  <w:szCs w:val="20"/>
                  <w:vertAlign w:val="superscript"/>
                </w:rPr>
                <w:id w:val="1512798969"/>
                <w:citation/>
              </w:sdtPr>
              <w:sdtEndPr/>
              <w:sdtContent>
                <w:r w:rsidR="00743E44" w:rsidRPr="00F3788E">
                  <w:rPr>
                    <w:rFonts w:ascii="Arial" w:eastAsia="Arial" w:hAnsi="Arial" w:cs="Arial"/>
                    <w:sz w:val="20"/>
                    <w:szCs w:val="20"/>
                    <w:vertAlign w:val="superscript"/>
                  </w:rPr>
                  <w:fldChar w:fldCharType="begin"/>
                </w:r>
                <w:r w:rsidR="00EF205E" w:rsidRPr="00F3788E">
                  <w:rPr>
                    <w:rFonts w:ascii="Arial" w:eastAsia="Arial" w:hAnsi="Arial" w:cs="Arial"/>
                    <w:sz w:val="20"/>
                    <w:szCs w:val="20"/>
                    <w:vertAlign w:val="superscript"/>
                  </w:rPr>
                  <w:instrText xml:space="preserve"> CITATION Orp22 \l 3082 </w:instrText>
                </w:r>
                <w:r w:rsidR="00743E44" w:rsidRPr="00F3788E">
                  <w:rPr>
                    <w:rFonts w:ascii="Arial" w:eastAsia="Arial" w:hAnsi="Arial" w:cs="Arial"/>
                    <w:sz w:val="20"/>
                    <w:szCs w:val="20"/>
                    <w:vertAlign w:val="superscript"/>
                  </w:rPr>
                  <w:fldChar w:fldCharType="separate"/>
                </w:r>
                <w:r w:rsidR="00C560F5">
                  <w:rPr>
                    <w:rFonts w:ascii="Arial" w:eastAsia="Arial" w:hAnsi="Arial" w:cs="Arial"/>
                    <w:noProof/>
                    <w:sz w:val="20"/>
                    <w:szCs w:val="20"/>
                    <w:vertAlign w:val="superscript"/>
                  </w:rPr>
                  <w:t xml:space="preserve"> </w:t>
                </w:r>
                <w:r w:rsidR="00C560F5" w:rsidRPr="00C560F5">
                  <w:rPr>
                    <w:rFonts w:ascii="Arial" w:eastAsia="Arial" w:hAnsi="Arial" w:cs="Arial"/>
                    <w:noProof/>
                    <w:sz w:val="20"/>
                    <w:szCs w:val="20"/>
                  </w:rPr>
                  <w:t>(3)</w:t>
                </w:r>
                <w:r w:rsidR="00743E44" w:rsidRPr="00F3788E">
                  <w:rPr>
                    <w:rFonts w:ascii="Arial" w:eastAsia="Arial" w:hAnsi="Arial" w:cs="Arial"/>
                    <w:sz w:val="20"/>
                    <w:szCs w:val="20"/>
                    <w:vertAlign w:val="superscript"/>
                  </w:rPr>
                  <w:fldChar w:fldCharType="end"/>
                </w:r>
              </w:sdtContent>
            </w:sdt>
            <w:sdt>
              <w:sdtPr>
                <w:rPr>
                  <w:rFonts w:ascii="Arial" w:eastAsia="Arial" w:hAnsi="Arial" w:cs="Arial"/>
                  <w:sz w:val="20"/>
                  <w:szCs w:val="20"/>
                  <w:vertAlign w:val="superscript"/>
                </w:rPr>
                <w:id w:val="-2013756251"/>
                <w:citation/>
              </w:sdtPr>
              <w:sdtEndPr/>
              <w:sdtContent>
                <w:r w:rsidR="00743E44" w:rsidRPr="00F3788E">
                  <w:rPr>
                    <w:rFonts w:ascii="Arial" w:eastAsia="Arial" w:hAnsi="Arial" w:cs="Arial"/>
                    <w:sz w:val="20"/>
                    <w:szCs w:val="20"/>
                    <w:vertAlign w:val="superscript"/>
                  </w:rPr>
                  <w:fldChar w:fldCharType="begin"/>
                </w:r>
                <w:r w:rsidR="00EF205E" w:rsidRPr="00F3788E">
                  <w:rPr>
                    <w:rFonts w:ascii="Arial" w:eastAsia="Arial" w:hAnsi="Arial" w:cs="Arial"/>
                    <w:sz w:val="20"/>
                    <w:szCs w:val="20"/>
                    <w:vertAlign w:val="superscript"/>
                  </w:rPr>
                  <w:instrText xml:space="preserve"> CITATION Hor08 \l 3082 </w:instrText>
                </w:r>
                <w:r w:rsidR="00743E44" w:rsidRPr="00F3788E">
                  <w:rPr>
                    <w:rFonts w:ascii="Arial" w:eastAsia="Arial" w:hAnsi="Arial" w:cs="Arial"/>
                    <w:sz w:val="20"/>
                    <w:szCs w:val="20"/>
                    <w:vertAlign w:val="superscript"/>
                  </w:rPr>
                  <w:fldChar w:fldCharType="separate"/>
                </w:r>
                <w:r w:rsidR="00C560F5">
                  <w:rPr>
                    <w:rFonts w:ascii="Arial" w:eastAsia="Arial" w:hAnsi="Arial" w:cs="Arial"/>
                    <w:noProof/>
                    <w:sz w:val="20"/>
                    <w:szCs w:val="20"/>
                    <w:vertAlign w:val="superscript"/>
                  </w:rPr>
                  <w:t xml:space="preserve"> </w:t>
                </w:r>
                <w:r w:rsidR="00C560F5" w:rsidRPr="00C560F5">
                  <w:rPr>
                    <w:rFonts w:ascii="Arial" w:eastAsia="Arial" w:hAnsi="Arial" w:cs="Arial"/>
                    <w:noProof/>
                    <w:sz w:val="20"/>
                    <w:szCs w:val="20"/>
                  </w:rPr>
                  <w:t>(4)</w:t>
                </w:r>
                <w:r w:rsidR="00743E44" w:rsidRPr="00F3788E">
                  <w:rPr>
                    <w:rFonts w:ascii="Arial" w:eastAsia="Arial" w:hAnsi="Arial" w:cs="Arial"/>
                    <w:sz w:val="20"/>
                    <w:szCs w:val="20"/>
                    <w:vertAlign w:val="superscript"/>
                  </w:rPr>
                  <w:fldChar w:fldCharType="end"/>
                </w:r>
              </w:sdtContent>
            </w:sdt>
            <w:r w:rsidR="00EF205E">
              <w:rPr>
                <w:rFonts w:ascii="Arial" w:eastAsia="Arial" w:hAnsi="Arial" w:cs="Arial"/>
                <w:sz w:val="20"/>
                <w:szCs w:val="20"/>
              </w:rPr>
              <w:t xml:space="preserve">. </w:t>
            </w:r>
            <w:r>
              <w:rPr>
                <w:rFonts w:ascii="Arial" w:eastAsia="Arial" w:hAnsi="Arial" w:cs="Arial"/>
                <w:sz w:val="20"/>
                <w:szCs w:val="20"/>
              </w:rPr>
              <w:t xml:space="preserve">El documento de la OMS distingue la clásica MS con mutación KIT de la neoplasia mieloprofierativa cromosoma Ph(-) con eosinofilia, esplenomegalia, elevación marcada de B12 sérica y de triptasa sérica e incremento de CM en médula ósea, </w:t>
            </w:r>
            <w:r w:rsidR="00502CC8">
              <w:rPr>
                <w:rFonts w:ascii="Arial" w:eastAsia="Arial" w:hAnsi="Arial" w:cs="Arial"/>
                <w:sz w:val="20"/>
                <w:szCs w:val="20"/>
              </w:rPr>
              <w:t>comúnmente</w:t>
            </w:r>
            <w:r>
              <w:rPr>
                <w:rFonts w:ascii="Arial" w:eastAsia="Arial" w:hAnsi="Arial" w:cs="Arial"/>
                <w:sz w:val="20"/>
                <w:szCs w:val="20"/>
              </w:rPr>
              <w:t xml:space="preserve"> en forma de infiltrados. </w:t>
            </w:r>
          </w:p>
          <w:p w:rsidR="00B74082" w:rsidRDefault="00B74082" w:rsidP="00502CC8">
            <w:pPr>
              <w:ind w:left="0" w:hanging="2"/>
              <w:jc w:val="both"/>
              <w:rPr>
                <w:rFonts w:ascii="Arial" w:eastAsia="Arial" w:hAnsi="Arial" w:cs="Arial"/>
                <w:sz w:val="20"/>
                <w:szCs w:val="20"/>
              </w:rPr>
            </w:pPr>
          </w:p>
        </w:tc>
      </w:tr>
      <w:tr w:rsidR="00B74082" w:rsidTr="00502CC8">
        <w:trPr>
          <w:cantSplit/>
        </w:trPr>
        <w:tc>
          <w:tcPr>
            <w:tcW w:w="1702" w:type="dxa"/>
            <w:shd w:val="clear" w:color="auto" w:fill="E6E6E6"/>
          </w:tcPr>
          <w:p w:rsidR="00B74082" w:rsidRPr="00502CC8" w:rsidRDefault="00DA20C8">
            <w:pPr>
              <w:ind w:left="0" w:hanging="2"/>
              <w:rPr>
                <w:rFonts w:ascii="Arial" w:eastAsia="Arial" w:hAnsi="Arial" w:cs="Arial"/>
                <w:b/>
                <w:sz w:val="16"/>
                <w:szCs w:val="16"/>
              </w:rPr>
            </w:pPr>
            <w:r w:rsidRPr="00502CC8">
              <w:rPr>
                <w:rFonts w:ascii="Arial" w:eastAsia="Arial" w:hAnsi="Arial" w:cs="Arial"/>
                <w:b/>
                <w:sz w:val="16"/>
                <w:szCs w:val="16"/>
              </w:rPr>
              <w:t>Principales manifestaciones clínicas</w:t>
            </w:r>
          </w:p>
        </w:tc>
        <w:tc>
          <w:tcPr>
            <w:tcW w:w="7229" w:type="dxa"/>
          </w:tcPr>
          <w:p w:rsidR="00B74082" w:rsidRDefault="00DA20C8" w:rsidP="00502CC8">
            <w:pPr>
              <w:ind w:left="0" w:hanging="2"/>
              <w:jc w:val="both"/>
              <w:rPr>
                <w:rFonts w:ascii="Arial" w:eastAsia="Arial" w:hAnsi="Arial" w:cs="Arial"/>
                <w:sz w:val="20"/>
                <w:szCs w:val="20"/>
              </w:rPr>
            </w:pPr>
            <w:r>
              <w:rPr>
                <w:rFonts w:ascii="Arial" w:eastAsia="Arial" w:hAnsi="Arial" w:cs="Arial"/>
                <w:sz w:val="20"/>
                <w:szCs w:val="20"/>
              </w:rPr>
              <w:t xml:space="preserve">El diagnóstico y </w:t>
            </w:r>
            <w:r w:rsidR="00502CC8">
              <w:rPr>
                <w:rFonts w:ascii="Arial" w:eastAsia="Arial" w:hAnsi="Arial" w:cs="Arial"/>
                <w:sz w:val="20"/>
                <w:szCs w:val="20"/>
              </w:rPr>
              <w:t>clasificación</w:t>
            </w:r>
            <w:r>
              <w:rPr>
                <w:rFonts w:ascii="Arial" w:eastAsia="Arial" w:hAnsi="Arial" w:cs="Arial"/>
                <w:sz w:val="20"/>
                <w:szCs w:val="20"/>
              </w:rPr>
              <w:t xml:space="preserve"> de la enfermedad se hace actualmente de acuerdo a los criterios establecidos por la OMS</w:t>
            </w:r>
            <w:sdt>
              <w:sdtPr>
                <w:rPr>
                  <w:rFonts w:ascii="Arial" w:eastAsia="Arial" w:hAnsi="Arial" w:cs="Arial"/>
                  <w:sz w:val="20"/>
                  <w:szCs w:val="20"/>
                  <w:vertAlign w:val="superscript"/>
                </w:rPr>
                <w:id w:val="-1150282582"/>
                <w:citation/>
              </w:sdtPr>
              <w:sdtEndPr/>
              <w:sdtContent>
                <w:r w:rsidR="00743E44" w:rsidRPr="00F3788E">
                  <w:rPr>
                    <w:rFonts w:ascii="Arial" w:eastAsia="Arial" w:hAnsi="Arial" w:cs="Arial"/>
                    <w:sz w:val="20"/>
                    <w:szCs w:val="20"/>
                    <w:vertAlign w:val="superscript"/>
                  </w:rPr>
                  <w:fldChar w:fldCharType="begin"/>
                </w:r>
                <w:r w:rsidR="00EF205E" w:rsidRPr="00F3788E">
                  <w:rPr>
                    <w:rFonts w:ascii="Arial" w:eastAsia="Arial" w:hAnsi="Arial" w:cs="Arial"/>
                    <w:sz w:val="20"/>
                    <w:szCs w:val="20"/>
                    <w:vertAlign w:val="superscript"/>
                  </w:rPr>
                  <w:instrText xml:space="preserve"> CITATION Hor08 \l 3082 </w:instrText>
                </w:r>
                <w:r w:rsidR="00743E44" w:rsidRPr="00F3788E">
                  <w:rPr>
                    <w:rFonts w:ascii="Arial" w:eastAsia="Arial" w:hAnsi="Arial" w:cs="Arial"/>
                    <w:sz w:val="20"/>
                    <w:szCs w:val="20"/>
                    <w:vertAlign w:val="superscript"/>
                  </w:rPr>
                  <w:fldChar w:fldCharType="separate"/>
                </w:r>
                <w:r w:rsidR="00C560F5">
                  <w:rPr>
                    <w:rFonts w:ascii="Arial" w:eastAsia="Arial" w:hAnsi="Arial" w:cs="Arial"/>
                    <w:noProof/>
                    <w:sz w:val="20"/>
                    <w:szCs w:val="20"/>
                    <w:vertAlign w:val="superscript"/>
                  </w:rPr>
                  <w:t xml:space="preserve"> </w:t>
                </w:r>
                <w:r w:rsidR="00C560F5" w:rsidRPr="00C560F5">
                  <w:rPr>
                    <w:rFonts w:ascii="Arial" w:eastAsia="Arial" w:hAnsi="Arial" w:cs="Arial"/>
                    <w:noProof/>
                    <w:sz w:val="20"/>
                    <w:szCs w:val="20"/>
                  </w:rPr>
                  <w:t>(4)</w:t>
                </w:r>
                <w:r w:rsidR="00743E44" w:rsidRPr="00F3788E">
                  <w:rPr>
                    <w:rFonts w:ascii="Arial" w:eastAsia="Arial" w:hAnsi="Arial" w:cs="Arial"/>
                    <w:sz w:val="20"/>
                    <w:szCs w:val="20"/>
                    <w:vertAlign w:val="superscript"/>
                  </w:rPr>
                  <w:fldChar w:fldCharType="end"/>
                </w:r>
              </w:sdtContent>
            </w:sdt>
            <w:r w:rsidRPr="00F3788E">
              <w:rPr>
                <w:rFonts w:ascii="Arial" w:eastAsia="Arial" w:hAnsi="Arial" w:cs="Arial"/>
                <w:sz w:val="20"/>
                <w:szCs w:val="20"/>
                <w:vertAlign w:val="superscript"/>
              </w:rPr>
              <w:t>.</w:t>
            </w:r>
            <w:r>
              <w:rPr>
                <w:rFonts w:ascii="Arial" w:eastAsia="Arial" w:hAnsi="Arial" w:cs="Arial"/>
                <w:sz w:val="20"/>
                <w:szCs w:val="20"/>
              </w:rPr>
              <w:t xml:space="preserve"> El diagnóstico se confirma con el hallazgo de infiltrados densos multifocales de células mastocíticas en médula ósea y/o otros órganos extracutáneos (criterio mayor) y uno de los siguientes criterios menores </w:t>
            </w:r>
            <w:r w:rsidRPr="00F3788E">
              <w:rPr>
                <w:rFonts w:ascii="Arial" w:eastAsia="Arial" w:hAnsi="Arial" w:cs="Arial"/>
                <w:sz w:val="20"/>
                <w:szCs w:val="20"/>
                <w:vertAlign w:val="superscript"/>
              </w:rPr>
              <w:t>(1-5):</w:t>
            </w:r>
            <w:r>
              <w:rPr>
                <w:rFonts w:ascii="Arial" w:eastAsia="Arial" w:hAnsi="Arial" w:cs="Arial"/>
                <w:sz w:val="20"/>
                <w:szCs w:val="20"/>
              </w:rPr>
              <w:t xml:space="preserve"> </w:t>
            </w:r>
          </w:p>
          <w:p w:rsidR="00B74082" w:rsidRDefault="00DA20C8" w:rsidP="00502CC8">
            <w:pPr>
              <w:numPr>
                <w:ilvl w:val="0"/>
                <w:numId w:val="8"/>
              </w:numPr>
              <w:ind w:left="0" w:hanging="2"/>
              <w:jc w:val="both"/>
              <w:rPr>
                <w:rFonts w:ascii="Arial" w:eastAsia="Arial" w:hAnsi="Arial" w:cs="Arial"/>
                <w:sz w:val="20"/>
                <w:szCs w:val="20"/>
              </w:rPr>
            </w:pPr>
            <w:r>
              <w:rPr>
                <w:rFonts w:ascii="Arial" w:eastAsia="Arial" w:hAnsi="Arial" w:cs="Arial"/>
                <w:sz w:val="20"/>
                <w:szCs w:val="20"/>
              </w:rPr>
              <w:t>Morfología atípica de CM en médula ósea o en otro órgano extracutáneo.</w:t>
            </w:r>
          </w:p>
          <w:p w:rsidR="00B74082" w:rsidRDefault="00DA20C8" w:rsidP="00502CC8">
            <w:pPr>
              <w:numPr>
                <w:ilvl w:val="0"/>
                <w:numId w:val="8"/>
              </w:numPr>
              <w:ind w:left="0" w:hanging="2"/>
              <w:jc w:val="both"/>
              <w:rPr>
                <w:rFonts w:ascii="Arial" w:eastAsia="Arial" w:hAnsi="Arial" w:cs="Arial"/>
                <w:sz w:val="20"/>
                <w:szCs w:val="20"/>
              </w:rPr>
            </w:pPr>
            <w:r>
              <w:rPr>
                <w:rFonts w:ascii="Arial" w:eastAsia="Arial" w:hAnsi="Arial" w:cs="Arial"/>
                <w:sz w:val="20"/>
                <w:szCs w:val="20"/>
              </w:rPr>
              <w:t>Mutación KIT D816V en médula ósea, sangre u otro órgano extracutáneo.</w:t>
            </w:r>
          </w:p>
          <w:p w:rsidR="00B74082" w:rsidRDefault="00DA20C8" w:rsidP="00502CC8">
            <w:pPr>
              <w:numPr>
                <w:ilvl w:val="0"/>
                <w:numId w:val="8"/>
              </w:numPr>
              <w:ind w:left="0" w:hanging="2"/>
              <w:jc w:val="both"/>
              <w:rPr>
                <w:rFonts w:ascii="Arial" w:eastAsia="Arial" w:hAnsi="Arial" w:cs="Arial"/>
                <w:sz w:val="20"/>
                <w:szCs w:val="20"/>
              </w:rPr>
            </w:pPr>
            <w:r>
              <w:rPr>
                <w:rFonts w:ascii="Arial" w:eastAsia="Arial" w:hAnsi="Arial" w:cs="Arial"/>
                <w:sz w:val="20"/>
                <w:szCs w:val="20"/>
              </w:rPr>
              <w:t>Expresión anormal de CD25 con o sin CD2 en CM, médula ósea, sangre u otro órgano extracutáneo.</w:t>
            </w:r>
          </w:p>
          <w:p w:rsidR="00B74082" w:rsidRDefault="00DA20C8" w:rsidP="00502CC8">
            <w:pPr>
              <w:numPr>
                <w:ilvl w:val="0"/>
                <w:numId w:val="8"/>
              </w:numPr>
              <w:ind w:left="0" w:hanging="2"/>
              <w:jc w:val="both"/>
              <w:rPr>
                <w:rFonts w:ascii="Arial" w:eastAsia="Arial" w:hAnsi="Arial" w:cs="Arial"/>
                <w:sz w:val="20"/>
                <w:szCs w:val="20"/>
              </w:rPr>
            </w:pPr>
            <w:r>
              <w:rPr>
                <w:rFonts w:ascii="Arial" w:eastAsia="Arial" w:hAnsi="Arial" w:cs="Arial"/>
                <w:sz w:val="20"/>
                <w:szCs w:val="20"/>
              </w:rPr>
              <w:t>Niveles elevados de tript</w:t>
            </w:r>
            <w:r w:rsidR="00F3788E">
              <w:rPr>
                <w:rFonts w:ascii="Arial" w:eastAsia="Arial" w:hAnsi="Arial" w:cs="Arial"/>
                <w:sz w:val="20"/>
                <w:szCs w:val="20"/>
              </w:rPr>
              <w:t>asa sérica (&gt;20 ng/ml).</w:t>
            </w:r>
          </w:p>
          <w:p w:rsidR="00B74082" w:rsidRDefault="00DA20C8" w:rsidP="00502CC8">
            <w:pPr>
              <w:ind w:left="0" w:hanging="2"/>
              <w:jc w:val="both"/>
              <w:rPr>
                <w:rFonts w:ascii="Arial" w:eastAsia="Arial" w:hAnsi="Arial" w:cs="Arial"/>
                <w:sz w:val="20"/>
                <w:szCs w:val="20"/>
              </w:rPr>
            </w:pPr>
            <w:r>
              <w:rPr>
                <w:rFonts w:ascii="Arial" w:eastAsia="Arial" w:hAnsi="Arial" w:cs="Arial"/>
                <w:sz w:val="20"/>
                <w:szCs w:val="20"/>
              </w:rPr>
              <w:t>En el caso de que no existan infiltrados será necesaria la presencia de 3 de los 4 criterios menores.</w:t>
            </w:r>
          </w:p>
          <w:p w:rsidR="00B74082" w:rsidRDefault="00B74082" w:rsidP="00502CC8">
            <w:pPr>
              <w:ind w:left="0" w:hanging="2"/>
              <w:jc w:val="both"/>
              <w:rPr>
                <w:rFonts w:ascii="Arial" w:eastAsia="Arial" w:hAnsi="Arial" w:cs="Arial"/>
                <w:sz w:val="20"/>
                <w:szCs w:val="20"/>
              </w:rPr>
            </w:pPr>
          </w:p>
          <w:p w:rsidR="00B74082" w:rsidRDefault="00DA20C8" w:rsidP="00502CC8">
            <w:pPr>
              <w:ind w:left="0" w:hanging="2"/>
              <w:jc w:val="both"/>
              <w:rPr>
                <w:rFonts w:ascii="Arial" w:eastAsia="Arial" w:hAnsi="Arial" w:cs="Arial"/>
                <w:sz w:val="20"/>
                <w:szCs w:val="20"/>
              </w:rPr>
            </w:pPr>
            <w:r>
              <w:rPr>
                <w:rFonts w:ascii="Arial" w:eastAsia="Arial" w:hAnsi="Arial" w:cs="Arial"/>
                <w:sz w:val="20"/>
                <w:szCs w:val="20"/>
              </w:rPr>
              <w:t>La presentación clínica de la MS consiste en una variante más agresiva de la enfer</w:t>
            </w:r>
            <w:r w:rsidR="00F3788E">
              <w:rPr>
                <w:rFonts w:ascii="Arial" w:eastAsia="Arial" w:hAnsi="Arial" w:cs="Arial"/>
                <w:sz w:val="20"/>
                <w:szCs w:val="20"/>
              </w:rPr>
              <w:t>medad, con síntomas extracutáne</w:t>
            </w:r>
            <w:r>
              <w:rPr>
                <w:rFonts w:ascii="Arial" w:eastAsia="Arial" w:hAnsi="Arial" w:cs="Arial"/>
                <w:sz w:val="20"/>
                <w:szCs w:val="20"/>
              </w:rPr>
              <w:t>os que pueden estar asociados a fallo multiorgánico. Algunos de estos síntomas en los estadíos más avanzados de la enfermedad son: osteolisis con/sin fractura patológica, linfoadenopatías, esplenomegalia, hepatomegalia, citopenias y malabsorción con pérdida de peso.</w:t>
            </w:r>
          </w:p>
        </w:tc>
      </w:tr>
      <w:tr w:rsidR="00B74082" w:rsidTr="00502CC8">
        <w:trPr>
          <w:cantSplit/>
        </w:trPr>
        <w:tc>
          <w:tcPr>
            <w:tcW w:w="1702" w:type="dxa"/>
            <w:shd w:val="clear" w:color="auto" w:fill="E6E6E6"/>
          </w:tcPr>
          <w:p w:rsidR="00B74082" w:rsidRPr="00502CC8" w:rsidRDefault="00DA20C8">
            <w:pPr>
              <w:ind w:left="0" w:hanging="2"/>
              <w:rPr>
                <w:rFonts w:ascii="Arial" w:eastAsia="Arial" w:hAnsi="Arial" w:cs="Arial"/>
                <w:b/>
                <w:sz w:val="16"/>
                <w:szCs w:val="16"/>
              </w:rPr>
            </w:pPr>
            <w:r w:rsidRPr="00502CC8">
              <w:rPr>
                <w:rFonts w:ascii="Arial" w:eastAsia="Arial" w:hAnsi="Arial" w:cs="Arial"/>
                <w:b/>
                <w:sz w:val="16"/>
                <w:szCs w:val="16"/>
              </w:rPr>
              <w:t>Incidencia y prevalencia</w:t>
            </w:r>
          </w:p>
        </w:tc>
        <w:tc>
          <w:tcPr>
            <w:tcW w:w="7229" w:type="dxa"/>
          </w:tcPr>
          <w:p w:rsidR="00B74082" w:rsidRDefault="00DA20C8" w:rsidP="00502CC8">
            <w:pPr>
              <w:ind w:left="0" w:hanging="2"/>
              <w:jc w:val="both"/>
              <w:rPr>
                <w:rFonts w:ascii="Arial" w:eastAsia="Arial" w:hAnsi="Arial" w:cs="Arial"/>
                <w:sz w:val="20"/>
                <w:szCs w:val="20"/>
              </w:rPr>
            </w:pPr>
            <w:r>
              <w:rPr>
                <w:rFonts w:ascii="Arial" w:eastAsia="Arial" w:hAnsi="Arial" w:cs="Arial"/>
                <w:sz w:val="20"/>
                <w:szCs w:val="20"/>
              </w:rPr>
              <w:t>La incidencia exacta de mastocitosis sistémica no está bien</w:t>
            </w:r>
          </w:p>
          <w:p w:rsidR="00B74082" w:rsidRDefault="00DA20C8" w:rsidP="00F3788E">
            <w:pPr>
              <w:ind w:left="0" w:hanging="2"/>
              <w:jc w:val="both"/>
              <w:rPr>
                <w:rFonts w:ascii="Arial" w:eastAsia="Arial" w:hAnsi="Arial" w:cs="Arial"/>
                <w:sz w:val="20"/>
                <w:szCs w:val="20"/>
              </w:rPr>
            </w:pPr>
            <w:r>
              <w:rPr>
                <w:rFonts w:ascii="Arial" w:eastAsia="Arial" w:hAnsi="Arial" w:cs="Arial"/>
                <w:sz w:val="20"/>
                <w:szCs w:val="20"/>
              </w:rPr>
              <w:t>determinada, pero se estima una prevalencia inferior al 1/ 100.000 habitantes/año (0,89/100.000 para todos los subtipos de mastocitosis), aunque dada la dificultad diagnóst</w:t>
            </w:r>
            <w:r w:rsidR="00F3788E">
              <w:rPr>
                <w:rFonts w:ascii="Arial" w:eastAsia="Arial" w:hAnsi="Arial" w:cs="Arial"/>
                <w:sz w:val="20"/>
                <w:szCs w:val="20"/>
              </w:rPr>
              <w:t xml:space="preserve">ica de esta enfermedad se supone </w:t>
            </w:r>
            <w:r>
              <w:rPr>
                <w:rFonts w:ascii="Arial" w:eastAsia="Arial" w:hAnsi="Arial" w:cs="Arial"/>
                <w:sz w:val="20"/>
                <w:szCs w:val="20"/>
              </w:rPr>
              <w:t xml:space="preserve">que dicha prevalencia puede estar infraestimada </w:t>
            </w:r>
            <w:sdt>
              <w:sdtPr>
                <w:rPr>
                  <w:rFonts w:ascii="Arial" w:eastAsia="Arial" w:hAnsi="Arial" w:cs="Arial"/>
                  <w:sz w:val="20"/>
                  <w:szCs w:val="20"/>
                  <w:vertAlign w:val="superscript"/>
                </w:rPr>
                <w:id w:val="-1440596043"/>
                <w:citation/>
              </w:sdtPr>
              <w:sdtEndPr/>
              <w:sdtContent>
                <w:r w:rsidR="00743E44" w:rsidRPr="00F3788E">
                  <w:rPr>
                    <w:rFonts w:ascii="Arial" w:eastAsia="Arial" w:hAnsi="Arial" w:cs="Arial"/>
                    <w:sz w:val="20"/>
                    <w:szCs w:val="20"/>
                    <w:vertAlign w:val="superscript"/>
                  </w:rPr>
                  <w:fldChar w:fldCharType="begin"/>
                </w:r>
                <w:r w:rsidR="00EF205E" w:rsidRPr="00F3788E">
                  <w:rPr>
                    <w:rFonts w:ascii="Arial" w:eastAsia="Arial" w:hAnsi="Arial" w:cs="Arial"/>
                    <w:sz w:val="20"/>
                    <w:szCs w:val="20"/>
                    <w:vertAlign w:val="superscript"/>
                  </w:rPr>
                  <w:instrText xml:space="preserve"> CITATION Coh14 \l 3082 </w:instrText>
                </w:r>
                <w:r w:rsidR="00743E44" w:rsidRPr="00F3788E">
                  <w:rPr>
                    <w:rFonts w:ascii="Arial" w:eastAsia="Arial" w:hAnsi="Arial" w:cs="Arial"/>
                    <w:sz w:val="20"/>
                    <w:szCs w:val="20"/>
                    <w:vertAlign w:val="superscript"/>
                  </w:rPr>
                  <w:fldChar w:fldCharType="separate"/>
                </w:r>
                <w:r w:rsidR="00C560F5" w:rsidRPr="00C560F5">
                  <w:rPr>
                    <w:rFonts w:ascii="Arial" w:eastAsia="Arial" w:hAnsi="Arial" w:cs="Arial"/>
                    <w:noProof/>
                    <w:sz w:val="20"/>
                    <w:szCs w:val="20"/>
                  </w:rPr>
                  <w:t>(5)</w:t>
                </w:r>
                <w:r w:rsidR="00743E44" w:rsidRPr="00F3788E">
                  <w:rPr>
                    <w:rFonts w:ascii="Arial" w:eastAsia="Arial" w:hAnsi="Arial" w:cs="Arial"/>
                    <w:sz w:val="20"/>
                    <w:szCs w:val="20"/>
                    <w:vertAlign w:val="superscript"/>
                  </w:rPr>
                  <w:fldChar w:fldCharType="end"/>
                </w:r>
              </w:sdtContent>
            </w:sdt>
            <w:r>
              <w:rPr>
                <w:rFonts w:ascii="Arial" w:eastAsia="Arial" w:hAnsi="Arial" w:cs="Arial"/>
                <w:sz w:val="20"/>
                <w:szCs w:val="20"/>
              </w:rPr>
              <w:t xml:space="preserve">. Según Orphanet, la prevalencia en Europa se encuentra entre 1/7.700 y 1/10.400  habitantes, afectando preferentemente a individuos caucásicos, sin predominancia de sexo </w:t>
            </w:r>
            <w:sdt>
              <w:sdtPr>
                <w:rPr>
                  <w:rFonts w:ascii="Arial" w:eastAsia="Arial" w:hAnsi="Arial" w:cs="Arial"/>
                  <w:sz w:val="20"/>
                  <w:szCs w:val="20"/>
                  <w:vertAlign w:val="superscript"/>
                </w:rPr>
                <w:id w:val="1666979003"/>
                <w:citation/>
              </w:sdtPr>
              <w:sdtEndPr/>
              <w:sdtContent>
                <w:r w:rsidR="00743E44" w:rsidRPr="00F3788E">
                  <w:rPr>
                    <w:rFonts w:ascii="Arial" w:eastAsia="Arial" w:hAnsi="Arial" w:cs="Arial"/>
                    <w:sz w:val="20"/>
                    <w:szCs w:val="20"/>
                    <w:vertAlign w:val="superscript"/>
                  </w:rPr>
                  <w:fldChar w:fldCharType="begin"/>
                </w:r>
                <w:r w:rsidR="00EF205E" w:rsidRPr="00F3788E">
                  <w:rPr>
                    <w:rFonts w:ascii="Arial" w:eastAsia="Arial" w:hAnsi="Arial" w:cs="Arial"/>
                    <w:sz w:val="20"/>
                    <w:szCs w:val="20"/>
                    <w:vertAlign w:val="superscript"/>
                  </w:rPr>
                  <w:instrText xml:space="preserve"> CITATION Orp22 \l 3082 </w:instrText>
                </w:r>
                <w:r w:rsidR="00743E44" w:rsidRPr="00F3788E">
                  <w:rPr>
                    <w:rFonts w:ascii="Arial" w:eastAsia="Arial" w:hAnsi="Arial" w:cs="Arial"/>
                    <w:sz w:val="20"/>
                    <w:szCs w:val="20"/>
                    <w:vertAlign w:val="superscript"/>
                  </w:rPr>
                  <w:fldChar w:fldCharType="separate"/>
                </w:r>
                <w:r w:rsidR="00C560F5" w:rsidRPr="00C560F5">
                  <w:rPr>
                    <w:rFonts w:ascii="Arial" w:eastAsia="Arial" w:hAnsi="Arial" w:cs="Arial"/>
                    <w:noProof/>
                    <w:sz w:val="20"/>
                    <w:szCs w:val="20"/>
                  </w:rPr>
                  <w:t>(3)</w:t>
                </w:r>
                <w:r w:rsidR="00743E44" w:rsidRPr="00F3788E">
                  <w:rPr>
                    <w:rFonts w:ascii="Arial" w:eastAsia="Arial" w:hAnsi="Arial" w:cs="Arial"/>
                    <w:sz w:val="20"/>
                    <w:szCs w:val="20"/>
                    <w:vertAlign w:val="superscript"/>
                  </w:rPr>
                  <w:fldChar w:fldCharType="end"/>
                </w:r>
              </w:sdtContent>
            </w:sdt>
            <w:r>
              <w:rPr>
                <w:rFonts w:ascii="Arial" w:eastAsia="Arial" w:hAnsi="Arial" w:cs="Arial"/>
                <w:sz w:val="20"/>
                <w:szCs w:val="20"/>
              </w:rPr>
              <w:t xml:space="preserve">. </w:t>
            </w:r>
            <w:r w:rsidR="008D791C">
              <w:rPr>
                <w:rFonts w:ascii="Arial" w:eastAsia="Arial" w:hAnsi="Arial" w:cs="Arial"/>
                <w:sz w:val="20"/>
                <w:szCs w:val="20"/>
              </w:rPr>
              <w:t>En el caso de la variante más agresiva, en el trabajo de Schwabb et al</w:t>
            </w:r>
            <w:r w:rsidR="00F3788E">
              <w:rPr>
                <w:rFonts w:ascii="Arial" w:eastAsia="Arial" w:hAnsi="Arial" w:cs="Arial"/>
                <w:sz w:val="20"/>
                <w:szCs w:val="20"/>
              </w:rPr>
              <w:t xml:space="preserve"> se estima una prevalencia de 0,</w:t>
            </w:r>
            <w:r w:rsidR="008D791C">
              <w:rPr>
                <w:rFonts w:ascii="Arial" w:eastAsia="Arial" w:hAnsi="Arial" w:cs="Arial"/>
                <w:sz w:val="20"/>
                <w:szCs w:val="20"/>
              </w:rPr>
              <w:t>052 casos de MSA por cada 10.000 habitantes</w:t>
            </w:r>
            <w:sdt>
              <w:sdtPr>
                <w:rPr>
                  <w:rFonts w:ascii="Arial" w:eastAsia="Arial" w:hAnsi="Arial" w:cs="Arial"/>
                  <w:sz w:val="20"/>
                  <w:szCs w:val="20"/>
                  <w:vertAlign w:val="superscript"/>
                </w:rPr>
                <w:id w:val="1589118003"/>
                <w:citation/>
              </w:sdtPr>
              <w:sdtEndPr/>
              <w:sdtContent>
                <w:r w:rsidR="00743E44" w:rsidRPr="00F3788E">
                  <w:rPr>
                    <w:rFonts w:ascii="Arial" w:eastAsia="Arial" w:hAnsi="Arial" w:cs="Arial"/>
                    <w:sz w:val="20"/>
                    <w:szCs w:val="20"/>
                    <w:vertAlign w:val="superscript"/>
                  </w:rPr>
                  <w:fldChar w:fldCharType="begin"/>
                </w:r>
                <w:r w:rsidR="008D791C" w:rsidRPr="00F3788E">
                  <w:rPr>
                    <w:rFonts w:ascii="Arial" w:eastAsia="Arial" w:hAnsi="Arial" w:cs="Arial"/>
                    <w:sz w:val="20"/>
                    <w:szCs w:val="20"/>
                    <w:vertAlign w:val="superscript"/>
                  </w:rPr>
                  <w:instrText xml:space="preserve"> CITATION Sch20 \l 3082 </w:instrText>
                </w:r>
                <w:r w:rsidR="00743E44" w:rsidRPr="00F3788E">
                  <w:rPr>
                    <w:rFonts w:ascii="Arial" w:eastAsia="Arial" w:hAnsi="Arial" w:cs="Arial"/>
                    <w:sz w:val="20"/>
                    <w:szCs w:val="20"/>
                    <w:vertAlign w:val="superscript"/>
                  </w:rPr>
                  <w:fldChar w:fldCharType="separate"/>
                </w:r>
                <w:r w:rsidR="00C560F5">
                  <w:rPr>
                    <w:rFonts w:ascii="Arial" w:eastAsia="Arial" w:hAnsi="Arial" w:cs="Arial"/>
                    <w:noProof/>
                    <w:sz w:val="20"/>
                    <w:szCs w:val="20"/>
                    <w:vertAlign w:val="superscript"/>
                  </w:rPr>
                  <w:t xml:space="preserve"> </w:t>
                </w:r>
                <w:r w:rsidR="00C560F5" w:rsidRPr="00C560F5">
                  <w:rPr>
                    <w:rFonts w:ascii="Arial" w:eastAsia="Arial" w:hAnsi="Arial" w:cs="Arial"/>
                    <w:noProof/>
                    <w:sz w:val="20"/>
                    <w:szCs w:val="20"/>
                  </w:rPr>
                  <w:t>(6)</w:t>
                </w:r>
                <w:r w:rsidR="00743E44" w:rsidRPr="00F3788E">
                  <w:rPr>
                    <w:rFonts w:ascii="Arial" w:eastAsia="Arial" w:hAnsi="Arial" w:cs="Arial"/>
                    <w:sz w:val="20"/>
                    <w:szCs w:val="20"/>
                    <w:vertAlign w:val="superscript"/>
                  </w:rPr>
                  <w:fldChar w:fldCharType="end"/>
                </w:r>
              </w:sdtContent>
            </w:sdt>
            <w:r w:rsidR="008D791C">
              <w:rPr>
                <w:rFonts w:ascii="Arial" w:eastAsia="Arial" w:hAnsi="Arial" w:cs="Arial"/>
                <w:sz w:val="20"/>
                <w:szCs w:val="20"/>
              </w:rPr>
              <w:t xml:space="preserve">.  </w:t>
            </w:r>
          </w:p>
        </w:tc>
      </w:tr>
      <w:tr w:rsidR="00B74082" w:rsidTr="00502CC8">
        <w:trPr>
          <w:cantSplit/>
        </w:trPr>
        <w:tc>
          <w:tcPr>
            <w:tcW w:w="1702" w:type="dxa"/>
            <w:shd w:val="clear" w:color="auto" w:fill="E6E6E6"/>
          </w:tcPr>
          <w:p w:rsidR="00B74082" w:rsidRPr="00502CC8" w:rsidRDefault="00DA20C8">
            <w:pPr>
              <w:ind w:left="0" w:hanging="2"/>
              <w:rPr>
                <w:rFonts w:ascii="Arial" w:eastAsia="Arial" w:hAnsi="Arial" w:cs="Arial"/>
                <w:b/>
                <w:sz w:val="16"/>
                <w:szCs w:val="16"/>
              </w:rPr>
            </w:pPr>
            <w:r w:rsidRPr="00502CC8">
              <w:rPr>
                <w:rFonts w:ascii="Arial" w:eastAsia="Arial" w:hAnsi="Arial" w:cs="Arial"/>
                <w:b/>
                <w:sz w:val="16"/>
                <w:szCs w:val="16"/>
              </w:rPr>
              <w:t>Evolución / Pronóstico</w:t>
            </w:r>
          </w:p>
        </w:tc>
        <w:tc>
          <w:tcPr>
            <w:tcW w:w="7229" w:type="dxa"/>
          </w:tcPr>
          <w:p w:rsidR="00B74082" w:rsidRDefault="00DA20C8" w:rsidP="00502CC8">
            <w:pPr>
              <w:ind w:left="0" w:hanging="2"/>
              <w:jc w:val="both"/>
              <w:rPr>
                <w:rFonts w:ascii="Arial" w:eastAsia="Arial" w:hAnsi="Arial" w:cs="Arial"/>
                <w:sz w:val="20"/>
                <w:szCs w:val="20"/>
              </w:rPr>
            </w:pPr>
            <w:r>
              <w:rPr>
                <w:rFonts w:ascii="Arial" w:eastAsia="Arial" w:hAnsi="Arial" w:cs="Arial"/>
                <w:sz w:val="20"/>
                <w:szCs w:val="20"/>
              </w:rPr>
              <w:t>El pronóstico va a depender del tipo de MS al que nos enfrentemos. Los diferentes subtipos que se pueden diagnosticar dan lugar a presentaciones clínicas de curso</w:t>
            </w:r>
          </w:p>
          <w:p w:rsidR="00B74082" w:rsidRDefault="00DA20C8" w:rsidP="00502CC8">
            <w:pPr>
              <w:ind w:left="0" w:hanging="2"/>
              <w:jc w:val="both"/>
              <w:rPr>
                <w:rFonts w:ascii="Arial" w:eastAsia="Arial" w:hAnsi="Arial" w:cs="Arial"/>
                <w:sz w:val="20"/>
                <w:szCs w:val="20"/>
              </w:rPr>
            </w:pPr>
            <w:r>
              <w:rPr>
                <w:rFonts w:ascii="Arial" w:eastAsia="Arial" w:hAnsi="Arial" w:cs="Arial"/>
                <w:sz w:val="20"/>
                <w:szCs w:val="20"/>
              </w:rPr>
              <w:t>y pronóstico muy variables, desde el indolente con una expectativa de vida prácticamente normal, hasta el rápidamente progresivo en las formas de MS avanzada (en las que estarían</w:t>
            </w:r>
          </w:p>
          <w:p w:rsidR="00B74082" w:rsidRDefault="00DA20C8" w:rsidP="00F3788E">
            <w:pPr>
              <w:ind w:left="0" w:hanging="2"/>
              <w:jc w:val="both"/>
              <w:rPr>
                <w:rFonts w:ascii="Arial" w:eastAsia="Arial" w:hAnsi="Arial" w:cs="Arial"/>
                <w:sz w:val="20"/>
                <w:szCs w:val="20"/>
              </w:rPr>
            </w:pPr>
            <w:r>
              <w:rPr>
                <w:rFonts w:ascii="Arial" w:eastAsia="Arial" w:hAnsi="Arial" w:cs="Arial"/>
                <w:sz w:val="20"/>
                <w:szCs w:val="20"/>
              </w:rPr>
              <w:t>incluidas la MSA, MS-NHA y la LM) con medianas de</w:t>
            </w:r>
            <w:r w:rsidR="00F3788E">
              <w:rPr>
                <w:rFonts w:ascii="Arial" w:eastAsia="Arial" w:hAnsi="Arial" w:cs="Arial"/>
                <w:sz w:val="20"/>
                <w:szCs w:val="20"/>
              </w:rPr>
              <w:t xml:space="preserve"> </w:t>
            </w:r>
            <w:r>
              <w:rPr>
                <w:rFonts w:ascii="Arial" w:eastAsia="Arial" w:hAnsi="Arial" w:cs="Arial"/>
                <w:sz w:val="20"/>
                <w:szCs w:val="20"/>
              </w:rPr>
              <w:t xml:space="preserve">supervivencia de entre 3,5 años hasta tan solo 6 meses para la variante leucémica </w:t>
            </w:r>
            <w:sdt>
              <w:sdtPr>
                <w:rPr>
                  <w:rFonts w:ascii="Arial" w:eastAsia="Arial" w:hAnsi="Arial" w:cs="Arial"/>
                  <w:sz w:val="20"/>
                  <w:szCs w:val="20"/>
                  <w:vertAlign w:val="superscript"/>
                </w:rPr>
                <w:id w:val="-1374529650"/>
                <w:citation/>
              </w:sdtPr>
              <w:sdtEndPr/>
              <w:sdtContent>
                <w:r w:rsidR="00743E44" w:rsidRPr="00F3788E">
                  <w:rPr>
                    <w:rFonts w:ascii="Arial" w:eastAsia="Arial" w:hAnsi="Arial" w:cs="Arial"/>
                    <w:sz w:val="20"/>
                    <w:szCs w:val="20"/>
                    <w:vertAlign w:val="superscript"/>
                  </w:rPr>
                  <w:fldChar w:fldCharType="begin"/>
                </w:r>
                <w:r w:rsidR="00EF205E" w:rsidRPr="00F3788E">
                  <w:rPr>
                    <w:rFonts w:ascii="Arial" w:eastAsia="Arial" w:hAnsi="Arial" w:cs="Arial"/>
                    <w:sz w:val="20"/>
                    <w:szCs w:val="20"/>
                    <w:vertAlign w:val="superscript"/>
                  </w:rPr>
                  <w:instrText xml:space="preserve"> CITATION Góm19 \l 3082 </w:instrText>
                </w:r>
                <w:r w:rsidR="00743E44" w:rsidRPr="00F3788E">
                  <w:rPr>
                    <w:rFonts w:ascii="Arial" w:eastAsia="Arial" w:hAnsi="Arial" w:cs="Arial"/>
                    <w:sz w:val="20"/>
                    <w:szCs w:val="20"/>
                    <w:vertAlign w:val="superscript"/>
                  </w:rPr>
                  <w:fldChar w:fldCharType="separate"/>
                </w:r>
                <w:r w:rsidR="00C560F5" w:rsidRPr="00C560F5">
                  <w:rPr>
                    <w:rFonts w:ascii="Arial" w:eastAsia="Arial" w:hAnsi="Arial" w:cs="Arial"/>
                    <w:noProof/>
                    <w:sz w:val="20"/>
                    <w:szCs w:val="20"/>
                  </w:rPr>
                  <w:t>(7)</w:t>
                </w:r>
                <w:r w:rsidR="00743E44" w:rsidRPr="00F3788E">
                  <w:rPr>
                    <w:rFonts w:ascii="Arial" w:eastAsia="Arial" w:hAnsi="Arial" w:cs="Arial"/>
                    <w:sz w:val="20"/>
                    <w:szCs w:val="20"/>
                    <w:vertAlign w:val="superscript"/>
                  </w:rPr>
                  <w:fldChar w:fldCharType="end"/>
                </w:r>
              </w:sdtContent>
            </w:sdt>
            <w:r>
              <w:rPr>
                <w:rFonts w:ascii="Arial" w:eastAsia="Arial" w:hAnsi="Arial" w:cs="Arial"/>
                <w:sz w:val="20"/>
                <w:szCs w:val="20"/>
              </w:rPr>
              <w:t>.</w:t>
            </w:r>
          </w:p>
        </w:tc>
      </w:tr>
      <w:tr w:rsidR="00B74082" w:rsidTr="00502CC8">
        <w:trPr>
          <w:cantSplit/>
        </w:trPr>
        <w:tc>
          <w:tcPr>
            <w:tcW w:w="1702" w:type="dxa"/>
            <w:shd w:val="clear" w:color="auto" w:fill="E6E6E6"/>
          </w:tcPr>
          <w:p w:rsidR="00B74082" w:rsidRPr="00502CC8" w:rsidRDefault="00DA20C8">
            <w:pPr>
              <w:ind w:left="0" w:hanging="2"/>
              <w:rPr>
                <w:rFonts w:ascii="Arial" w:eastAsia="Arial" w:hAnsi="Arial" w:cs="Arial"/>
                <w:b/>
                <w:sz w:val="16"/>
                <w:szCs w:val="16"/>
              </w:rPr>
            </w:pPr>
            <w:r w:rsidRPr="00502CC8">
              <w:rPr>
                <w:rFonts w:ascii="Arial" w:eastAsia="Arial" w:hAnsi="Arial" w:cs="Arial"/>
                <w:b/>
                <w:sz w:val="16"/>
                <w:szCs w:val="16"/>
              </w:rPr>
              <w:lastRenderedPageBreak/>
              <w:t>Grados de gravedad / Estadiaje</w:t>
            </w:r>
          </w:p>
        </w:tc>
        <w:tc>
          <w:tcPr>
            <w:tcW w:w="7229" w:type="dxa"/>
          </w:tcPr>
          <w:p w:rsidR="00B74082" w:rsidRDefault="00DA20C8" w:rsidP="00DD1F88">
            <w:pPr>
              <w:ind w:left="0" w:hanging="2"/>
              <w:jc w:val="both"/>
              <w:rPr>
                <w:rFonts w:ascii="Arial" w:eastAsia="Arial" w:hAnsi="Arial" w:cs="Arial"/>
                <w:sz w:val="20"/>
                <w:szCs w:val="20"/>
              </w:rPr>
            </w:pPr>
            <w:r>
              <w:rPr>
                <w:rFonts w:ascii="Arial" w:eastAsia="Arial" w:hAnsi="Arial" w:cs="Arial"/>
                <w:sz w:val="20"/>
                <w:szCs w:val="20"/>
              </w:rPr>
              <w:t xml:space="preserve">La MS se puede dividir en enfermedad avanzada y enfermedad no avanzada, en función del grado de infiltración en órganos (hallazgos-B) y en función del daño en órganos (hallazgos-C), así como la presencia de otras circunstancias patológicas. La clasificación de la OMS de 2016 continúa siendo la más usada como primer paso en a estratificación de nuevos diagnósticos de MS. Según la misma se establecen </w:t>
            </w:r>
            <w:r w:rsidR="00DD1F88">
              <w:rPr>
                <w:rFonts w:ascii="Arial" w:eastAsia="Arial" w:hAnsi="Arial" w:cs="Arial"/>
                <w:sz w:val="20"/>
                <w:szCs w:val="20"/>
              </w:rPr>
              <w:t>las 5</w:t>
            </w:r>
            <w:r>
              <w:rPr>
                <w:rFonts w:ascii="Arial" w:eastAsia="Arial" w:hAnsi="Arial" w:cs="Arial"/>
                <w:sz w:val="20"/>
                <w:szCs w:val="20"/>
              </w:rPr>
              <w:t xml:space="preserve"> categorías principales: mastocitosis cutánea, MS, MS con neoplasia hematológica, MS agresiva y leucemia mastocítica. </w:t>
            </w:r>
          </w:p>
        </w:tc>
      </w:tr>
      <w:tr w:rsidR="00B74082" w:rsidTr="00502CC8">
        <w:trPr>
          <w:cantSplit/>
        </w:trPr>
        <w:tc>
          <w:tcPr>
            <w:tcW w:w="1702" w:type="dxa"/>
            <w:shd w:val="clear" w:color="auto" w:fill="E6E6E6"/>
          </w:tcPr>
          <w:p w:rsidR="00B74082" w:rsidRPr="00502CC8" w:rsidRDefault="00DA20C8">
            <w:pPr>
              <w:ind w:left="0" w:hanging="2"/>
              <w:rPr>
                <w:rFonts w:ascii="Arial" w:eastAsia="Arial" w:hAnsi="Arial" w:cs="Arial"/>
                <w:b/>
                <w:sz w:val="16"/>
                <w:szCs w:val="16"/>
              </w:rPr>
            </w:pPr>
            <w:r w:rsidRPr="00502CC8">
              <w:rPr>
                <w:rFonts w:ascii="Arial" w:eastAsia="Arial" w:hAnsi="Arial" w:cs="Arial"/>
                <w:b/>
                <w:sz w:val="16"/>
                <w:szCs w:val="16"/>
              </w:rPr>
              <w:t>Carga de la enfermedad*</w:t>
            </w:r>
          </w:p>
        </w:tc>
        <w:tc>
          <w:tcPr>
            <w:tcW w:w="7229" w:type="dxa"/>
          </w:tcPr>
          <w:p w:rsidR="00B74082" w:rsidRDefault="00DA20C8" w:rsidP="00502CC8">
            <w:pPr>
              <w:ind w:left="0" w:hanging="2"/>
              <w:jc w:val="both"/>
              <w:rPr>
                <w:rFonts w:ascii="Arial" w:eastAsia="Arial" w:hAnsi="Arial" w:cs="Arial"/>
                <w:sz w:val="20"/>
                <w:szCs w:val="20"/>
              </w:rPr>
            </w:pPr>
            <w:r>
              <w:rPr>
                <w:rFonts w:ascii="Arial" w:eastAsia="Arial" w:hAnsi="Arial" w:cs="Arial"/>
                <w:sz w:val="20"/>
                <w:szCs w:val="20"/>
              </w:rPr>
              <w:t xml:space="preserve">La variabilidad en tipo y gravedad de la MS condiciona de manera muy diferente la vida de unos pacientes respecto a otros, desde una mastocitosis indolente hasta </w:t>
            </w:r>
            <w:r w:rsidR="00F3788E">
              <w:rPr>
                <w:rFonts w:ascii="Arial" w:eastAsia="Arial" w:hAnsi="Arial" w:cs="Arial"/>
                <w:sz w:val="20"/>
                <w:szCs w:val="20"/>
              </w:rPr>
              <w:t>MS agresiva con síntomas graves.</w:t>
            </w:r>
          </w:p>
        </w:tc>
      </w:tr>
    </w:tbl>
    <w:p w:rsidR="00B74082" w:rsidRDefault="00DA20C8">
      <w:pPr>
        <w:ind w:left="0" w:hanging="2"/>
        <w:jc w:val="both"/>
        <w:rPr>
          <w:rFonts w:ascii="Arial" w:eastAsia="Arial" w:hAnsi="Arial" w:cs="Arial"/>
          <w:sz w:val="20"/>
          <w:szCs w:val="20"/>
        </w:rPr>
      </w:pPr>
      <w:r>
        <w:rPr>
          <w:rFonts w:ascii="Arial" w:eastAsia="Arial" w:hAnsi="Arial" w:cs="Arial"/>
          <w:sz w:val="20"/>
          <w:szCs w:val="20"/>
        </w:rPr>
        <w:t>* datos de ingresos hospitalarios, visitas a urgencias, discapacidad, necesidad de cuidador</w:t>
      </w:r>
    </w:p>
    <w:p w:rsidR="00B74082" w:rsidRDefault="00B74082">
      <w:pPr>
        <w:ind w:left="0" w:hanging="2"/>
        <w:jc w:val="both"/>
        <w:rPr>
          <w:rFonts w:ascii="Arial" w:eastAsia="Arial" w:hAnsi="Arial" w:cs="Arial"/>
          <w:sz w:val="20"/>
          <w:szCs w:val="20"/>
        </w:rPr>
      </w:pPr>
    </w:p>
    <w:p w:rsidR="00B74082" w:rsidRDefault="00DA20C8">
      <w:pPr>
        <w:ind w:left="0" w:hanging="2"/>
        <w:jc w:val="both"/>
        <w:rPr>
          <w:rFonts w:ascii="Arial" w:eastAsia="Arial" w:hAnsi="Arial" w:cs="Arial"/>
          <w:sz w:val="20"/>
          <w:szCs w:val="20"/>
        </w:rPr>
      </w:pPr>
      <w:r>
        <w:rPr>
          <w:rFonts w:ascii="Arial" w:eastAsia="Arial" w:hAnsi="Arial" w:cs="Arial"/>
          <w:noProof/>
          <w:sz w:val="20"/>
          <w:szCs w:val="20"/>
        </w:rPr>
        <w:drawing>
          <wp:inline distT="114300" distB="114300" distL="114300" distR="114300">
            <wp:extent cx="5548955" cy="2311400"/>
            <wp:effectExtent l="0" t="0" r="0" b="0"/>
            <wp:docPr id="105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cstate="print"/>
                    <a:srcRect/>
                    <a:stretch>
                      <a:fillRect/>
                    </a:stretch>
                  </pic:blipFill>
                  <pic:spPr>
                    <a:xfrm>
                      <a:off x="0" y="0"/>
                      <a:ext cx="5548955" cy="2311400"/>
                    </a:xfrm>
                    <a:prstGeom prst="rect">
                      <a:avLst/>
                    </a:prstGeom>
                    <a:ln/>
                  </pic:spPr>
                </pic:pic>
              </a:graphicData>
            </a:graphic>
          </wp:inline>
        </w:drawing>
      </w:r>
    </w:p>
    <w:p w:rsidR="00502CC8" w:rsidRDefault="00502CC8">
      <w:pPr>
        <w:ind w:left="0" w:hanging="2"/>
        <w:jc w:val="center"/>
        <w:rPr>
          <w:rFonts w:ascii="Arial" w:eastAsia="Arial" w:hAnsi="Arial" w:cs="Arial"/>
          <w:sz w:val="20"/>
          <w:szCs w:val="20"/>
        </w:rPr>
      </w:pPr>
    </w:p>
    <w:p w:rsidR="00B74082" w:rsidRPr="00502CC8" w:rsidRDefault="00DA20C8">
      <w:pPr>
        <w:ind w:left="0" w:hanging="2"/>
        <w:jc w:val="center"/>
        <w:rPr>
          <w:rFonts w:ascii="Arial" w:eastAsia="Arial" w:hAnsi="Arial" w:cs="Arial"/>
          <w:b/>
          <w:sz w:val="20"/>
          <w:szCs w:val="20"/>
        </w:rPr>
      </w:pPr>
      <w:r w:rsidRPr="00502CC8">
        <w:rPr>
          <w:rFonts w:ascii="Arial" w:eastAsia="Arial" w:hAnsi="Arial" w:cs="Arial"/>
          <w:b/>
          <w:sz w:val="20"/>
          <w:szCs w:val="20"/>
        </w:rPr>
        <w:t xml:space="preserve">Figura 1: Clasificación OMS de la MS </w:t>
      </w:r>
      <w:sdt>
        <w:sdtPr>
          <w:rPr>
            <w:rFonts w:ascii="Arial" w:eastAsia="Arial" w:hAnsi="Arial" w:cs="Arial"/>
            <w:b/>
            <w:sz w:val="20"/>
            <w:szCs w:val="20"/>
            <w:vertAlign w:val="superscript"/>
          </w:rPr>
          <w:id w:val="-926962619"/>
          <w:citation/>
        </w:sdtPr>
        <w:sdtEndPr/>
        <w:sdtContent>
          <w:r w:rsidR="00743E44" w:rsidRPr="00F3788E">
            <w:rPr>
              <w:rFonts w:ascii="Arial" w:eastAsia="Arial" w:hAnsi="Arial" w:cs="Arial"/>
              <w:b/>
              <w:sz w:val="20"/>
              <w:szCs w:val="20"/>
              <w:vertAlign w:val="superscript"/>
            </w:rPr>
            <w:fldChar w:fldCharType="begin"/>
          </w:r>
          <w:r w:rsidR="00EF205E" w:rsidRPr="00F3788E">
            <w:rPr>
              <w:rFonts w:ascii="Arial" w:eastAsia="Arial" w:hAnsi="Arial" w:cs="Arial"/>
              <w:b/>
              <w:sz w:val="20"/>
              <w:szCs w:val="20"/>
              <w:vertAlign w:val="superscript"/>
            </w:rPr>
            <w:instrText xml:space="preserve"> CITATION Hor08 \l 3082 </w:instrText>
          </w:r>
          <w:r w:rsidR="00743E44" w:rsidRPr="00F3788E">
            <w:rPr>
              <w:rFonts w:ascii="Arial" w:eastAsia="Arial" w:hAnsi="Arial" w:cs="Arial"/>
              <w:b/>
              <w:sz w:val="20"/>
              <w:szCs w:val="20"/>
              <w:vertAlign w:val="superscript"/>
            </w:rPr>
            <w:fldChar w:fldCharType="separate"/>
          </w:r>
          <w:r w:rsidR="00C560F5" w:rsidRPr="00C560F5">
            <w:rPr>
              <w:rFonts w:ascii="Arial" w:eastAsia="Arial" w:hAnsi="Arial" w:cs="Arial"/>
              <w:noProof/>
              <w:sz w:val="20"/>
              <w:szCs w:val="20"/>
            </w:rPr>
            <w:t>(4)</w:t>
          </w:r>
          <w:r w:rsidR="00743E44" w:rsidRPr="00F3788E">
            <w:rPr>
              <w:rFonts w:ascii="Arial" w:eastAsia="Arial" w:hAnsi="Arial" w:cs="Arial"/>
              <w:b/>
              <w:sz w:val="20"/>
              <w:szCs w:val="20"/>
              <w:vertAlign w:val="superscript"/>
            </w:rPr>
            <w:fldChar w:fldCharType="end"/>
          </w:r>
        </w:sdtContent>
      </w:sdt>
    </w:p>
    <w:p w:rsidR="00B74082" w:rsidRDefault="00B74082">
      <w:pPr>
        <w:ind w:left="0" w:hanging="2"/>
        <w:jc w:val="both"/>
        <w:rPr>
          <w:rFonts w:ascii="Arial" w:eastAsia="Arial" w:hAnsi="Arial" w:cs="Arial"/>
          <w:sz w:val="20"/>
          <w:szCs w:val="20"/>
        </w:rPr>
      </w:pPr>
    </w:p>
    <w:p w:rsidR="00B74082" w:rsidRDefault="00DA20C8">
      <w:pPr>
        <w:ind w:left="0" w:hanging="2"/>
        <w:jc w:val="center"/>
        <w:rPr>
          <w:rFonts w:ascii="Arial" w:eastAsia="Arial" w:hAnsi="Arial" w:cs="Arial"/>
          <w:sz w:val="20"/>
          <w:szCs w:val="20"/>
        </w:rPr>
      </w:pPr>
      <w:r>
        <w:rPr>
          <w:rFonts w:ascii="Arial" w:eastAsia="Arial" w:hAnsi="Arial" w:cs="Arial"/>
          <w:noProof/>
          <w:sz w:val="20"/>
          <w:szCs w:val="20"/>
        </w:rPr>
        <w:drawing>
          <wp:inline distT="114300" distB="114300" distL="114300" distR="114300">
            <wp:extent cx="3020378" cy="3628961"/>
            <wp:effectExtent l="0" t="0" r="0" b="0"/>
            <wp:docPr id="105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cstate="print"/>
                    <a:srcRect/>
                    <a:stretch>
                      <a:fillRect/>
                    </a:stretch>
                  </pic:blipFill>
                  <pic:spPr>
                    <a:xfrm>
                      <a:off x="0" y="0"/>
                      <a:ext cx="3020378" cy="3628961"/>
                    </a:xfrm>
                    <a:prstGeom prst="rect">
                      <a:avLst/>
                    </a:prstGeom>
                    <a:ln/>
                  </pic:spPr>
                </pic:pic>
              </a:graphicData>
            </a:graphic>
          </wp:inline>
        </w:drawing>
      </w:r>
    </w:p>
    <w:p w:rsidR="00B74082" w:rsidRDefault="00DA20C8">
      <w:pPr>
        <w:ind w:left="0" w:hanging="2"/>
        <w:jc w:val="center"/>
        <w:rPr>
          <w:rFonts w:ascii="Arial" w:eastAsia="Arial" w:hAnsi="Arial" w:cs="Arial"/>
          <w:sz w:val="20"/>
          <w:szCs w:val="20"/>
        </w:rPr>
      </w:pPr>
      <w:r w:rsidRPr="00502CC8">
        <w:rPr>
          <w:rFonts w:ascii="Arial" w:eastAsia="Arial" w:hAnsi="Arial" w:cs="Arial"/>
          <w:b/>
          <w:sz w:val="20"/>
          <w:szCs w:val="20"/>
        </w:rPr>
        <w:t xml:space="preserve">Figura 2: Criterios diagnósticos para la clasificación de la MS </w:t>
      </w:r>
      <w:sdt>
        <w:sdtPr>
          <w:rPr>
            <w:rFonts w:ascii="Arial" w:eastAsia="Arial" w:hAnsi="Arial" w:cs="Arial"/>
            <w:b/>
            <w:sz w:val="20"/>
            <w:szCs w:val="20"/>
            <w:vertAlign w:val="superscript"/>
          </w:rPr>
          <w:id w:val="-1221986573"/>
          <w:citation/>
        </w:sdtPr>
        <w:sdtEndPr/>
        <w:sdtContent>
          <w:r w:rsidR="00743E44" w:rsidRPr="00F3788E">
            <w:rPr>
              <w:rFonts w:ascii="Arial" w:eastAsia="Arial" w:hAnsi="Arial" w:cs="Arial"/>
              <w:b/>
              <w:sz w:val="20"/>
              <w:szCs w:val="20"/>
              <w:vertAlign w:val="superscript"/>
            </w:rPr>
            <w:fldChar w:fldCharType="begin"/>
          </w:r>
          <w:r w:rsidR="00EF205E" w:rsidRPr="00F3788E">
            <w:rPr>
              <w:rFonts w:ascii="Arial" w:eastAsia="Arial" w:hAnsi="Arial" w:cs="Arial"/>
              <w:b/>
              <w:sz w:val="20"/>
              <w:szCs w:val="20"/>
              <w:vertAlign w:val="superscript"/>
            </w:rPr>
            <w:instrText xml:space="preserve"> CITATION Hor08 \l 3082 </w:instrText>
          </w:r>
          <w:r w:rsidR="00743E44" w:rsidRPr="00F3788E">
            <w:rPr>
              <w:rFonts w:ascii="Arial" w:eastAsia="Arial" w:hAnsi="Arial" w:cs="Arial"/>
              <w:b/>
              <w:sz w:val="20"/>
              <w:szCs w:val="20"/>
              <w:vertAlign w:val="superscript"/>
            </w:rPr>
            <w:fldChar w:fldCharType="separate"/>
          </w:r>
          <w:r w:rsidR="00C560F5" w:rsidRPr="00C560F5">
            <w:rPr>
              <w:rFonts w:ascii="Arial" w:eastAsia="Arial" w:hAnsi="Arial" w:cs="Arial"/>
              <w:noProof/>
              <w:sz w:val="20"/>
              <w:szCs w:val="20"/>
            </w:rPr>
            <w:t>(4)</w:t>
          </w:r>
          <w:r w:rsidR="00743E44" w:rsidRPr="00F3788E">
            <w:rPr>
              <w:rFonts w:ascii="Arial" w:eastAsia="Arial" w:hAnsi="Arial" w:cs="Arial"/>
              <w:b/>
              <w:sz w:val="20"/>
              <w:szCs w:val="20"/>
              <w:vertAlign w:val="superscript"/>
            </w:rPr>
            <w:fldChar w:fldCharType="end"/>
          </w:r>
        </w:sdtContent>
      </w:sdt>
    </w:p>
    <w:p w:rsidR="00B74082" w:rsidRDefault="00B74082">
      <w:pPr>
        <w:ind w:left="0" w:hanging="2"/>
        <w:jc w:val="both"/>
        <w:rPr>
          <w:rFonts w:ascii="Arial" w:eastAsia="Arial" w:hAnsi="Arial" w:cs="Arial"/>
          <w:color w:val="FF0000"/>
          <w:sz w:val="20"/>
          <w:szCs w:val="20"/>
        </w:rPr>
      </w:pPr>
      <w:bookmarkStart w:id="7" w:name="_heading=h.3dy6vkm" w:colFirst="0" w:colLast="0"/>
      <w:bookmarkEnd w:id="7"/>
    </w:p>
    <w:p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lastRenderedPageBreak/>
        <w:t xml:space="preserve">3.2.b Tratamiento actual de la enfermedad: evidencias </w:t>
      </w:r>
    </w:p>
    <w:p w:rsidR="00B74082" w:rsidRDefault="00B74082">
      <w:pPr>
        <w:ind w:left="0" w:hanging="2"/>
        <w:rPr>
          <w:rFonts w:ascii="Arial" w:eastAsia="Arial" w:hAnsi="Arial" w:cs="Arial"/>
          <w:color w:val="FF0000"/>
          <w:sz w:val="20"/>
          <w:szCs w:val="20"/>
        </w:rPr>
      </w:pPr>
    </w:p>
    <w:p w:rsidR="00B74082" w:rsidRDefault="00DA20C8" w:rsidP="00502CC8">
      <w:pPr>
        <w:ind w:leftChars="0" w:left="0" w:firstLineChars="0" w:firstLine="0"/>
        <w:jc w:val="both"/>
        <w:rPr>
          <w:rFonts w:ascii="Arial" w:eastAsia="Arial" w:hAnsi="Arial" w:cs="Arial"/>
          <w:sz w:val="20"/>
          <w:szCs w:val="20"/>
        </w:rPr>
      </w:pPr>
      <w:bookmarkStart w:id="8" w:name="_heading=h.1t3h5sf" w:colFirst="0" w:colLast="0"/>
      <w:bookmarkEnd w:id="8"/>
      <w:r>
        <w:rPr>
          <w:rFonts w:ascii="Arial" w:eastAsia="Arial" w:hAnsi="Arial" w:cs="Arial"/>
          <w:sz w:val="20"/>
          <w:szCs w:val="20"/>
        </w:rPr>
        <w:t>Las nuevas evidencias que sugieren que la mutación conductora de la MS es la KITD816D han hecho cambiar las perspectivas de tratamiento. El abanico de tratamientos disponibles para la MS va desde la observación, manejo de síntomas como la diarrea o el prurito generado por la degranulación de células mastocíticas, medidas de soporte como transfusiones de células rojas hasta tratamiento citorreductor en la enfermedad avanzada, agresiva o en recaída. El trasplante de células madre alogénicas es otra de las opciones que puede prolongar la supervivencia en algunos pacientes, aunque con escasa evidencia. Los tratamientos sistémicos usados de los que se dispone en la actualidad son</w:t>
      </w:r>
      <w:r w:rsidR="00B8239D">
        <w:rPr>
          <w:rFonts w:ascii="Arial" w:eastAsia="Arial" w:hAnsi="Arial" w:cs="Arial"/>
          <w:sz w:val="20"/>
          <w:szCs w:val="20"/>
        </w:rPr>
        <w:t xml:space="preserve"> </w:t>
      </w:r>
      <w:sdt>
        <w:sdtPr>
          <w:rPr>
            <w:rFonts w:ascii="Arial" w:eastAsia="Arial" w:hAnsi="Arial" w:cs="Arial"/>
            <w:sz w:val="20"/>
            <w:szCs w:val="20"/>
            <w:vertAlign w:val="superscript"/>
          </w:rPr>
          <w:id w:val="188498257"/>
          <w:citation/>
        </w:sdtPr>
        <w:sdtEndPr/>
        <w:sdtContent>
          <w:r w:rsidR="00743E44" w:rsidRPr="00F3788E">
            <w:rPr>
              <w:rFonts w:ascii="Arial" w:eastAsia="Arial" w:hAnsi="Arial" w:cs="Arial"/>
              <w:sz w:val="20"/>
              <w:szCs w:val="20"/>
              <w:vertAlign w:val="superscript"/>
            </w:rPr>
            <w:fldChar w:fldCharType="begin"/>
          </w:r>
          <w:r w:rsidR="00B8239D" w:rsidRPr="00F3788E">
            <w:rPr>
              <w:rFonts w:ascii="Arial" w:eastAsia="Arial" w:hAnsi="Arial" w:cs="Arial"/>
              <w:sz w:val="20"/>
              <w:szCs w:val="20"/>
              <w:vertAlign w:val="superscript"/>
            </w:rPr>
            <w:instrText xml:space="preserve"> CITATION Par21 \l 3082 </w:instrText>
          </w:r>
          <w:r w:rsidR="00743E44" w:rsidRPr="00F3788E">
            <w:rPr>
              <w:rFonts w:ascii="Arial" w:eastAsia="Arial" w:hAnsi="Arial" w:cs="Arial"/>
              <w:sz w:val="20"/>
              <w:szCs w:val="20"/>
              <w:vertAlign w:val="superscript"/>
            </w:rPr>
            <w:fldChar w:fldCharType="separate"/>
          </w:r>
          <w:r w:rsidR="00C560F5" w:rsidRPr="00C560F5">
            <w:rPr>
              <w:rFonts w:ascii="Arial" w:eastAsia="Arial" w:hAnsi="Arial" w:cs="Arial"/>
              <w:noProof/>
              <w:sz w:val="20"/>
              <w:szCs w:val="20"/>
            </w:rPr>
            <w:t>(1)</w:t>
          </w:r>
          <w:r w:rsidR="00743E44" w:rsidRPr="00F3788E">
            <w:rPr>
              <w:rFonts w:ascii="Arial" w:eastAsia="Arial" w:hAnsi="Arial" w:cs="Arial"/>
              <w:sz w:val="20"/>
              <w:szCs w:val="20"/>
              <w:vertAlign w:val="superscript"/>
            </w:rPr>
            <w:fldChar w:fldCharType="end"/>
          </w:r>
        </w:sdtContent>
      </w:sdt>
      <w:r>
        <w:rPr>
          <w:rFonts w:ascii="Arial" w:eastAsia="Arial" w:hAnsi="Arial" w:cs="Arial"/>
          <w:sz w:val="20"/>
          <w:szCs w:val="20"/>
        </w:rPr>
        <w:t>:</w:t>
      </w:r>
    </w:p>
    <w:p w:rsidR="00B74082" w:rsidRDefault="00DA20C8" w:rsidP="00502CC8">
      <w:pPr>
        <w:numPr>
          <w:ilvl w:val="0"/>
          <w:numId w:val="7"/>
        </w:numPr>
        <w:ind w:leftChars="0" w:left="0" w:firstLineChars="0" w:firstLine="0"/>
        <w:jc w:val="both"/>
        <w:rPr>
          <w:rFonts w:ascii="Arial" w:eastAsia="Arial" w:hAnsi="Arial" w:cs="Arial"/>
          <w:sz w:val="20"/>
          <w:szCs w:val="20"/>
        </w:rPr>
      </w:pPr>
      <w:bookmarkStart w:id="9" w:name="_heading=h.43hv3ug9gzr" w:colFirst="0" w:colLast="0"/>
      <w:bookmarkEnd w:id="9"/>
      <w:r>
        <w:rPr>
          <w:rFonts w:ascii="Arial" w:eastAsia="Arial" w:hAnsi="Arial" w:cs="Arial"/>
          <w:sz w:val="20"/>
          <w:szCs w:val="20"/>
        </w:rPr>
        <w:t xml:space="preserve">Midostaurina: Aprobado por FDA (y EMA) para tratamiento de pacientes con MSA, MS-NHA y LM. Aunque no hay consenso en cuanto a secuenciación de las distintas líneas de tratamiento, midostaurina es adecuado tanto en primera línea como terapia de rescate en pacientes que progresan tras interferon-alfa, cladribina u otros tratamientos citorreductores. </w:t>
      </w:r>
    </w:p>
    <w:p w:rsidR="00B74082" w:rsidRDefault="00DA20C8" w:rsidP="00502CC8">
      <w:pPr>
        <w:numPr>
          <w:ilvl w:val="0"/>
          <w:numId w:val="7"/>
        </w:numPr>
        <w:ind w:leftChars="0" w:left="0" w:firstLineChars="0" w:firstLine="0"/>
        <w:jc w:val="both"/>
        <w:rPr>
          <w:rFonts w:ascii="Arial" w:eastAsia="Arial" w:hAnsi="Arial" w:cs="Arial"/>
          <w:sz w:val="20"/>
          <w:szCs w:val="20"/>
        </w:rPr>
      </w:pPr>
      <w:bookmarkStart w:id="10" w:name="_heading=h.5dp74l2xn5xr" w:colFirst="0" w:colLast="0"/>
      <w:bookmarkEnd w:id="10"/>
      <w:r>
        <w:rPr>
          <w:rFonts w:ascii="Arial" w:eastAsia="Arial" w:hAnsi="Arial" w:cs="Arial"/>
          <w:sz w:val="20"/>
          <w:szCs w:val="20"/>
        </w:rPr>
        <w:t xml:space="preserve">Cladribina: </w:t>
      </w:r>
      <w:r w:rsidR="006B1E86">
        <w:rPr>
          <w:rFonts w:ascii="Arial" w:eastAsia="Arial" w:hAnsi="Arial" w:cs="Arial"/>
          <w:sz w:val="20"/>
          <w:szCs w:val="20"/>
        </w:rPr>
        <w:t>con indicación no aprobada, se emplea por su</w:t>
      </w:r>
      <w:r>
        <w:rPr>
          <w:rFonts w:ascii="Arial" w:eastAsia="Arial" w:hAnsi="Arial" w:cs="Arial"/>
          <w:sz w:val="20"/>
          <w:szCs w:val="20"/>
        </w:rPr>
        <w:t xml:space="preserve"> actividad en todos los subtipo</w:t>
      </w:r>
      <w:r w:rsidR="00B86D55">
        <w:rPr>
          <w:rFonts w:ascii="Arial" w:eastAsia="Arial" w:hAnsi="Arial" w:cs="Arial"/>
          <w:sz w:val="20"/>
          <w:szCs w:val="20"/>
        </w:rPr>
        <w:t>s</w:t>
      </w:r>
      <w:r>
        <w:rPr>
          <w:rFonts w:ascii="Arial" w:eastAsia="Arial" w:hAnsi="Arial" w:cs="Arial"/>
          <w:sz w:val="20"/>
          <w:szCs w:val="20"/>
        </w:rPr>
        <w:t xml:space="preserve"> de MS, aunque difícilmente comparable a midostaurina. No hay comparaciones head-to-head entre los mismos y los estudios incluyen a un número pequeño de pacientes. Cladribina de usa en primera línea en casos en los que está indicada una rápida disminución de volumen de células mastocíticas, o en posteriores líneas en pacientes que han progresado. La potencial toxicidad incluye mielosupresión, linfopenia y riesgo aumentado de infecciones oportunistas. </w:t>
      </w:r>
    </w:p>
    <w:p w:rsidR="00B74082" w:rsidRDefault="00DA20C8" w:rsidP="00502CC8">
      <w:pPr>
        <w:numPr>
          <w:ilvl w:val="0"/>
          <w:numId w:val="7"/>
        </w:numPr>
        <w:ind w:leftChars="0" w:left="0" w:firstLineChars="0" w:firstLine="0"/>
        <w:jc w:val="both"/>
        <w:rPr>
          <w:rFonts w:ascii="Arial" w:eastAsia="Arial" w:hAnsi="Arial" w:cs="Arial"/>
          <w:sz w:val="20"/>
          <w:szCs w:val="20"/>
        </w:rPr>
      </w:pPr>
      <w:bookmarkStart w:id="11" w:name="_heading=h.6yxkiqrkxlgm" w:colFirst="0" w:colLast="0"/>
      <w:bookmarkEnd w:id="11"/>
      <w:r>
        <w:rPr>
          <w:rFonts w:ascii="Arial" w:eastAsia="Arial" w:hAnsi="Arial" w:cs="Arial"/>
          <w:sz w:val="20"/>
          <w:szCs w:val="20"/>
        </w:rPr>
        <w:t>Interferon-alfa</w:t>
      </w:r>
      <w:r w:rsidR="006B1E86">
        <w:rPr>
          <w:rFonts w:ascii="Arial" w:eastAsia="Arial" w:hAnsi="Arial" w:cs="Arial"/>
          <w:sz w:val="20"/>
          <w:szCs w:val="20"/>
        </w:rPr>
        <w:t xml:space="preserve">: con indicación no aprobada, se emplea por </w:t>
      </w:r>
      <w:r>
        <w:rPr>
          <w:rFonts w:ascii="Arial" w:eastAsia="Arial" w:hAnsi="Arial" w:cs="Arial"/>
          <w:sz w:val="20"/>
          <w:szCs w:val="20"/>
        </w:rPr>
        <w:t xml:space="preserve">actividad en todos los subtipos de enfermedad, habiendo demostrado mejoría en los síntomas asociados con liberación de histamina. Debido a la capacidad de incremento de densidad ósea, IFN-alfa parece tener un rol en el tratamiento de los síntomas esqueléticos. Normalmente se usan dosis de 1-3 MU subcutáneas 3 veces por semana, con incrementos graduales de 3 a 5 MU 3-5 veces por semana según tolerancia, junto con prednisona al inicio del tratamiento. El tratamiento con IFN-alfa continúa hasta progresión o no tolerancia. </w:t>
      </w:r>
    </w:p>
    <w:p w:rsidR="00B74082" w:rsidRDefault="00DA20C8" w:rsidP="00502CC8">
      <w:pPr>
        <w:numPr>
          <w:ilvl w:val="0"/>
          <w:numId w:val="7"/>
        </w:numPr>
        <w:ind w:leftChars="0" w:left="0" w:firstLineChars="0" w:firstLine="0"/>
        <w:jc w:val="both"/>
        <w:rPr>
          <w:rFonts w:ascii="Arial" w:eastAsia="Arial" w:hAnsi="Arial" w:cs="Arial"/>
          <w:sz w:val="20"/>
          <w:szCs w:val="20"/>
        </w:rPr>
      </w:pPr>
      <w:bookmarkStart w:id="12" w:name="_heading=h.6q2s6qchwvx" w:colFirst="0" w:colLast="0"/>
      <w:bookmarkEnd w:id="12"/>
      <w:r>
        <w:rPr>
          <w:rFonts w:ascii="Arial" w:eastAsia="Arial" w:hAnsi="Arial" w:cs="Arial"/>
          <w:sz w:val="20"/>
          <w:szCs w:val="20"/>
        </w:rPr>
        <w:t>Imatinib: Aprobado por FDA (no EMA) para tratamiento de adultos con MS sin mutación KITD816V o con estado mutacional desconocido. Sin embargo, tiene un papel limitado en el tratamiento de MS en pacientes no seleccionados.</w:t>
      </w:r>
    </w:p>
    <w:p w:rsidR="00B74082" w:rsidRDefault="00DA20C8" w:rsidP="00502CC8">
      <w:pPr>
        <w:numPr>
          <w:ilvl w:val="0"/>
          <w:numId w:val="7"/>
        </w:numPr>
        <w:ind w:leftChars="0" w:left="0" w:firstLineChars="0" w:firstLine="0"/>
        <w:jc w:val="both"/>
        <w:rPr>
          <w:rFonts w:ascii="Arial" w:eastAsia="Arial" w:hAnsi="Arial" w:cs="Arial"/>
          <w:sz w:val="20"/>
          <w:szCs w:val="20"/>
        </w:rPr>
      </w:pPr>
      <w:bookmarkStart w:id="13" w:name="_heading=h.obhqbyeiireb" w:colFirst="0" w:colLast="0"/>
      <w:bookmarkEnd w:id="13"/>
      <w:r>
        <w:rPr>
          <w:rFonts w:ascii="Arial" w:eastAsia="Arial" w:hAnsi="Arial" w:cs="Arial"/>
          <w:sz w:val="20"/>
          <w:szCs w:val="20"/>
        </w:rPr>
        <w:t>Hidroxiurea: Uso basado en su actividad mielosupresora, sin evidencia de actuación a nivel de células mastocíticas.</w:t>
      </w:r>
    </w:p>
    <w:p w:rsidR="00B74082" w:rsidRDefault="00B74082" w:rsidP="00502CC8">
      <w:pPr>
        <w:ind w:leftChars="0" w:left="0" w:firstLineChars="0" w:firstLine="0"/>
        <w:jc w:val="both"/>
        <w:rPr>
          <w:rFonts w:ascii="Arial" w:eastAsia="Arial" w:hAnsi="Arial" w:cs="Arial"/>
          <w:sz w:val="20"/>
          <w:szCs w:val="20"/>
        </w:rPr>
      </w:pPr>
      <w:bookmarkStart w:id="14" w:name="_heading=h.fgbcqt1zxhvs" w:colFirst="0" w:colLast="0"/>
      <w:bookmarkStart w:id="15" w:name="_heading=h.36o374og37gw" w:colFirst="0" w:colLast="0"/>
      <w:bookmarkEnd w:id="14"/>
      <w:bookmarkEnd w:id="15"/>
    </w:p>
    <w:p w:rsidR="00B74082" w:rsidRDefault="00D9293C" w:rsidP="00502CC8">
      <w:pPr>
        <w:ind w:leftChars="0" w:left="0" w:firstLineChars="0" w:firstLine="0"/>
        <w:jc w:val="both"/>
        <w:rPr>
          <w:rFonts w:ascii="Arial" w:eastAsia="Arial" w:hAnsi="Arial" w:cs="Arial"/>
          <w:sz w:val="20"/>
          <w:szCs w:val="20"/>
        </w:rPr>
      </w:pPr>
      <w:bookmarkStart w:id="16" w:name="_heading=h.vowcgrbf39e6" w:colFirst="0" w:colLast="0"/>
      <w:bookmarkEnd w:id="16"/>
      <w:r>
        <w:rPr>
          <w:rFonts w:ascii="Arial" w:eastAsia="Arial" w:hAnsi="Arial" w:cs="Arial"/>
          <w:sz w:val="20"/>
          <w:szCs w:val="20"/>
        </w:rPr>
        <w:t>El documento de Pardanani et al</w:t>
      </w:r>
      <w:r w:rsidR="00DA20C8">
        <w:rPr>
          <w:rFonts w:ascii="Arial" w:eastAsia="Arial" w:hAnsi="Arial" w:cs="Arial"/>
          <w:sz w:val="20"/>
          <w:szCs w:val="20"/>
        </w:rPr>
        <w:t xml:space="preserve"> </w:t>
      </w:r>
      <w:sdt>
        <w:sdtPr>
          <w:rPr>
            <w:rFonts w:ascii="Arial" w:eastAsia="Arial" w:hAnsi="Arial" w:cs="Arial"/>
            <w:sz w:val="20"/>
            <w:szCs w:val="20"/>
            <w:vertAlign w:val="superscript"/>
          </w:rPr>
          <w:id w:val="1326703020"/>
          <w:citation/>
        </w:sdtPr>
        <w:sdtEndPr/>
        <w:sdtContent>
          <w:r w:rsidR="00743E44" w:rsidRPr="00D9293C">
            <w:rPr>
              <w:rFonts w:ascii="Arial" w:eastAsia="Arial" w:hAnsi="Arial" w:cs="Arial"/>
              <w:sz w:val="20"/>
              <w:szCs w:val="20"/>
              <w:vertAlign w:val="superscript"/>
            </w:rPr>
            <w:fldChar w:fldCharType="begin"/>
          </w:r>
          <w:r w:rsidR="00B8239D" w:rsidRPr="00D9293C">
            <w:rPr>
              <w:rFonts w:ascii="Arial" w:eastAsia="Arial" w:hAnsi="Arial" w:cs="Arial"/>
              <w:sz w:val="20"/>
              <w:szCs w:val="20"/>
              <w:vertAlign w:val="superscript"/>
            </w:rPr>
            <w:instrText xml:space="preserve"> CITATION Par21 \l 3082 </w:instrText>
          </w:r>
          <w:r w:rsidR="00743E44" w:rsidRPr="00D9293C">
            <w:rPr>
              <w:rFonts w:ascii="Arial" w:eastAsia="Arial" w:hAnsi="Arial" w:cs="Arial"/>
              <w:sz w:val="20"/>
              <w:szCs w:val="20"/>
              <w:vertAlign w:val="superscript"/>
            </w:rPr>
            <w:fldChar w:fldCharType="separate"/>
          </w:r>
          <w:r w:rsidR="00C560F5" w:rsidRPr="00C560F5">
            <w:rPr>
              <w:rFonts w:ascii="Arial" w:eastAsia="Arial" w:hAnsi="Arial" w:cs="Arial"/>
              <w:noProof/>
              <w:sz w:val="20"/>
              <w:szCs w:val="20"/>
            </w:rPr>
            <w:t>(1)</w:t>
          </w:r>
          <w:r w:rsidR="00743E44" w:rsidRPr="00D9293C">
            <w:rPr>
              <w:rFonts w:ascii="Arial" w:eastAsia="Arial" w:hAnsi="Arial" w:cs="Arial"/>
              <w:sz w:val="20"/>
              <w:szCs w:val="20"/>
              <w:vertAlign w:val="superscript"/>
            </w:rPr>
            <w:fldChar w:fldCharType="end"/>
          </w:r>
        </w:sdtContent>
      </w:sdt>
      <w:r w:rsidR="00DA20C8">
        <w:rPr>
          <w:rFonts w:ascii="Arial" w:eastAsia="Arial" w:hAnsi="Arial" w:cs="Arial"/>
          <w:sz w:val="20"/>
          <w:szCs w:val="20"/>
        </w:rPr>
        <w:t xml:space="preserve"> incluye un algoritmo de tratamiento según el cual, para MS agresiva el orden de primera a </w:t>
      </w:r>
      <w:r w:rsidR="00B8239D">
        <w:rPr>
          <w:rFonts w:ascii="Arial" w:eastAsia="Arial" w:hAnsi="Arial" w:cs="Arial"/>
          <w:sz w:val="20"/>
          <w:szCs w:val="20"/>
        </w:rPr>
        <w:t>posteriores</w:t>
      </w:r>
      <w:r w:rsidR="00DA20C8">
        <w:rPr>
          <w:rFonts w:ascii="Arial" w:eastAsia="Arial" w:hAnsi="Arial" w:cs="Arial"/>
          <w:sz w:val="20"/>
          <w:szCs w:val="20"/>
        </w:rPr>
        <w:t xml:space="preserve"> líneas sería: </w:t>
      </w:r>
    </w:p>
    <w:p w:rsidR="00B74082" w:rsidRDefault="00DA20C8" w:rsidP="00502CC8">
      <w:pPr>
        <w:numPr>
          <w:ilvl w:val="0"/>
          <w:numId w:val="5"/>
        </w:numPr>
        <w:ind w:leftChars="0" w:left="0" w:firstLineChars="0" w:firstLine="0"/>
        <w:jc w:val="both"/>
        <w:rPr>
          <w:rFonts w:ascii="Arial" w:eastAsia="Arial" w:hAnsi="Arial" w:cs="Arial"/>
          <w:sz w:val="20"/>
          <w:szCs w:val="20"/>
        </w:rPr>
      </w:pPr>
      <w:bookmarkStart w:id="17" w:name="_heading=h.2y7msayyto36" w:colFirst="0" w:colLast="0"/>
      <w:bookmarkEnd w:id="17"/>
      <w:r>
        <w:rPr>
          <w:rFonts w:ascii="Arial" w:eastAsia="Arial" w:hAnsi="Arial" w:cs="Arial"/>
          <w:sz w:val="20"/>
          <w:szCs w:val="20"/>
        </w:rPr>
        <w:t>EECC con inhibidores KIT selectivos potentes como avapritinib.</w:t>
      </w:r>
    </w:p>
    <w:p w:rsidR="00B74082" w:rsidRDefault="00DA20C8" w:rsidP="00502CC8">
      <w:pPr>
        <w:numPr>
          <w:ilvl w:val="0"/>
          <w:numId w:val="5"/>
        </w:numPr>
        <w:ind w:leftChars="0" w:left="0" w:firstLineChars="0" w:firstLine="0"/>
        <w:jc w:val="both"/>
        <w:rPr>
          <w:rFonts w:ascii="Arial" w:eastAsia="Arial" w:hAnsi="Arial" w:cs="Arial"/>
          <w:sz w:val="20"/>
          <w:szCs w:val="20"/>
        </w:rPr>
      </w:pPr>
      <w:bookmarkStart w:id="18" w:name="_heading=h.8pbzueyxaz7j" w:colFirst="0" w:colLast="0"/>
      <w:bookmarkEnd w:id="18"/>
      <w:r>
        <w:rPr>
          <w:rFonts w:ascii="Arial" w:eastAsia="Arial" w:hAnsi="Arial" w:cs="Arial"/>
          <w:sz w:val="20"/>
          <w:szCs w:val="20"/>
        </w:rPr>
        <w:t>Midostaurina o cladribina (preferible cladribina si es necesaria una rápida reducción de volumen de células mastocíticas).</w:t>
      </w:r>
    </w:p>
    <w:p w:rsidR="00B74082" w:rsidRDefault="00DA20C8" w:rsidP="00502CC8">
      <w:pPr>
        <w:numPr>
          <w:ilvl w:val="0"/>
          <w:numId w:val="5"/>
        </w:numPr>
        <w:ind w:leftChars="0" w:left="0" w:firstLineChars="0" w:firstLine="0"/>
        <w:jc w:val="both"/>
        <w:rPr>
          <w:rFonts w:ascii="Arial" w:eastAsia="Arial" w:hAnsi="Arial" w:cs="Arial"/>
          <w:sz w:val="20"/>
          <w:szCs w:val="20"/>
        </w:rPr>
      </w:pPr>
      <w:bookmarkStart w:id="19" w:name="_heading=h.ykvv3fkorfnq" w:colFirst="0" w:colLast="0"/>
      <w:bookmarkEnd w:id="19"/>
      <w:r>
        <w:rPr>
          <w:rFonts w:ascii="Arial" w:eastAsia="Arial" w:hAnsi="Arial" w:cs="Arial"/>
          <w:sz w:val="20"/>
          <w:szCs w:val="20"/>
        </w:rPr>
        <w:t>Imatinib en eosinofilia con FIP1L1-PDGFRA o KITD816V</w:t>
      </w:r>
      <w:r w:rsidR="00502CC8">
        <w:rPr>
          <w:rFonts w:ascii="Arial" w:eastAsia="Arial" w:hAnsi="Arial" w:cs="Arial"/>
          <w:sz w:val="20"/>
          <w:szCs w:val="20"/>
        </w:rPr>
        <w:t xml:space="preserve"> </w:t>
      </w:r>
      <w:r>
        <w:rPr>
          <w:rFonts w:ascii="Arial" w:eastAsia="Arial" w:hAnsi="Arial" w:cs="Arial"/>
          <w:sz w:val="20"/>
          <w:szCs w:val="20"/>
        </w:rPr>
        <w:t>(-).</w:t>
      </w:r>
    </w:p>
    <w:p w:rsidR="00B74082" w:rsidRDefault="00DA20C8" w:rsidP="00502CC8">
      <w:pPr>
        <w:numPr>
          <w:ilvl w:val="0"/>
          <w:numId w:val="5"/>
        </w:numPr>
        <w:ind w:leftChars="0" w:left="0" w:firstLineChars="0" w:firstLine="0"/>
        <w:jc w:val="both"/>
        <w:rPr>
          <w:rFonts w:ascii="Arial" w:eastAsia="Arial" w:hAnsi="Arial" w:cs="Arial"/>
          <w:sz w:val="20"/>
          <w:szCs w:val="20"/>
        </w:rPr>
      </w:pPr>
      <w:bookmarkStart w:id="20" w:name="_heading=h.4jhe9ryyr2h9" w:colFirst="0" w:colLast="0"/>
      <w:bookmarkEnd w:id="20"/>
      <w:r>
        <w:rPr>
          <w:rFonts w:ascii="Arial" w:eastAsia="Arial" w:hAnsi="Arial" w:cs="Arial"/>
          <w:sz w:val="20"/>
          <w:szCs w:val="20"/>
        </w:rPr>
        <w:t>IFN-alfa, con/sin prednisona.</w:t>
      </w:r>
    </w:p>
    <w:p w:rsidR="00B74082" w:rsidRDefault="00DA20C8" w:rsidP="00502CC8">
      <w:pPr>
        <w:numPr>
          <w:ilvl w:val="0"/>
          <w:numId w:val="5"/>
        </w:numPr>
        <w:ind w:leftChars="0" w:left="0" w:firstLineChars="0" w:firstLine="0"/>
        <w:jc w:val="both"/>
        <w:rPr>
          <w:rFonts w:ascii="Arial" w:eastAsia="Arial" w:hAnsi="Arial" w:cs="Arial"/>
          <w:sz w:val="20"/>
          <w:szCs w:val="20"/>
        </w:rPr>
      </w:pPr>
      <w:bookmarkStart w:id="21" w:name="_heading=h.dnl17ouo2i2x" w:colFirst="0" w:colLast="0"/>
      <w:bookmarkEnd w:id="21"/>
      <w:r>
        <w:rPr>
          <w:rFonts w:ascii="Arial" w:eastAsia="Arial" w:hAnsi="Arial" w:cs="Arial"/>
          <w:sz w:val="20"/>
          <w:szCs w:val="20"/>
        </w:rPr>
        <w:t>Trasplante alogénico de células hematopoyéticas.</w:t>
      </w:r>
    </w:p>
    <w:p w:rsidR="00B74082" w:rsidRDefault="00B74082" w:rsidP="00502CC8">
      <w:pPr>
        <w:ind w:leftChars="0" w:left="0" w:firstLineChars="0" w:firstLine="0"/>
        <w:jc w:val="both"/>
        <w:rPr>
          <w:rFonts w:ascii="Arial" w:eastAsia="Arial" w:hAnsi="Arial" w:cs="Arial"/>
          <w:sz w:val="20"/>
          <w:szCs w:val="20"/>
        </w:rPr>
      </w:pPr>
      <w:bookmarkStart w:id="22" w:name="_heading=h.maxpv47wfife" w:colFirst="0" w:colLast="0"/>
      <w:bookmarkEnd w:id="22"/>
    </w:p>
    <w:p w:rsidR="00B74082" w:rsidRDefault="00DA20C8" w:rsidP="00502CC8">
      <w:pPr>
        <w:ind w:leftChars="0" w:left="0" w:firstLineChars="0" w:firstLine="0"/>
        <w:jc w:val="both"/>
        <w:rPr>
          <w:rFonts w:ascii="Arial" w:eastAsia="Arial" w:hAnsi="Arial" w:cs="Arial"/>
          <w:sz w:val="20"/>
          <w:szCs w:val="20"/>
        </w:rPr>
      </w:pPr>
      <w:bookmarkStart w:id="23" w:name="_heading=h.igew1e7lk4sz" w:colFirst="0" w:colLast="0"/>
      <w:bookmarkEnd w:id="23"/>
      <w:r>
        <w:rPr>
          <w:rFonts w:ascii="Arial" w:eastAsia="Arial" w:hAnsi="Arial" w:cs="Arial"/>
          <w:sz w:val="20"/>
          <w:szCs w:val="20"/>
        </w:rPr>
        <w:t>En el caso de la MS-NHA sugiere integrar toda la historia clínica del paciente para establecer qué componente de la enfermedad (MS o MS-NHA) requiere tratamiento de forma más inmediata. Para MS-NHA con baja carga tratar NHA como terapia estándar de tratamiento y en el caso de MS-NHA agresiva tratar según el algoritmo anterior de MS. A la progresión recomiendan terapia dirigida según evaluación molecular.</w:t>
      </w:r>
    </w:p>
    <w:p w:rsidR="00B74082" w:rsidRPr="00502CC8" w:rsidRDefault="00B74082" w:rsidP="00502CC8">
      <w:pPr>
        <w:ind w:leftChars="0" w:left="0" w:firstLineChars="0" w:firstLine="0"/>
        <w:jc w:val="both"/>
        <w:rPr>
          <w:rFonts w:ascii="Arial" w:eastAsia="Arial" w:hAnsi="Arial" w:cs="Arial"/>
          <w:color w:val="000080"/>
          <w:sz w:val="20"/>
          <w:szCs w:val="20"/>
        </w:rPr>
      </w:pPr>
      <w:bookmarkStart w:id="24" w:name="_heading=h.dodqjyq4k8hc" w:colFirst="0" w:colLast="0"/>
      <w:bookmarkEnd w:id="24"/>
    </w:p>
    <w:p w:rsidR="00B74082" w:rsidRDefault="00DA20C8" w:rsidP="00502CC8">
      <w:pPr>
        <w:ind w:leftChars="0" w:left="0" w:firstLineChars="0" w:firstLine="0"/>
        <w:jc w:val="both"/>
        <w:rPr>
          <w:rFonts w:ascii="Arial" w:eastAsia="Arial" w:hAnsi="Arial" w:cs="Arial"/>
          <w:sz w:val="20"/>
          <w:szCs w:val="20"/>
        </w:rPr>
      </w:pPr>
      <w:bookmarkStart w:id="25" w:name="_heading=h.m74adtb40f17" w:colFirst="0" w:colLast="0"/>
      <w:bookmarkEnd w:id="25"/>
      <w:r w:rsidRPr="00502CC8">
        <w:rPr>
          <w:rFonts w:ascii="Arial" w:eastAsia="Arial" w:hAnsi="Arial" w:cs="Arial"/>
          <w:b/>
          <w:sz w:val="20"/>
          <w:szCs w:val="20"/>
        </w:rPr>
        <w:t>Guía NCCN</w:t>
      </w:r>
      <w:r w:rsidR="00B8239D" w:rsidRPr="00502CC8">
        <w:rPr>
          <w:rFonts w:ascii="Arial" w:eastAsia="Arial" w:hAnsi="Arial" w:cs="Arial"/>
          <w:sz w:val="20"/>
          <w:szCs w:val="20"/>
        </w:rPr>
        <w:t xml:space="preserve"> </w:t>
      </w:r>
      <w:sdt>
        <w:sdtPr>
          <w:rPr>
            <w:rFonts w:ascii="Arial" w:eastAsia="Arial" w:hAnsi="Arial" w:cs="Arial"/>
            <w:sz w:val="20"/>
            <w:szCs w:val="20"/>
            <w:vertAlign w:val="superscript"/>
          </w:rPr>
          <w:id w:val="-825440976"/>
          <w:citation/>
        </w:sdtPr>
        <w:sdtEndPr/>
        <w:sdtContent>
          <w:r w:rsidR="00743E44" w:rsidRPr="00D9293C">
            <w:rPr>
              <w:rFonts w:ascii="Arial" w:eastAsia="Arial" w:hAnsi="Arial" w:cs="Arial"/>
              <w:sz w:val="20"/>
              <w:szCs w:val="20"/>
              <w:vertAlign w:val="superscript"/>
            </w:rPr>
            <w:fldChar w:fldCharType="begin"/>
          </w:r>
          <w:r w:rsidR="00B8239D" w:rsidRPr="00D9293C">
            <w:rPr>
              <w:rFonts w:ascii="Arial" w:eastAsia="Arial" w:hAnsi="Arial" w:cs="Arial"/>
              <w:sz w:val="20"/>
              <w:szCs w:val="20"/>
              <w:vertAlign w:val="superscript"/>
            </w:rPr>
            <w:instrText xml:space="preserve"> CITATION Sys22 \l 3082 </w:instrText>
          </w:r>
          <w:r w:rsidR="00743E44" w:rsidRPr="00D9293C">
            <w:rPr>
              <w:rFonts w:ascii="Arial" w:eastAsia="Arial" w:hAnsi="Arial" w:cs="Arial"/>
              <w:sz w:val="20"/>
              <w:szCs w:val="20"/>
              <w:vertAlign w:val="superscript"/>
            </w:rPr>
            <w:fldChar w:fldCharType="separate"/>
          </w:r>
          <w:r w:rsidR="00C560F5" w:rsidRPr="00C560F5">
            <w:rPr>
              <w:rFonts w:ascii="Arial" w:eastAsia="Arial" w:hAnsi="Arial" w:cs="Arial"/>
              <w:noProof/>
              <w:sz w:val="20"/>
              <w:szCs w:val="20"/>
            </w:rPr>
            <w:t>(8)</w:t>
          </w:r>
          <w:r w:rsidR="00743E44" w:rsidRPr="00D9293C">
            <w:rPr>
              <w:rFonts w:ascii="Arial" w:eastAsia="Arial" w:hAnsi="Arial" w:cs="Arial"/>
              <w:sz w:val="20"/>
              <w:szCs w:val="20"/>
              <w:vertAlign w:val="superscript"/>
            </w:rPr>
            <w:fldChar w:fldCharType="end"/>
          </w:r>
        </w:sdtContent>
      </w:sdt>
      <w:r w:rsidRPr="00502CC8">
        <w:rPr>
          <w:rFonts w:ascii="Arial" w:eastAsia="Arial" w:hAnsi="Arial" w:cs="Arial"/>
          <w:sz w:val="20"/>
          <w:szCs w:val="20"/>
        </w:rPr>
        <w:t xml:space="preserve">: Tan solo avapritinib y midostaurina aparecen como tratamientos con preferencia en las tres indicaciones en las que han sido aprobados (MS, MS-NHA y LCM). </w:t>
      </w:r>
    </w:p>
    <w:p w:rsidR="00502CC8" w:rsidRPr="00502CC8" w:rsidRDefault="00502CC8" w:rsidP="00502CC8">
      <w:pPr>
        <w:ind w:leftChars="0" w:left="0" w:firstLineChars="0" w:firstLine="0"/>
        <w:jc w:val="both"/>
        <w:rPr>
          <w:rFonts w:ascii="Arial" w:eastAsia="Arial" w:hAnsi="Arial" w:cs="Arial"/>
          <w:sz w:val="20"/>
          <w:szCs w:val="20"/>
        </w:rPr>
      </w:pPr>
    </w:p>
    <w:p w:rsidR="00B74082" w:rsidRDefault="00DA20C8" w:rsidP="00502CC8">
      <w:pPr>
        <w:numPr>
          <w:ilvl w:val="0"/>
          <w:numId w:val="1"/>
        </w:numPr>
        <w:ind w:leftChars="0" w:left="0" w:firstLineChars="0" w:firstLine="0"/>
        <w:jc w:val="both"/>
        <w:rPr>
          <w:rFonts w:ascii="Arial" w:eastAsia="Arial" w:hAnsi="Arial" w:cs="Arial"/>
          <w:sz w:val="20"/>
          <w:szCs w:val="20"/>
        </w:rPr>
      </w:pPr>
      <w:bookmarkStart w:id="26" w:name="_heading=h.2nmzsemwjmkj" w:colFirst="0" w:colLast="0"/>
      <w:bookmarkEnd w:id="26"/>
      <w:r w:rsidRPr="00502CC8">
        <w:rPr>
          <w:rFonts w:ascii="Arial" w:eastAsia="Arial" w:hAnsi="Arial" w:cs="Arial"/>
          <w:sz w:val="20"/>
          <w:szCs w:val="20"/>
        </w:rPr>
        <w:t xml:space="preserve">En el caso de </w:t>
      </w:r>
      <w:r w:rsidRPr="00502CC8">
        <w:rPr>
          <w:rFonts w:ascii="Arial" w:eastAsia="Arial" w:hAnsi="Arial" w:cs="Arial"/>
          <w:sz w:val="20"/>
          <w:szCs w:val="20"/>
          <w:u w:val="single"/>
        </w:rPr>
        <w:t>MS agresiva</w:t>
      </w:r>
      <w:sdt>
        <w:sdtPr>
          <w:rPr>
            <w:rFonts w:ascii="Arial" w:hAnsi="Arial" w:cs="Arial"/>
          </w:rPr>
          <w:tag w:val="goog_rdk_0"/>
          <w:id w:val="999313257"/>
        </w:sdtPr>
        <w:sdtEndPr/>
        <w:sdtContent>
          <w:r w:rsidRPr="00502CC8">
            <w:rPr>
              <w:rFonts w:ascii="Arial" w:eastAsia="Arial Unicode MS" w:hAnsi="Arial" w:cs="Arial"/>
              <w:sz w:val="20"/>
              <w:szCs w:val="20"/>
            </w:rPr>
            <w:t xml:space="preserve"> dan una serie de recomendaciones generales (evitar activadores de la respuesta mastocítica, llevar siempre adrenalina para las crisis anafilácticas). Los regímenes preferidos son la participación en un </w:t>
          </w:r>
          <w:r w:rsidR="004934D6" w:rsidRPr="00502CC8">
            <w:rPr>
              <w:rFonts w:ascii="Arial" w:eastAsia="Arial Unicode MS" w:hAnsi="Arial" w:cs="Arial"/>
              <w:sz w:val="20"/>
              <w:szCs w:val="20"/>
            </w:rPr>
            <w:t>ensayo clínico</w:t>
          </w:r>
          <w:r w:rsidRPr="00502CC8">
            <w:rPr>
              <w:rFonts w:ascii="Arial" w:eastAsia="Arial Unicode MS" w:hAnsi="Arial" w:cs="Arial"/>
              <w:sz w:val="20"/>
              <w:szCs w:val="20"/>
            </w:rPr>
            <w:t>, avapritinib (si recuento plaquetario ≥50 x 10</w:t>
          </w:r>
        </w:sdtContent>
      </w:sdt>
      <w:r w:rsidRPr="00502CC8">
        <w:rPr>
          <w:rFonts w:ascii="Arial" w:eastAsia="Arial" w:hAnsi="Arial" w:cs="Arial"/>
          <w:sz w:val="20"/>
          <w:szCs w:val="20"/>
          <w:vertAlign w:val="superscript"/>
        </w:rPr>
        <w:t>9</w:t>
      </w:r>
      <w:r w:rsidRPr="00502CC8">
        <w:rPr>
          <w:rFonts w:ascii="Arial" w:eastAsia="Arial" w:hAnsi="Arial" w:cs="Arial"/>
          <w:sz w:val="20"/>
          <w:szCs w:val="20"/>
        </w:rPr>
        <w:t>/L) o midostaurina. Como otros regímenes recomiendan cladribina o</w:t>
      </w:r>
      <w:r>
        <w:rPr>
          <w:rFonts w:ascii="Arial" w:eastAsia="Arial" w:hAnsi="Arial" w:cs="Arial"/>
          <w:sz w:val="20"/>
          <w:szCs w:val="20"/>
        </w:rPr>
        <w:t xml:space="preserve"> peginterferon alfa-2a con/sin prednisona. Imatinib sería útil en determinadas circunstancias (KIT D816V</w:t>
      </w:r>
      <w:r w:rsidR="00D9293C">
        <w:rPr>
          <w:rFonts w:ascii="Arial" w:eastAsia="Arial" w:hAnsi="Arial" w:cs="Arial"/>
          <w:sz w:val="20"/>
          <w:szCs w:val="20"/>
        </w:rPr>
        <w:t xml:space="preserve"> </w:t>
      </w:r>
      <w:r>
        <w:rPr>
          <w:rFonts w:ascii="Arial" w:eastAsia="Arial" w:hAnsi="Arial" w:cs="Arial"/>
          <w:sz w:val="20"/>
          <w:szCs w:val="20"/>
        </w:rPr>
        <w:t xml:space="preserve">(-) o desconocido). Si la respuesta con alguno de los tratamientos anteriores es inadecuada o hay una </w:t>
      </w:r>
      <w:r>
        <w:rPr>
          <w:rFonts w:ascii="Arial" w:eastAsia="Arial" w:hAnsi="Arial" w:cs="Arial"/>
          <w:sz w:val="20"/>
          <w:szCs w:val="20"/>
        </w:rPr>
        <w:lastRenderedPageBreak/>
        <w:t>pérdida de eficacia recomiendan volver al nivel anterior, volver a realizar al paciente las pruebas pertinentes y seleccionar otro tratamiento sistémico.</w:t>
      </w:r>
      <w:r>
        <w:rPr>
          <w:rFonts w:ascii="Arial" w:eastAsia="Arial" w:hAnsi="Arial" w:cs="Arial"/>
          <w:sz w:val="20"/>
          <w:szCs w:val="20"/>
        </w:rPr>
        <w:tab/>
      </w:r>
    </w:p>
    <w:p w:rsidR="00B74082" w:rsidRDefault="006D2FEB">
      <w:pPr>
        <w:numPr>
          <w:ilvl w:val="0"/>
          <w:numId w:val="1"/>
        </w:numPr>
        <w:ind w:left="0" w:hanging="2"/>
        <w:rPr>
          <w:rFonts w:ascii="Arial" w:eastAsia="Arial" w:hAnsi="Arial" w:cs="Arial"/>
          <w:sz w:val="20"/>
          <w:szCs w:val="20"/>
        </w:rPr>
      </w:pPr>
      <w:bookmarkStart w:id="27" w:name="_heading=h.z3uf6l1hc241" w:colFirst="0" w:colLast="0"/>
      <w:bookmarkEnd w:id="27"/>
      <w:r>
        <w:rPr>
          <w:rFonts w:ascii="Arial" w:eastAsia="Arial" w:hAnsi="Arial" w:cs="Arial"/>
          <w:sz w:val="20"/>
          <w:szCs w:val="20"/>
        </w:rPr>
        <w:t>Para MS</w:t>
      </w:r>
      <w:r w:rsidR="00DA20C8">
        <w:rPr>
          <w:rFonts w:ascii="Arial" w:eastAsia="Arial" w:hAnsi="Arial" w:cs="Arial"/>
          <w:sz w:val="20"/>
          <w:szCs w:val="20"/>
        </w:rPr>
        <w:t xml:space="preserve">-NHA diferencian entre que el componente de MS requiera un tratamiento más inmediato o lo requiera el componente NHA. En el caso de que se vaya a tratar el componente NHA se deberá usar una terapia dirigida a NHA y monitorizar el componente MS. En el caso de que se vaya a tratar el componente MS los regímenes recomendados en primera línea son los mismos que para MS (punto anterior), pero sin incluir en este caso al imatinib. Se deberá continuar monitorizando el componente NHA por si el mismo necesitara una atención más urgente. </w:t>
      </w:r>
    </w:p>
    <w:bookmarkStart w:id="28" w:name="_heading=h.f5zfmc9w5uw3" w:colFirst="0" w:colLast="0"/>
    <w:bookmarkEnd w:id="28"/>
    <w:p w:rsidR="00B74082" w:rsidRDefault="00E564BB">
      <w:pPr>
        <w:numPr>
          <w:ilvl w:val="0"/>
          <w:numId w:val="1"/>
        </w:numPr>
        <w:ind w:left="0" w:hanging="2"/>
        <w:rPr>
          <w:rFonts w:ascii="Arial" w:eastAsia="Arial" w:hAnsi="Arial" w:cs="Arial"/>
          <w:sz w:val="20"/>
          <w:szCs w:val="20"/>
        </w:rPr>
      </w:pPr>
      <w:sdt>
        <w:sdtPr>
          <w:tag w:val="goog_rdk_1"/>
          <w:id w:val="-686447875"/>
        </w:sdtPr>
        <w:sdtEndPr/>
        <w:sdtContent>
          <w:r w:rsidR="00DA20C8">
            <w:rPr>
              <w:rFonts w:ascii="Arial Unicode MS" w:eastAsia="Arial Unicode MS" w:hAnsi="Arial Unicode MS" w:cs="Arial Unicode MS"/>
              <w:sz w:val="20"/>
              <w:szCs w:val="20"/>
            </w:rPr>
            <w:t>Para LM (con o sin componente NHA) los tratamientos preferentes son avapritinib (si recuento plaquetario ≥50 x 10</w:t>
          </w:r>
        </w:sdtContent>
      </w:sdt>
      <w:r w:rsidR="00DA20C8">
        <w:rPr>
          <w:rFonts w:ascii="Arial" w:eastAsia="Arial" w:hAnsi="Arial" w:cs="Arial"/>
          <w:sz w:val="20"/>
          <w:szCs w:val="20"/>
          <w:vertAlign w:val="superscript"/>
        </w:rPr>
        <w:t>9</w:t>
      </w:r>
      <w:r w:rsidR="00DA20C8">
        <w:rPr>
          <w:rFonts w:ascii="Arial" w:eastAsia="Arial" w:hAnsi="Arial" w:cs="Arial"/>
          <w:sz w:val="20"/>
          <w:szCs w:val="20"/>
        </w:rPr>
        <w:t>/L) y midostaurina. En segundo plano quedaría cladribina. Se deberá monitorizar la parte NHA por si fuera necesaria una terapia dirigida en este sentido, incluyendo quimioterapia o trasplante alogénico.</w:t>
      </w:r>
    </w:p>
    <w:p w:rsidR="00B74082" w:rsidRDefault="00B74082">
      <w:pPr>
        <w:ind w:left="0" w:hanging="2"/>
        <w:rPr>
          <w:rFonts w:ascii="Arial" w:eastAsia="Arial" w:hAnsi="Arial" w:cs="Arial"/>
          <w:color w:val="000080"/>
          <w:sz w:val="20"/>
          <w:szCs w:val="20"/>
        </w:rPr>
      </w:pPr>
      <w:bookmarkStart w:id="29" w:name="_heading=h.jj1v9gknysn3" w:colFirst="0" w:colLast="0"/>
      <w:bookmarkEnd w:id="29"/>
    </w:p>
    <w:p w:rsidR="00B74082" w:rsidRDefault="00DA20C8">
      <w:pPr>
        <w:ind w:left="0" w:hanging="2"/>
        <w:rPr>
          <w:rFonts w:ascii="Arial" w:eastAsia="Arial" w:hAnsi="Arial" w:cs="Arial"/>
          <w:color w:val="000080"/>
          <w:sz w:val="20"/>
          <w:szCs w:val="20"/>
        </w:rPr>
      </w:pPr>
      <w:bookmarkStart w:id="30" w:name="_heading=h.vxh5mvve47ge" w:colFirst="0" w:colLast="0"/>
      <w:bookmarkEnd w:id="30"/>
      <w:r>
        <w:rPr>
          <w:rFonts w:ascii="Arial" w:eastAsia="Arial" w:hAnsi="Arial" w:cs="Arial"/>
          <w:noProof/>
          <w:color w:val="000080"/>
          <w:sz w:val="20"/>
          <w:szCs w:val="20"/>
        </w:rPr>
        <w:drawing>
          <wp:inline distT="114300" distB="114300" distL="114300" distR="114300">
            <wp:extent cx="5305425" cy="2276475"/>
            <wp:effectExtent l="0" t="0" r="9525" b="9525"/>
            <wp:docPr id="105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cstate="print"/>
                    <a:srcRect/>
                    <a:stretch>
                      <a:fillRect/>
                    </a:stretch>
                  </pic:blipFill>
                  <pic:spPr>
                    <a:xfrm>
                      <a:off x="0" y="0"/>
                      <a:ext cx="5301489" cy="2274786"/>
                    </a:xfrm>
                    <a:prstGeom prst="rect">
                      <a:avLst/>
                    </a:prstGeom>
                    <a:ln/>
                  </pic:spPr>
                </pic:pic>
              </a:graphicData>
            </a:graphic>
          </wp:inline>
        </w:drawing>
      </w:r>
    </w:p>
    <w:p w:rsidR="00B74082" w:rsidRDefault="00B74082">
      <w:pPr>
        <w:ind w:left="0" w:hanging="2"/>
        <w:rPr>
          <w:rFonts w:ascii="Arial" w:eastAsia="Arial" w:hAnsi="Arial" w:cs="Arial"/>
          <w:color w:val="000080"/>
          <w:sz w:val="20"/>
          <w:szCs w:val="20"/>
        </w:rPr>
      </w:pPr>
      <w:bookmarkStart w:id="31" w:name="_heading=h.qcy58drhmvmu" w:colFirst="0" w:colLast="0"/>
      <w:bookmarkEnd w:id="31"/>
    </w:p>
    <w:p w:rsidR="00B74082" w:rsidRPr="00502CC8" w:rsidRDefault="00DA20C8">
      <w:pPr>
        <w:ind w:left="0" w:hanging="2"/>
        <w:jc w:val="center"/>
        <w:rPr>
          <w:rFonts w:ascii="Arial" w:eastAsia="Arial" w:hAnsi="Arial" w:cs="Arial"/>
          <w:b/>
          <w:sz w:val="20"/>
          <w:szCs w:val="20"/>
        </w:rPr>
      </w:pPr>
      <w:bookmarkStart w:id="32" w:name="_heading=h.6i83xkl8dz0z" w:colFirst="0" w:colLast="0"/>
      <w:bookmarkEnd w:id="32"/>
      <w:r w:rsidRPr="00502CC8">
        <w:rPr>
          <w:rFonts w:ascii="Arial" w:eastAsia="Arial" w:hAnsi="Arial" w:cs="Arial"/>
          <w:b/>
          <w:sz w:val="20"/>
          <w:szCs w:val="20"/>
        </w:rPr>
        <w:t xml:space="preserve">Figura 3: Guía NCCN: Tratamiento para la MS agresiva </w:t>
      </w:r>
      <w:sdt>
        <w:sdtPr>
          <w:rPr>
            <w:rFonts w:ascii="Arial" w:eastAsia="Arial" w:hAnsi="Arial" w:cs="Arial"/>
            <w:b/>
            <w:sz w:val="20"/>
            <w:szCs w:val="20"/>
            <w:vertAlign w:val="superscript"/>
          </w:rPr>
          <w:id w:val="1093126834"/>
          <w:citation/>
        </w:sdtPr>
        <w:sdtEndPr/>
        <w:sdtContent>
          <w:r w:rsidR="00743E44" w:rsidRPr="006D2FEB">
            <w:rPr>
              <w:rFonts w:ascii="Arial" w:eastAsia="Arial" w:hAnsi="Arial" w:cs="Arial"/>
              <w:b/>
              <w:sz w:val="20"/>
              <w:szCs w:val="20"/>
              <w:vertAlign w:val="superscript"/>
            </w:rPr>
            <w:fldChar w:fldCharType="begin"/>
          </w:r>
          <w:r w:rsidR="00B8239D" w:rsidRPr="006D2FEB">
            <w:rPr>
              <w:rFonts w:ascii="Arial" w:eastAsia="Arial" w:hAnsi="Arial" w:cs="Arial"/>
              <w:b/>
              <w:sz w:val="20"/>
              <w:szCs w:val="20"/>
              <w:vertAlign w:val="superscript"/>
            </w:rPr>
            <w:instrText xml:space="preserve"> CITATION Sys22 \l 3082 </w:instrText>
          </w:r>
          <w:r w:rsidR="00743E44" w:rsidRPr="006D2FEB">
            <w:rPr>
              <w:rFonts w:ascii="Arial" w:eastAsia="Arial" w:hAnsi="Arial" w:cs="Arial"/>
              <w:b/>
              <w:sz w:val="20"/>
              <w:szCs w:val="20"/>
              <w:vertAlign w:val="superscript"/>
            </w:rPr>
            <w:fldChar w:fldCharType="separate"/>
          </w:r>
          <w:r w:rsidR="00C560F5" w:rsidRPr="00C560F5">
            <w:rPr>
              <w:rFonts w:ascii="Arial" w:eastAsia="Arial" w:hAnsi="Arial" w:cs="Arial"/>
              <w:noProof/>
              <w:sz w:val="20"/>
              <w:szCs w:val="20"/>
            </w:rPr>
            <w:t>(8)</w:t>
          </w:r>
          <w:r w:rsidR="00743E44" w:rsidRPr="006D2FEB">
            <w:rPr>
              <w:rFonts w:ascii="Arial" w:eastAsia="Arial" w:hAnsi="Arial" w:cs="Arial"/>
              <w:b/>
              <w:sz w:val="20"/>
              <w:szCs w:val="20"/>
              <w:vertAlign w:val="superscript"/>
            </w:rPr>
            <w:fldChar w:fldCharType="end"/>
          </w:r>
        </w:sdtContent>
      </w:sdt>
    </w:p>
    <w:p w:rsidR="00B74082" w:rsidRDefault="00B74082">
      <w:pPr>
        <w:ind w:left="0" w:hanging="2"/>
        <w:rPr>
          <w:rFonts w:ascii="Arial" w:eastAsia="Arial" w:hAnsi="Arial" w:cs="Arial"/>
          <w:color w:val="000080"/>
          <w:sz w:val="20"/>
          <w:szCs w:val="20"/>
        </w:rPr>
      </w:pPr>
      <w:bookmarkStart w:id="33" w:name="_heading=h.q8icbxc85shn" w:colFirst="0" w:colLast="0"/>
      <w:bookmarkEnd w:id="33"/>
    </w:p>
    <w:p w:rsidR="00B74082" w:rsidRDefault="00DA20C8">
      <w:pPr>
        <w:ind w:left="0" w:hanging="2"/>
        <w:rPr>
          <w:rFonts w:ascii="Arial" w:eastAsia="Arial" w:hAnsi="Arial" w:cs="Arial"/>
          <w:color w:val="000080"/>
          <w:sz w:val="20"/>
          <w:szCs w:val="20"/>
        </w:rPr>
      </w:pPr>
      <w:bookmarkStart w:id="34" w:name="_heading=h.wqvwj6r6swbd" w:colFirst="0" w:colLast="0"/>
      <w:bookmarkEnd w:id="34"/>
      <w:r>
        <w:rPr>
          <w:rFonts w:ascii="Arial" w:eastAsia="Arial" w:hAnsi="Arial" w:cs="Arial"/>
          <w:noProof/>
          <w:color w:val="000080"/>
          <w:sz w:val="20"/>
          <w:szCs w:val="20"/>
        </w:rPr>
        <w:drawing>
          <wp:inline distT="114300" distB="114300" distL="114300" distR="114300">
            <wp:extent cx="5314950" cy="3267075"/>
            <wp:effectExtent l="0" t="0" r="0" b="9525"/>
            <wp:docPr id="106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cstate="print"/>
                    <a:srcRect/>
                    <a:stretch>
                      <a:fillRect/>
                    </a:stretch>
                  </pic:blipFill>
                  <pic:spPr>
                    <a:xfrm>
                      <a:off x="0" y="0"/>
                      <a:ext cx="5313048" cy="3265906"/>
                    </a:xfrm>
                    <a:prstGeom prst="rect">
                      <a:avLst/>
                    </a:prstGeom>
                    <a:ln/>
                  </pic:spPr>
                </pic:pic>
              </a:graphicData>
            </a:graphic>
          </wp:inline>
        </w:drawing>
      </w:r>
      <w:r>
        <w:rPr>
          <w:rFonts w:ascii="Arial" w:eastAsia="Arial" w:hAnsi="Arial" w:cs="Arial"/>
          <w:color w:val="000080"/>
          <w:sz w:val="20"/>
          <w:szCs w:val="20"/>
        </w:rPr>
        <w:t xml:space="preserve"> </w:t>
      </w:r>
    </w:p>
    <w:p w:rsidR="00B74082" w:rsidRPr="006D2FEB" w:rsidRDefault="00DA20C8">
      <w:pPr>
        <w:ind w:left="0" w:hanging="2"/>
        <w:jc w:val="center"/>
        <w:rPr>
          <w:rFonts w:ascii="Arial" w:eastAsia="Arial" w:hAnsi="Arial" w:cs="Arial"/>
          <w:b/>
          <w:sz w:val="20"/>
          <w:szCs w:val="20"/>
          <w:vertAlign w:val="superscript"/>
        </w:rPr>
      </w:pPr>
      <w:bookmarkStart w:id="35" w:name="_heading=h.2avtpl27ke8d" w:colFirst="0" w:colLast="0"/>
      <w:bookmarkEnd w:id="35"/>
      <w:r w:rsidRPr="00642940">
        <w:rPr>
          <w:rFonts w:ascii="Arial" w:eastAsia="Arial" w:hAnsi="Arial" w:cs="Arial"/>
          <w:b/>
          <w:sz w:val="20"/>
          <w:szCs w:val="20"/>
        </w:rPr>
        <w:t>Figura 4: Bloques de evidencia para tratamiento de MS de la NCCN</w:t>
      </w:r>
      <w:r w:rsidR="00B8239D" w:rsidRPr="00642940">
        <w:rPr>
          <w:rFonts w:ascii="Arial" w:eastAsia="Arial" w:hAnsi="Arial" w:cs="Arial"/>
          <w:b/>
          <w:sz w:val="20"/>
          <w:szCs w:val="20"/>
        </w:rPr>
        <w:t xml:space="preserve"> </w:t>
      </w:r>
      <w:sdt>
        <w:sdtPr>
          <w:rPr>
            <w:rFonts w:ascii="Arial" w:eastAsia="Arial" w:hAnsi="Arial" w:cs="Arial"/>
            <w:b/>
            <w:sz w:val="20"/>
            <w:szCs w:val="20"/>
            <w:vertAlign w:val="superscript"/>
          </w:rPr>
          <w:id w:val="-1377303767"/>
          <w:citation/>
        </w:sdtPr>
        <w:sdtEndPr/>
        <w:sdtContent>
          <w:r w:rsidR="00743E44" w:rsidRPr="006D2FEB">
            <w:rPr>
              <w:rFonts w:ascii="Arial" w:eastAsia="Arial" w:hAnsi="Arial" w:cs="Arial"/>
              <w:b/>
              <w:sz w:val="20"/>
              <w:szCs w:val="20"/>
              <w:vertAlign w:val="superscript"/>
            </w:rPr>
            <w:fldChar w:fldCharType="begin"/>
          </w:r>
          <w:r w:rsidR="00B8239D" w:rsidRPr="006D2FEB">
            <w:rPr>
              <w:rFonts w:ascii="Arial" w:eastAsia="Arial" w:hAnsi="Arial" w:cs="Arial"/>
              <w:b/>
              <w:sz w:val="20"/>
              <w:szCs w:val="20"/>
              <w:vertAlign w:val="superscript"/>
            </w:rPr>
            <w:instrText xml:space="preserve"> CITATION Sys22 \l 3082 </w:instrText>
          </w:r>
          <w:r w:rsidR="00743E44" w:rsidRPr="006D2FEB">
            <w:rPr>
              <w:rFonts w:ascii="Arial" w:eastAsia="Arial" w:hAnsi="Arial" w:cs="Arial"/>
              <w:b/>
              <w:sz w:val="20"/>
              <w:szCs w:val="20"/>
              <w:vertAlign w:val="superscript"/>
            </w:rPr>
            <w:fldChar w:fldCharType="separate"/>
          </w:r>
          <w:r w:rsidR="00C560F5" w:rsidRPr="00C560F5">
            <w:rPr>
              <w:rFonts w:ascii="Arial" w:eastAsia="Arial" w:hAnsi="Arial" w:cs="Arial"/>
              <w:noProof/>
              <w:sz w:val="20"/>
              <w:szCs w:val="20"/>
            </w:rPr>
            <w:t>(8)</w:t>
          </w:r>
          <w:r w:rsidR="00743E44" w:rsidRPr="006D2FEB">
            <w:rPr>
              <w:rFonts w:ascii="Arial" w:eastAsia="Arial" w:hAnsi="Arial" w:cs="Arial"/>
              <w:b/>
              <w:sz w:val="20"/>
              <w:szCs w:val="20"/>
              <w:vertAlign w:val="superscript"/>
            </w:rPr>
            <w:fldChar w:fldCharType="end"/>
          </w:r>
        </w:sdtContent>
      </w:sdt>
    </w:p>
    <w:p w:rsidR="00B74082" w:rsidRDefault="00B74082">
      <w:pPr>
        <w:ind w:left="0" w:hanging="2"/>
        <w:jc w:val="center"/>
        <w:rPr>
          <w:rFonts w:ascii="Arial" w:eastAsia="Arial" w:hAnsi="Arial" w:cs="Arial"/>
          <w:sz w:val="20"/>
          <w:szCs w:val="20"/>
        </w:rPr>
      </w:pPr>
      <w:bookmarkStart w:id="36" w:name="_heading=h.v3errbkxki5" w:colFirst="0" w:colLast="0"/>
      <w:bookmarkEnd w:id="36"/>
    </w:p>
    <w:p w:rsidR="00B74082" w:rsidRDefault="00B74082">
      <w:pPr>
        <w:ind w:left="0" w:hanging="2"/>
        <w:jc w:val="center"/>
        <w:rPr>
          <w:rFonts w:ascii="Arial" w:eastAsia="Arial" w:hAnsi="Arial" w:cs="Arial"/>
          <w:sz w:val="20"/>
          <w:szCs w:val="20"/>
        </w:rPr>
      </w:pPr>
      <w:bookmarkStart w:id="37" w:name="_heading=h.mwpgolaoekh7" w:colFirst="0" w:colLast="0"/>
      <w:bookmarkEnd w:id="37"/>
    </w:p>
    <w:p w:rsidR="00B74082" w:rsidRDefault="00B74082">
      <w:pPr>
        <w:ind w:left="0" w:hanging="2"/>
        <w:rPr>
          <w:rFonts w:ascii="Arial" w:eastAsia="Arial" w:hAnsi="Arial" w:cs="Arial"/>
          <w:sz w:val="20"/>
          <w:szCs w:val="20"/>
        </w:rPr>
      </w:pPr>
      <w:bookmarkStart w:id="38" w:name="_heading=h.g8t4r3lhkj14" w:colFirst="0" w:colLast="0"/>
      <w:bookmarkEnd w:id="38"/>
    </w:p>
    <w:p w:rsidR="00B74082" w:rsidRDefault="00B74082">
      <w:pPr>
        <w:ind w:left="0" w:hanging="2"/>
        <w:rPr>
          <w:rFonts w:ascii="Arial" w:eastAsia="Arial" w:hAnsi="Arial" w:cs="Arial"/>
          <w:color w:val="000080"/>
          <w:sz w:val="20"/>
          <w:szCs w:val="20"/>
        </w:rPr>
      </w:pPr>
      <w:bookmarkStart w:id="39" w:name="_heading=h.3ofase4j51nu" w:colFirst="0" w:colLast="0"/>
      <w:bookmarkEnd w:id="39"/>
    </w:p>
    <w:p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 xml:space="preserve">3.3 Características comparadas con otras alternativas similares </w:t>
      </w:r>
    </w:p>
    <w:p w:rsidR="00B74082" w:rsidRDefault="00B74082">
      <w:pPr>
        <w:ind w:left="0" w:hanging="2"/>
      </w:pPr>
    </w:p>
    <w:p w:rsidR="00B74082" w:rsidRDefault="00DA20C8" w:rsidP="006D2FEB">
      <w:pPr>
        <w:ind w:left="0" w:hanging="2"/>
        <w:jc w:val="both"/>
        <w:rPr>
          <w:rFonts w:ascii="Arial" w:eastAsia="Arial" w:hAnsi="Arial" w:cs="Arial"/>
          <w:sz w:val="20"/>
          <w:szCs w:val="20"/>
        </w:rPr>
      </w:pPr>
      <w:r>
        <w:rPr>
          <w:rFonts w:ascii="Arial" w:eastAsia="Arial" w:hAnsi="Arial" w:cs="Arial"/>
          <w:sz w:val="20"/>
          <w:szCs w:val="20"/>
        </w:rPr>
        <w:t>Alternativas disponibles en el Hos</w:t>
      </w:r>
      <w:r w:rsidR="006D2FEB">
        <w:rPr>
          <w:rFonts w:ascii="Arial" w:eastAsia="Arial" w:hAnsi="Arial" w:cs="Arial"/>
          <w:sz w:val="20"/>
          <w:szCs w:val="20"/>
        </w:rPr>
        <w:t>pital para la misma indicación (se ha seleccionado la midostaurina porque según se recoge en la Figura 4 de las tablas NCCN, para las mastocitosis severas el único comparador común).</w:t>
      </w:r>
    </w:p>
    <w:p w:rsidR="00B74082" w:rsidRDefault="00B74082">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rPr>
      </w:pPr>
    </w:p>
    <w:tbl>
      <w:tblPr>
        <w:tblStyle w:val="34"/>
        <w:tblW w:w="84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90"/>
        <w:gridCol w:w="2842"/>
        <w:gridCol w:w="3402"/>
      </w:tblGrid>
      <w:tr w:rsidR="00B74082" w:rsidTr="00642940">
        <w:trPr>
          <w:cantSplit/>
        </w:trPr>
        <w:tc>
          <w:tcPr>
            <w:tcW w:w="8434" w:type="dxa"/>
            <w:gridSpan w:val="3"/>
            <w:shd w:val="clear" w:color="auto" w:fill="CCFFCC"/>
          </w:tcPr>
          <w:p w:rsidR="00B74082" w:rsidRDefault="00DA20C8">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sz w:val="16"/>
                <w:szCs w:val="16"/>
              </w:rPr>
            </w:pPr>
            <w:r>
              <w:rPr>
                <w:rFonts w:ascii="Arial" w:eastAsia="Arial" w:hAnsi="Arial" w:cs="Arial"/>
                <w:b/>
                <w:color w:val="000000"/>
                <w:sz w:val="18"/>
                <w:szCs w:val="18"/>
              </w:rPr>
              <w:t>Características diferenciales comparadas con otras alternativas similares</w:t>
            </w:r>
          </w:p>
        </w:tc>
      </w:tr>
      <w:tr w:rsidR="00B74082" w:rsidTr="00642940">
        <w:tc>
          <w:tcPr>
            <w:tcW w:w="2190" w:type="dxa"/>
          </w:tcPr>
          <w:p w:rsidR="00B74082" w:rsidRDefault="00DA20C8">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sz w:val="18"/>
                <w:szCs w:val="18"/>
              </w:rPr>
            </w:pPr>
            <w:r>
              <w:rPr>
                <w:rFonts w:ascii="Arial" w:eastAsia="Arial" w:hAnsi="Arial" w:cs="Arial"/>
                <w:b/>
                <w:color w:val="000000"/>
                <w:sz w:val="18"/>
                <w:szCs w:val="18"/>
              </w:rPr>
              <w:t>Nombre</w:t>
            </w:r>
          </w:p>
        </w:tc>
        <w:tc>
          <w:tcPr>
            <w:tcW w:w="2842" w:type="dxa"/>
          </w:tcPr>
          <w:p w:rsidR="00B74082" w:rsidRDefault="00DA20C8">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sz w:val="18"/>
                <w:szCs w:val="18"/>
              </w:rPr>
            </w:pPr>
            <w:r>
              <w:rPr>
                <w:rFonts w:ascii="Arial" w:eastAsia="Arial" w:hAnsi="Arial" w:cs="Arial"/>
                <w:b/>
                <w:sz w:val="18"/>
                <w:szCs w:val="18"/>
              </w:rPr>
              <w:t>Avapritinib</w:t>
            </w:r>
          </w:p>
        </w:tc>
        <w:tc>
          <w:tcPr>
            <w:tcW w:w="3402" w:type="dxa"/>
          </w:tcPr>
          <w:p w:rsidR="00B74082" w:rsidRDefault="00DA20C8">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sz w:val="18"/>
                <w:szCs w:val="18"/>
              </w:rPr>
            </w:pPr>
            <w:r>
              <w:rPr>
                <w:rFonts w:ascii="Arial" w:eastAsia="Arial" w:hAnsi="Arial" w:cs="Arial"/>
                <w:b/>
                <w:sz w:val="18"/>
                <w:szCs w:val="18"/>
              </w:rPr>
              <w:t>Midostaurina</w:t>
            </w:r>
          </w:p>
        </w:tc>
      </w:tr>
      <w:tr w:rsidR="00B74082" w:rsidTr="00642940">
        <w:tc>
          <w:tcPr>
            <w:tcW w:w="2190" w:type="dxa"/>
          </w:tcPr>
          <w:p w:rsidR="00B74082" w:rsidRDefault="00DA20C8">
            <w:pPr>
              <w:ind w:left="0" w:hanging="2"/>
              <w:rPr>
                <w:rFonts w:ascii="Arial" w:eastAsia="Arial" w:hAnsi="Arial" w:cs="Arial"/>
                <w:sz w:val="16"/>
                <w:szCs w:val="16"/>
              </w:rPr>
            </w:pPr>
            <w:r>
              <w:rPr>
                <w:rFonts w:ascii="Arial" w:eastAsia="Arial" w:hAnsi="Arial" w:cs="Arial"/>
                <w:sz w:val="16"/>
                <w:szCs w:val="16"/>
              </w:rPr>
              <w:t>Presentación</w:t>
            </w:r>
          </w:p>
        </w:tc>
        <w:tc>
          <w:tcPr>
            <w:tcW w:w="2842" w:type="dxa"/>
          </w:tcPr>
          <w:p w:rsidR="00B74082" w:rsidRDefault="00DA20C8">
            <w:pPr>
              <w:ind w:left="0" w:hanging="2"/>
              <w:jc w:val="center"/>
              <w:rPr>
                <w:rFonts w:ascii="Arial" w:eastAsia="Arial" w:hAnsi="Arial" w:cs="Arial"/>
                <w:sz w:val="16"/>
                <w:szCs w:val="16"/>
              </w:rPr>
            </w:pPr>
            <w:r>
              <w:rPr>
                <w:rFonts w:ascii="Arial" w:eastAsia="Arial" w:hAnsi="Arial" w:cs="Arial"/>
                <w:sz w:val="16"/>
                <w:szCs w:val="16"/>
              </w:rPr>
              <w:t>Comprimidos recubiertos con película 25, 50, 100, 200, 300 mg</w:t>
            </w:r>
          </w:p>
        </w:tc>
        <w:tc>
          <w:tcPr>
            <w:tcW w:w="3402" w:type="dxa"/>
          </w:tcPr>
          <w:p w:rsidR="00B74082" w:rsidRDefault="00DA20C8">
            <w:pPr>
              <w:ind w:left="0" w:hanging="2"/>
              <w:jc w:val="center"/>
              <w:rPr>
                <w:rFonts w:ascii="Arial" w:eastAsia="Arial" w:hAnsi="Arial" w:cs="Arial"/>
                <w:sz w:val="16"/>
                <w:szCs w:val="16"/>
              </w:rPr>
            </w:pPr>
            <w:r>
              <w:rPr>
                <w:rFonts w:ascii="Arial" w:eastAsia="Arial" w:hAnsi="Arial" w:cs="Arial"/>
                <w:sz w:val="16"/>
                <w:szCs w:val="16"/>
              </w:rPr>
              <w:t>Cápsulas blandas 25 mg</w:t>
            </w:r>
          </w:p>
        </w:tc>
      </w:tr>
      <w:tr w:rsidR="00B74082" w:rsidTr="00642940">
        <w:tc>
          <w:tcPr>
            <w:tcW w:w="2190" w:type="dxa"/>
          </w:tcPr>
          <w:p w:rsidR="00B74082" w:rsidRDefault="00DA20C8">
            <w:pPr>
              <w:ind w:left="0" w:hanging="2"/>
              <w:rPr>
                <w:rFonts w:ascii="Arial" w:eastAsia="Arial" w:hAnsi="Arial" w:cs="Arial"/>
                <w:sz w:val="16"/>
                <w:szCs w:val="16"/>
              </w:rPr>
            </w:pPr>
            <w:r>
              <w:rPr>
                <w:rFonts w:ascii="Arial" w:eastAsia="Arial" w:hAnsi="Arial" w:cs="Arial"/>
                <w:sz w:val="16"/>
                <w:szCs w:val="16"/>
              </w:rPr>
              <w:t>Posología</w:t>
            </w:r>
          </w:p>
        </w:tc>
        <w:tc>
          <w:tcPr>
            <w:tcW w:w="2842" w:type="dxa"/>
          </w:tcPr>
          <w:p w:rsidR="00B74082" w:rsidRDefault="00DA20C8">
            <w:pPr>
              <w:ind w:left="0" w:hanging="2"/>
              <w:jc w:val="center"/>
              <w:rPr>
                <w:rFonts w:ascii="Arial" w:eastAsia="Arial" w:hAnsi="Arial" w:cs="Arial"/>
                <w:sz w:val="16"/>
                <w:szCs w:val="16"/>
              </w:rPr>
            </w:pPr>
            <w:r>
              <w:rPr>
                <w:rFonts w:ascii="Arial" w:eastAsia="Arial" w:hAnsi="Arial" w:cs="Arial"/>
                <w:sz w:val="16"/>
                <w:szCs w:val="16"/>
              </w:rPr>
              <w:t>200 mg/ 24h</w:t>
            </w:r>
          </w:p>
        </w:tc>
        <w:tc>
          <w:tcPr>
            <w:tcW w:w="3402" w:type="dxa"/>
          </w:tcPr>
          <w:p w:rsidR="00B74082" w:rsidRDefault="00DA20C8">
            <w:pPr>
              <w:ind w:left="0" w:hanging="2"/>
              <w:jc w:val="center"/>
              <w:rPr>
                <w:rFonts w:ascii="Arial" w:eastAsia="Arial" w:hAnsi="Arial" w:cs="Arial"/>
                <w:sz w:val="16"/>
                <w:szCs w:val="16"/>
              </w:rPr>
            </w:pPr>
            <w:r>
              <w:rPr>
                <w:rFonts w:ascii="Arial" w:eastAsia="Arial" w:hAnsi="Arial" w:cs="Arial"/>
                <w:sz w:val="16"/>
                <w:szCs w:val="16"/>
              </w:rPr>
              <w:t>100 mg/ 12h</w:t>
            </w:r>
          </w:p>
        </w:tc>
      </w:tr>
      <w:tr w:rsidR="00B74082" w:rsidTr="00642940">
        <w:tc>
          <w:tcPr>
            <w:tcW w:w="2190" w:type="dxa"/>
          </w:tcPr>
          <w:p w:rsidR="00B74082" w:rsidRDefault="00DA20C8">
            <w:pPr>
              <w:ind w:left="0" w:hanging="2"/>
              <w:rPr>
                <w:rFonts w:ascii="Arial" w:eastAsia="Arial" w:hAnsi="Arial" w:cs="Arial"/>
                <w:sz w:val="16"/>
                <w:szCs w:val="16"/>
              </w:rPr>
            </w:pPr>
            <w:r>
              <w:rPr>
                <w:rFonts w:ascii="Arial" w:eastAsia="Arial" w:hAnsi="Arial" w:cs="Arial"/>
                <w:sz w:val="16"/>
                <w:szCs w:val="16"/>
              </w:rPr>
              <w:t>Indicación aprobada en FT</w:t>
            </w:r>
          </w:p>
        </w:tc>
        <w:tc>
          <w:tcPr>
            <w:tcW w:w="2842" w:type="dxa"/>
          </w:tcPr>
          <w:p w:rsidR="00B74082" w:rsidRDefault="00DA20C8">
            <w:pPr>
              <w:keepLines/>
              <w:ind w:left="0" w:hanging="2"/>
              <w:jc w:val="both"/>
              <w:rPr>
                <w:rFonts w:ascii="Arial" w:eastAsia="Arial" w:hAnsi="Arial" w:cs="Arial"/>
                <w:sz w:val="16"/>
                <w:szCs w:val="16"/>
                <w:highlight w:val="yellow"/>
              </w:rPr>
            </w:pPr>
            <w:r>
              <w:rPr>
                <w:rFonts w:ascii="Arial" w:eastAsia="Arial" w:hAnsi="Arial" w:cs="Arial"/>
                <w:sz w:val="16"/>
                <w:szCs w:val="16"/>
              </w:rPr>
              <w:t xml:space="preserve">Monoterapia para el tratamiento de pacientes adultos con mastocitosis sistémica agresiva (MSA), mastocitosis sistémica con neoplasia hematológica asociada (MS-NHA) o leucemia mastocítica (LM) </w:t>
            </w:r>
            <w:r w:rsidRPr="00642940">
              <w:rPr>
                <w:rFonts w:ascii="Arial" w:eastAsia="Arial" w:hAnsi="Arial" w:cs="Arial"/>
                <w:sz w:val="16"/>
                <w:szCs w:val="16"/>
              </w:rPr>
              <w:t>después de, al menos, un tratamiento sistémico</w:t>
            </w:r>
          </w:p>
        </w:tc>
        <w:tc>
          <w:tcPr>
            <w:tcW w:w="3402" w:type="dxa"/>
          </w:tcPr>
          <w:p w:rsidR="00B74082" w:rsidRDefault="00DA20C8">
            <w:pPr>
              <w:ind w:left="0" w:hanging="2"/>
              <w:jc w:val="center"/>
              <w:rPr>
                <w:rFonts w:ascii="Arial" w:eastAsia="Arial" w:hAnsi="Arial" w:cs="Arial"/>
                <w:sz w:val="16"/>
                <w:szCs w:val="16"/>
              </w:rPr>
            </w:pPr>
            <w:r>
              <w:rPr>
                <w:rFonts w:ascii="Arial" w:eastAsia="Arial" w:hAnsi="Arial" w:cs="Arial"/>
                <w:sz w:val="16"/>
                <w:szCs w:val="16"/>
              </w:rPr>
              <w:t>Monoterapia para el tratamiento de pacientes adultos con mastocitosis sistémica agresiva (MSA), mastocitosis sistémica con neoplasia hematológica asociada (MS-NHA), o leucemia de mastocitos (LM)</w:t>
            </w:r>
          </w:p>
        </w:tc>
      </w:tr>
      <w:tr w:rsidR="00B74082" w:rsidTr="00642940">
        <w:tc>
          <w:tcPr>
            <w:tcW w:w="2190" w:type="dxa"/>
          </w:tcPr>
          <w:p w:rsidR="00B74082" w:rsidRDefault="00DA20C8">
            <w:pPr>
              <w:ind w:left="0" w:hanging="2"/>
              <w:rPr>
                <w:rFonts w:ascii="Arial" w:eastAsia="Arial" w:hAnsi="Arial" w:cs="Arial"/>
                <w:sz w:val="16"/>
                <w:szCs w:val="16"/>
              </w:rPr>
            </w:pPr>
            <w:r>
              <w:rPr>
                <w:rFonts w:ascii="Arial" w:eastAsia="Arial" w:hAnsi="Arial" w:cs="Arial"/>
                <w:sz w:val="16"/>
                <w:szCs w:val="16"/>
              </w:rPr>
              <w:t>Efectos adversos</w:t>
            </w:r>
          </w:p>
        </w:tc>
        <w:tc>
          <w:tcPr>
            <w:tcW w:w="2842" w:type="dxa"/>
          </w:tcPr>
          <w:p w:rsidR="00B74082" w:rsidRDefault="00B86D55">
            <w:pPr>
              <w:ind w:left="0" w:hanging="2"/>
              <w:jc w:val="center"/>
              <w:rPr>
                <w:rFonts w:ascii="Arial" w:eastAsia="Arial" w:hAnsi="Arial" w:cs="Arial"/>
                <w:sz w:val="16"/>
                <w:szCs w:val="16"/>
              </w:rPr>
            </w:pPr>
            <w:r>
              <w:rPr>
                <w:rFonts w:ascii="Arial" w:eastAsia="Arial" w:hAnsi="Arial" w:cs="Arial"/>
                <w:sz w:val="16"/>
                <w:szCs w:val="16"/>
              </w:rPr>
              <w:t>Efectos adversos (EA) a nivel hematológico, retención de líquidos y edemas, efectos cognitivos, hemorragia intracraneal</w:t>
            </w:r>
          </w:p>
        </w:tc>
        <w:tc>
          <w:tcPr>
            <w:tcW w:w="3402" w:type="dxa"/>
          </w:tcPr>
          <w:p w:rsidR="00B74082" w:rsidRDefault="00B86D55">
            <w:pPr>
              <w:ind w:left="0" w:hanging="2"/>
              <w:jc w:val="center"/>
              <w:rPr>
                <w:rFonts w:ascii="Arial" w:eastAsia="Arial" w:hAnsi="Arial" w:cs="Arial"/>
                <w:sz w:val="16"/>
                <w:szCs w:val="16"/>
              </w:rPr>
            </w:pPr>
            <w:r>
              <w:rPr>
                <w:rFonts w:ascii="Arial" w:eastAsia="Arial" w:hAnsi="Arial" w:cs="Arial"/>
                <w:sz w:val="16"/>
                <w:szCs w:val="16"/>
              </w:rPr>
              <w:t>Efectos a nivel hematológico, fatiga, diarrea, sepsis, neumonía</w:t>
            </w:r>
          </w:p>
        </w:tc>
      </w:tr>
      <w:tr w:rsidR="00B74082" w:rsidTr="00642940">
        <w:tc>
          <w:tcPr>
            <w:tcW w:w="2190" w:type="dxa"/>
          </w:tcPr>
          <w:p w:rsidR="00B74082" w:rsidRDefault="00DA20C8">
            <w:pPr>
              <w:ind w:left="0" w:hanging="2"/>
              <w:rPr>
                <w:rFonts w:ascii="Arial" w:eastAsia="Arial" w:hAnsi="Arial" w:cs="Arial"/>
                <w:sz w:val="16"/>
                <w:szCs w:val="16"/>
              </w:rPr>
            </w:pPr>
            <w:r>
              <w:rPr>
                <w:rFonts w:ascii="Arial" w:eastAsia="Arial" w:hAnsi="Arial" w:cs="Arial"/>
                <w:sz w:val="16"/>
                <w:szCs w:val="16"/>
              </w:rPr>
              <w:t>Utilización de recursos</w:t>
            </w:r>
          </w:p>
        </w:tc>
        <w:tc>
          <w:tcPr>
            <w:tcW w:w="2842" w:type="dxa"/>
          </w:tcPr>
          <w:p w:rsidR="00B74082" w:rsidRDefault="00DA20C8">
            <w:pPr>
              <w:ind w:left="0" w:hanging="2"/>
              <w:jc w:val="center"/>
              <w:rPr>
                <w:rFonts w:ascii="Arial" w:eastAsia="Arial" w:hAnsi="Arial" w:cs="Arial"/>
                <w:sz w:val="16"/>
                <w:szCs w:val="16"/>
              </w:rPr>
            </w:pPr>
            <w:r>
              <w:rPr>
                <w:rFonts w:ascii="Arial" w:eastAsia="Arial" w:hAnsi="Arial" w:cs="Arial"/>
                <w:sz w:val="16"/>
                <w:szCs w:val="16"/>
              </w:rPr>
              <w:t>Dispensación hospitalaria</w:t>
            </w:r>
          </w:p>
        </w:tc>
        <w:tc>
          <w:tcPr>
            <w:tcW w:w="3402" w:type="dxa"/>
          </w:tcPr>
          <w:p w:rsidR="00B74082" w:rsidRDefault="00DA20C8">
            <w:pPr>
              <w:ind w:left="0" w:hanging="2"/>
              <w:jc w:val="center"/>
              <w:rPr>
                <w:rFonts w:ascii="Arial" w:eastAsia="Arial" w:hAnsi="Arial" w:cs="Arial"/>
                <w:sz w:val="16"/>
                <w:szCs w:val="16"/>
              </w:rPr>
            </w:pPr>
            <w:r>
              <w:rPr>
                <w:rFonts w:ascii="Arial" w:eastAsia="Arial" w:hAnsi="Arial" w:cs="Arial"/>
                <w:sz w:val="16"/>
                <w:szCs w:val="16"/>
              </w:rPr>
              <w:t>Dispensación hospitalaria.</w:t>
            </w:r>
          </w:p>
        </w:tc>
      </w:tr>
      <w:tr w:rsidR="00B74082" w:rsidTr="00642940">
        <w:tc>
          <w:tcPr>
            <w:tcW w:w="2190" w:type="dxa"/>
          </w:tcPr>
          <w:p w:rsidR="00B74082" w:rsidRDefault="00DA20C8">
            <w:pPr>
              <w:ind w:left="0" w:hanging="2"/>
              <w:rPr>
                <w:rFonts w:ascii="Arial" w:eastAsia="Arial" w:hAnsi="Arial" w:cs="Arial"/>
                <w:sz w:val="16"/>
                <w:szCs w:val="16"/>
              </w:rPr>
            </w:pPr>
            <w:r>
              <w:rPr>
                <w:rFonts w:ascii="Arial" w:eastAsia="Arial" w:hAnsi="Arial" w:cs="Arial"/>
                <w:sz w:val="16"/>
                <w:szCs w:val="16"/>
              </w:rPr>
              <w:t>Conveniencia</w:t>
            </w:r>
          </w:p>
        </w:tc>
        <w:tc>
          <w:tcPr>
            <w:tcW w:w="2842" w:type="dxa"/>
          </w:tcPr>
          <w:p w:rsidR="00B74082" w:rsidRDefault="00DA20C8">
            <w:pPr>
              <w:ind w:left="0" w:hanging="2"/>
              <w:jc w:val="center"/>
              <w:rPr>
                <w:rFonts w:ascii="Arial" w:eastAsia="Arial" w:hAnsi="Arial" w:cs="Arial"/>
                <w:sz w:val="16"/>
                <w:szCs w:val="16"/>
              </w:rPr>
            </w:pPr>
            <w:r>
              <w:rPr>
                <w:rFonts w:ascii="Arial" w:eastAsia="Arial" w:hAnsi="Arial" w:cs="Arial"/>
                <w:sz w:val="16"/>
                <w:szCs w:val="16"/>
              </w:rPr>
              <w:t>Administración oral una vez al día (uno o varios comprimidos según dosis)</w:t>
            </w:r>
          </w:p>
        </w:tc>
        <w:tc>
          <w:tcPr>
            <w:tcW w:w="3402" w:type="dxa"/>
          </w:tcPr>
          <w:p w:rsidR="00B74082" w:rsidRDefault="00DA20C8">
            <w:pPr>
              <w:ind w:left="0" w:hanging="2"/>
              <w:jc w:val="center"/>
              <w:rPr>
                <w:rFonts w:ascii="Arial" w:eastAsia="Arial" w:hAnsi="Arial" w:cs="Arial"/>
                <w:sz w:val="16"/>
                <w:szCs w:val="16"/>
              </w:rPr>
            </w:pPr>
            <w:r>
              <w:rPr>
                <w:rFonts w:ascii="Arial" w:eastAsia="Arial" w:hAnsi="Arial" w:cs="Arial"/>
                <w:sz w:val="16"/>
                <w:szCs w:val="16"/>
              </w:rPr>
              <w:t>Administración oral dos veces al día.</w:t>
            </w:r>
          </w:p>
        </w:tc>
      </w:tr>
    </w:tbl>
    <w:p w:rsidR="00B74082" w:rsidRDefault="00B74082">
      <w:pPr>
        <w:ind w:left="0" w:hanging="2"/>
        <w:jc w:val="right"/>
        <w:rPr>
          <w:rFonts w:ascii="Arial" w:eastAsia="Arial" w:hAnsi="Arial" w:cs="Arial"/>
          <w:color w:val="0000FF"/>
        </w:rPr>
      </w:pPr>
    </w:p>
    <w:p w:rsidR="00B74082" w:rsidRDefault="00B74082">
      <w:pPr>
        <w:ind w:left="0" w:hanging="2"/>
        <w:rPr>
          <w:rFonts w:ascii="Arial" w:eastAsia="Arial" w:hAnsi="Arial" w:cs="Arial"/>
          <w:sz w:val="16"/>
          <w:szCs w:val="16"/>
        </w:rPr>
      </w:pPr>
      <w:bookmarkStart w:id="40" w:name="_heading=h.4d34og8" w:colFirst="0" w:colLast="0"/>
      <w:bookmarkEnd w:id="40"/>
    </w:p>
    <w:tbl>
      <w:tblPr>
        <w:tblStyle w:val="33"/>
        <w:tblW w:w="88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90"/>
      </w:tblGrid>
      <w:tr w:rsidR="00B74082">
        <w:trPr>
          <w:trHeight w:val="90"/>
        </w:trPr>
        <w:tc>
          <w:tcPr>
            <w:tcW w:w="8890" w:type="dxa"/>
            <w:tcBorders>
              <w:top w:val="single" w:sz="4" w:space="0" w:color="000000"/>
              <w:left w:val="single" w:sz="4" w:space="0" w:color="000000"/>
              <w:bottom w:val="single" w:sz="4" w:space="0" w:color="000000"/>
              <w:right w:val="single" w:sz="4" w:space="0" w:color="000000"/>
            </w:tcBorders>
            <w:shd w:val="clear" w:color="auto" w:fill="B3B3B3"/>
          </w:tcPr>
          <w:p w:rsidR="00B74082" w:rsidRDefault="00DA20C8">
            <w:pPr>
              <w:keepNext/>
              <w:pBdr>
                <w:top w:val="nil"/>
                <w:left w:val="nil"/>
                <w:bottom w:val="nil"/>
                <w:right w:val="nil"/>
                <w:between w:val="nil"/>
              </w:pBdr>
              <w:shd w:val="clear" w:color="auto" w:fill="A6A6A6"/>
              <w:spacing w:line="240" w:lineRule="auto"/>
              <w:ind w:left="0" w:hanging="2"/>
              <w:rPr>
                <w:rFonts w:ascii="Arial" w:eastAsia="Arial" w:hAnsi="Arial" w:cs="Arial"/>
                <w:b/>
                <w:color w:val="000000"/>
                <w:sz w:val="20"/>
                <w:szCs w:val="20"/>
              </w:rPr>
            </w:pPr>
            <w:r>
              <w:rPr>
                <w:rFonts w:ascii="Arial" w:eastAsia="Arial" w:hAnsi="Arial" w:cs="Arial"/>
                <w:b/>
                <w:color w:val="000000"/>
                <w:sz w:val="20"/>
                <w:szCs w:val="20"/>
              </w:rPr>
              <w:t>4.- AREA DE ACCIÓN FARMACOLÓGICA.</w:t>
            </w:r>
          </w:p>
        </w:tc>
      </w:tr>
    </w:tbl>
    <w:p w:rsidR="00B74082" w:rsidRDefault="00B74082">
      <w:pPr>
        <w:ind w:left="0" w:hanging="2"/>
        <w:jc w:val="right"/>
        <w:rPr>
          <w:rFonts w:ascii="Arial" w:eastAsia="Arial" w:hAnsi="Arial" w:cs="Arial"/>
          <w:sz w:val="20"/>
          <w:szCs w:val="20"/>
        </w:rPr>
      </w:pPr>
      <w:bookmarkStart w:id="41" w:name="_heading=h.2s8eyo1" w:colFirst="0" w:colLast="0"/>
      <w:bookmarkEnd w:id="41"/>
    </w:p>
    <w:p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 xml:space="preserve">4.1 Mecanismo de acción. </w:t>
      </w:r>
    </w:p>
    <w:p w:rsidR="00B74082" w:rsidRDefault="00B74082">
      <w:pPr>
        <w:ind w:left="0" w:hanging="2"/>
        <w:jc w:val="both"/>
        <w:rPr>
          <w:rFonts w:ascii="Arial" w:eastAsia="Arial" w:hAnsi="Arial" w:cs="Arial"/>
          <w:sz w:val="20"/>
          <w:szCs w:val="20"/>
        </w:rPr>
      </w:pPr>
    </w:p>
    <w:p w:rsidR="00B74082" w:rsidRDefault="00DA20C8" w:rsidP="0076410D">
      <w:pPr>
        <w:ind w:left="0" w:hanging="2"/>
        <w:jc w:val="both"/>
        <w:rPr>
          <w:rFonts w:ascii="Arial" w:eastAsia="Arial" w:hAnsi="Arial" w:cs="Arial"/>
          <w:sz w:val="20"/>
          <w:szCs w:val="20"/>
        </w:rPr>
      </w:pPr>
      <w:r>
        <w:rPr>
          <w:rFonts w:ascii="Arial" w:eastAsia="Arial" w:hAnsi="Arial" w:cs="Arial"/>
          <w:sz w:val="20"/>
          <w:szCs w:val="20"/>
        </w:rPr>
        <w:t xml:space="preserve">Avapritinib es un inhibidor de la cinasa de tipo 1 que ha demostrado actividad </w:t>
      </w:r>
      <w:r w:rsidRPr="0076410D">
        <w:rPr>
          <w:rFonts w:ascii="Arial" w:eastAsia="Arial" w:hAnsi="Arial" w:cs="Arial"/>
          <w:sz w:val="20"/>
          <w:szCs w:val="20"/>
        </w:rPr>
        <w:t>bioquímica</w:t>
      </w:r>
      <w:r w:rsidRPr="0076410D">
        <w:rPr>
          <w:rFonts w:ascii="Arial" w:eastAsia="Arial" w:hAnsi="Arial" w:cs="Arial"/>
          <w:i/>
          <w:sz w:val="20"/>
          <w:szCs w:val="20"/>
        </w:rPr>
        <w:t xml:space="preserve"> in vitro</w:t>
      </w:r>
      <w:r>
        <w:rPr>
          <w:rFonts w:ascii="Arial" w:eastAsia="Arial" w:hAnsi="Arial" w:cs="Arial"/>
          <w:sz w:val="20"/>
          <w:szCs w:val="20"/>
        </w:rPr>
        <w:t xml:space="preserve"> en los pacientes con mutación D842V de PDGFRA y KIT de D816V asociada con la resistencia al</w:t>
      </w:r>
    </w:p>
    <w:p w:rsidR="00B74082" w:rsidRDefault="00DA20C8" w:rsidP="0076410D">
      <w:pPr>
        <w:ind w:left="0" w:hanging="2"/>
        <w:jc w:val="both"/>
        <w:rPr>
          <w:rFonts w:ascii="Arial" w:eastAsia="Arial" w:hAnsi="Arial" w:cs="Arial"/>
          <w:sz w:val="20"/>
          <w:szCs w:val="20"/>
        </w:rPr>
      </w:pPr>
      <w:r>
        <w:rPr>
          <w:rFonts w:ascii="Arial" w:eastAsia="Arial" w:hAnsi="Arial" w:cs="Arial"/>
          <w:sz w:val="20"/>
          <w:szCs w:val="20"/>
        </w:rPr>
        <w:t>imatinib, el sunitinib y el regorafenib con concentración inhibitoria máxima del 50 % (IC50) de</w:t>
      </w:r>
    </w:p>
    <w:p w:rsidR="00B74082" w:rsidRDefault="00DA20C8" w:rsidP="0076410D">
      <w:pPr>
        <w:ind w:left="0" w:hanging="2"/>
        <w:jc w:val="both"/>
        <w:rPr>
          <w:rFonts w:ascii="Arial" w:eastAsia="Arial" w:hAnsi="Arial" w:cs="Arial"/>
          <w:sz w:val="20"/>
          <w:szCs w:val="20"/>
        </w:rPr>
      </w:pPr>
      <w:r>
        <w:rPr>
          <w:rFonts w:ascii="Arial" w:eastAsia="Arial" w:hAnsi="Arial" w:cs="Arial"/>
          <w:sz w:val="20"/>
          <w:szCs w:val="20"/>
        </w:rPr>
        <w:t>0,24 nM y 0,27 nM, respectivamente, y la mayor potencia contra mutaciones en los exones 11,</w:t>
      </w:r>
    </w:p>
    <w:p w:rsidR="00B74082" w:rsidRDefault="00DA20C8" w:rsidP="0076410D">
      <w:pPr>
        <w:ind w:left="0" w:hanging="2"/>
        <w:jc w:val="both"/>
        <w:rPr>
          <w:rFonts w:ascii="Arial" w:eastAsia="Arial" w:hAnsi="Arial" w:cs="Arial"/>
          <w:sz w:val="20"/>
          <w:szCs w:val="20"/>
        </w:rPr>
      </w:pPr>
      <w:r>
        <w:rPr>
          <w:rFonts w:ascii="Arial" w:eastAsia="Arial" w:hAnsi="Arial" w:cs="Arial"/>
          <w:sz w:val="20"/>
          <w:szCs w:val="20"/>
        </w:rPr>
        <w:t>11/17 y 17 de KIT clínicamente relevantes que contra la enzima natural de KIT.</w:t>
      </w:r>
    </w:p>
    <w:p w:rsidR="00B74082" w:rsidRDefault="00DA20C8" w:rsidP="0076410D">
      <w:pPr>
        <w:ind w:left="0" w:hanging="2"/>
        <w:jc w:val="both"/>
        <w:rPr>
          <w:rFonts w:ascii="Arial" w:eastAsia="Arial" w:hAnsi="Arial" w:cs="Arial"/>
          <w:sz w:val="20"/>
          <w:szCs w:val="20"/>
        </w:rPr>
      </w:pPr>
      <w:r>
        <w:rPr>
          <w:rFonts w:ascii="Arial" w:eastAsia="Arial" w:hAnsi="Arial" w:cs="Arial"/>
          <w:sz w:val="20"/>
          <w:szCs w:val="20"/>
        </w:rPr>
        <w:t>En los ensayos celulares, avapritinib inhibió la autofosforilación de D816V de KIT y de D842V de</w:t>
      </w:r>
    </w:p>
    <w:p w:rsidR="00B74082" w:rsidRDefault="00DA20C8" w:rsidP="0076410D">
      <w:pPr>
        <w:ind w:left="0" w:hanging="2"/>
        <w:jc w:val="both"/>
        <w:rPr>
          <w:rFonts w:ascii="Arial" w:eastAsia="Arial" w:hAnsi="Arial" w:cs="Arial"/>
          <w:sz w:val="20"/>
          <w:szCs w:val="20"/>
        </w:rPr>
      </w:pPr>
      <w:r>
        <w:rPr>
          <w:rFonts w:ascii="Arial" w:eastAsia="Arial" w:hAnsi="Arial" w:cs="Arial"/>
          <w:sz w:val="20"/>
          <w:szCs w:val="20"/>
        </w:rPr>
        <w:t xml:space="preserve">PDGFRA con una IC50 de 4 nM y de 30 nM, respectivamente. En dichos ensayos celulares, avapritinib inhibió la proliferación en estirpes celulares mutantes de KIT, que incluían una estirpe celular de mastocitoma murino y otra de leucemia mastocítica humana. Avapritinib también mostró actividad inhibidora de la proliferación en un modelo de xenoinjerto de mastocitoma murino con mutación en el exón 17 de KIT </w:t>
      </w:r>
      <w:sdt>
        <w:sdtPr>
          <w:rPr>
            <w:rFonts w:ascii="Arial" w:eastAsia="Arial" w:hAnsi="Arial" w:cs="Arial"/>
            <w:sz w:val="20"/>
            <w:szCs w:val="20"/>
            <w:vertAlign w:val="superscript"/>
          </w:rPr>
          <w:id w:val="1847589520"/>
          <w:citation/>
        </w:sdtPr>
        <w:sdtEndPr/>
        <w:sdtContent>
          <w:r w:rsidR="00743E44" w:rsidRPr="006D2FEB">
            <w:rPr>
              <w:rFonts w:ascii="Arial" w:eastAsia="Arial" w:hAnsi="Arial" w:cs="Arial"/>
              <w:sz w:val="20"/>
              <w:szCs w:val="20"/>
              <w:vertAlign w:val="superscript"/>
            </w:rPr>
            <w:fldChar w:fldCharType="begin"/>
          </w:r>
          <w:r w:rsidR="00B8239D" w:rsidRPr="006D2FEB">
            <w:rPr>
              <w:rFonts w:ascii="Arial" w:eastAsia="Arial" w:hAnsi="Arial" w:cs="Arial"/>
              <w:sz w:val="20"/>
              <w:szCs w:val="20"/>
              <w:vertAlign w:val="superscript"/>
            </w:rPr>
            <w:instrText xml:space="preserve"> CITATION EPAR \l 3082 </w:instrText>
          </w:r>
          <w:r w:rsidR="00743E44" w:rsidRPr="006D2FEB">
            <w:rPr>
              <w:rFonts w:ascii="Arial" w:eastAsia="Arial" w:hAnsi="Arial" w:cs="Arial"/>
              <w:sz w:val="20"/>
              <w:szCs w:val="20"/>
              <w:vertAlign w:val="superscript"/>
            </w:rPr>
            <w:fldChar w:fldCharType="separate"/>
          </w:r>
          <w:r w:rsidR="00C560F5" w:rsidRPr="00C560F5">
            <w:rPr>
              <w:rFonts w:ascii="Arial" w:eastAsia="Arial" w:hAnsi="Arial" w:cs="Arial"/>
              <w:noProof/>
              <w:sz w:val="20"/>
              <w:szCs w:val="20"/>
            </w:rPr>
            <w:t>(2)</w:t>
          </w:r>
          <w:r w:rsidR="00743E44" w:rsidRPr="006D2FEB">
            <w:rPr>
              <w:rFonts w:ascii="Arial" w:eastAsia="Arial" w:hAnsi="Arial" w:cs="Arial"/>
              <w:sz w:val="20"/>
              <w:szCs w:val="20"/>
              <w:vertAlign w:val="superscript"/>
            </w:rPr>
            <w:fldChar w:fldCharType="end"/>
          </w:r>
        </w:sdtContent>
      </w:sdt>
      <w:r>
        <w:rPr>
          <w:rFonts w:ascii="Arial" w:eastAsia="Arial" w:hAnsi="Arial" w:cs="Arial"/>
          <w:sz w:val="20"/>
          <w:szCs w:val="20"/>
        </w:rPr>
        <w:t>.</w:t>
      </w:r>
    </w:p>
    <w:p w:rsidR="00B74082" w:rsidRDefault="00B74082">
      <w:pPr>
        <w:ind w:left="0" w:hanging="2"/>
        <w:jc w:val="both"/>
        <w:rPr>
          <w:rFonts w:ascii="Arial" w:eastAsia="Arial" w:hAnsi="Arial" w:cs="Arial"/>
          <w:sz w:val="20"/>
          <w:szCs w:val="20"/>
        </w:rPr>
      </w:pPr>
      <w:bookmarkStart w:id="42" w:name="_heading=h.17dp8vu" w:colFirst="0" w:colLast="0"/>
      <w:bookmarkEnd w:id="42"/>
    </w:p>
    <w:p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4.2 Indicaciones clínicas formalmente aprobadas y fecha de aprobación.</w:t>
      </w:r>
    </w:p>
    <w:p w:rsidR="00B74082" w:rsidRDefault="00B74082">
      <w:pPr>
        <w:ind w:left="0" w:hanging="2"/>
        <w:jc w:val="both"/>
        <w:rPr>
          <w:rFonts w:ascii="Arial" w:eastAsia="Arial" w:hAnsi="Arial" w:cs="Arial"/>
          <w:sz w:val="20"/>
          <w:szCs w:val="20"/>
        </w:rPr>
      </w:pPr>
    </w:p>
    <w:p w:rsidR="00B74082" w:rsidRDefault="00DA20C8">
      <w:pPr>
        <w:shd w:val="clear" w:color="auto" w:fill="FFFFFF"/>
        <w:ind w:left="0" w:hanging="2"/>
        <w:jc w:val="both"/>
        <w:rPr>
          <w:rFonts w:ascii="Arial" w:eastAsia="Arial" w:hAnsi="Arial" w:cs="Arial"/>
          <w:sz w:val="20"/>
          <w:szCs w:val="20"/>
        </w:rPr>
      </w:pPr>
      <w:r>
        <w:rPr>
          <w:rFonts w:ascii="Arial" w:eastAsia="Arial" w:hAnsi="Arial" w:cs="Arial"/>
          <w:b/>
          <w:sz w:val="20"/>
          <w:szCs w:val="20"/>
        </w:rPr>
        <w:t>AEMPS</w:t>
      </w:r>
      <w:r>
        <w:rPr>
          <w:rFonts w:ascii="Arial" w:eastAsia="Arial" w:hAnsi="Arial" w:cs="Arial"/>
          <w:sz w:val="20"/>
          <w:szCs w:val="20"/>
        </w:rPr>
        <w:t>:</w:t>
      </w:r>
      <w:r w:rsidR="006D2FEB">
        <w:rPr>
          <w:rFonts w:ascii="Arial" w:eastAsia="Arial" w:hAnsi="Arial" w:cs="Arial"/>
          <w:sz w:val="20"/>
          <w:szCs w:val="20"/>
        </w:rPr>
        <w:t xml:space="preserve"> </w:t>
      </w:r>
      <w:r w:rsidR="0076410D">
        <w:rPr>
          <w:rFonts w:ascii="Arial" w:eastAsia="Arial" w:hAnsi="Arial" w:cs="Arial"/>
          <w:sz w:val="20"/>
          <w:szCs w:val="20"/>
        </w:rPr>
        <w:t>ND.</w:t>
      </w:r>
    </w:p>
    <w:p w:rsidR="00B74082" w:rsidRDefault="00DA20C8">
      <w:pPr>
        <w:shd w:val="clear" w:color="auto" w:fill="FFFFFF"/>
        <w:ind w:left="0" w:hanging="2"/>
        <w:jc w:val="both"/>
        <w:rPr>
          <w:rFonts w:ascii="Arial" w:eastAsia="Arial" w:hAnsi="Arial" w:cs="Arial"/>
          <w:sz w:val="20"/>
          <w:szCs w:val="20"/>
        </w:rPr>
      </w:pPr>
      <w:r>
        <w:rPr>
          <w:rFonts w:ascii="Arial" w:eastAsia="Arial" w:hAnsi="Arial" w:cs="Arial"/>
          <w:b/>
          <w:sz w:val="20"/>
          <w:szCs w:val="20"/>
        </w:rPr>
        <w:t>EMA</w:t>
      </w:r>
      <w:r>
        <w:rPr>
          <w:rFonts w:ascii="Arial" w:eastAsia="Arial" w:hAnsi="Arial" w:cs="Arial"/>
          <w:sz w:val="20"/>
          <w:szCs w:val="20"/>
        </w:rPr>
        <w:t xml:space="preserve">: Monoterapia para el tratamiento de pacientes adultos con mastocitosis sistémica agresiva (MSA), mastocitosis sistémica con neoplasia hematológica asociada (MS-NHA) o leucemia mastocítica (LM) después de, al menos, un tratamiento sistémico. </w:t>
      </w:r>
      <w:r w:rsidRPr="00972E40">
        <w:rPr>
          <w:rFonts w:ascii="Arial" w:eastAsia="Arial" w:hAnsi="Arial" w:cs="Arial"/>
          <w:sz w:val="20"/>
          <w:szCs w:val="20"/>
          <w:u w:val="single"/>
        </w:rPr>
        <w:t>(27/01/2022)</w:t>
      </w:r>
      <w:r>
        <w:rPr>
          <w:rFonts w:ascii="Arial" w:eastAsia="Arial" w:hAnsi="Arial" w:cs="Arial"/>
          <w:sz w:val="20"/>
          <w:szCs w:val="20"/>
        </w:rPr>
        <w:t xml:space="preserve">          </w:t>
      </w:r>
    </w:p>
    <w:p w:rsidR="00B74082" w:rsidRDefault="00DA20C8">
      <w:pPr>
        <w:shd w:val="clear" w:color="auto" w:fill="FFFFFF"/>
        <w:ind w:left="0" w:hanging="2"/>
        <w:jc w:val="both"/>
        <w:rPr>
          <w:rFonts w:ascii="Arial" w:eastAsia="Arial" w:hAnsi="Arial" w:cs="Arial"/>
          <w:color w:val="0000FF"/>
          <w:sz w:val="20"/>
          <w:szCs w:val="20"/>
        </w:rPr>
      </w:pPr>
      <w:r>
        <w:rPr>
          <w:rFonts w:ascii="Arial" w:eastAsia="Arial" w:hAnsi="Arial" w:cs="Arial"/>
          <w:b/>
          <w:sz w:val="20"/>
          <w:szCs w:val="20"/>
        </w:rPr>
        <w:t xml:space="preserve">FDA: </w:t>
      </w:r>
      <w:r>
        <w:rPr>
          <w:rFonts w:ascii="Arial" w:eastAsia="Arial" w:hAnsi="Arial" w:cs="Arial"/>
          <w:sz w:val="20"/>
          <w:szCs w:val="20"/>
        </w:rPr>
        <w:t>Monoterapia para el tratamiento de pacientes adultos con mastocitosis sistémica agresiva (MSA), mastocitosis sistémica con neoplasia hematológica asociada (MS-NHA) o leucemia mastocítica (LM).(</w:t>
      </w:r>
      <w:r w:rsidRPr="00972E40">
        <w:rPr>
          <w:rFonts w:ascii="Arial" w:eastAsia="Arial" w:hAnsi="Arial" w:cs="Arial"/>
          <w:sz w:val="20"/>
          <w:szCs w:val="20"/>
          <w:u w:val="single"/>
        </w:rPr>
        <w:t>16/06/2021)</w:t>
      </w:r>
      <w:r>
        <w:rPr>
          <w:rFonts w:ascii="Arial" w:eastAsia="Arial" w:hAnsi="Arial" w:cs="Arial"/>
          <w:sz w:val="20"/>
          <w:szCs w:val="20"/>
        </w:rPr>
        <w:tab/>
      </w:r>
    </w:p>
    <w:p w:rsidR="00B74082" w:rsidRDefault="00B74082">
      <w:pPr>
        <w:shd w:val="clear" w:color="auto" w:fill="FFFFFF"/>
        <w:ind w:left="0" w:hanging="2"/>
        <w:jc w:val="both"/>
        <w:rPr>
          <w:rFonts w:ascii="Arial" w:eastAsia="Arial" w:hAnsi="Arial" w:cs="Arial"/>
          <w:color w:val="000080"/>
          <w:sz w:val="20"/>
          <w:szCs w:val="20"/>
        </w:rPr>
      </w:pPr>
      <w:bookmarkStart w:id="43" w:name="_heading=h.3rdcrjn" w:colFirst="0" w:colLast="0"/>
      <w:bookmarkEnd w:id="43"/>
    </w:p>
    <w:p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lastRenderedPageBreak/>
        <w:t xml:space="preserve">4.3 Posología, forma de preparación y administración. </w:t>
      </w:r>
    </w:p>
    <w:p w:rsidR="00B74082" w:rsidRDefault="00B74082">
      <w:pPr>
        <w:ind w:left="0" w:hanging="2"/>
        <w:jc w:val="both"/>
        <w:rPr>
          <w:rFonts w:ascii="Arial" w:eastAsia="Arial" w:hAnsi="Arial" w:cs="Arial"/>
          <w:sz w:val="20"/>
          <w:szCs w:val="20"/>
        </w:rPr>
      </w:pPr>
    </w:p>
    <w:p w:rsidR="00B74082" w:rsidRDefault="00DA20C8">
      <w:pPr>
        <w:ind w:left="0" w:hanging="2"/>
        <w:jc w:val="both"/>
        <w:rPr>
          <w:rFonts w:ascii="Arial" w:eastAsia="Arial" w:hAnsi="Arial" w:cs="Arial"/>
          <w:sz w:val="20"/>
          <w:szCs w:val="20"/>
        </w:rPr>
      </w:pPr>
      <w:bookmarkStart w:id="44" w:name="_heading=h.26in1rg" w:colFirst="0" w:colLast="0"/>
      <w:bookmarkEnd w:id="44"/>
      <w:r>
        <w:rPr>
          <w:rFonts w:ascii="Arial" w:eastAsia="Arial" w:hAnsi="Arial" w:cs="Arial"/>
          <w:sz w:val="20"/>
          <w:szCs w:val="20"/>
        </w:rPr>
        <w:t>Para el MSA la dosis inicial recomendada del avapritinib es de 200 mg por vía oral una vez al día, con el estómago vacío (ver Forma de administración). Esta dosis de 200 mg una vez al día es también la dosis máxima recomendada que no debe superarse en los pacientes con MSA. El tratamiento debe continuar hasta que se produzcan progresión de la enfermedad o toxicidad inaceptable. No se recomienda el tratamiento con avapritinib en pacientes con un recuento plaquetario &lt;50 x 10</w:t>
      </w:r>
      <w:r w:rsidRPr="006D2FEB">
        <w:rPr>
          <w:rFonts w:ascii="Arial" w:eastAsia="Arial" w:hAnsi="Arial" w:cs="Arial"/>
          <w:sz w:val="20"/>
          <w:szCs w:val="20"/>
          <w:vertAlign w:val="superscript"/>
        </w:rPr>
        <w:t>9</w:t>
      </w:r>
      <w:r>
        <w:rPr>
          <w:rFonts w:ascii="Arial" w:eastAsia="Arial" w:hAnsi="Arial" w:cs="Arial"/>
          <w:sz w:val="20"/>
          <w:szCs w:val="20"/>
        </w:rPr>
        <w:t xml:space="preserve"> /l.</w:t>
      </w:r>
    </w:p>
    <w:p w:rsidR="00B74082" w:rsidRDefault="00DA20C8">
      <w:pPr>
        <w:ind w:left="0" w:hanging="2"/>
        <w:jc w:val="both"/>
        <w:rPr>
          <w:rFonts w:ascii="Arial" w:eastAsia="Arial" w:hAnsi="Arial" w:cs="Arial"/>
          <w:sz w:val="20"/>
          <w:szCs w:val="20"/>
        </w:rPr>
      </w:pPr>
      <w:bookmarkStart w:id="45" w:name="_heading=h.3htlzhx5099d" w:colFirst="0" w:colLast="0"/>
      <w:bookmarkEnd w:id="45"/>
      <w:r>
        <w:rPr>
          <w:rFonts w:ascii="Arial" w:eastAsia="Arial" w:hAnsi="Arial" w:cs="Arial"/>
          <w:sz w:val="20"/>
          <w:szCs w:val="20"/>
        </w:rPr>
        <w:t>Debe evitarse el uso concomitante de avapritinib con inhibidores potentes o moderados de CYP3A. Si no puede evitarse el uso concomitante de un inhibidor moderado de CYP3A, la dosis inicial de avapritinib debe reducirse de 200 mg a 50 mg por vía oral una vez al día.</w:t>
      </w:r>
    </w:p>
    <w:p w:rsidR="00B74082" w:rsidRDefault="00DA20C8">
      <w:pPr>
        <w:ind w:left="0" w:hanging="2"/>
        <w:jc w:val="both"/>
        <w:rPr>
          <w:rFonts w:ascii="Arial" w:eastAsia="Arial" w:hAnsi="Arial" w:cs="Arial"/>
          <w:sz w:val="20"/>
          <w:szCs w:val="20"/>
        </w:rPr>
      </w:pPr>
      <w:bookmarkStart w:id="46" w:name="_heading=h.yr24rlmrwlc7" w:colFirst="0" w:colLast="0"/>
      <w:bookmarkEnd w:id="46"/>
      <w:r>
        <w:rPr>
          <w:rFonts w:ascii="Arial" w:eastAsia="Arial" w:hAnsi="Arial" w:cs="Arial"/>
          <w:sz w:val="20"/>
          <w:szCs w:val="20"/>
        </w:rPr>
        <w:t>Puede considerarse la interrupción del tratamiento con o sin reducción de la dosis para controlar las reacciones adversas en función de la gravedad y la presentación clínica. La dosis debe ajustarse en función de la seguridad y la tolerabilidad. Las reducciones y las modificaciones de dosis recomendadas por reacciones adversas se indican en la tabla siguiente:</w:t>
      </w:r>
    </w:p>
    <w:p w:rsidR="00B74082" w:rsidRDefault="00B74082">
      <w:pPr>
        <w:ind w:left="0" w:hanging="2"/>
        <w:jc w:val="both"/>
        <w:rPr>
          <w:rFonts w:ascii="Arial" w:eastAsia="Arial" w:hAnsi="Arial" w:cs="Arial"/>
          <w:sz w:val="20"/>
          <w:szCs w:val="20"/>
        </w:rPr>
      </w:pPr>
      <w:bookmarkStart w:id="47" w:name="_heading=h.fm3au02kg1jn" w:colFirst="0" w:colLast="0"/>
      <w:bookmarkEnd w:id="47"/>
    </w:p>
    <w:p w:rsidR="00B74082" w:rsidRDefault="00B74082">
      <w:pPr>
        <w:ind w:left="0" w:hanging="2"/>
        <w:jc w:val="both"/>
        <w:rPr>
          <w:rFonts w:ascii="Arial" w:eastAsia="Arial" w:hAnsi="Arial" w:cs="Arial"/>
          <w:sz w:val="20"/>
          <w:szCs w:val="20"/>
        </w:rPr>
      </w:pPr>
      <w:bookmarkStart w:id="48" w:name="_heading=h.5d9o2l4wxw3r" w:colFirst="0" w:colLast="0"/>
      <w:bookmarkEnd w:id="48"/>
    </w:p>
    <w:p w:rsidR="00C4592D" w:rsidRDefault="00DA20C8">
      <w:pPr>
        <w:ind w:left="0" w:hanging="2"/>
        <w:jc w:val="center"/>
        <w:rPr>
          <w:rFonts w:ascii="Arial" w:eastAsia="Arial" w:hAnsi="Arial" w:cs="Arial"/>
          <w:sz w:val="20"/>
          <w:szCs w:val="20"/>
        </w:rPr>
      </w:pPr>
      <w:bookmarkStart w:id="49" w:name="_heading=h.gf5iieqn89gx" w:colFirst="0" w:colLast="0"/>
      <w:bookmarkEnd w:id="49"/>
      <w:r>
        <w:rPr>
          <w:rFonts w:ascii="Arial" w:eastAsia="Arial" w:hAnsi="Arial" w:cs="Arial"/>
          <w:noProof/>
          <w:sz w:val="20"/>
          <w:szCs w:val="20"/>
        </w:rPr>
        <w:drawing>
          <wp:inline distT="114300" distB="114300" distL="114300" distR="114300">
            <wp:extent cx="4495800" cy="3495675"/>
            <wp:effectExtent l="19050" t="19050" r="19050" b="28575"/>
            <wp:docPr id="10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cstate="print"/>
                    <a:srcRect/>
                    <a:stretch>
                      <a:fillRect/>
                    </a:stretch>
                  </pic:blipFill>
                  <pic:spPr>
                    <a:xfrm>
                      <a:off x="0" y="0"/>
                      <a:ext cx="4492464" cy="3493081"/>
                    </a:xfrm>
                    <a:prstGeom prst="rect">
                      <a:avLst/>
                    </a:prstGeom>
                    <a:ln>
                      <a:solidFill>
                        <a:schemeClr val="tx1"/>
                      </a:solidFill>
                    </a:ln>
                  </pic:spPr>
                </pic:pic>
              </a:graphicData>
            </a:graphic>
          </wp:inline>
        </w:drawing>
      </w:r>
      <w:r>
        <w:rPr>
          <w:rFonts w:ascii="Arial" w:eastAsia="Arial" w:hAnsi="Arial" w:cs="Arial"/>
          <w:sz w:val="20"/>
          <w:szCs w:val="20"/>
        </w:rPr>
        <w:t xml:space="preserve"> </w:t>
      </w:r>
    </w:p>
    <w:p w:rsidR="00B74082" w:rsidRPr="00C4592D" w:rsidRDefault="00C4592D">
      <w:pPr>
        <w:ind w:left="0" w:hanging="2"/>
        <w:jc w:val="center"/>
        <w:rPr>
          <w:rFonts w:ascii="Arial" w:eastAsia="Arial" w:hAnsi="Arial" w:cs="Arial"/>
          <w:b/>
          <w:sz w:val="20"/>
          <w:szCs w:val="20"/>
        </w:rPr>
      </w:pPr>
      <w:r w:rsidRPr="00C4592D">
        <w:rPr>
          <w:rFonts w:ascii="Arial" w:eastAsia="Arial" w:hAnsi="Arial" w:cs="Arial"/>
          <w:b/>
          <w:sz w:val="20"/>
          <w:szCs w:val="20"/>
        </w:rPr>
        <w:t xml:space="preserve">Figura 5. </w:t>
      </w:r>
      <w:r w:rsidR="00DA20C8" w:rsidRPr="00C4592D">
        <w:rPr>
          <w:rFonts w:ascii="Arial" w:eastAsia="Arial" w:hAnsi="Arial" w:cs="Arial"/>
          <w:b/>
          <w:sz w:val="20"/>
          <w:szCs w:val="20"/>
        </w:rPr>
        <w:t>Reducciones de dosis según reacciones adversas</w:t>
      </w:r>
      <w:r w:rsidR="00972E40" w:rsidRPr="00C4592D">
        <w:rPr>
          <w:rFonts w:ascii="Arial" w:eastAsia="Arial" w:hAnsi="Arial" w:cs="Arial"/>
          <w:b/>
          <w:sz w:val="20"/>
          <w:szCs w:val="20"/>
        </w:rPr>
        <w:t xml:space="preserve"> </w:t>
      </w:r>
      <w:sdt>
        <w:sdtPr>
          <w:rPr>
            <w:rFonts w:ascii="Arial" w:eastAsia="Arial" w:hAnsi="Arial" w:cs="Arial"/>
            <w:b/>
            <w:sz w:val="20"/>
            <w:szCs w:val="20"/>
            <w:vertAlign w:val="superscript"/>
          </w:rPr>
          <w:id w:val="-137492502"/>
          <w:citation/>
        </w:sdtPr>
        <w:sdtEndPr/>
        <w:sdtContent>
          <w:r w:rsidR="00743E44" w:rsidRPr="006D2FEB">
            <w:rPr>
              <w:rFonts w:ascii="Arial" w:eastAsia="Arial" w:hAnsi="Arial" w:cs="Arial"/>
              <w:b/>
              <w:sz w:val="20"/>
              <w:szCs w:val="20"/>
              <w:vertAlign w:val="superscript"/>
            </w:rPr>
            <w:fldChar w:fldCharType="begin"/>
          </w:r>
          <w:r w:rsidR="00972E40" w:rsidRPr="006D2FEB">
            <w:rPr>
              <w:rFonts w:ascii="Arial" w:eastAsia="Arial" w:hAnsi="Arial" w:cs="Arial"/>
              <w:b/>
              <w:sz w:val="20"/>
              <w:szCs w:val="20"/>
              <w:vertAlign w:val="superscript"/>
            </w:rPr>
            <w:instrText xml:space="preserve"> CITATION Sys22 \l 3082 </w:instrText>
          </w:r>
          <w:r w:rsidR="00743E44" w:rsidRPr="006D2FEB">
            <w:rPr>
              <w:rFonts w:ascii="Arial" w:eastAsia="Arial" w:hAnsi="Arial" w:cs="Arial"/>
              <w:b/>
              <w:sz w:val="20"/>
              <w:szCs w:val="20"/>
              <w:vertAlign w:val="superscript"/>
            </w:rPr>
            <w:fldChar w:fldCharType="separate"/>
          </w:r>
          <w:r w:rsidR="00C560F5" w:rsidRPr="00C560F5">
            <w:rPr>
              <w:rFonts w:ascii="Arial" w:eastAsia="Arial" w:hAnsi="Arial" w:cs="Arial"/>
              <w:noProof/>
              <w:sz w:val="20"/>
              <w:szCs w:val="20"/>
            </w:rPr>
            <w:t>(8)</w:t>
          </w:r>
          <w:r w:rsidR="00743E44" w:rsidRPr="006D2FEB">
            <w:rPr>
              <w:rFonts w:ascii="Arial" w:eastAsia="Arial" w:hAnsi="Arial" w:cs="Arial"/>
              <w:b/>
              <w:sz w:val="20"/>
              <w:szCs w:val="20"/>
              <w:vertAlign w:val="superscript"/>
            </w:rPr>
            <w:fldChar w:fldCharType="end"/>
          </w:r>
        </w:sdtContent>
      </w:sdt>
      <w:r w:rsidR="00DA20C8" w:rsidRPr="00C4592D">
        <w:rPr>
          <w:rFonts w:ascii="Arial" w:eastAsia="Arial" w:hAnsi="Arial" w:cs="Arial"/>
          <w:b/>
          <w:sz w:val="20"/>
          <w:szCs w:val="20"/>
        </w:rPr>
        <w:t xml:space="preserve"> </w:t>
      </w:r>
    </w:p>
    <w:p w:rsidR="00B74082" w:rsidRDefault="00B74082">
      <w:pPr>
        <w:ind w:left="0" w:hanging="2"/>
        <w:jc w:val="center"/>
        <w:rPr>
          <w:rFonts w:ascii="Arial" w:eastAsia="Arial" w:hAnsi="Arial" w:cs="Arial"/>
          <w:sz w:val="20"/>
          <w:szCs w:val="20"/>
        </w:rPr>
      </w:pPr>
      <w:bookmarkStart w:id="50" w:name="_heading=h.2g7siuycip38" w:colFirst="0" w:colLast="0"/>
      <w:bookmarkEnd w:id="50"/>
    </w:p>
    <w:p w:rsidR="00B74082" w:rsidRDefault="00DA20C8" w:rsidP="006D2FEB">
      <w:pPr>
        <w:ind w:left="0" w:hanging="2"/>
        <w:jc w:val="both"/>
        <w:rPr>
          <w:rFonts w:ascii="Arial" w:eastAsia="Arial" w:hAnsi="Arial" w:cs="Arial"/>
          <w:sz w:val="20"/>
          <w:szCs w:val="20"/>
        </w:rPr>
      </w:pPr>
      <w:bookmarkStart w:id="51" w:name="_heading=h.8sp85lob8m77" w:colFirst="0" w:colLast="0"/>
      <w:bookmarkEnd w:id="51"/>
      <w:r>
        <w:rPr>
          <w:rFonts w:ascii="Arial" w:eastAsia="Arial" w:hAnsi="Arial" w:cs="Arial"/>
          <w:sz w:val="20"/>
          <w:szCs w:val="20"/>
        </w:rPr>
        <w:t>Si se omite una dosis de avapritinib, el paciente debe compensar la dosis, a menos que la siguiente dosis programada deba administrarse en el plazo de 8 horas (ver Forma de administración). Si no se ha tomado la dosis al menos 8 horas antes de la siguiente dosis, dicha dosis debe omitirse y el paciente debe reanudar el tratamiento con la siguiente dosis programada.</w:t>
      </w:r>
    </w:p>
    <w:p w:rsidR="00B74082" w:rsidRDefault="00DA20C8" w:rsidP="006D2FEB">
      <w:pPr>
        <w:ind w:left="0" w:hanging="2"/>
        <w:jc w:val="both"/>
        <w:rPr>
          <w:rFonts w:ascii="Arial" w:eastAsia="Arial" w:hAnsi="Arial" w:cs="Arial"/>
          <w:sz w:val="20"/>
          <w:szCs w:val="20"/>
        </w:rPr>
      </w:pPr>
      <w:bookmarkStart w:id="52" w:name="_heading=h.ob7sz0f1ziuv" w:colFirst="0" w:colLast="0"/>
      <w:bookmarkEnd w:id="52"/>
      <w:r>
        <w:rPr>
          <w:rFonts w:ascii="Arial" w:eastAsia="Arial" w:hAnsi="Arial" w:cs="Arial"/>
          <w:sz w:val="20"/>
          <w:szCs w:val="20"/>
        </w:rPr>
        <w:t>Si vomita después de tomar una dosis de avapritinib, el paciente no debe tomar una dosis adicional, sino continuar con la siguiente dosis programada.</w:t>
      </w:r>
      <w:bookmarkStart w:id="53" w:name="_heading=h.16q8aphyz4hs" w:colFirst="0" w:colLast="0"/>
      <w:bookmarkStart w:id="54" w:name="_heading=h.x775bb9sq151" w:colFirst="0" w:colLast="0"/>
      <w:bookmarkEnd w:id="53"/>
      <w:bookmarkEnd w:id="54"/>
    </w:p>
    <w:p w:rsidR="00B74082" w:rsidRDefault="00B74082" w:rsidP="006D2FEB">
      <w:pPr>
        <w:ind w:left="0" w:hanging="2"/>
        <w:jc w:val="both"/>
        <w:rPr>
          <w:rFonts w:ascii="Arial" w:eastAsia="Arial" w:hAnsi="Arial" w:cs="Arial"/>
          <w:sz w:val="20"/>
          <w:szCs w:val="20"/>
        </w:rPr>
      </w:pPr>
      <w:bookmarkStart w:id="55" w:name="_heading=h.qxoznca28xqz" w:colFirst="0" w:colLast="0"/>
      <w:bookmarkEnd w:id="55"/>
    </w:p>
    <w:p w:rsidR="00B74082" w:rsidRDefault="00B74082">
      <w:pPr>
        <w:ind w:left="0" w:hanging="2"/>
        <w:jc w:val="both"/>
        <w:rPr>
          <w:rFonts w:ascii="Arial" w:eastAsia="Arial" w:hAnsi="Arial" w:cs="Arial"/>
          <w:sz w:val="20"/>
          <w:szCs w:val="20"/>
        </w:rPr>
      </w:pPr>
      <w:bookmarkStart w:id="56" w:name="_heading=h.zge0uy6a2eaq" w:colFirst="0" w:colLast="0"/>
      <w:bookmarkEnd w:id="56"/>
    </w:p>
    <w:p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4.4 Utilización en poblaciones especiales.</w:t>
      </w:r>
    </w:p>
    <w:p w:rsidR="00B74082" w:rsidRDefault="00B74082">
      <w:pPr>
        <w:ind w:left="0" w:hanging="2"/>
        <w:jc w:val="both"/>
        <w:rPr>
          <w:rFonts w:ascii="Arial" w:eastAsia="Arial" w:hAnsi="Arial" w:cs="Arial"/>
          <w:sz w:val="20"/>
          <w:szCs w:val="20"/>
        </w:rPr>
      </w:pPr>
    </w:p>
    <w:p w:rsidR="00B74082" w:rsidRDefault="00DA20C8">
      <w:pPr>
        <w:ind w:left="0" w:hanging="2"/>
        <w:jc w:val="both"/>
        <w:rPr>
          <w:rFonts w:ascii="Arial" w:eastAsia="Arial" w:hAnsi="Arial" w:cs="Arial"/>
          <w:sz w:val="20"/>
          <w:szCs w:val="20"/>
        </w:rPr>
      </w:pPr>
      <w:r>
        <w:rPr>
          <w:rFonts w:ascii="Arial" w:eastAsia="Arial" w:hAnsi="Arial" w:cs="Arial"/>
          <w:sz w:val="20"/>
          <w:szCs w:val="20"/>
        </w:rPr>
        <w:t>Pediatría: No se ha establecido todavía la seguridad y eficacia de AYVAKYT en niños de 0 a 18 años. No se dispone de datos.</w:t>
      </w:r>
    </w:p>
    <w:p w:rsidR="00B74082" w:rsidRDefault="00B74082">
      <w:pPr>
        <w:ind w:left="0" w:hanging="2"/>
        <w:jc w:val="both"/>
        <w:rPr>
          <w:rFonts w:ascii="Arial" w:eastAsia="Arial" w:hAnsi="Arial" w:cs="Arial"/>
          <w:sz w:val="20"/>
          <w:szCs w:val="20"/>
        </w:rPr>
      </w:pPr>
    </w:p>
    <w:p w:rsidR="00B74082" w:rsidRDefault="00DA20C8">
      <w:pPr>
        <w:ind w:left="0" w:hanging="2"/>
        <w:jc w:val="both"/>
        <w:rPr>
          <w:rFonts w:ascii="Arial" w:eastAsia="Arial" w:hAnsi="Arial" w:cs="Arial"/>
          <w:sz w:val="20"/>
          <w:szCs w:val="20"/>
        </w:rPr>
      </w:pPr>
      <w:r>
        <w:rPr>
          <w:rFonts w:ascii="Arial" w:eastAsia="Arial" w:hAnsi="Arial" w:cs="Arial"/>
          <w:sz w:val="20"/>
          <w:szCs w:val="20"/>
        </w:rPr>
        <w:t>Mayores de 65 años: No se recomienda el ajuste de la dosis para pacientes de 65 años o más.</w:t>
      </w:r>
    </w:p>
    <w:p w:rsidR="00B74082" w:rsidRDefault="00B74082">
      <w:pPr>
        <w:ind w:left="0" w:hanging="2"/>
        <w:jc w:val="both"/>
        <w:rPr>
          <w:rFonts w:ascii="Arial" w:eastAsia="Arial" w:hAnsi="Arial" w:cs="Arial"/>
          <w:sz w:val="20"/>
          <w:szCs w:val="20"/>
        </w:rPr>
      </w:pPr>
    </w:p>
    <w:p w:rsidR="00B74082" w:rsidRDefault="00DA20C8">
      <w:pPr>
        <w:ind w:left="0" w:hanging="2"/>
        <w:jc w:val="both"/>
        <w:rPr>
          <w:rFonts w:ascii="Arial" w:eastAsia="Arial" w:hAnsi="Arial" w:cs="Arial"/>
          <w:sz w:val="20"/>
          <w:szCs w:val="20"/>
        </w:rPr>
      </w:pPr>
      <w:r>
        <w:rPr>
          <w:rFonts w:ascii="Arial" w:eastAsia="Arial" w:hAnsi="Arial" w:cs="Arial"/>
          <w:sz w:val="20"/>
          <w:szCs w:val="20"/>
        </w:rPr>
        <w:t>Insuficiencia renal: No se recomienda ningún ajuste de la dosis para los pacientes con insuficiencia renal leve y moderada (aclaramiento de creatinina [ClCr] 30-89 ml/min calculado según Cockcroft-Gault). Avapritinib no se ha estudiado en pacientes con insuficiencia renal grave (ClCr 15-29 ml/min) o enfermedad renal terminal (ClCr &lt; 15 ml/min), por lo tanto su uso en pacientes con insuficiencia renal grave o enfermedad renal terminal no puede ser recomendado.</w:t>
      </w:r>
    </w:p>
    <w:p w:rsidR="00B74082" w:rsidRDefault="00B74082">
      <w:pPr>
        <w:ind w:left="0" w:hanging="2"/>
        <w:jc w:val="both"/>
        <w:rPr>
          <w:rFonts w:ascii="Arial" w:eastAsia="Arial" w:hAnsi="Arial" w:cs="Arial"/>
          <w:sz w:val="20"/>
          <w:szCs w:val="20"/>
        </w:rPr>
      </w:pPr>
    </w:p>
    <w:p w:rsidR="00B74082" w:rsidRDefault="00DA20C8">
      <w:pPr>
        <w:ind w:left="0" w:hanging="2"/>
        <w:jc w:val="both"/>
        <w:rPr>
          <w:rFonts w:ascii="Arial" w:eastAsia="Arial" w:hAnsi="Arial" w:cs="Arial"/>
          <w:sz w:val="20"/>
          <w:szCs w:val="20"/>
        </w:rPr>
      </w:pPr>
      <w:r>
        <w:rPr>
          <w:rFonts w:ascii="Arial" w:eastAsia="Arial" w:hAnsi="Arial" w:cs="Arial"/>
          <w:sz w:val="20"/>
          <w:szCs w:val="20"/>
        </w:rPr>
        <w:t>Insuficiencia hepática: No se recomienda ningún ajuste de la dosis para los pacientes con insuficiencia hepática leve (bilirrubina total dentro de límite superior de la normalidad [LSN] y aspartato aminotransferasa (AST) &gt;LSN o bilirrubina total superior a 1 a 1,5 veces el LSN y cualquier AST) e insuficiencia hepática moderada (bilirrubina total &gt;1,5 a 3,0 veces el LSN y cualquier AST). Avapritinib no se ha estudiado en sujetos con insuficiencia hepática grave (clase C de Child-Pugh) y, por tanto, no puede recomendarse su uso en pacientes con insuficiencia hepática grave</w:t>
      </w:r>
      <w:r w:rsidR="00972E40">
        <w:rPr>
          <w:rFonts w:ascii="Arial" w:eastAsia="Arial" w:hAnsi="Arial" w:cs="Arial"/>
          <w:sz w:val="20"/>
          <w:szCs w:val="20"/>
        </w:rPr>
        <w:t xml:space="preserve"> </w:t>
      </w:r>
      <w:sdt>
        <w:sdtPr>
          <w:rPr>
            <w:rFonts w:ascii="Arial" w:eastAsia="Arial" w:hAnsi="Arial" w:cs="Arial"/>
            <w:sz w:val="20"/>
            <w:szCs w:val="20"/>
            <w:vertAlign w:val="superscript"/>
          </w:rPr>
          <w:id w:val="185327776"/>
          <w:citation/>
        </w:sdtPr>
        <w:sdtEndPr/>
        <w:sdtContent>
          <w:r w:rsidR="00743E44" w:rsidRPr="006D2FEB">
            <w:rPr>
              <w:rFonts w:ascii="Arial" w:eastAsia="Arial" w:hAnsi="Arial" w:cs="Arial"/>
              <w:sz w:val="20"/>
              <w:szCs w:val="20"/>
              <w:vertAlign w:val="superscript"/>
            </w:rPr>
            <w:fldChar w:fldCharType="begin"/>
          </w:r>
          <w:r w:rsidR="00972E40" w:rsidRPr="006D2FEB">
            <w:rPr>
              <w:rFonts w:ascii="Arial" w:eastAsia="Arial" w:hAnsi="Arial" w:cs="Arial"/>
              <w:sz w:val="20"/>
              <w:szCs w:val="20"/>
              <w:vertAlign w:val="superscript"/>
            </w:rPr>
            <w:instrText xml:space="preserve"> CITATION Sys22 \l 3082 </w:instrText>
          </w:r>
          <w:r w:rsidR="00743E44" w:rsidRPr="006D2FEB">
            <w:rPr>
              <w:rFonts w:ascii="Arial" w:eastAsia="Arial" w:hAnsi="Arial" w:cs="Arial"/>
              <w:sz w:val="20"/>
              <w:szCs w:val="20"/>
              <w:vertAlign w:val="superscript"/>
            </w:rPr>
            <w:fldChar w:fldCharType="separate"/>
          </w:r>
          <w:r w:rsidR="00C560F5" w:rsidRPr="00C560F5">
            <w:rPr>
              <w:rFonts w:ascii="Arial" w:eastAsia="Arial" w:hAnsi="Arial" w:cs="Arial"/>
              <w:noProof/>
              <w:sz w:val="20"/>
              <w:szCs w:val="20"/>
            </w:rPr>
            <w:t>(8)</w:t>
          </w:r>
          <w:r w:rsidR="00743E44" w:rsidRPr="006D2FEB">
            <w:rPr>
              <w:rFonts w:ascii="Arial" w:eastAsia="Arial" w:hAnsi="Arial" w:cs="Arial"/>
              <w:sz w:val="20"/>
              <w:szCs w:val="20"/>
              <w:vertAlign w:val="superscript"/>
            </w:rPr>
            <w:fldChar w:fldCharType="end"/>
          </w:r>
        </w:sdtContent>
      </w:sdt>
      <w:r>
        <w:rPr>
          <w:rFonts w:ascii="Arial" w:eastAsia="Arial" w:hAnsi="Arial" w:cs="Arial"/>
          <w:sz w:val="20"/>
          <w:szCs w:val="20"/>
        </w:rPr>
        <w:t>.</w:t>
      </w:r>
    </w:p>
    <w:p w:rsidR="00B74082" w:rsidRDefault="00B74082">
      <w:pPr>
        <w:ind w:left="0" w:hanging="2"/>
        <w:jc w:val="both"/>
        <w:rPr>
          <w:rFonts w:ascii="Arial" w:eastAsia="Arial" w:hAnsi="Arial" w:cs="Arial"/>
          <w:color w:val="0000FF"/>
          <w:sz w:val="20"/>
          <w:szCs w:val="20"/>
        </w:rPr>
      </w:pPr>
      <w:bookmarkStart w:id="57" w:name="_heading=h.lnxbz9" w:colFirst="0" w:colLast="0"/>
      <w:bookmarkEnd w:id="57"/>
    </w:p>
    <w:p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4.5 Farmacocinética</w:t>
      </w:r>
      <w:r w:rsidR="00972E40">
        <w:rPr>
          <w:rFonts w:ascii="Cambria" w:eastAsia="Cambria" w:hAnsi="Cambria" w:cs="Cambria"/>
          <w:b/>
          <w:i/>
          <w:color w:val="000000"/>
          <w:sz w:val="20"/>
          <w:szCs w:val="20"/>
        </w:rPr>
        <w:t>.</w:t>
      </w:r>
      <w:r>
        <w:rPr>
          <w:rFonts w:ascii="Cambria" w:eastAsia="Cambria" w:hAnsi="Cambria" w:cs="Cambria"/>
          <w:b/>
          <w:i/>
          <w:color w:val="000000"/>
          <w:sz w:val="20"/>
          <w:szCs w:val="20"/>
        </w:rPr>
        <w:t xml:space="preserve"> </w:t>
      </w:r>
    </w:p>
    <w:p w:rsidR="00B74082" w:rsidRDefault="00B74082">
      <w:pPr>
        <w:ind w:left="0" w:hanging="2"/>
        <w:jc w:val="both"/>
        <w:rPr>
          <w:rFonts w:ascii="Arial" w:eastAsia="Arial" w:hAnsi="Arial" w:cs="Arial"/>
          <w:color w:val="C00000"/>
          <w:sz w:val="20"/>
          <w:szCs w:val="20"/>
        </w:rPr>
      </w:pPr>
    </w:p>
    <w:p w:rsidR="00B74082" w:rsidRDefault="00DA20C8">
      <w:pPr>
        <w:ind w:left="0" w:hanging="2"/>
        <w:jc w:val="both"/>
        <w:rPr>
          <w:rFonts w:ascii="Arial" w:eastAsia="Arial" w:hAnsi="Arial" w:cs="Arial"/>
          <w:sz w:val="20"/>
          <w:szCs w:val="20"/>
        </w:rPr>
      </w:pPr>
      <w:r>
        <w:rPr>
          <w:rFonts w:ascii="Arial" w:eastAsia="Arial" w:hAnsi="Arial" w:cs="Arial"/>
          <w:sz w:val="20"/>
          <w:szCs w:val="20"/>
        </w:rPr>
        <w:t>La Cmáx del estado estacionario y el AUC de avapritinib aumentaron proporcionalmente a lo largo del intervalo de dosis de 30 mg a 400 mg una vez al día en los pacientes con MSA. La Cmáx de la media geométrica del estado estacionario (CV%) y el AUC0-24 de avapritinib con 200 mg una vez al día fueron de 377 ng/ml (62 %) y de 6600 h•ng/ml (54 %), respectivamente. La media geométrica de la relación de acumulación después de la administración repetida (30-400 mg) fue de 2,6 a 5,8.</w:t>
      </w:r>
    </w:p>
    <w:p w:rsidR="00B74082" w:rsidRDefault="00B74082">
      <w:pPr>
        <w:ind w:left="0" w:hanging="2"/>
        <w:jc w:val="both"/>
        <w:rPr>
          <w:rFonts w:ascii="Arial" w:eastAsia="Arial" w:hAnsi="Arial" w:cs="Arial"/>
          <w:sz w:val="20"/>
          <w:szCs w:val="20"/>
        </w:rPr>
      </w:pPr>
    </w:p>
    <w:p w:rsidR="00B74082" w:rsidRDefault="00DA20C8">
      <w:pPr>
        <w:ind w:left="0" w:hanging="2"/>
        <w:jc w:val="both"/>
        <w:rPr>
          <w:rFonts w:ascii="Arial" w:eastAsia="Arial" w:hAnsi="Arial" w:cs="Arial"/>
          <w:sz w:val="20"/>
          <w:szCs w:val="20"/>
        </w:rPr>
      </w:pPr>
      <w:r>
        <w:rPr>
          <w:rFonts w:ascii="Arial" w:eastAsia="Arial" w:hAnsi="Arial" w:cs="Arial"/>
          <w:sz w:val="20"/>
          <w:szCs w:val="20"/>
        </w:rPr>
        <w:t>Absorción</w:t>
      </w:r>
    </w:p>
    <w:p w:rsidR="00B74082" w:rsidRDefault="00DA20C8" w:rsidP="00F20FBE">
      <w:pPr>
        <w:ind w:left="0" w:hanging="2"/>
        <w:jc w:val="both"/>
        <w:rPr>
          <w:rFonts w:ascii="Arial" w:eastAsia="Arial" w:hAnsi="Arial" w:cs="Arial"/>
          <w:sz w:val="20"/>
          <w:szCs w:val="20"/>
        </w:rPr>
      </w:pPr>
      <w:r>
        <w:rPr>
          <w:rFonts w:ascii="Arial" w:eastAsia="Arial" w:hAnsi="Arial" w:cs="Arial"/>
          <w:sz w:val="20"/>
          <w:szCs w:val="20"/>
        </w:rPr>
        <w:t>Tras la administración de dosis orales únicas de avapritinib de 30 a 400 mg, la mediana del tiempo hasta la concentración máxima (Tmáx.) osciló entre 2 y 4 horas después de la dosis. La</w:t>
      </w:r>
      <w:r w:rsidR="00F20FBE">
        <w:rPr>
          <w:rFonts w:ascii="Arial" w:eastAsia="Arial" w:hAnsi="Arial" w:cs="Arial"/>
          <w:sz w:val="20"/>
          <w:szCs w:val="20"/>
        </w:rPr>
        <w:t xml:space="preserve"> </w:t>
      </w:r>
      <w:r>
        <w:rPr>
          <w:rFonts w:ascii="Arial" w:eastAsia="Arial" w:hAnsi="Arial" w:cs="Arial"/>
          <w:sz w:val="20"/>
          <w:szCs w:val="20"/>
        </w:rPr>
        <w:t>biodisponibilidad absoluta no se ha determinado. La biodisponibilidad oral media estimada de</w:t>
      </w:r>
      <w:r w:rsidR="00F20FBE">
        <w:rPr>
          <w:rFonts w:ascii="Arial" w:eastAsia="Arial" w:hAnsi="Arial" w:cs="Arial"/>
          <w:sz w:val="20"/>
          <w:szCs w:val="20"/>
        </w:rPr>
        <w:t xml:space="preserve"> </w:t>
      </w:r>
      <w:r>
        <w:rPr>
          <w:rFonts w:ascii="Arial" w:eastAsia="Arial" w:hAnsi="Arial" w:cs="Arial"/>
          <w:sz w:val="20"/>
          <w:szCs w:val="20"/>
        </w:rPr>
        <w:t>avapritinib en la población de pacientes con MSA es un 20 % más baja que en los pacientes con</w:t>
      </w:r>
      <w:r w:rsidR="00F20FBE">
        <w:rPr>
          <w:rFonts w:ascii="Arial" w:eastAsia="Arial" w:hAnsi="Arial" w:cs="Arial"/>
          <w:sz w:val="20"/>
          <w:szCs w:val="20"/>
        </w:rPr>
        <w:t xml:space="preserve"> </w:t>
      </w:r>
      <w:r w:rsidR="00455BC5" w:rsidRPr="00455BC5">
        <w:rPr>
          <w:rFonts w:ascii="Arial" w:eastAsia="Arial" w:hAnsi="Arial" w:cs="Arial"/>
          <w:sz w:val="20"/>
          <w:szCs w:val="20"/>
        </w:rPr>
        <w:t xml:space="preserve">tumores de estroma gastrointestinal </w:t>
      </w:r>
      <w:r w:rsidR="00455BC5">
        <w:rPr>
          <w:rFonts w:ascii="Arial" w:eastAsia="Arial" w:hAnsi="Arial" w:cs="Arial"/>
          <w:sz w:val="20"/>
          <w:szCs w:val="20"/>
        </w:rPr>
        <w:t xml:space="preserve"> (</w:t>
      </w:r>
      <w:r>
        <w:rPr>
          <w:rFonts w:ascii="Arial" w:eastAsia="Arial" w:hAnsi="Arial" w:cs="Arial"/>
          <w:sz w:val="20"/>
          <w:szCs w:val="20"/>
        </w:rPr>
        <w:t>TEGI</w:t>
      </w:r>
      <w:r w:rsidR="00455BC5">
        <w:rPr>
          <w:rFonts w:ascii="Arial" w:eastAsia="Arial" w:hAnsi="Arial" w:cs="Arial"/>
          <w:sz w:val="20"/>
          <w:szCs w:val="20"/>
        </w:rPr>
        <w:t>)</w:t>
      </w:r>
      <w:r>
        <w:rPr>
          <w:rFonts w:ascii="Arial" w:eastAsia="Arial" w:hAnsi="Arial" w:cs="Arial"/>
          <w:sz w:val="20"/>
          <w:szCs w:val="20"/>
        </w:rPr>
        <w:t>.</w:t>
      </w:r>
    </w:p>
    <w:p w:rsidR="00B74082" w:rsidRDefault="00B74082">
      <w:pPr>
        <w:ind w:left="0" w:hanging="2"/>
        <w:jc w:val="both"/>
        <w:rPr>
          <w:rFonts w:ascii="Arial" w:eastAsia="Arial" w:hAnsi="Arial" w:cs="Arial"/>
          <w:sz w:val="20"/>
          <w:szCs w:val="20"/>
        </w:rPr>
      </w:pPr>
    </w:p>
    <w:p w:rsidR="00B74082" w:rsidRDefault="00DA20C8">
      <w:pPr>
        <w:ind w:left="0" w:hanging="2"/>
        <w:jc w:val="both"/>
        <w:rPr>
          <w:rFonts w:ascii="Arial" w:eastAsia="Arial" w:hAnsi="Arial" w:cs="Arial"/>
          <w:sz w:val="20"/>
          <w:szCs w:val="20"/>
        </w:rPr>
      </w:pPr>
      <w:r>
        <w:rPr>
          <w:rFonts w:ascii="Arial" w:eastAsia="Arial" w:hAnsi="Arial" w:cs="Arial"/>
          <w:sz w:val="20"/>
          <w:szCs w:val="20"/>
        </w:rPr>
        <w:t>Efecto de los alimentos</w:t>
      </w:r>
    </w:p>
    <w:p w:rsidR="00B74082" w:rsidRDefault="00DA20C8">
      <w:pPr>
        <w:ind w:left="0" w:hanging="2"/>
        <w:jc w:val="both"/>
        <w:rPr>
          <w:rFonts w:ascii="Arial" w:eastAsia="Arial" w:hAnsi="Arial" w:cs="Arial"/>
          <w:sz w:val="20"/>
          <w:szCs w:val="20"/>
        </w:rPr>
      </w:pPr>
      <w:r>
        <w:rPr>
          <w:rFonts w:ascii="Arial" w:eastAsia="Arial" w:hAnsi="Arial" w:cs="Arial"/>
          <w:sz w:val="20"/>
          <w:szCs w:val="20"/>
        </w:rPr>
        <w:t>La Cmáx. y el AUCinf de avapritinib aumentaron un 59 % y un 29 %, respectivamente, en sujetos sanos tratados con avapritinib después de una comida con alto contenido graso (aproximadamente 909 calorías, 58 gramos de hidratos de carbono, 56 gramos de grasa y 43 gramos de proteína) en comparación con la Cmáx. y el AUCinf después de una noche en ayunas.</w:t>
      </w:r>
    </w:p>
    <w:p w:rsidR="00B74082" w:rsidRDefault="00B74082">
      <w:pPr>
        <w:ind w:left="0" w:hanging="2"/>
        <w:jc w:val="both"/>
        <w:rPr>
          <w:rFonts w:ascii="Arial" w:eastAsia="Arial" w:hAnsi="Arial" w:cs="Arial"/>
          <w:sz w:val="20"/>
          <w:szCs w:val="20"/>
        </w:rPr>
      </w:pPr>
    </w:p>
    <w:p w:rsidR="00B74082" w:rsidRDefault="00DA20C8">
      <w:pPr>
        <w:ind w:left="0" w:hanging="2"/>
        <w:jc w:val="both"/>
        <w:rPr>
          <w:rFonts w:ascii="Arial" w:eastAsia="Arial" w:hAnsi="Arial" w:cs="Arial"/>
          <w:sz w:val="20"/>
          <w:szCs w:val="20"/>
        </w:rPr>
      </w:pPr>
      <w:r>
        <w:rPr>
          <w:rFonts w:ascii="Arial" w:eastAsia="Arial" w:hAnsi="Arial" w:cs="Arial"/>
          <w:sz w:val="20"/>
          <w:szCs w:val="20"/>
        </w:rPr>
        <w:t>Distribución</w:t>
      </w:r>
    </w:p>
    <w:p w:rsidR="00B74082" w:rsidRDefault="00DA20C8">
      <w:pPr>
        <w:ind w:left="0" w:hanging="2"/>
        <w:jc w:val="both"/>
        <w:rPr>
          <w:rFonts w:ascii="Arial" w:eastAsia="Arial" w:hAnsi="Arial" w:cs="Arial"/>
          <w:sz w:val="20"/>
          <w:szCs w:val="20"/>
        </w:rPr>
      </w:pPr>
      <w:r>
        <w:rPr>
          <w:rFonts w:ascii="Arial" w:eastAsia="Arial" w:hAnsi="Arial" w:cs="Arial"/>
          <w:sz w:val="20"/>
          <w:szCs w:val="20"/>
        </w:rPr>
        <w:t xml:space="preserve">Avapritinib se une en un 98,8 % a proteínas plasmáticas humanas in vitro y la unión no es dependiente de la concentración. El cociente en sangre/plasma es de 0,95. El volumen de distribución medio estimado de avapritinib en estado estacionario (Vee/F) en la población es de 1232 </w:t>
      </w:r>
      <w:r w:rsidR="004D1953">
        <w:rPr>
          <w:rFonts w:ascii="Arial" w:eastAsia="Arial" w:hAnsi="Arial" w:cs="Arial"/>
          <w:sz w:val="20"/>
          <w:szCs w:val="20"/>
        </w:rPr>
        <w:t>L</w:t>
      </w:r>
      <w:r>
        <w:rPr>
          <w:rFonts w:ascii="Arial" w:eastAsia="Arial" w:hAnsi="Arial" w:cs="Arial"/>
          <w:sz w:val="20"/>
          <w:szCs w:val="20"/>
        </w:rPr>
        <w:t xml:space="preserve"> con una mediana de peso corporal magro de 56,8 kg.</w:t>
      </w:r>
    </w:p>
    <w:p w:rsidR="00B74082" w:rsidRDefault="00B74082">
      <w:pPr>
        <w:ind w:left="0" w:hanging="2"/>
        <w:jc w:val="both"/>
        <w:rPr>
          <w:rFonts w:ascii="Arial" w:eastAsia="Arial" w:hAnsi="Arial" w:cs="Arial"/>
          <w:sz w:val="20"/>
          <w:szCs w:val="20"/>
        </w:rPr>
      </w:pPr>
    </w:p>
    <w:p w:rsidR="006D2FEB" w:rsidRDefault="00DA20C8" w:rsidP="006D2FEB">
      <w:pPr>
        <w:ind w:left="0" w:hanging="2"/>
        <w:jc w:val="both"/>
        <w:rPr>
          <w:rFonts w:ascii="Arial" w:eastAsia="Arial" w:hAnsi="Arial" w:cs="Arial"/>
          <w:sz w:val="20"/>
          <w:szCs w:val="20"/>
        </w:rPr>
      </w:pPr>
      <w:r>
        <w:rPr>
          <w:rFonts w:ascii="Arial" w:eastAsia="Arial" w:hAnsi="Arial" w:cs="Arial"/>
          <w:sz w:val="20"/>
          <w:szCs w:val="20"/>
        </w:rPr>
        <w:t>Biotransformación</w:t>
      </w:r>
      <w:r w:rsidR="006D2FEB">
        <w:rPr>
          <w:rFonts w:ascii="Arial" w:eastAsia="Arial" w:hAnsi="Arial" w:cs="Arial"/>
          <w:sz w:val="20"/>
          <w:szCs w:val="20"/>
        </w:rPr>
        <w:t>:</w:t>
      </w:r>
    </w:p>
    <w:p w:rsidR="00B74082" w:rsidRDefault="00DA20C8" w:rsidP="006D2FEB">
      <w:pPr>
        <w:ind w:left="0" w:hanging="2"/>
        <w:jc w:val="both"/>
        <w:rPr>
          <w:rFonts w:ascii="Arial" w:eastAsia="Arial" w:hAnsi="Arial" w:cs="Arial"/>
          <w:sz w:val="20"/>
          <w:szCs w:val="20"/>
        </w:rPr>
      </w:pPr>
      <w:r>
        <w:rPr>
          <w:rFonts w:ascii="Arial" w:eastAsia="Arial" w:hAnsi="Arial" w:cs="Arial"/>
          <w:sz w:val="20"/>
          <w:szCs w:val="20"/>
        </w:rPr>
        <w:t>Los estudios in vitro demostraron que el metabolismo oxidativo de avapritinib está mediado</w:t>
      </w:r>
      <w:r w:rsidR="006D2FEB">
        <w:rPr>
          <w:rFonts w:ascii="Arial" w:eastAsia="Arial" w:hAnsi="Arial" w:cs="Arial"/>
          <w:sz w:val="20"/>
          <w:szCs w:val="20"/>
        </w:rPr>
        <w:t xml:space="preserve"> </w:t>
      </w:r>
      <w:r>
        <w:rPr>
          <w:rFonts w:ascii="Arial" w:eastAsia="Arial" w:hAnsi="Arial" w:cs="Arial"/>
          <w:sz w:val="20"/>
          <w:szCs w:val="20"/>
        </w:rPr>
        <w:t>predominantemente por CYP3A4, CYP3A5 y en menor medida mediante CYP2C9. Las</w:t>
      </w:r>
      <w:r w:rsidR="006D2FEB">
        <w:rPr>
          <w:rFonts w:ascii="Arial" w:eastAsia="Arial" w:hAnsi="Arial" w:cs="Arial"/>
          <w:sz w:val="20"/>
          <w:szCs w:val="20"/>
        </w:rPr>
        <w:t xml:space="preserve"> </w:t>
      </w:r>
      <w:r>
        <w:rPr>
          <w:rFonts w:ascii="Arial" w:eastAsia="Arial" w:hAnsi="Arial" w:cs="Arial"/>
          <w:sz w:val="20"/>
          <w:szCs w:val="20"/>
        </w:rPr>
        <w:t>contribuciones relativas de CYP2C9 y CYP3A al metabolismo in vitro de avapritinib fueron</w:t>
      </w:r>
      <w:r w:rsidR="006D2FEB">
        <w:rPr>
          <w:rFonts w:ascii="Arial" w:eastAsia="Arial" w:hAnsi="Arial" w:cs="Arial"/>
          <w:sz w:val="20"/>
          <w:szCs w:val="20"/>
        </w:rPr>
        <w:t xml:space="preserve"> </w:t>
      </w:r>
      <w:r>
        <w:rPr>
          <w:rFonts w:ascii="Arial" w:eastAsia="Arial" w:hAnsi="Arial" w:cs="Arial"/>
          <w:sz w:val="20"/>
          <w:szCs w:val="20"/>
        </w:rPr>
        <w:t>del 15,1 %, y el 84,9 %, respectivamente. La formación del glucurónido M690 se cataliza</w:t>
      </w:r>
      <w:r w:rsidR="006D2FEB">
        <w:rPr>
          <w:rFonts w:ascii="Arial" w:eastAsia="Arial" w:hAnsi="Arial" w:cs="Arial"/>
          <w:sz w:val="20"/>
          <w:szCs w:val="20"/>
        </w:rPr>
        <w:t xml:space="preserve"> </w:t>
      </w:r>
      <w:r>
        <w:rPr>
          <w:rFonts w:ascii="Arial" w:eastAsia="Arial" w:hAnsi="Arial" w:cs="Arial"/>
          <w:sz w:val="20"/>
          <w:szCs w:val="20"/>
        </w:rPr>
        <w:t>principalmente a través del UGT1A3. Después de una dosis única de 310 mg la oxidación, la glucuronidación, la desaminación oxidativa y la N-desalquilación fueron las vías metabólicas principales. Avapritinib inalterado (49 %) y los metabolitos, M690 (hidroxiglucurónido; 35 %) y M499 (desaminación oxidativa; 14 %) fueron los principales componentes radioactivos circulantes. Tras la administración oral de avapritinib 300 mg una vez al día en pacientes, el AUC del estado en equilibrio de los enantiómeros constitutivos de M499, BLU111207 y BLU111208, son de aproximadamente un 35 % y 42 % del AUC de avapritinib. En comparación con avapritinib (CI50 = 4 nM), los enantiómeros BLU111207 (IC50 = 41,8 nM) y BLU111208 (CI50 = 12,4 nM) son 10,5- y 3,1 veces menos potentes contra D816V de KIT in vitro.</w:t>
      </w:r>
    </w:p>
    <w:p w:rsidR="00B74082" w:rsidRPr="00155E6D" w:rsidRDefault="00DA20C8" w:rsidP="004D1953">
      <w:pPr>
        <w:ind w:left="0" w:hanging="2"/>
        <w:jc w:val="both"/>
        <w:rPr>
          <w:rFonts w:ascii="Arial" w:eastAsia="Arial" w:hAnsi="Arial" w:cs="Arial"/>
          <w:sz w:val="20"/>
          <w:szCs w:val="20"/>
        </w:rPr>
      </w:pPr>
      <w:r>
        <w:rPr>
          <w:rFonts w:ascii="Arial" w:eastAsia="Arial" w:hAnsi="Arial" w:cs="Arial"/>
          <w:sz w:val="20"/>
          <w:szCs w:val="20"/>
        </w:rPr>
        <w:lastRenderedPageBreak/>
        <w:t xml:space="preserve">Los estudios in vitro demostraron que avapritinib es un inhibidor directo de CYP3A y un inhibidor de CYP3A4 dependiente del tiempo, a concentraciones clínicamente relevantes (ver sección 4.5). </w:t>
      </w:r>
      <w:r w:rsidRPr="00155E6D">
        <w:rPr>
          <w:rFonts w:ascii="Arial" w:eastAsia="Arial" w:hAnsi="Arial" w:cs="Arial"/>
          <w:sz w:val="20"/>
          <w:szCs w:val="20"/>
        </w:rPr>
        <w:t>In vitro, avapritinib no inhibió CYP1A2, CYP2B6, CYP2C8, CYP2C9, CYP2C19 o CYP2D6 a</w:t>
      </w:r>
      <w:r w:rsidR="004D1953" w:rsidRPr="00155E6D">
        <w:rPr>
          <w:rFonts w:ascii="Arial" w:eastAsia="Arial" w:hAnsi="Arial" w:cs="Arial"/>
          <w:sz w:val="20"/>
          <w:szCs w:val="20"/>
        </w:rPr>
        <w:t xml:space="preserve"> </w:t>
      </w:r>
      <w:r>
        <w:rPr>
          <w:rFonts w:ascii="Arial" w:eastAsia="Arial" w:hAnsi="Arial" w:cs="Arial"/>
          <w:sz w:val="20"/>
          <w:szCs w:val="20"/>
        </w:rPr>
        <w:t>concentraciones clínicamente relevantes. In vitro, a concentraciones clínicamente relevantes, avapritinib indujo CYP3A (ver sección 4.5). In vitro, avapritinib no indujo CYP1A2 ni CYP2B6 a concentraciones clínicamente relevantes.</w:t>
      </w:r>
    </w:p>
    <w:p w:rsidR="00B74082" w:rsidRDefault="00B74082">
      <w:pPr>
        <w:ind w:left="0" w:hanging="2"/>
        <w:jc w:val="both"/>
        <w:rPr>
          <w:rFonts w:ascii="Arial" w:eastAsia="Arial" w:hAnsi="Arial" w:cs="Arial"/>
          <w:sz w:val="20"/>
          <w:szCs w:val="20"/>
        </w:rPr>
      </w:pPr>
    </w:p>
    <w:p w:rsidR="00B74082" w:rsidRDefault="00DA20C8">
      <w:pPr>
        <w:ind w:left="0" w:hanging="2"/>
        <w:jc w:val="both"/>
        <w:rPr>
          <w:rFonts w:ascii="Arial" w:eastAsia="Arial" w:hAnsi="Arial" w:cs="Arial"/>
          <w:sz w:val="20"/>
          <w:szCs w:val="20"/>
        </w:rPr>
      </w:pPr>
      <w:r>
        <w:rPr>
          <w:rFonts w:ascii="Arial" w:eastAsia="Arial" w:hAnsi="Arial" w:cs="Arial"/>
          <w:sz w:val="20"/>
          <w:szCs w:val="20"/>
        </w:rPr>
        <w:t>Eliminación</w:t>
      </w:r>
    </w:p>
    <w:p w:rsidR="00B74082" w:rsidRDefault="00DA20C8">
      <w:pPr>
        <w:ind w:left="0" w:hanging="2"/>
        <w:jc w:val="both"/>
        <w:rPr>
          <w:rFonts w:ascii="Arial" w:eastAsia="Arial" w:hAnsi="Arial" w:cs="Arial"/>
          <w:sz w:val="20"/>
          <w:szCs w:val="20"/>
        </w:rPr>
      </w:pPr>
      <w:r>
        <w:rPr>
          <w:rFonts w:ascii="Arial" w:eastAsia="Arial" w:hAnsi="Arial" w:cs="Arial"/>
          <w:sz w:val="20"/>
          <w:szCs w:val="20"/>
        </w:rPr>
        <w:t>Tras una única dosis de AYVAKYT en pacientes con TEGI y en pacientes con MSAv, la media de la semivida de eliminación plasmática de avapritinib fue de 32 a 57 horas y de 20 a 39 horas,</w:t>
      </w:r>
    </w:p>
    <w:p w:rsidR="00B74082" w:rsidRDefault="00DA20C8">
      <w:pPr>
        <w:ind w:left="0" w:hanging="2"/>
        <w:jc w:val="both"/>
        <w:rPr>
          <w:rFonts w:ascii="Arial" w:eastAsia="Arial" w:hAnsi="Arial" w:cs="Arial"/>
          <w:sz w:val="20"/>
          <w:szCs w:val="20"/>
        </w:rPr>
      </w:pPr>
      <w:r>
        <w:rPr>
          <w:rFonts w:ascii="Arial" w:eastAsia="Arial" w:hAnsi="Arial" w:cs="Arial"/>
          <w:sz w:val="20"/>
          <w:szCs w:val="20"/>
        </w:rPr>
        <w:t xml:space="preserve">respectivamente. El aclaramiento medio aparente estimado (CL/F) de avapritinib en la población con TEGI es de 16 l/h. El CL/F estimado de avapritinib en la población con MSAv es de 21,1 </w:t>
      </w:r>
      <w:r w:rsidR="00F20FBE">
        <w:rPr>
          <w:rFonts w:ascii="Arial" w:eastAsia="Arial" w:hAnsi="Arial" w:cs="Arial"/>
          <w:sz w:val="20"/>
          <w:szCs w:val="20"/>
        </w:rPr>
        <w:t>L</w:t>
      </w:r>
      <w:r>
        <w:rPr>
          <w:rFonts w:ascii="Arial" w:eastAsia="Arial" w:hAnsi="Arial" w:cs="Arial"/>
          <w:sz w:val="20"/>
          <w:szCs w:val="20"/>
        </w:rPr>
        <w:t>/h al inicio del tratamiento, seguido de un declive dependiente del tiempo hacia 16 l/h al cabo de 15 días. La variabilidad interindividual del CL/F es del 42 % en estado estacionario.</w:t>
      </w:r>
    </w:p>
    <w:p w:rsidR="00B74082" w:rsidRDefault="00DA20C8" w:rsidP="004D1953">
      <w:pPr>
        <w:ind w:left="0" w:hanging="2"/>
        <w:jc w:val="both"/>
        <w:rPr>
          <w:rFonts w:ascii="Arial" w:eastAsia="Arial" w:hAnsi="Arial" w:cs="Arial"/>
          <w:sz w:val="20"/>
          <w:szCs w:val="20"/>
        </w:rPr>
      </w:pPr>
      <w:r>
        <w:rPr>
          <w:rFonts w:ascii="Arial" w:eastAsia="Arial" w:hAnsi="Arial" w:cs="Arial"/>
          <w:sz w:val="20"/>
          <w:szCs w:val="20"/>
        </w:rPr>
        <w:t>Después de una dosis oral única de aproximadamente 310 mg avapritinib para sujetos sanos, el 70 % de la dosis radiactiva se recuperó en heces y 18 % se excretó en la orina. Avapritinib inalterado representó un 11 % y un 0,23 % de la dosis radiactiva</w:t>
      </w:r>
    </w:p>
    <w:p w:rsidR="00B74082" w:rsidRDefault="00DA20C8">
      <w:pPr>
        <w:ind w:left="0" w:hanging="2"/>
        <w:jc w:val="both"/>
        <w:rPr>
          <w:rFonts w:ascii="Arial" w:eastAsia="Arial" w:hAnsi="Arial" w:cs="Arial"/>
          <w:sz w:val="20"/>
          <w:szCs w:val="20"/>
        </w:rPr>
      </w:pPr>
      <w:r>
        <w:rPr>
          <w:rFonts w:ascii="Arial" w:eastAsia="Arial" w:hAnsi="Arial" w:cs="Arial"/>
          <w:sz w:val="20"/>
          <w:szCs w:val="20"/>
        </w:rPr>
        <w:t>administrada excretada en la orina y las heces, respectivamente.</w:t>
      </w:r>
    </w:p>
    <w:p w:rsidR="00B74082" w:rsidRDefault="00B74082">
      <w:pPr>
        <w:ind w:left="0" w:hanging="2"/>
        <w:jc w:val="both"/>
        <w:rPr>
          <w:rFonts w:ascii="Arial" w:eastAsia="Arial" w:hAnsi="Arial" w:cs="Arial"/>
          <w:sz w:val="20"/>
          <w:szCs w:val="20"/>
        </w:rPr>
      </w:pPr>
    </w:p>
    <w:p w:rsidR="00B74082" w:rsidRDefault="00DA20C8">
      <w:pPr>
        <w:ind w:left="0" w:hanging="2"/>
        <w:jc w:val="both"/>
        <w:rPr>
          <w:rFonts w:ascii="Arial" w:eastAsia="Arial" w:hAnsi="Arial" w:cs="Arial"/>
          <w:sz w:val="20"/>
          <w:szCs w:val="20"/>
        </w:rPr>
      </w:pPr>
      <w:r>
        <w:rPr>
          <w:rFonts w:ascii="Arial" w:eastAsia="Arial" w:hAnsi="Arial" w:cs="Arial"/>
          <w:sz w:val="20"/>
          <w:szCs w:val="20"/>
        </w:rPr>
        <w:t>Efectos de avapritinib en las proteínas de transporte</w:t>
      </w:r>
    </w:p>
    <w:p w:rsidR="00B74082" w:rsidRDefault="00DA20C8" w:rsidP="004D1953">
      <w:pPr>
        <w:ind w:left="0" w:hanging="2"/>
        <w:jc w:val="both"/>
        <w:rPr>
          <w:rFonts w:ascii="Arial" w:eastAsia="Arial" w:hAnsi="Arial" w:cs="Arial"/>
          <w:sz w:val="20"/>
          <w:szCs w:val="20"/>
        </w:rPr>
      </w:pPr>
      <w:r>
        <w:rPr>
          <w:rFonts w:ascii="Arial" w:eastAsia="Arial" w:hAnsi="Arial" w:cs="Arial"/>
          <w:sz w:val="20"/>
          <w:szCs w:val="20"/>
        </w:rPr>
        <w:t>In vitro, avapritinib no es un sustrato de gp-P, BCRP, OAT1, OAT3, OCT1, OCT2, OATP1B1,</w:t>
      </w:r>
      <w:r w:rsidR="004D1953">
        <w:rPr>
          <w:rFonts w:ascii="Arial" w:eastAsia="Arial" w:hAnsi="Arial" w:cs="Arial"/>
          <w:sz w:val="20"/>
          <w:szCs w:val="20"/>
        </w:rPr>
        <w:t xml:space="preserve"> </w:t>
      </w:r>
      <w:r>
        <w:rPr>
          <w:rFonts w:ascii="Arial" w:eastAsia="Arial" w:hAnsi="Arial" w:cs="Arial"/>
          <w:sz w:val="20"/>
          <w:szCs w:val="20"/>
        </w:rPr>
        <w:t>OATP1B3, MATE1, MATE2-K y BSEP a concentraciones clínicamente relevantes.</w:t>
      </w:r>
      <w:r w:rsidR="004D1953">
        <w:rPr>
          <w:rFonts w:ascii="Arial" w:eastAsia="Arial" w:hAnsi="Arial" w:cs="Arial"/>
          <w:sz w:val="20"/>
          <w:szCs w:val="20"/>
        </w:rPr>
        <w:t xml:space="preserve"> </w:t>
      </w:r>
      <w:r>
        <w:rPr>
          <w:rFonts w:ascii="Arial" w:eastAsia="Arial" w:hAnsi="Arial" w:cs="Arial"/>
          <w:sz w:val="20"/>
          <w:szCs w:val="20"/>
        </w:rPr>
        <w:t xml:space="preserve">Avapritinib es un inhibidor de gp-P, BCRP, MATE1, MATE2-K y BSEP in vitro (ver sección 4.5). </w:t>
      </w:r>
      <w:r w:rsidRPr="00155E6D">
        <w:rPr>
          <w:rFonts w:ascii="Arial" w:eastAsia="Arial" w:hAnsi="Arial" w:cs="Arial"/>
          <w:sz w:val="20"/>
          <w:szCs w:val="20"/>
        </w:rPr>
        <w:t>In</w:t>
      </w:r>
      <w:r w:rsidR="004D1953">
        <w:rPr>
          <w:rFonts w:ascii="Arial" w:eastAsia="Arial" w:hAnsi="Arial" w:cs="Arial"/>
          <w:sz w:val="20"/>
          <w:szCs w:val="20"/>
        </w:rPr>
        <w:t xml:space="preserve"> </w:t>
      </w:r>
      <w:r w:rsidRPr="00155E6D">
        <w:rPr>
          <w:rFonts w:ascii="Arial" w:eastAsia="Arial" w:hAnsi="Arial" w:cs="Arial"/>
          <w:sz w:val="20"/>
          <w:szCs w:val="20"/>
        </w:rPr>
        <w:t>vitro, avapritinib no inhibió OATP1B1, OATP1B3, OAT1, OAT3, OCT1 u OCT2 a concentraciones</w:t>
      </w:r>
      <w:r w:rsidR="004D1953">
        <w:rPr>
          <w:rFonts w:ascii="Arial" w:eastAsia="Arial" w:hAnsi="Arial" w:cs="Arial"/>
          <w:sz w:val="20"/>
          <w:szCs w:val="20"/>
        </w:rPr>
        <w:t xml:space="preserve"> </w:t>
      </w:r>
      <w:r>
        <w:rPr>
          <w:rFonts w:ascii="Arial" w:eastAsia="Arial" w:hAnsi="Arial" w:cs="Arial"/>
          <w:sz w:val="20"/>
          <w:szCs w:val="20"/>
        </w:rPr>
        <w:t>clínicamente relevantes.</w:t>
      </w:r>
    </w:p>
    <w:p w:rsidR="00B74082" w:rsidRDefault="00B74082">
      <w:pPr>
        <w:ind w:left="0" w:hanging="2"/>
        <w:jc w:val="both"/>
        <w:rPr>
          <w:rFonts w:ascii="Arial" w:eastAsia="Arial" w:hAnsi="Arial" w:cs="Arial"/>
          <w:sz w:val="20"/>
          <w:szCs w:val="20"/>
        </w:rPr>
      </w:pPr>
    </w:p>
    <w:p w:rsidR="00B74082" w:rsidRDefault="00DA20C8">
      <w:pPr>
        <w:ind w:left="0" w:hanging="2"/>
        <w:jc w:val="both"/>
        <w:rPr>
          <w:rFonts w:ascii="Arial" w:eastAsia="Arial" w:hAnsi="Arial" w:cs="Arial"/>
          <w:sz w:val="20"/>
          <w:szCs w:val="20"/>
        </w:rPr>
      </w:pPr>
      <w:r>
        <w:rPr>
          <w:rFonts w:ascii="Arial" w:eastAsia="Arial" w:hAnsi="Arial" w:cs="Arial"/>
          <w:sz w:val="20"/>
          <w:szCs w:val="20"/>
        </w:rPr>
        <w:t>Principios activos reductores del ácido gástrico</w:t>
      </w:r>
    </w:p>
    <w:p w:rsidR="00B74082" w:rsidRDefault="00DA20C8">
      <w:pPr>
        <w:ind w:left="0" w:hanging="2"/>
        <w:jc w:val="both"/>
        <w:rPr>
          <w:rFonts w:ascii="Arial" w:eastAsia="Arial" w:hAnsi="Arial" w:cs="Arial"/>
          <w:sz w:val="20"/>
          <w:szCs w:val="20"/>
        </w:rPr>
      </w:pPr>
      <w:r>
        <w:rPr>
          <w:rFonts w:ascii="Arial" w:eastAsia="Arial" w:hAnsi="Arial" w:cs="Arial"/>
          <w:sz w:val="20"/>
          <w:szCs w:val="20"/>
        </w:rPr>
        <w:t>No se han realizado estudios de interacción farmacológica. Basándose en análisis farmacocinéticos tanto poblacionales como no compartimentales para los pacientes con TEGI y con MSAv tratados con reductores del ácido gástrico, el efecto de los reductores del ácido gástrico en la biodisponibilidad de avapritinib no es clínicamente relevante.</w:t>
      </w:r>
    </w:p>
    <w:p w:rsidR="00B74082" w:rsidRDefault="00B74082">
      <w:pPr>
        <w:ind w:left="0" w:hanging="2"/>
        <w:jc w:val="both"/>
        <w:rPr>
          <w:rFonts w:ascii="Arial" w:eastAsia="Arial" w:hAnsi="Arial" w:cs="Arial"/>
          <w:sz w:val="20"/>
          <w:szCs w:val="20"/>
        </w:rPr>
      </w:pPr>
    </w:p>
    <w:p w:rsidR="00B74082" w:rsidRDefault="00DA20C8">
      <w:pPr>
        <w:ind w:left="0" w:hanging="2"/>
        <w:jc w:val="both"/>
        <w:rPr>
          <w:rFonts w:ascii="Arial" w:eastAsia="Arial" w:hAnsi="Arial" w:cs="Arial"/>
          <w:sz w:val="20"/>
          <w:szCs w:val="20"/>
          <w:u w:val="single"/>
        </w:rPr>
      </w:pPr>
      <w:r>
        <w:rPr>
          <w:rFonts w:ascii="Arial" w:eastAsia="Arial" w:hAnsi="Arial" w:cs="Arial"/>
          <w:sz w:val="20"/>
          <w:szCs w:val="20"/>
          <w:u w:val="single"/>
        </w:rPr>
        <w:t>Principios activos que pueden tener un efecto en avapritinib</w:t>
      </w:r>
    </w:p>
    <w:p w:rsidR="00B74082" w:rsidRDefault="00DA20C8">
      <w:pPr>
        <w:ind w:left="0" w:hanging="2"/>
        <w:jc w:val="both"/>
        <w:rPr>
          <w:rFonts w:ascii="Arial" w:eastAsia="Arial" w:hAnsi="Arial" w:cs="Arial"/>
          <w:i/>
          <w:sz w:val="20"/>
          <w:szCs w:val="20"/>
        </w:rPr>
      </w:pPr>
      <w:r>
        <w:rPr>
          <w:rFonts w:ascii="Arial" w:eastAsia="Arial" w:hAnsi="Arial" w:cs="Arial"/>
          <w:i/>
          <w:sz w:val="20"/>
          <w:szCs w:val="20"/>
        </w:rPr>
        <w:t>Inhibidores potentes y moderados del CYP3A</w:t>
      </w:r>
    </w:p>
    <w:p w:rsidR="00B74082" w:rsidRDefault="00DA20C8">
      <w:pPr>
        <w:ind w:left="0" w:hanging="2"/>
        <w:jc w:val="both"/>
        <w:rPr>
          <w:rFonts w:ascii="Arial" w:eastAsia="Arial" w:hAnsi="Arial" w:cs="Arial"/>
          <w:sz w:val="20"/>
          <w:szCs w:val="20"/>
        </w:rPr>
      </w:pPr>
      <w:r>
        <w:rPr>
          <w:rFonts w:ascii="Arial" w:eastAsia="Arial" w:hAnsi="Arial" w:cs="Arial"/>
          <w:sz w:val="20"/>
          <w:szCs w:val="20"/>
        </w:rPr>
        <w:t>La administración conjunta de avapritinib con un inhibidor potente del CYP3A aumentó las</w:t>
      </w:r>
    </w:p>
    <w:p w:rsidR="00B74082" w:rsidRDefault="00DA20C8">
      <w:pPr>
        <w:ind w:left="0" w:hanging="2"/>
        <w:jc w:val="both"/>
        <w:rPr>
          <w:rFonts w:ascii="Arial" w:eastAsia="Arial" w:hAnsi="Arial" w:cs="Arial"/>
          <w:sz w:val="20"/>
          <w:szCs w:val="20"/>
        </w:rPr>
      </w:pPr>
      <w:r>
        <w:rPr>
          <w:rFonts w:ascii="Arial" w:eastAsia="Arial" w:hAnsi="Arial" w:cs="Arial"/>
          <w:sz w:val="20"/>
          <w:szCs w:val="20"/>
        </w:rPr>
        <w:t>concentraciones plasmáticas de avapritinib y puede causar un aumento de las reacciones adversas. La administración conjunta del itraconazol (200 mg dos veces al día el día 1 seguido de 200 mg una vez al día durante 13 días) con una dosis única de 200 mg de avapritinib el día 4 en sujetos sanos aumentó la Cmáx. de avapritinib en 1,4 veces y el AUC0-inf en 4,2 veces, en relación con la dosis de 200 mg de avapritinib administrado en monoterapia.</w:t>
      </w:r>
    </w:p>
    <w:p w:rsidR="00B74082" w:rsidRDefault="00DA20C8" w:rsidP="004D1953">
      <w:pPr>
        <w:ind w:left="0" w:hanging="2"/>
        <w:jc w:val="both"/>
        <w:rPr>
          <w:rFonts w:ascii="Arial" w:eastAsia="Arial" w:hAnsi="Arial" w:cs="Arial"/>
          <w:sz w:val="20"/>
          <w:szCs w:val="20"/>
        </w:rPr>
      </w:pPr>
      <w:r>
        <w:rPr>
          <w:rFonts w:ascii="Arial" w:eastAsia="Arial" w:hAnsi="Arial" w:cs="Arial"/>
          <w:sz w:val="20"/>
          <w:szCs w:val="20"/>
        </w:rPr>
        <w:t xml:space="preserve">Debe evitarse el uso concomitante de avapritinib con inhibidores potentes o </w:t>
      </w:r>
      <w:r w:rsidR="00972E40">
        <w:rPr>
          <w:rFonts w:ascii="Arial" w:eastAsia="Arial" w:hAnsi="Arial" w:cs="Arial"/>
          <w:sz w:val="20"/>
          <w:szCs w:val="20"/>
        </w:rPr>
        <w:t>moderados de</w:t>
      </w:r>
      <w:r>
        <w:rPr>
          <w:rFonts w:ascii="Arial" w:eastAsia="Arial" w:hAnsi="Arial" w:cs="Arial"/>
          <w:sz w:val="20"/>
          <w:szCs w:val="20"/>
        </w:rPr>
        <w:t xml:space="preserve"> CYP3A</w:t>
      </w:r>
      <w:r w:rsidR="004D1953">
        <w:rPr>
          <w:rFonts w:ascii="Arial" w:eastAsia="Arial" w:hAnsi="Arial" w:cs="Arial"/>
          <w:sz w:val="20"/>
          <w:szCs w:val="20"/>
        </w:rPr>
        <w:t xml:space="preserve"> </w:t>
      </w:r>
      <w:r>
        <w:rPr>
          <w:rFonts w:ascii="Arial" w:eastAsia="Arial" w:hAnsi="Arial" w:cs="Arial"/>
          <w:sz w:val="20"/>
          <w:szCs w:val="20"/>
        </w:rPr>
        <w:t>(como antifúngicos, incluidos ketoconazol, itraconazol, posaconazol, voriconazol; determinados</w:t>
      </w:r>
      <w:r w:rsidR="004D1953">
        <w:rPr>
          <w:rFonts w:ascii="Arial" w:eastAsia="Arial" w:hAnsi="Arial" w:cs="Arial"/>
          <w:sz w:val="20"/>
          <w:szCs w:val="20"/>
        </w:rPr>
        <w:t xml:space="preserve"> </w:t>
      </w:r>
      <w:r>
        <w:rPr>
          <w:rFonts w:ascii="Arial" w:eastAsia="Arial" w:hAnsi="Arial" w:cs="Arial"/>
          <w:sz w:val="20"/>
          <w:szCs w:val="20"/>
        </w:rPr>
        <w:t>macrólidos como eritromicina, claritromicina, telitromicina; principios activos para tratar las</w:t>
      </w:r>
      <w:r w:rsidR="004D1953">
        <w:rPr>
          <w:rFonts w:ascii="Arial" w:eastAsia="Arial" w:hAnsi="Arial" w:cs="Arial"/>
          <w:sz w:val="20"/>
          <w:szCs w:val="20"/>
        </w:rPr>
        <w:t xml:space="preserve"> </w:t>
      </w:r>
      <w:r>
        <w:rPr>
          <w:rFonts w:ascii="Arial" w:eastAsia="Arial" w:hAnsi="Arial" w:cs="Arial"/>
          <w:sz w:val="20"/>
          <w:szCs w:val="20"/>
        </w:rPr>
        <w:t>infecciones por el virus de la inmunodeficiencia humana/síndrome de inmunodeficiencia adquirida</w:t>
      </w:r>
      <w:r w:rsidR="004D1953">
        <w:rPr>
          <w:rFonts w:ascii="Arial" w:eastAsia="Arial" w:hAnsi="Arial" w:cs="Arial"/>
          <w:sz w:val="20"/>
          <w:szCs w:val="20"/>
        </w:rPr>
        <w:t xml:space="preserve"> </w:t>
      </w:r>
      <w:r>
        <w:rPr>
          <w:rFonts w:ascii="Arial" w:eastAsia="Arial" w:hAnsi="Arial" w:cs="Arial"/>
          <w:sz w:val="20"/>
          <w:szCs w:val="20"/>
        </w:rPr>
        <w:t>(VIH/SIDA) como cobicistat, indinavir, lopinavir, nelfinavir, ritonavir y saquinavir; así como</w:t>
      </w:r>
      <w:r w:rsidR="004D1953">
        <w:rPr>
          <w:rFonts w:ascii="Arial" w:eastAsia="Arial" w:hAnsi="Arial" w:cs="Arial"/>
          <w:sz w:val="20"/>
          <w:szCs w:val="20"/>
        </w:rPr>
        <w:t xml:space="preserve"> </w:t>
      </w:r>
      <w:r>
        <w:rPr>
          <w:rFonts w:ascii="Arial" w:eastAsia="Arial" w:hAnsi="Arial" w:cs="Arial"/>
          <w:sz w:val="20"/>
          <w:szCs w:val="20"/>
        </w:rPr>
        <w:t>conivaptán para la hiponatremia y boceprevir para la hepatitis), incluidos el pomelo o el zumo de</w:t>
      </w:r>
      <w:r w:rsidR="004D1953">
        <w:rPr>
          <w:rFonts w:ascii="Arial" w:eastAsia="Arial" w:hAnsi="Arial" w:cs="Arial"/>
          <w:sz w:val="20"/>
          <w:szCs w:val="20"/>
        </w:rPr>
        <w:t xml:space="preserve"> </w:t>
      </w:r>
      <w:r>
        <w:rPr>
          <w:rFonts w:ascii="Arial" w:eastAsia="Arial" w:hAnsi="Arial" w:cs="Arial"/>
          <w:sz w:val="20"/>
          <w:szCs w:val="20"/>
        </w:rPr>
        <w:t>pomelo. Si no puede evitarse el uso concomitante de un inhibidor de CYP3A moderado, la dosis</w:t>
      </w:r>
      <w:r w:rsidR="004D1953">
        <w:rPr>
          <w:rFonts w:ascii="Arial" w:eastAsia="Arial" w:hAnsi="Arial" w:cs="Arial"/>
          <w:sz w:val="20"/>
          <w:szCs w:val="20"/>
        </w:rPr>
        <w:t xml:space="preserve"> </w:t>
      </w:r>
      <w:r>
        <w:rPr>
          <w:rFonts w:ascii="Arial" w:eastAsia="Arial" w:hAnsi="Arial" w:cs="Arial"/>
          <w:sz w:val="20"/>
          <w:szCs w:val="20"/>
        </w:rPr>
        <w:t>inicial de avapritinib debe reducirse de 300 mg a 100 mg por vía oral una vez al día para los pacientes con TEGI, y de 200 mg a 50 mg por vía oral una vez al día para los pacientes con MSAv (ver las secciones 4.2 y 4.4).</w:t>
      </w:r>
    </w:p>
    <w:p w:rsidR="00F20FBE" w:rsidRDefault="00F20FBE" w:rsidP="004D1953">
      <w:pPr>
        <w:ind w:left="0" w:hanging="2"/>
        <w:jc w:val="both"/>
        <w:rPr>
          <w:rFonts w:ascii="Arial" w:eastAsia="Arial" w:hAnsi="Arial" w:cs="Arial"/>
          <w:sz w:val="20"/>
          <w:szCs w:val="20"/>
        </w:rPr>
      </w:pPr>
    </w:p>
    <w:p w:rsidR="00B74082" w:rsidRDefault="00DA20C8">
      <w:pPr>
        <w:ind w:left="0" w:hanging="2"/>
        <w:jc w:val="both"/>
        <w:rPr>
          <w:rFonts w:ascii="Arial" w:eastAsia="Arial" w:hAnsi="Arial" w:cs="Arial"/>
          <w:i/>
          <w:sz w:val="20"/>
          <w:szCs w:val="20"/>
        </w:rPr>
      </w:pPr>
      <w:r>
        <w:rPr>
          <w:rFonts w:ascii="Arial" w:eastAsia="Arial" w:hAnsi="Arial" w:cs="Arial"/>
          <w:i/>
          <w:sz w:val="20"/>
          <w:szCs w:val="20"/>
        </w:rPr>
        <w:t>Inductores potentes y moderados de CYP3A</w:t>
      </w:r>
    </w:p>
    <w:p w:rsidR="00B74082" w:rsidRDefault="00DA20C8" w:rsidP="00717178">
      <w:pPr>
        <w:ind w:left="0" w:hanging="2"/>
        <w:jc w:val="both"/>
        <w:rPr>
          <w:rFonts w:ascii="Arial" w:eastAsia="Arial" w:hAnsi="Arial" w:cs="Arial"/>
          <w:sz w:val="20"/>
          <w:szCs w:val="20"/>
        </w:rPr>
      </w:pPr>
      <w:r>
        <w:rPr>
          <w:rFonts w:ascii="Arial" w:eastAsia="Arial" w:hAnsi="Arial" w:cs="Arial"/>
          <w:sz w:val="20"/>
          <w:szCs w:val="20"/>
        </w:rPr>
        <w:t>La administración conjunta de avapritinib con un inductor potente del CYP3A redujo las</w:t>
      </w:r>
      <w:r w:rsidR="00717178">
        <w:rPr>
          <w:rFonts w:ascii="Arial" w:eastAsia="Arial" w:hAnsi="Arial" w:cs="Arial"/>
          <w:sz w:val="20"/>
          <w:szCs w:val="20"/>
        </w:rPr>
        <w:t xml:space="preserve"> </w:t>
      </w:r>
      <w:r>
        <w:rPr>
          <w:rFonts w:ascii="Arial" w:eastAsia="Arial" w:hAnsi="Arial" w:cs="Arial"/>
          <w:sz w:val="20"/>
          <w:szCs w:val="20"/>
        </w:rPr>
        <w:t xml:space="preserve">concentraciones plasmáticas de avapritinib y puede disminuir la eficacia del mismo. La administración conjunta de la rifampicina (600 mg una vez al día durante 18 días) con una dosis única de 400 mg de avapritinib el día 9 en sujetos sanos redujo la Cmáx. de avapritinib en un 74 % y el AUC0-inf en un 92 %, en relación con la dosis de 400 mg de avapritinib administrado en </w:t>
      </w:r>
      <w:r>
        <w:rPr>
          <w:rFonts w:ascii="Arial" w:eastAsia="Arial" w:hAnsi="Arial" w:cs="Arial"/>
          <w:sz w:val="20"/>
          <w:szCs w:val="20"/>
        </w:rPr>
        <w:lastRenderedPageBreak/>
        <w:t>monoterapia. Debe evitarse la administración conjunta de avapritinib con inductores potentes y moderados de CYP3A (p. ej., dexametasona, fenitoína, carbamazepina, rifampicina, fenobarbital, fosfenitoína, primidona, bosentán, efavirenz, etravirina, modafinilo, dabrafenib, nafcilina o Hypericum perforatum, también conocido como hierba de San Juan).</w:t>
      </w:r>
    </w:p>
    <w:p w:rsidR="00B74082" w:rsidRDefault="00B74082">
      <w:pPr>
        <w:ind w:left="0" w:hanging="2"/>
        <w:jc w:val="both"/>
        <w:rPr>
          <w:rFonts w:ascii="Arial" w:eastAsia="Arial" w:hAnsi="Arial" w:cs="Arial"/>
          <w:sz w:val="20"/>
          <w:szCs w:val="20"/>
        </w:rPr>
      </w:pPr>
    </w:p>
    <w:p w:rsidR="00B74082" w:rsidRDefault="00DA20C8">
      <w:pPr>
        <w:ind w:left="0" w:hanging="2"/>
        <w:jc w:val="both"/>
        <w:rPr>
          <w:rFonts w:ascii="Arial" w:eastAsia="Arial" w:hAnsi="Arial" w:cs="Arial"/>
          <w:sz w:val="20"/>
          <w:szCs w:val="20"/>
          <w:u w:val="single"/>
        </w:rPr>
      </w:pPr>
      <w:r>
        <w:rPr>
          <w:rFonts w:ascii="Arial" w:eastAsia="Arial" w:hAnsi="Arial" w:cs="Arial"/>
          <w:sz w:val="20"/>
          <w:szCs w:val="20"/>
          <w:u w:val="single"/>
        </w:rPr>
        <w:t>Efecto de avapritinib en otros principios activos</w:t>
      </w:r>
    </w:p>
    <w:p w:rsidR="00B74082" w:rsidRDefault="00DA20C8">
      <w:pPr>
        <w:ind w:left="0" w:hanging="2"/>
        <w:jc w:val="both"/>
        <w:rPr>
          <w:rFonts w:ascii="Arial" w:eastAsia="Arial" w:hAnsi="Arial" w:cs="Arial"/>
          <w:sz w:val="20"/>
          <w:szCs w:val="20"/>
        </w:rPr>
      </w:pPr>
      <w:r>
        <w:rPr>
          <w:rFonts w:ascii="Arial" w:eastAsia="Arial" w:hAnsi="Arial" w:cs="Arial"/>
          <w:sz w:val="20"/>
          <w:szCs w:val="20"/>
        </w:rPr>
        <w:t>En estudios in vitro se demostró que avapritinib es un inhibidor directo de CYP3A y un inhibidor</w:t>
      </w:r>
    </w:p>
    <w:p w:rsidR="00B74082" w:rsidRDefault="00DA20C8">
      <w:pPr>
        <w:ind w:left="0" w:hanging="2"/>
        <w:jc w:val="both"/>
        <w:rPr>
          <w:rFonts w:ascii="Arial" w:eastAsia="Arial" w:hAnsi="Arial" w:cs="Arial"/>
          <w:sz w:val="20"/>
          <w:szCs w:val="20"/>
        </w:rPr>
      </w:pPr>
      <w:r>
        <w:rPr>
          <w:rFonts w:ascii="Arial" w:eastAsia="Arial" w:hAnsi="Arial" w:cs="Arial"/>
          <w:sz w:val="20"/>
          <w:szCs w:val="20"/>
        </w:rPr>
        <w:t>dependiente del tiempo de CYP3A. Por lo tanto, avapritinib puede tener el potencial de aumentar las concentraciones plasmáticas de los medicamentos administrados de forma concomitante que son sustratos de CYP3A.</w:t>
      </w:r>
    </w:p>
    <w:p w:rsidR="00B74082" w:rsidRDefault="00DA20C8">
      <w:pPr>
        <w:ind w:left="0" w:hanging="2"/>
        <w:jc w:val="both"/>
        <w:rPr>
          <w:rFonts w:ascii="Arial" w:eastAsia="Arial" w:hAnsi="Arial" w:cs="Arial"/>
          <w:sz w:val="20"/>
          <w:szCs w:val="20"/>
        </w:rPr>
      </w:pPr>
      <w:r>
        <w:rPr>
          <w:rFonts w:ascii="Arial" w:eastAsia="Arial" w:hAnsi="Arial" w:cs="Arial"/>
          <w:sz w:val="20"/>
          <w:szCs w:val="20"/>
        </w:rPr>
        <w:t>Los estudios in vitro de avapritinib indicaron que es un inductor de CYP3A. Por lo tanto, avapritinib</w:t>
      </w:r>
    </w:p>
    <w:p w:rsidR="00B74082" w:rsidRDefault="00DA20C8">
      <w:pPr>
        <w:ind w:left="0" w:hanging="2"/>
        <w:jc w:val="both"/>
        <w:rPr>
          <w:rFonts w:ascii="Arial" w:eastAsia="Arial" w:hAnsi="Arial" w:cs="Arial"/>
          <w:sz w:val="20"/>
          <w:szCs w:val="20"/>
        </w:rPr>
      </w:pPr>
      <w:r>
        <w:rPr>
          <w:rFonts w:ascii="Arial" w:eastAsia="Arial" w:hAnsi="Arial" w:cs="Arial"/>
          <w:sz w:val="20"/>
          <w:szCs w:val="20"/>
        </w:rPr>
        <w:t>puede tener el potencial de reducir las concentraciones plasmáticas de los medicamentos</w:t>
      </w:r>
    </w:p>
    <w:p w:rsidR="00B74082" w:rsidRDefault="00DA20C8">
      <w:pPr>
        <w:ind w:left="0" w:hanging="2"/>
        <w:jc w:val="both"/>
        <w:rPr>
          <w:rFonts w:ascii="Arial" w:eastAsia="Arial" w:hAnsi="Arial" w:cs="Arial"/>
          <w:sz w:val="20"/>
          <w:szCs w:val="20"/>
        </w:rPr>
      </w:pPr>
      <w:r>
        <w:rPr>
          <w:rFonts w:ascii="Arial" w:eastAsia="Arial" w:hAnsi="Arial" w:cs="Arial"/>
          <w:sz w:val="20"/>
          <w:szCs w:val="20"/>
        </w:rPr>
        <w:t>administrados de forma concomitante que son sustratos de CYP3A.</w:t>
      </w:r>
    </w:p>
    <w:p w:rsidR="00B74082" w:rsidRDefault="00DA20C8">
      <w:pPr>
        <w:ind w:left="0" w:hanging="2"/>
        <w:jc w:val="both"/>
        <w:rPr>
          <w:rFonts w:ascii="Arial" w:eastAsia="Arial" w:hAnsi="Arial" w:cs="Arial"/>
          <w:sz w:val="20"/>
          <w:szCs w:val="20"/>
        </w:rPr>
      </w:pPr>
      <w:r>
        <w:rPr>
          <w:rFonts w:ascii="Arial" w:eastAsia="Arial" w:hAnsi="Arial" w:cs="Arial"/>
          <w:sz w:val="20"/>
          <w:szCs w:val="20"/>
        </w:rPr>
        <w:t>Se debe tener precaución con la administración conjunta de avapritinib con sustratos de CYP3A con un índice terapéutico estrecho, ya que sus concentraciones plasmáticas pueden verse alteradas.</w:t>
      </w:r>
    </w:p>
    <w:p w:rsidR="00B74082" w:rsidRDefault="00DA20C8">
      <w:pPr>
        <w:ind w:left="0" w:hanging="2"/>
        <w:jc w:val="both"/>
        <w:rPr>
          <w:rFonts w:ascii="Arial" w:eastAsia="Arial" w:hAnsi="Arial" w:cs="Arial"/>
          <w:sz w:val="20"/>
          <w:szCs w:val="20"/>
        </w:rPr>
      </w:pPr>
      <w:r>
        <w:rPr>
          <w:rFonts w:ascii="Arial" w:eastAsia="Arial" w:hAnsi="Arial" w:cs="Arial"/>
          <w:sz w:val="20"/>
          <w:szCs w:val="20"/>
        </w:rPr>
        <w:t>Avapritinib es un inhibidor de gp-P, BCRP, MATE1, MATE2-K y BSEP in vitro. Por lo tanto,</w:t>
      </w:r>
    </w:p>
    <w:p w:rsidR="00B74082" w:rsidRDefault="00DA20C8">
      <w:pPr>
        <w:ind w:left="0" w:hanging="2"/>
        <w:jc w:val="both"/>
        <w:rPr>
          <w:rFonts w:ascii="Arial" w:eastAsia="Arial" w:hAnsi="Arial" w:cs="Arial"/>
          <w:sz w:val="20"/>
          <w:szCs w:val="20"/>
        </w:rPr>
      </w:pPr>
      <w:r>
        <w:rPr>
          <w:rFonts w:ascii="Arial" w:eastAsia="Arial" w:hAnsi="Arial" w:cs="Arial"/>
          <w:sz w:val="20"/>
          <w:szCs w:val="20"/>
        </w:rPr>
        <w:t>avapritinib tiene el potencial de alterar las concentraciones de sustratos de estos transportadores</w:t>
      </w:r>
    </w:p>
    <w:p w:rsidR="00B74082" w:rsidRDefault="00DA20C8">
      <w:pPr>
        <w:ind w:left="0" w:hanging="2"/>
        <w:jc w:val="both"/>
        <w:rPr>
          <w:rFonts w:ascii="Arial" w:eastAsia="Arial" w:hAnsi="Arial" w:cs="Arial"/>
          <w:sz w:val="20"/>
          <w:szCs w:val="20"/>
        </w:rPr>
      </w:pPr>
      <w:r>
        <w:rPr>
          <w:rFonts w:ascii="Arial" w:eastAsia="Arial" w:hAnsi="Arial" w:cs="Arial"/>
          <w:sz w:val="20"/>
          <w:szCs w:val="20"/>
        </w:rPr>
        <w:t>administrados de forma concomitante</w:t>
      </w:r>
      <w:r w:rsidR="00972E40">
        <w:rPr>
          <w:rFonts w:ascii="Arial" w:eastAsia="Arial" w:hAnsi="Arial" w:cs="Arial"/>
          <w:sz w:val="20"/>
          <w:szCs w:val="20"/>
        </w:rPr>
        <w:t xml:space="preserve"> </w:t>
      </w:r>
      <w:sdt>
        <w:sdtPr>
          <w:rPr>
            <w:rFonts w:ascii="Arial" w:eastAsia="Arial" w:hAnsi="Arial" w:cs="Arial"/>
            <w:sz w:val="20"/>
            <w:szCs w:val="20"/>
            <w:vertAlign w:val="superscript"/>
          </w:rPr>
          <w:id w:val="-1025553367"/>
          <w:citation/>
        </w:sdtPr>
        <w:sdtEndPr/>
        <w:sdtContent>
          <w:r w:rsidR="00743E44" w:rsidRPr="00F20FBE">
            <w:rPr>
              <w:rFonts w:ascii="Arial" w:eastAsia="Arial" w:hAnsi="Arial" w:cs="Arial"/>
              <w:sz w:val="20"/>
              <w:szCs w:val="20"/>
              <w:vertAlign w:val="superscript"/>
            </w:rPr>
            <w:fldChar w:fldCharType="begin"/>
          </w:r>
          <w:r w:rsidR="00972E40" w:rsidRPr="00F20FBE">
            <w:rPr>
              <w:rFonts w:ascii="Arial" w:eastAsia="Arial" w:hAnsi="Arial" w:cs="Arial"/>
              <w:sz w:val="20"/>
              <w:szCs w:val="20"/>
              <w:vertAlign w:val="superscript"/>
            </w:rPr>
            <w:instrText xml:space="preserve"> CITATION Sys22 \l 3082 </w:instrText>
          </w:r>
          <w:r w:rsidR="00743E44" w:rsidRPr="00F20FBE">
            <w:rPr>
              <w:rFonts w:ascii="Arial" w:eastAsia="Arial" w:hAnsi="Arial" w:cs="Arial"/>
              <w:sz w:val="20"/>
              <w:szCs w:val="20"/>
              <w:vertAlign w:val="superscript"/>
            </w:rPr>
            <w:fldChar w:fldCharType="separate"/>
          </w:r>
          <w:r w:rsidR="00C560F5" w:rsidRPr="00C560F5">
            <w:rPr>
              <w:rFonts w:ascii="Arial" w:eastAsia="Arial" w:hAnsi="Arial" w:cs="Arial"/>
              <w:noProof/>
              <w:sz w:val="20"/>
              <w:szCs w:val="20"/>
            </w:rPr>
            <w:t>(8)</w:t>
          </w:r>
          <w:r w:rsidR="00743E44" w:rsidRPr="00F20FBE">
            <w:rPr>
              <w:rFonts w:ascii="Arial" w:eastAsia="Arial" w:hAnsi="Arial" w:cs="Arial"/>
              <w:sz w:val="20"/>
              <w:szCs w:val="20"/>
              <w:vertAlign w:val="superscript"/>
            </w:rPr>
            <w:fldChar w:fldCharType="end"/>
          </w:r>
        </w:sdtContent>
      </w:sdt>
      <w:r>
        <w:rPr>
          <w:rFonts w:ascii="Arial" w:eastAsia="Arial" w:hAnsi="Arial" w:cs="Arial"/>
          <w:sz w:val="20"/>
          <w:szCs w:val="20"/>
        </w:rPr>
        <w:t>.</w:t>
      </w:r>
    </w:p>
    <w:p w:rsidR="00B74082" w:rsidRDefault="00B74082">
      <w:pPr>
        <w:ind w:left="0" w:hanging="2"/>
        <w:jc w:val="both"/>
        <w:rPr>
          <w:rFonts w:ascii="Arial" w:eastAsia="Arial" w:hAnsi="Arial" w:cs="Arial"/>
          <w:sz w:val="20"/>
          <w:szCs w:val="20"/>
        </w:rPr>
      </w:pPr>
    </w:p>
    <w:p w:rsidR="00B74082" w:rsidRDefault="00B74082">
      <w:pPr>
        <w:ind w:left="0" w:hanging="2"/>
        <w:rPr>
          <w:rFonts w:ascii="Arial" w:eastAsia="Arial" w:hAnsi="Arial" w:cs="Arial"/>
          <w:sz w:val="20"/>
          <w:szCs w:val="20"/>
        </w:rPr>
      </w:pPr>
      <w:bookmarkStart w:id="58" w:name="_heading=h.35nkun2" w:colFirst="0" w:colLast="0"/>
      <w:bookmarkEnd w:id="58"/>
    </w:p>
    <w:tbl>
      <w:tblPr>
        <w:tblStyle w:val="32"/>
        <w:tblW w:w="88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90"/>
      </w:tblGrid>
      <w:tr w:rsidR="00B74082">
        <w:tc>
          <w:tcPr>
            <w:tcW w:w="8890" w:type="dxa"/>
            <w:tcBorders>
              <w:top w:val="single" w:sz="4" w:space="0" w:color="000000"/>
              <w:left w:val="single" w:sz="4" w:space="0" w:color="000000"/>
              <w:bottom w:val="single" w:sz="4" w:space="0" w:color="000000"/>
              <w:right w:val="single" w:sz="4" w:space="0" w:color="000000"/>
            </w:tcBorders>
            <w:shd w:val="clear" w:color="auto" w:fill="B3B3B3"/>
          </w:tcPr>
          <w:p w:rsidR="00B74082" w:rsidRDefault="00DA20C8">
            <w:pPr>
              <w:keepNext/>
              <w:pBdr>
                <w:top w:val="nil"/>
                <w:left w:val="nil"/>
                <w:bottom w:val="nil"/>
                <w:right w:val="nil"/>
                <w:between w:val="nil"/>
              </w:pBdr>
              <w:shd w:val="clear" w:color="auto" w:fill="A6A6A6"/>
              <w:spacing w:line="240" w:lineRule="auto"/>
              <w:ind w:left="0" w:hanging="2"/>
              <w:rPr>
                <w:rFonts w:ascii="Arial" w:eastAsia="Arial" w:hAnsi="Arial" w:cs="Arial"/>
                <w:b/>
                <w:color w:val="000000"/>
                <w:sz w:val="20"/>
                <w:szCs w:val="20"/>
              </w:rPr>
            </w:pPr>
            <w:r>
              <w:rPr>
                <w:rFonts w:ascii="Arial" w:eastAsia="Arial" w:hAnsi="Arial" w:cs="Arial"/>
                <w:b/>
                <w:color w:val="000000"/>
                <w:sz w:val="20"/>
                <w:szCs w:val="20"/>
              </w:rPr>
              <w:t>5.- EVALUACIÓN DE LA EFICACIA.</w:t>
            </w:r>
          </w:p>
        </w:tc>
      </w:tr>
    </w:tbl>
    <w:p w:rsidR="00B74082" w:rsidRDefault="00B74082">
      <w:pPr>
        <w:ind w:left="0" w:hanging="2"/>
        <w:rPr>
          <w:rFonts w:ascii="Arial" w:eastAsia="Arial" w:hAnsi="Arial" w:cs="Arial"/>
          <w:sz w:val="20"/>
          <w:szCs w:val="20"/>
        </w:rPr>
      </w:pPr>
      <w:bookmarkStart w:id="59" w:name="_heading=h.1ksv4uv" w:colFirst="0" w:colLast="0"/>
      <w:bookmarkEnd w:id="59"/>
    </w:p>
    <w:p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5.1.a Ensayos clínicos disponibles para la indicación clínica evaluada</w:t>
      </w:r>
    </w:p>
    <w:p w:rsidR="00B74082" w:rsidRDefault="00B74082">
      <w:pPr>
        <w:ind w:left="0" w:hanging="2"/>
        <w:jc w:val="both"/>
        <w:rPr>
          <w:rFonts w:ascii="Arial" w:eastAsia="Arial" w:hAnsi="Arial" w:cs="Arial"/>
          <w:color w:val="000080"/>
          <w:sz w:val="20"/>
          <w:szCs w:val="20"/>
        </w:rPr>
      </w:pPr>
    </w:p>
    <w:p w:rsidR="00150165" w:rsidRDefault="00717178" w:rsidP="009929D0">
      <w:pPr>
        <w:suppressAutoHyphens w:val="0"/>
        <w:spacing w:line="240" w:lineRule="auto"/>
        <w:ind w:leftChars="0" w:left="0" w:firstLineChars="0" w:hanging="2"/>
        <w:jc w:val="both"/>
        <w:textDirection w:val="lrTb"/>
        <w:textAlignment w:val="auto"/>
        <w:outlineLvl w:val="9"/>
        <w:rPr>
          <w:rFonts w:ascii="Arial" w:hAnsi="Arial" w:cs="Arial"/>
          <w:color w:val="000000"/>
          <w:position w:val="0"/>
          <w:sz w:val="20"/>
          <w:szCs w:val="20"/>
        </w:rPr>
      </w:pPr>
      <w:r>
        <w:rPr>
          <w:rFonts w:ascii="Arial" w:hAnsi="Arial" w:cs="Arial"/>
          <w:color w:val="000000"/>
          <w:position w:val="0"/>
          <w:sz w:val="20"/>
          <w:szCs w:val="20"/>
        </w:rPr>
        <w:t xml:space="preserve">El </w:t>
      </w:r>
      <w:r w:rsidR="009929D0" w:rsidRPr="009929D0">
        <w:rPr>
          <w:rFonts w:ascii="Arial" w:hAnsi="Arial" w:cs="Arial"/>
          <w:color w:val="000000"/>
          <w:position w:val="0"/>
          <w:sz w:val="20"/>
          <w:szCs w:val="20"/>
        </w:rPr>
        <w:t>estudio pivotal fase II PATHFINDER</w:t>
      </w:r>
      <w:r w:rsidR="00115A29">
        <w:rPr>
          <w:rFonts w:ascii="Arial" w:hAnsi="Arial" w:cs="Arial"/>
          <w:color w:val="000000"/>
          <w:position w:val="0"/>
          <w:sz w:val="20"/>
          <w:szCs w:val="20"/>
        </w:rPr>
        <w:t xml:space="preserve"> (BLU-285)</w:t>
      </w:r>
      <w:r>
        <w:rPr>
          <w:rFonts w:ascii="Arial" w:hAnsi="Arial" w:cs="Arial"/>
          <w:color w:val="000000"/>
          <w:position w:val="0"/>
          <w:sz w:val="20"/>
          <w:szCs w:val="20"/>
        </w:rPr>
        <w:t xml:space="preserve"> s</w:t>
      </w:r>
      <w:r w:rsidRPr="009929D0">
        <w:rPr>
          <w:rFonts w:ascii="Arial" w:hAnsi="Arial" w:cs="Arial"/>
          <w:color w:val="000000"/>
          <w:position w:val="0"/>
          <w:sz w:val="20"/>
          <w:szCs w:val="20"/>
        </w:rPr>
        <w:t xml:space="preserve">e encuentra actualmente en fase de desarrollo </w:t>
      </w:r>
      <w:r>
        <w:rPr>
          <w:rFonts w:ascii="Arial" w:hAnsi="Arial" w:cs="Arial"/>
          <w:color w:val="000000"/>
          <w:position w:val="0"/>
          <w:sz w:val="20"/>
          <w:szCs w:val="20"/>
        </w:rPr>
        <w:t>D</w:t>
      </w:r>
      <w:r w:rsidR="009929D0" w:rsidRPr="009929D0">
        <w:rPr>
          <w:rFonts w:ascii="Arial" w:hAnsi="Arial" w:cs="Arial"/>
          <w:color w:val="000000"/>
          <w:position w:val="0"/>
          <w:sz w:val="20"/>
          <w:szCs w:val="20"/>
        </w:rPr>
        <w:t xml:space="preserve">isponemos de un análisis </w:t>
      </w:r>
      <w:r w:rsidR="00A264C6">
        <w:rPr>
          <w:rFonts w:ascii="Arial" w:hAnsi="Arial" w:cs="Arial"/>
          <w:color w:val="000000"/>
          <w:position w:val="0"/>
          <w:sz w:val="20"/>
          <w:szCs w:val="20"/>
        </w:rPr>
        <w:t xml:space="preserve">intermedio </w:t>
      </w:r>
      <w:r w:rsidR="009929D0" w:rsidRPr="009929D0">
        <w:rPr>
          <w:rFonts w:ascii="Arial" w:hAnsi="Arial" w:cs="Arial"/>
          <w:color w:val="000000"/>
          <w:position w:val="0"/>
          <w:sz w:val="20"/>
          <w:szCs w:val="20"/>
        </w:rPr>
        <w:t>publicado</w:t>
      </w:r>
      <w:sdt>
        <w:sdtPr>
          <w:rPr>
            <w:rFonts w:ascii="Arial" w:hAnsi="Arial" w:cs="Arial"/>
            <w:color w:val="000000"/>
            <w:position w:val="0"/>
            <w:sz w:val="20"/>
            <w:szCs w:val="20"/>
            <w:vertAlign w:val="superscript"/>
          </w:rPr>
          <w:id w:val="-999804712"/>
          <w:citation/>
        </w:sdtPr>
        <w:sdtEndPr/>
        <w:sdtContent>
          <w:r w:rsidR="00743E44" w:rsidRPr="00F20FBE">
            <w:rPr>
              <w:rFonts w:ascii="Arial" w:hAnsi="Arial" w:cs="Arial"/>
              <w:color w:val="000000"/>
              <w:position w:val="0"/>
              <w:sz w:val="20"/>
              <w:szCs w:val="20"/>
              <w:vertAlign w:val="superscript"/>
            </w:rPr>
            <w:fldChar w:fldCharType="begin"/>
          </w:r>
          <w:r w:rsidR="009929D0" w:rsidRPr="00F20FBE">
            <w:rPr>
              <w:rFonts w:ascii="Arial" w:hAnsi="Arial" w:cs="Arial"/>
              <w:color w:val="000000"/>
              <w:position w:val="0"/>
              <w:sz w:val="20"/>
              <w:szCs w:val="20"/>
              <w:vertAlign w:val="superscript"/>
            </w:rPr>
            <w:instrText xml:space="preserve"> CITATION Jas21 \l 3082 </w:instrText>
          </w:r>
          <w:r w:rsidR="00743E44" w:rsidRPr="00F20FBE">
            <w:rPr>
              <w:rFonts w:ascii="Arial" w:hAnsi="Arial" w:cs="Arial"/>
              <w:color w:val="000000"/>
              <w:position w:val="0"/>
              <w:sz w:val="20"/>
              <w:szCs w:val="20"/>
              <w:vertAlign w:val="superscript"/>
            </w:rPr>
            <w:fldChar w:fldCharType="separate"/>
          </w:r>
          <w:r w:rsidR="00C560F5">
            <w:rPr>
              <w:rFonts w:ascii="Arial" w:hAnsi="Arial" w:cs="Arial"/>
              <w:noProof/>
              <w:color w:val="000000"/>
              <w:position w:val="0"/>
              <w:sz w:val="20"/>
              <w:szCs w:val="20"/>
              <w:vertAlign w:val="superscript"/>
            </w:rPr>
            <w:t xml:space="preserve"> </w:t>
          </w:r>
          <w:r w:rsidR="00C560F5" w:rsidRPr="00C560F5">
            <w:rPr>
              <w:rFonts w:ascii="Arial" w:hAnsi="Arial" w:cs="Arial"/>
              <w:noProof/>
              <w:color w:val="000000"/>
              <w:position w:val="0"/>
              <w:sz w:val="20"/>
              <w:szCs w:val="20"/>
            </w:rPr>
            <w:t>(9)</w:t>
          </w:r>
          <w:r w:rsidR="00743E44" w:rsidRPr="00F20FBE">
            <w:rPr>
              <w:rFonts w:ascii="Arial" w:hAnsi="Arial" w:cs="Arial"/>
              <w:color w:val="000000"/>
              <w:position w:val="0"/>
              <w:sz w:val="20"/>
              <w:szCs w:val="20"/>
              <w:vertAlign w:val="superscript"/>
            </w:rPr>
            <w:fldChar w:fldCharType="end"/>
          </w:r>
        </w:sdtContent>
      </w:sdt>
      <w:r>
        <w:rPr>
          <w:rFonts w:ascii="Arial" w:hAnsi="Arial" w:cs="Arial"/>
          <w:color w:val="000000"/>
          <w:position w:val="0"/>
          <w:sz w:val="20"/>
          <w:szCs w:val="20"/>
        </w:rPr>
        <w:t xml:space="preserve"> que evalúa la </w:t>
      </w:r>
      <w:r w:rsidR="009929D0" w:rsidRPr="009929D0">
        <w:rPr>
          <w:rFonts w:ascii="Arial" w:hAnsi="Arial" w:cs="Arial"/>
          <w:color w:val="000000"/>
          <w:position w:val="0"/>
          <w:sz w:val="20"/>
          <w:szCs w:val="20"/>
        </w:rPr>
        <w:t>eficacia y seguridad de avapritinib en MS avanzada. El informe EPAR utiliza este estudio para evaluar avapritinib.</w:t>
      </w:r>
      <w:r w:rsidR="00150165">
        <w:rPr>
          <w:rFonts w:ascii="Arial" w:hAnsi="Arial" w:cs="Arial"/>
          <w:color w:val="000000"/>
          <w:position w:val="0"/>
          <w:sz w:val="20"/>
          <w:szCs w:val="20"/>
        </w:rPr>
        <w:t xml:space="preserve"> En abril de 2021 el laboratorio promotor envió </w:t>
      </w:r>
      <w:r w:rsidR="00A264C6">
        <w:rPr>
          <w:rFonts w:ascii="Arial" w:hAnsi="Arial" w:cs="Arial"/>
          <w:color w:val="000000"/>
          <w:position w:val="0"/>
          <w:sz w:val="20"/>
          <w:szCs w:val="20"/>
        </w:rPr>
        <w:t>a la EMA datos más actualizados con una nueva fecha de corte que sirvieron de apoyo para el informe EPAR</w:t>
      </w:r>
      <w:sdt>
        <w:sdtPr>
          <w:rPr>
            <w:rFonts w:ascii="Arial" w:hAnsi="Arial" w:cs="Arial"/>
            <w:color w:val="000000"/>
            <w:position w:val="0"/>
            <w:sz w:val="20"/>
            <w:szCs w:val="20"/>
          </w:rPr>
          <w:id w:val="-2104408307"/>
          <w:citation/>
        </w:sdtPr>
        <w:sdtEndPr/>
        <w:sdtContent>
          <w:r w:rsidR="00743E44">
            <w:rPr>
              <w:rFonts w:ascii="Arial" w:hAnsi="Arial" w:cs="Arial"/>
              <w:color w:val="000000"/>
              <w:position w:val="0"/>
              <w:sz w:val="20"/>
              <w:szCs w:val="20"/>
            </w:rPr>
            <w:fldChar w:fldCharType="begin"/>
          </w:r>
          <w:r w:rsidR="00A264C6">
            <w:rPr>
              <w:rFonts w:ascii="Arial" w:hAnsi="Arial" w:cs="Arial"/>
              <w:color w:val="000000"/>
              <w:position w:val="0"/>
              <w:sz w:val="20"/>
              <w:szCs w:val="20"/>
            </w:rPr>
            <w:instrText xml:space="preserve"> CITATION EPAR \l 3082 </w:instrText>
          </w:r>
          <w:r w:rsidR="00743E44">
            <w:rPr>
              <w:rFonts w:ascii="Arial" w:hAnsi="Arial" w:cs="Arial"/>
              <w:color w:val="000000"/>
              <w:position w:val="0"/>
              <w:sz w:val="20"/>
              <w:szCs w:val="20"/>
            </w:rPr>
            <w:fldChar w:fldCharType="separate"/>
          </w:r>
          <w:r w:rsidR="00C560F5">
            <w:rPr>
              <w:rFonts w:ascii="Arial" w:hAnsi="Arial" w:cs="Arial"/>
              <w:noProof/>
              <w:color w:val="000000"/>
              <w:position w:val="0"/>
              <w:sz w:val="20"/>
              <w:szCs w:val="20"/>
            </w:rPr>
            <w:t xml:space="preserve"> </w:t>
          </w:r>
          <w:r w:rsidR="00C560F5" w:rsidRPr="00C560F5">
            <w:rPr>
              <w:rFonts w:ascii="Arial" w:hAnsi="Arial" w:cs="Arial"/>
              <w:noProof/>
              <w:color w:val="000000"/>
              <w:position w:val="0"/>
              <w:sz w:val="20"/>
              <w:szCs w:val="20"/>
            </w:rPr>
            <w:t>(2)</w:t>
          </w:r>
          <w:r w:rsidR="00743E44">
            <w:rPr>
              <w:rFonts w:ascii="Arial" w:hAnsi="Arial" w:cs="Arial"/>
              <w:color w:val="000000"/>
              <w:position w:val="0"/>
              <w:sz w:val="20"/>
              <w:szCs w:val="20"/>
            </w:rPr>
            <w:fldChar w:fldCharType="end"/>
          </w:r>
        </w:sdtContent>
      </w:sdt>
      <w:r w:rsidR="00A264C6">
        <w:rPr>
          <w:rFonts w:ascii="Arial" w:hAnsi="Arial" w:cs="Arial"/>
          <w:color w:val="000000"/>
          <w:position w:val="0"/>
          <w:sz w:val="20"/>
          <w:szCs w:val="20"/>
        </w:rPr>
        <w:t>. En la discusión del apartado de eficacia de este informe GENESIS se incluyen estos datos, ya que se consideró que al incluir un mayor número de pacientes en las poblaciones estudiadas el análisis aporta más evidencia.</w:t>
      </w:r>
    </w:p>
    <w:p w:rsidR="00150165" w:rsidRDefault="00150165" w:rsidP="009929D0">
      <w:pPr>
        <w:suppressAutoHyphens w:val="0"/>
        <w:spacing w:line="240" w:lineRule="auto"/>
        <w:ind w:leftChars="0" w:left="0" w:firstLineChars="0" w:hanging="2"/>
        <w:jc w:val="both"/>
        <w:textDirection w:val="lrTb"/>
        <w:textAlignment w:val="auto"/>
        <w:outlineLvl w:val="9"/>
        <w:rPr>
          <w:rFonts w:ascii="Arial" w:hAnsi="Arial" w:cs="Arial"/>
          <w:color w:val="000000"/>
          <w:position w:val="0"/>
          <w:sz w:val="20"/>
          <w:szCs w:val="20"/>
        </w:rPr>
      </w:pPr>
    </w:p>
    <w:p w:rsidR="009929D0" w:rsidRPr="009929D0" w:rsidRDefault="00150165" w:rsidP="009929D0">
      <w:pPr>
        <w:suppressAutoHyphens w:val="0"/>
        <w:spacing w:line="240" w:lineRule="auto"/>
        <w:ind w:leftChars="0" w:left="0" w:firstLineChars="0" w:hanging="2"/>
        <w:jc w:val="both"/>
        <w:textDirection w:val="lrTb"/>
        <w:textAlignment w:val="auto"/>
        <w:outlineLvl w:val="9"/>
        <w:rPr>
          <w:position w:val="0"/>
        </w:rPr>
      </w:pPr>
      <w:r>
        <w:rPr>
          <w:rFonts w:ascii="Arial" w:hAnsi="Arial" w:cs="Arial"/>
          <w:color w:val="000000"/>
          <w:position w:val="0"/>
          <w:sz w:val="20"/>
          <w:szCs w:val="20"/>
        </w:rPr>
        <w:t>El desarrollo de avapritinib comenzó con el estudio en fase I EXPLORER (BLU-285), en el que se estudió la eficacia y seguridad de avapritinib en MSA</w:t>
      </w:r>
      <w:sdt>
        <w:sdtPr>
          <w:rPr>
            <w:rFonts w:ascii="Arial" w:hAnsi="Arial" w:cs="Arial"/>
            <w:color w:val="000000"/>
            <w:position w:val="0"/>
            <w:sz w:val="20"/>
            <w:szCs w:val="20"/>
          </w:rPr>
          <w:id w:val="-1040888869"/>
          <w:citation/>
        </w:sdtPr>
        <w:sdtEndPr/>
        <w:sdtContent>
          <w:r w:rsidR="00743E44">
            <w:rPr>
              <w:rFonts w:ascii="Arial" w:hAnsi="Arial" w:cs="Arial"/>
              <w:color w:val="000000"/>
              <w:position w:val="0"/>
              <w:sz w:val="20"/>
              <w:szCs w:val="20"/>
            </w:rPr>
            <w:fldChar w:fldCharType="begin"/>
          </w:r>
          <w:r>
            <w:rPr>
              <w:rFonts w:ascii="Arial" w:hAnsi="Arial" w:cs="Arial"/>
              <w:color w:val="000000"/>
              <w:position w:val="0"/>
              <w:sz w:val="20"/>
              <w:szCs w:val="20"/>
            </w:rPr>
            <w:instrText xml:space="preserve"> CITATION Dan21 \l 3082 </w:instrText>
          </w:r>
          <w:r w:rsidR="00743E44">
            <w:rPr>
              <w:rFonts w:ascii="Arial" w:hAnsi="Arial" w:cs="Arial"/>
              <w:color w:val="000000"/>
              <w:position w:val="0"/>
              <w:sz w:val="20"/>
              <w:szCs w:val="20"/>
            </w:rPr>
            <w:fldChar w:fldCharType="separate"/>
          </w:r>
          <w:r w:rsidR="00C560F5">
            <w:rPr>
              <w:rFonts w:ascii="Arial" w:hAnsi="Arial" w:cs="Arial"/>
              <w:noProof/>
              <w:color w:val="000000"/>
              <w:position w:val="0"/>
              <w:sz w:val="20"/>
              <w:szCs w:val="20"/>
            </w:rPr>
            <w:t xml:space="preserve"> </w:t>
          </w:r>
          <w:r w:rsidR="00C560F5" w:rsidRPr="00C560F5">
            <w:rPr>
              <w:rFonts w:ascii="Arial" w:hAnsi="Arial" w:cs="Arial"/>
              <w:noProof/>
              <w:color w:val="000000"/>
              <w:position w:val="0"/>
              <w:sz w:val="20"/>
              <w:szCs w:val="20"/>
            </w:rPr>
            <w:t>(10)</w:t>
          </w:r>
          <w:r w:rsidR="00743E44">
            <w:rPr>
              <w:rFonts w:ascii="Arial" w:hAnsi="Arial" w:cs="Arial"/>
              <w:color w:val="000000"/>
              <w:position w:val="0"/>
              <w:sz w:val="20"/>
              <w:szCs w:val="20"/>
            </w:rPr>
            <w:fldChar w:fldCharType="end"/>
          </w:r>
        </w:sdtContent>
      </w:sdt>
      <w:r>
        <w:rPr>
          <w:rFonts w:ascii="Arial" w:hAnsi="Arial" w:cs="Arial"/>
          <w:color w:val="000000"/>
          <w:position w:val="0"/>
          <w:sz w:val="20"/>
          <w:szCs w:val="20"/>
        </w:rPr>
        <w:t>.</w:t>
      </w:r>
      <w:r w:rsidR="009929D0" w:rsidRPr="009929D0">
        <w:rPr>
          <w:rFonts w:ascii="Arial" w:hAnsi="Arial" w:cs="Arial"/>
          <w:color w:val="000000"/>
          <w:position w:val="0"/>
          <w:sz w:val="20"/>
          <w:szCs w:val="20"/>
        </w:rPr>
        <w:t>   </w:t>
      </w:r>
    </w:p>
    <w:p w:rsidR="009929D0" w:rsidRPr="009929D0" w:rsidRDefault="009929D0" w:rsidP="009929D0">
      <w:pPr>
        <w:suppressAutoHyphens w:val="0"/>
        <w:spacing w:line="240" w:lineRule="auto"/>
        <w:ind w:leftChars="0" w:left="0" w:firstLineChars="0" w:firstLine="0"/>
        <w:textDirection w:val="lrTb"/>
        <w:textAlignment w:val="auto"/>
        <w:outlineLvl w:val="9"/>
        <w:rPr>
          <w:position w:val="0"/>
        </w:rPr>
      </w:pPr>
    </w:p>
    <w:p w:rsidR="009929D0" w:rsidRPr="00717178" w:rsidRDefault="009929D0" w:rsidP="009929D0">
      <w:pPr>
        <w:suppressAutoHyphens w:val="0"/>
        <w:spacing w:line="240" w:lineRule="auto"/>
        <w:ind w:leftChars="0" w:left="0" w:firstLineChars="0" w:hanging="2"/>
        <w:jc w:val="both"/>
        <w:textDirection w:val="lrTb"/>
        <w:textAlignment w:val="auto"/>
        <w:outlineLvl w:val="9"/>
        <w:rPr>
          <w:rFonts w:ascii="Arial" w:hAnsi="Arial" w:cs="Arial"/>
          <w:color w:val="000000"/>
          <w:position w:val="0"/>
          <w:sz w:val="20"/>
          <w:szCs w:val="20"/>
        </w:rPr>
      </w:pPr>
      <w:r w:rsidRPr="009929D0">
        <w:rPr>
          <w:rFonts w:ascii="Arial" w:hAnsi="Arial" w:cs="Arial"/>
          <w:color w:val="000000"/>
          <w:position w:val="0"/>
          <w:sz w:val="20"/>
          <w:szCs w:val="20"/>
        </w:rPr>
        <w:t xml:space="preserve">Con fecha 29/06/2022 se realiza búsqueda bibliográfica en PubMed con el objetivo de identificar algún otro ensayo clínico. Tampoco se encuentra ningún otro estudio con avapritinib en </w:t>
      </w:r>
      <w:r w:rsidRPr="00717178">
        <w:rPr>
          <w:rFonts w:ascii="Arial" w:hAnsi="Arial" w:cs="Arial"/>
          <w:color w:val="000000"/>
          <w:position w:val="0"/>
          <w:sz w:val="20"/>
          <w:szCs w:val="20"/>
        </w:rPr>
        <w:t>clinicaltrials.gov</w:t>
      </w:r>
      <w:r w:rsidRPr="009929D0">
        <w:rPr>
          <w:rFonts w:ascii="Arial" w:hAnsi="Arial" w:cs="Arial"/>
          <w:color w:val="000000"/>
          <w:position w:val="0"/>
          <w:sz w:val="20"/>
          <w:szCs w:val="20"/>
        </w:rPr>
        <w:t>.</w:t>
      </w:r>
    </w:p>
    <w:p w:rsidR="009929D0" w:rsidRDefault="009929D0">
      <w:pPr>
        <w:ind w:left="0" w:hanging="2"/>
        <w:jc w:val="both"/>
        <w:rPr>
          <w:rFonts w:ascii="Arial" w:eastAsia="Arial" w:hAnsi="Arial" w:cs="Arial"/>
          <w:color w:val="000080"/>
          <w:sz w:val="20"/>
          <w:szCs w:val="20"/>
        </w:rPr>
      </w:pPr>
    </w:p>
    <w:p w:rsidR="00B74082" w:rsidRDefault="00B74082">
      <w:pPr>
        <w:ind w:left="0" w:hanging="2"/>
        <w:rPr>
          <w:rFonts w:ascii="Arial" w:eastAsia="Arial" w:hAnsi="Arial" w:cs="Arial"/>
          <w:color w:val="FF0000"/>
          <w:sz w:val="20"/>
          <w:szCs w:val="20"/>
        </w:rPr>
      </w:pPr>
      <w:bookmarkStart w:id="60" w:name="_heading=h.44sinio" w:colFirst="0" w:colLast="0"/>
      <w:bookmarkEnd w:id="60"/>
    </w:p>
    <w:p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 xml:space="preserve">5.1.b Variables utilizadas en los ensayos </w:t>
      </w:r>
    </w:p>
    <w:p w:rsidR="00B74082" w:rsidRDefault="00B74082">
      <w:pPr>
        <w:ind w:left="0" w:hanging="2"/>
        <w:jc w:val="both"/>
        <w:rPr>
          <w:rFonts w:ascii="Arial" w:eastAsia="Arial" w:hAnsi="Arial" w:cs="Arial"/>
          <w:color w:val="000080"/>
          <w:sz w:val="20"/>
          <w:szCs w:val="20"/>
        </w:rPr>
      </w:pPr>
    </w:p>
    <w:p w:rsidR="00B74082" w:rsidRDefault="00B74082">
      <w:pPr>
        <w:ind w:left="0" w:hanging="2"/>
        <w:jc w:val="right"/>
        <w:rPr>
          <w:rFonts w:ascii="Arial" w:eastAsia="Arial" w:hAnsi="Arial" w:cs="Arial"/>
          <w:color w:val="0000FF"/>
          <w:sz w:val="20"/>
          <w:szCs w:val="20"/>
          <w:u w:val="single"/>
        </w:rPr>
      </w:pPr>
      <w:bookmarkStart w:id="61" w:name="_heading=h.2jxsxqh" w:colFirst="0" w:colLast="0"/>
      <w:bookmarkEnd w:id="61"/>
    </w:p>
    <w:p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 xml:space="preserve">5.2.a Resultados de los ensayos clínicos </w:t>
      </w:r>
    </w:p>
    <w:p w:rsidR="00B74082" w:rsidRDefault="00B74082">
      <w:pPr>
        <w:ind w:left="0" w:hanging="2"/>
        <w:jc w:val="both"/>
        <w:rPr>
          <w:rFonts w:ascii="Arial" w:eastAsia="Arial" w:hAnsi="Arial" w:cs="Arial"/>
          <w:color w:val="0000FF"/>
          <w:sz w:val="18"/>
          <w:szCs w:val="18"/>
        </w:rPr>
      </w:pPr>
    </w:p>
    <w:p w:rsidR="009929D0" w:rsidRDefault="009929D0">
      <w:pPr>
        <w:ind w:left="0" w:hanging="2"/>
        <w:jc w:val="both"/>
        <w:rPr>
          <w:rFonts w:ascii="Arial" w:eastAsia="Arial" w:hAnsi="Arial" w:cs="Arial"/>
          <w:color w:val="0000FF"/>
          <w:sz w:val="18"/>
          <w:szCs w:val="18"/>
        </w:rPr>
      </w:pPr>
    </w:p>
    <w:tbl>
      <w:tblPr>
        <w:tblW w:w="0" w:type="auto"/>
        <w:tblCellMar>
          <w:top w:w="15" w:type="dxa"/>
          <w:left w:w="15" w:type="dxa"/>
          <w:bottom w:w="15" w:type="dxa"/>
          <w:right w:w="15" w:type="dxa"/>
        </w:tblCellMar>
        <w:tblLook w:val="04A0" w:firstRow="1" w:lastRow="0" w:firstColumn="1" w:lastColumn="0" w:noHBand="0" w:noVBand="1"/>
      </w:tblPr>
      <w:tblGrid>
        <w:gridCol w:w="1491"/>
        <w:gridCol w:w="2771"/>
        <w:gridCol w:w="3232"/>
        <w:gridCol w:w="1445"/>
      </w:tblGrid>
      <w:tr w:rsidR="00717178" w:rsidRPr="00717178" w:rsidTr="00A97F14">
        <w:trPr>
          <w:trHeight w:val="524"/>
        </w:trPr>
        <w:tc>
          <w:tcPr>
            <w:tcW w:w="0" w:type="auto"/>
            <w:gridSpan w:val="4"/>
            <w:tcBorders>
              <w:top w:val="single" w:sz="8" w:space="0" w:color="000000"/>
              <w:left w:val="single" w:sz="8" w:space="0" w:color="000000"/>
              <w:bottom w:val="single" w:sz="8" w:space="0" w:color="000000"/>
              <w:right w:val="single" w:sz="8" w:space="0" w:color="000000"/>
            </w:tcBorders>
            <w:shd w:val="clear" w:color="auto" w:fill="CCFFCC"/>
            <w:tcMar>
              <w:top w:w="100" w:type="dxa"/>
              <w:left w:w="100" w:type="dxa"/>
              <w:bottom w:w="100" w:type="dxa"/>
              <w:right w:w="100" w:type="dxa"/>
            </w:tcMar>
            <w:hideMark/>
          </w:tcPr>
          <w:p w:rsidR="009929D0" w:rsidRPr="00717178" w:rsidRDefault="009929D0" w:rsidP="009929D0">
            <w:pPr>
              <w:suppressAutoHyphens w:val="0"/>
              <w:spacing w:before="240" w:after="240" w:line="240" w:lineRule="auto"/>
              <w:ind w:leftChars="0" w:left="0" w:firstLineChars="0" w:hanging="2"/>
              <w:jc w:val="both"/>
              <w:textDirection w:val="lrTb"/>
              <w:textAlignment w:val="auto"/>
              <w:outlineLvl w:val="9"/>
              <w:rPr>
                <w:position w:val="0"/>
                <w:sz w:val="20"/>
                <w:szCs w:val="20"/>
              </w:rPr>
            </w:pPr>
            <w:r w:rsidRPr="00717178">
              <w:rPr>
                <w:rFonts w:ascii="Arial" w:hAnsi="Arial" w:cs="Arial"/>
                <w:b/>
                <w:bCs/>
                <w:position w:val="0"/>
                <w:sz w:val="20"/>
                <w:szCs w:val="20"/>
              </w:rPr>
              <w:t xml:space="preserve">Tabla 5.1. Variables empleadas en el ensayo en fase 2 </w:t>
            </w:r>
            <w:r w:rsidR="00F20FBE" w:rsidRPr="00717178">
              <w:rPr>
                <w:rFonts w:ascii="Arial" w:hAnsi="Arial" w:cs="Arial"/>
                <w:b/>
                <w:bCs/>
                <w:position w:val="0"/>
                <w:sz w:val="20"/>
                <w:szCs w:val="20"/>
              </w:rPr>
              <w:t>PATHFINDER</w:t>
            </w:r>
            <w:sdt>
              <w:sdtPr>
                <w:rPr>
                  <w:rFonts w:ascii="Arial" w:hAnsi="Arial" w:cs="Arial"/>
                  <w:b/>
                  <w:bCs/>
                  <w:position w:val="0"/>
                  <w:sz w:val="20"/>
                  <w:szCs w:val="20"/>
                  <w:vertAlign w:val="superscript"/>
                </w:rPr>
                <w:id w:val="-1709722010"/>
                <w:citation/>
              </w:sdtPr>
              <w:sdtEndPr/>
              <w:sdtContent>
                <w:r w:rsidR="00743E44" w:rsidRPr="00F20FBE">
                  <w:rPr>
                    <w:rFonts w:ascii="Arial" w:hAnsi="Arial" w:cs="Arial"/>
                    <w:b/>
                    <w:bCs/>
                    <w:position w:val="0"/>
                    <w:sz w:val="20"/>
                    <w:szCs w:val="20"/>
                    <w:vertAlign w:val="superscript"/>
                  </w:rPr>
                  <w:fldChar w:fldCharType="begin"/>
                </w:r>
                <w:r w:rsidR="007751AE" w:rsidRPr="00F20FBE">
                  <w:rPr>
                    <w:rFonts w:ascii="Arial" w:hAnsi="Arial" w:cs="Arial"/>
                    <w:b/>
                    <w:bCs/>
                    <w:position w:val="0"/>
                    <w:sz w:val="20"/>
                    <w:szCs w:val="20"/>
                    <w:vertAlign w:val="superscript"/>
                  </w:rPr>
                  <w:instrText xml:space="preserve"> CITATION Jas21 \l 3082 </w:instrText>
                </w:r>
                <w:r w:rsidR="00743E44" w:rsidRPr="00F20FBE">
                  <w:rPr>
                    <w:rFonts w:ascii="Arial" w:hAnsi="Arial" w:cs="Arial"/>
                    <w:b/>
                    <w:bCs/>
                    <w:position w:val="0"/>
                    <w:sz w:val="20"/>
                    <w:szCs w:val="20"/>
                    <w:vertAlign w:val="superscript"/>
                  </w:rPr>
                  <w:fldChar w:fldCharType="separate"/>
                </w:r>
                <w:r w:rsidR="00C560F5">
                  <w:rPr>
                    <w:rFonts w:ascii="Arial" w:hAnsi="Arial" w:cs="Arial"/>
                    <w:b/>
                    <w:bCs/>
                    <w:noProof/>
                    <w:position w:val="0"/>
                    <w:sz w:val="20"/>
                    <w:szCs w:val="20"/>
                    <w:vertAlign w:val="superscript"/>
                  </w:rPr>
                  <w:t xml:space="preserve"> </w:t>
                </w:r>
                <w:r w:rsidR="00C560F5" w:rsidRPr="00C560F5">
                  <w:rPr>
                    <w:rFonts w:ascii="Arial" w:hAnsi="Arial" w:cs="Arial"/>
                    <w:noProof/>
                    <w:position w:val="0"/>
                    <w:sz w:val="20"/>
                    <w:szCs w:val="20"/>
                  </w:rPr>
                  <w:t>(9)</w:t>
                </w:r>
                <w:r w:rsidR="00743E44" w:rsidRPr="00F20FBE">
                  <w:rPr>
                    <w:rFonts w:ascii="Arial" w:hAnsi="Arial" w:cs="Arial"/>
                    <w:b/>
                    <w:bCs/>
                    <w:position w:val="0"/>
                    <w:sz w:val="20"/>
                    <w:szCs w:val="20"/>
                    <w:vertAlign w:val="superscript"/>
                  </w:rPr>
                  <w:fldChar w:fldCharType="end"/>
                </w:r>
              </w:sdtContent>
            </w:sdt>
          </w:p>
        </w:tc>
      </w:tr>
      <w:tr w:rsidR="00717178" w:rsidRPr="00717178" w:rsidTr="00A97F14">
        <w:trPr>
          <w:trHeight w:val="295"/>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9929D0" w:rsidRPr="00717178" w:rsidRDefault="009929D0" w:rsidP="009929D0">
            <w:pPr>
              <w:suppressAutoHyphens w:val="0"/>
              <w:spacing w:before="80" w:after="240" w:line="240" w:lineRule="auto"/>
              <w:ind w:leftChars="0" w:left="-20" w:firstLineChars="0" w:firstLine="0"/>
              <w:jc w:val="both"/>
              <w:textDirection w:val="lrTb"/>
              <w:textAlignment w:val="auto"/>
              <w:outlineLvl w:val="9"/>
              <w:rPr>
                <w:position w:val="0"/>
                <w:sz w:val="20"/>
                <w:szCs w:val="20"/>
              </w:rPr>
            </w:pPr>
            <w:r w:rsidRPr="00717178">
              <w:rPr>
                <w:rFonts w:ascii="Arial" w:hAnsi="Arial" w:cs="Arial"/>
                <w:b/>
                <w:bCs/>
                <w:position w:val="0"/>
                <w:sz w:val="20"/>
                <w:szCs w:val="20"/>
              </w:rPr>
              <w:t>EFICACIA</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9929D0" w:rsidRPr="00717178" w:rsidRDefault="009929D0" w:rsidP="009929D0">
            <w:pPr>
              <w:suppressAutoHyphens w:val="0"/>
              <w:spacing w:before="80" w:after="240" w:line="240" w:lineRule="auto"/>
              <w:ind w:leftChars="0" w:left="-20" w:firstLineChars="0" w:firstLine="0"/>
              <w:jc w:val="both"/>
              <w:textDirection w:val="lrTb"/>
              <w:textAlignment w:val="auto"/>
              <w:outlineLvl w:val="9"/>
              <w:rPr>
                <w:position w:val="0"/>
                <w:sz w:val="20"/>
                <w:szCs w:val="20"/>
              </w:rPr>
            </w:pPr>
            <w:r w:rsidRPr="00717178">
              <w:rPr>
                <w:rFonts w:ascii="Arial" w:hAnsi="Arial" w:cs="Arial"/>
                <w:b/>
                <w:bCs/>
                <w:position w:val="0"/>
                <w:sz w:val="20"/>
                <w:szCs w:val="20"/>
              </w:rPr>
              <w:t>Enunciado</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9929D0" w:rsidRPr="00717178" w:rsidRDefault="009929D0" w:rsidP="009929D0">
            <w:pPr>
              <w:suppressAutoHyphens w:val="0"/>
              <w:spacing w:before="80" w:after="240" w:line="240" w:lineRule="auto"/>
              <w:ind w:leftChars="0" w:left="-20" w:firstLineChars="0" w:firstLine="0"/>
              <w:jc w:val="both"/>
              <w:textDirection w:val="lrTb"/>
              <w:textAlignment w:val="auto"/>
              <w:outlineLvl w:val="9"/>
              <w:rPr>
                <w:position w:val="0"/>
                <w:sz w:val="20"/>
                <w:szCs w:val="20"/>
              </w:rPr>
            </w:pPr>
            <w:r w:rsidRPr="00717178">
              <w:rPr>
                <w:rFonts w:ascii="Arial" w:hAnsi="Arial" w:cs="Arial"/>
                <w:b/>
                <w:bCs/>
                <w:position w:val="0"/>
                <w:sz w:val="20"/>
                <w:szCs w:val="20"/>
              </w:rPr>
              <w:t>Descripción</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9929D0" w:rsidRPr="00717178" w:rsidRDefault="009929D0" w:rsidP="009929D0">
            <w:pPr>
              <w:suppressAutoHyphens w:val="0"/>
              <w:spacing w:before="80" w:line="240" w:lineRule="auto"/>
              <w:ind w:leftChars="0" w:left="20" w:firstLineChars="0" w:hanging="40"/>
              <w:jc w:val="both"/>
              <w:textDirection w:val="lrTb"/>
              <w:textAlignment w:val="auto"/>
              <w:outlineLvl w:val="9"/>
              <w:rPr>
                <w:position w:val="0"/>
                <w:sz w:val="20"/>
                <w:szCs w:val="20"/>
              </w:rPr>
            </w:pPr>
            <w:r w:rsidRPr="00717178">
              <w:rPr>
                <w:rFonts w:ascii="Arial" w:hAnsi="Arial" w:cs="Arial"/>
                <w:b/>
                <w:bCs/>
                <w:position w:val="0"/>
                <w:sz w:val="20"/>
                <w:szCs w:val="20"/>
              </w:rPr>
              <w:t>Variable intermedia o final</w:t>
            </w:r>
          </w:p>
        </w:tc>
      </w:tr>
      <w:tr w:rsidR="007751AE" w:rsidRPr="009929D0" w:rsidTr="00A97F14">
        <w:trPr>
          <w:trHeight w:val="17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929D0" w:rsidRPr="00717178" w:rsidRDefault="009929D0" w:rsidP="009929D0">
            <w:pPr>
              <w:suppressAutoHyphens w:val="0"/>
              <w:spacing w:before="20" w:after="240" w:line="240" w:lineRule="auto"/>
              <w:ind w:leftChars="0" w:left="-20" w:firstLineChars="0" w:firstLine="0"/>
              <w:jc w:val="both"/>
              <w:textDirection w:val="lrTb"/>
              <w:textAlignment w:val="auto"/>
              <w:outlineLvl w:val="9"/>
              <w:rPr>
                <w:position w:val="0"/>
                <w:sz w:val="20"/>
                <w:szCs w:val="20"/>
              </w:rPr>
            </w:pPr>
            <w:r w:rsidRPr="00717178">
              <w:rPr>
                <w:rFonts w:ascii="Arial" w:hAnsi="Arial" w:cs="Arial"/>
                <w:position w:val="0"/>
                <w:sz w:val="20"/>
                <w:szCs w:val="20"/>
              </w:rPr>
              <w:lastRenderedPageBreak/>
              <w:t>Variable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929D0" w:rsidRPr="009929D0" w:rsidRDefault="009929D0" w:rsidP="009929D0">
            <w:pPr>
              <w:suppressAutoHyphens w:val="0"/>
              <w:spacing w:before="20" w:after="240" w:line="240" w:lineRule="auto"/>
              <w:ind w:leftChars="0" w:left="-20" w:firstLineChars="0" w:firstLine="0"/>
              <w:jc w:val="both"/>
              <w:textDirection w:val="lrTb"/>
              <w:textAlignment w:val="auto"/>
              <w:outlineLvl w:val="9"/>
              <w:rPr>
                <w:position w:val="0"/>
              </w:rPr>
            </w:pPr>
            <w:r w:rsidRPr="009929D0">
              <w:rPr>
                <w:rFonts w:ascii="Arial" w:hAnsi="Arial" w:cs="Arial"/>
                <w:color w:val="000000"/>
                <w:position w:val="0"/>
                <w:sz w:val="16"/>
                <w:szCs w:val="16"/>
              </w:rPr>
              <w:t>Tasa de Respuesta Global (</w:t>
            </w:r>
            <w:r w:rsidR="00115A29">
              <w:rPr>
                <w:rFonts w:ascii="Arial" w:hAnsi="Arial" w:cs="Arial"/>
                <w:color w:val="000000"/>
                <w:position w:val="0"/>
                <w:sz w:val="16"/>
                <w:szCs w:val="16"/>
              </w:rPr>
              <w:t>TRG</w:t>
            </w:r>
            <w:r w:rsidRPr="009929D0">
              <w:rPr>
                <w:rFonts w:ascii="Arial" w:hAnsi="Arial" w:cs="Arial"/>
                <w:color w:val="000000"/>
                <w:position w:val="0"/>
                <w:sz w:val="16"/>
                <w:szCs w:val="16"/>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929D0" w:rsidRPr="00A97F14" w:rsidRDefault="009929D0" w:rsidP="009929D0">
            <w:pPr>
              <w:suppressAutoHyphens w:val="0"/>
              <w:spacing w:before="20" w:after="240" w:line="240" w:lineRule="auto"/>
              <w:ind w:leftChars="0" w:left="-20" w:firstLineChars="0" w:firstLine="0"/>
              <w:jc w:val="both"/>
              <w:textDirection w:val="lrTb"/>
              <w:textAlignment w:val="auto"/>
              <w:outlineLvl w:val="9"/>
              <w:rPr>
                <w:rFonts w:ascii="Arial" w:hAnsi="Arial" w:cs="Arial"/>
                <w:position w:val="0"/>
                <w:sz w:val="16"/>
                <w:szCs w:val="16"/>
              </w:rPr>
            </w:pPr>
            <w:r w:rsidRPr="00A97F14">
              <w:rPr>
                <w:rFonts w:ascii="Arial" w:hAnsi="Arial" w:cs="Arial"/>
                <w:position w:val="0"/>
                <w:sz w:val="16"/>
                <w:szCs w:val="16"/>
              </w:rPr>
              <w:t xml:space="preserve">Incluye recuperación hematológica completa o parcial, remisión parcial (RP) y mejoría clínica, </w:t>
            </w:r>
            <w:r w:rsidR="00115A29" w:rsidRPr="00A97F14">
              <w:rPr>
                <w:rFonts w:ascii="Arial" w:hAnsi="Arial" w:cs="Arial"/>
                <w:position w:val="0"/>
                <w:sz w:val="16"/>
                <w:szCs w:val="16"/>
              </w:rPr>
              <w:t>de acuerdo con</w:t>
            </w:r>
            <w:r w:rsidRPr="00A97F14">
              <w:rPr>
                <w:rFonts w:ascii="Arial" w:hAnsi="Arial" w:cs="Arial"/>
                <w:position w:val="0"/>
                <w:sz w:val="16"/>
                <w:szCs w:val="16"/>
              </w:rPr>
              <w:t xml:space="preserve"> criterios mIWG-MRT-ECNM</w:t>
            </w:r>
            <w:r w:rsidR="007751AE" w:rsidRPr="00A97F14">
              <w:rPr>
                <w:rFonts w:ascii="Arial" w:hAnsi="Arial" w:cs="Arial"/>
                <w:position w:val="0"/>
                <w:sz w:val="16"/>
                <w:szCs w:val="16"/>
              </w:rPr>
              <w:t xml:space="preserve"> (ver tabla 2 del anexo 2 de estudio Pathfinder a continuación)</w:t>
            </w:r>
            <w:r w:rsidR="0035725C" w:rsidRPr="00A97F14">
              <w:rPr>
                <w:rFonts w:ascii="Arial" w:hAnsi="Arial" w:cs="Arial"/>
                <w:position w:val="0"/>
                <w:sz w:val="16"/>
                <w:szCs w:val="16"/>
              </w:rPr>
              <w:t>.</w:t>
            </w:r>
          </w:p>
          <w:p w:rsidR="0035725C" w:rsidRPr="00A97F14" w:rsidRDefault="0035725C" w:rsidP="009929D0">
            <w:pPr>
              <w:suppressAutoHyphens w:val="0"/>
              <w:spacing w:before="20" w:after="240" w:line="240" w:lineRule="auto"/>
              <w:ind w:leftChars="0" w:left="-20" w:firstLineChars="0" w:firstLine="0"/>
              <w:jc w:val="both"/>
              <w:textDirection w:val="lrTb"/>
              <w:textAlignment w:val="auto"/>
              <w:outlineLvl w:val="9"/>
              <w:rPr>
                <w:position w:val="0"/>
              </w:rPr>
            </w:pPr>
            <w:r w:rsidRPr="00A97F14">
              <w:rPr>
                <w:position w:val="0"/>
                <w:sz w:val="16"/>
                <w:szCs w:val="16"/>
              </w:rPr>
              <w:t>*Como variable secundaria se analizó la TRG por respuesta patológica</w:t>
            </w:r>
          </w:p>
        </w:tc>
        <w:tc>
          <w:tcPr>
            <w:tcW w:w="0" w:type="auto"/>
            <w:tcBorders>
              <w:top w:val="single" w:sz="8" w:space="0" w:color="000000"/>
              <w:left w:val="single" w:sz="8" w:space="0" w:color="000000"/>
              <w:bottom w:val="single" w:sz="8" w:space="0" w:color="000000"/>
              <w:right w:val="single" w:sz="8" w:space="0" w:color="000000"/>
            </w:tcBorders>
            <w:shd w:val="clear" w:color="auto" w:fill="CCFFCC"/>
            <w:tcMar>
              <w:top w:w="100" w:type="dxa"/>
              <w:left w:w="100" w:type="dxa"/>
              <w:bottom w:w="100" w:type="dxa"/>
              <w:right w:w="100" w:type="dxa"/>
            </w:tcMar>
            <w:hideMark/>
          </w:tcPr>
          <w:p w:rsidR="009929D0" w:rsidRPr="00A97F14" w:rsidRDefault="009929D0" w:rsidP="00115A29">
            <w:pPr>
              <w:suppressAutoHyphens w:val="0"/>
              <w:spacing w:before="20" w:after="240" w:line="240" w:lineRule="auto"/>
              <w:ind w:leftChars="0" w:left="-20" w:firstLineChars="0" w:firstLine="0"/>
              <w:jc w:val="both"/>
              <w:textDirection w:val="lrTb"/>
              <w:textAlignment w:val="auto"/>
              <w:outlineLvl w:val="9"/>
              <w:rPr>
                <w:rFonts w:ascii="Arial" w:hAnsi="Arial" w:cs="Arial"/>
                <w:position w:val="0"/>
                <w:sz w:val="16"/>
                <w:szCs w:val="16"/>
              </w:rPr>
            </w:pPr>
            <w:r w:rsidRPr="00A97F14">
              <w:rPr>
                <w:rFonts w:ascii="Arial" w:hAnsi="Arial" w:cs="Arial"/>
                <w:position w:val="0"/>
                <w:sz w:val="16"/>
                <w:szCs w:val="16"/>
              </w:rPr>
              <w:t>Intermedia</w:t>
            </w:r>
          </w:p>
        </w:tc>
      </w:tr>
      <w:tr w:rsidR="007751AE" w:rsidRPr="009929D0" w:rsidTr="00A97F14">
        <w:trPr>
          <w:trHeight w:val="10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929D0" w:rsidRPr="00717178" w:rsidRDefault="009929D0" w:rsidP="009929D0">
            <w:pPr>
              <w:suppressAutoHyphens w:val="0"/>
              <w:spacing w:before="20" w:after="240" w:line="240" w:lineRule="auto"/>
              <w:ind w:leftChars="0" w:left="-20" w:firstLineChars="0" w:firstLine="0"/>
              <w:jc w:val="both"/>
              <w:textDirection w:val="lrTb"/>
              <w:textAlignment w:val="auto"/>
              <w:outlineLvl w:val="9"/>
              <w:rPr>
                <w:position w:val="0"/>
                <w:sz w:val="20"/>
                <w:szCs w:val="20"/>
              </w:rPr>
            </w:pPr>
            <w:r w:rsidRPr="00717178">
              <w:rPr>
                <w:rFonts w:ascii="Arial" w:hAnsi="Arial" w:cs="Arial"/>
                <w:position w:val="0"/>
                <w:sz w:val="20"/>
                <w:szCs w:val="20"/>
              </w:rPr>
              <w:t>Variable secundaria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929D0" w:rsidRPr="00C056A1" w:rsidRDefault="009929D0" w:rsidP="009929D0">
            <w:pPr>
              <w:suppressAutoHyphens w:val="0"/>
              <w:spacing w:before="20" w:after="240" w:line="240" w:lineRule="auto"/>
              <w:ind w:leftChars="0" w:left="-20" w:firstLineChars="0" w:firstLine="0"/>
              <w:jc w:val="center"/>
              <w:textDirection w:val="lrTb"/>
              <w:textAlignment w:val="auto"/>
              <w:outlineLvl w:val="9"/>
              <w:rPr>
                <w:rFonts w:ascii="Arial" w:hAnsi="Arial" w:cs="Arial"/>
                <w:color w:val="000000"/>
                <w:position w:val="0"/>
                <w:sz w:val="20"/>
                <w:szCs w:val="20"/>
              </w:rPr>
            </w:pPr>
            <w:r w:rsidRPr="00C056A1">
              <w:rPr>
                <w:rFonts w:ascii="Arial" w:hAnsi="Arial" w:cs="Arial"/>
                <w:color w:val="000000"/>
                <w:position w:val="0"/>
                <w:sz w:val="20"/>
                <w:szCs w:val="20"/>
              </w:rPr>
              <w:t>Cambios en AdvSM-SAF</w:t>
            </w:r>
          </w:p>
          <w:p w:rsidR="009929D0" w:rsidRPr="00C056A1" w:rsidRDefault="00C056A1" w:rsidP="00C056A1">
            <w:pPr>
              <w:suppressAutoHyphens w:val="0"/>
              <w:spacing w:before="20" w:after="240" w:line="240" w:lineRule="auto"/>
              <w:ind w:leftChars="0" w:left="-20" w:firstLineChars="0" w:firstLine="0"/>
              <w:jc w:val="center"/>
              <w:textDirection w:val="lrTb"/>
              <w:textAlignment w:val="auto"/>
              <w:outlineLvl w:val="9"/>
              <w:rPr>
                <w:rFonts w:ascii="Arial" w:hAnsi="Arial" w:cs="Arial"/>
                <w:color w:val="000000"/>
                <w:position w:val="0"/>
                <w:sz w:val="20"/>
                <w:szCs w:val="20"/>
              </w:rPr>
            </w:pPr>
            <w:r>
              <w:rPr>
                <w:rFonts w:ascii="Arial" w:hAnsi="Arial" w:cs="Arial"/>
                <w:color w:val="000000"/>
                <w:position w:val="0"/>
                <w:sz w:val="20"/>
                <w:szCs w:val="20"/>
              </w:rPr>
              <w:t>TSS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929D0" w:rsidRPr="00A97F14" w:rsidRDefault="00686005" w:rsidP="0091462B">
            <w:pPr>
              <w:suppressAutoHyphens w:val="0"/>
              <w:spacing w:line="240" w:lineRule="auto"/>
              <w:ind w:leftChars="0" w:left="0" w:firstLineChars="0" w:firstLine="0"/>
              <w:textDirection w:val="lrTb"/>
              <w:textAlignment w:val="auto"/>
              <w:outlineLvl w:val="9"/>
              <w:rPr>
                <w:position w:val="0"/>
              </w:rPr>
            </w:pPr>
            <w:r>
              <w:rPr>
                <w:rFonts w:ascii="Arial" w:hAnsi="Arial" w:cs="Arial"/>
                <w:position w:val="0"/>
                <w:sz w:val="16"/>
                <w:szCs w:val="16"/>
              </w:rPr>
              <w:t xml:space="preserve">Con el TSS se miden semanalmente variaciones en la calidad de vida de los pacientes desde 0 a 14 puntos incluyendo aspectos que escalan desde </w:t>
            </w:r>
            <w:r w:rsidRPr="00686005">
              <w:rPr>
                <w:rFonts w:ascii="Arial" w:hAnsi="Arial" w:cs="Arial"/>
                <w:position w:val="0"/>
                <w:sz w:val="16"/>
                <w:szCs w:val="16"/>
              </w:rPr>
              <w:t>me</w:t>
            </w:r>
            <w:r>
              <w:rPr>
                <w:rFonts w:ascii="Arial" w:hAnsi="Arial" w:cs="Arial"/>
                <w:position w:val="0"/>
                <w:sz w:val="16"/>
                <w:szCs w:val="16"/>
              </w:rPr>
              <w:t>joría &gt; estable &gt; empeoramiento</w:t>
            </w:r>
          </w:p>
        </w:tc>
        <w:tc>
          <w:tcPr>
            <w:tcW w:w="0" w:type="auto"/>
            <w:tcBorders>
              <w:top w:val="single" w:sz="8" w:space="0" w:color="000000"/>
              <w:left w:val="single" w:sz="8" w:space="0" w:color="000000"/>
              <w:bottom w:val="single" w:sz="8" w:space="0" w:color="000000"/>
              <w:right w:val="single" w:sz="8" w:space="0" w:color="000000"/>
            </w:tcBorders>
            <w:shd w:val="clear" w:color="auto" w:fill="CCFFCC"/>
            <w:tcMar>
              <w:top w:w="100" w:type="dxa"/>
              <w:left w:w="100" w:type="dxa"/>
              <w:bottom w:w="100" w:type="dxa"/>
              <w:right w:w="100" w:type="dxa"/>
            </w:tcMar>
            <w:hideMark/>
          </w:tcPr>
          <w:p w:rsidR="009929D0" w:rsidRPr="00A97F14" w:rsidRDefault="009929D0" w:rsidP="00115A29">
            <w:pPr>
              <w:suppressAutoHyphens w:val="0"/>
              <w:spacing w:before="20" w:after="240" w:line="240" w:lineRule="auto"/>
              <w:ind w:leftChars="0" w:left="-20" w:firstLineChars="0" w:firstLine="0"/>
              <w:jc w:val="both"/>
              <w:textDirection w:val="lrTb"/>
              <w:textAlignment w:val="auto"/>
              <w:outlineLvl w:val="9"/>
              <w:rPr>
                <w:rFonts w:ascii="Arial" w:hAnsi="Arial" w:cs="Arial"/>
                <w:position w:val="0"/>
                <w:sz w:val="16"/>
                <w:szCs w:val="16"/>
              </w:rPr>
            </w:pPr>
            <w:r w:rsidRPr="00A97F14">
              <w:rPr>
                <w:rFonts w:ascii="Arial" w:hAnsi="Arial" w:cs="Arial"/>
                <w:position w:val="0"/>
                <w:sz w:val="16"/>
                <w:szCs w:val="16"/>
              </w:rPr>
              <w:t>Intermedia</w:t>
            </w:r>
          </w:p>
        </w:tc>
      </w:tr>
      <w:tr w:rsidR="007751AE" w:rsidRPr="009929D0" w:rsidTr="00A97F14">
        <w:trPr>
          <w:trHeight w:val="49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929D0" w:rsidRPr="00717178" w:rsidRDefault="009929D0" w:rsidP="009929D0">
            <w:pPr>
              <w:suppressAutoHyphens w:val="0"/>
              <w:spacing w:before="20" w:after="240" w:line="240" w:lineRule="auto"/>
              <w:ind w:leftChars="0" w:left="-20" w:firstLineChars="0" w:firstLine="0"/>
              <w:jc w:val="both"/>
              <w:textDirection w:val="lrTb"/>
              <w:textAlignment w:val="auto"/>
              <w:outlineLvl w:val="9"/>
              <w:rPr>
                <w:position w:val="0"/>
                <w:sz w:val="20"/>
                <w:szCs w:val="20"/>
              </w:rPr>
            </w:pPr>
            <w:r w:rsidRPr="00717178">
              <w:rPr>
                <w:rFonts w:ascii="Arial" w:hAnsi="Arial" w:cs="Arial"/>
                <w:position w:val="0"/>
                <w:sz w:val="20"/>
                <w:szCs w:val="20"/>
              </w:rPr>
              <w:t>Variable secundaria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929D0" w:rsidRPr="009929D0" w:rsidRDefault="00115A29" w:rsidP="009929D0">
            <w:pPr>
              <w:suppressAutoHyphens w:val="0"/>
              <w:spacing w:before="20" w:after="240" w:line="240" w:lineRule="auto"/>
              <w:ind w:leftChars="0" w:left="-20" w:firstLineChars="0" w:firstLine="0"/>
              <w:jc w:val="center"/>
              <w:textDirection w:val="lrTb"/>
              <w:textAlignment w:val="auto"/>
              <w:outlineLvl w:val="9"/>
              <w:rPr>
                <w:color w:val="000000" w:themeColor="text1"/>
                <w:position w:val="0"/>
              </w:rPr>
            </w:pPr>
            <w:r>
              <w:rPr>
                <w:rFonts w:ascii="Arial" w:hAnsi="Arial" w:cs="Arial"/>
                <w:color w:val="000000" w:themeColor="text1"/>
                <w:position w:val="0"/>
                <w:sz w:val="16"/>
                <w:szCs w:val="16"/>
              </w:rPr>
              <w:t>TRG</w:t>
            </w:r>
            <w:r w:rsidR="009929D0" w:rsidRPr="009929D0">
              <w:rPr>
                <w:rFonts w:ascii="Arial" w:hAnsi="Arial" w:cs="Arial"/>
                <w:color w:val="000000" w:themeColor="text1"/>
                <w:position w:val="0"/>
                <w:sz w:val="16"/>
                <w:szCs w:val="16"/>
              </w:rPr>
              <w:t xml:space="preserve"> evaluada por el investigador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929D0" w:rsidRPr="00A97F14" w:rsidRDefault="009929D0" w:rsidP="009929D0">
            <w:pPr>
              <w:suppressAutoHyphens w:val="0"/>
              <w:spacing w:line="240" w:lineRule="auto"/>
              <w:ind w:leftChars="0" w:left="0" w:firstLineChars="0" w:firstLine="0"/>
              <w:textDirection w:val="lrTb"/>
              <w:textAlignment w:val="auto"/>
              <w:outlineLvl w:val="9"/>
              <w:rPr>
                <w:position w:val="0"/>
              </w:rPr>
            </w:pPr>
          </w:p>
        </w:tc>
        <w:tc>
          <w:tcPr>
            <w:tcW w:w="0" w:type="auto"/>
            <w:tcBorders>
              <w:top w:val="single" w:sz="8" w:space="0" w:color="000000"/>
              <w:left w:val="single" w:sz="8" w:space="0" w:color="000000"/>
              <w:bottom w:val="single" w:sz="8" w:space="0" w:color="000000"/>
              <w:right w:val="single" w:sz="8" w:space="0" w:color="000000"/>
            </w:tcBorders>
            <w:shd w:val="clear" w:color="auto" w:fill="CCFFCC"/>
            <w:tcMar>
              <w:top w:w="100" w:type="dxa"/>
              <w:left w:w="100" w:type="dxa"/>
              <w:bottom w:w="100" w:type="dxa"/>
              <w:right w:w="100" w:type="dxa"/>
            </w:tcMar>
            <w:hideMark/>
          </w:tcPr>
          <w:p w:rsidR="009929D0" w:rsidRPr="00A97F14" w:rsidRDefault="009929D0" w:rsidP="009929D0">
            <w:pPr>
              <w:suppressAutoHyphens w:val="0"/>
              <w:spacing w:before="20" w:line="240" w:lineRule="auto"/>
              <w:ind w:leftChars="0" w:left="-20" w:right="-180" w:firstLineChars="0" w:firstLine="0"/>
              <w:jc w:val="both"/>
              <w:textDirection w:val="lrTb"/>
              <w:textAlignment w:val="auto"/>
              <w:outlineLvl w:val="9"/>
              <w:rPr>
                <w:position w:val="0"/>
              </w:rPr>
            </w:pPr>
            <w:r w:rsidRPr="00A97F14">
              <w:rPr>
                <w:rFonts w:ascii="Arial" w:hAnsi="Arial" w:cs="Arial"/>
                <w:position w:val="0"/>
                <w:sz w:val="16"/>
                <w:szCs w:val="16"/>
              </w:rPr>
              <w:t>Intermedia</w:t>
            </w:r>
          </w:p>
        </w:tc>
      </w:tr>
      <w:tr w:rsidR="007751AE" w:rsidRPr="009929D0" w:rsidTr="00A97F14">
        <w:trPr>
          <w:trHeight w:val="97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929D0" w:rsidRPr="00717178" w:rsidRDefault="009929D0" w:rsidP="009929D0">
            <w:pPr>
              <w:suppressAutoHyphens w:val="0"/>
              <w:spacing w:before="20" w:after="240" w:line="240" w:lineRule="auto"/>
              <w:ind w:leftChars="0" w:left="-20" w:firstLineChars="0" w:firstLine="0"/>
              <w:jc w:val="both"/>
              <w:textDirection w:val="lrTb"/>
              <w:textAlignment w:val="auto"/>
              <w:outlineLvl w:val="9"/>
              <w:rPr>
                <w:position w:val="0"/>
                <w:sz w:val="20"/>
                <w:szCs w:val="20"/>
              </w:rPr>
            </w:pPr>
            <w:r w:rsidRPr="00717178">
              <w:rPr>
                <w:rFonts w:ascii="Arial" w:hAnsi="Arial" w:cs="Arial"/>
                <w:position w:val="0"/>
                <w:sz w:val="20"/>
                <w:szCs w:val="20"/>
              </w:rPr>
              <w:t>Variable secundaria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929D0" w:rsidRPr="009929D0" w:rsidRDefault="009929D0" w:rsidP="009929D0">
            <w:pPr>
              <w:suppressAutoHyphens w:val="0"/>
              <w:spacing w:before="20" w:after="240" w:line="240" w:lineRule="auto"/>
              <w:ind w:leftChars="0" w:left="-20" w:firstLineChars="0" w:firstLine="0"/>
              <w:jc w:val="center"/>
              <w:textDirection w:val="lrTb"/>
              <w:textAlignment w:val="auto"/>
              <w:outlineLvl w:val="9"/>
              <w:rPr>
                <w:color w:val="000000" w:themeColor="text1"/>
                <w:position w:val="0"/>
              </w:rPr>
            </w:pPr>
            <w:r w:rsidRPr="009929D0">
              <w:rPr>
                <w:rFonts w:ascii="Arial" w:hAnsi="Arial" w:cs="Arial"/>
                <w:color w:val="000000" w:themeColor="text1"/>
                <w:position w:val="0"/>
                <w:sz w:val="16"/>
                <w:szCs w:val="16"/>
              </w:rPr>
              <w:t>Tiempo hasta evento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929D0" w:rsidRPr="00A97F14" w:rsidRDefault="009929D0" w:rsidP="009929D0">
            <w:pPr>
              <w:suppressAutoHyphens w:val="0"/>
              <w:spacing w:before="240" w:after="240" w:line="240" w:lineRule="auto"/>
              <w:ind w:leftChars="0" w:left="-20" w:firstLineChars="0" w:firstLine="0"/>
              <w:jc w:val="both"/>
              <w:textDirection w:val="lrTb"/>
              <w:textAlignment w:val="auto"/>
              <w:outlineLvl w:val="9"/>
              <w:rPr>
                <w:position w:val="0"/>
              </w:rPr>
            </w:pPr>
            <w:r w:rsidRPr="00A97F14">
              <w:rPr>
                <w:rFonts w:ascii="Arial" w:hAnsi="Arial" w:cs="Arial"/>
                <w:position w:val="0"/>
                <w:sz w:val="16"/>
                <w:szCs w:val="16"/>
              </w:rPr>
              <w:t>Tiempo hasta respuesta (TR), duración de respuesta (DR), supervivencia libre de progresión (SLP), supervivencia global (SG) </w:t>
            </w:r>
          </w:p>
        </w:tc>
        <w:tc>
          <w:tcPr>
            <w:tcW w:w="0" w:type="auto"/>
            <w:tcBorders>
              <w:top w:val="single" w:sz="8" w:space="0" w:color="000000"/>
              <w:left w:val="single" w:sz="8" w:space="0" w:color="000000"/>
              <w:bottom w:val="single" w:sz="8" w:space="0" w:color="000000"/>
              <w:right w:val="single" w:sz="8" w:space="0" w:color="000000"/>
            </w:tcBorders>
            <w:shd w:val="clear" w:color="auto" w:fill="CCFFCC"/>
            <w:tcMar>
              <w:top w:w="100" w:type="dxa"/>
              <w:left w:w="100" w:type="dxa"/>
              <w:bottom w:w="100" w:type="dxa"/>
              <w:right w:w="100" w:type="dxa"/>
            </w:tcMar>
            <w:hideMark/>
          </w:tcPr>
          <w:p w:rsidR="009929D0" w:rsidRPr="00A97F14" w:rsidRDefault="009929D0" w:rsidP="009929D0">
            <w:pPr>
              <w:suppressAutoHyphens w:val="0"/>
              <w:spacing w:before="20" w:line="240" w:lineRule="auto"/>
              <w:ind w:leftChars="0" w:left="-20" w:right="-180" w:firstLineChars="0" w:firstLine="0"/>
              <w:jc w:val="both"/>
              <w:textDirection w:val="lrTb"/>
              <w:textAlignment w:val="auto"/>
              <w:outlineLvl w:val="9"/>
              <w:rPr>
                <w:position w:val="0"/>
              </w:rPr>
            </w:pPr>
            <w:r w:rsidRPr="00A97F14">
              <w:rPr>
                <w:rFonts w:ascii="Arial" w:hAnsi="Arial" w:cs="Arial"/>
                <w:position w:val="0"/>
                <w:sz w:val="16"/>
                <w:szCs w:val="16"/>
              </w:rPr>
              <w:t>Intermedia/Final</w:t>
            </w:r>
          </w:p>
        </w:tc>
      </w:tr>
      <w:tr w:rsidR="007751AE" w:rsidRPr="009929D0" w:rsidTr="00A97F14">
        <w:trPr>
          <w:trHeight w:val="67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929D0" w:rsidRPr="00717178" w:rsidRDefault="009929D0" w:rsidP="009929D0">
            <w:pPr>
              <w:suppressAutoHyphens w:val="0"/>
              <w:spacing w:before="20" w:after="240" w:line="240" w:lineRule="auto"/>
              <w:ind w:leftChars="0" w:left="-20" w:firstLineChars="0" w:firstLine="0"/>
              <w:jc w:val="both"/>
              <w:textDirection w:val="lrTb"/>
              <w:textAlignment w:val="auto"/>
              <w:outlineLvl w:val="9"/>
              <w:rPr>
                <w:position w:val="0"/>
                <w:sz w:val="20"/>
                <w:szCs w:val="20"/>
              </w:rPr>
            </w:pPr>
            <w:r w:rsidRPr="00717178">
              <w:rPr>
                <w:rFonts w:ascii="Arial" w:hAnsi="Arial" w:cs="Arial"/>
                <w:position w:val="0"/>
                <w:sz w:val="20"/>
                <w:szCs w:val="20"/>
              </w:rPr>
              <w:t>Variable secundaria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929D0" w:rsidRPr="009929D0" w:rsidRDefault="009929D0" w:rsidP="009929D0">
            <w:pPr>
              <w:suppressAutoHyphens w:val="0"/>
              <w:spacing w:before="20" w:after="240" w:line="240" w:lineRule="auto"/>
              <w:ind w:leftChars="0" w:left="-20" w:firstLineChars="0" w:firstLine="0"/>
              <w:jc w:val="both"/>
              <w:textDirection w:val="lrTb"/>
              <w:textAlignment w:val="auto"/>
              <w:outlineLvl w:val="9"/>
              <w:rPr>
                <w:color w:val="000000" w:themeColor="text1"/>
                <w:position w:val="0"/>
              </w:rPr>
            </w:pPr>
            <w:r w:rsidRPr="009929D0">
              <w:rPr>
                <w:rFonts w:ascii="Arial" w:hAnsi="Arial" w:cs="Arial"/>
                <w:color w:val="000000" w:themeColor="text1"/>
                <w:position w:val="0"/>
                <w:sz w:val="16"/>
                <w:szCs w:val="16"/>
              </w:rPr>
              <w:t>Respuesta morfológica basada en criterios PPR (respuesta pura patológica)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929D0" w:rsidRPr="00A97F14" w:rsidRDefault="009929D0" w:rsidP="009929D0">
            <w:pPr>
              <w:suppressAutoHyphens w:val="0"/>
              <w:spacing w:before="240" w:after="240" w:line="240" w:lineRule="auto"/>
              <w:ind w:leftChars="0" w:left="-20" w:firstLineChars="0" w:firstLine="0"/>
              <w:jc w:val="both"/>
              <w:textDirection w:val="lrTb"/>
              <w:textAlignment w:val="auto"/>
              <w:outlineLvl w:val="9"/>
              <w:rPr>
                <w:position w:val="0"/>
              </w:rPr>
            </w:pPr>
            <w:r w:rsidRPr="00A97F14">
              <w:rPr>
                <w:rFonts w:ascii="Arial" w:hAnsi="Arial" w:cs="Arial"/>
                <w:position w:val="0"/>
                <w:sz w:val="16"/>
                <w:szCs w:val="16"/>
              </w:rPr>
              <w:t>Respuesta</w:t>
            </w:r>
            <w:r w:rsidR="0018293D" w:rsidRPr="00A97F14">
              <w:rPr>
                <w:rFonts w:ascii="Arial" w:hAnsi="Arial" w:cs="Arial"/>
                <w:position w:val="0"/>
                <w:sz w:val="16"/>
                <w:szCs w:val="16"/>
              </w:rPr>
              <w:t xml:space="preserve"> morfológica</w:t>
            </w:r>
            <w:r w:rsidRPr="00A97F14">
              <w:rPr>
                <w:rFonts w:ascii="Arial" w:hAnsi="Arial" w:cs="Arial"/>
                <w:position w:val="0"/>
                <w:sz w:val="16"/>
                <w:szCs w:val="16"/>
              </w:rPr>
              <w:t xml:space="preserve"> completa/parcial hematológica + remisión parcial</w:t>
            </w:r>
          </w:p>
        </w:tc>
        <w:tc>
          <w:tcPr>
            <w:tcW w:w="0" w:type="auto"/>
            <w:tcBorders>
              <w:top w:val="single" w:sz="8" w:space="0" w:color="000000"/>
              <w:left w:val="single" w:sz="8" w:space="0" w:color="000000"/>
              <w:bottom w:val="single" w:sz="8" w:space="0" w:color="000000"/>
              <w:right w:val="single" w:sz="8" w:space="0" w:color="000000"/>
            </w:tcBorders>
            <w:shd w:val="clear" w:color="auto" w:fill="CCFFCC"/>
            <w:tcMar>
              <w:top w:w="100" w:type="dxa"/>
              <w:left w:w="100" w:type="dxa"/>
              <w:bottom w:w="100" w:type="dxa"/>
              <w:right w:w="100" w:type="dxa"/>
            </w:tcMar>
            <w:hideMark/>
          </w:tcPr>
          <w:p w:rsidR="009929D0" w:rsidRPr="00A97F14" w:rsidRDefault="009929D0" w:rsidP="009929D0">
            <w:pPr>
              <w:suppressAutoHyphens w:val="0"/>
              <w:spacing w:before="20" w:line="240" w:lineRule="auto"/>
              <w:ind w:leftChars="0" w:left="-20" w:right="-180" w:firstLineChars="0" w:firstLine="0"/>
              <w:jc w:val="both"/>
              <w:textDirection w:val="lrTb"/>
              <w:textAlignment w:val="auto"/>
              <w:outlineLvl w:val="9"/>
              <w:rPr>
                <w:position w:val="0"/>
              </w:rPr>
            </w:pPr>
            <w:r w:rsidRPr="00A97F14">
              <w:rPr>
                <w:rFonts w:ascii="Arial" w:hAnsi="Arial" w:cs="Arial"/>
                <w:position w:val="0"/>
                <w:sz w:val="16"/>
                <w:szCs w:val="16"/>
              </w:rPr>
              <w:t>Intermedia</w:t>
            </w:r>
          </w:p>
        </w:tc>
      </w:tr>
      <w:tr w:rsidR="007751AE" w:rsidRPr="009929D0" w:rsidTr="009929D0">
        <w:trPr>
          <w:trHeight w:val="7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929D0" w:rsidRPr="00717178" w:rsidRDefault="009929D0" w:rsidP="009929D0">
            <w:pPr>
              <w:suppressAutoHyphens w:val="0"/>
              <w:spacing w:before="20" w:after="240" w:line="240" w:lineRule="auto"/>
              <w:ind w:leftChars="0" w:left="-20" w:firstLineChars="0" w:firstLine="0"/>
              <w:jc w:val="both"/>
              <w:textDirection w:val="lrTb"/>
              <w:textAlignment w:val="auto"/>
              <w:outlineLvl w:val="9"/>
              <w:rPr>
                <w:position w:val="0"/>
                <w:sz w:val="20"/>
                <w:szCs w:val="20"/>
              </w:rPr>
            </w:pPr>
            <w:r w:rsidRPr="00717178">
              <w:rPr>
                <w:rFonts w:ascii="Arial" w:hAnsi="Arial" w:cs="Arial"/>
                <w:position w:val="0"/>
                <w:sz w:val="20"/>
                <w:szCs w:val="20"/>
              </w:rPr>
              <w:t>Variable secundaria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929D0" w:rsidRPr="009929D0" w:rsidRDefault="009929D0" w:rsidP="009929D0">
            <w:pPr>
              <w:suppressAutoHyphens w:val="0"/>
              <w:spacing w:before="240" w:after="240" w:line="240" w:lineRule="auto"/>
              <w:ind w:leftChars="0" w:left="-20" w:firstLineChars="0" w:firstLine="0"/>
              <w:jc w:val="both"/>
              <w:textDirection w:val="lrTb"/>
              <w:textAlignment w:val="auto"/>
              <w:outlineLvl w:val="9"/>
              <w:rPr>
                <w:color w:val="000000" w:themeColor="text1"/>
                <w:position w:val="0"/>
              </w:rPr>
            </w:pPr>
            <w:r w:rsidRPr="009929D0">
              <w:rPr>
                <w:rFonts w:ascii="Arial" w:hAnsi="Arial" w:cs="Arial"/>
                <w:color w:val="000000" w:themeColor="text1"/>
                <w:position w:val="0"/>
                <w:sz w:val="16"/>
                <w:szCs w:val="16"/>
              </w:rPr>
              <w:t>Tiempo hasta respuesta (TR), duración de respuesta (DR), supervivencia libre de progresión (SLP), supervivencia global (</w:t>
            </w:r>
            <w:r w:rsidR="00115A29" w:rsidRPr="009929D0">
              <w:rPr>
                <w:rFonts w:ascii="Arial" w:hAnsi="Arial" w:cs="Arial"/>
                <w:color w:val="000000" w:themeColor="text1"/>
                <w:position w:val="0"/>
                <w:sz w:val="16"/>
                <w:szCs w:val="16"/>
              </w:rPr>
              <w:t>SG) en</w:t>
            </w:r>
            <w:r w:rsidRPr="009929D0">
              <w:rPr>
                <w:rFonts w:ascii="Arial" w:hAnsi="Arial" w:cs="Arial"/>
                <w:color w:val="000000" w:themeColor="text1"/>
                <w:position w:val="0"/>
                <w:sz w:val="16"/>
                <w:szCs w:val="16"/>
              </w:rPr>
              <w:t xml:space="preserve"> función de terapias previas y genotipo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929D0" w:rsidRPr="00A97F14" w:rsidRDefault="009929D0" w:rsidP="009929D0">
            <w:pPr>
              <w:suppressAutoHyphens w:val="0"/>
              <w:spacing w:line="240" w:lineRule="auto"/>
              <w:ind w:leftChars="0" w:left="0" w:firstLineChars="0" w:firstLine="0"/>
              <w:textDirection w:val="lrTb"/>
              <w:textAlignment w:val="auto"/>
              <w:outlineLvl w:val="9"/>
              <w:rPr>
                <w:position w:val="0"/>
              </w:rPr>
            </w:pPr>
          </w:p>
        </w:tc>
        <w:tc>
          <w:tcPr>
            <w:tcW w:w="0" w:type="auto"/>
            <w:tcBorders>
              <w:top w:val="single" w:sz="8" w:space="0" w:color="000000"/>
              <w:left w:val="single" w:sz="8" w:space="0" w:color="000000"/>
              <w:bottom w:val="single" w:sz="8" w:space="0" w:color="000000"/>
              <w:right w:val="single" w:sz="8" w:space="0" w:color="000000"/>
            </w:tcBorders>
            <w:shd w:val="clear" w:color="auto" w:fill="CCFFCC"/>
            <w:tcMar>
              <w:top w:w="100" w:type="dxa"/>
              <w:left w:w="100" w:type="dxa"/>
              <w:bottom w:w="100" w:type="dxa"/>
              <w:right w:w="100" w:type="dxa"/>
            </w:tcMar>
            <w:hideMark/>
          </w:tcPr>
          <w:p w:rsidR="009929D0" w:rsidRPr="00A97F14" w:rsidRDefault="009929D0" w:rsidP="009929D0">
            <w:pPr>
              <w:suppressAutoHyphens w:val="0"/>
              <w:spacing w:before="20" w:line="240" w:lineRule="auto"/>
              <w:ind w:leftChars="0" w:left="-20" w:right="-180" w:firstLineChars="0" w:firstLine="0"/>
              <w:jc w:val="both"/>
              <w:textDirection w:val="lrTb"/>
              <w:textAlignment w:val="auto"/>
              <w:outlineLvl w:val="9"/>
              <w:rPr>
                <w:position w:val="0"/>
              </w:rPr>
            </w:pPr>
            <w:r w:rsidRPr="00A97F14">
              <w:rPr>
                <w:rFonts w:ascii="Arial" w:hAnsi="Arial" w:cs="Arial"/>
                <w:position w:val="0"/>
                <w:sz w:val="16"/>
                <w:szCs w:val="16"/>
              </w:rPr>
              <w:t>Intermedia/Final</w:t>
            </w:r>
          </w:p>
        </w:tc>
      </w:tr>
      <w:tr w:rsidR="007751AE" w:rsidRPr="009929D0" w:rsidTr="00A97F14">
        <w:trPr>
          <w:trHeight w:val="50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929D0" w:rsidRPr="00717178" w:rsidRDefault="009929D0" w:rsidP="009929D0">
            <w:pPr>
              <w:suppressAutoHyphens w:val="0"/>
              <w:spacing w:before="20" w:after="240" w:line="240" w:lineRule="auto"/>
              <w:ind w:leftChars="0" w:left="-20" w:firstLineChars="0" w:firstLine="0"/>
              <w:jc w:val="both"/>
              <w:textDirection w:val="lrTb"/>
              <w:textAlignment w:val="auto"/>
              <w:outlineLvl w:val="9"/>
              <w:rPr>
                <w:position w:val="0"/>
                <w:sz w:val="20"/>
                <w:szCs w:val="20"/>
              </w:rPr>
            </w:pPr>
            <w:r w:rsidRPr="00717178">
              <w:rPr>
                <w:rFonts w:ascii="Arial" w:hAnsi="Arial" w:cs="Arial"/>
                <w:position w:val="0"/>
                <w:sz w:val="20"/>
                <w:szCs w:val="20"/>
              </w:rPr>
              <w:t>Variable secundaria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929D0" w:rsidRPr="009929D0" w:rsidRDefault="009929D0" w:rsidP="009929D0">
            <w:pPr>
              <w:suppressAutoHyphens w:val="0"/>
              <w:spacing w:before="20" w:after="240" w:line="240" w:lineRule="auto"/>
              <w:ind w:leftChars="0" w:left="-20" w:firstLineChars="0" w:firstLine="0"/>
              <w:jc w:val="both"/>
              <w:textDirection w:val="lrTb"/>
              <w:textAlignment w:val="auto"/>
              <w:outlineLvl w:val="9"/>
              <w:rPr>
                <w:color w:val="000000" w:themeColor="text1"/>
                <w:position w:val="0"/>
              </w:rPr>
            </w:pPr>
            <w:r w:rsidRPr="009929D0">
              <w:rPr>
                <w:rFonts w:ascii="Arial" w:hAnsi="Arial" w:cs="Arial"/>
                <w:color w:val="000000" w:themeColor="text1"/>
                <w:position w:val="0"/>
                <w:sz w:val="16"/>
                <w:szCs w:val="16"/>
              </w:rPr>
              <w:t xml:space="preserve">Cambio en la </w:t>
            </w:r>
            <w:r w:rsidR="00115A29">
              <w:rPr>
                <w:rFonts w:ascii="Arial" w:hAnsi="Arial" w:cs="Arial"/>
                <w:color w:val="000000" w:themeColor="text1"/>
                <w:position w:val="0"/>
                <w:sz w:val="16"/>
                <w:szCs w:val="16"/>
              </w:rPr>
              <w:t>cuantificación</w:t>
            </w:r>
            <w:r w:rsidRPr="009929D0">
              <w:rPr>
                <w:rFonts w:ascii="Arial" w:hAnsi="Arial" w:cs="Arial"/>
                <w:color w:val="000000" w:themeColor="text1"/>
                <w:position w:val="0"/>
                <w:sz w:val="16"/>
                <w:szCs w:val="16"/>
              </w:rPr>
              <w:t xml:space="preserve"> de carga de células mastocíticas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929D0" w:rsidRPr="00A97F14" w:rsidRDefault="009929D0" w:rsidP="009929D0">
            <w:pPr>
              <w:suppressAutoHyphens w:val="0"/>
              <w:spacing w:line="240" w:lineRule="auto"/>
              <w:ind w:leftChars="0" w:left="0" w:firstLineChars="0" w:firstLine="0"/>
              <w:textDirection w:val="lrTb"/>
              <w:textAlignment w:val="auto"/>
              <w:outlineLvl w:val="9"/>
              <w:rPr>
                <w:position w:val="0"/>
              </w:rPr>
            </w:pPr>
          </w:p>
        </w:tc>
        <w:tc>
          <w:tcPr>
            <w:tcW w:w="0" w:type="auto"/>
            <w:tcBorders>
              <w:top w:val="single" w:sz="8" w:space="0" w:color="000000"/>
              <w:left w:val="single" w:sz="8" w:space="0" w:color="000000"/>
              <w:bottom w:val="single" w:sz="8" w:space="0" w:color="000000"/>
              <w:right w:val="single" w:sz="8" w:space="0" w:color="000000"/>
            </w:tcBorders>
            <w:shd w:val="clear" w:color="auto" w:fill="CCFFCC"/>
            <w:tcMar>
              <w:top w:w="100" w:type="dxa"/>
              <w:left w:w="100" w:type="dxa"/>
              <w:bottom w:w="100" w:type="dxa"/>
              <w:right w:w="100" w:type="dxa"/>
            </w:tcMar>
            <w:hideMark/>
          </w:tcPr>
          <w:p w:rsidR="009929D0" w:rsidRPr="00A97F14" w:rsidRDefault="009929D0" w:rsidP="009929D0">
            <w:pPr>
              <w:suppressAutoHyphens w:val="0"/>
              <w:spacing w:before="20" w:line="240" w:lineRule="auto"/>
              <w:ind w:leftChars="0" w:left="-20" w:right="-180" w:firstLineChars="0" w:firstLine="0"/>
              <w:jc w:val="both"/>
              <w:textDirection w:val="lrTb"/>
              <w:textAlignment w:val="auto"/>
              <w:outlineLvl w:val="9"/>
              <w:rPr>
                <w:position w:val="0"/>
              </w:rPr>
            </w:pPr>
            <w:r w:rsidRPr="00A97F14">
              <w:rPr>
                <w:rFonts w:ascii="Arial" w:hAnsi="Arial" w:cs="Arial"/>
                <w:position w:val="0"/>
                <w:sz w:val="16"/>
                <w:szCs w:val="16"/>
              </w:rPr>
              <w:t>Intermedia</w:t>
            </w:r>
          </w:p>
        </w:tc>
      </w:tr>
      <w:tr w:rsidR="007751AE" w:rsidRPr="009929D0" w:rsidTr="00A97F14">
        <w:trPr>
          <w:trHeight w:val="40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929D0" w:rsidRPr="00717178" w:rsidRDefault="009929D0" w:rsidP="009929D0">
            <w:pPr>
              <w:suppressAutoHyphens w:val="0"/>
              <w:spacing w:before="20" w:after="240" w:line="240" w:lineRule="auto"/>
              <w:ind w:leftChars="0" w:left="-20" w:firstLineChars="0" w:firstLine="0"/>
              <w:jc w:val="both"/>
              <w:textDirection w:val="lrTb"/>
              <w:textAlignment w:val="auto"/>
              <w:outlineLvl w:val="9"/>
              <w:rPr>
                <w:position w:val="0"/>
                <w:sz w:val="20"/>
                <w:szCs w:val="20"/>
              </w:rPr>
            </w:pPr>
            <w:r w:rsidRPr="00717178">
              <w:rPr>
                <w:rFonts w:ascii="Arial" w:hAnsi="Arial" w:cs="Arial"/>
                <w:position w:val="0"/>
                <w:sz w:val="20"/>
                <w:szCs w:val="20"/>
              </w:rPr>
              <w:t>Variable secundaria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929D0" w:rsidRPr="009929D0" w:rsidRDefault="009929D0" w:rsidP="009929D0">
            <w:pPr>
              <w:suppressAutoHyphens w:val="0"/>
              <w:spacing w:before="20" w:after="240" w:line="240" w:lineRule="auto"/>
              <w:ind w:leftChars="0" w:left="-20" w:firstLineChars="0" w:firstLine="0"/>
              <w:jc w:val="both"/>
              <w:textDirection w:val="lrTb"/>
              <w:textAlignment w:val="auto"/>
              <w:outlineLvl w:val="9"/>
              <w:rPr>
                <w:color w:val="000000" w:themeColor="text1"/>
                <w:position w:val="0"/>
              </w:rPr>
            </w:pPr>
            <w:r w:rsidRPr="009929D0">
              <w:rPr>
                <w:rFonts w:ascii="Arial" w:hAnsi="Arial" w:cs="Arial"/>
                <w:color w:val="000000" w:themeColor="text1"/>
                <w:position w:val="0"/>
                <w:sz w:val="16"/>
                <w:szCs w:val="16"/>
              </w:rPr>
              <w:t>Cambio de PROs y Calidad de vida.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929D0" w:rsidRPr="00A97F14" w:rsidRDefault="009929D0" w:rsidP="009929D0">
            <w:pPr>
              <w:suppressAutoHyphens w:val="0"/>
              <w:spacing w:line="240" w:lineRule="auto"/>
              <w:ind w:leftChars="0" w:left="0" w:firstLineChars="0" w:firstLine="0"/>
              <w:textDirection w:val="lrTb"/>
              <w:textAlignment w:val="auto"/>
              <w:outlineLvl w:val="9"/>
              <w:rPr>
                <w:position w:val="0"/>
              </w:rPr>
            </w:pPr>
          </w:p>
        </w:tc>
        <w:tc>
          <w:tcPr>
            <w:tcW w:w="0" w:type="auto"/>
            <w:tcBorders>
              <w:top w:val="single" w:sz="8" w:space="0" w:color="000000"/>
              <w:left w:val="single" w:sz="8" w:space="0" w:color="000000"/>
              <w:bottom w:val="single" w:sz="8" w:space="0" w:color="000000"/>
              <w:right w:val="single" w:sz="8" w:space="0" w:color="000000"/>
            </w:tcBorders>
            <w:shd w:val="clear" w:color="auto" w:fill="CCFFCC"/>
            <w:tcMar>
              <w:top w:w="100" w:type="dxa"/>
              <w:left w:w="100" w:type="dxa"/>
              <w:bottom w:w="100" w:type="dxa"/>
              <w:right w:w="100" w:type="dxa"/>
            </w:tcMar>
            <w:hideMark/>
          </w:tcPr>
          <w:p w:rsidR="009929D0" w:rsidRPr="00A97F14" w:rsidRDefault="009929D0" w:rsidP="009929D0">
            <w:pPr>
              <w:suppressAutoHyphens w:val="0"/>
              <w:spacing w:before="20" w:line="240" w:lineRule="auto"/>
              <w:ind w:leftChars="0" w:left="-20" w:right="-180" w:firstLineChars="0" w:firstLine="0"/>
              <w:jc w:val="both"/>
              <w:textDirection w:val="lrTb"/>
              <w:textAlignment w:val="auto"/>
              <w:outlineLvl w:val="9"/>
              <w:rPr>
                <w:position w:val="0"/>
              </w:rPr>
            </w:pPr>
            <w:r w:rsidRPr="00A97F14">
              <w:rPr>
                <w:rFonts w:ascii="Arial" w:hAnsi="Arial" w:cs="Arial"/>
                <w:position w:val="0"/>
                <w:sz w:val="16"/>
                <w:szCs w:val="16"/>
              </w:rPr>
              <w:t>Intermedia</w:t>
            </w:r>
          </w:p>
        </w:tc>
      </w:tr>
      <w:tr w:rsidR="007751AE" w:rsidRPr="009929D0" w:rsidTr="009929D0">
        <w:trPr>
          <w:trHeight w:val="650"/>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9929D0" w:rsidRPr="00717178" w:rsidRDefault="009929D0" w:rsidP="009929D0">
            <w:pPr>
              <w:suppressAutoHyphens w:val="0"/>
              <w:spacing w:before="80" w:after="240" w:line="240" w:lineRule="auto"/>
              <w:ind w:leftChars="0" w:left="-20" w:firstLineChars="0" w:firstLine="0"/>
              <w:jc w:val="both"/>
              <w:textDirection w:val="lrTb"/>
              <w:textAlignment w:val="auto"/>
              <w:outlineLvl w:val="9"/>
              <w:rPr>
                <w:position w:val="0"/>
                <w:sz w:val="20"/>
                <w:szCs w:val="20"/>
              </w:rPr>
            </w:pPr>
            <w:r w:rsidRPr="00717178">
              <w:rPr>
                <w:rFonts w:ascii="Arial" w:hAnsi="Arial" w:cs="Arial"/>
                <w:b/>
                <w:bCs/>
                <w:position w:val="0"/>
                <w:sz w:val="20"/>
                <w:szCs w:val="20"/>
              </w:rPr>
              <w:t>SEGURIDAD</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9929D0" w:rsidRPr="00717178" w:rsidRDefault="009929D0" w:rsidP="009929D0">
            <w:pPr>
              <w:suppressAutoHyphens w:val="0"/>
              <w:spacing w:before="80" w:after="240" w:line="240" w:lineRule="auto"/>
              <w:ind w:leftChars="0" w:left="-20" w:firstLineChars="0" w:firstLine="0"/>
              <w:jc w:val="both"/>
              <w:textDirection w:val="lrTb"/>
              <w:textAlignment w:val="auto"/>
              <w:outlineLvl w:val="9"/>
              <w:rPr>
                <w:position w:val="0"/>
                <w:sz w:val="20"/>
                <w:szCs w:val="20"/>
              </w:rPr>
            </w:pPr>
            <w:r w:rsidRPr="00717178">
              <w:rPr>
                <w:rFonts w:ascii="Arial" w:hAnsi="Arial" w:cs="Arial"/>
                <w:b/>
                <w:bCs/>
                <w:position w:val="0"/>
                <w:sz w:val="20"/>
                <w:szCs w:val="20"/>
              </w:rPr>
              <w:t>Enunciado</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9929D0" w:rsidRPr="00717178" w:rsidRDefault="009929D0" w:rsidP="009929D0">
            <w:pPr>
              <w:suppressAutoHyphens w:val="0"/>
              <w:spacing w:before="80" w:after="240" w:line="240" w:lineRule="auto"/>
              <w:ind w:leftChars="0" w:left="-20" w:firstLineChars="0" w:firstLine="0"/>
              <w:jc w:val="both"/>
              <w:textDirection w:val="lrTb"/>
              <w:textAlignment w:val="auto"/>
              <w:outlineLvl w:val="9"/>
              <w:rPr>
                <w:position w:val="0"/>
                <w:sz w:val="20"/>
                <w:szCs w:val="20"/>
              </w:rPr>
            </w:pPr>
            <w:r w:rsidRPr="00717178">
              <w:rPr>
                <w:rFonts w:ascii="Arial" w:hAnsi="Arial" w:cs="Arial"/>
                <w:b/>
                <w:bCs/>
                <w:position w:val="0"/>
                <w:sz w:val="20"/>
                <w:szCs w:val="20"/>
              </w:rPr>
              <w:t>Descripción</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9929D0" w:rsidRPr="00717178" w:rsidRDefault="009929D0" w:rsidP="009929D0">
            <w:pPr>
              <w:suppressAutoHyphens w:val="0"/>
              <w:spacing w:before="80" w:line="240" w:lineRule="auto"/>
              <w:ind w:leftChars="0" w:left="20" w:firstLineChars="0" w:firstLine="0"/>
              <w:jc w:val="both"/>
              <w:textDirection w:val="lrTb"/>
              <w:textAlignment w:val="auto"/>
              <w:outlineLvl w:val="9"/>
              <w:rPr>
                <w:position w:val="0"/>
                <w:sz w:val="20"/>
                <w:szCs w:val="20"/>
              </w:rPr>
            </w:pPr>
            <w:r w:rsidRPr="00717178">
              <w:rPr>
                <w:rFonts w:ascii="Arial" w:hAnsi="Arial" w:cs="Arial"/>
                <w:b/>
                <w:bCs/>
                <w:position w:val="0"/>
                <w:sz w:val="20"/>
                <w:szCs w:val="20"/>
              </w:rPr>
              <w:t>Variable intermedia o final</w:t>
            </w:r>
          </w:p>
        </w:tc>
      </w:tr>
      <w:tr w:rsidR="007751AE" w:rsidRPr="009929D0" w:rsidTr="009929D0">
        <w:trPr>
          <w:trHeight w:val="7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929D0" w:rsidRPr="00717178" w:rsidRDefault="009929D0" w:rsidP="009929D0">
            <w:pPr>
              <w:suppressAutoHyphens w:val="0"/>
              <w:spacing w:before="80" w:after="240" w:line="240" w:lineRule="auto"/>
              <w:ind w:leftChars="0" w:left="-20" w:firstLineChars="0" w:firstLine="0"/>
              <w:jc w:val="both"/>
              <w:textDirection w:val="lrTb"/>
              <w:textAlignment w:val="auto"/>
              <w:outlineLvl w:val="9"/>
              <w:rPr>
                <w:position w:val="0"/>
                <w:sz w:val="20"/>
                <w:szCs w:val="20"/>
              </w:rPr>
            </w:pPr>
            <w:r w:rsidRPr="00717178">
              <w:rPr>
                <w:rFonts w:ascii="Arial" w:hAnsi="Arial" w:cs="Arial"/>
                <w:position w:val="0"/>
                <w:sz w:val="20"/>
                <w:szCs w:val="20"/>
              </w:rPr>
              <w:t>Variables secundarias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929D0" w:rsidRPr="009929D0" w:rsidRDefault="009929D0" w:rsidP="009929D0">
            <w:pPr>
              <w:suppressAutoHyphens w:val="0"/>
              <w:spacing w:before="80" w:after="240" w:line="240" w:lineRule="auto"/>
              <w:ind w:leftChars="0" w:left="-20" w:firstLineChars="0" w:firstLine="0"/>
              <w:jc w:val="both"/>
              <w:textDirection w:val="lrTb"/>
              <w:textAlignment w:val="auto"/>
              <w:outlineLvl w:val="9"/>
              <w:rPr>
                <w:color w:val="000000" w:themeColor="text1"/>
                <w:position w:val="0"/>
              </w:rPr>
            </w:pPr>
            <w:r w:rsidRPr="009929D0">
              <w:rPr>
                <w:rFonts w:ascii="Arial" w:hAnsi="Arial" w:cs="Arial"/>
                <w:color w:val="000000" w:themeColor="text1"/>
                <w:position w:val="0"/>
                <w:sz w:val="16"/>
                <w:szCs w:val="16"/>
              </w:rPr>
              <w:t>Seguridad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929D0" w:rsidRPr="009929D0" w:rsidRDefault="009929D0" w:rsidP="009929D0">
            <w:pPr>
              <w:suppressAutoHyphens w:val="0"/>
              <w:spacing w:before="240" w:after="240" w:line="240" w:lineRule="auto"/>
              <w:ind w:leftChars="0" w:left="-20" w:firstLineChars="0" w:firstLine="0"/>
              <w:jc w:val="both"/>
              <w:textDirection w:val="lrTb"/>
              <w:textAlignment w:val="auto"/>
              <w:outlineLvl w:val="9"/>
              <w:rPr>
                <w:color w:val="000000" w:themeColor="text1"/>
                <w:position w:val="0"/>
              </w:rPr>
            </w:pPr>
            <w:r w:rsidRPr="009929D0">
              <w:rPr>
                <w:rFonts w:ascii="Arial" w:hAnsi="Arial" w:cs="Arial"/>
                <w:color w:val="000000" w:themeColor="text1"/>
                <w:position w:val="0"/>
                <w:sz w:val="16"/>
                <w:szCs w:val="16"/>
              </w:rPr>
              <w:t xml:space="preserve">Evaluación de la </w:t>
            </w:r>
            <w:r w:rsidR="00115A29" w:rsidRPr="009929D0">
              <w:rPr>
                <w:rFonts w:ascii="Arial" w:hAnsi="Arial" w:cs="Arial"/>
                <w:color w:val="000000" w:themeColor="text1"/>
                <w:position w:val="0"/>
                <w:sz w:val="16"/>
                <w:szCs w:val="16"/>
              </w:rPr>
              <w:t>seguridad y</w:t>
            </w:r>
            <w:r w:rsidRPr="009929D0">
              <w:rPr>
                <w:rFonts w:ascii="Arial" w:hAnsi="Arial" w:cs="Arial"/>
                <w:color w:val="000000" w:themeColor="text1"/>
                <w:position w:val="0"/>
                <w:sz w:val="16"/>
                <w:szCs w:val="16"/>
              </w:rPr>
              <w:t xml:space="preserve"> farmacocinética</w:t>
            </w:r>
          </w:p>
        </w:tc>
        <w:tc>
          <w:tcPr>
            <w:tcW w:w="0" w:type="auto"/>
            <w:tcBorders>
              <w:top w:val="single" w:sz="8" w:space="0" w:color="000000"/>
              <w:left w:val="single" w:sz="8" w:space="0" w:color="000000"/>
              <w:bottom w:val="single" w:sz="8" w:space="0" w:color="000000"/>
              <w:right w:val="single" w:sz="8" w:space="0" w:color="000000"/>
            </w:tcBorders>
            <w:shd w:val="clear" w:color="auto" w:fill="CCFFCC"/>
            <w:tcMar>
              <w:top w:w="100" w:type="dxa"/>
              <w:left w:w="100" w:type="dxa"/>
              <w:bottom w:w="100" w:type="dxa"/>
              <w:right w:w="100" w:type="dxa"/>
            </w:tcMar>
            <w:hideMark/>
          </w:tcPr>
          <w:p w:rsidR="009929D0" w:rsidRPr="00717178" w:rsidRDefault="009929D0" w:rsidP="009929D0">
            <w:pPr>
              <w:suppressAutoHyphens w:val="0"/>
              <w:spacing w:before="80" w:after="240" w:line="240" w:lineRule="auto"/>
              <w:ind w:leftChars="0" w:left="-20" w:firstLineChars="0" w:firstLine="0"/>
              <w:jc w:val="both"/>
              <w:textDirection w:val="lrTb"/>
              <w:textAlignment w:val="auto"/>
              <w:outlineLvl w:val="9"/>
              <w:rPr>
                <w:position w:val="0"/>
              </w:rPr>
            </w:pPr>
            <w:r w:rsidRPr="00717178">
              <w:rPr>
                <w:rFonts w:ascii="Arial" w:hAnsi="Arial" w:cs="Arial"/>
                <w:position w:val="0"/>
                <w:sz w:val="16"/>
                <w:szCs w:val="16"/>
              </w:rPr>
              <w:t>Intermedia</w:t>
            </w:r>
          </w:p>
        </w:tc>
      </w:tr>
      <w:tr w:rsidR="007751AE" w:rsidRPr="009929D0" w:rsidTr="00A97F14">
        <w:trPr>
          <w:trHeight w:val="46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929D0" w:rsidRPr="00717178" w:rsidRDefault="009929D0" w:rsidP="009929D0">
            <w:pPr>
              <w:suppressAutoHyphens w:val="0"/>
              <w:spacing w:before="80" w:after="240" w:line="240" w:lineRule="auto"/>
              <w:ind w:leftChars="0" w:left="-20" w:firstLineChars="0" w:firstLine="0"/>
              <w:jc w:val="both"/>
              <w:textDirection w:val="lrTb"/>
              <w:textAlignment w:val="auto"/>
              <w:outlineLvl w:val="9"/>
              <w:rPr>
                <w:position w:val="0"/>
              </w:rPr>
            </w:pPr>
            <w:r w:rsidRPr="00717178">
              <w:rPr>
                <w:rFonts w:ascii="Arial" w:hAnsi="Arial" w:cs="Arial"/>
                <w:position w:val="0"/>
                <w:sz w:val="16"/>
                <w:szCs w:val="16"/>
              </w:rPr>
              <w:t>Variables secundarias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929D0" w:rsidRPr="009929D0" w:rsidRDefault="009929D0" w:rsidP="009929D0">
            <w:pPr>
              <w:suppressAutoHyphens w:val="0"/>
              <w:spacing w:before="80" w:after="240" w:line="240" w:lineRule="auto"/>
              <w:ind w:leftChars="0" w:left="-20" w:firstLineChars="0" w:firstLine="0"/>
              <w:jc w:val="both"/>
              <w:textDirection w:val="lrTb"/>
              <w:textAlignment w:val="auto"/>
              <w:outlineLvl w:val="9"/>
              <w:rPr>
                <w:color w:val="000000" w:themeColor="text1"/>
                <w:position w:val="0"/>
              </w:rPr>
            </w:pPr>
            <w:r w:rsidRPr="009929D0">
              <w:rPr>
                <w:rFonts w:ascii="Arial" w:hAnsi="Arial" w:cs="Arial"/>
                <w:color w:val="000000" w:themeColor="text1"/>
                <w:position w:val="0"/>
                <w:sz w:val="16"/>
                <w:szCs w:val="16"/>
              </w:rPr>
              <w:t>Correlación entre exposición y variables de eficacia y seguridad.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929D0" w:rsidRPr="009929D0" w:rsidRDefault="009929D0" w:rsidP="009929D0">
            <w:pPr>
              <w:suppressAutoHyphens w:val="0"/>
              <w:spacing w:line="240" w:lineRule="auto"/>
              <w:ind w:leftChars="0" w:left="0" w:firstLineChars="0" w:firstLine="0"/>
              <w:textDirection w:val="lrTb"/>
              <w:textAlignment w:val="auto"/>
              <w:outlineLvl w:val="9"/>
              <w:rPr>
                <w:position w:val="0"/>
              </w:rPr>
            </w:pPr>
          </w:p>
        </w:tc>
        <w:tc>
          <w:tcPr>
            <w:tcW w:w="0" w:type="auto"/>
            <w:tcBorders>
              <w:top w:val="single" w:sz="8" w:space="0" w:color="000000"/>
              <w:left w:val="single" w:sz="8" w:space="0" w:color="000000"/>
              <w:bottom w:val="single" w:sz="8" w:space="0" w:color="000000"/>
              <w:right w:val="single" w:sz="8" w:space="0" w:color="000000"/>
            </w:tcBorders>
            <w:shd w:val="clear" w:color="auto" w:fill="CCFFCC"/>
            <w:tcMar>
              <w:top w:w="100" w:type="dxa"/>
              <w:left w:w="100" w:type="dxa"/>
              <w:bottom w:w="100" w:type="dxa"/>
              <w:right w:w="100" w:type="dxa"/>
            </w:tcMar>
            <w:hideMark/>
          </w:tcPr>
          <w:p w:rsidR="009929D0" w:rsidRPr="00717178" w:rsidRDefault="009929D0" w:rsidP="009929D0">
            <w:pPr>
              <w:suppressAutoHyphens w:val="0"/>
              <w:spacing w:before="80" w:after="240" w:line="240" w:lineRule="auto"/>
              <w:ind w:leftChars="0" w:left="-20" w:firstLineChars="0" w:firstLine="0"/>
              <w:jc w:val="both"/>
              <w:textDirection w:val="lrTb"/>
              <w:textAlignment w:val="auto"/>
              <w:outlineLvl w:val="9"/>
              <w:rPr>
                <w:position w:val="0"/>
              </w:rPr>
            </w:pPr>
            <w:r w:rsidRPr="00717178">
              <w:rPr>
                <w:rFonts w:ascii="Arial" w:hAnsi="Arial" w:cs="Arial"/>
                <w:position w:val="0"/>
                <w:sz w:val="16"/>
                <w:szCs w:val="16"/>
              </w:rPr>
              <w:t>Intermedia</w:t>
            </w:r>
          </w:p>
        </w:tc>
      </w:tr>
    </w:tbl>
    <w:p w:rsidR="009929D0" w:rsidRDefault="009929D0">
      <w:pPr>
        <w:ind w:left="0" w:hanging="2"/>
        <w:jc w:val="both"/>
        <w:rPr>
          <w:rFonts w:ascii="Arial" w:eastAsia="Arial" w:hAnsi="Arial" w:cs="Arial"/>
          <w:color w:val="0000FF"/>
          <w:sz w:val="18"/>
          <w:szCs w:val="18"/>
        </w:rPr>
      </w:pPr>
    </w:p>
    <w:p w:rsidR="00B74082" w:rsidRDefault="007751AE">
      <w:pPr>
        <w:ind w:left="0" w:hanging="2"/>
        <w:jc w:val="both"/>
        <w:rPr>
          <w:rFonts w:ascii="Arial" w:eastAsia="Arial" w:hAnsi="Arial" w:cs="Arial"/>
          <w:color w:val="000080"/>
        </w:rPr>
      </w:pPr>
      <w:r>
        <w:rPr>
          <w:noProof/>
        </w:rPr>
        <w:drawing>
          <wp:inline distT="0" distB="0" distL="0" distR="0">
            <wp:extent cx="4917730" cy="6353175"/>
            <wp:effectExtent l="0" t="0" r="0" b="0"/>
            <wp:docPr id="1"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Aplicación&#10;&#10;Descripción generada automáticamente"/>
                    <pic:cNvPicPr/>
                  </pic:nvPicPr>
                  <pic:blipFill rotWithShape="1">
                    <a:blip r:embed="rId15" cstate="print"/>
                    <a:srcRect l="32784" t="17392" r="35461" b="9683"/>
                    <a:stretch/>
                  </pic:blipFill>
                  <pic:spPr bwMode="auto">
                    <a:xfrm>
                      <a:off x="0" y="0"/>
                      <a:ext cx="4924453" cy="6361861"/>
                    </a:xfrm>
                    <a:prstGeom prst="rect">
                      <a:avLst/>
                    </a:prstGeom>
                    <a:ln>
                      <a:noFill/>
                    </a:ln>
                    <a:extLst>
                      <a:ext uri="{53640926-AAD7-44D8-BBD7-CCE9431645EC}">
                        <a14:shadowObscured xmlns:a14="http://schemas.microsoft.com/office/drawing/2010/main"/>
                      </a:ext>
                    </a:extLst>
                  </pic:spPr>
                </pic:pic>
              </a:graphicData>
            </a:graphic>
          </wp:inline>
        </w:drawing>
      </w:r>
    </w:p>
    <w:p w:rsidR="007751AE" w:rsidRDefault="007751AE">
      <w:pPr>
        <w:ind w:left="0" w:hanging="2"/>
        <w:jc w:val="both"/>
        <w:rPr>
          <w:rFonts w:ascii="Arial" w:eastAsia="Arial" w:hAnsi="Arial" w:cs="Arial"/>
          <w:color w:val="000080"/>
        </w:rPr>
      </w:pPr>
    </w:p>
    <w:p w:rsidR="007751AE" w:rsidRDefault="00F71E0C">
      <w:pPr>
        <w:ind w:left="0" w:hanging="2"/>
        <w:jc w:val="both"/>
        <w:rPr>
          <w:rFonts w:ascii="Arial" w:eastAsia="Arial" w:hAnsi="Arial" w:cs="Arial"/>
          <w:color w:val="000080"/>
        </w:rPr>
      </w:pPr>
      <w:r>
        <w:rPr>
          <w:noProof/>
        </w:rPr>
        <w:lastRenderedPageBreak/>
        <w:drawing>
          <wp:inline distT="0" distB="0" distL="0" distR="0">
            <wp:extent cx="5165847" cy="6438900"/>
            <wp:effectExtent l="0" t="0" r="0" b="0"/>
            <wp:docPr id="3" name="Imagen 3"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Aplicación, Word&#10;&#10;Descripción generada automáticamente"/>
                    <pic:cNvPicPr/>
                  </pic:nvPicPr>
                  <pic:blipFill rotWithShape="1">
                    <a:blip r:embed="rId16" cstate="print"/>
                    <a:srcRect l="32785" t="19833" r="35118" b="8157"/>
                    <a:stretch/>
                  </pic:blipFill>
                  <pic:spPr bwMode="auto">
                    <a:xfrm>
                      <a:off x="0" y="0"/>
                      <a:ext cx="5176225" cy="6451836"/>
                    </a:xfrm>
                    <a:prstGeom prst="rect">
                      <a:avLst/>
                    </a:prstGeom>
                    <a:ln>
                      <a:noFill/>
                    </a:ln>
                    <a:extLst>
                      <a:ext uri="{53640926-AAD7-44D8-BBD7-CCE9431645EC}">
                        <a14:shadowObscured xmlns:a14="http://schemas.microsoft.com/office/drawing/2010/main"/>
                      </a:ext>
                    </a:extLst>
                  </pic:spPr>
                </pic:pic>
              </a:graphicData>
            </a:graphic>
          </wp:inline>
        </w:drawing>
      </w:r>
    </w:p>
    <w:p w:rsidR="00F71E0C" w:rsidRPr="00F71E0C" w:rsidRDefault="00F71E0C">
      <w:pPr>
        <w:ind w:left="0" w:hanging="2"/>
        <w:jc w:val="both"/>
        <w:rPr>
          <w:rFonts w:ascii="Arial" w:eastAsia="Arial" w:hAnsi="Arial" w:cs="Arial"/>
          <w:color w:val="000000" w:themeColor="text1"/>
        </w:rPr>
      </w:pPr>
    </w:p>
    <w:p w:rsidR="00F71E0C" w:rsidRPr="00717178" w:rsidRDefault="00F71E0C" w:rsidP="00F71E0C">
      <w:pPr>
        <w:ind w:left="0" w:hanging="2"/>
        <w:jc w:val="center"/>
        <w:rPr>
          <w:rFonts w:ascii="Arial" w:eastAsia="Arial" w:hAnsi="Arial" w:cs="Arial"/>
          <w:b/>
          <w:color w:val="000000" w:themeColor="text1"/>
          <w:sz w:val="20"/>
          <w:szCs w:val="20"/>
        </w:rPr>
      </w:pPr>
      <w:r w:rsidRPr="00717178">
        <w:rPr>
          <w:rFonts w:ascii="Arial" w:eastAsia="Arial" w:hAnsi="Arial" w:cs="Arial"/>
          <w:b/>
          <w:color w:val="000000" w:themeColor="text1"/>
          <w:sz w:val="20"/>
          <w:szCs w:val="20"/>
        </w:rPr>
        <w:t>Figura 6: mIWG-MRT-ECNM response criteria</w:t>
      </w:r>
      <w:sdt>
        <w:sdtPr>
          <w:rPr>
            <w:rFonts w:ascii="Arial" w:eastAsia="Arial" w:hAnsi="Arial" w:cs="Arial"/>
            <w:b/>
            <w:color w:val="000000" w:themeColor="text1"/>
            <w:sz w:val="20"/>
            <w:szCs w:val="20"/>
            <w:vertAlign w:val="superscript"/>
          </w:rPr>
          <w:id w:val="-1122605527"/>
          <w:citation/>
        </w:sdtPr>
        <w:sdtEndPr/>
        <w:sdtContent>
          <w:r w:rsidR="00743E44" w:rsidRPr="00634980">
            <w:rPr>
              <w:rFonts w:ascii="Arial" w:eastAsia="Arial" w:hAnsi="Arial" w:cs="Arial"/>
              <w:b/>
              <w:color w:val="000000" w:themeColor="text1"/>
              <w:sz w:val="20"/>
              <w:szCs w:val="20"/>
              <w:vertAlign w:val="superscript"/>
            </w:rPr>
            <w:fldChar w:fldCharType="begin"/>
          </w:r>
          <w:r w:rsidRPr="00634980">
            <w:rPr>
              <w:rFonts w:ascii="Arial" w:eastAsia="Arial" w:hAnsi="Arial" w:cs="Arial"/>
              <w:b/>
              <w:color w:val="000000" w:themeColor="text1"/>
              <w:sz w:val="20"/>
              <w:szCs w:val="20"/>
              <w:vertAlign w:val="superscript"/>
            </w:rPr>
            <w:instrText xml:space="preserve"> CITATION Got21 \l 3082 </w:instrText>
          </w:r>
          <w:r w:rsidR="00743E44" w:rsidRPr="00634980">
            <w:rPr>
              <w:rFonts w:ascii="Arial" w:eastAsia="Arial" w:hAnsi="Arial" w:cs="Arial"/>
              <w:b/>
              <w:color w:val="000000" w:themeColor="text1"/>
              <w:sz w:val="20"/>
              <w:szCs w:val="20"/>
              <w:vertAlign w:val="superscript"/>
            </w:rPr>
            <w:fldChar w:fldCharType="separate"/>
          </w:r>
          <w:r w:rsidR="00C560F5">
            <w:rPr>
              <w:rFonts w:ascii="Arial" w:eastAsia="Arial" w:hAnsi="Arial" w:cs="Arial"/>
              <w:b/>
              <w:noProof/>
              <w:color w:val="000000" w:themeColor="text1"/>
              <w:sz w:val="20"/>
              <w:szCs w:val="20"/>
              <w:vertAlign w:val="superscript"/>
            </w:rPr>
            <w:t xml:space="preserve"> </w:t>
          </w:r>
          <w:r w:rsidR="00C560F5" w:rsidRPr="00C560F5">
            <w:rPr>
              <w:rFonts w:ascii="Arial" w:eastAsia="Arial" w:hAnsi="Arial" w:cs="Arial"/>
              <w:noProof/>
              <w:color w:val="000000" w:themeColor="text1"/>
              <w:sz w:val="20"/>
              <w:szCs w:val="20"/>
            </w:rPr>
            <w:t>(11)</w:t>
          </w:r>
          <w:r w:rsidR="00743E44" w:rsidRPr="00634980">
            <w:rPr>
              <w:rFonts w:ascii="Arial" w:eastAsia="Arial" w:hAnsi="Arial" w:cs="Arial"/>
              <w:b/>
              <w:color w:val="000000" w:themeColor="text1"/>
              <w:sz w:val="20"/>
              <w:szCs w:val="20"/>
              <w:vertAlign w:val="superscript"/>
            </w:rPr>
            <w:fldChar w:fldCharType="end"/>
          </w:r>
        </w:sdtContent>
      </w:sdt>
    </w:p>
    <w:p w:rsidR="00F71E0C" w:rsidRPr="00F71E0C" w:rsidRDefault="00F71E0C" w:rsidP="00F71E0C">
      <w:pPr>
        <w:ind w:left="0" w:hanging="2"/>
        <w:jc w:val="center"/>
        <w:rPr>
          <w:rFonts w:ascii="Arial" w:eastAsia="Arial" w:hAnsi="Arial" w:cs="Arial"/>
          <w:color w:val="000080"/>
          <w:sz w:val="20"/>
          <w:szCs w:val="20"/>
        </w:rPr>
      </w:pPr>
    </w:p>
    <w:tbl>
      <w:tblPr>
        <w:tblStyle w:val="31"/>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8"/>
        <w:gridCol w:w="1248"/>
        <w:gridCol w:w="1234"/>
        <w:gridCol w:w="1724"/>
        <w:gridCol w:w="2046"/>
        <w:gridCol w:w="36"/>
      </w:tblGrid>
      <w:tr w:rsidR="00B74082" w:rsidRPr="00151E9B" w:rsidTr="00CB0292">
        <w:trPr>
          <w:gridAfter w:val="1"/>
          <w:wAfter w:w="36" w:type="dxa"/>
        </w:trPr>
        <w:tc>
          <w:tcPr>
            <w:tcW w:w="8890" w:type="dxa"/>
            <w:gridSpan w:val="5"/>
            <w:shd w:val="clear" w:color="auto" w:fill="CCFFCC"/>
          </w:tcPr>
          <w:p w:rsidR="00B74082" w:rsidRDefault="00DA20C8">
            <w:pPr>
              <w:ind w:left="0" w:hanging="2"/>
              <w:rPr>
                <w:rFonts w:ascii="Arial" w:eastAsia="Arial" w:hAnsi="Arial" w:cs="Arial"/>
                <w:sz w:val="18"/>
                <w:szCs w:val="18"/>
              </w:rPr>
            </w:pPr>
            <w:r>
              <w:rPr>
                <w:rFonts w:ascii="Arial" w:eastAsia="Arial" w:hAnsi="Arial" w:cs="Arial"/>
                <w:b/>
                <w:i/>
                <w:sz w:val="18"/>
                <w:szCs w:val="18"/>
              </w:rPr>
              <w:t xml:space="preserve">Tabla 1.  </w:t>
            </w:r>
            <w:r w:rsidR="00B03410">
              <w:rPr>
                <w:rFonts w:ascii="Arial" w:eastAsia="Arial" w:hAnsi="Arial" w:cs="Arial"/>
                <w:b/>
                <w:sz w:val="18"/>
                <w:szCs w:val="18"/>
              </w:rPr>
              <w:t xml:space="preserve">Estudio fase II </w:t>
            </w:r>
            <w:r w:rsidR="00634980">
              <w:rPr>
                <w:rFonts w:ascii="Arial" w:eastAsia="Arial" w:hAnsi="Arial" w:cs="Arial"/>
                <w:b/>
                <w:sz w:val="18"/>
                <w:szCs w:val="18"/>
              </w:rPr>
              <w:t xml:space="preserve">PATHFINDER </w:t>
            </w:r>
            <w:r w:rsidR="00151E9B">
              <w:rPr>
                <w:rFonts w:ascii="Arial" w:eastAsia="Arial" w:hAnsi="Arial" w:cs="Arial"/>
                <w:b/>
                <w:sz w:val="18"/>
                <w:szCs w:val="18"/>
              </w:rPr>
              <w:t>(BLU-285-2202)</w:t>
            </w:r>
          </w:p>
          <w:p w:rsidR="00B03410" w:rsidRPr="00151E9B" w:rsidRDefault="00DA20C8" w:rsidP="00B03410">
            <w:pPr>
              <w:pStyle w:val="Bibliografa"/>
              <w:ind w:left="0" w:hanging="2"/>
              <w:rPr>
                <w:b/>
                <w:bCs/>
                <w:noProof/>
                <w:lang w:val="en-US"/>
              </w:rPr>
            </w:pPr>
            <w:r w:rsidRPr="00B03410">
              <w:rPr>
                <w:rFonts w:ascii="Arial" w:eastAsia="Arial" w:hAnsi="Arial" w:cs="Arial"/>
                <w:b/>
                <w:i/>
                <w:sz w:val="16"/>
                <w:szCs w:val="16"/>
                <w:lang w:val="en-US"/>
              </w:rPr>
              <w:t>Referencia:</w:t>
            </w:r>
            <w:r w:rsidR="00B03410" w:rsidRPr="00B03410">
              <w:rPr>
                <w:rFonts w:ascii="Arial" w:eastAsia="Arial" w:hAnsi="Arial" w:cs="Arial"/>
                <w:b/>
                <w:i/>
                <w:sz w:val="16"/>
                <w:szCs w:val="16"/>
                <w:lang w:val="en-US"/>
              </w:rPr>
              <w:t xml:space="preserve"> </w:t>
            </w:r>
            <w:r w:rsidR="00B03410" w:rsidRPr="00B03410">
              <w:rPr>
                <w:rFonts w:ascii="Arial" w:eastAsia="Arial" w:hAnsi="Arial" w:cs="Arial"/>
                <w:b/>
                <w:sz w:val="18"/>
                <w:szCs w:val="18"/>
                <w:lang w:val="en-US"/>
              </w:rPr>
              <w:t xml:space="preserve">Efficacy and safety of avapritinib in advanced systemic mastocytosis: interim analysis of the phase II Pathfinder trial. </w:t>
            </w:r>
            <w:r w:rsidR="00B03410" w:rsidRPr="00151E9B">
              <w:rPr>
                <w:rFonts w:ascii="Arial" w:eastAsia="Arial" w:hAnsi="Arial" w:cs="Arial"/>
                <w:b/>
                <w:sz w:val="18"/>
                <w:szCs w:val="18"/>
                <w:lang w:val="en-US"/>
              </w:rPr>
              <w:t>Gotlib, J et al. Nature medicine, 2021, Vol. 27.</w:t>
            </w:r>
            <w:sdt>
              <w:sdtPr>
                <w:rPr>
                  <w:rFonts w:ascii="Arial" w:eastAsia="Arial" w:hAnsi="Arial" w:cs="Arial"/>
                  <w:b/>
                  <w:sz w:val="18"/>
                  <w:szCs w:val="18"/>
                  <w:vertAlign w:val="superscript"/>
                  <w:lang w:val="en-US"/>
                </w:rPr>
                <w:id w:val="1021281079"/>
                <w:citation/>
              </w:sdtPr>
              <w:sdtEndPr/>
              <w:sdtContent>
                <w:r w:rsidR="00743E44" w:rsidRPr="004E416C">
                  <w:rPr>
                    <w:rFonts w:ascii="Arial" w:eastAsia="Arial" w:hAnsi="Arial" w:cs="Arial"/>
                    <w:b/>
                    <w:sz w:val="18"/>
                    <w:szCs w:val="18"/>
                    <w:vertAlign w:val="superscript"/>
                    <w:lang w:val="en-US"/>
                  </w:rPr>
                  <w:fldChar w:fldCharType="begin"/>
                </w:r>
                <w:r w:rsidR="00115A29" w:rsidRPr="004E416C">
                  <w:rPr>
                    <w:rFonts w:ascii="Arial" w:eastAsia="Arial" w:hAnsi="Arial" w:cs="Arial"/>
                    <w:b/>
                    <w:sz w:val="18"/>
                    <w:szCs w:val="18"/>
                    <w:vertAlign w:val="superscript"/>
                  </w:rPr>
                  <w:instrText xml:space="preserve"> CITATION Jas21 \l 3082 </w:instrText>
                </w:r>
                <w:r w:rsidR="00743E44" w:rsidRPr="004E416C">
                  <w:rPr>
                    <w:rFonts w:ascii="Arial" w:eastAsia="Arial" w:hAnsi="Arial" w:cs="Arial"/>
                    <w:b/>
                    <w:sz w:val="18"/>
                    <w:szCs w:val="18"/>
                    <w:vertAlign w:val="superscript"/>
                    <w:lang w:val="en-US"/>
                  </w:rPr>
                  <w:fldChar w:fldCharType="separate"/>
                </w:r>
                <w:r w:rsidR="00C560F5">
                  <w:rPr>
                    <w:rFonts w:ascii="Arial" w:eastAsia="Arial" w:hAnsi="Arial" w:cs="Arial"/>
                    <w:b/>
                    <w:noProof/>
                    <w:sz w:val="18"/>
                    <w:szCs w:val="18"/>
                    <w:vertAlign w:val="superscript"/>
                  </w:rPr>
                  <w:t xml:space="preserve"> </w:t>
                </w:r>
                <w:r w:rsidR="00C560F5" w:rsidRPr="00C560F5">
                  <w:rPr>
                    <w:rFonts w:ascii="Arial" w:eastAsia="Arial" w:hAnsi="Arial" w:cs="Arial"/>
                    <w:noProof/>
                    <w:sz w:val="18"/>
                    <w:szCs w:val="18"/>
                  </w:rPr>
                  <w:t>(9)</w:t>
                </w:r>
                <w:r w:rsidR="00743E44" w:rsidRPr="004E416C">
                  <w:rPr>
                    <w:rFonts w:ascii="Arial" w:eastAsia="Arial" w:hAnsi="Arial" w:cs="Arial"/>
                    <w:b/>
                    <w:sz w:val="18"/>
                    <w:szCs w:val="18"/>
                    <w:vertAlign w:val="superscript"/>
                    <w:lang w:val="en-US"/>
                  </w:rPr>
                  <w:fldChar w:fldCharType="end"/>
                </w:r>
              </w:sdtContent>
            </w:sdt>
          </w:p>
          <w:p w:rsidR="00B74082" w:rsidRPr="00151E9B" w:rsidRDefault="00B74082">
            <w:pPr>
              <w:ind w:left="0" w:hanging="2"/>
              <w:jc w:val="both"/>
              <w:rPr>
                <w:rFonts w:ascii="Arial" w:eastAsia="Arial" w:hAnsi="Arial" w:cs="Arial"/>
                <w:sz w:val="16"/>
                <w:szCs w:val="16"/>
                <w:lang w:val="en-US"/>
              </w:rPr>
            </w:pPr>
          </w:p>
        </w:tc>
      </w:tr>
      <w:tr w:rsidR="00B74082" w:rsidTr="00CB0292">
        <w:trPr>
          <w:gridAfter w:val="1"/>
          <w:wAfter w:w="36" w:type="dxa"/>
        </w:trPr>
        <w:tc>
          <w:tcPr>
            <w:tcW w:w="8890" w:type="dxa"/>
            <w:gridSpan w:val="5"/>
          </w:tcPr>
          <w:p w:rsidR="00C05404" w:rsidRDefault="00C05404" w:rsidP="00287F58">
            <w:pPr>
              <w:ind w:leftChars="0" w:left="0" w:firstLineChars="0" w:firstLine="0"/>
              <w:jc w:val="both"/>
              <w:rPr>
                <w:rFonts w:ascii="Arial" w:eastAsia="Arial" w:hAnsi="Arial" w:cs="Arial"/>
                <w:sz w:val="16"/>
                <w:szCs w:val="16"/>
              </w:rPr>
            </w:pPr>
          </w:p>
          <w:p w:rsidR="00EB04C3" w:rsidRDefault="00C05404" w:rsidP="00287F58">
            <w:pPr>
              <w:ind w:left="-2" w:firstLineChars="0" w:firstLine="0"/>
              <w:jc w:val="both"/>
              <w:rPr>
                <w:rFonts w:ascii="Arial" w:eastAsia="Arial" w:hAnsi="Arial" w:cs="Arial"/>
                <w:sz w:val="16"/>
                <w:szCs w:val="16"/>
              </w:rPr>
            </w:pPr>
            <w:r>
              <w:rPr>
                <w:rFonts w:ascii="Arial" w:eastAsia="Arial" w:hAnsi="Arial" w:cs="Arial"/>
                <w:sz w:val="16"/>
                <w:szCs w:val="16"/>
              </w:rPr>
              <w:t>Estudio fase 2 abierto</w:t>
            </w:r>
            <w:r w:rsidR="00D47015">
              <w:rPr>
                <w:rFonts w:ascii="Arial" w:eastAsia="Arial" w:hAnsi="Arial" w:cs="Arial"/>
                <w:sz w:val="16"/>
                <w:szCs w:val="16"/>
              </w:rPr>
              <w:t>, en desarrollo,</w:t>
            </w:r>
            <w:r>
              <w:rPr>
                <w:rFonts w:ascii="Arial" w:eastAsia="Arial" w:hAnsi="Arial" w:cs="Arial"/>
                <w:sz w:val="16"/>
                <w:szCs w:val="16"/>
              </w:rPr>
              <w:t xml:space="preserve"> de un solo brazo, multicéntrico, en pacientes con mastocitosis sistémica avanzada, incluyendo MSA, MS-NHA y LM. </w:t>
            </w:r>
            <w:r w:rsidR="00115A29">
              <w:rPr>
                <w:rFonts w:ascii="Arial" w:eastAsia="Arial" w:hAnsi="Arial" w:cs="Arial"/>
                <w:sz w:val="16"/>
                <w:szCs w:val="16"/>
              </w:rPr>
              <w:t>Incluidos</w:t>
            </w:r>
            <w:r w:rsidR="00151E9B">
              <w:rPr>
                <w:rFonts w:ascii="Arial" w:eastAsia="Arial" w:hAnsi="Arial" w:cs="Arial"/>
                <w:sz w:val="16"/>
                <w:szCs w:val="16"/>
              </w:rPr>
              <w:t xml:space="preserve"> inicialmente</w:t>
            </w:r>
            <w:sdt>
              <w:sdtPr>
                <w:rPr>
                  <w:rFonts w:ascii="Arial" w:eastAsia="Arial" w:hAnsi="Arial" w:cs="Arial"/>
                  <w:sz w:val="16"/>
                  <w:szCs w:val="16"/>
                  <w:vertAlign w:val="superscript"/>
                </w:rPr>
                <w:id w:val="1732583969"/>
                <w:citation/>
              </w:sdtPr>
              <w:sdtEndPr/>
              <w:sdtContent>
                <w:r w:rsidR="00743E44" w:rsidRPr="004E416C">
                  <w:rPr>
                    <w:rFonts w:ascii="Arial" w:eastAsia="Arial" w:hAnsi="Arial" w:cs="Arial"/>
                    <w:sz w:val="16"/>
                    <w:szCs w:val="16"/>
                    <w:vertAlign w:val="superscript"/>
                  </w:rPr>
                  <w:fldChar w:fldCharType="begin"/>
                </w:r>
                <w:r w:rsidR="00151E9B" w:rsidRPr="004E416C">
                  <w:rPr>
                    <w:rFonts w:ascii="Arial" w:eastAsia="Arial" w:hAnsi="Arial" w:cs="Arial"/>
                    <w:sz w:val="16"/>
                    <w:szCs w:val="16"/>
                    <w:vertAlign w:val="superscript"/>
                  </w:rPr>
                  <w:instrText xml:space="preserve"> CITATION Jas21 \l 3082 </w:instrText>
                </w:r>
                <w:r w:rsidR="00743E44" w:rsidRPr="004E416C">
                  <w:rPr>
                    <w:rFonts w:ascii="Arial" w:eastAsia="Arial" w:hAnsi="Arial" w:cs="Arial"/>
                    <w:sz w:val="16"/>
                    <w:szCs w:val="16"/>
                    <w:vertAlign w:val="superscript"/>
                  </w:rPr>
                  <w:fldChar w:fldCharType="separate"/>
                </w:r>
                <w:r w:rsidR="00C560F5">
                  <w:rPr>
                    <w:rFonts w:ascii="Arial" w:eastAsia="Arial" w:hAnsi="Arial" w:cs="Arial"/>
                    <w:noProof/>
                    <w:sz w:val="16"/>
                    <w:szCs w:val="16"/>
                    <w:vertAlign w:val="superscript"/>
                  </w:rPr>
                  <w:t xml:space="preserve"> </w:t>
                </w:r>
                <w:r w:rsidR="00C560F5" w:rsidRPr="00C560F5">
                  <w:rPr>
                    <w:rFonts w:ascii="Arial" w:eastAsia="Arial" w:hAnsi="Arial" w:cs="Arial"/>
                    <w:noProof/>
                    <w:sz w:val="16"/>
                    <w:szCs w:val="16"/>
                  </w:rPr>
                  <w:t>(9)</w:t>
                </w:r>
                <w:r w:rsidR="00743E44" w:rsidRPr="004E416C">
                  <w:rPr>
                    <w:rFonts w:ascii="Arial" w:eastAsia="Arial" w:hAnsi="Arial" w:cs="Arial"/>
                    <w:sz w:val="16"/>
                    <w:szCs w:val="16"/>
                    <w:vertAlign w:val="superscript"/>
                  </w:rPr>
                  <w:fldChar w:fldCharType="end"/>
                </w:r>
              </w:sdtContent>
            </w:sdt>
            <w:r w:rsidR="00D47015">
              <w:rPr>
                <w:rFonts w:ascii="Arial" w:eastAsia="Arial" w:hAnsi="Arial" w:cs="Arial"/>
                <w:sz w:val="16"/>
                <w:szCs w:val="16"/>
              </w:rPr>
              <w:t xml:space="preserve"> 62 pacientes (efficacy evaluable; pacientes con hallazgo C de acuerdo a criterios </w:t>
            </w:r>
            <w:r w:rsidR="00D47015" w:rsidRPr="00D47015">
              <w:rPr>
                <w:rFonts w:ascii="Arial" w:eastAsia="Arial" w:hAnsi="Arial" w:cs="Arial"/>
                <w:color w:val="000000" w:themeColor="text1"/>
                <w:sz w:val="16"/>
                <w:szCs w:val="16"/>
              </w:rPr>
              <w:t>mIWG-MRT-ECNM</w:t>
            </w:r>
            <w:r w:rsidR="00D47015">
              <w:rPr>
                <w:rFonts w:ascii="Arial" w:eastAsia="Arial" w:hAnsi="Arial" w:cs="Arial"/>
                <w:color w:val="000000" w:themeColor="text1"/>
                <w:sz w:val="16"/>
                <w:szCs w:val="16"/>
              </w:rPr>
              <w:t xml:space="preserve"> o leucemia mastocítica</w:t>
            </w:r>
            <w:r w:rsidR="00EB04C3">
              <w:rPr>
                <w:rFonts w:ascii="Arial" w:eastAsia="Arial" w:hAnsi="Arial" w:cs="Arial"/>
                <w:color w:val="000000" w:themeColor="text1"/>
                <w:sz w:val="16"/>
                <w:szCs w:val="16"/>
              </w:rPr>
              <w:t>)</w:t>
            </w:r>
            <w:r w:rsidR="00D47015">
              <w:rPr>
                <w:rFonts w:ascii="Arial" w:eastAsia="Arial" w:hAnsi="Arial" w:cs="Arial"/>
                <w:sz w:val="16"/>
                <w:szCs w:val="16"/>
              </w:rPr>
              <w:t>, de los cuales 32 formaban parte del análisis publicado</w:t>
            </w:r>
            <w:r w:rsidR="00151E9B">
              <w:rPr>
                <w:rFonts w:ascii="Arial" w:eastAsia="Arial" w:hAnsi="Arial" w:cs="Arial"/>
                <w:sz w:val="16"/>
                <w:szCs w:val="16"/>
              </w:rPr>
              <w:t xml:space="preserve"> (en la sección de resultados de este informe se muestran los datos con una fecha de corte más avanzada)</w:t>
            </w:r>
            <w:r w:rsidR="00D47015">
              <w:rPr>
                <w:rFonts w:ascii="Arial" w:eastAsia="Arial" w:hAnsi="Arial" w:cs="Arial"/>
                <w:sz w:val="16"/>
                <w:szCs w:val="16"/>
              </w:rPr>
              <w:t>. Los pacientes reciben 200 mg diarios de avapritinib</w:t>
            </w:r>
            <w:r w:rsidR="0069409F">
              <w:rPr>
                <w:rFonts w:ascii="Arial" w:eastAsia="Arial" w:hAnsi="Arial" w:cs="Arial"/>
                <w:sz w:val="16"/>
                <w:szCs w:val="16"/>
              </w:rPr>
              <w:t xml:space="preserve"> en ciclos de 28 días hasta progresión, muerte o intolerancia. Se permitieron modificaciones de dosis de hasta 26 mg/24h </w:t>
            </w:r>
            <w:r w:rsidR="00115A29">
              <w:rPr>
                <w:rFonts w:ascii="Arial" w:eastAsia="Arial" w:hAnsi="Arial" w:cs="Arial"/>
                <w:sz w:val="16"/>
                <w:szCs w:val="16"/>
              </w:rPr>
              <w:t>de acuerdo con</w:t>
            </w:r>
            <w:r w:rsidR="00CD1A73">
              <w:rPr>
                <w:rFonts w:ascii="Arial" w:eastAsia="Arial" w:hAnsi="Arial" w:cs="Arial"/>
                <w:sz w:val="16"/>
                <w:szCs w:val="16"/>
              </w:rPr>
              <w:t xml:space="preserve"> los criterios preestablecidos. </w:t>
            </w:r>
            <w:r w:rsidR="00115A29">
              <w:rPr>
                <w:rFonts w:ascii="Arial" w:eastAsia="Arial" w:hAnsi="Arial" w:cs="Arial"/>
                <w:sz w:val="16"/>
                <w:szCs w:val="16"/>
              </w:rPr>
              <w:t xml:space="preserve">En el apartado de eficacia de este informe GENESIS se cuenta con los datos </w:t>
            </w:r>
            <w:r w:rsidR="00717178">
              <w:rPr>
                <w:rFonts w:ascii="Arial" w:eastAsia="Arial" w:hAnsi="Arial" w:cs="Arial"/>
                <w:sz w:val="16"/>
                <w:szCs w:val="16"/>
              </w:rPr>
              <w:t>aportados</w:t>
            </w:r>
            <w:r w:rsidR="00115A29">
              <w:rPr>
                <w:rFonts w:ascii="Arial" w:eastAsia="Arial" w:hAnsi="Arial" w:cs="Arial"/>
                <w:sz w:val="16"/>
                <w:szCs w:val="16"/>
              </w:rPr>
              <w:t xml:space="preserve"> por el laboratorio con fecha de corte abril de 202</w:t>
            </w:r>
            <w:r w:rsidR="00F567D7">
              <w:rPr>
                <w:rFonts w:ascii="Arial" w:eastAsia="Arial" w:hAnsi="Arial" w:cs="Arial"/>
                <w:sz w:val="16"/>
                <w:szCs w:val="16"/>
              </w:rPr>
              <w:t>1</w:t>
            </w:r>
            <w:r w:rsidR="00115A29">
              <w:rPr>
                <w:rFonts w:ascii="Arial" w:eastAsia="Arial" w:hAnsi="Arial" w:cs="Arial"/>
                <w:sz w:val="16"/>
                <w:szCs w:val="16"/>
              </w:rPr>
              <w:t>.</w:t>
            </w:r>
            <w:r w:rsidR="00EB04C3">
              <w:rPr>
                <w:rFonts w:ascii="Arial" w:eastAsia="Arial" w:hAnsi="Arial" w:cs="Arial"/>
                <w:sz w:val="16"/>
                <w:szCs w:val="16"/>
              </w:rPr>
              <w:t xml:space="preserve"> </w:t>
            </w:r>
            <w:r w:rsidR="004E416C">
              <w:rPr>
                <w:rFonts w:ascii="Arial" w:eastAsia="Arial" w:hAnsi="Arial" w:cs="Arial"/>
                <w:sz w:val="16"/>
                <w:szCs w:val="16"/>
              </w:rPr>
              <w:t>El  marco de tiempo considerado fue de 10  meses.</w:t>
            </w:r>
          </w:p>
          <w:p w:rsidR="00A35DDA" w:rsidRDefault="00EB04C3">
            <w:pPr>
              <w:ind w:left="0" w:hanging="2"/>
              <w:jc w:val="both"/>
              <w:rPr>
                <w:rFonts w:ascii="Arial" w:eastAsia="Arial" w:hAnsi="Arial" w:cs="Arial"/>
                <w:sz w:val="16"/>
                <w:szCs w:val="16"/>
              </w:rPr>
            </w:pPr>
            <w:r w:rsidRPr="00F567D7">
              <w:rPr>
                <w:rFonts w:ascii="Arial" w:eastAsia="Arial" w:hAnsi="Arial" w:cs="Arial"/>
                <w:b/>
                <w:bCs/>
                <w:sz w:val="16"/>
                <w:szCs w:val="16"/>
                <w:u w:val="single"/>
              </w:rPr>
              <w:lastRenderedPageBreak/>
              <w:t>Criterios de inclusión</w:t>
            </w:r>
            <w:r>
              <w:rPr>
                <w:rFonts w:ascii="Arial" w:eastAsia="Arial" w:hAnsi="Arial" w:cs="Arial"/>
                <w:sz w:val="16"/>
                <w:szCs w:val="16"/>
              </w:rPr>
              <w:t>: adultos mayores de 18 años, diagnóstico de MSA confirmado (MSA, MS-NHA (</w:t>
            </w:r>
            <w:r w:rsidR="00984A24">
              <w:rPr>
                <w:rFonts w:ascii="Arial" w:eastAsia="Arial" w:hAnsi="Arial" w:cs="Arial"/>
                <w:sz w:val="16"/>
                <w:szCs w:val="16"/>
              </w:rPr>
              <w:t xml:space="preserve">la neoplasia asociada </w:t>
            </w:r>
            <w:r>
              <w:rPr>
                <w:rFonts w:ascii="Arial" w:eastAsia="Arial" w:hAnsi="Arial" w:cs="Arial"/>
                <w:sz w:val="16"/>
                <w:szCs w:val="16"/>
              </w:rPr>
              <w:t>debe ser mieloide</w:t>
            </w:r>
            <w:r w:rsidR="00984A24">
              <w:rPr>
                <w:rFonts w:ascii="Arial" w:eastAsia="Arial" w:hAnsi="Arial" w:cs="Arial"/>
                <w:sz w:val="16"/>
                <w:szCs w:val="16"/>
              </w:rPr>
              <w:t>)</w:t>
            </w:r>
            <w:r>
              <w:rPr>
                <w:rFonts w:ascii="Arial" w:eastAsia="Arial" w:hAnsi="Arial" w:cs="Arial"/>
                <w:sz w:val="16"/>
                <w:szCs w:val="16"/>
              </w:rPr>
              <w:t>, LM</w:t>
            </w:r>
            <w:r w:rsidR="00984A24">
              <w:rPr>
                <w:rFonts w:ascii="Arial" w:eastAsia="Arial" w:hAnsi="Arial" w:cs="Arial"/>
                <w:sz w:val="16"/>
                <w:szCs w:val="16"/>
              </w:rPr>
              <w:t>), los pacientes con MS-NHA deben haber recibido tratamiento previo para la misma si, a criterio del investigador, existía una terapia adecuada, debe haber una biopsia de médula ósea</w:t>
            </w:r>
            <w:r w:rsidR="00F4612D">
              <w:rPr>
                <w:rFonts w:ascii="Arial" w:eastAsia="Arial" w:hAnsi="Arial" w:cs="Arial"/>
                <w:sz w:val="16"/>
                <w:szCs w:val="16"/>
              </w:rPr>
              <w:t xml:space="preserve"> </w:t>
            </w:r>
            <w:r w:rsidR="00F567D7">
              <w:rPr>
                <w:rFonts w:ascii="Arial" w:eastAsia="Arial" w:hAnsi="Arial" w:cs="Arial"/>
                <w:sz w:val="16"/>
                <w:szCs w:val="16"/>
              </w:rPr>
              <w:t>en los</w:t>
            </w:r>
            <w:r w:rsidR="00984A24">
              <w:rPr>
                <w:rFonts w:ascii="Arial" w:eastAsia="Arial" w:hAnsi="Arial" w:cs="Arial"/>
                <w:sz w:val="16"/>
                <w:szCs w:val="16"/>
              </w:rPr>
              <w:t xml:space="preserve"> 56 días previos, presencia de hallazgos C en cohorte 1 excepto LM</w:t>
            </w:r>
            <w:r w:rsidR="00A35DDA">
              <w:rPr>
                <w:rFonts w:ascii="Arial" w:eastAsia="Arial" w:hAnsi="Arial" w:cs="Arial"/>
                <w:sz w:val="16"/>
                <w:szCs w:val="16"/>
              </w:rPr>
              <w:t xml:space="preserve"> y no siendo válidos en caso de mejoría previa dosis de avapritinib. </w:t>
            </w:r>
          </w:p>
          <w:p w:rsidR="00A35DDA" w:rsidRDefault="00A35DDA">
            <w:pPr>
              <w:ind w:left="0" w:hanging="2"/>
              <w:jc w:val="both"/>
              <w:rPr>
                <w:rFonts w:ascii="Arial" w:eastAsia="Arial" w:hAnsi="Arial" w:cs="Arial"/>
                <w:sz w:val="16"/>
                <w:szCs w:val="16"/>
              </w:rPr>
            </w:pPr>
          </w:p>
          <w:p w:rsidR="00A35DDA" w:rsidRDefault="00A35DDA" w:rsidP="00A35DDA">
            <w:pPr>
              <w:ind w:left="0" w:hanging="2"/>
              <w:jc w:val="center"/>
              <w:rPr>
                <w:rFonts w:ascii="Arial" w:eastAsia="Arial" w:hAnsi="Arial" w:cs="Arial"/>
                <w:color w:val="000000" w:themeColor="text1"/>
                <w:sz w:val="16"/>
                <w:szCs w:val="16"/>
              </w:rPr>
            </w:pPr>
            <w:r>
              <w:rPr>
                <w:noProof/>
              </w:rPr>
              <w:drawing>
                <wp:inline distT="0" distB="0" distL="0" distR="0">
                  <wp:extent cx="5283508" cy="62198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34628" t="25905" r="38286" b="17411"/>
                          <a:stretch/>
                        </pic:blipFill>
                        <pic:spPr bwMode="auto">
                          <a:xfrm>
                            <a:off x="0" y="0"/>
                            <a:ext cx="5308449" cy="6249186"/>
                          </a:xfrm>
                          <a:prstGeom prst="rect">
                            <a:avLst/>
                          </a:prstGeom>
                          <a:ln>
                            <a:noFill/>
                          </a:ln>
                          <a:extLst>
                            <a:ext uri="{53640926-AAD7-44D8-BBD7-CCE9431645EC}">
                              <a14:shadowObscured xmlns:a14="http://schemas.microsoft.com/office/drawing/2010/main"/>
                            </a:ext>
                          </a:extLst>
                        </pic:spPr>
                      </pic:pic>
                    </a:graphicData>
                  </a:graphic>
                </wp:inline>
              </w:drawing>
            </w:r>
          </w:p>
          <w:p w:rsidR="00A35DDA" w:rsidRDefault="00A35DDA">
            <w:pPr>
              <w:ind w:left="0" w:hanging="2"/>
              <w:jc w:val="both"/>
              <w:rPr>
                <w:rFonts w:ascii="Arial" w:eastAsia="Arial" w:hAnsi="Arial" w:cs="Arial"/>
                <w:color w:val="000000" w:themeColor="text1"/>
                <w:sz w:val="16"/>
                <w:szCs w:val="16"/>
              </w:rPr>
            </w:pPr>
            <w:r>
              <w:rPr>
                <w:rFonts w:ascii="Arial" w:eastAsia="Arial" w:hAnsi="Arial" w:cs="Arial"/>
                <w:color w:val="000000" w:themeColor="text1"/>
                <w:sz w:val="16"/>
                <w:szCs w:val="16"/>
              </w:rPr>
              <w:t>Otros criterios de inclusión son la presencia de agregados de células mastocíticas</w:t>
            </w:r>
            <w:r w:rsidR="00F4612D">
              <w:rPr>
                <w:rFonts w:ascii="Arial" w:eastAsia="Arial" w:hAnsi="Arial" w:cs="Arial"/>
                <w:color w:val="000000" w:themeColor="text1"/>
                <w:sz w:val="16"/>
                <w:szCs w:val="16"/>
              </w:rPr>
              <w:t>, triptasa sérica mayor o igual a 20 ng/ml, los pacientes que estaban recibiendo terapia citorreductora en las 12 semanas previas debían haber discontinuado debido a progresión de la enfermedad, refractariedad, falta de eficacia o intolerancia, la medicación no antineoplásica del paciente debe ser estable en las dos semanas siguientes al C1-D8 excepto progresión de la enfermedad e interés del paciente previo visto bueno del monitor del estudio, dosis máxima de corticoides  tiene que ser menor o igual a 20 mg de prednisona y ser estable en al menos las dos semanas siguientes a C1D8</w:t>
            </w:r>
            <w:r w:rsidR="00BA6EEB">
              <w:rPr>
                <w:rFonts w:ascii="Arial" w:eastAsia="Arial" w:hAnsi="Arial" w:cs="Arial"/>
                <w:color w:val="000000" w:themeColor="text1"/>
                <w:sz w:val="16"/>
                <w:szCs w:val="16"/>
              </w:rPr>
              <w:t xml:space="preserve"> excepto progresión de la enfermedad, ECOG 0-3. </w:t>
            </w:r>
            <w:r w:rsidR="00F4612D">
              <w:rPr>
                <w:rFonts w:ascii="Arial" w:eastAsia="Arial" w:hAnsi="Arial" w:cs="Arial"/>
                <w:color w:val="000000" w:themeColor="text1"/>
                <w:sz w:val="16"/>
                <w:szCs w:val="16"/>
              </w:rPr>
              <w:t xml:space="preserve"> </w:t>
            </w:r>
          </w:p>
          <w:p w:rsidR="00BF5EDE" w:rsidRDefault="00A35DDA">
            <w:pPr>
              <w:ind w:left="0" w:hanging="2"/>
              <w:jc w:val="both"/>
              <w:rPr>
                <w:rFonts w:ascii="Arial" w:eastAsia="Arial" w:hAnsi="Arial" w:cs="Arial"/>
                <w:color w:val="000000" w:themeColor="text1"/>
                <w:sz w:val="16"/>
                <w:szCs w:val="16"/>
              </w:rPr>
            </w:pPr>
            <w:r w:rsidRPr="00F567D7">
              <w:rPr>
                <w:rFonts w:ascii="Arial" w:eastAsia="Arial" w:hAnsi="Arial" w:cs="Arial"/>
                <w:b/>
                <w:bCs/>
                <w:color w:val="000000" w:themeColor="text1"/>
                <w:sz w:val="16"/>
                <w:szCs w:val="16"/>
                <w:u w:val="single"/>
              </w:rPr>
              <w:t>Criterios de exclusión</w:t>
            </w:r>
            <w:r>
              <w:rPr>
                <w:rFonts w:ascii="Arial" w:eastAsia="Arial" w:hAnsi="Arial" w:cs="Arial"/>
                <w:color w:val="000000" w:themeColor="text1"/>
                <w:sz w:val="16"/>
                <w:szCs w:val="16"/>
              </w:rPr>
              <w:t xml:space="preserve">: </w:t>
            </w:r>
            <w:r w:rsidR="00BA6EEB">
              <w:rPr>
                <w:rFonts w:ascii="Arial" w:eastAsia="Arial" w:hAnsi="Arial" w:cs="Arial"/>
                <w:color w:val="000000" w:themeColor="text1"/>
                <w:sz w:val="16"/>
                <w:szCs w:val="16"/>
              </w:rPr>
              <w:t xml:space="preserve">Tratamiento previo con avapritinib, terapia citorredutora previa o radioterapia o factores de crecimiento hematopoyético en las dos semanas previas al screening con biopsia de médula ósea (28 días para cladribina, interferones y MABs), tratamiento con inductores potentes o moderados o inhibidores potentes del CYP3A4, cirugía mayor en los 14 días previos a la primera dosis, </w:t>
            </w:r>
            <w:r w:rsidR="00874292">
              <w:rPr>
                <w:rFonts w:ascii="Arial" w:eastAsia="Arial" w:hAnsi="Arial" w:cs="Arial"/>
                <w:color w:val="000000" w:themeColor="text1"/>
                <w:sz w:val="16"/>
                <w:szCs w:val="16"/>
              </w:rPr>
              <w:t xml:space="preserve">candidato a trasplante alogénico de células hematopoyéticas, eosinofilia y proteína de fusión FIP1L1-PDFGRA + excepto recaída a </w:t>
            </w:r>
            <w:r w:rsidR="00287F58">
              <w:rPr>
                <w:rFonts w:ascii="Arial" w:eastAsia="Arial" w:hAnsi="Arial" w:cs="Arial"/>
                <w:color w:val="000000" w:themeColor="text1"/>
                <w:sz w:val="16"/>
                <w:szCs w:val="16"/>
              </w:rPr>
              <w:t>terapia</w:t>
            </w:r>
            <w:r w:rsidR="00874292">
              <w:rPr>
                <w:rFonts w:ascii="Arial" w:eastAsia="Arial" w:hAnsi="Arial" w:cs="Arial"/>
                <w:color w:val="000000" w:themeColor="text1"/>
                <w:sz w:val="16"/>
                <w:szCs w:val="16"/>
              </w:rPr>
              <w:t xml:space="preserve"> previa con imatinib, historia previa de neoplasia en los 3 años previos a la primera dosis de avapritinib (ver excepciones), AST/ALT &gt;3 ULN (no si sospecha de infiltrados hepáticos de CM), bilirrubina &gt; 1.5 ULN</w:t>
            </w:r>
            <w:r w:rsidR="00B65088">
              <w:rPr>
                <w:rFonts w:ascii="Arial" w:eastAsia="Arial" w:hAnsi="Arial" w:cs="Arial"/>
                <w:color w:val="000000" w:themeColor="text1"/>
                <w:sz w:val="16"/>
                <w:szCs w:val="16"/>
              </w:rPr>
              <w:t xml:space="preserve">, FG &lt; 30 ml/min o creatinina &gt; 1.5 ULN, plaquetas &lt; 50.000/µL o trasfusión de plaquetas, </w:t>
            </w:r>
            <w:r w:rsidR="00B65088">
              <w:rPr>
                <w:rFonts w:ascii="Arial" w:eastAsia="Arial" w:hAnsi="Arial" w:cs="Arial"/>
                <w:color w:val="000000" w:themeColor="text1"/>
                <w:sz w:val="16"/>
                <w:szCs w:val="16"/>
              </w:rPr>
              <w:lastRenderedPageBreak/>
              <w:t xml:space="preserve">intervalo QT&gt; 480 </w:t>
            </w:r>
            <w:r w:rsidR="00F567D7">
              <w:rPr>
                <w:rFonts w:ascii="Arial" w:eastAsia="Arial" w:hAnsi="Arial" w:cs="Arial"/>
                <w:color w:val="000000" w:themeColor="text1"/>
                <w:sz w:val="16"/>
                <w:szCs w:val="16"/>
              </w:rPr>
              <w:t>ms</w:t>
            </w:r>
            <w:r w:rsidR="00B65088">
              <w:rPr>
                <w:rFonts w:ascii="Arial" w:eastAsia="Arial" w:hAnsi="Arial" w:cs="Arial"/>
                <w:color w:val="000000" w:themeColor="text1"/>
                <w:sz w:val="16"/>
                <w:szCs w:val="16"/>
              </w:rPr>
              <w:t>, historia de epilepsia, ACV en 1 año previa primera dosis, historia de sangrado intracraneal en el año previo al inicio de avapritinib.</w:t>
            </w:r>
          </w:p>
          <w:p w:rsidR="00A35DDA" w:rsidRDefault="00BF5EDE" w:rsidP="00F36ED1">
            <w:pPr>
              <w:ind w:leftChars="0" w:left="0" w:firstLineChars="0" w:firstLine="0"/>
              <w:jc w:val="both"/>
              <w:rPr>
                <w:rFonts w:ascii="Arial" w:eastAsia="Arial" w:hAnsi="Arial" w:cs="Arial"/>
                <w:color w:val="000000" w:themeColor="text1"/>
                <w:sz w:val="16"/>
                <w:szCs w:val="16"/>
              </w:rPr>
            </w:pPr>
            <w:r>
              <w:rPr>
                <w:rFonts w:ascii="Arial" w:eastAsia="Arial" w:hAnsi="Arial" w:cs="Arial"/>
                <w:color w:val="000000" w:themeColor="text1"/>
                <w:sz w:val="16"/>
                <w:szCs w:val="16"/>
              </w:rPr>
              <w:t>Para determinar la eficacia de avapritinib se realizó un análisis pre</w:t>
            </w:r>
            <w:r w:rsidR="00F6056E">
              <w:rPr>
                <w:rFonts w:ascii="Arial" w:eastAsia="Arial" w:hAnsi="Arial" w:cs="Arial"/>
                <w:color w:val="000000" w:themeColor="text1"/>
                <w:sz w:val="16"/>
                <w:szCs w:val="16"/>
              </w:rPr>
              <w:t>especificado</w:t>
            </w:r>
            <w:r>
              <w:rPr>
                <w:rFonts w:ascii="Arial" w:eastAsia="Arial" w:hAnsi="Arial" w:cs="Arial"/>
                <w:color w:val="000000" w:themeColor="text1"/>
                <w:sz w:val="16"/>
                <w:szCs w:val="16"/>
              </w:rPr>
              <w:t xml:space="preserve"> para demostrar superioridad frente a la variable principal TRG 28%. El análisis se predefinió para población global y por subtipos de enfermedad</w:t>
            </w:r>
            <w:r w:rsidR="004E416C">
              <w:rPr>
                <w:rFonts w:ascii="Arial" w:eastAsia="Arial" w:hAnsi="Arial" w:cs="Arial"/>
                <w:color w:val="000000" w:themeColor="text1"/>
                <w:sz w:val="16"/>
                <w:szCs w:val="16"/>
              </w:rPr>
              <w:t>.</w:t>
            </w:r>
            <w:r>
              <w:rPr>
                <w:rFonts w:ascii="Arial" w:eastAsia="Arial" w:hAnsi="Arial" w:cs="Arial"/>
                <w:color w:val="000000" w:themeColor="text1"/>
                <w:sz w:val="16"/>
                <w:szCs w:val="16"/>
              </w:rPr>
              <w:t xml:space="preserve"> La hipótesis nula se generó usando la TRG de </w:t>
            </w:r>
            <w:r w:rsidR="00287F58">
              <w:rPr>
                <w:rFonts w:ascii="Arial" w:eastAsia="Arial" w:hAnsi="Arial" w:cs="Arial"/>
                <w:color w:val="000000" w:themeColor="text1"/>
                <w:sz w:val="16"/>
                <w:szCs w:val="16"/>
              </w:rPr>
              <w:t>midostaurina</w:t>
            </w:r>
            <w:r>
              <w:rPr>
                <w:rFonts w:ascii="Arial" w:eastAsia="Arial" w:hAnsi="Arial" w:cs="Arial"/>
                <w:color w:val="000000" w:themeColor="text1"/>
                <w:sz w:val="16"/>
                <w:szCs w:val="16"/>
              </w:rPr>
              <w:t xml:space="preserve"> del 28</w:t>
            </w:r>
            <w:r w:rsidR="00634980">
              <w:rPr>
                <w:rFonts w:ascii="Arial" w:eastAsia="Arial" w:hAnsi="Arial" w:cs="Arial"/>
                <w:color w:val="000000" w:themeColor="text1"/>
                <w:sz w:val="16"/>
                <w:szCs w:val="16"/>
              </w:rPr>
              <w:t>,</w:t>
            </w:r>
            <w:r>
              <w:rPr>
                <w:rFonts w:ascii="Arial" w:eastAsia="Arial" w:hAnsi="Arial" w:cs="Arial"/>
                <w:color w:val="000000" w:themeColor="text1"/>
                <w:sz w:val="16"/>
                <w:szCs w:val="16"/>
              </w:rPr>
              <w:t>3%</w:t>
            </w:r>
            <w:r w:rsidR="00F567D7">
              <w:rPr>
                <w:rFonts w:ascii="Arial" w:eastAsia="Arial" w:hAnsi="Arial" w:cs="Arial"/>
                <w:color w:val="000000" w:themeColor="text1"/>
                <w:sz w:val="16"/>
                <w:szCs w:val="16"/>
              </w:rPr>
              <w:t>,</w:t>
            </w:r>
            <w:r>
              <w:rPr>
                <w:rFonts w:ascii="Arial" w:eastAsia="Arial" w:hAnsi="Arial" w:cs="Arial"/>
                <w:color w:val="000000" w:themeColor="text1"/>
                <w:sz w:val="16"/>
                <w:szCs w:val="16"/>
              </w:rPr>
              <w:t xml:space="preserve"> </w:t>
            </w:r>
            <w:r w:rsidR="00F567D7">
              <w:rPr>
                <w:rFonts w:ascii="Arial" w:eastAsia="Arial" w:hAnsi="Arial" w:cs="Arial"/>
                <w:color w:val="000000" w:themeColor="text1"/>
                <w:sz w:val="16"/>
                <w:szCs w:val="16"/>
              </w:rPr>
              <w:t>de acuerdo con</w:t>
            </w:r>
            <w:r>
              <w:rPr>
                <w:rFonts w:ascii="Arial" w:eastAsia="Arial" w:hAnsi="Arial" w:cs="Arial"/>
                <w:color w:val="000000" w:themeColor="text1"/>
                <w:sz w:val="16"/>
                <w:szCs w:val="16"/>
              </w:rPr>
              <w:t xml:space="preserve"> los criterios mIWG</w:t>
            </w:r>
            <w:r w:rsidRPr="00D47015">
              <w:rPr>
                <w:rFonts w:ascii="Arial" w:eastAsia="Arial" w:hAnsi="Arial" w:cs="Arial"/>
                <w:color w:val="000000" w:themeColor="text1"/>
                <w:sz w:val="16"/>
                <w:szCs w:val="16"/>
              </w:rPr>
              <w:t>-MRT-ECNM</w:t>
            </w:r>
            <w:r w:rsidR="00D01D29">
              <w:rPr>
                <w:rFonts w:ascii="Arial" w:eastAsia="Arial" w:hAnsi="Arial" w:cs="Arial"/>
                <w:color w:val="000000" w:themeColor="text1"/>
                <w:sz w:val="16"/>
                <w:szCs w:val="16"/>
              </w:rPr>
              <w:t xml:space="preserve">. La variable primaria se presentó para la población con respuesta </w:t>
            </w:r>
            <w:r w:rsidR="00287F58">
              <w:rPr>
                <w:rFonts w:ascii="Arial" w:eastAsia="Arial" w:hAnsi="Arial" w:cs="Arial"/>
                <w:color w:val="000000" w:themeColor="text1"/>
                <w:sz w:val="16"/>
                <w:szCs w:val="16"/>
              </w:rPr>
              <w:t>evaluable</w:t>
            </w:r>
            <w:r w:rsidR="00D01D29">
              <w:rPr>
                <w:rFonts w:ascii="Arial" w:eastAsia="Arial" w:hAnsi="Arial" w:cs="Arial"/>
                <w:color w:val="000000" w:themeColor="text1"/>
                <w:sz w:val="16"/>
                <w:szCs w:val="16"/>
              </w:rPr>
              <w:t xml:space="preserve">. El resto de </w:t>
            </w:r>
            <w:r w:rsidR="00F567D7">
              <w:rPr>
                <w:rFonts w:ascii="Arial" w:eastAsia="Arial" w:hAnsi="Arial" w:cs="Arial"/>
                <w:color w:val="000000" w:themeColor="text1"/>
                <w:sz w:val="16"/>
                <w:szCs w:val="16"/>
              </w:rPr>
              <w:t>las variables</w:t>
            </w:r>
            <w:r w:rsidR="00D01D29">
              <w:rPr>
                <w:rFonts w:ascii="Arial" w:eastAsia="Arial" w:hAnsi="Arial" w:cs="Arial"/>
                <w:color w:val="000000" w:themeColor="text1"/>
                <w:sz w:val="16"/>
                <w:szCs w:val="16"/>
              </w:rPr>
              <w:t xml:space="preserve"> secundarias/exploratorias se presentaron también para las cohortes “safety population” y población evaluable PP. </w:t>
            </w:r>
          </w:p>
          <w:p w:rsidR="00D01D29" w:rsidRDefault="00D01D29">
            <w:pPr>
              <w:ind w:left="0" w:hanging="2"/>
              <w:jc w:val="both"/>
              <w:rPr>
                <w:rFonts w:ascii="Arial" w:eastAsia="Arial" w:hAnsi="Arial" w:cs="Arial"/>
                <w:color w:val="000000" w:themeColor="text1"/>
                <w:sz w:val="16"/>
                <w:szCs w:val="16"/>
              </w:rPr>
            </w:pPr>
            <w:r>
              <w:rPr>
                <w:rFonts w:ascii="Arial" w:eastAsia="Arial" w:hAnsi="Arial" w:cs="Arial"/>
                <w:color w:val="000000" w:themeColor="text1"/>
                <w:sz w:val="16"/>
                <w:szCs w:val="16"/>
              </w:rPr>
              <w:t xml:space="preserve">El tamaño muestral de la cohorte </w:t>
            </w:r>
            <w:r w:rsidR="00F567D7">
              <w:rPr>
                <w:rFonts w:ascii="Arial" w:eastAsia="Arial" w:hAnsi="Arial" w:cs="Arial"/>
                <w:color w:val="000000" w:themeColor="text1"/>
                <w:sz w:val="16"/>
                <w:szCs w:val="16"/>
              </w:rPr>
              <w:t>1 de</w:t>
            </w:r>
            <w:r>
              <w:rPr>
                <w:rFonts w:ascii="Arial" w:eastAsia="Arial" w:hAnsi="Arial" w:cs="Arial"/>
                <w:color w:val="000000" w:themeColor="text1"/>
                <w:sz w:val="16"/>
                <w:szCs w:val="16"/>
              </w:rPr>
              <w:t xml:space="preserve"> 63 pacientes se estimó para lograr un 93</w:t>
            </w:r>
            <w:r w:rsidR="004E416C">
              <w:rPr>
                <w:rFonts w:ascii="Arial" w:eastAsia="Arial" w:hAnsi="Arial" w:cs="Arial"/>
                <w:color w:val="000000" w:themeColor="text1"/>
                <w:sz w:val="16"/>
                <w:szCs w:val="16"/>
              </w:rPr>
              <w:t>,</w:t>
            </w:r>
            <w:r>
              <w:rPr>
                <w:rFonts w:ascii="Arial" w:eastAsia="Arial" w:hAnsi="Arial" w:cs="Arial"/>
                <w:color w:val="000000" w:themeColor="text1"/>
                <w:sz w:val="16"/>
                <w:szCs w:val="16"/>
              </w:rPr>
              <w:t>5 de potencia con una p de 0</w:t>
            </w:r>
            <w:r w:rsidR="00634980">
              <w:rPr>
                <w:rFonts w:ascii="Arial" w:eastAsia="Arial" w:hAnsi="Arial" w:cs="Arial"/>
                <w:color w:val="000000" w:themeColor="text1"/>
                <w:sz w:val="16"/>
                <w:szCs w:val="16"/>
              </w:rPr>
              <w:t>,</w:t>
            </w:r>
            <w:r>
              <w:rPr>
                <w:rFonts w:ascii="Arial" w:eastAsia="Arial" w:hAnsi="Arial" w:cs="Arial"/>
                <w:color w:val="000000" w:themeColor="text1"/>
                <w:sz w:val="16"/>
                <w:szCs w:val="16"/>
              </w:rPr>
              <w:t xml:space="preserve">025, teniendo en cuenta la hipótesis nula del </w:t>
            </w:r>
            <w:r w:rsidR="00FF6A63">
              <w:rPr>
                <w:rFonts w:ascii="Arial" w:eastAsia="Arial" w:hAnsi="Arial" w:cs="Arial"/>
                <w:color w:val="000000" w:themeColor="text1"/>
                <w:sz w:val="16"/>
                <w:szCs w:val="16"/>
              </w:rPr>
              <w:t>28% de TRG frente a la hipótesis alternativa de TRG del 50%. También se buscó el tamaño muestral adecuado para demostrar diferencias en la variable secundaria TSS (más de 90% de poder con una p de 0</w:t>
            </w:r>
            <w:r w:rsidR="00634980">
              <w:rPr>
                <w:rFonts w:ascii="Arial" w:eastAsia="Arial" w:hAnsi="Arial" w:cs="Arial"/>
                <w:color w:val="000000" w:themeColor="text1"/>
                <w:sz w:val="16"/>
                <w:szCs w:val="16"/>
              </w:rPr>
              <w:t>,</w:t>
            </w:r>
            <w:r w:rsidR="00FF6A63">
              <w:rPr>
                <w:rFonts w:ascii="Arial" w:eastAsia="Arial" w:hAnsi="Arial" w:cs="Arial"/>
                <w:color w:val="000000" w:themeColor="text1"/>
                <w:sz w:val="16"/>
                <w:szCs w:val="16"/>
              </w:rPr>
              <w:t xml:space="preserve">025 para encontrar un cambio medio de TSS≥0 frente a la alternativa TSS≤-10. </w:t>
            </w:r>
            <w:r w:rsidR="0069409F">
              <w:rPr>
                <w:rFonts w:ascii="Arial" w:eastAsia="Arial" w:hAnsi="Arial" w:cs="Arial"/>
                <w:color w:val="000000" w:themeColor="text1"/>
                <w:sz w:val="16"/>
                <w:szCs w:val="16"/>
              </w:rPr>
              <w:t xml:space="preserve">El análisis se realizó una vez que 32 pacientes tenían el tiempo de seguimiento adecuado. Sí se incluyeron todos los pacientes en el análisis de seguridad. </w:t>
            </w:r>
          </w:p>
          <w:p w:rsidR="00B74082" w:rsidRDefault="00A35DDA" w:rsidP="0069409F">
            <w:pPr>
              <w:ind w:left="0" w:hanging="2"/>
              <w:jc w:val="both"/>
              <w:rPr>
                <w:rFonts w:ascii="Arial" w:eastAsia="Arial" w:hAnsi="Arial" w:cs="Arial"/>
                <w:sz w:val="16"/>
                <w:szCs w:val="16"/>
              </w:rPr>
            </w:pPr>
            <w:r>
              <w:rPr>
                <w:rFonts w:ascii="Arial" w:eastAsia="Arial" w:hAnsi="Arial" w:cs="Arial"/>
                <w:sz w:val="16"/>
                <w:szCs w:val="16"/>
              </w:rPr>
              <w:t xml:space="preserve"> </w:t>
            </w:r>
            <w:r w:rsidR="00984A24">
              <w:rPr>
                <w:rFonts w:ascii="Arial" w:eastAsia="Arial" w:hAnsi="Arial" w:cs="Arial"/>
                <w:sz w:val="16"/>
                <w:szCs w:val="16"/>
              </w:rPr>
              <w:t xml:space="preserve"> </w:t>
            </w:r>
            <w:r w:rsidR="00EB04C3">
              <w:rPr>
                <w:rFonts w:ascii="Arial" w:eastAsia="Arial" w:hAnsi="Arial" w:cs="Arial"/>
                <w:sz w:val="16"/>
                <w:szCs w:val="16"/>
              </w:rPr>
              <w:t xml:space="preserve"> </w:t>
            </w:r>
          </w:p>
        </w:tc>
      </w:tr>
      <w:tr w:rsidR="00B74082" w:rsidTr="00CB0292">
        <w:trPr>
          <w:gridAfter w:val="1"/>
          <w:wAfter w:w="36" w:type="dxa"/>
          <w:cantSplit/>
          <w:trHeight w:val="230"/>
        </w:trPr>
        <w:tc>
          <w:tcPr>
            <w:tcW w:w="8890" w:type="dxa"/>
            <w:gridSpan w:val="5"/>
            <w:shd w:val="clear" w:color="auto" w:fill="CCFFCC"/>
          </w:tcPr>
          <w:p w:rsidR="00B74082" w:rsidRDefault="00DA20C8">
            <w:pPr>
              <w:ind w:left="0" w:hanging="2"/>
              <w:jc w:val="both"/>
              <w:rPr>
                <w:rFonts w:ascii="Arial" w:eastAsia="Arial" w:hAnsi="Arial" w:cs="Arial"/>
                <w:sz w:val="16"/>
                <w:szCs w:val="16"/>
              </w:rPr>
            </w:pPr>
            <w:r>
              <w:rPr>
                <w:rFonts w:ascii="Arial" w:eastAsia="Arial" w:hAnsi="Arial" w:cs="Arial"/>
                <w:b/>
                <w:i/>
                <w:sz w:val="16"/>
                <w:szCs w:val="16"/>
              </w:rPr>
              <w:lastRenderedPageBreak/>
              <w:t xml:space="preserve">Resultados  </w:t>
            </w:r>
          </w:p>
        </w:tc>
      </w:tr>
      <w:tr w:rsidR="00CB0292" w:rsidRPr="009929D0" w:rsidTr="00CB0292">
        <w:trPr>
          <w:trHeight w:val="230"/>
        </w:trPr>
        <w:tc>
          <w:tcPr>
            <w:tcW w:w="2638" w:type="dxa"/>
          </w:tcPr>
          <w:p w:rsidR="00CB0292" w:rsidRDefault="00F567D7" w:rsidP="00CB0292">
            <w:pPr>
              <w:ind w:left="0" w:hanging="2"/>
              <w:jc w:val="both"/>
              <w:rPr>
                <w:rFonts w:ascii="Arial" w:eastAsia="Arial" w:hAnsi="Arial" w:cs="Arial"/>
                <w:sz w:val="16"/>
                <w:szCs w:val="16"/>
              </w:rPr>
            </w:pPr>
            <w:r>
              <w:rPr>
                <w:rFonts w:ascii="Arial" w:hAnsi="Arial" w:cs="Arial"/>
                <w:b/>
                <w:bCs/>
                <w:i/>
                <w:iCs/>
                <w:color w:val="000000"/>
                <w:sz w:val="16"/>
                <w:szCs w:val="16"/>
              </w:rPr>
              <w:t>Variable evaluada</w:t>
            </w:r>
            <w:r w:rsidR="00CB0292">
              <w:rPr>
                <w:rFonts w:ascii="Arial" w:hAnsi="Arial" w:cs="Arial"/>
                <w:b/>
                <w:bCs/>
                <w:i/>
                <w:iCs/>
                <w:color w:val="000000"/>
                <w:sz w:val="16"/>
                <w:szCs w:val="16"/>
              </w:rPr>
              <w:t xml:space="preserve"> en el estudio</w:t>
            </w:r>
          </w:p>
        </w:tc>
        <w:tc>
          <w:tcPr>
            <w:tcW w:w="1248" w:type="dxa"/>
          </w:tcPr>
          <w:p w:rsidR="00CB0292" w:rsidRDefault="00CB0292" w:rsidP="00CB0292">
            <w:pPr>
              <w:pStyle w:val="NormalWeb"/>
              <w:spacing w:before="0" w:beforeAutospacing="0" w:after="0" w:afterAutospacing="0"/>
              <w:ind w:left="0" w:hanging="2"/>
            </w:pPr>
            <w:r>
              <w:rPr>
                <w:rFonts w:ascii="Arial" w:hAnsi="Arial" w:cs="Arial"/>
                <w:b/>
                <w:bCs/>
                <w:i/>
                <w:iCs/>
                <w:color w:val="000000"/>
                <w:sz w:val="16"/>
                <w:szCs w:val="16"/>
              </w:rPr>
              <w:t>Total pacientes</w:t>
            </w:r>
          </w:p>
          <w:p w:rsidR="00CB0292" w:rsidRDefault="00CB0292" w:rsidP="00CB0292">
            <w:pPr>
              <w:tabs>
                <w:tab w:val="left" w:pos="1673"/>
              </w:tabs>
              <w:ind w:left="0" w:hanging="2"/>
              <w:rPr>
                <w:rFonts w:ascii="Arial" w:eastAsia="Arial" w:hAnsi="Arial" w:cs="Arial"/>
                <w:sz w:val="16"/>
                <w:szCs w:val="16"/>
              </w:rPr>
            </w:pPr>
            <w:r>
              <w:rPr>
                <w:rFonts w:ascii="Arial" w:hAnsi="Arial" w:cs="Arial"/>
                <w:b/>
                <w:bCs/>
                <w:i/>
                <w:iCs/>
                <w:color w:val="000000"/>
                <w:sz w:val="16"/>
                <w:szCs w:val="16"/>
              </w:rPr>
              <w:t>(n=47)</w:t>
            </w:r>
            <w:r w:rsidR="00634980">
              <w:rPr>
                <w:rFonts w:ascii="Arial" w:hAnsi="Arial" w:cs="Arial"/>
                <w:b/>
                <w:bCs/>
                <w:i/>
                <w:iCs/>
                <w:color w:val="000000"/>
                <w:sz w:val="16"/>
                <w:szCs w:val="16"/>
              </w:rPr>
              <w:t xml:space="preserve"> (%)</w:t>
            </w:r>
          </w:p>
        </w:tc>
        <w:tc>
          <w:tcPr>
            <w:tcW w:w="1234" w:type="dxa"/>
          </w:tcPr>
          <w:p w:rsidR="00CB0292" w:rsidRDefault="00CB0292" w:rsidP="00CB0292">
            <w:pPr>
              <w:pStyle w:val="NormalWeb"/>
              <w:spacing w:before="0" w:beforeAutospacing="0" w:after="0" w:afterAutospacing="0"/>
              <w:ind w:left="0" w:hanging="2"/>
            </w:pPr>
            <w:r>
              <w:rPr>
                <w:rFonts w:ascii="Arial" w:hAnsi="Arial" w:cs="Arial"/>
                <w:b/>
                <w:bCs/>
                <w:i/>
                <w:iCs/>
                <w:color w:val="000000"/>
                <w:sz w:val="16"/>
                <w:szCs w:val="16"/>
              </w:rPr>
              <w:t>MSA</w:t>
            </w:r>
          </w:p>
          <w:p w:rsidR="00CB0292" w:rsidRPr="005D7A1B" w:rsidRDefault="00CB0292" w:rsidP="00CB0292">
            <w:pPr>
              <w:tabs>
                <w:tab w:val="left" w:pos="1673"/>
              </w:tabs>
              <w:ind w:left="0" w:hanging="2"/>
              <w:rPr>
                <w:rFonts w:ascii="Arial" w:eastAsia="Arial" w:hAnsi="Arial" w:cs="Arial"/>
                <w:sz w:val="16"/>
                <w:szCs w:val="16"/>
                <w:lang w:val="en-US"/>
              </w:rPr>
            </w:pPr>
            <w:r>
              <w:rPr>
                <w:rFonts w:ascii="Arial" w:hAnsi="Arial" w:cs="Arial"/>
                <w:b/>
                <w:bCs/>
                <w:i/>
                <w:iCs/>
                <w:color w:val="000000"/>
                <w:sz w:val="16"/>
                <w:szCs w:val="16"/>
              </w:rPr>
              <w:t>(n=8)</w:t>
            </w:r>
            <w:r w:rsidR="00634980">
              <w:rPr>
                <w:rFonts w:ascii="Arial" w:hAnsi="Arial" w:cs="Arial"/>
                <w:b/>
                <w:bCs/>
                <w:i/>
                <w:iCs/>
                <w:color w:val="000000"/>
                <w:sz w:val="16"/>
                <w:szCs w:val="16"/>
              </w:rPr>
              <w:t xml:space="preserve"> (%)</w:t>
            </w:r>
          </w:p>
        </w:tc>
        <w:tc>
          <w:tcPr>
            <w:tcW w:w="1724" w:type="dxa"/>
          </w:tcPr>
          <w:p w:rsidR="00CB0292" w:rsidRDefault="00CB0292" w:rsidP="00CB0292">
            <w:pPr>
              <w:pStyle w:val="NormalWeb"/>
              <w:spacing w:before="0" w:beforeAutospacing="0" w:after="0" w:afterAutospacing="0"/>
              <w:ind w:left="0" w:hanging="2"/>
            </w:pPr>
            <w:r>
              <w:rPr>
                <w:rFonts w:ascii="Arial" w:hAnsi="Arial" w:cs="Arial"/>
                <w:b/>
                <w:bCs/>
                <w:i/>
                <w:iCs/>
                <w:color w:val="000000"/>
                <w:sz w:val="16"/>
                <w:szCs w:val="16"/>
              </w:rPr>
              <w:t>MS-AHN</w:t>
            </w:r>
          </w:p>
          <w:p w:rsidR="00CB0292" w:rsidRPr="005D7A1B" w:rsidRDefault="00CB0292" w:rsidP="00CB0292">
            <w:pPr>
              <w:tabs>
                <w:tab w:val="left" w:pos="1673"/>
              </w:tabs>
              <w:ind w:left="0" w:hanging="2"/>
              <w:rPr>
                <w:rFonts w:ascii="Arial" w:eastAsia="Arial" w:hAnsi="Arial" w:cs="Arial"/>
                <w:sz w:val="16"/>
                <w:szCs w:val="16"/>
                <w:lang w:val="en-US"/>
              </w:rPr>
            </w:pPr>
            <w:r>
              <w:rPr>
                <w:rFonts w:ascii="Arial" w:hAnsi="Arial" w:cs="Arial"/>
                <w:b/>
                <w:bCs/>
                <w:i/>
                <w:iCs/>
                <w:color w:val="000000"/>
                <w:sz w:val="16"/>
                <w:szCs w:val="16"/>
              </w:rPr>
              <w:t>(n=19)</w:t>
            </w:r>
            <w:r w:rsidR="00634980">
              <w:rPr>
                <w:rFonts w:ascii="Arial" w:hAnsi="Arial" w:cs="Arial"/>
                <w:b/>
                <w:bCs/>
                <w:i/>
                <w:iCs/>
                <w:color w:val="000000"/>
                <w:sz w:val="16"/>
                <w:szCs w:val="16"/>
              </w:rPr>
              <w:t xml:space="preserve"> (%)</w:t>
            </w:r>
          </w:p>
        </w:tc>
        <w:tc>
          <w:tcPr>
            <w:tcW w:w="2082" w:type="dxa"/>
            <w:gridSpan w:val="2"/>
          </w:tcPr>
          <w:p w:rsidR="00CB0292" w:rsidRDefault="00CB0292" w:rsidP="00CB0292">
            <w:pPr>
              <w:pStyle w:val="NormalWeb"/>
              <w:spacing w:before="0" w:beforeAutospacing="0" w:after="0" w:afterAutospacing="0"/>
              <w:ind w:left="0" w:hanging="2"/>
              <w:jc w:val="both"/>
            </w:pPr>
            <w:r>
              <w:rPr>
                <w:rFonts w:ascii="Arial" w:hAnsi="Arial" w:cs="Arial"/>
                <w:b/>
                <w:bCs/>
                <w:i/>
                <w:iCs/>
                <w:color w:val="000000"/>
                <w:sz w:val="16"/>
                <w:szCs w:val="16"/>
              </w:rPr>
              <w:t>LM</w:t>
            </w:r>
          </w:p>
          <w:p w:rsidR="00CB0292" w:rsidRPr="005D7A1B" w:rsidRDefault="00CB0292" w:rsidP="00CB0292">
            <w:pPr>
              <w:tabs>
                <w:tab w:val="left" w:pos="1673"/>
              </w:tabs>
              <w:ind w:left="0" w:hanging="2"/>
              <w:jc w:val="both"/>
              <w:rPr>
                <w:rFonts w:ascii="Arial" w:eastAsia="Arial" w:hAnsi="Arial" w:cs="Arial"/>
                <w:sz w:val="16"/>
                <w:szCs w:val="16"/>
                <w:lang w:val="en-US"/>
              </w:rPr>
            </w:pPr>
            <w:r>
              <w:rPr>
                <w:rFonts w:ascii="Arial" w:hAnsi="Arial" w:cs="Arial"/>
                <w:b/>
                <w:bCs/>
                <w:i/>
                <w:iCs/>
                <w:color w:val="000000"/>
                <w:sz w:val="16"/>
                <w:szCs w:val="16"/>
              </w:rPr>
              <w:t>(n=10)</w:t>
            </w:r>
            <w:r w:rsidR="00634980">
              <w:rPr>
                <w:rFonts w:ascii="Arial" w:hAnsi="Arial" w:cs="Arial"/>
                <w:b/>
                <w:bCs/>
                <w:i/>
                <w:iCs/>
                <w:color w:val="000000"/>
                <w:sz w:val="16"/>
                <w:szCs w:val="16"/>
              </w:rPr>
              <w:t xml:space="preserve"> (%)</w:t>
            </w:r>
          </w:p>
        </w:tc>
      </w:tr>
      <w:tr w:rsidR="00CB0292" w:rsidTr="00CB0292">
        <w:trPr>
          <w:trHeight w:val="230"/>
        </w:trPr>
        <w:tc>
          <w:tcPr>
            <w:tcW w:w="2638" w:type="dxa"/>
          </w:tcPr>
          <w:p w:rsidR="00CB0292" w:rsidRDefault="00CB0292" w:rsidP="00CB0292">
            <w:pPr>
              <w:pStyle w:val="NormalWeb"/>
              <w:spacing w:before="0" w:beforeAutospacing="0" w:after="0" w:afterAutospacing="0"/>
              <w:ind w:left="0" w:hanging="2"/>
              <w:jc w:val="both"/>
            </w:pPr>
            <w:r>
              <w:rPr>
                <w:rFonts w:ascii="Arial" w:hAnsi="Arial" w:cs="Arial"/>
                <w:i/>
                <w:iCs/>
                <w:color w:val="000000"/>
                <w:sz w:val="16"/>
                <w:szCs w:val="16"/>
              </w:rPr>
              <w:t>Variable principal</w:t>
            </w:r>
          </w:p>
          <w:p w:rsidR="00CB0292" w:rsidRDefault="00CB0292" w:rsidP="00CB0292">
            <w:pPr>
              <w:ind w:left="0" w:hanging="2"/>
              <w:jc w:val="both"/>
              <w:rPr>
                <w:rFonts w:ascii="Arial" w:eastAsia="Arial" w:hAnsi="Arial" w:cs="Arial"/>
                <w:sz w:val="16"/>
                <w:szCs w:val="16"/>
              </w:rPr>
            </w:pPr>
            <w:r>
              <w:rPr>
                <w:rFonts w:ascii="Arial" w:hAnsi="Arial" w:cs="Arial"/>
                <w:i/>
                <w:iCs/>
                <w:color w:val="000000"/>
                <w:sz w:val="16"/>
                <w:szCs w:val="16"/>
              </w:rPr>
              <w:t>           -TRG a las 12 semanas (</w:t>
            </w:r>
            <w:r w:rsidR="00F567D7">
              <w:rPr>
                <w:rFonts w:ascii="Arial" w:hAnsi="Arial" w:cs="Arial"/>
                <w:i/>
                <w:iCs/>
                <w:color w:val="000000"/>
                <w:sz w:val="16"/>
                <w:szCs w:val="16"/>
              </w:rPr>
              <w:t>%) *</w:t>
            </w:r>
            <w:r w:rsidR="0029131F">
              <w:rPr>
                <w:rFonts w:ascii="Arial" w:hAnsi="Arial" w:cs="Arial"/>
                <w:i/>
                <w:iCs/>
                <w:color w:val="000000"/>
                <w:sz w:val="16"/>
                <w:szCs w:val="16"/>
              </w:rPr>
              <w:t>*</w:t>
            </w:r>
          </w:p>
        </w:tc>
        <w:tc>
          <w:tcPr>
            <w:tcW w:w="1248" w:type="dxa"/>
          </w:tcPr>
          <w:p w:rsidR="00CB0292" w:rsidRDefault="00CB0292" w:rsidP="00CB0292">
            <w:pPr>
              <w:ind w:left="0" w:hanging="2"/>
              <w:jc w:val="center"/>
              <w:rPr>
                <w:rFonts w:ascii="Arial" w:eastAsia="Arial" w:hAnsi="Arial" w:cs="Arial"/>
                <w:sz w:val="16"/>
                <w:szCs w:val="16"/>
              </w:rPr>
            </w:pPr>
            <w:r>
              <w:rPr>
                <w:rFonts w:ascii="Arial" w:hAnsi="Arial" w:cs="Arial"/>
                <w:color w:val="000000"/>
                <w:sz w:val="16"/>
                <w:szCs w:val="16"/>
              </w:rPr>
              <w:t>28 (59.6)</w:t>
            </w:r>
          </w:p>
        </w:tc>
        <w:tc>
          <w:tcPr>
            <w:tcW w:w="1234" w:type="dxa"/>
          </w:tcPr>
          <w:p w:rsidR="00CB0292" w:rsidRDefault="00CB0292" w:rsidP="00CB0292">
            <w:pPr>
              <w:ind w:left="0" w:hanging="2"/>
              <w:jc w:val="center"/>
              <w:rPr>
                <w:rFonts w:ascii="Arial" w:eastAsia="Arial" w:hAnsi="Arial" w:cs="Arial"/>
                <w:sz w:val="16"/>
                <w:szCs w:val="16"/>
              </w:rPr>
            </w:pPr>
            <w:r>
              <w:rPr>
                <w:rFonts w:ascii="Arial" w:hAnsi="Arial" w:cs="Arial"/>
                <w:color w:val="000000"/>
                <w:sz w:val="16"/>
                <w:szCs w:val="16"/>
              </w:rPr>
              <w:t>5 (62.5)</w:t>
            </w:r>
          </w:p>
        </w:tc>
        <w:tc>
          <w:tcPr>
            <w:tcW w:w="1724" w:type="dxa"/>
          </w:tcPr>
          <w:p w:rsidR="00CB0292" w:rsidRDefault="00CB0292" w:rsidP="00CB0292">
            <w:pPr>
              <w:ind w:left="0" w:hanging="2"/>
              <w:jc w:val="center"/>
              <w:rPr>
                <w:rFonts w:ascii="Arial" w:eastAsia="Arial" w:hAnsi="Arial" w:cs="Arial"/>
                <w:sz w:val="16"/>
                <w:szCs w:val="16"/>
              </w:rPr>
            </w:pPr>
            <w:r>
              <w:rPr>
                <w:rFonts w:ascii="Arial" w:hAnsi="Arial" w:cs="Arial"/>
                <w:color w:val="000000"/>
                <w:sz w:val="16"/>
                <w:szCs w:val="16"/>
              </w:rPr>
              <w:t>19 (65.5)</w:t>
            </w:r>
          </w:p>
        </w:tc>
        <w:tc>
          <w:tcPr>
            <w:tcW w:w="2082" w:type="dxa"/>
            <w:gridSpan w:val="2"/>
          </w:tcPr>
          <w:p w:rsidR="00CB0292" w:rsidRDefault="00CB0292" w:rsidP="00CB0292">
            <w:pPr>
              <w:ind w:left="0" w:hanging="2"/>
              <w:jc w:val="center"/>
              <w:rPr>
                <w:rFonts w:ascii="Arial" w:eastAsia="Arial" w:hAnsi="Arial" w:cs="Arial"/>
                <w:sz w:val="16"/>
                <w:szCs w:val="16"/>
              </w:rPr>
            </w:pPr>
            <w:r>
              <w:rPr>
                <w:rFonts w:ascii="Arial" w:hAnsi="Arial" w:cs="Arial"/>
                <w:color w:val="000000"/>
                <w:sz w:val="16"/>
                <w:szCs w:val="16"/>
              </w:rPr>
              <w:t>4 (40)</w:t>
            </w:r>
          </w:p>
        </w:tc>
      </w:tr>
      <w:tr w:rsidR="00B40616" w:rsidTr="00CB0292">
        <w:trPr>
          <w:trHeight w:val="230"/>
        </w:trPr>
        <w:tc>
          <w:tcPr>
            <w:tcW w:w="2638" w:type="dxa"/>
          </w:tcPr>
          <w:p w:rsidR="00B40616" w:rsidRDefault="00B40616" w:rsidP="00B40616">
            <w:pPr>
              <w:pStyle w:val="NormalWeb"/>
              <w:spacing w:before="0" w:beforeAutospacing="0" w:after="0" w:afterAutospacing="0"/>
              <w:ind w:left="0" w:hanging="2"/>
              <w:jc w:val="both"/>
            </w:pPr>
            <w:r>
              <w:rPr>
                <w:rFonts w:ascii="Arial" w:hAnsi="Arial" w:cs="Arial"/>
                <w:i/>
                <w:iCs/>
                <w:color w:val="000000"/>
                <w:sz w:val="16"/>
                <w:szCs w:val="16"/>
              </w:rPr>
              <w:t>Variables secundarias</w:t>
            </w:r>
          </w:p>
          <w:p w:rsidR="00B40616" w:rsidRDefault="00B40616" w:rsidP="00B40616">
            <w:pPr>
              <w:pStyle w:val="NormalWeb"/>
              <w:spacing w:before="0" w:beforeAutospacing="0" w:after="0" w:afterAutospacing="0"/>
              <w:ind w:left="0" w:hanging="2"/>
              <w:jc w:val="both"/>
            </w:pPr>
            <w:r>
              <w:rPr>
                <w:rFonts w:ascii="Arial" w:hAnsi="Arial" w:cs="Arial"/>
                <w:i/>
                <w:iCs/>
                <w:color w:val="000000"/>
                <w:sz w:val="16"/>
                <w:szCs w:val="16"/>
              </w:rPr>
              <w:t xml:space="preserve">          -Mediana de Supervivencia libre de </w:t>
            </w:r>
            <w:r w:rsidR="00F567D7">
              <w:rPr>
                <w:rFonts w:ascii="Arial" w:hAnsi="Arial" w:cs="Arial"/>
                <w:i/>
                <w:iCs/>
                <w:color w:val="000000"/>
                <w:sz w:val="16"/>
                <w:szCs w:val="16"/>
              </w:rPr>
              <w:t>progresión (</w:t>
            </w:r>
            <w:r>
              <w:rPr>
                <w:rFonts w:ascii="Arial" w:hAnsi="Arial" w:cs="Arial"/>
                <w:i/>
                <w:iCs/>
                <w:color w:val="000000"/>
                <w:sz w:val="16"/>
                <w:szCs w:val="16"/>
              </w:rPr>
              <w:t>meses)</w:t>
            </w:r>
          </w:p>
          <w:p w:rsidR="00B40616" w:rsidRDefault="00B40616" w:rsidP="00B40616">
            <w:pPr>
              <w:ind w:left="0" w:hanging="2"/>
              <w:jc w:val="both"/>
              <w:rPr>
                <w:rFonts w:ascii="Arial" w:eastAsia="Arial" w:hAnsi="Arial" w:cs="Arial"/>
                <w:sz w:val="16"/>
                <w:szCs w:val="16"/>
              </w:rPr>
            </w:pPr>
          </w:p>
        </w:tc>
        <w:tc>
          <w:tcPr>
            <w:tcW w:w="1248" w:type="dxa"/>
          </w:tcPr>
          <w:p w:rsidR="00B40616" w:rsidRPr="00B40616" w:rsidRDefault="00B40616" w:rsidP="00B40616">
            <w:pPr>
              <w:ind w:left="0" w:hanging="2"/>
              <w:jc w:val="center"/>
              <w:rPr>
                <w:rFonts w:ascii="Arial" w:hAnsi="Arial" w:cs="Arial"/>
                <w:color w:val="000000"/>
                <w:sz w:val="16"/>
                <w:szCs w:val="16"/>
              </w:rPr>
            </w:pPr>
            <w:r>
              <w:rPr>
                <w:rFonts w:ascii="Arial" w:hAnsi="Arial" w:cs="Arial"/>
                <w:color w:val="000000"/>
                <w:sz w:val="16"/>
                <w:szCs w:val="16"/>
              </w:rPr>
              <w:t>NA (17.5-NA)</w:t>
            </w:r>
          </w:p>
        </w:tc>
        <w:tc>
          <w:tcPr>
            <w:tcW w:w="1234" w:type="dxa"/>
          </w:tcPr>
          <w:p w:rsidR="00B40616" w:rsidRPr="00B40616" w:rsidRDefault="00B40616" w:rsidP="00B40616">
            <w:pPr>
              <w:ind w:left="0" w:hanging="2"/>
              <w:jc w:val="center"/>
              <w:rPr>
                <w:rFonts w:ascii="Arial" w:hAnsi="Arial" w:cs="Arial"/>
                <w:color w:val="000000"/>
                <w:sz w:val="16"/>
                <w:szCs w:val="16"/>
              </w:rPr>
            </w:pPr>
            <w:r>
              <w:rPr>
                <w:rFonts w:ascii="Arial" w:hAnsi="Arial" w:cs="Arial"/>
                <w:color w:val="000000"/>
                <w:sz w:val="16"/>
                <w:szCs w:val="16"/>
              </w:rPr>
              <w:t>NA (NA-NA)</w:t>
            </w:r>
          </w:p>
        </w:tc>
        <w:tc>
          <w:tcPr>
            <w:tcW w:w="1724" w:type="dxa"/>
          </w:tcPr>
          <w:p w:rsidR="00B40616" w:rsidRPr="00B40616" w:rsidRDefault="00B40616" w:rsidP="00B40616">
            <w:pPr>
              <w:ind w:left="0" w:hanging="2"/>
              <w:jc w:val="center"/>
              <w:rPr>
                <w:rFonts w:ascii="Arial" w:hAnsi="Arial" w:cs="Arial"/>
                <w:color w:val="000000"/>
                <w:sz w:val="16"/>
                <w:szCs w:val="16"/>
              </w:rPr>
            </w:pPr>
            <w:r>
              <w:rPr>
                <w:rFonts w:ascii="Arial" w:hAnsi="Arial" w:cs="Arial"/>
                <w:color w:val="000000"/>
                <w:sz w:val="16"/>
                <w:szCs w:val="16"/>
              </w:rPr>
              <w:t>NA (17.4-NA)</w:t>
            </w:r>
          </w:p>
        </w:tc>
        <w:tc>
          <w:tcPr>
            <w:tcW w:w="2082" w:type="dxa"/>
            <w:gridSpan w:val="2"/>
          </w:tcPr>
          <w:p w:rsidR="00B40616" w:rsidRPr="00B40616" w:rsidRDefault="00B40616" w:rsidP="00B40616">
            <w:pPr>
              <w:ind w:left="0" w:hanging="2"/>
              <w:jc w:val="center"/>
              <w:rPr>
                <w:rFonts w:ascii="Arial" w:hAnsi="Arial" w:cs="Arial"/>
                <w:color w:val="000000"/>
                <w:sz w:val="16"/>
                <w:szCs w:val="16"/>
              </w:rPr>
            </w:pPr>
            <w:r>
              <w:rPr>
                <w:rFonts w:ascii="Arial" w:hAnsi="Arial" w:cs="Arial"/>
                <w:color w:val="000000"/>
                <w:sz w:val="16"/>
                <w:szCs w:val="16"/>
              </w:rPr>
              <w:t>NA (10,5-NA)</w:t>
            </w:r>
          </w:p>
        </w:tc>
      </w:tr>
      <w:tr w:rsidR="00B40616" w:rsidTr="00CB0292">
        <w:trPr>
          <w:trHeight w:val="230"/>
        </w:trPr>
        <w:tc>
          <w:tcPr>
            <w:tcW w:w="2638" w:type="dxa"/>
          </w:tcPr>
          <w:p w:rsidR="00B40616" w:rsidRDefault="00B40616" w:rsidP="00B40616">
            <w:pPr>
              <w:pStyle w:val="NormalWeb"/>
              <w:spacing w:before="0" w:beforeAutospacing="0" w:after="0" w:afterAutospacing="0"/>
              <w:ind w:left="0" w:hanging="2"/>
              <w:jc w:val="both"/>
            </w:pPr>
            <w:r>
              <w:rPr>
                <w:rFonts w:ascii="Arial" w:hAnsi="Arial" w:cs="Arial"/>
                <w:i/>
                <w:iCs/>
                <w:color w:val="000000"/>
                <w:sz w:val="16"/>
                <w:szCs w:val="16"/>
              </w:rPr>
              <w:t>Variables secundarias</w:t>
            </w:r>
          </w:p>
          <w:p w:rsidR="00B40616" w:rsidRDefault="00B40616" w:rsidP="00B40616">
            <w:pPr>
              <w:pStyle w:val="NormalWeb"/>
              <w:spacing w:before="0" w:beforeAutospacing="0" w:after="0" w:afterAutospacing="0"/>
              <w:ind w:left="0" w:hanging="2"/>
              <w:jc w:val="both"/>
            </w:pPr>
            <w:r>
              <w:rPr>
                <w:rFonts w:ascii="Arial" w:hAnsi="Arial" w:cs="Arial"/>
                <w:i/>
                <w:iCs/>
                <w:color w:val="000000"/>
                <w:sz w:val="16"/>
                <w:szCs w:val="16"/>
              </w:rPr>
              <w:t xml:space="preserve">          -Mediana de Supervivencia </w:t>
            </w:r>
            <w:r w:rsidR="00F567D7">
              <w:rPr>
                <w:rFonts w:ascii="Arial" w:hAnsi="Arial" w:cs="Arial"/>
                <w:i/>
                <w:iCs/>
                <w:color w:val="000000"/>
                <w:sz w:val="16"/>
                <w:szCs w:val="16"/>
              </w:rPr>
              <w:t>global (</w:t>
            </w:r>
            <w:r>
              <w:rPr>
                <w:rFonts w:ascii="Arial" w:hAnsi="Arial" w:cs="Arial"/>
                <w:i/>
                <w:iCs/>
                <w:color w:val="000000"/>
                <w:sz w:val="16"/>
                <w:szCs w:val="16"/>
              </w:rPr>
              <w:t>meses)</w:t>
            </w:r>
          </w:p>
          <w:p w:rsidR="00B40616" w:rsidRDefault="00B40616" w:rsidP="00F36ED1">
            <w:pPr>
              <w:pStyle w:val="NormalWeb"/>
              <w:spacing w:before="0" w:beforeAutospacing="0" w:after="0" w:afterAutospacing="0"/>
              <w:ind w:leftChars="0" w:left="0" w:firstLineChars="0" w:firstLine="0"/>
              <w:jc w:val="both"/>
              <w:rPr>
                <w:rFonts w:ascii="Arial" w:hAnsi="Arial" w:cs="Arial"/>
                <w:i/>
                <w:iCs/>
                <w:color w:val="000000"/>
                <w:sz w:val="16"/>
                <w:szCs w:val="16"/>
              </w:rPr>
            </w:pPr>
          </w:p>
        </w:tc>
        <w:tc>
          <w:tcPr>
            <w:tcW w:w="1248" w:type="dxa"/>
          </w:tcPr>
          <w:p w:rsidR="00B40616" w:rsidRDefault="00B40616" w:rsidP="00B40616">
            <w:pPr>
              <w:ind w:left="0" w:hanging="2"/>
              <w:jc w:val="center"/>
              <w:rPr>
                <w:rFonts w:ascii="Arial" w:eastAsia="Arial" w:hAnsi="Arial" w:cs="Arial"/>
                <w:sz w:val="16"/>
                <w:szCs w:val="16"/>
              </w:rPr>
            </w:pPr>
            <w:r>
              <w:rPr>
                <w:rFonts w:ascii="Arial" w:hAnsi="Arial" w:cs="Arial"/>
                <w:color w:val="000000"/>
                <w:sz w:val="16"/>
                <w:szCs w:val="16"/>
              </w:rPr>
              <w:t>NA (17.5-NA)</w:t>
            </w:r>
          </w:p>
        </w:tc>
        <w:tc>
          <w:tcPr>
            <w:tcW w:w="1234" w:type="dxa"/>
          </w:tcPr>
          <w:p w:rsidR="00B40616" w:rsidRDefault="00B40616" w:rsidP="00B40616">
            <w:pPr>
              <w:ind w:left="0" w:hanging="2"/>
              <w:jc w:val="center"/>
              <w:rPr>
                <w:rFonts w:ascii="Arial" w:eastAsia="Arial" w:hAnsi="Arial" w:cs="Arial"/>
                <w:sz w:val="16"/>
                <w:szCs w:val="16"/>
              </w:rPr>
            </w:pPr>
            <w:r>
              <w:rPr>
                <w:rFonts w:ascii="Arial" w:hAnsi="Arial" w:cs="Arial"/>
                <w:color w:val="000000"/>
                <w:sz w:val="16"/>
                <w:szCs w:val="16"/>
              </w:rPr>
              <w:t>NA (NA-NA)</w:t>
            </w:r>
          </w:p>
        </w:tc>
        <w:tc>
          <w:tcPr>
            <w:tcW w:w="1724" w:type="dxa"/>
          </w:tcPr>
          <w:p w:rsidR="00B40616" w:rsidRDefault="00B40616" w:rsidP="00B40616">
            <w:pPr>
              <w:ind w:left="0" w:hanging="2"/>
              <w:jc w:val="center"/>
              <w:rPr>
                <w:rFonts w:ascii="Arial" w:eastAsia="Arial" w:hAnsi="Arial" w:cs="Arial"/>
                <w:sz w:val="16"/>
                <w:szCs w:val="16"/>
              </w:rPr>
            </w:pPr>
            <w:r>
              <w:rPr>
                <w:rFonts w:ascii="Arial" w:hAnsi="Arial" w:cs="Arial"/>
                <w:color w:val="000000"/>
                <w:sz w:val="16"/>
                <w:szCs w:val="16"/>
              </w:rPr>
              <w:t>NA (17.5-NA)</w:t>
            </w:r>
          </w:p>
        </w:tc>
        <w:tc>
          <w:tcPr>
            <w:tcW w:w="2082" w:type="dxa"/>
            <w:gridSpan w:val="2"/>
          </w:tcPr>
          <w:p w:rsidR="00B40616" w:rsidRDefault="00B40616" w:rsidP="00B40616">
            <w:pPr>
              <w:ind w:left="0" w:hanging="2"/>
              <w:jc w:val="center"/>
              <w:rPr>
                <w:rFonts w:ascii="Arial" w:eastAsia="Arial" w:hAnsi="Arial" w:cs="Arial"/>
                <w:sz w:val="16"/>
                <w:szCs w:val="16"/>
              </w:rPr>
            </w:pPr>
            <w:r>
              <w:rPr>
                <w:rFonts w:ascii="Arial" w:hAnsi="Arial" w:cs="Arial"/>
                <w:color w:val="000000"/>
                <w:sz w:val="16"/>
                <w:szCs w:val="16"/>
              </w:rPr>
              <w:t>NA (13,5-NA)</w:t>
            </w:r>
          </w:p>
        </w:tc>
      </w:tr>
      <w:tr w:rsidR="00B40616" w:rsidTr="00CB0292">
        <w:trPr>
          <w:gridAfter w:val="1"/>
          <w:wAfter w:w="36" w:type="dxa"/>
          <w:trHeight w:val="230"/>
        </w:trPr>
        <w:tc>
          <w:tcPr>
            <w:tcW w:w="8890" w:type="dxa"/>
            <w:gridSpan w:val="5"/>
            <w:shd w:val="clear" w:color="auto" w:fill="E6E6E6"/>
          </w:tcPr>
          <w:p w:rsidR="00B40616" w:rsidRPr="0029131F" w:rsidRDefault="00B40616" w:rsidP="00B40616">
            <w:pPr>
              <w:pStyle w:val="Prrafodelista"/>
              <w:numPr>
                <w:ilvl w:val="0"/>
                <w:numId w:val="9"/>
              </w:numPr>
              <w:ind w:leftChars="0" w:firstLineChars="0"/>
              <w:rPr>
                <w:rFonts w:ascii="Arial" w:eastAsia="Arial" w:hAnsi="Arial" w:cs="Arial"/>
                <w:sz w:val="16"/>
                <w:szCs w:val="16"/>
              </w:rPr>
            </w:pPr>
            <w:r w:rsidRPr="0029131F">
              <w:rPr>
                <w:rFonts w:ascii="Arial" w:eastAsia="Arial" w:hAnsi="Arial" w:cs="Arial"/>
                <w:sz w:val="16"/>
                <w:szCs w:val="16"/>
              </w:rPr>
              <w:t>Se presentan</w:t>
            </w:r>
            <w:r w:rsidR="003F42B5">
              <w:rPr>
                <w:rFonts w:ascii="Arial" w:eastAsia="Arial" w:hAnsi="Arial" w:cs="Arial"/>
                <w:sz w:val="16"/>
                <w:szCs w:val="16"/>
              </w:rPr>
              <w:t xml:space="preserve"> en la tabla</w:t>
            </w:r>
            <w:r w:rsidRPr="0029131F">
              <w:rPr>
                <w:rFonts w:ascii="Arial" w:eastAsia="Arial" w:hAnsi="Arial" w:cs="Arial"/>
                <w:sz w:val="16"/>
                <w:szCs w:val="16"/>
              </w:rPr>
              <w:t xml:space="preserve"> los datos según fecha de corte del estudio de 20/04/2021 (de los 107 pacientes incluidos en el estudio, </w:t>
            </w:r>
            <w:r w:rsidR="00634980">
              <w:rPr>
                <w:rFonts w:ascii="Arial" w:eastAsia="Arial" w:hAnsi="Arial" w:cs="Arial"/>
                <w:sz w:val="16"/>
                <w:szCs w:val="16"/>
              </w:rPr>
              <w:t>4</w:t>
            </w:r>
            <w:r w:rsidRPr="0029131F">
              <w:rPr>
                <w:rFonts w:ascii="Arial" w:eastAsia="Arial" w:hAnsi="Arial" w:cs="Arial"/>
                <w:sz w:val="16"/>
                <w:szCs w:val="16"/>
              </w:rPr>
              <w:t>7 tenían al menos una terapia previa sistémica y comenzaron siendo tratados con la dosis de 200 mg de avapritinib</w:t>
            </w:r>
            <w:sdt>
              <w:sdtPr>
                <w:rPr>
                  <w:rFonts w:eastAsia="Arial"/>
                </w:rPr>
                <w:id w:val="-1252809522"/>
                <w:citation/>
              </w:sdtPr>
              <w:sdtEndPr/>
              <w:sdtContent>
                <w:r w:rsidR="00743E44" w:rsidRPr="0029131F">
                  <w:rPr>
                    <w:rFonts w:ascii="Arial" w:eastAsia="Arial" w:hAnsi="Arial" w:cs="Arial"/>
                    <w:sz w:val="16"/>
                    <w:szCs w:val="16"/>
                  </w:rPr>
                  <w:fldChar w:fldCharType="begin"/>
                </w:r>
                <w:r w:rsidRPr="0029131F">
                  <w:rPr>
                    <w:rFonts w:ascii="Arial" w:eastAsia="Arial" w:hAnsi="Arial" w:cs="Arial"/>
                    <w:sz w:val="16"/>
                    <w:szCs w:val="16"/>
                  </w:rPr>
                  <w:instrText xml:space="preserve"> CITATION EPAR \l 3082 </w:instrText>
                </w:r>
                <w:r w:rsidR="00743E44" w:rsidRPr="0029131F">
                  <w:rPr>
                    <w:rFonts w:ascii="Arial" w:eastAsia="Arial" w:hAnsi="Arial" w:cs="Arial"/>
                    <w:sz w:val="16"/>
                    <w:szCs w:val="16"/>
                  </w:rPr>
                  <w:fldChar w:fldCharType="separate"/>
                </w:r>
                <w:r w:rsidR="00C560F5">
                  <w:rPr>
                    <w:rFonts w:ascii="Arial" w:eastAsia="Arial" w:hAnsi="Arial" w:cs="Arial"/>
                    <w:noProof/>
                    <w:sz w:val="16"/>
                    <w:szCs w:val="16"/>
                  </w:rPr>
                  <w:t xml:space="preserve"> </w:t>
                </w:r>
                <w:r w:rsidR="00C560F5" w:rsidRPr="00C560F5">
                  <w:rPr>
                    <w:rFonts w:ascii="Arial" w:eastAsia="Arial" w:hAnsi="Arial" w:cs="Arial"/>
                    <w:noProof/>
                    <w:sz w:val="16"/>
                    <w:szCs w:val="16"/>
                  </w:rPr>
                  <w:t>(2)</w:t>
                </w:r>
                <w:r w:rsidR="00743E44" w:rsidRPr="0029131F">
                  <w:rPr>
                    <w:rFonts w:ascii="Arial" w:eastAsia="Arial" w:hAnsi="Arial" w:cs="Arial"/>
                    <w:sz w:val="16"/>
                    <w:szCs w:val="16"/>
                  </w:rPr>
                  <w:fldChar w:fldCharType="end"/>
                </w:r>
              </w:sdtContent>
            </w:sdt>
            <w:r w:rsidRPr="0029131F">
              <w:rPr>
                <w:rFonts w:ascii="Arial" w:eastAsia="Arial" w:hAnsi="Arial" w:cs="Arial"/>
                <w:sz w:val="16"/>
                <w:szCs w:val="16"/>
              </w:rPr>
              <w:t>.</w:t>
            </w:r>
          </w:p>
          <w:p w:rsidR="00B40616" w:rsidRPr="00F6056E" w:rsidRDefault="00B40616" w:rsidP="00F6056E">
            <w:pPr>
              <w:ind w:left="0" w:hanging="2"/>
              <w:rPr>
                <w:rFonts w:ascii="Arial" w:eastAsia="Arial" w:hAnsi="Arial" w:cs="Arial"/>
                <w:sz w:val="16"/>
                <w:szCs w:val="16"/>
              </w:rPr>
            </w:pPr>
            <w:r>
              <w:rPr>
                <w:rFonts w:ascii="Arial" w:eastAsia="Arial" w:hAnsi="Arial" w:cs="Arial"/>
                <w:sz w:val="16"/>
                <w:szCs w:val="16"/>
              </w:rPr>
              <w:t>**     p&lt;0.0001</w:t>
            </w:r>
          </w:p>
        </w:tc>
      </w:tr>
    </w:tbl>
    <w:p w:rsidR="00B74082" w:rsidRDefault="00B74082">
      <w:pPr>
        <w:ind w:left="0" w:hanging="2"/>
        <w:jc w:val="both"/>
        <w:rPr>
          <w:rFonts w:ascii="Arial" w:eastAsia="Arial" w:hAnsi="Arial" w:cs="Arial"/>
          <w:color w:val="000080"/>
          <w:sz w:val="20"/>
          <w:szCs w:val="20"/>
        </w:rPr>
      </w:pPr>
      <w:bookmarkStart w:id="62" w:name="_heading=h.z337ya" w:colFirst="0" w:colLast="0"/>
      <w:bookmarkEnd w:id="62"/>
    </w:p>
    <w:p w:rsidR="0046044D" w:rsidRDefault="00822033" w:rsidP="00822033">
      <w:pPr>
        <w:ind w:left="0" w:hanging="2"/>
        <w:jc w:val="both"/>
        <w:rPr>
          <w:rFonts w:ascii="Arial" w:eastAsia="Arial" w:hAnsi="Arial" w:cs="Arial"/>
          <w:color w:val="000000" w:themeColor="text1"/>
          <w:sz w:val="20"/>
          <w:szCs w:val="20"/>
        </w:rPr>
      </w:pPr>
      <w:r w:rsidRPr="0046044D">
        <w:rPr>
          <w:rFonts w:ascii="Arial" w:eastAsia="Arial" w:hAnsi="Arial" w:cs="Arial"/>
          <w:color w:val="000000" w:themeColor="text1"/>
          <w:sz w:val="20"/>
          <w:szCs w:val="20"/>
        </w:rPr>
        <w:t xml:space="preserve">La evaluación de la variable primaria de eficacia </w:t>
      </w:r>
      <w:r w:rsidR="00717178">
        <w:rPr>
          <w:rFonts w:ascii="Arial" w:eastAsia="Arial" w:hAnsi="Arial" w:cs="Arial"/>
          <w:color w:val="000000" w:themeColor="text1"/>
          <w:sz w:val="20"/>
          <w:szCs w:val="20"/>
        </w:rPr>
        <w:t>incluye</w:t>
      </w:r>
      <w:r w:rsidRPr="0046044D">
        <w:rPr>
          <w:rFonts w:ascii="Arial" w:eastAsia="Arial" w:hAnsi="Arial" w:cs="Arial"/>
          <w:color w:val="000000" w:themeColor="text1"/>
          <w:sz w:val="20"/>
          <w:szCs w:val="20"/>
        </w:rPr>
        <w:t xml:space="preserve"> 47 pacientes evaluables </w:t>
      </w:r>
      <w:r w:rsidR="00F567D7" w:rsidRPr="0046044D">
        <w:rPr>
          <w:rFonts w:ascii="Arial" w:eastAsia="Arial" w:hAnsi="Arial" w:cs="Arial"/>
          <w:color w:val="000000" w:themeColor="text1"/>
          <w:sz w:val="20"/>
          <w:szCs w:val="20"/>
        </w:rPr>
        <w:t>de acuerdo con</w:t>
      </w:r>
      <w:r w:rsidRPr="0046044D">
        <w:rPr>
          <w:rFonts w:ascii="Arial" w:eastAsia="Arial" w:hAnsi="Arial" w:cs="Arial"/>
          <w:color w:val="000000" w:themeColor="text1"/>
          <w:sz w:val="20"/>
          <w:szCs w:val="20"/>
        </w:rPr>
        <w:t xml:space="preserve"> los criterios IWG-MRT-ECNM de respuesta, que habían recibido al menos una terapia sistémica previa y que comenzaron el estudio con la dosis de avapritinib de 200 mg, y de los cuales un 78.7% había recibido previamente midostaurina, un 17% cladribina</w:t>
      </w:r>
      <w:r w:rsidR="0046044D" w:rsidRPr="0046044D">
        <w:rPr>
          <w:rFonts w:ascii="Arial" w:eastAsia="Arial" w:hAnsi="Arial" w:cs="Arial"/>
          <w:color w:val="000000" w:themeColor="text1"/>
          <w:sz w:val="20"/>
          <w:szCs w:val="20"/>
        </w:rPr>
        <w:t>, un 14.9% IFN-alfa, un 10.6% hidroxicarbamida y un 6.4% azacitidina</w:t>
      </w:r>
      <w:r w:rsidRPr="0046044D">
        <w:rPr>
          <w:rFonts w:ascii="Arial" w:eastAsia="Arial" w:hAnsi="Arial" w:cs="Arial"/>
          <w:color w:val="000000" w:themeColor="text1"/>
          <w:sz w:val="20"/>
          <w:szCs w:val="20"/>
        </w:rPr>
        <w:t>.</w:t>
      </w:r>
      <w:r w:rsidR="0046044D" w:rsidRPr="0046044D">
        <w:rPr>
          <w:rFonts w:ascii="Arial" w:eastAsia="Arial" w:hAnsi="Arial" w:cs="Arial"/>
          <w:color w:val="000000" w:themeColor="text1"/>
          <w:sz w:val="20"/>
          <w:szCs w:val="20"/>
        </w:rPr>
        <w:t xml:space="preserve"> 37 pacientes (79%) tuvo 1 o más reducciones de dosis de avapritinib durante el tratamiento con una mediana de duración de estas reducciones de 6 semanas.</w:t>
      </w:r>
    </w:p>
    <w:p w:rsidR="00F6056E" w:rsidRDefault="00F6056E" w:rsidP="00822033">
      <w:pPr>
        <w:ind w:left="0" w:hanging="2"/>
        <w:jc w:val="both"/>
        <w:rPr>
          <w:rFonts w:ascii="Arial" w:eastAsia="Arial" w:hAnsi="Arial" w:cs="Arial"/>
          <w:color w:val="000000" w:themeColor="text1"/>
          <w:sz w:val="20"/>
          <w:szCs w:val="20"/>
        </w:rPr>
      </w:pPr>
    </w:p>
    <w:p w:rsidR="00F6056E" w:rsidRDefault="00F6056E" w:rsidP="00822033">
      <w:pPr>
        <w:ind w:left="0" w:hanging="2"/>
        <w:jc w:val="both"/>
        <w:rPr>
          <w:rFonts w:ascii="Arial" w:eastAsia="Arial" w:hAnsi="Arial" w:cs="Arial"/>
          <w:color w:val="000000" w:themeColor="text1"/>
          <w:sz w:val="20"/>
          <w:szCs w:val="20"/>
        </w:rPr>
      </w:pPr>
      <w:r>
        <w:rPr>
          <w:rFonts w:ascii="Arial" w:eastAsia="Arial" w:hAnsi="Arial" w:cs="Arial"/>
          <w:color w:val="000000" w:themeColor="text1"/>
          <w:sz w:val="20"/>
          <w:szCs w:val="20"/>
        </w:rPr>
        <w:t>La variable secundaria duración de la respuesta no era evaluable a la fecha de corte del estudio</w:t>
      </w:r>
      <w:r w:rsidR="00647D21">
        <w:rPr>
          <w:rFonts w:ascii="Arial" w:eastAsia="Arial" w:hAnsi="Arial" w:cs="Arial"/>
          <w:color w:val="000000" w:themeColor="text1"/>
          <w:sz w:val="20"/>
          <w:szCs w:val="20"/>
        </w:rPr>
        <w:t xml:space="preserve"> de abril de 2021</w:t>
      </w:r>
      <w:r>
        <w:rPr>
          <w:rFonts w:ascii="Arial" w:eastAsia="Arial" w:hAnsi="Arial" w:cs="Arial"/>
          <w:color w:val="000000" w:themeColor="text1"/>
          <w:sz w:val="20"/>
          <w:szCs w:val="20"/>
        </w:rPr>
        <w:t>. En cuanto al objetivo secundario “Total Symptom Score (TSS)”</w:t>
      </w:r>
      <w:r w:rsidR="00647D21">
        <w:rPr>
          <w:rFonts w:ascii="Arial" w:eastAsia="Arial" w:hAnsi="Arial" w:cs="Arial"/>
          <w:color w:val="000000" w:themeColor="text1"/>
          <w:sz w:val="20"/>
          <w:szCs w:val="20"/>
        </w:rPr>
        <w:t>, el TSS medio fue de 17.60 de un máximo de 80 puntos (se adjudican 10 puntos por síntoma).</w:t>
      </w:r>
    </w:p>
    <w:p w:rsidR="00647D21" w:rsidRDefault="00647D21" w:rsidP="00822033">
      <w:pPr>
        <w:ind w:left="0" w:hanging="2"/>
        <w:jc w:val="both"/>
        <w:rPr>
          <w:rFonts w:ascii="Arial" w:eastAsia="Arial" w:hAnsi="Arial" w:cs="Arial"/>
          <w:color w:val="000000" w:themeColor="text1"/>
          <w:sz w:val="20"/>
          <w:szCs w:val="20"/>
        </w:rPr>
      </w:pPr>
    </w:p>
    <w:p w:rsidR="00647D21" w:rsidRDefault="00647D21" w:rsidP="00822033">
      <w:pPr>
        <w:ind w:left="0" w:hanging="2"/>
        <w:jc w:val="both"/>
        <w:rPr>
          <w:rFonts w:ascii="Arial" w:eastAsia="Arial" w:hAnsi="Arial" w:cs="Arial"/>
          <w:color w:val="000000" w:themeColor="text1"/>
          <w:sz w:val="20"/>
          <w:szCs w:val="20"/>
        </w:rPr>
      </w:pPr>
      <w:r>
        <w:rPr>
          <w:rFonts w:ascii="Arial" w:eastAsia="Arial" w:hAnsi="Arial" w:cs="Arial"/>
          <w:color w:val="000000" w:themeColor="text1"/>
          <w:sz w:val="20"/>
          <w:szCs w:val="20"/>
        </w:rPr>
        <w:t>En la figura</w:t>
      </w:r>
      <w:r w:rsidR="00F36ED1">
        <w:rPr>
          <w:rFonts w:ascii="Arial" w:eastAsia="Arial" w:hAnsi="Arial" w:cs="Arial"/>
          <w:color w:val="000000" w:themeColor="text1"/>
          <w:sz w:val="20"/>
          <w:szCs w:val="20"/>
        </w:rPr>
        <w:t xml:space="preserve"> 7</w:t>
      </w:r>
      <w:r>
        <w:rPr>
          <w:rFonts w:ascii="Arial" w:eastAsia="Arial" w:hAnsi="Arial" w:cs="Arial"/>
          <w:color w:val="000000" w:themeColor="text1"/>
          <w:sz w:val="20"/>
          <w:szCs w:val="20"/>
        </w:rPr>
        <w:t xml:space="preserve"> se muestran los resultados de tiempo hasta respuesta</w:t>
      </w:r>
      <w:r w:rsidR="00F36ED1">
        <w:rPr>
          <w:rFonts w:ascii="Arial" w:eastAsia="Arial" w:hAnsi="Arial" w:cs="Arial"/>
          <w:color w:val="000000" w:themeColor="text1"/>
          <w:sz w:val="20"/>
          <w:szCs w:val="20"/>
        </w:rPr>
        <w:t xml:space="preserve"> (variables secundaria)</w:t>
      </w:r>
    </w:p>
    <w:p w:rsidR="00647D21" w:rsidRDefault="00647D21" w:rsidP="00F36ED1">
      <w:pPr>
        <w:ind w:leftChars="0" w:left="0" w:firstLineChars="0" w:firstLine="0"/>
        <w:jc w:val="both"/>
        <w:rPr>
          <w:rFonts w:ascii="Arial" w:eastAsia="Arial" w:hAnsi="Arial" w:cs="Arial"/>
          <w:color w:val="000000" w:themeColor="text1"/>
          <w:sz w:val="20"/>
          <w:szCs w:val="20"/>
        </w:rPr>
      </w:pPr>
    </w:p>
    <w:p w:rsidR="00647D21" w:rsidRDefault="00647D21" w:rsidP="00F36ED1">
      <w:pPr>
        <w:ind w:left="0" w:hanging="2"/>
        <w:jc w:val="center"/>
        <w:rPr>
          <w:rFonts w:ascii="Arial" w:eastAsia="Arial" w:hAnsi="Arial" w:cs="Arial"/>
          <w:color w:val="000000" w:themeColor="text1"/>
          <w:sz w:val="20"/>
          <w:szCs w:val="20"/>
        </w:rPr>
      </w:pPr>
      <w:r>
        <w:rPr>
          <w:noProof/>
        </w:rPr>
        <w:drawing>
          <wp:inline distT="0" distB="0" distL="0" distR="0">
            <wp:extent cx="4724400" cy="2127099"/>
            <wp:effectExtent l="0" t="0" r="0" b="6985"/>
            <wp:docPr id="7" name="Imagen 7"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Aplicación, Word&#10;&#10;Descripción generada automáticamente"/>
                    <pic:cNvPicPr/>
                  </pic:nvPicPr>
                  <pic:blipFill rotWithShape="1">
                    <a:blip r:embed="rId18" cstate="print"/>
                    <a:srcRect l="32435" t="35551" r="32106" b="36068"/>
                    <a:stretch/>
                  </pic:blipFill>
                  <pic:spPr bwMode="auto">
                    <a:xfrm>
                      <a:off x="0" y="0"/>
                      <a:ext cx="4728185" cy="2128803"/>
                    </a:xfrm>
                    <a:prstGeom prst="rect">
                      <a:avLst/>
                    </a:prstGeom>
                    <a:ln>
                      <a:noFill/>
                    </a:ln>
                    <a:extLst>
                      <a:ext uri="{53640926-AAD7-44D8-BBD7-CCE9431645EC}">
                        <a14:shadowObscured xmlns:a14="http://schemas.microsoft.com/office/drawing/2010/main"/>
                      </a:ext>
                    </a:extLst>
                  </pic:spPr>
                </pic:pic>
              </a:graphicData>
            </a:graphic>
          </wp:inline>
        </w:drawing>
      </w:r>
    </w:p>
    <w:p w:rsidR="00647D21" w:rsidRDefault="00647D21" w:rsidP="00822033">
      <w:pPr>
        <w:ind w:left="0" w:hanging="2"/>
        <w:jc w:val="both"/>
        <w:rPr>
          <w:rFonts w:ascii="Arial" w:eastAsia="Arial" w:hAnsi="Arial" w:cs="Arial"/>
          <w:color w:val="000000" w:themeColor="text1"/>
          <w:sz w:val="20"/>
          <w:szCs w:val="20"/>
        </w:rPr>
      </w:pPr>
    </w:p>
    <w:p w:rsidR="00647D21" w:rsidRDefault="00647D21" w:rsidP="00647D21">
      <w:pPr>
        <w:ind w:left="0" w:hanging="2"/>
        <w:jc w:val="center"/>
        <w:rPr>
          <w:rFonts w:ascii="Arial" w:eastAsia="Arial" w:hAnsi="Arial" w:cs="Arial"/>
          <w:color w:val="000000" w:themeColor="text1"/>
          <w:sz w:val="20"/>
          <w:szCs w:val="20"/>
        </w:rPr>
      </w:pPr>
      <w:r w:rsidRPr="00F36ED1">
        <w:rPr>
          <w:rFonts w:ascii="Arial" w:eastAsia="Arial" w:hAnsi="Arial" w:cs="Arial"/>
          <w:b/>
          <w:color w:val="000000" w:themeColor="text1"/>
          <w:sz w:val="20"/>
          <w:szCs w:val="20"/>
        </w:rPr>
        <w:lastRenderedPageBreak/>
        <w:t>Figura 7. Variable secundaria tiempo hasta respuesta</w:t>
      </w:r>
      <w:sdt>
        <w:sdtPr>
          <w:rPr>
            <w:rFonts w:ascii="Arial" w:eastAsia="Arial" w:hAnsi="Arial" w:cs="Arial"/>
            <w:b/>
            <w:color w:val="000000" w:themeColor="text1"/>
            <w:sz w:val="20"/>
            <w:szCs w:val="20"/>
            <w:vertAlign w:val="superscript"/>
          </w:rPr>
          <w:id w:val="-1184516860"/>
          <w:citation/>
        </w:sdtPr>
        <w:sdtEndPr/>
        <w:sdtContent>
          <w:r w:rsidR="00743E44" w:rsidRPr="00634980">
            <w:rPr>
              <w:rFonts w:ascii="Arial" w:eastAsia="Arial" w:hAnsi="Arial" w:cs="Arial"/>
              <w:b/>
              <w:color w:val="000000" w:themeColor="text1"/>
              <w:sz w:val="20"/>
              <w:szCs w:val="20"/>
              <w:vertAlign w:val="superscript"/>
            </w:rPr>
            <w:fldChar w:fldCharType="begin"/>
          </w:r>
          <w:r w:rsidRPr="00634980">
            <w:rPr>
              <w:rFonts w:ascii="Arial" w:eastAsia="Arial" w:hAnsi="Arial" w:cs="Arial"/>
              <w:b/>
              <w:color w:val="000000" w:themeColor="text1"/>
              <w:sz w:val="20"/>
              <w:szCs w:val="20"/>
              <w:vertAlign w:val="superscript"/>
            </w:rPr>
            <w:instrText xml:space="preserve"> CITATION EPAR \l 3082 </w:instrText>
          </w:r>
          <w:r w:rsidR="00743E44" w:rsidRPr="00634980">
            <w:rPr>
              <w:rFonts w:ascii="Arial" w:eastAsia="Arial" w:hAnsi="Arial" w:cs="Arial"/>
              <w:b/>
              <w:color w:val="000000" w:themeColor="text1"/>
              <w:sz w:val="20"/>
              <w:szCs w:val="20"/>
              <w:vertAlign w:val="superscript"/>
            </w:rPr>
            <w:fldChar w:fldCharType="separate"/>
          </w:r>
          <w:r w:rsidR="00C560F5">
            <w:rPr>
              <w:rFonts w:ascii="Arial" w:eastAsia="Arial" w:hAnsi="Arial" w:cs="Arial"/>
              <w:b/>
              <w:noProof/>
              <w:color w:val="000000" w:themeColor="text1"/>
              <w:sz w:val="20"/>
              <w:szCs w:val="20"/>
              <w:vertAlign w:val="superscript"/>
            </w:rPr>
            <w:t xml:space="preserve"> </w:t>
          </w:r>
          <w:r w:rsidR="00C560F5" w:rsidRPr="00C560F5">
            <w:rPr>
              <w:rFonts w:ascii="Arial" w:eastAsia="Arial" w:hAnsi="Arial" w:cs="Arial"/>
              <w:noProof/>
              <w:color w:val="000000" w:themeColor="text1"/>
              <w:sz w:val="20"/>
              <w:szCs w:val="20"/>
            </w:rPr>
            <w:t>(2)</w:t>
          </w:r>
          <w:r w:rsidR="00743E44" w:rsidRPr="00634980">
            <w:rPr>
              <w:rFonts w:ascii="Arial" w:eastAsia="Arial" w:hAnsi="Arial" w:cs="Arial"/>
              <w:b/>
              <w:color w:val="000000" w:themeColor="text1"/>
              <w:sz w:val="20"/>
              <w:szCs w:val="20"/>
              <w:vertAlign w:val="superscript"/>
            </w:rPr>
            <w:fldChar w:fldCharType="end"/>
          </w:r>
        </w:sdtContent>
      </w:sdt>
    </w:p>
    <w:p w:rsidR="00647D21" w:rsidRPr="0046044D" w:rsidRDefault="00647D21" w:rsidP="00822033">
      <w:pPr>
        <w:ind w:left="0" w:hanging="2"/>
        <w:jc w:val="both"/>
        <w:rPr>
          <w:rFonts w:ascii="Arial" w:eastAsia="Arial" w:hAnsi="Arial" w:cs="Arial"/>
          <w:color w:val="000000" w:themeColor="text1"/>
          <w:sz w:val="20"/>
          <w:szCs w:val="20"/>
        </w:rPr>
      </w:pPr>
    </w:p>
    <w:p w:rsidR="00822033" w:rsidRPr="00CD1A73" w:rsidRDefault="0046044D" w:rsidP="00822033">
      <w:pPr>
        <w:ind w:left="0" w:hanging="2"/>
        <w:jc w:val="both"/>
        <w:rPr>
          <w:rFonts w:ascii="Arial" w:eastAsia="Arial" w:hAnsi="Arial" w:cs="Arial"/>
          <w:color w:val="000000" w:themeColor="text1"/>
          <w:sz w:val="20"/>
          <w:szCs w:val="20"/>
        </w:rPr>
      </w:pPr>
      <w:r>
        <w:rPr>
          <w:noProof/>
        </w:rPr>
        <w:drawing>
          <wp:inline distT="0" distB="0" distL="0" distR="0">
            <wp:extent cx="5514975" cy="3834221"/>
            <wp:effectExtent l="0" t="0" r="0" b="0"/>
            <wp:docPr id="6" name="Imagen 6"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abla&#10;&#10;Descripción generada automáticamente con confianza media"/>
                    <pic:cNvPicPr/>
                  </pic:nvPicPr>
                  <pic:blipFill rotWithShape="1">
                    <a:blip r:embed="rId19" cstate="print"/>
                    <a:srcRect l="31926" t="36614" r="32029" b="18837"/>
                    <a:stretch/>
                  </pic:blipFill>
                  <pic:spPr bwMode="auto">
                    <a:xfrm>
                      <a:off x="0" y="0"/>
                      <a:ext cx="5519489" cy="3837359"/>
                    </a:xfrm>
                    <a:prstGeom prst="rect">
                      <a:avLst/>
                    </a:prstGeom>
                    <a:ln>
                      <a:noFill/>
                    </a:ln>
                    <a:extLst>
                      <a:ext uri="{53640926-AAD7-44D8-BBD7-CCE9431645EC}">
                        <a14:shadowObscured xmlns:a14="http://schemas.microsoft.com/office/drawing/2010/main"/>
                      </a:ext>
                    </a:extLst>
                  </pic:spPr>
                </pic:pic>
              </a:graphicData>
            </a:graphic>
          </wp:inline>
        </w:drawing>
      </w:r>
      <w:r w:rsidR="00822033">
        <w:rPr>
          <w:rFonts w:ascii="Arial" w:eastAsia="Arial" w:hAnsi="Arial" w:cs="Arial"/>
          <w:color w:val="000000" w:themeColor="text1"/>
          <w:sz w:val="20"/>
          <w:szCs w:val="20"/>
        </w:rPr>
        <w:t xml:space="preserve"> </w:t>
      </w:r>
    </w:p>
    <w:p w:rsidR="00822033" w:rsidRPr="00F36ED1" w:rsidRDefault="00822033">
      <w:pPr>
        <w:ind w:left="0" w:hanging="2"/>
        <w:jc w:val="both"/>
        <w:rPr>
          <w:rFonts w:ascii="Arial" w:eastAsia="Arial" w:hAnsi="Arial" w:cs="Arial"/>
          <w:b/>
          <w:color w:val="000080"/>
          <w:sz w:val="20"/>
          <w:szCs w:val="20"/>
        </w:rPr>
      </w:pPr>
    </w:p>
    <w:p w:rsidR="0046044D" w:rsidRPr="00F36ED1" w:rsidRDefault="0046044D" w:rsidP="0046044D">
      <w:pPr>
        <w:ind w:left="0" w:hanging="2"/>
        <w:jc w:val="center"/>
        <w:rPr>
          <w:rFonts w:ascii="Arial" w:eastAsia="Arial" w:hAnsi="Arial" w:cs="Arial"/>
          <w:b/>
          <w:color w:val="000000" w:themeColor="text1"/>
          <w:sz w:val="20"/>
          <w:szCs w:val="20"/>
        </w:rPr>
      </w:pPr>
      <w:r w:rsidRPr="00F36ED1">
        <w:rPr>
          <w:rFonts w:ascii="Arial" w:eastAsia="Arial" w:hAnsi="Arial" w:cs="Arial"/>
          <w:b/>
          <w:color w:val="000000" w:themeColor="text1"/>
          <w:sz w:val="20"/>
          <w:szCs w:val="20"/>
        </w:rPr>
        <w:t xml:space="preserve">Figura </w:t>
      </w:r>
      <w:r w:rsidR="00344934" w:rsidRPr="00F36ED1">
        <w:rPr>
          <w:rFonts w:ascii="Arial" w:eastAsia="Arial" w:hAnsi="Arial" w:cs="Arial"/>
          <w:b/>
          <w:color w:val="000000" w:themeColor="text1"/>
          <w:sz w:val="20"/>
          <w:szCs w:val="20"/>
        </w:rPr>
        <w:t>8</w:t>
      </w:r>
      <w:r w:rsidRPr="00F36ED1">
        <w:rPr>
          <w:rFonts w:ascii="Arial" w:eastAsia="Arial" w:hAnsi="Arial" w:cs="Arial"/>
          <w:b/>
          <w:color w:val="000000" w:themeColor="text1"/>
          <w:sz w:val="20"/>
          <w:szCs w:val="20"/>
        </w:rPr>
        <w:t>. Población de análisis (RE, 200 mg)</w:t>
      </w:r>
      <w:r w:rsidR="00647D21" w:rsidRPr="00F36ED1">
        <w:rPr>
          <w:rFonts w:ascii="Arial" w:eastAsia="Arial" w:hAnsi="Arial" w:cs="Arial"/>
          <w:b/>
          <w:color w:val="000000" w:themeColor="text1"/>
          <w:sz w:val="20"/>
          <w:szCs w:val="20"/>
        </w:rPr>
        <w:t xml:space="preserve"> </w:t>
      </w:r>
      <w:sdt>
        <w:sdtPr>
          <w:rPr>
            <w:rFonts w:ascii="Arial" w:eastAsia="Arial" w:hAnsi="Arial" w:cs="Arial"/>
            <w:b/>
            <w:color w:val="000000" w:themeColor="text1"/>
            <w:sz w:val="20"/>
            <w:szCs w:val="20"/>
            <w:vertAlign w:val="superscript"/>
          </w:rPr>
          <w:id w:val="1945416029"/>
          <w:citation/>
        </w:sdtPr>
        <w:sdtEndPr/>
        <w:sdtContent>
          <w:r w:rsidR="00743E44" w:rsidRPr="00634980">
            <w:rPr>
              <w:rFonts w:ascii="Arial" w:eastAsia="Arial" w:hAnsi="Arial" w:cs="Arial"/>
              <w:b/>
              <w:color w:val="000000" w:themeColor="text1"/>
              <w:sz w:val="20"/>
              <w:szCs w:val="20"/>
              <w:vertAlign w:val="superscript"/>
            </w:rPr>
            <w:fldChar w:fldCharType="begin"/>
          </w:r>
          <w:r w:rsidR="00647D21" w:rsidRPr="00634980">
            <w:rPr>
              <w:rFonts w:ascii="Arial" w:eastAsia="Arial" w:hAnsi="Arial" w:cs="Arial"/>
              <w:b/>
              <w:color w:val="000000" w:themeColor="text1"/>
              <w:sz w:val="20"/>
              <w:szCs w:val="20"/>
              <w:vertAlign w:val="superscript"/>
            </w:rPr>
            <w:instrText xml:space="preserve"> CITATION EPAR \l 3082 </w:instrText>
          </w:r>
          <w:r w:rsidR="00743E44" w:rsidRPr="00634980">
            <w:rPr>
              <w:rFonts w:ascii="Arial" w:eastAsia="Arial" w:hAnsi="Arial" w:cs="Arial"/>
              <w:b/>
              <w:color w:val="000000" w:themeColor="text1"/>
              <w:sz w:val="20"/>
              <w:szCs w:val="20"/>
              <w:vertAlign w:val="superscript"/>
            </w:rPr>
            <w:fldChar w:fldCharType="separate"/>
          </w:r>
          <w:r w:rsidR="00C560F5" w:rsidRPr="00C560F5">
            <w:rPr>
              <w:rFonts w:ascii="Arial" w:eastAsia="Arial" w:hAnsi="Arial" w:cs="Arial"/>
              <w:noProof/>
              <w:color w:val="000000" w:themeColor="text1"/>
              <w:sz w:val="20"/>
              <w:szCs w:val="20"/>
            </w:rPr>
            <w:t>(2)</w:t>
          </w:r>
          <w:r w:rsidR="00743E44" w:rsidRPr="00634980">
            <w:rPr>
              <w:rFonts w:ascii="Arial" w:eastAsia="Arial" w:hAnsi="Arial" w:cs="Arial"/>
              <w:b/>
              <w:color w:val="000000" w:themeColor="text1"/>
              <w:sz w:val="20"/>
              <w:szCs w:val="20"/>
              <w:vertAlign w:val="superscript"/>
            </w:rPr>
            <w:fldChar w:fldCharType="end"/>
          </w:r>
        </w:sdtContent>
      </w:sdt>
    </w:p>
    <w:p w:rsidR="00CD1A73" w:rsidRDefault="00CD1A73">
      <w:pPr>
        <w:ind w:left="0" w:hanging="2"/>
        <w:jc w:val="both"/>
        <w:rPr>
          <w:rFonts w:ascii="Arial" w:eastAsia="Arial" w:hAnsi="Arial" w:cs="Arial"/>
          <w:color w:val="000000" w:themeColor="text1"/>
          <w:sz w:val="20"/>
          <w:szCs w:val="20"/>
        </w:rPr>
      </w:pPr>
    </w:p>
    <w:p w:rsidR="00344934" w:rsidRDefault="00344934">
      <w:pPr>
        <w:ind w:left="0" w:hanging="2"/>
        <w:jc w:val="both"/>
        <w:rPr>
          <w:rFonts w:ascii="Arial" w:eastAsia="Arial" w:hAnsi="Arial" w:cs="Arial"/>
          <w:color w:val="000000" w:themeColor="text1"/>
          <w:sz w:val="20"/>
          <w:szCs w:val="20"/>
        </w:rPr>
      </w:pPr>
    </w:p>
    <w:p w:rsidR="00344934" w:rsidRDefault="00344934">
      <w:pPr>
        <w:ind w:left="0" w:hanging="2"/>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Se recogieron también resultados aportados por los pacientes (PRO). En concreto se estimó el </w:t>
      </w:r>
      <w:r w:rsidRPr="007B79DD">
        <w:rPr>
          <w:rFonts w:ascii="Arial" w:eastAsia="Arial" w:hAnsi="Arial" w:cs="Arial"/>
          <w:i/>
          <w:color w:val="000000" w:themeColor="text1"/>
          <w:sz w:val="20"/>
          <w:szCs w:val="20"/>
        </w:rPr>
        <w:t>PGIS score (patients global impresión of symptom severity</w:t>
      </w:r>
      <w:r>
        <w:rPr>
          <w:rFonts w:ascii="Arial" w:eastAsia="Arial" w:hAnsi="Arial" w:cs="Arial"/>
          <w:color w:val="000000" w:themeColor="text1"/>
          <w:sz w:val="20"/>
          <w:szCs w:val="20"/>
        </w:rPr>
        <w:t>). La media teniendo en cuenta la población “de seguridad” del estudio se redujo de 2</w:t>
      </w:r>
      <w:r w:rsidR="007B79DD">
        <w:rPr>
          <w:rFonts w:ascii="Arial" w:eastAsia="Arial" w:hAnsi="Arial" w:cs="Arial"/>
          <w:color w:val="000000" w:themeColor="text1"/>
          <w:sz w:val="20"/>
          <w:szCs w:val="20"/>
        </w:rPr>
        <w:t>,</w:t>
      </w:r>
      <w:r>
        <w:rPr>
          <w:rFonts w:ascii="Arial" w:eastAsia="Arial" w:hAnsi="Arial" w:cs="Arial"/>
          <w:color w:val="000000" w:themeColor="text1"/>
          <w:sz w:val="20"/>
          <w:szCs w:val="20"/>
        </w:rPr>
        <w:t>6 (DE=1.11) a 0</w:t>
      </w:r>
      <w:r w:rsidR="007B79DD">
        <w:rPr>
          <w:rFonts w:ascii="Arial" w:eastAsia="Arial" w:hAnsi="Arial" w:cs="Arial"/>
          <w:color w:val="000000" w:themeColor="text1"/>
          <w:sz w:val="20"/>
          <w:szCs w:val="20"/>
        </w:rPr>
        <w:t>,</w:t>
      </w:r>
      <w:r>
        <w:rPr>
          <w:rFonts w:ascii="Arial" w:eastAsia="Arial" w:hAnsi="Arial" w:cs="Arial"/>
          <w:color w:val="000000" w:themeColor="text1"/>
          <w:sz w:val="20"/>
          <w:szCs w:val="20"/>
        </w:rPr>
        <w:t xml:space="preserve">9 (DE=1.00) puntos </w:t>
      </w:r>
      <w:r w:rsidR="0049444B">
        <w:rPr>
          <w:rFonts w:ascii="Arial" w:eastAsia="Arial" w:hAnsi="Arial" w:cs="Arial"/>
          <w:color w:val="000000" w:themeColor="text1"/>
          <w:sz w:val="20"/>
          <w:szCs w:val="20"/>
        </w:rPr>
        <w:t>llegado el ciclo 17, donde la puntuación 0 significa la ausencia de síntomas. En cuanto a la calidad de vida reportada por los pacientes mejoró de 37</w:t>
      </w:r>
      <w:r w:rsidR="007B79DD">
        <w:rPr>
          <w:rFonts w:ascii="Arial" w:eastAsia="Arial" w:hAnsi="Arial" w:cs="Arial"/>
          <w:color w:val="000000" w:themeColor="text1"/>
          <w:sz w:val="20"/>
          <w:szCs w:val="20"/>
        </w:rPr>
        <w:t>,</w:t>
      </w:r>
      <w:r w:rsidR="0049444B">
        <w:rPr>
          <w:rFonts w:ascii="Arial" w:eastAsia="Arial" w:hAnsi="Arial" w:cs="Arial"/>
          <w:color w:val="000000" w:themeColor="text1"/>
          <w:sz w:val="20"/>
          <w:szCs w:val="20"/>
        </w:rPr>
        <w:t>90 (DE=24.55) a 59</w:t>
      </w:r>
      <w:r w:rsidR="007B79DD">
        <w:rPr>
          <w:rFonts w:ascii="Arial" w:eastAsia="Arial" w:hAnsi="Arial" w:cs="Arial"/>
          <w:color w:val="000000" w:themeColor="text1"/>
          <w:sz w:val="20"/>
          <w:szCs w:val="20"/>
        </w:rPr>
        <w:t>,</w:t>
      </w:r>
      <w:r w:rsidR="0049444B">
        <w:rPr>
          <w:rFonts w:ascii="Arial" w:eastAsia="Arial" w:hAnsi="Arial" w:cs="Arial"/>
          <w:color w:val="000000" w:themeColor="text1"/>
          <w:sz w:val="20"/>
          <w:szCs w:val="20"/>
        </w:rPr>
        <w:t xml:space="preserve">72 (DE=18.06) puntos sobre un total de 100. </w:t>
      </w:r>
    </w:p>
    <w:p w:rsidR="0049444B" w:rsidRDefault="0049444B">
      <w:pPr>
        <w:ind w:left="0" w:hanging="2"/>
        <w:jc w:val="both"/>
        <w:rPr>
          <w:rFonts w:ascii="Arial" w:eastAsia="Arial" w:hAnsi="Arial" w:cs="Arial"/>
          <w:color w:val="000000" w:themeColor="text1"/>
          <w:sz w:val="20"/>
          <w:szCs w:val="20"/>
        </w:rPr>
      </w:pPr>
    </w:p>
    <w:p w:rsidR="00F50338" w:rsidRDefault="0049444B">
      <w:pPr>
        <w:ind w:left="0" w:hanging="2"/>
        <w:jc w:val="both"/>
        <w:rPr>
          <w:rFonts w:ascii="Arial" w:eastAsia="Arial" w:hAnsi="Arial" w:cs="Arial"/>
          <w:color w:val="000000" w:themeColor="text1"/>
          <w:sz w:val="20"/>
          <w:szCs w:val="20"/>
        </w:rPr>
      </w:pPr>
      <w:r>
        <w:rPr>
          <w:rFonts w:ascii="Arial" w:eastAsia="Arial" w:hAnsi="Arial" w:cs="Arial"/>
          <w:color w:val="000000" w:themeColor="text1"/>
          <w:sz w:val="20"/>
          <w:szCs w:val="20"/>
        </w:rPr>
        <w:t>Se muestra a continuación otra tabla extraída del informe EPAR de la EMA donde se pueden observar los resultados en la variable principal dividida por categorías según la enfermedad y estratificada por subgrupos según edad, sexo, región, genotip</w:t>
      </w:r>
      <w:r w:rsidR="00634980">
        <w:rPr>
          <w:rFonts w:ascii="Arial" w:eastAsia="Arial" w:hAnsi="Arial" w:cs="Arial"/>
          <w:color w:val="000000" w:themeColor="text1"/>
          <w:sz w:val="20"/>
          <w:szCs w:val="20"/>
        </w:rPr>
        <w:t>o y midostaurina previa (si/no)</w:t>
      </w:r>
      <w:r>
        <w:rPr>
          <w:rFonts w:ascii="Arial" w:eastAsia="Arial" w:hAnsi="Arial" w:cs="Arial"/>
          <w:color w:val="000000" w:themeColor="text1"/>
          <w:sz w:val="20"/>
          <w:szCs w:val="20"/>
        </w:rPr>
        <w:t>.</w:t>
      </w:r>
    </w:p>
    <w:p w:rsidR="00F50338" w:rsidRDefault="00F50338">
      <w:pPr>
        <w:ind w:left="0" w:hanging="2"/>
        <w:jc w:val="both"/>
        <w:rPr>
          <w:rFonts w:ascii="Arial" w:eastAsia="Arial" w:hAnsi="Arial" w:cs="Arial"/>
          <w:color w:val="000000" w:themeColor="text1"/>
          <w:sz w:val="20"/>
          <w:szCs w:val="20"/>
        </w:rPr>
      </w:pPr>
    </w:p>
    <w:p w:rsidR="0049444B" w:rsidRDefault="00F50338">
      <w:pPr>
        <w:ind w:left="0" w:hanging="2"/>
        <w:jc w:val="both"/>
        <w:rPr>
          <w:rFonts w:ascii="Arial" w:eastAsia="Arial" w:hAnsi="Arial" w:cs="Arial"/>
          <w:color w:val="000000" w:themeColor="text1"/>
          <w:sz w:val="20"/>
          <w:szCs w:val="20"/>
        </w:rPr>
      </w:pPr>
      <w:r>
        <w:rPr>
          <w:noProof/>
        </w:rPr>
        <w:lastRenderedPageBreak/>
        <w:drawing>
          <wp:inline distT="0" distB="0" distL="0" distR="0">
            <wp:extent cx="5534025" cy="5695210"/>
            <wp:effectExtent l="0" t="0" r="0" b="1270"/>
            <wp:docPr id="8" name="Imagen 8" descr="Interfaz de usuario gráfica, Aplicación, Tabla,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Aplicación, Tabla, Calendario&#10;&#10;Descripción generada automáticamente"/>
                    <pic:cNvPicPr/>
                  </pic:nvPicPr>
                  <pic:blipFill rotWithShape="1">
                    <a:blip r:embed="rId20" cstate="print"/>
                    <a:srcRect l="32440" t="14036" r="32201" b="21277"/>
                    <a:stretch/>
                  </pic:blipFill>
                  <pic:spPr bwMode="auto">
                    <a:xfrm>
                      <a:off x="0" y="0"/>
                      <a:ext cx="5542168" cy="5703590"/>
                    </a:xfrm>
                    <a:prstGeom prst="rect">
                      <a:avLst/>
                    </a:prstGeom>
                    <a:ln>
                      <a:noFill/>
                    </a:ln>
                    <a:extLst>
                      <a:ext uri="{53640926-AAD7-44D8-BBD7-CCE9431645EC}">
                        <a14:shadowObscured xmlns:a14="http://schemas.microsoft.com/office/drawing/2010/main"/>
                      </a:ext>
                    </a:extLst>
                  </pic:spPr>
                </pic:pic>
              </a:graphicData>
            </a:graphic>
          </wp:inline>
        </w:drawing>
      </w:r>
      <w:r w:rsidR="0049444B">
        <w:rPr>
          <w:rFonts w:ascii="Arial" w:eastAsia="Arial" w:hAnsi="Arial" w:cs="Arial"/>
          <w:color w:val="000000" w:themeColor="text1"/>
          <w:sz w:val="20"/>
          <w:szCs w:val="20"/>
        </w:rPr>
        <w:t xml:space="preserve"> </w:t>
      </w:r>
    </w:p>
    <w:p w:rsidR="00F50338" w:rsidRDefault="00F50338">
      <w:pPr>
        <w:ind w:left="0" w:hanging="2"/>
        <w:jc w:val="both"/>
        <w:rPr>
          <w:rFonts w:ascii="Arial" w:eastAsia="Arial" w:hAnsi="Arial" w:cs="Arial"/>
          <w:color w:val="000000" w:themeColor="text1"/>
          <w:sz w:val="20"/>
          <w:szCs w:val="20"/>
        </w:rPr>
      </w:pPr>
    </w:p>
    <w:p w:rsidR="00F50338" w:rsidRPr="00F36ED1" w:rsidRDefault="00F50338" w:rsidP="00F50338">
      <w:pPr>
        <w:ind w:left="0" w:hanging="2"/>
        <w:jc w:val="center"/>
        <w:rPr>
          <w:rFonts w:ascii="Arial" w:eastAsia="Arial" w:hAnsi="Arial" w:cs="Arial"/>
          <w:b/>
          <w:color w:val="000000" w:themeColor="text1"/>
          <w:sz w:val="20"/>
          <w:szCs w:val="20"/>
        </w:rPr>
      </w:pPr>
      <w:r w:rsidRPr="00F36ED1">
        <w:rPr>
          <w:rFonts w:ascii="Arial" w:eastAsia="Arial" w:hAnsi="Arial" w:cs="Arial"/>
          <w:b/>
          <w:color w:val="000000" w:themeColor="text1"/>
          <w:sz w:val="20"/>
          <w:szCs w:val="20"/>
        </w:rPr>
        <w:t xml:space="preserve">Figura 9. Resultados por subgrupos de TRG </w:t>
      </w:r>
      <w:sdt>
        <w:sdtPr>
          <w:rPr>
            <w:rFonts w:ascii="Arial" w:eastAsia="Arial" w:hAnsi="Arial" w:cs="Arial"/>
            <w:b/>
            <w:color w:val="000000" w:themeColor="text1"/>
            <w:sz w:val="20"/>
            <w:szCs w:val="20"/>
            <w:vertAlign w:val="superscript"/>
          </w:rPr>
          <w:id w:val="13900120"/>
          <w:citation/>
        </w:sdtPr>
        <w:sdtEndPr/>
        <w:sdtContent>
          <w:r w:rsidR="00743E44" w:rsidRPr="007B79DD">
            <w:rPr>
              <w:rFonts w:ascii="Arial" w:eastAsia="Arial" w:hAnsi="Arial" w:cs="Arial"/>
              <w:b/>
              <w:color w:val="000000" w:themeColor="text1"/>
              <w:sz w:val="20"/>
              <w:szCs w:val="20"/>
              <w:vertAlign w:val="superscript"/>
            </w:rPr>
            <w:fldChar w:fldCharType="begin"/>
          </w:r>
          <w:r w:rsidRPr="007B79DD">
            <w:rPr>
              <w:rFonts w:ascii="Arial" w:eastAsia="Arial" w:hAnsi="Arial" w:cs="Arial"/>
              <w:b/>
              <w:color w:val="000000" w:themeColor="text1"/>
              <w:sz w:val="20"/>
              <w:szCs w:val="20"/>
              <w:vertAlign w:val="superscript"/>
            </w:rPr>
            <w:instrText xml:space="preserve"> CITATION EPAR \l 3082 </w:instrText>
          </w:r>
          <w:r w:rsidR="00743E44" w:rsidRPr="007B79DD">
            <w:rPr>
              <w:rFonts w:ascii="Arial" w:eastAsia="Arial" w:hAnsi="Arial" w:cs="Arial"/>
              <w:b/>
              <w:color w:val="000000" w:themeColor="text1"/>
              <w:sz w:val="20"/>
              <w:szCs w:val="20"/>
              <w:vertAlign w:val="superscript"/>
            </w:rPr>
            <w:fldChar w:fldCharType="separate"/>
          </w:r>
          <w:r w:rsidR="00C560F5" w:rsidRPr="00C560F5">
            <w:rPr>
              <w:rFonts w:ascii="Arial" w:eastAsia="Arial" w:hAnsi="Arial" w:cs="Arial"/>
              <w:noProof/>
              <w:color w:val="000000" w:themeColor="text1"/>
              <w:sz w:val="20"/>
              <w:szCs w:val="20"/>
            </w:rPr>
            <w:t>(2)</w:t>
          </w:r>
          <w:r w:rsidR="00743E44" w:rsidRPr="007B79DD">
            <w:rPr>
              <w:rFonts w:ascii="Arial" w:eastAsia="Arial" w:hAnsi="Arial" w:cs="Arial"/>
              <w:b/>
              <w:color w:val="000000" w:themeColor="text1"/>
              <w:sz w:val="20"/>
              <w:szCs w:val="20"/>
              <w:vertAlign w:val="superscript"/>
            </w:rPr>
            <w:fldChar w:fldCharType="end"/>
          </w:r>
        </w:sdtContent>
      </w:sdt>
    </w:p>
    <w:p w:rsidR="00CD1A73" w:rsidRDefault="00CD1A73">
      <w:pPr>
        <w:ind w:left="0" w:hanging="2"/>
        <w:jc w:val="both"/>
        <w:rPr>
          <w:rFonts w:ascii="Arial" w:eastAsia="Arial" w:hAnsi="Arial" w:cs="Arial"/>
          <w:color w:val="000080"/>
          <w:sz w:val="20"/>
          <w:szCs w:val="20"/>
        </w:rPr>
      </w:pPr>
    </w:p>
    <w:p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 xml:space="preserve">5.2.b Evaluación de la validez y de la utilidad práctica de los resultados </w:t>
      </w:r>
    </w:p>
    <w:p w:rsidR="00B74082" w:rsidRDefault="00B74082">
      <w:pPr>
        <w:ind w:left="0" w:hanging="2"/>
        <w:jc w:val="both"/>
        <w:rPr>
          <w:rFonts w:ascii="Arial" w:eastAsia="Arial" w:hAnsi="Arial" w:cs="Arial"/>
          <w:color w:val="000080"/>
          <w:sz w:val="20"/>
          <w:szCs w:val="20"/>
        </w:rPr>
      </w:pPr>
      <w:bookmarkStart w:id="63" w:name="_heading=h.3j2qqm3" w:colFirst="0" w:colLast="0"/>
      <w:bookmarkEnd w:id="63"/>
    </w:p>
    <w:p w:rsidR="00B74082" w:rsidRPr="000C31FA" w:rsidRDefault="00DA20C8">
      <w:pPr>
        <w:pBdr>
          <w:top w:val="single" w:sz="4" w:space="1" w:color="000000"/>
          <w:left w:val="single" w:sz="4" w:space="4" w:color="000000"/>
          <w:bottom w:val="single" w:sz="4" w:space="1" w:color="000000"/>
          <w:right w:val="single" w:sz="4" w:space="4" w:color="000000"/>
          <w:between w:val="nil"/>
        </w:pBdr>
        <w:shd w:val="clear" w:color="auto" w:fill="E6E6E6"/>
        <w:spacing w:line="240" w:lineRule="auto"/>
        <w:ind w:left="0" w:hanging="2"/>
        <w:jc w:val="both"/>
        <w:rPr>
          <w:b/>
          <w:color w:val="333300"/>
          <w:sz w:val="20"/>
          <w:szCs w:val="20"/>
        </w:rPr>
      </w:pPr>
      <w:r w:rsidRPr="000C31FA">
        <w:rPr>
          <w:b/>
          <w:color w:val="333300"/>
          <w:sz w:val="20"/>
          <w:szCs w:val="20"/>
        </w:rPr>
        <w:t>A. Validez interna. Limitaciones de diseño y/o comentarios:</w:t>
      </w:r>
    </w:p>
    <w:p w:rsidR="00B74082" w:rsidRDefault="00B74082">
      <w:pPr>
        <w:ind w:left="0" w:hanging="2"/>
        <w:rPr>
          <w:rFonts w:ascii="Arial" w:eastAsia="Arial" w:hAnsi="Arial" w:cs="Arial"/>
          <w:color w:val="000080"/>
          <w:sz w:val="20"/>
          <w:szCs w:val="20"/>
        </w:rPr>
      </w:pPr>
    </w:p>
    <w:p w:rsidR="004F620C" w:rsidRPr="00DD1306" w:rsidRDefault="004F620C" w:rsidP="000C31FA">
      <w:pPr>
        <w:ind w:left="0" w:hanging="2"/>
        <w:jc w:val="both"/>
        <w:rPr>
          <w:rFonts w:ascii="Arial" w:eastAsia="Arial" w:hAnsi="Arial" w:cs="Arial"/>
          <w:color w:val="000000" w:themeColor="text1"/>
          <w:sz w:val="20"/>
          <w:szCs w:val="20"/>
        </w:rPr>
      </w:pPr>
      <w:r w:rsidRPr="00DD1306">
        <w:rPr>
          <w:rFonts w:ascii="Arial" w:eastAsia="Arial" w:hAnsi="Arial" w:cs="Arial"/>
          <w:color w:val="000000" w:themeColor="text1"/>
          <w:sz w:val="20"/>
          <w:szCs w:val="20"/>
        </w:rPr>
        <w:t>Disponemos del estudio fase II P</w:t>
      </w:r>
      <w:r w:rsidR="00634980" w:rsidRPr="00DD1306">
        <w:rPr>
          <w:rFonts w:ascii="Arial" w:eastAsia="Arial" w:hAnsi="Arial" w:cs="Arial"/>
          <w:color w:val="000000" w:themeColor="text1"/>
          <w:sz w:val="20"/>
          <w:szCs w:val="20"/>
        </w:rPr>
        <w:t>ATHFINDER</w:t>
      </w:r>
      <w:r w:rsidRPr="00DD1306">
        <w:rPr>
          <w:rFonts w:ascii="Arial" w:eastAsia="Arial" w:hAnsi="Arial" w:cs="Arial"/>
          <w:color w:val="000000" w:themeColor="text1"/>
          <w:sz w:val="20"/>
          <w:szCs w:val="20"/>
        </w:rPr>
        <w:t>, de un solo brazo. Lo ideal hubiera sido disponer de un estudio en fase III con algún comparador</w:t>
      </w:r>
      <w:r w:rsidR="009F6C83">
        <w:rPr>
          <w:rFonts w:ascii="Arial" w:eastAsia="Arial" w:hAnsi="Arial" w:cs="Arial"/>
          <w:color w:val="000000" w:themeColor="text1"/>
          <w:sz w:val="20"/>
          <w:szCs w:val="20"/>
        </w:rPr>
        <w:t>, idealmente midostaurina</w:t>
      </w:r>
      <w:r w:rsidRPr="00DD1306">
        <w:rPr>
          <w:rFonts w:ascii="Arial" w:eastAsia="Arial" w:hAnsi="Arial" w:cs="Arial"/>
          <w:color w:val="000000" w:themeColor="text1"/>
          <w:sz w:val="20"/>
          <w:szCs w:val="20"/>
        </w:rPr>
        <w:t>.</w:t>
      </w:r>
      <w:r w:rsidR="009F6C83">
        <w:rPr>
          <w:rFonts w:ascii="Arial" w:eastAsia="Arial" w:hAnsi="Arial" w:cs="Arial"/>
          <w:color w:val="000000" w:themeColor="text1"/>
          <w:sz w:val="20"/>
          <w:szCs w:val="20"/>
        </w:rPr>
        <w:t xml:space="preserve"> Sin embargo, dado que estamos ante una enfermedad huérfana, con un reducido número de pacientes disponibles para formar parte de los estudios, la escasez de tratamientos aprobados disponibles y el potencial beneficio de una nueva terapia en este escenario, este hecho puede no ser considerado limitante en cuanto a validez interna se refiere.</w:t>
      </w:r>
      <w:r w:rsidRPr="00DD1306">
        <w:rPr>
          <w:rFonts w:ascii="Arial" w:eastAsia="Arial" w:hAnsi="Arial" w:cs="Arial"/>
          <w:color w:val="000000" w:themeColor="text1"/>
          <w:sz w:val="20"/>
          <w:szCs w:val="20"/>
        </w:rPr>
        <w:t xml:space="preserve"> </w:t>
      </w:r>
    </w:p>
    <w:p w:rsidR="004F620C" w:rsidRPr="00DD1306" w:rsidRDefault="004F620C" w:rsidP="000C31FA">
      <w:pPr>
        <w:ind w:left="0" w:hanging="2"/>
        <w:jc w:val="both"/>
        <w:rPr>
          <w:rFonts w:ascii="Arial" w:eastAsia="Arial" w:hAnsi="Arial" w:cs="Arial"/>
          <w:color w:val="000000" w:themeColor="text1"/>
          <w:sz w:val="20"/>
          <w:szCs w:val="20"/>
        </w:rPr>
      </w:pPr>
    </w:p>
    <w:p w:rsidR="004F620C" w:rsidRPr="00DD1306" w:rsidRDefault="004F620C" w:rsidP="000C31FA">
      <w:pPr>
        <w:ind w:left="0" w:hanging="2"/>
        <w:jc w:val="both"/>
        <w:rPr>
          <w:rFonts w:ascii="Arial" w:eastAsia="Arial" w:hAnsi="Arial" w:cs="Arial"/>
          <w:color w:val="000000" w:themeColor="text1"/>
          <w:sz w:val="20"/>
          <w:szCs w:val="20"/>
        </w:rPr>
      </w:pPr>
      <w:r w:rsidRPr="00DD1306">
        <w:rPr>
          <w:rFonts w:ascii="Arial" w:eastAsia="Arial" w:hAnsi="Arial" w:cs="Arial"/>
          <w:color w:val="000000" w:themeColor="text1"/>
          <w:sz w:val="20"/>
          <w:szCs w:val="20"/>
        </w:rPr>
        <w:t>En el análisis de resultados que se muestra en el apartado anterior se tuvo en cuenta la fecha de corte de abril de 2021. En la población de análisis se incluyen a los pacientes que habían recibido una o más terapias previas, siendo midostaurina la más empleada, y que hubieran iniciado el</w:t>
      </w:r>
      <w:r>
        <w:rPr>
          <w:rFonts w:ascii="Arial" w:eastAsia="Arial" w:hAnsi="Arial" w:cs="Arial"/>
          <w:color w:val="000080"/>
          <w:sz w:val="20"/>
          <w:szCs w:val="20"/>
        </w:rPr>
        <w:t xml:space="preserve"> </w:t>
      </w:r>
      <w:r w:rsidRPr="00DD1306">
        <w:rPr>
          <w:rFonts w:ascii="Arial" w:eastAsia="Arial" w:hAnsi="Arial" w:cs="Arial"/>
          <w:color w:val="000000" w:themeColor="text1"/>
          <w:sz w:val="20"/>
          <w:szCs w:val="20"/>
        </w:rPr>
        <w:t xml:space="preserve">estudio con la dosis de avapritinib de 200 mg, lo que saca de </w:t>
      </w:r>
      <w:r w:rsidR="009F6C83" w:rsidRPr="00DD1306">
        <w:rPr>
          <w:rFonts w:ascii="Arial" w:eastAsia="Arial" w:hAnsi="Arial" w:cs="Arial"/>
          <w:color w:val="000000" w:themeColor="text1"/>
          <w:sz w:val="20"/>
          <w:szCs w:val="20"/>
        </w:rPr>
        <w:t>estos análisis pacientes</w:t>
      </w:r>
      <w:r w:rsidRPr="00DD1306">
        <w:rPr>
          <w:rFonts w:ascii="Arial" w:eastAsia="Arial" w:hAnsi="Arial" w:cs="Arial"/>
          <w:color w:val="000000" w:themeColor="text1"/>
          <w:sz w:val="20"/>
          <w:szCs w:val="20"/>
        </w:rPr>
        <w:t xml:space="preserve"> que por </w:t>
      </w:r>
      <w:r w:rsidRPr="00DD1306">
        <w:rPr>
          <w:rFonts w:ascii="Arial" w:eastAsia="Arial" w:hAnsi="Arial" w:cs="Arial"/>
          <w:color w:val="000000" w:themeColor="text1"/>
          <w:sz w:val="20"/>
          <w:szCs w:val="20"/>
        </w:rPr>
        <w:lastRenderedPageBreak/>
        <w:t>alguna condición desfavorable hubieran iniciado el estudio con reducciones de dosis</w:t>
      </w:r>
      <w:r w:rsidR="009F6C83">
        <w:rPr>
          <w:rFonts w:ascii="Arial" w:eastAsia="Arial" w:hAnsi="Arial" w:cs="Arial"/>
          <w:color w:val="000000" w:themeColor="text1"/>
          <w:sz w:val="20"/>
          <w:szCs w:val="20"/>
        </w:rPr>
        <w:t xml:space="preserve"> de avapritinib</w:t>
      </w:r>
      <w:r w:rsidR="000C31FA">
        <w:rPr>
          <w:rFonts w:ascii="Arial" w:eastAsia="Arial" w:hAnsi="Arial" w:cs="Arial"/>
          <w:color w:val="000000" w:themeColor="text1"/>
          <w:sz w:val="20"/>
          <w:szCs w:val="20"/>
        </w:rPr>
        <w:t xml:space="preserve">, situación que </w:t>
      </w:r>
      <w:r w:rsidR="009F6C83">
        <w:rPr>
          <w:rFonts w:ascii="Arial" w:eastAsia="Arial" w:hAnsi="Arial" w:cs="Arial"/>
          <w:color w:val="000000" w:themeColor="text1"/>
          <w:sz w:val="20"/>
          <w:szCs w:val="20"/>
        </w:rPr>
        <w:t>limita aún más los datos de los que se dispone</w:t>
      </w:r>
      <w:r w:rsidRPr="00DD1306">
        <w:rPr>
          <w:rFonts w:ascii="Arial" w:eastAsia="Arial" w:hAnsi="Arial" w:cs="Arial"/>
          <w:color w:val="000000" w:themeColor="text1"/>
          <w:sz w:val="20"/>
          <w:szCs w:val="20"/>
        </w:rPr>
        <w:t xml:space="preserve">. </w:t>
      </w:r>
    </w:p>
    <w:p w:rsidR="004D5F7D" w:rsidRPr="00DD1306" w:rsidRDefault="004D5F7D" w:rsidP="000C31FA">
      <w:pPr>
        <w:ind w:left="0" w:hanging="2"/>
        <w:jc w:val="both"/>
        <w:rPr>
          <w:rFonts w:ascii="Arial" w:eastAsia="Arial" w:hAnsi="Arial" w:cs="Arial"/>
          <w:color w:val="000000" w:themeColor="text1"/>
          <w:sz w:val="20"/>
          <w:szCs w:val="20"/>
        </w:rPr>
      </w:pPr>
    </w:p>
    <w:p w:rsidR="004D5F7D" w:rsidRPr="00DD1306" w:rsidRDefault="004D5F7D" w:rsidP="000C31FA">
      <w:pPr>
        <w:ind w:left="0" w:hanging="2"/>
        <w:jc w:val="both"/>
        <w:rPr>
          <w:rFonts w:ascii="Arial" w:eastAsia="Arial" w:hAnsi="Arial" w:cs="Arial"/>
          <w:color w:val="000000" w:themeColor="text1"/>
          <w:sz w:val="20"/>
          <w:szCs w:val="20"/>
        </w:rPr>
      </w:pPr>
      <w:r w:rsidRPr="00DD1306">
        <w:rPr>
          <w:rFonts w:ascii="Arial" w:eastAsia="Arial" w:hAnsi="Arial" w:cs="Arial"/>
          <w:color w:val="000000" w:themeColor="text1"/>
          <w:sz w:val="20"/>
          <w:szCs w:val="20"/>
        </w:rPr>
        <w:t xml:space="preserve">En cuanto a la variable principal empleada, tasa de respuesta global, no se trata de una variable final, que hubiera sido más adecuada. Como variables secundarias se incluyeron la supervivencia global y la supervivencia libre de progresión. </w:t>
      </w:r>
    </w:p>
    <w:p w:rsidR="004D5F7D" w:rsidRPr="00DD1306" w:rsidRDefault="004D5F7D" w:rsidP="000C31FA">
      <w:pPr>
        <w:ind w:left="0" w:hanging="2"/>
        <w:jc w:val="both"/>
        <w:rPr>
          <w:rFonts w:ascii="Arial" w:eastAsia="Arial" w:hAnsi="Arial" w:cs="Arial"/>
          <w:color w:val="000000" w:themeColor="text1"/>
          <w:sz w:val="20"/>
          <w:szCs w:val="20"/>
        </w:rPr>
      </w:pPr>
    </w:p>
    <w:p w:rsidR="008B1964" w:rsidRPr="00472F9C" w:rsidRDefault="004D5F7D" w:rsidP="000C31FA">
      <w:pPr>
        <w:ind w:left="0" w:hanging="2"/>
        <w:jc w:val="both"/>
        <w:rPr>
          <w:rFonts w:ascii="Arial" w:eastAsia="Arial" w:hAnsi="Arial" w:cs="Arial"/>
          <w:color w:val="000000" w:themeColor="text1"/>
          <w:sz w:val="20"/>
          <w:szCs w:val="20"/>
        </w:rPr>
      </w:pPr>
      <w:r w:rsidRPr="00DD1306">
        <w:rPr>
          <w:rFonts w:ascii="Arial" w:eastAsia="Arial" w:hAnsi="Arial" w:cs="Arial"/>
          <w:color w:val="000000" w:themeColor="text1"/>
          <w:sz w:val="20"/>
          <w:szCs w:val="20"/>
        </w:rPr>
        <w:t xml:space="preserve">No se produjo ninguna exclusión del estudio por desvíos en el protocolo. El resto de </w:t>
      </w:r>
      <w:r w:rsidR="009F6C83" w:rsidRPr="00DD1306">
        <w:rPr>
          <w:rFonts w:ascii="Arial" w:eastAsia="Arial" w:hAnsi="Arial" w:cs="Arial"/>
          <w:color w:val="000000" w:themeColor="text1"/>
          <w:sz w:val="20"/>
          <w:szCs w:val="20"/>
        </w:rPr>
        <w:t>los abandonos</w:t>
      </w:r>
      <w:r w:rsidRPr="00DD1306">
        <w:rPr>
          <w:rFonts w:ascii="Arial" w:eastAsia="Arial" w:hAnsi="Arial" w:cs="Arial"/>
          <w:color w:val="000000" w:themeColor="text1"/>
          <w:sz w:val="20"/>
          <w:szCs w:val="20"/>
        </w:rPr>
        <w:t xml:space="preserve"> y de datos censurados se describen correctamente en el estudio. </w:t>
      </w:r>
    </w:p>
    <w:p w:rsidR="00B74082" w:rsidRDefault="00B74082">
      <w:pPr>
        <w:ind w:left="0" w:hanging="2"/>
        <w:jc w:val="right"/>
        <w:rPr>
          <w:rFonts w:ascii="Arial" w:eastAsia="Arial" w:hAnsi="Arial" w:cs="Arial"/>
          <w:color w:val="FF0000"/>
          <w:sz w:val="20"/>
          <w:szCs w:val="20"/>
        </w:rPr>
      </w:pPr>
      <w:bookmarkStart w:id="64" w:name="_heading=h.1y810tw" w:colFirst="0" w:colLast="0"/>
      <w:bookmarkEnd w:id="64"/>
    </w:p>
    <w:p w:rsidR="00B74082" w:rsidRPr="000C31FA" w:rsidRDefault="00DA20C8">
      <w:pPr>
        <w:pBdr>
          <w:top w:val="single" w:sz="4" w:space="1" w:color="000000"/>
          <w:left w:val="single" w:sz="4" w:space="4" w:color="000000"/>
          <w:bottom w:val="single" w:sz="4" w:space="1" w:color="000000"/>
          <w:right w:val="single" w:sz="4" w:space="4" w:color="000000"/>
          <w:between w:val="nil"/>
        </w:pBdr>
        <w:shd w:val="clear" w:color="auto" w:fill="E6E6E6"/>
        <w:spacing w:line="240" w:lineRule="auto"/>
        <w:ind w:left="0" w:hanging="2"/>
        <w:jc w:val="both"/>
        <w:rPr>
          <w:b/>
          <w:color w:val="333300"/>
          <w:sz w:val="20"/>
          <w:szCs w:val="20"/>
        </w:rPr>
      </w:pPr>
      <w:r w:rsidRPr="000C31FA">
        <w:rPr>
          <w:b/>
          <w:color w:val="333300"/>
          <w:sz w:val="20"/>
          <w:szCs w:val="20"/>
        </w:rPr>
        <w:t>B. Aplicabilidad del ensayo a la práctica del hospital</w:t>
      </w:r>
    </w:p>
    <w:p w:rsidR="00B74082" w:rsidRDefault="00B74082">
      <w:pPr>
        <w:pBdr>
          <w:top w:val="nil"/>
          <w:left w:val="nil"/>
          <w:bottom w:val="nil"/>
          <w:right w:val="nil"/>
          <w:between w:val="nil"/>
        </w:pBdr>
        <w:spacing w:line="240" w:lineRule="auto"/>
        <w:ind w:left="0" w:hanging="2"/>
        <w:jc w:val="both"/>
        <w:rPr>
          <w:color w:val="000080"/>
          <w:sz w:val="20"/>
          <w:szCs w:val="20"/>
        </w:rPr>
      </w:pPr>
    </w:p>
    <w:p w:rsidR="008B1964" w:rsidRPr="00DD1306" w:rsidRDefault="008B1964">
      <w:pPr>
        <w:pBdr>
          <w:top w:val="nil"/>
          <w:left w:val="nil"/>
          <w:bottom w:val="nil"/>
          <w:right w:val="nil"/>
          <w:between w:val="nil"/>
        </w:pBdr>
        <w:spacing w:line="240" w:lineRule="auto"/>
        <w:ind w:left="0" w:hanging="2"/>
        <w:jc w:val="both"/>
        <w:rPr>
          <w:rFonts w:ascii="Arial" w:eastAsia="Arial" w:hAnsi="Arial" w:cs="Arial"/>
          <w:color w:val="000000" w:themeColor="text1"/>
          <w:sz w:val="20"/>
          <w:szCs w:val="20"/>
        </w:rPr>
      </w:pPr>
      <w:r w:rsidRPr="00DD1306">
        <w:rPr>
          <w:rFonts w:ascii="Arial" w:eastAsia="Arial" w:hAnsi="Arial" w:cs="Arial"/>
          <w:color w:val="000000" w:themeColor="text1"/>
          <w:sz w:val="20"/>
          <w:szCs w:val="20"/>
        </w:rPr>
        <w:t xml:space="preserve">Al no disponer de comparador es difícil evaluar la aplicabilidad en el hospital. Los tratamientos previos de los pacientes </w:t>
      </w:r>
      <w:r w:rsidR="00EB34D5" w:rsidRPr="00DD1306">
        <w:rPr>
          <w:rFonts w:ascii="Arial" w:eastAsia="Arial" w:hAnsi="Arial" w:cs="Arial"/>
          <w:color w:val="000000" w:themeColor="text1"/>
          <w:sz w:val="20"/>
          <w:szCs w:val="20"/>
        </w:rPr>
        <w:t>incluidos</w:t>
      </w:r>
      <w:r w:rsidRPr="00DD1306">
        <w:rPr>
          <w:rFonts w:ascii="Arial" w:eastAsia="Arial" w:hAnsi="Arial" w:cs="Arial"/>
          <w:color w:val="000000" w:themeColor="text1"/>
          <w:sz w:val="20"/>
          <w:szCs w:val="20"/>
        </w:rPr>
        <w:t xml:space="preserve"> en la cohorte RE son los usados habitualmente en la práctica clínica, con la mayor parte de los pacientes habiendo recibido midostaurina, que es el único fármaco con indicación aprobada por la EMA en esta patología. </w:t>
      </w:r>
    </w:p>
    <w:p w:rsidR="008B1964" w:rsidRPr="00DD1306" w:rsidRDefault="008B1964">
      <w:pPr>
        <w:pBdr>
          <w:top w:val="nil"/>
          <w:left w:val="nil"/>
          <w:bottom w:val="nil"/>
          <w:right w:val="nil"/>
          <w:between w:val="nil"/>
        </w:pBdr>
        <w:spacing w:line="240" w:lineRule="auto"/>
        <w:ind w:left="0" w:hanging="2"/>
        <w:jc w:val="both"/>
        <w:rPr>
          <w:rFonts w:ascii="Arial" w:eastAsia="Arial" w:hAnsi="Arial" w:cs="Arial"/>
          <w:color w:val="000000" w:themeColor="text1"/>
          <w:sz w:val="20"/>
          <w:szCs w:val="20"/>
        </w:rPr>
      </w:pPr>
    </w:p>
    <w:p w:rsidR="008B1964" w:rsidRPr="00DD1306" w:rsidRDefault="008B1964">
      <w:pPr>
        <w:pBdr>
          <w:top w:val="nil"/>
          <w:left w:val="nil"/>
          <w:bottom w:val="nil"/>
          <w:right w:val="nil"/>
          <w:between w:val="nil"/>
        </w:pBdr>
        <w:spacing w:line="240" w:lineRule="auto"/>
        <w:ind w:left="0" w:hanging="2"/>
        <w:jc w:val="both"/>
        <w:rPr>
          <w:rFonts w:ascii="Arial" w:eastAsia="Arial" w:hAnsi="Arial" w:cs="Arial"/>
          <w:color w:val="000000" w:themeColor="text1"/>
          <w:sz w:val="20"/>
          <w:szCs w:val="20"/>
        </w:rPr>
      </w:pPr>
      <w:r w:rsidRPr="00DD1306">
        <w:rPr>
          <w:rFonts w:ascii="Arial" w:eastAsia="Arial" w:hAnsi="Arial" w:cs="Arial"/>
          <w:color w:val="000000" w:themeColor="text1"/>
          <w:sz w:val="20"/>
          <w:szCs w:val="20"/>
        </w:rPr>
        <w:t xml:space="preserve">La variable principal evaluada, con todo lo que conlleva </w:t>
      </w:r>
      <w:r w:rsidR="00472F9C" w:rsidRPr="00DD1306">
        <w:rPr>
          <w:rFonts w:ascii="Arial" w:eastAsia="Arial" w:hAnsi="Arial" w:cs="Arial"/>
          <w:color w:val="000000" w:themeColor="text1"/>
          <w:sz w:val="20"/>
          <w:szCs w:val="20"/>
        </w:rPr>
        <w:t>en relación con</w:t>
      </w:r>
      <w:r w:rsidRPr="00DD1306">
        <w:rPr>
          <w:rFonts w:ascii="Arial" w:eastAsia="Arial" w:hAnsi="Arial" w:cs="Arial"/>
          <w:color w:val="000000" w:themeColor="text1"/>
          <w:sz w:val="20"/>
          <w:szCs w:val="20"/>
        </w:rPr>
        <w:t xml:space="preserve"> la medición de criterios</w:t>
      </w:r>
      <w:r w:rsidR="0069289D" w:rsidRPr="00DD1306">
        <w:rPr>
          <w:rFonts w:ascii="Arial" w:eastAsia="Arial" w:hAnsi="Arial" w:cs="Arial"/>
          <w:color w:val="000000" w:themeColor="text1"/>
          <w:sz w:val="20"/>
          <w:szCs w:val="20"/>
        </w:rPr>
        <w:t xml:space="preserve"> </w:t>
      </w:r>
      <w:r w:rsidR="0069289D" w:rsidRPr="009929D0">
        <w:rPr>
          <w:rFonts w:ascii="Arial" w:eastAsia="Arial" w:hAnsi="Arial" w:cs="Arial"/>
          <w:color w:val="000000" w:themeColor="text1"/>
          <w:sz w:val="20"/>
          <w:szCs w:val="20"/>
        </w:rPr>
        <w:t>mIWG-MRT-ECNM</w:t>
      </w:r>
      <w:r w:rsidR="0069289D" w:rsidRPr="00DD1306">
        <w:rPr>
          <w:rFonts w:ascii="Arial" w:eastAsia="Arial" w:hAnsi="Arial" w:cs="Arial"/>
          <w:color w:val="000000" w:themeColor="text1"/>
          <w:sz w:val="20"/>
          <w:szCs w:val="20"/>
        </w:rPr>
        <w:t>, “obligaría” a realizar la misma evaluación pormenorizada de nuestros pacientes en la práctica clínica habitual</w:t>
      </w:r>
      <w:r w:rsidRPr="00DD1306">
        <w:rPr>
          <w:rFonts w:ascii="Arial" w:eastAsia="Arial" w:hAnsi="Arial" w:cs="Arial"/>
          <w:color w:val="000000" w:themeColor="text1"/>
          <w:sz w:val="20"/>
          <w:szCs w:val="20"/>
        </w:rPr>
        <w:t xml:space="preserve"> </w:t>
      </w:r>
      <w:r w:rsidR="0069289D" w:rsidRPr="00DD1306">
        <w:rPr>
          <w:rFonts w:ascii="Arial" w:eastAsia="Arial" w:hAnsi="Arial" w:cs="Arial"/>
          <w:color w:val="000000" w:themeColor="text1"/>
          <w:sz w:val="20"/>
          <w:szCs w:val="20"/>
        </w:rPr>
        <w:t>usando los mismos criterios. Estos pacientes tienen una alta variabilidad en sus características</w:t>
      </w:r>
      <w:r w:rsidR="00472F9C">
        <w:rPr>
          <w:rFonts w:ascii="Arial" w:eastAsia="Arial" w:hAnsi="Arial" w:cs="Arial"/>
          <w:color w:val="000000" w:themeColor="text1"/>
          <w:sz w:val="20"/>
          <w:szCs w:val="20"/>
        </w:rPr>
        <w:t>,</w:t>
      </w:r>
      <w:r w:rsidR="0069289D" w:rsidRPr="00DD1306">
        <w:rPr>
          <w:rFonts w:ascii="Arial" w:eastAsia="Arial" w:hAnsi="Arial" w:cs="Arial"/>
          <w:color w:val="000000" w:themeColor="text1"/>
          <w:sz w:val="20"/>
          <w:szCs w:val="20"/>
        </w:rPr>
        <w:t xml:space="preserve"> al tratarse de una enfermedad con una baja prevalencia, lo que los hace difícilmente comparables en términos globales al paciente</w:t>
      </w:r>
      <w:r w:rsidR="003872B0" w:rsidRPr="00DD1306">
        <w:rPr>
          <w:rFonts w:ascii="Arial" w:eastAsia="Arial" w:hAnsi="Arial" w:cs="Arial"/>
          <w:color w:val="000000" w:themeColor="text1"/>
          <w:sz w:val="20"/>
          <w:szCs w:val="20"/>
        </w:rPr>
        <w:t xml:space="preserve"> particular</w:t>
      </w:r>
      <w:r w:rsidR="0069289D" w:rsidRPr="00DD1306">
        <w:rPr>
          <w:rFonts w:ascii="Arial" w:eastAsia="Arial" w:hAnsi="Arial" w:cs="Arial"/>
          <w:color w:val="000000" w:themeColor="text1"/>
          <w:sz w:val="20"/>
          <w:szCs w:val="20"/>
        </w:rPr>
        <w:t xml:space="preserve"> candidato a avapritinib en el hospital. Esto hace también complicada la extrapolación de los resultados a la población real</w:t>
      </w:r>
      <w:r w:rsidR="00472F9C">
        <w:rPr>
          <w:rFonts w:ascii="Arial" w:eastAsia="Arial" w:hAnsi="Arial" w:cs="Arial"/>
          <w:color w:val="000000" w:themeColor="text1"/>
          <w:sz w:val="20"/>
          <w:szCs w:val="20"/>
        </w:rPr>
        <w:t>, ya que, sea cual sea el paciente candidato al tratamiento en vida real, este se encontrará escasamente representado en el estudio.</w:t>
      </w:r>
    </w:p>
    <w:p w:rsidR="003872B0" w:rsidRPr="00DD1306" w:rsidRDefault="003872B0">
      <w:pPr>
        <w:pBdr>
          <w:top w:val="nil"/>
          <w:left w:val="nil"/>
          <w:bottom w:val="nil"/>
          <w:right w:val="nil"/>
          <w:between w:val="nil"/>
        </w:pBdr>
        <w:spacing w:line="240" w:lineRule="auto"/>
        <w:ind w:left="0" w:hanging="2"/>
        <w:jc w:val="both"/>
        <w:rPr>
          <w:rFonts w:ascii="Arial" w:eastAsia="Arial" w:hAnsi="Arial" w:cs="Arial"/>
          <w:color w:val="000000" w:themeColor="text1"/>
          <w:sz w:val="20"/>
          <w:szCs w:val="20"/>
        </w:rPr>
      </w:pPr>
    </w:p>
    <w:p w:rsidR="003872B0" w:rsidRPr="00DD1306" w:rsidRDefault="003872B0">
      <w:pPr>
        <w:pBdr>
          <w:top w:val="nil"/>
          <w:left w:val="nil"/>
          <w:bottom w:val="nil"/>
          <w:right w:val="nil"/>
          <w:between w:val="nil"/>
        </w:pBdr>
        <w:spacing w:line="240" w:lineRule="auto"/>
        <w:ind w:left="0" w:hanging="2"/>
        <w:jc w:val="both"/>
        <w:rPr>
          <w:rFonts w:ascii="Arial" w:eastAsia="Arial" w:hAnsi="Arial" w:cs="Arial"/>
          <w:color w:val="000000" w:themeColor="text1"/>
          <w:sz w:val="20"/>
          <w:szCs w:val="20"/>
        </w:rPr>
      </w:pPr>
      <w:r w:rsidRPr="00DD1306">
        <w:rPr>
          <w:rFonts w:ascii="Arial" w:eastAsia="Arial" w:hAnsi="Arial" w:cs="Arial"/>
          <w:color w:val="000000" w:themeColor="text1"/>
          <w:sz w:val="20"/>
          <w:szCs w:val="20"/>
        </w:rPr>
        <w:t xml:space="preserve">Los criterios de inclusión/exclusión empleados en el estudio </w:t>
      </w:r>
      <w:r w:rsidR="00634980" w:rsidRPr="00DD1306">
        <w:rPr>
          <w:rFonts w:ascii="Arial" w:eastAsia="Arial" w:hAnsi="Arial" w:cs="Arial"/>
          <w:color w:val="000000" w:themeColor="text1"/>
          <w:sz w:val="20"/>
          <w:szCs w:val="20"/>
        </w:rPr>
        <w:t>PATHFINDER</w:t>
      </w:r>
      <w:r w:rsidR="00634980">
        <w:rPr>
          <w:rFonts w:ascii="Arial" w:eastAsia="Arial" w:hAnsi="Arial" w:cs="Arial"/>
          <w:color w:val="000000" w:themeColor="text1"/>
          <w:sz w:val="20"/>
          <w:szCs w:val="20"/>
        </w:rPr>
        <w:t xml:space="preserve"> </w:t>
      </w:r>
      <w:r w:rsidR="000C31FA">
        <w:rPr>
          <w:rFonts w:ascii="Arial" w:eastAsia="Arial" w:hAnsi="Arial" w:cs="Arial"/>
          <w:color w:val="000000" w:themeColor="text1"/>
          <w:sz w:val="20"/>
          <w:szCs w:val="20"/>
        </w:rPr>
        <w:t>II</w:t>
      </w:r>
      <w:r w:rsidRPr="00DD1306">
        <w:rPr>
          <w:rFonts w:ascii="Arial" w:eastAsia="Arial" w:hAnsi="Arial" w:cs="Arial"/>
          <w:color w:val="000000" w:themeColor="text1"/>
          <w:sz w:val="20"/>
          <w:szCs w:val="20"/>
        </w:rPr>
        <w:t xml:space="preserve"> se pueden aplicar en el hospital al paciente candidato a avapritinib. En particular habrá que tener </w:t>
      </w:r>
      <w:r w:rsidR="000C31FA">
        <w:rPr>
          <w:rFonts w:ascii="Arial" w:eastAsia="Arial" w:hAnsi="Arial" w:cs="Arial"/>
          <w:color w:val="000000" w:themeColor="text1"/>
          <w:sz w:val="20"/>
          <w:szCs w:val="20"/>
        </w:rPr>
        <w:t>precaución en</w:t>
      </w:r>
      <w:r w:rsidRPr="00DD1306">
        <w:rPr>
          <w:rFonts w:ascii="Arial" w:eastAsia="Arial" w:hAnsi="Arial" w:cs="Arial"/>
          <w:color w:val="000000" w:themeColor="text1"/>
          <w:sz w:val="20"/>
          <w:szCs w:val="20"/>
        </w:rPr>
        <w:t xml:space="preserve"> lo relativo a ceses de </w:t>
      </w:r>
      <w:r w:rsidR="00DD1306" w:rsidRPr="00DD1306">
        <w:rPr>
          <w:rFonts w:ascii="Arial" w:eastAsia="Arial" w:hAnsi="Arial" w:cs="Arial"/>
          <w:color w:val="000000" w:themeColor="text1"/>
          <w:sz w:val="20"/>
          <w:szCs w:val="20"/>
        </w:rPr>
        <w:t xml:space="preserve">los </w:t>
      </w:r>
      <w:r w:rsidRPr="00DD1306">
        <w:rPr>
          <w:rFonts w:ascii="Arial" w:eastAsia="Arial" w:hAnsi="Arial" w:cs="Arial"/>
          <w:color w:val="000000" w:themeColor="text1"/>
          <w:sz w:val="20"/>
          <w:szCs w:val="20"/>
        </w:rPr>
        <w:t>tratamientos previos</w:t>
      </w:r>
      <w:r w:rsidR="00DD1306" w:rsidRPr="00DD1306">
        <w:rPr>
          <w:rFonts w:ascii="Arial" w:eastAsia="Arial" w:hAnsi="Arial" w:cs="Arial"/>
          <w:color w:val="000000" w:themeColor="text1"/>
          <w:sz w:val="20"/>
          <w:szCs w:val="20"/>
        </w:rPr>
        <w:t xml:space="preserve"> especificados y</w:t>
      </w:r>
      <w:r w:rsidRPr="00DD1306">
        <w:rPr>
          <w:rFonts w:ascii="Arial" w:eastAsia="Arial" w:hAnsi="Arial" w:cs="Arial"/>
          <w:color w:val="000000" w:themeColor="text1"/>
          <w:sz w:val="20"/>
          <w:szCs w:val="20"/>
        </w:rPr>
        <w:t xml:space="preserve"> en los tiempos determinados en el estudio. En el estudio se incluyeron pacientes ECOG 0-3, lo que seguramente</w:t>
      </w:r>
      <w:r w:rsidR="00472F9C">
        <w:rPr>
          <w:rFonts w:ascii="Arial" w:eastAsia="Arial" w:hAnsi="Arial" w:cs="Arial"/>
          <w:color w:val="000000" w:themeColor="text1"/>
          <w:sz w:val="20"/>
          <w:szCs w:val="20"/>
        </w:rPr>
        <w:t xml:space="preserve"> sí que</w:t>
      </w:r>
      <w:r w:rsidRPr="00DD1306">
        <w:rPr>
          <w:rFonts w:ascii="Arial" w:eastAsia="Arial" w:hAnsi="Arial" w:cs="Arial"/>
          <w:color w:val="000000" w:themeColor="text1"/>
          <w:sz w:val="20"/>
          <w:szCs w:val="20"/>
        </w:rPr>
        <w:t xml:space="preserve"> represente </w:t>
      </w:r>
      <w:r w:rsidR="001836A6" w:rsidRPr="00DD1306">
        <w:rPr>
          <w:rFonts w:ascii="Arial" w:eastAsia="Arial" w:hAnsi="Arial" w:cs="Arial"/>
          <w:color w:val="000000" w:themeColor="text1"/>
          <w:sz w:val="20"/>
          <w:szCs w:val="20"/>
        </w:rPr>
        <w:t xml:space="preserve">ampliamente los pacientes que vayan a ser candidatos al </w:t>
      </w:r>
      <w:r w:rsidR="00DD1306" w:rsidRPr="00DD1306">
        <w:rPr>
          <w:rFonts w:ascii="Arial" w:eastAsia="Arial" w:hAnsi="Arial" w:cs="Arial"/>
          <w:color w:val="000000" w:themeColor="text1"/>
          <w:sz w:val="20"/>
          <w:szCs w:val="20"/>
        </w:rPr>
        <w:t>fármaco</w:t>
      </w:r>
      <w:r w:rsidR="001836A6" w:rsidRPr="00DD1306">
        <w:rPr>
          <w:rFonts w:ascii="Arial" w:eastAsia="Arial" w:hAnsi="Arial" w:cs="Arial"/>
          <w:color w:val="000000" w:themeColor="text1"/>
          <w:sz w:val="20"/>
          <w:szCs w:val="20"/>
        </w:rPr>
        <w:t xml:space="preserve">. </w:t>
      </w:r>
      <w:r w:rsidR="00472F9C">
        <w:rPr>
          <w:rFonts w:ascii="Arial" w:eastAsia="Arial" w:hAnsi="Arial" w:cs="Arial"/>
          <w:color w:val="000000" w:themeColor="text1"/>
          <w:sz w:val="20"/>
          <w:szCs w:val="20"/>
        </w:rPr>
        <w:t>Sin embargo, hay que tener en cuenta lo comentado en el párrafo anterior.</w:t>
      </w:r>
    </w:p>
    <w:p w:rsidR="00B74082" w:rsidRPr="000C31FA" w:rsidRDefault="00B74082">
      <w:pPr>
        <w:ind w:left="0" w:hanging="2"/>
        <w:jc w:val="both"/>
        <w:rPr>
          <w:rFonts w:ascii="Arial" w:eastAsia="Arial" w:hAnsi="Arial" w:cs="Arial"/>
          <w:b/>
          <w:sz w:val="20"/>
          <w:szCs w:val="20"/>
        </w:rPr>
      </w:pPr>
      <w:bookmarkStart w:id="65" w:name="_heading=h.4i7ojhp" w:colFirst="0" w:colLast="0"/>
      <w:bookmarkEnd w:id="65"/>
    </w:p>
    <w:p w:rsidR="00B74082" w:rsidRPr="000C31FA" w:rsidRDefault="00DA20C8">
      <w:pPr>
        <w:pBdr>
          <w:top w:val="single" w:sz="4" w:space="1" w:color="000000"/>
          <w:left w:val="single" w:sz="4" w:space="4" w:color="000000"/>
          <w:bottom w:val="single" w:sz="4" w:space="1" w:color="000000"/>
          <w:right w:val="single" w:sz="4" w:space="4" w:color="000000"/>
          <w:between w:val="nil"/>
        </w:pBdr>
        <w:shd w:val="clear" w:color="auto" w:fill="E6E6E6"/>
        <w:spacing w:line="240" w:lineRule="auto"/>
        <w:ind w:left="0" w:hanging="2"/>
        <w:jc w:val="both"/>
        <w:rPr>
          <w:b/>
          <w:color w:val="333300"/>
          <w:sz w:val="20"/>
          <w:szCs w:val="20"/>
        </w:rPr>
      </w:pPr>
      <w:r w:rsidRPr="000C31FA">
        <w:rPr>
          <w:b/>
          <w:color w:val="333300"/>
          <w:sz w:val="20"/>
          <w:szCs w:val="20"/>
        </w:rPr>
        <w:t>C. Relevancia clínica de los resultados</w:t>
      </w:r>
    </w:p>
    <w:p w:rsidR="00DD1306" w:rsidRPr="000C31FA" w:rsidRDefault="00DD1306" w:rsidP="00B70A68">
      <w:pPr>
        <w:pBdr>
          <w:top w:val="nil"/>
          <w:left w:val="nil"/>
          <w:bottom w:val="nil"/>
          <w:right w:val="nil"/>
          <w:between w:val="nil"/>
        </w:pBdr>
        <w:spacing w:line="240" w:lineRule="auto"/>
        <w:ind w:leftChars="0" w:left="0" w:firstLineChars="0" w:firstLine="0"/>
        <w:rPr>
          <w:b/>
          <w:color w:val="333300"/>
          <w:sz w:val="20"/>
          <w:szCs w:val="20"/>
        </w:rPr>
      </w:pPr>
      <w:bookmarkStart w:id="66" w:name="_heading=h.2xcytpi" w:colFirst="0" w:colLast="0"/>
      <w:bookmarkEnd w:id="66"/>
    </w:p>
    <w:p w:rsidR="00B74082" w:rsidRPr="000C31FA" w:rsidRDefault="00DA20C8">
      <w:pPr>
        <w:pBdr>
          <w:top w:val="single" w:sz="4" w:space="1" w:color="000000"/>
          <w:left w:val="single" w:sz="4" w:space="4" w:color="000000"/>
          <w:bottom w:val="single" w:sz="4" w:space="1" w:color="000000"/>
          <w:right w:val="single" w:sz="4" w:space="4" w:color="000000"/>
          <w:between w:val="nil"/>
        </w:pBdr>
        <w:shd w:val="clear" w:color="auto" w:fill="E6E6E6"/>
        <w:spacing w:line="240" w:lineRule="auto"/>
        <w:ind w:left="0" w:hanging="2"/>
        <w:rPr>
          <w:b/>
          <w:color w:val="333300"/>
          <w:sz w:val="20"/>
          <w:szCs w:val="20"/>
        </w:rPr>
      </w:pPr>
      <w:r w:rsidRPr="000C31FA">
        <w:rPr>
          <w:b/>
          <w:color w:val="333300"/>
          <w:sz w:val="20"/>
          <w:szCs w:val="20"/>
        </w:rPr>
        <w:t xml:space="preserve">C.1 Valorar si la </w:t>
      </w:r>
      <w:r w:rsidRPr="000C31FA">
        <w:rPr>
          <w:b/>
          <w:color w:val="333300"/>
          <w:sz w:val="20"/>
          <w:szCs w:val="20"/>
          <w:u w:val="single"/>
        </w:rPr>
        <w:t>magnitud del efecto</w:t>
      </w:r>
      <w:r w:rsidRPr="000C31FA">
        <w:rPr>
          <w:b/>
          <w:color w:val="333300"/>
          <w:sz w:val="20"/>
          <w:szCs w:val="20"/>
        </w:rPr>
        <w:t xml:space="preserve"> del tratamiento es de relevancia clínica. </w:t>
      </w:r>
    </w:p>
    <w:p w:rsidR="00B74082" w:rsidRDefault="00B74082">
      <w:pPr>
        <w:pBdr>
          <w:top w:val="nil"/>
          <w:left w:val="nil"/>
          <w:bottom w:val="nil"/>
          <w:right w:val="nil"/>
          <w:between w:val="nil"/>
        </w:pBdr>
        <w:spacing w:line="240" w:lineRule="auto"/>
        <w:ind w:left="0" w:hanging="2"/>
        <w:jc w:val="both"/>
        <w:rPr>
          <w:color w:val="000080"/>
          <w:sz w:val="20"/>
          <w:szCs w:val="20"/>
        </w:rPr>
      </w:pPr>
    </w:p>
    <w:p w:rsidR="00B70A68" w:rsidRPr="009E0ECD" w:rsidRDefault="00B70A68" w:rsidP="00B173DD">
      <w:pPr>
        <w:pBdr>
          <w:top w:val="nil"/>
          <w:left w:val="nil"/>
          <w:bottom w:val="nil"/>
          <w:right w:val="nil"/>
          <w:between w:val="nil"/>
        </w:pBdr>
        <w:spacing w:line="240" w:lineRule="auto"/>
        <w:ind w:left="0" w:hanging="2"/>
        <w:jc w:val="both"/>
        <w:rPr>
          <w:rFonts w:ascii="Arial" w:eastAsia="Arial" w:hAnsi="Arial" w:cs="Arial"/>
          <w:color w:val="000000" w:themeColor="text1"/>
          <w:sz w:val="20"/>
          <w:szCs w:val="20"/>
        </w:rPr>
      </w:pPr>
      <w:bookmarkStart w:id="67" w:name="_heading=h.1ci93xb" w:colFirst="0" w:colLast="0"/>
      <w:bookmarkEnd w:id="67"/>
      <w:r w:rsidRPr="009E0ECD">
        <w:rPr>
          <w:rFonts w:ascii="Arial" w:eastAsia="Arial" w:hAnsi="Arial" w:cs="Arial"/>
          <w:color w:val="000000" w:themeColor="text1"/>
          <w:sz w:val="20"/>
          <w:szCs w:val="20"/>
        </w:rPr>
        <w:t>La cuantificación de la relevancia clínica de los resultados viene también condicionada por el tipo de estudio realizado, un ECA fase II</w:t>
      </w:r>
      <w:r w:rsidR="00B173DD">
        <w:rPr>
          <w:rFonts w:ascii="Arial" w:eastAsia="Arial" w:hAnsi="Arial" w:cs="Arial"/>
          <w:color w:val="000000" w:themeColor="text1"/>
          <w:sz w:val="20"/>
          <w:szCs w:val="20"/>
        </w:rPr>
        <w:t xml:space="preserve"> de un solo brazo</w:t>
      </w:r>
      <w:r w:rsidRPr="009E0ECD">
        <w:rPr>
          <w:rFonts w:ascii="Arial" w:eastAsia="Arial" w:hAnsi="Arial" w:cs="Arial"/>
          <w:color w:val="000000" w:themeColor="text1"/>
          <w:sz w:val="20"/>
          <w:szCs w:val="20"/>
        </w:rPr>
        <w:t>. Se pretende demostrar la eficacia de avapritinib en mastocitosis sistémica, teniendo en cuenta las diferentes presentaciones de esta enfermedad.</w:t>
      </w:r>
    </w:p>
    <w:p w:rsidR="00B70A68" w:rsidRPr="009E0ECD" w:rsidRDefault="00B70A68" w:rsidP="00B173DD">
      <w:pPr>
        <w:pBdr>
          <w:top w:val="nil"/>
          <w:left w:val="nil"/>
          <w:bottom w:val="nil"/>
          <w:right w:val="nil"/>
          <w:between w:val="nil"/>
        </w:pBdr>
        <w:spacing w:line="240" w:lineRule="auto"/>
        <w:ind w:left="0" w:hanging="2"/>
        <w:jc w:val="both"/>
        <w:rPr>
          <w:rFonts w:ascii="Arial" w:eastAsia="Arial" w:hAnsi="Arial" w:cs="Arial"/>
          <w:color w:val="000000" w:themeColor="text1"/>
          <w:sz w:val="20"/>
          <w:szCs w:val="20"/>
        </w:rPr>
      </w:pPr>
      <w:r w:rsidRPr="009E0ECD">
        <w:rPr>
          <w:rFonts w:ascii="Arial" w:eastAsia="Arial" w:hAnsi="Arial" w:cs="Arial"/>
          <w:color w:val="000000" w:themeColor="text1"/>
          <w:sz w:val="20"/>
          <w:szCs w:val="20"/>
        </w:rPr>
        <w:t xml:space="preserve">La hipótesis nula del estudio se generó teniendo en cuenta el 28.3% de eficacia de midostaurina en TRG, de acuerdo con los criterios mIWG-MRT-ECNM. Así, el tamaño muestral del estudio se calculó para lograr una potencia de 93.5 con una p 0.025, que debe ser suficiente de acuerdo con esta premisa para demostrar la eficacia de avapritinib en el contexto de un estudio en fase II. Además, teniendo en cuenta que se trata de una enfermedad muy rara el tamaño muestral parece adecuado. </w:t>
      </w:r>
    </w:p>
    <w:p w:rsidR="00B70A68" w:rsidRDefault="00B70A68" w:rsidP="00B173DD">
      <w:pPr>
        <w:pBdr>
          <w:top w:val="nil"/>
          <w:left w:val="nil"/>
          <w:bottom w:val="nil"/>
          <w:right w:val="nil"/>
          <w:between w:val="nil"/>
        </w:pBdr>
        <w:spacing w:line="240" w:lineRule="auto"/>
        <w:ind w:left="0" w:hanging="2"/>
        <w:jc w:val="both"/>
        <w:rPr>
          <w:rFonts w:ascii="Arial" w:eastAsia="Arial" w:hAnsi="Arial" w:cs="Arial"/>
          <w:color w:val="000000" w:themeColor="text1"/>
          <w:sz w:val="20"/>
          <w:szCs w:val="20"/>
        </w:rPr>
      </w:pPr>
      <w:r w:rsidRPr="009E0ECD">
        <w:rPr>
          <w:rFonts w:ascii="Arial" w:eastAsia="Arial" w:hAnsi="Arial" w:cs="Arial"/>
          <w:color w:val="000000" w:themeColor="text1"/>
          <w:sz w:val="20"/>
          <w:szCs w:val="20"/>
        </w:rPr>
        <w:t>Debido a la ausencia de grupos control no se ha podido calcular la RAR.</w:t>
      </w:r>
    </w:p>
    <w:p w:rsidR="00B70A68" w:rsidRPr="009E0ECD" w:rsidRDefault="00B70A68" w:rsidP="00B173DD">
      <w:pPr>
        <w:pBdr>
          <w:top w:val="nil"/>
          <w:left w:val="nil"/>
          <w:bottom w:val="nil"/>
          <w:right w:val="nil"/>
          <w:between w:val="nil"/>
        </w:pBdr>
        <w:spacing w:line="240" w:lineRule="auto"/>
        <w:ind w:left="0" w:hanging="2"/>
        <w:jc w:val="both"/>
        <w:rPr>
          <w:rFonts w:ascii="Arial" w:eastAsia="Arial" w:hAnsi="Arial" w:cs="Arial"/>
          <w:color w:val="000000" w:themeColor="text1"/>
          <w:sz w:val="20"/>
          <w:szCs w:val="20"/>
        </w:rPr>
      </w:pPr>
      <w:r w:rsidRPr="009E0ECD">
        <w:rPr>
          <w:rFonts w:ascii="Arial" w:eastAsia="Arial" w:hAnsi="Arial" w:cs="Arial"/>
          <w:color w:val="000000" w:themeColor="text1"/>
          <w:sz w:val="20"/>
          <w:szCs w:val="20"/>
        </w:rPr>
        <w:t xml:space="preserve"> </w:t>
      </w:r>
    </w:p>
    <w:p w:rsidR="00B70A68" w:rsidRPr="009E0ECD" w:rsidRDefault="00B70A68" w:rsidP="00B173DD">
      <w:pPr>
        <w:pBdr>
          <w:top w:val="nil"/>
          <w:left w:val="nil"/>
          <w:bottom w:val="nil"/>
          <w:right w:val="nil"/>
          <w:between w:val="nil"/>
        </w:pBdr>
        <w:spacing w:line="240" w:lineRule="auto"/>
        <w:ind w:left="0" w:hanging="2"/>
        <w:jc w:val="both"/>
        <w:rPr>
          <w:rFonts w:ascii="Arial" w:eastAsia="Arial" w:hAnsi="Arial" w:cs="Arial"/>
          <w:color w:val="000000" w:themeColor="text1"/>
          <w:sz w:val="20"/>
          <w:szCs w:val="20"/>
        </w:rPr>
      </w:pPr>
      <w:r w:rsidRPr="009E0ECD">
        <w:rPr>
          <w:rFonts w:ascii="Arial" w:eastAsia="Arial" w:hAnsi="Arial" w:cs="Arial"/>
          <w:color w:val="000000" w:themeColor="text1"/>
          <w:sz w:val="20"/>
          <w:szCs w:val="20"/>
        </w:rPr>
        <w:t xml:space="preserve">Pese a todo, los resultados parecen aportar beneficio a los pacientes del estudio, independientemente de los tratamientos previos recibidos o del subtipo de mastocitosis, más </w:t>
      </w:r>
      <w:r w:rsidR="003A6FCC" w:rsidRPr="009E0ECD">
        <w:rPr>
          <w:rFonts w:ascii="Arial" w:eastAsia="Arial" w:hAnsi="Arial" w:cs="Arial"/>
          <w:color w:val="000000" w:themeColor="text1"/>
          <w:sz w:val="20"/>
          <w:szCs w:val="20"/>
        </w:rPr>
        <w:t>aun</w:t>
      </w:r>
      <w:r w:rsidRPr="009E0ECD">
        <w:rPr>
          <w:rFonts w:ascii="Arial" w:eastAsia="Arial" w:hAnsi="Arial" w:cs="Arial"/>
          <w:color w:val="000000" w:themeColor="text1"/>
          <w:sz w:val="20"/>
          <w:szCs w:val="20"/>
        </w:rPr>
        <w:t xml:space="preserve"> teniendo en cuenta que nos encontramos frente a una enfermedad rara con un abanico de tratamientos disponibles muy limitado. Si bien el reducido tamaño de muestra de muchos de los subgrupos hace que haya que tomar con cautela los resultados.</w:t>
      </w:r>
    </w:p>
    <w:p w:rsidR="00B74082" w:rsidRDefault="00B74082" w:rsidP="00B173DD">
      <w:pPr>
        <w:ind w:left="0" w:hanging="2"/>
        <w:jc w:val="both"/>
        <w:rPr>
          <w:rFonts w:ascii="Arial" w:eastAsia="Arial" w:hAnsi="Arial" w:cs="Arial"/>
          <w:color w:val="000080"/>
          <w:sz w:val="20"/>
          <w:szCs w:val="20"/>
        </w:rPr>
      </w:pPr>
    </w:p>
    <w:p w:rsidR="00B70A68" w:rsidRDefault="00B70A68">
      <w:pPr>
        <w:ind w:left="0" w:hanging="2"/>
        <w:rPr>
          <w:rFonts w:ascii="Arial" w:eastAsia="Arial" w:hAnsi="Arial" w:cs="Arial"/>
          <w:color w:val="000080"/>
          <w:sz w:val="20"/>
          <w:szCs w:val="20"/>
        </w:rPr>
      </w:pPr>
    </w:p>
    <w:p w:rsidR="00B74082" w:rsidRPr="000C31FA" w:rsidRDefault="00DA20C8" w:rsidP="000C31FA">
      <w:pPr>
        <w:pBdr>
          <w:top w:val="single" w:sz="4" w:space="1" w:color="000000"/>
          <w:left w:val="single" w:sz="4" w:space="4" w:color="000000"/>
          <w:bottom w:val="single" w:sz="4" w:space="0" w:color="000000"/>
          <w:right w:val="single" w:sz="4" w:space="4" w:color="000000"/>
          <w:between w:val="nil"/>
        </w:pBdr>
        <w:shd w:val="clear" w:color="auto" w:fill="E6E6E6"/>
        <w:spacing w:line="240" w:lineRule="auto"/>
        <w:ind w:left="0" w:hanging="2"/>
        <w:rPr>
          <w:b/>
          <w:color w:val="000000"/>
          <w:sz w:val="20"/>
          <w:szCs w:val="20"/>
        </w:rPr>
      </w:pPr>
      <w:r w:rsidRPr="000C31FA">
        <w:rPr>
          <w:b/>
          <w:color w:val="000000"/>
          <w:sz w:val="20"/>
          <w:szCs w:val="20"/>
        </w:rPr>
        <w:lastRenderedPageBreak/>
        <w:t xml:space="preserve">C.2 La evidencia de equivalencia terapéutica. </w:t>
      </w:r>
    </w:p>
    <w:p w:rsidR="00B74082" w:rsidRDefault="00B74082">
      <w:pPr>
        <w:pBdr>
          <w:top w:val="nil"/>
          <w:left w:val="nil"/>
          <w:bottom w:val="nil"/>
          <w:right w:val="nil"/>
          <w:between w:val="nil"/>
        </w:pBdr>
        <w:spacing w:line="240" w:lineRule="auto"/>
        <w:ind w:left="0" w:hanging="2"/>
        <w:jc w:val="both"/>
        <w:rPr>
          <w:color w:val="000080"/>
          <w:sz w:val="20"/>
          <w:szCs w:val="20"/>
        </w:rPr>
      </w:pPr>
    </w:p>
    <w:p w:rsidR="00B74082" w:rsidRPr="00647144" w:rsidRDefault="00647144">
      <w:pPr>
        <w:ind w:left="0" w:hanging="2"/>
        <w:jc w:val="both"/>
        <w:rPr>
          <w:rFonts w:ascii="Arial" w:eastAsia="Arial" w:hAnsi="Arial" w:cs="Arial"/>
          <w:color w:val="000000" w:themeColor="text1"/>
          <w:sz w:val="20"/>
          <w:szCs w:val="20"/>
        </w:rPr>
      </w:pPr>
      <w:bookmarkStart w:id="68" w:name="_heading=h.3whwml4" w:colFirst="0" w:colLast="0"/>
      <w:bookmarkEnd w:id="68"/>
      <w:r w:rsidRPr="00647144">
        <w:rPr>
          <w:rFonts w:ascii="Arial" w:eastAsia="Arial" w:hAnsi="Arial" w:cs="Arial"/>
          <w:color w:val="000000" w:themeColor="text1"/>
          <w:sz w:val="20"/>
          <w:szCs w:val="20"/>
        </w:rPr>
        <w:t>No procede</w:t>
      </w:r>
      <w:r w:rsidR="003A6FCC">
        <w:rPr>
          <w:rFonts w:ascii="Arial" w:eastAsia="Arial" w:hAnsi="Arial" w:cs="Arial"/>
          <w:color w:val="000000" w:themeColor="text1"/>
          <w:sz w:val="20"/>
          <w:szCs w:val="20"/>
        </w:rPr>
        <w:t>.</w:t>
      </w:r>
    </w:p>
    <w:p w:rsidR="00647144" w:rsidRDefault="00647144">
      <w:pPr>
        <w:ind w:left="0" w:hanging="2"/>
        <w:jc w:val="both"/>
        <w:rPr>
          <w:rFonts w:ascii="Arial" w:eastAsia="Arial" w:hAnsi="Arial" w:cs="Arial"/>
          <w:color w:val="0000FF"/>
          <w:sz w:val="20"/>
          <w:szCs w:val="20"/>
        </w:rPr>
      </w:pPr>
    </w:p>
    <w:p w:rsidR="00B74082" w:rsidRDefault="00DA20C8">
      <w:pPr>
        <w:pBdr>
          <w:top w:val="single" w:sz="4" w:space="1" w:color="000000"/>
          <w:left w:val="single" w:sz="4" w:space="4" w:color="000000"/>
          <w:bottom w:val="single" w:sz="4" w:space="1" w:color="000000"/>
          <w:right w:val="single" w:sz="4" w:space="4" w:color="000000"/>
          <w:between w:val="nil"/>
        </w:pBdr>
        <w:shd w:val="clear" w:color="auto" w:fill="E6E6E6"/>
        <w:spacing w:line="240" w:lineRule="auto"/>
        <w:ind w:left="0" w:hanging="2"/>
        <w:rPr>
          <w:color w:val="000000"/>
          <w:sz w:val="20"/>
          <w:szCs w:val="20"/>
        </w:rPr>
      </w:pPr>
      <w:r>
        <w:rPr>
          <w:color w:val="000000"/>
          <w:sz w:val="20"/>
          <w:szCs w:val="20"/>
        </w:rPr>
        <w:t xml:space="preserve">C.3 Alternativas terapéuticas equivalentes (ATE) </w:t>
      </w:r>
    </w:p>
    <w:p w:rsidR="00647144" w:rsidRDefault="00647144">
      <w:pPr>
        <w:ind w:left="0" w:hanging="2"/>
        <w:jc w:val="both"/>
        <w:rPr>
          <w:rFonts w:ascii="Arial" w:eastAsia="Arial" w:hAnsi="Arial" w:cs="Arial"/>
          <w:color w:val="0000FF"/>
          <w:sz w:val="20"/>
          <w:szCs w:val="20"/>
        </w:rPr>
      </w:pPr>
    </w:p>
    <w:p w:rsidR="00B74082" w:rsidRPr="00647144" w:rsidRDefault="00647144">
      <w:pPr>
        <w:ind w:left="0" w:hanging="2"/>
        <w:jc w:val="both"/>
        <w:rPr>
          <w:rFonts w:ascii="Arial" w:eastAsia="Arial" w:hAnsi="Arial" w:cs="Arial"/>
          <w:color w:val="000000" w:themeColor="text1"/>
          <w:sz w:val="20"/>
          <w:szCs w:val="20"/>
        </w:rPr>
      </w:pPr>
      <w:r w:rsidRPr="00647144">
        <w:rPr>
          <w:rFonts w:ascii="Arial" w:eastAsia="Arial" w:hAnsi="Arial" w:cs="Arial"/>
          <w:color w:val="000000" w:themeColor="text1"/>
          <w:sz w:val="20"/>
          <w:szCs w:val="20"/>
        </w:rPr>
        <w:t>No procede.</w:t>
      </w:r>
    </w:p>
    <w:p w:rsidR="00B74082" w:rsidRDefault="00B74082">
      <w:pPr>
        <w:ind w:left="0" w:hanging="2"/>
        <w:jc w:val="right"/>
        <w:rPr>
          <w:rFonts w:ascii="Arial" w:eastAsia="Arial" w:hAnsi="Arial" w:cs="Arial"/>
          <w:color w:val="FF0000"/>
          <w:sz w:val="16"/>
          <w:szCs w:val="16"/>
        </w:rPr>
      </w:pPr>
      <w:bookmarkStart w:id="69" w:name="_heading=h.2bn6wsx" w:colFirst="0" w:colLast="0"/>
      <w:bookmarkEnd w:id="69"/>
    </w:p>
    <w:p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 xml:space="preserve">5.2.c Evaluación de las pruebas de cribado utilizadas </w:t>
      </w:r>
    </w:p>
    <w:p w:rsidR="00B74082" w:rsidRDefault="00DA20C8">
      <w:pPr>
        <w:ind w:left="0" w:hanging="2"/>
        <w:jc w:val="right"/>
        <w:rPr>
          <w:rFonts w:ascii="Arial" w:eastAsia="Arial" w:hAnsi="Arial" w:cs="Arial"/>
          <w:color w:val="0000FF"/>
          <w:sz w:val="20"/>
          <w:szCs w:val="20"/>
          <w:u w:val="single"/>
        </w:rPr>
      </w:pPr>
      <w:r>
        <w:rPr>
          <w:rFonts w:ascii="Arial" w:eastAsia="Arial" w:hAnsi="Arial" w:cs="Arial"/>
          <w:color w:val="FF0000"/>
          <w:sz w:val="20"/>
          <w:szCs w:val="20"/>
        </w:rPr>
        <w:t xml:space="preserve"> </w:t>
      </w:r>
    </w:p>
    <w:p w:rsidR="00B74082" w:rsidRDefault="00B74082">
      <w:pPr>
        <w:ind w:left="0" w:hanging="2"/>
        <w:jc w:val="both"/>
        <w:rPr>
          <w:rFonts w:ascii="Arial" w:eastAsia="Arial" w:hAnsi="Arial" w:cs="Arial"/>
          <w:sz w:val="20"/>
          <w:szCs w:val="20"/>
        </w:rPr>
      </w:pPr>
      <w:bookmarkStart w:id="70" w:name="_heading=h.qsh70q" w:colFirst="0" w:colLast="0"/>
      <w:bookmarkEnd w:id="70"/>
    </w:p>
    <w:p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 xml:space="preserve">5.3 Revisiones sistemáticas publicadas, comparaciones indirectas y sus conclusiones </w:t>
      </w:r>
    </w:p>
    <w:p w:rsidR="00B74082" w:rsidRDefault="00B74082">
      <w:pPr>
        <w:ind w:left="0" w:hanging="2"/>
        <w:jc w:val="both"/>
        <w:rPr>
          <w:rFonts w:ascii="Arial" w:eastAsia="Arial" w:hAnsi="Arial" w:cs="Arial"/>
          <w:color w:val="000080"/>
          <w:sz w:val="20"/>
          <w:szCs w:val="20"/>
        </w:rPr>
      </w:pPr>
    </w:p>
    <w:p w:rsidR="00B74082" w:rsidRDefault="00B74082">
      <w:pPr>
        <w:ind w:left="0" w:hanging="2"/>
        <w:rPr>
          <w:rFonts w:ascii="Arial" w:eastAsia="Arial" w:hAnsi="Arial" w:cs="Arial"/>
          <w:color w:val="000080"/>
          <w:sz w:val="20"/>
          <w:szCs w:val="20"/>
        </w:rPr>
      </w:pPr>
      <w:bookmarkStart w:id="71" w:name="_heading=h.3as4poj" w:colFirst="0" w:colLast="0"/>
      <w:bookmarkEnd w:id="71"/>
    </w:p>
    <w:p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5.3.a Revisiones sistemáticas publicadas</w:t>
      </w:r>
    </w:p>
    <w:p w:rsidR="00A15DE1" w:rsidRDefault="00DA20C8">
      <w:pPr>
        <w:ind w:left="0" w:hanging="2"/>
        <w:rPr>
          <w:rFonts w:ascii="Arial" w:eastAsia="Arial" w:hAnsi="Arial" w:cs="Arial"/>
          <w:color w:val="FF0000"/>
          <w:sz w:val="20"/>
          <w:szCs w:val="20"/>
        </w:rPr>
      </w:pPr>
      <w:r>
        <w:rPr>
          <w:rFonts w:ascii="Arial" w:eastAsia="Arial" w:hAnsi="Arial" w:cs="Arial"/>
          <w:color w:val="FF0000"/>
          <w:sz w:val="20"/>
          <w:szCs w:val="20"/>
        </w:rPr>
        <w:t xml:space="preserve">  </w:t>
      </w:r>
    </w:p>
    <w:p w:rsidR="00A15DE1" w:rsidRPr="00A15DE1" w:rsidRDefault="00A15DE1" w:rsidP="00A15DE1">
      <w:pPr>
        <w:suppressAutoHyphens w:val="0"/>
        <w:spacing w:line="240" w:lineRule="auto"/>
        <w:ind w:leftChars="0" w:left="0" w:firstLineChars="0" w:hanging="2"/>
        <w:textDirection w:val="lrTb"/>
        <w:textAlignment w:val="auto"/>
        <w:outlineLvl w:val="9"/>
        <w:rPr>
          <w:position w:val="0"/>
        </w:rPr>
      </w:pPr>
      <w:r w:rsidRPr="00A15DE1">
        <w:rPr>
          <w:rFonts w:ascii="Arial" w:hAnsi="Arial" w:cs="Arial"/>
          <w:color w:val="000000"/>
          <w:position w:val="0"/>
          <w:sz w:val="20"/>
          <w:szCs w:val="20"/>
        </w:rPr>
        <w:t>Con fecha 08/07/2022 se realiza búsqueda en PubMed con los términos</w:t>
      </w:r>
      <w:r w:rsidR="00B70A68">
        <w:rPr>
          <w:rFonts w:ascii="Arial" w:hAnsi="Arial" w:cs="Arial"/>
          <w:color w:val="000000"/>
          <w:position w:val="0"/>
          <w:sz w:val="20"/>
          <w:szCs w:val="20"/>
        </w:rPr>
        <w:t xml:space="preserve"> MeSH</w:t>
      </w:r>
      <w:r w:rsidRPr="00A15DE1">
        <w:rPr>
          <w:rFonts w:ascii="Arial" w:hAnsi="Arial" w:cs="Arial"/>
          <w:color w:val="000000"/>
          <w:position w:val="0"/>
          <w:sz w:val="20"/>
          <w:szCs w:val="20"/>
        </w:rPr>
        <w:t xml:space="preserve"> “avapritinib” y “mastocytosis”, no encontrándose ningún metaanálisis o revisión sistemática publicada.  </w:t>
      </w:r>
    </w:p>
    <w:p w:rsidR="00B74082" w:rsidRDefault="00DA20C8" w:rsidP="00A15DE1">
      <w:pPr>
        <w:ind w:leftChars="0" w:left="0" w:firstLineChars="0" w:firstLine="0"/>
        <w:rPr>
          <w:rFonts w:ascii="Arial" w:eastAsia="Arial" w:hAnsi="Arial" w:cs="Arial"/>
          <w:color w:val="FF0000"/>
          <w:sz w:val="20"/>
          <w:szCs w:val="20"/>
        </w:rPr>
      </w:pPr>
      <w:r>
        <w:rPr>
          <w:rFonts w:ascii="Arial" w:eastAsia="Arial" w:hAnsi="Arial" w:cs="Arial"/>
          <w:color w:val="FF0000"/>
          <w:sz w:val="20"/>
          <w:szCs w:val="20"/>
        </w:rPr>
        <w:t xml:space="preserve">            </w:t>
      </w:r>
    </w:p>
    <w:p w:rsidR="00B74082" w:rsidRDefault="00B74082">
      <w:pPr>
        <w:ind w:left="0" w:hanging="2"/>
        <w:jc w:val="right"/>
        <w:rPr>
          <w:rFonts w:ascii="Arial" w:eastAsia="Arial" w:hAnsi="Arial" w:cs="Arial"/>
          <w:sz w:val="20"/>
          <w:szCs w:val="20"/>
        </w:rPr>
      </w:pPr>
      <w:bookmarkStart w:id="72" w:name="_heading=h.1pxezwc" w:colFirst="0" w:colLast="0"/>
      <w:bookmarkEnd w:id="72"/>
    </w:p>
    <w:p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5.3.b Comparaciones indirectas (CCII)</w:t>
      </w:r>
    </w:p>
    <w:p w:rsidR="00B74082" w:rsidRDefault="00B74082">
      <w:pPr>
        <w:ind w:left="0" w:hanging="2"/>
        <w:rPr>
          <w:rFonts w:ascii="Arial" w:eastAsia="Arial" w:hAnsi="Arial" w:cs="Arial"/>
          <w:sz w:val="20"/>
          <w:szCs w:val="20"/>
          <w:highlight w:val="yellow"/>
        </w:rPr>
      </w:pPr>
      <w:bookmarkStart w:id="73" w:name="_heading=h.49x2ik5" w:colFirst="0" w:colLast="0"/>
      <w:bookmarkEnd w:id="73"/>
    </w:p>
    <w:p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5.3.b.1 Comparaciones Indirectas publicadas</w:t>
      </w:r>
    </w:p>
    <w:p w:rsidR="00B74082" w:rsidRDefault="00B74082">
      <w:pPr>
        <w:ind w:left="0" w:hanging="2"/>
        <w:rPr>
          <w:rFonts w:ascii="Arial" w:eastAsia="Arial" w:hAnsi="Arial" w:cs="Arial"/>
          <w:color w:val="FF0000"/>
          <w:sz w:val="20"/>
          <w:szCs w:val="20"/>
        </w:rPr>
      </w:pPr>
    </w:p>
    <w:p w:rsidR="00DD0913" w:rsidRDefault="003A6FCC" w:rsidP="003A6FCC">
      <w:pPr>
        <w:suppressAutoHyphens w:val="0"/>
        <w:spacing w:line="240" w:lineRule="auto"/>
        <w:ind w:leftChars="0" w:left="0" w:firstLineChars="0" w:hanging="2"/>
        <w:jc w:val="both"/>
        <w:textDirection w:val="lrTb"/>
        <w:textAlignment w:val="auto"/>
        <w:outlineLvl w:val="9"/>
        <w:rPr>
          <w:rFonts w:ascii="Arial" w:hAnsi="Arial" w:cs="Arial"/>
          <w:color w:val="000000"/>
          <w:position w:val="0"/>
          <w:sz w:val="20"/>
          <w:szCs w:val="20"/>
        </w:rPr>
      </w:pPr>
      <w:r>
        <w:rPr>
          <w:rFonts w:ascii="Arial" w:hAnsi="Arial" w:cs="Arial"/>
          <w:color w:val="000000"/>
          <w:position w:val="0"/>
          <w:sz w:val="20"/>
          <w:szCs w:val="20"/>
        </w:rPr>
        <w:t>A diciembre de 2022, s</w:t>
      </w:r>
      <w:r w:rsidR="00F40290" w:rsidRPr="00F40290">
        <w:rPr>
          <w:rFonts w:ascii="Arial" w:hAnsi="Arial" w:cs="Arial"/>
          <w:color w:val="000000"/>
          <w:position w:val="0"/>
          <w:sz w:val="20"/>
          <w:szCs w:val="20"/>
        </w:rPr>
        <w:t>e encuentra una CI publicada en abril de 2022</w:t>
      </w:r>
      <w:sdt>
        <w:sdtPr>
          <w:rPr>
            <w:rFonts w:ascii="Arial" w:hAnsi="Arial" w:cs="Arial"/>
            <w:color w:val="000000"/>
            <w:position w:val="0"/>
            <w:sz w:val="20"/>
            <w:szCs w:val="20"/>
          </w:rPr>
          <w:id w:val="850687452"/>
          <w:citation/>
        </w:sdtPr>
        <w:sdtEndPr/>
        <w:sdtContent>
          <w:r w:rsidR="00743E44">
            <w:rPr>
              <w:rFonts w:ascii="Arial" w:hAnsi="Arial" w:cs="Arial"/>
              <w:color w:val="000000"/>
              <w:position w:val="0"/>
              <w:sz w:val="20"/>
              <w:szCs w:val="20"/>
            </w:rPr>
            <w:fldChar w:fldCharType="begin"/>
          </w:r>
          <w:r w:rsidR="00F40290">
            <w:rPr>
              <w:rFonts w:ascii="Arial" w:hAnsi="Arial" w:cs="Arial"/>
              <w:color w:val="000000"/>
              <w:position w:val="0"/>
              <w:sz w:val="20"/>
              <w:szCs w:val="20"/>
            </w:rPr>
            <w:instrText xml:space="preserve"> CITATION Hol22 \l 3082 </w:instrText>
          </w:r>
          <w:r w:rsidR="00743E44">
            <w:rPr>
              <w:rFonts w:ascii="Arial" w:hAnsi="Arial" w:cs="Arial"/>
              <w:color w:val="000000"/>
              <w:position w:val="0"/>
              <w:sz w:val="20"/>
              <w:szCs w:val="20"/>
            </w:rPr>
            <w:fldChar w:fldCharType="separate"/>
          </w:r>
          <w:r w:rsidR="00C560F5">
            <w:rPr>
              <w:rFonts w:ascii="Arial" w:hAnsi="Arial" w:cs="Arial"/>
              <w:noProof/>
              <w:color w:val="000000"/>
              <w:position w:val="0"/>
              <w:sz w:val="20"/>
              <w:szCs w:val="20"/>
            </w:rPr>
            <w:t xml:space="preserve"> </w:t>
          </w:r>
          <w:r w:rsidR="00C560F5" w:rsidRPr="00C560F5">
            <w:rPr>
              <w:rFonts w:ascii="Arial" w:hAnsi="Arial" w:cs="Arial"/>
              <w:noProof/>
              <w:color w:val="000000"/>
              <w:position w:val="0"/>
              <w:sz w:val="20"/>
              <w:szCs w:val="20"/>
            </w:rPr>
            <w:t>(12)</w:t>
          </w:r>
          <w:r w:rsidR="00743E44">
            <w:rPr>
              <w:rFonts w:ascii="Arial" w:hAnsi="Arial" w:cs="Arial"/>
              <w:color w:val="000000"/>
              <w:position w:val="0"/>
              <w:sz w:val="20"/>
              <w:szCs w:val="20"/>
            </w:rPr>
            <w:fldChar w:fldCharType="end"/>
          </w:r>
        </w:sdtContent>
      </w:sdt>
      <w:r w:rsidR="00F40290" w:rsidRPr="00F40290">
        <w:rPr>
          <w:rFonts w:ascii="Arial" w:hAnsi="Arial" w:cs="Arial"/>
          <w:color w:val="000000"/>
          <w:position w:val="0"/>
          <w:sz w:val="20"/>
          <w:szCs w:val="20"/>
        </w:rPr>
        <w:t xml:space="preserve">. En ella se realizan CCII de midostaurina frente a avapritinib en pacientes con mastocitosis sistémica. Se realizaron CCII ajustadas con los estudios </w:t>
      </w:r>
      <w:r w:rsidR="007B79DD" w:rsidRPr="00F40290">
        <w:rPr>
          <w:rFonts w:ascii="Arial" w:hAnsi="Arial" w:cs="Arial"/>
          <w:color w:val="000000"/>
          <w:position w:val="0"/>
          <w:sz w:val="20"/>
          <w:szCs w:val="20"/>
        </w:rPr>
        <w:t>EXPLORER</w:t>
      </w:r>
      <w:r w:rsidR="00F40290" w:rsidRPr="00F40290">
        <w:rPr>
          <w:rFonts w:ascii="Arial" w:hAnsi="Arial" w:cs="Arial"/>
          <w:color w:val="000000"/>
          <w:position w:val="0"/>
          <w:sz w:val="20"/>
          <w:szCs w:val="20"/>
        </w:rPr>
        <w:t xml:space="preserve"> y </w:t>
      </w:r>
      <w:r w:rsidR="007B79DD" w:rsidRPr="00F40290">
        <w:rPr>
          <w:rFonts w:ascii="Arial" w:hAnsi="Arial" w:cs="Arial"/>
          <w:color w:val="000000"/>
          <w:position w:val="0"/>
          <w:sz w:val="20"/>
          <w:szCs w:val="20"/>
        </w:rPr>
        <w:t xml:space="preserve">PATHFINDER </w:t>
      </w:r>
      <w:r w:rsidR="00F40290" w:rsidRPr="00F40290">
        <w:rPr>
          <w:rFonts w:ascii="Arial" w:hAnsi="Arial" w:cs="Arial"/>
          <w:color w:val="000000"/>
          <w:position w:val="0"/>
          <w:sz w:val="20"/>
          <w:szCs w:val="20"/>
        </w:rPr>
        <w:t>de avapritinib y D2201 y A2213 de midostaurina. Ambos fármacos fueron aprobados con estudios de un solo brazo. Las variables principales que se midieron en la CI fueron la SG, TRG y RC, siendo la SG elegido como análisis primario. Se realizaron CCII</w:t>
      </w:r>
      <w:r w:rsidR="00DD0913">
        <w:rPr>
          <w:rFonts w:ascii="Arial" w:hAnsi="Arial" w:cs="Arial"/>
          <w:color w:val="000000"/>
          <w:position w:val="0"/>
          <w:sz w:val="20"/>
          <w:szCs w:val="20"/>
        </w:rPr>
        <w:t xml:space="preserve"> ajustadas</w:t>
      </w:r>
      <w:r w:rsidR="00F40290" w:rsidRPr="00F40290">
        <w:rPr>
          <w:rFonts w:ascii="Arial" w:hAnsi="Arial" w:cs="Arial"/>
          <w:color w:val="000000"/>
          <w:position w:val="0"/>
          <w:sz w:val="20"/>
          <w:szCs w:val="20"/>
        </w:rPr>
        <w:t xml:space="preserve"> no ancladas usando la aproximación de Signorovitch et al para estimar la eficacia relativa. Este método permite ajustar la comparación en términos de poblaciones diferentes no randomizadas.</w:t>
      </w:r>
      <w:r w:rsidR="00DD0913">
        <w:rPr>
          <w:rFonts w:ascii="Arial" w:hAnsi="Arial" w:cs="Arial"/>
          <w:color w:val="000000"/>
          <w:position w:val="0"/>
          <w:sz w:val="20"/>
          <w:szCs w:val="20"/>
        </w:rPr>
        <w:t xml:space="preserve"> Las variables utilizadas en el ajuste fueron aquellas identificadas como factores pronóstico significativos</w:t>
      </w:r>
      <w:r w:rsidR="0040174B">
        <w:rPr>
          <w:rFonts w:ascii="Arial" w:hAnsi="Arial" w:cs="Arial"/>
          <w:color w:val="000000"/>
          <w:position w:val="0"/>
          <w:sz w:val="20"/>
          <w:szCs w:val="20"/>
        </w:rPr>
        <w:t xml:space="preserve"> (p&lt;0.1)</w:t>
      </w:r>
      <w:r w:rsidR="00DD0913">
        <w:rPr>
          <w:rFonts w:ascii="Arial" w:hAnsi="Arial" w:cs="Arial"/>
          <w:color w:val="000000"/>
          <w:position w:val="0"/>
          <w:sz w:val="20"/>
          <w:szCs w:val="20"/>
        </w:rPr>
        <w:t xml:space="preserve"> a partir del análisis de subgrupos de avapritinib que también hubieran sido reportadas en el comparador.</w:t>
      </w:r>
      <w:r w:rsidR="0040174B">
        <w:rPr>
          <w:rFonts w:ascii="Arial" w:hAnsi="Arial" w:cs="Arial"/>
          <w:color w:val="000000"/>
          <w:position w:val="0"/>
          <w:sz w:val="20"/>
          <w:szCs w:val="20"/>
        </w:rPr>
        <w:t xml:space="preserve"> Se incluyeron finalmente como características de paciente: género, edad, raza, ECOG, terapia previa, subtipo de la enfermedad, estado mutacional de KITD816V, carga de células mastocíticas en médula ósea, triptasa sérica y número de hallazgos-C. </w:t>
      </w:r>
      <w:r w:rsidR="00F40290" w:rsidRPr="00F40290">
        <w:rPr>
          <w:rFonts w:ascii="Arial" w:hAnsi="Arial" w:cs="Arial"/>
          <w:color w:val="000000"/>
          <w:position w:val="0"/>
          <w:sz w:val="20"/>
          <w:szCs w:val="20"/>
        </w:rPr>
        <w:t xml:space="preserve"> </w:t>
      </w:r>
    </w:p>
    <w:p w:rsidR="00F40290" w:rsidRPr="00F40290" w:rsidRDefault="00F40290" w:rsidP="003A6FCC">
      <w:pPr>
        <w:suppressAutoHyphens w:val="0"/>
        <w:spacing w:line="240" w:lineRule="auto"/>
        <w:ind w:leftChars="0" w:left="0" w:firstLineChars="0" w:hanging="2"/>
        <w:jc w:val="both"/>
        <w:textDirection w:val="lrTb"/>
        <w:textAlignment w:val="auto"/>
        <w:outlineLvl w:val="9"/>
        <w:rPr>
          <w:position w:val="0"/>
        </w:rPr>
      </w:pPr>
      <w:r w:rsidRPr="00F40290">
        <w:rPr>
          <w:rFonts w:ascii="Arial" w:hAnsi="Arial" w:cs="Arial"/>
          <w:color w:val="000000"/>
          <w:position w:val="0"/>
          <w:sz w:val="20"/>
          <w:szCs w:val="20"/>
        </w:rPr>
        <w:t xml:space="preserve">Se realizaron </w:t>
      </w:r>
      <w:r w:rsidR="007A2122">
        <w:rPr>
          <w:rFonts w:ascii="Arial" w:hAnsi="Arial" w:cs="Arial"/>
          <w:color w:val="000000"/>
          <w:position w:val="0"/>
          <w:sz w:val="20"/>
          <w:szCs w:val="20"/>
        </w:rPr>
        <w:t xml:space="preserve">distintos análisis de sensibilidad para evaluar la validez </w:t>
      </w:r>
      <w:r w:rsidR="007B79DD">
        <w:rPr>
          <w:rFonts w:ascii="Arial" w:hAnsi="Arial" w:cs="Arial"/>
          <w:color w:val="000000"/>
          <w:position w:val="0"/>
          <w:sz w:val="20"/>
          <w:szCs w:val="20"/>
        </w:rPr>
        <w:t>de los</w:t>
      </w:r>
      <w:r w:rsidR="007A2122">
        <w:rPr>
          <w:rFonts w:ascii="Arial" w:hAnsi="Arial" w:cs="Arial"/>
          <w:color w:val="000000"/>
          <w:position w:val="0"/>
          <w:sz w:val="20"/>
          <w:szCs w:val="20"/>
        </w:rPr>
        <w:t xml:space="preserve"> </w:t>
      </w:r>
      <w:r w:rsidR="007B79DD">
        <w:rPr>
          <w:rFonts w:ascii="Arial" w:hAnsi="Arial" w:cs="Arial"/>
          <w:color w:val="000000"/>
          <w:position w:val="0"/>
          <w:sz w:val="20"/>
          <w:szCs w:val="20"/>
        </w:rPr>
        <w:t>resultados</w:t>
      </w:r>
      <w:r w:rsidR="007A2122">
        <w:rPr>
          <w:rFonts w:ascii="Arial" w:hAnsi="Arial" w:cs="Arial"/>
          <w:color w:val="000000"/>
          <w:position w:val="0"/>
          <w:sz w:val="20"/>
          <w:szCs w:val="20"/>
        </w:rPr>
        <w:t xml:space="preserve"> a partir de los diferentes estudios en cuanto a simil</w:t>
      </w:r>
      <w:r w:rsidR="00B70A68">
        <w:rPr>
          <w:rFonts w:ascii="Arial" w:hAnsi="Arial" w:cs="Arial"/>
          <w:color w:val="000000"/>
          <w:position w:val="0"/>
          <w:sz w:val="20"/>
          <w:szCs w:val="20"/>
        </w:rPr>
        <w:t>itud</w:t>
      </w:r>
      <w:r w:rsidR="007A2122">
        <w:rPr>
          <w:rFonts w:ascii="Arial" w:hAnsi="Arial" w:cs="Arial"/>
          <w:color w:val="000000"/>
          <w:position w:val="0"/>
          <w:sz w:val="20"/>
          <w:szCs w:val="20"/>
        </w:rPr>
        <w:t xml:space="preserve"> de las poblaciones empleadas, para evaluar la eficacia en los subgrupos de avapritinib 200 mg, SG para todas las poblaciones, para subpoblaciones </w:t>
      </w:r>
      <w:r w:rsidR="00677F41">
        <w:rPr>
          <w:rFonts w:ascii="Arial" w:hAnsi="Arial" w:cs="Arial"/>
          <w:color w:val="000000"/>
          <w:position w:val="0"/>
          <w:sz w:val="20"/>
          <w:szCs w:val="20"/>
        </w:rPr>
        <w:t xml:space="preserve">que no habían recibido </w:t>
      </w:r>
      <w:r w:rsidR="007A2122">
        <w:rPr>
          <w:rFonts w:ascii="Arial" w:hAnsi="Arial" w:cs="Arial"/>
          <w:color w:val="000000"/>
          <w:position w:val="0"/>
          <w:sz w:val="20"/>
          <w:szCs w:val="20"/>
        </w:rPr>
        <w:t xml:space="preserve">midostaurina en los brazos de avapritinib y para subpoblaciones sin terapia sistémica previa. </w:t>
      </w:r>
    </w:p>
    <w:p w:rsidR="00F40290" w:rsidRDefault="00F40290" w:rsidP="003A6FCC">
      <w:pPr>
        <w:suppressAutoHyphens w:val="0"/>
        <w:spacing w:line="240" w:lineRule="auto"/>
        <w:ind w:leftChars="0" w:left="0" w:firstLineChars="0" w:hanging="2"/>
        <w:jc w:val="both"/>
        <w:textDirection w:val="lrTb"/>
        <w:textAlignment w:val="auto"/>
        <w:outlineLvl w:val="9"/>
        <w:rPr>
          <w:rFonts w:ascii="Arial" w:hAnsi="Arial" w:cs="Arial"/>
          <w:color w:val="000000"/>
          <w:position w:val="0"/>
          <w:sz w:val="20"/>
          <w:szCs w:val="20"/>
        </w:rPr>
      </w:pPr>
      <w:r w:rsidRPr="00F40290">
        <w:rPr>
          <w:rFonts w:ascii="Arial" w:hAnsi="Arial" w:cs="Arial"/>
          <w:color w:val="000000"/>
          <w:position w:val="0"/>
          <w:sz w:val="20"/>
          <w:szCs w:val="20"/>
        </w:rPr>
        <w:t>Se realizó un análisis post-hoc en el estudio D2201 estratificando a los pacientes en función de los criterios IWG-MRT-ECNM, ya que los ensayos clínicos con midostaurina usaban los ya en desuso criterios Valent.</w:t>
      </w:r>
      <w:r>
        <w:rPr>
          <w:rFonts w:ascii="Arial" w:hAnsi="Arial" w:cs="Arial"/>
          <w:color w:val="000000"/>
          <w:position w:val="0"/>
          <w:sz w:val="20"/>
          <w:szCs w:val="20"/>
        </w:rPr>
        <w:t xml:space="preserve"> </w:t>
      </w:r>
    </w:p>
    <w:p w:rsidR="004B68CD" w:rsidRPr="00F40290" w:rsidRDefault="004B68CD" w:rsidP="003A6FCC">
      <w:pPr>
        <w:suppressAutoHyphens w:val="0"/>
        <w:spacing w:line="240" w:lineRule="auto"/>
        <w:ind w:leftChars="0" w:left="0" w:firstLineChars="0" w:hanging="2"/>
        <w:jc w:val="both"/>
        <w:textDirection w:val="lrTb"/>
        <w:textAlignment w:val="auto"/>
        <w:outlineLvl w:val="9"/>
        <w:rPr>
          <w:position w:val="0"/>
        </w:rPr>
      </w:pPr>
      <w:r>
        <w:rPr>
          <w:rFonts w:ascii="Arial" w:hAnsi="Arial" w:cs="Arial"/>
          <w:color w:val="000000"/>
          <w:position w:val="0"/>
          <w:sz w:val="20"/>
          <w:szCs w:val="20"/>
        </w:rPr>
        <w:t xml:space="preserve">La comparabilidad de las poblaciones de pacientes permitía agregar los datos de toda la evidencia disponible de midostaurina y avapritinib, teniendo en cuenta la escasez de </w:t>
      </w:r>
      <w:r w:rsidR="00B70A68">
        <w:rPr>
          <w:rFonts w:ascii="Arial" w:hAnsi="Arial" w:cs="Arial"/>
          <w:color w:val="000000"/>
          <w:position w:val="0"/>
          <w:sz w:val="20"/>
          <w:szCs w:val="20"/>
        </w:rPr>
        <w:t>esta</w:t>
      </w:r>
      <w:r>
        <w:rPr>
          <w:rFonts w:ascii="Arial" w:hAnsi="Arial" w:cs="Arial"/>
          <w:color w:val="000000"/>
          <w:position w:val="0"/>
          <w:sz w:val="20"/>
          <w:szCs w:val="20"/>
        </w:rPr>
        <w:t xml:space="preserve"> y el escaso recorrido de estos fármacos, aún con poca evidencia RWD. Sin embargo, se explican en el trabajo de Pinkington et al. las diferencias más significativas que se encontraron entre los distintos grupos y que podrían afectar en mayor o menor medida a la comparabilidad de las poblaciones. </w:t>
      </w:r>
    </w:p>
    <w:p w:rsidR="00F40290" w:rsidRDefault="00F40290" w:rsidP="003A6FCC">
      <w:pPr>
        <w:ind w:left="0" w:hanging="2"/>
        <w:jc w:val="both"/>
        <w:rPr>
          <w:rFonts w:ascii="Arial" w:eastAsia="Arial" w:hAnsi="Arial" w:cs="Arial"/>
          <w:color w:val="FF0000"/>
          <w:sz w:val="20"/>
          <w:szCs w:val="20"/>
        </w:rPr>
      </w:pPr>
    </w:p>
    <w:p w:rsidR="00966D25" w:rsidRDefault="00966D25">
      <w:pPr>
        <w:ind w:left="0" w:hanging="2"/>
        <w:rPr>
          <w:rFonts w:ascii="Arial" w:eastAsia="Arial" w:hAnsi="Arial" w:cs="Arial"/>
          <w:color w:val="FF0000"/>
          <w:sz w:val="20"/>
          <w:szCs w:val="20"/>
        </w:rPr>
      </w:pPr>
      <w:r>
        <w:rPr>
          <w:noProof/>
        </w:rPr>
        <w:lastRenderedPageBreak/>
        <w:drawing>
          <wp:inline distT="0" distB="0" distL="0" distR="0">
            <wp:extent cx="5821947" cy="5105400"/>
            <wp:effectExtent l="0" t="0" r="7620" b="0"/>
            <wp:docPr id="12" name="Imagen 12"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Tabla&#10;&#10;Descripción generada automáticamente"/>
                    <pic:cNvPicPr/>
                  </pic:nvPicPr>
                  <pic:blipFill rotWithShape="1">
                    <a:blip r:embed="rId21" cstate="print"/>
                    <a:srcRect l="27463" t="19224" r="27909" b="11208"/>
                    <a:stretch/>
                  </pic:blipFill>
                  <pic:spPr bwMode="auto">
                    <a:xfrm>
                      <a:off x="0" y="0"/>
                      <a:ext cx="5828625" cy="5111256"/>
                    </a:xfrm>
                    <a:prstGeom prst="rect">
                      <a:avLst/>
                    </a:prstGeom>
                    <a:ln>
                      <a:noFill/>
                    </a:ln>
                    <a:extLst>
                      <a:ext uri="{53640926-AAD7-44D8-BBD7-CCE9431645EC}">
                        <a14:shadowObscured xmlns:a14="http://schemas.microsoft.com/office/drawing/2010/main"/>
                      </a:ext>
                    </a:extLst>
                  </pic:spPr>
                </pic:pic>
              </a:graphicData>
            </a:graphic>
          </wp:inline>
        </w:drawing>
      </w:r>
    </w:p>
    <w:p w:rsidR="00B74082" w:rsidRPr="003A6FCC" w:rsidRDefault="00B74082">
      <w:pPr>
        <w:ind w:left="0" w:hanging="2"/>
        <w:rPr>
          <w:rFonts w:ascii="Arial" w:eastAsia="Arial" w:hAnsi="Arial" w:cs="Arial"/>
          <w:b/>
          <w:color w:val="000080"/>
          <w:sz w:val="20"/>
          <w:szCs w:val="20"/>
        </w:rPr>
      </w:pPr>
    </w:p>
    <w:p w:rsidR="00966D25" w:rsidRPr="003A6FCC" w:rsidRDefault="00966D25" w:rsidP="00966D25">
      <w:pPr>
        <w:ind w:left="0" w:hanging="2"/>
        <w:jc w:val="center"/>
        <w:rPr>
          <w:rFonts w:ascii="Arial" w:eastAsia="Arial" w:hAnsi="Arial" w:cs="Arial"/>
          <w:b/>
          <w:sz w:val="20"/>
          <w:szCs w:val="20"/>
        </w:rPr>
      </w:pPr>
      <w:r w:rsidRPr="003A6FCC">
        <w:rPr>
          <w:rFonts w:ascii="Arial" w:eastAsia="Arial" w:hAnsi="Arial" w:cs="Arial"/>
          <w:b/>
          <w:sz w:val="20"/>
          <w:szCs w:val="20"/>
        </w:rPr>
        <w:t xml:space="preserve">Figura 10. Características poblacionales de los pacientes </w:t>
      </w:r>
      <w:r w:rsidR="003A6FCC" w:rsidRPr="003A6FCC">
        <w:rPr>
          <w:rFonts w:ascii="Arial" w:eastAsia="Arial" w:hAnsi="Arial" w:cs="Arial"/>
          <w:b/>
          <w:sz w:val="20"/>
          <w:szCs w:val="20"/>
        </w:rPr>
        <w:t>incluidos</w:t>
      </w:r>
      <w:r w:rsidRPr="003A6FCC">
        <w:rPr>
          <w:rFonts w:ascii="Arial" w:eastAsia="Arial" w:hAnsi="Arial" w:cs="Arial"/>
          <w:b/>
          <w:sz w:val="20"/>
          <w:szCs w:val="20"/>
        </w:rPr>
        <w:t xml:space="preserve"> en las CCII</w:t>
      </w:r>
      <w:sdt>
        <w:sdtPr>
          <w:rPr>
            <w:rFonts w:ascii="Arial" w:eastAsia="Arial" w:hAnsi="Arial" w:cs="Arial"/>
            <w:b/>
            <w:sz w:val="20"/>
            <w:szCs w:val="20"/>
            <w:vertAlign w:val="superscript"/>
          </w:rPr>
          <w:id w:val="-537895115"/>
          <w:citation/>
        </w:sdtPr>
        <w:sdtEndPr/>
        <w:sdtContent>
          <w:r w:rsidR="00743E44" w:rsidRPr="00677F41">
            <w:rPr>
              <w:rFonts w:ascii="Arial" w:eastAsia="Arial" w:hAnsi="Arial" w:cs="Arial"/>
              <w:b/>
              <w:sz w:val="20"/>
              <w:szCs w:val="20"/>
              <w:vertAlign w:val="superscript"/>
            </w:rPr>
            <w:fldChar w:fldCharType="begin"/>
          </w:r>
          <w:r w:rsidRPr="00677F41">
            <w:rPr>
              <w:rFonts w:ascii="Arial" w:eastAsia="Arial" w:hAnsi="Arial" w:cs="Arial"/>
              <w:b/>
              <w:sz w:val="20"/>
              <w:szCs w:val="20"/>
              <w:vertAlign w:val="superscript"/>
            </w:rPr>
            <w:instrText xml:space="preserve"> CITATION Hol22 \l 3082 </w:instrText>
          </w:r>
          <w:r w:rsidR="00743E44" w:rsidRPr="00677F41">
            <w:rPr>
              <w:rFonts w:ascii="Arial" w:eastAsia="Arial" w:hAnsi="Arial" w:cs="Arial"/>
              <w:b/>
              <w:sz w:val="20"/>
              <w:szCs w:val="20"/>
              <w:vertAlign w:val="superscript"/>
            </w:rPr>
            <w:fldChar w:fldCharType="separate"/>
          </w:r>
          <w:r w:rsidR="00C560F5">
            <w:rPr>
              <w:rFonts w:ascii="Arial" w:eastAsia="Arial" w:hAnsi="Arial" w:cs="Arial"/>
              <w:b/>
              <w:noProof/>
              <w:sz w:val="20"/>
              <w:szCs w:val="20"/>
              <w:vertAlign w:val="superscript"/>
            </w:rPr>
            <w:t xml:space="preserve"> </w:t>
          </w:r>
          <w:r w:rsidR="00C560F5" w:rsidRPr="00C560F5">
            <w:rPr>
              <w:rFonts w:ascii="Arial" w:eastAsia="Arial" w:hAnsi="Arial" w:cs="Arial"/>
              <w:noProof/>
              <w:sz w:val="20"/>
              <w:szCs w:val="20"/>
            </w:rPr>
            <w:t>(12)</w:t>
          </w:r>
          <w:r w:rsidR="00743E44" w:rsidRPr="00677F41">
            <w:rPr>
              <w:rFonts w:ascii="Arial" w:eastAsia="Arial" w:hAnsi="Arial" w:cs="Arial"/>
              <w:b/>
              <w:sz w:val="20"/>
              <w:szCs w:val="20"/>
              <w:vertAlign w:val="superscript"/>
            </w:rPr>
            <w:fldChar w:fldCharType="end"/>
          </w:r>
        </w:sdtContent>
      </w:sdt>
    </w:p>
    <w:p w:rsidR="00F90DB2" w:rsidRDefault="00F90DB2" w:rsidP="00966D25">
      <w:pPr>
        <w:ind w:left="0" w:hanging="2"/>
        <w:jc w:val="center"/>
        <w:rPr>
          <w:rFonts w:ascii="Arial" w:eastAsia="Arial" w:hAnsi="Arial" w:cs="Arial"/>
          <w:sz w:val="20"/>
          <w:szCs w:val="20"/>
        </w:rPr>
      </w:pPr>
    </w:p>
    <w:p w:rsidR="005E5D37" w:rsidRDefault="009F147D" w:rsidP="005E5D37">
      <w:pPr>
        <w:ind w:left="0" w:hanging="2"/>
        <w:rPr>
          <w:rFonts w:ascii="Arial" w:eastAsia="Arial" w:hAnsi="Arial" w:cs="Arial"/>
          <w:sz w:val="20"/>
          <w:szCs w:val="20"/>
        </w:rPr>
      </w:pPr>
      <w:r>
        <w:rPr>
          <w:rFonts w:ascii="Arial" w:eastAsia="Arial" w:hAnsi="Arial" w:cs="Arial"/>
          <w:sz w:val="20"/>
          <w:szCs w:val="20"/>
        </w:rPr>
        <w:t>Los resultados sugieren que avapritinib mejora la SG respecto a midostaurina, con una HR de 0</w:t>
      </w:r>
      <w:r w:rsidR="00677F41">
        <w:rPr>
          <w:rFonts w:ascii="Arial" w:eastAsia="Arial" w:hAnsi="Arial" w:cs="Arial"/>
          <w:sz w:val="20"/>
          <w:szCs w:val="20"/>
        </w:rPr>
        <w:t>,</w:t>
      </w:r>
      <w:r>
        <w:rPr>
          <w:rFonts w:ascii="Arial" w:eastAsia="Arial" w:hAnsi="Arial" w:cs="Arial"/>
          <w:sz w:val="20"/>
          <w:szCs w:val="20"/>
        </w:rPr>
        <w:t>37-0</w:t>
      </w:r>
      <w:r w:rsidR="00677F41">
        <w:rPr>
          <w:rFonts w:ascii="Arial" w:eastAsia="Arial" w:hAnsi="Arial" w:cs="Arial"/>
          <w:sz w:val="20"/>
          <w:szCs w:val="20"/>
        </w:rPr>
        <w:t>,</w:t>
      </w:r>
      <w:r>
        <w:rPr>
          <w:rFonts w:ascii="Arial" w:eastAsia="Arial" w:hAnsi="Arial" w:cs="Arial"/>
          <w:sz w:val="20"/>
          <w:szCs w:val="20"/>
        </w:rPr>
        <w:t xml:space="preserve">67, dependiendo del método y la población usada en el análisis.  </w:t>
      </w:r>
    </w:p>
    <w:p w:rsidR="00F90DB2" w:rsidRPr="00966D25" w:rsidRDefault="00F90DB2" w:rsidP="00F90DB2">
      <w:pPr>
        <w:ind w:left="0" w:hanging="2"/>
        <w:rPr>
          <w:rFonts w:ascii="Arial" w:eastAsia="Arial" w:hAnsi="Arial" w:cs="Arial"/>
          <w:sz w:val="20"/>
          <w:szCs w:val="20"/>
        </w:rPr>
      </w:pPr>
      <w:r>
        <w:rPr>
          <w:noProof/>
        </w:rPr>
        <w:lastRenderedPageBreak/>
        <w:drawing>
          <wp:inline distT="0" distB="0" distL="0" distR="0">
            <wp:extent cx="5876925" cy="4832678"/>
            <wp:effectExtent l="0" t="0" r="0" b="6350"/>
            <wp:docPr id="13" name="Imagen 13" descr="Interfaz de usuario gráfica, Aplicación, Tabla,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Aplicación, Tabla, Word&#10;&#10;Descripción generada automáticamente"/>
                    <pic:cNvPicPr/>
                  </pic:nvPicPr>
                  <pic:blipFill rotWithShape="1">
                    <a:blip r:embed="rId22" cstate="print"/>
                    <a:srcRect l="31583" t="24715" r="26879" b="14565"/>
                    <a:stretch/>
                  </pic:blipFill>
                  <pic:spPr bwMode="auto">
                    <a:xfrm>
                      <a:off x="0" y="0"/>
                      <a:ext cx="5883520" cy="4838101"/>
                    </a:xfrm>
                    <a:prstGeom prst="rect">
                      <a:avLst/>
                    </a:prstGeom>
                    <a:ln>
                      <a:noFill/>
                    </a:ln>
                    <a:extLst>
                      <a:ext uri="{53640926-AAD7-44D8-BBD7-CCE9431645EC}">
                        <a14:shadowObscured xmlns:a14="http://schemas.microsoft.com/office/drawing/2010/main"/>
                      </a:ext>
                    </a:extLst>
                  </pic:spPr>
                </pic:pic>
              </a:graphicData>
            </a:graphic>
          </wp:inline>
        </w:drawing>
      </w:r>
    </w:p>
    <w:p w:rsidR="00966D25" w:rsidRPr="003A6FCC" w:rsidRDefault="00F90DB2" w:rsidP="00F90DB2">
      <w:pPr>
        <w:ind w:left="0" w:hanging="2"/>
        <w:jc w:val="center"/>
        <w:rPr>
          <w:rFonts w:ascii="Arial" w:eastAsia="Arial" w:hAnsi="Arial" w:cs="Arial"/>
          <w:b/>
          <w:sz w:val="20"/>
          <w:szCs w:val="20"/>
        </w:rPr>
      </w:pPr>
      <w:r w:rsidRPr="003A6FCC">
        <w:rPr>
          <w:rFonts w:ascii="Arial" w:eastAsia="Arial" w:hAnsi="Arial" w:cs="Arial"/>
          <w:b/>
          <w:sz w:val="20"/>
          <w:szCs w:val="20"/>
        </w:rPr>
        <w:t>Figura 11. HR de SG Avapritinib vs Midostaurina</w:t>
      </w:r>
      <w:sdt>
        <w:sdtPr>
          <w:rPr>
            <w:rFonts w:ascii="Arial" w:eastAsia="Arial" w:hAnsi="Arial" w:cs="Arial"/>
            <w:b/>
            <w:sz w:val="20"/>
            <w:szCs w:val="20"/>
            <w:vertAlign w:val="superscript"/>
          </w:rPr>
          <w:id w:val="888152497"/>
          <w:citation/>
        </w:sdtPr>
        <w:sdtEndPr/>
        <w:sdtContent>
          <w:r w:rsidR="00743E44" w:rsidRPr="00677F41">
            <w:rPr>
              <w:rFonts w:ascii="Arial" w:eastAsia="Arial" w:hAnsi="Arial" w:cs="Arial"/>
              <w:b/>
              <w:sz w:val="20"/>
              <w:szCs w:val="20"/>
              <w:vertAlign w:val="superscript"/>
            </w:rPr>
            <w:fldChar w:fldCharType="begin"/>
          </w:r>
          <w:r w:rsidRPr="00677F41">
            <w:rPr>
              <w:rFonts w:ascii="Arial" w:eastAsia="Arial" w:hAnsi="Arial" w:cs="Arial"/>
              <w:b/>
              <w:sz w:val="20"/>
              <w:szCs w:val="20"/>
              <w:vertAlign w:val="superscript"/>
            </w:rPr>
            <w:instrText xml:space="preserve"> CITATION Hol22 \l 3082 </w:instrText>
          </w:r>
          <w:r w:rsidR="00743E44" w:rsidRPr="00677F41">
            <w:rPr>
              <w:rFonts w:ascii="Arial" w:eastAsia="Arial" w:hAnsi="Arial" w:cs="Arial"/>
              <w:b/>
              <w:sz w:val="20"/>
              <w:szCs w:val="20"/>
              <w:vertAlign w:val="superscript"/>
            </w:rPr>
            <w:fldChar w:fldCharType="separate"/>
          </w:r>
          <w:r w:rsidR="00C560F5">
            <w:rPr>
              <w:rFonts w:ascii="Arial" w:eastAsia="Arial" w:hAnsi="Arial" w:cs="Arial"/>
              <w:b/>
              <w:noProof/>
              <w:sz w:val="20"/>
              <w:szCs w:val="20"/>
              <w:vertAlign w:val="superscript"/>
            </w:rPr>
            <w:t xml:space="preserve"> </w:t>
          </w:r>
          <w:r w:rsidR="00C560F5" w:rsidRPr="00C560F5">
            <w:rPr>
              <w:rFonts w:ascii="Arial" w:eastAsia="Arial" w:hAnsi="Arial" w:cs="Arial"/>
              <w:noProof/>
              <w:sz w:val="20"/>
              <w:szCs w:val="20"/>
            </w:rPr>
            <w:t>(12)</w:t>
          </w:r>
          <w:r w:rsidR="00743E44" w:rsidRPr="00677F41">
            <w:rPr>
              <w:rFonts w:ascii="Arial" w:eastAsia="Arial" w:hAnsi="Arial" w:cs="Arial"/>
              <w:b/>
              <w:sz w:val="20"/>
              <w:szCs w:val="20"/>
              <w:vertAlign w:val="superscript"/>
            </w:rPr>
            <w:fldChar w:fldCharType="end"/>
          </w:r>
        </w:sdtContent>
      </w:sdt>
    </w:p>
    <w:p w:rsidR="00F90DB2" w:rsidRDefault="00F90DB2" w:rsidP="00F90DB2">
      <w:pPr>
        <w:ind w:left="0" w:hanging="2"/>
        <w:jc w:val="center"/>
        <w:rPr>
          <w:rFonts w:ascii="Arial" w:eastAsia="Arial" w:hAnsi="Arial" w:cs="Arial"/>
          <w:sz w:val="20"/>
          <w:szCs w:val="20"/>
        </w:rPr>
      </w:pPr>
    </w:p>
    <w:p w:rsidR="009F147D" w:rsidRDefault="009F147D" w:rsidP="009F147D">
      <w:pPr>
        <w:ind w:left="0" w:hanging="2"/>
        <w:rPr>
          <w:rFonts w:ascii="Arial" w:eastAsia="Arial" w:hAnsi="Arial" w:cs="Arial"/>
          <w:sz w:val="20"/>
          <w:szCs w:val="20"/>
        </w:rPr>
      </w:pPr>
      <w:r>
        <w:rPr>
          <w:rFonts w:ascii="Arial" w:eastAsia="Arial" w:hAnsi="Arial" w:cs="Arial"/>
          <w:sz w:val="20"/>
          <w:szCs w:val="20"/>
        </w:rPr>
        <w:t>Avapritinib también mejora la TRG respecto a midostaurina, con un OR de 2</w:t>
      </w:r>
      <w:r w:rsidR="00677F41">
        <w:rPr>
          <w:rFonts w:ascii="Arial" w:eastAsia="Arial" w:hAnsi="Arial" w:cs="Arial"/>
          <w:sz w:val="20"/>
          <w:szCs w:val="20"/>
        </w:rPr>
        <w:t>,</w:t>
      </w:r>
      <w:r>
        <w:rPr>
          <w:rFonts w:ascii="Arial" w:eastAsia="Arial" w:hAnsi="Arial" w:cs="Arial"/>
          <w:sz w:val="20"/>
          <w:szCs w:val="20"/>
        </w:rPr>
        <w:t>37-5</w:t>
      </w:r>
      <w:r w:rsidR="00677F41">
        <w:rPr>
          <w:rFonts w:ascii="Arial" w:eastAsia="Arial" w:hAnsi="Arial" w:cs="Arial"/>
          <w:sz w:val="20"/>
          <w:szCs w:val="20"/>
        </w:rPr>
        <w:t>,</w:t>
      </w:r>
      <w:r>
        <w:rPr>
          <w:rFonts w:ascii="Arial" w:eastAsia="Arial" w:hAnsi="Arial" w:cs="Arial"/>
          <w:sz w:val="20"/>
          <w:szCs w:val="20"/>
        </w:rPr>
        <w:t>67.</w:t>
      </w:r>
    </w:p>
    <w:p w:rsidR="00F90DB2" w:rsidRPr="00F90DB2" w:rsidRDefault="00F90DB2" w:rsidP="00F90DB2">
      <w:pPr>
        <w:ind w:left="0" w:hanging="2"/>
        <w:jc w:val="center"/>
        <w:rPr>
          <w:rFonts w:ascii="Arial" w:eastAsia="Arial" w:hAnsi="Arial" w:cs="Arial"/>
          <w:sz w:val="20"/>
          <w:szCs w:val="20"/>
        </w:rPr>
      </w:pPr>
      <w:r>
        <w:rPr>
          <w:noProof/>
        </w:rPr>
        <w:lastRenderedPageBreak/>
        <w:drawing>
          <wp:inline distT="0" distB="0" distL="0" distR="0">
            <wp:extent cx="5553075" cy="4170567"/>
            <wp:effectExtent l="0" t="0" r="0" b="1905"/>
            <wp:docPr id="14" name="Imagen 1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 Aplicación&#10;&#10;Descripción generada automáticamente"/>
                    <pic:cNvPicPr/>
                  </pic:nvPicPr>
                  <pic:blipFill rotWithShape="1">
                    <a:blip r:embed="rId23" cstate="print"/>
                    <a:srcRect l="32098" t="26852" r="26536" b="17920"/>
                    <a:stretch/>
                  </pic:blipFill>
                  <pic:spPr bwMode="auto">
                    <a:xfrm>
                      <a:off x="0" y="0"/>
                      <a:ext cx="5560376" cy="4176051"/>
                    </a:xfrm>
                    <a:prstGeom prst="rect">
                      <a:avLst/>
                    </a:prstGeom>
                    <a:ln>
                      <a:noFill/>
                    </a:ln>
                    <a:extLst>
                      <a:ext uri="{53640926-AAD7-44D8-BBD7-CCE9431645EC}">
                        <a14:shadowObscured xmlns:a14="http://schemas.microsoft.com/office/drawing/2010/main"/>
                      </a:ext>
                    </a:extLst>
                  </pic:spPr>
                </pic:pic>
              </a:graphicData>
            </a:graphic>
          </wp:inline>
        </w:drawing>
      </w:r>
    </w:p>
    <w:p w:rsidR="00F90DB2" w:rsidRPr="003A6FCC" w:rsidRDefault="00F90DB2" w:rsidP="005E5D37">
      <w:pPr>
        <w:ind w:left="0" w:hanging="2"/>
        <w:jc w:val="center"/>
        <w:rPr>
          <w:rFonts w:ascii="Arial" w:eastAsia="Arial" w:hAnsi="Arial" w:cs="Arial"/>
          <w:b/>
          <w:sz w:val="20"/>
          <w:szCs w:val="20"/>
        </w:rPr>
      </w:pPr>
      <w:r w:rsidRPr="003A6FCC">
        <w:rPr>
          <w:rFonts w:ascii="Arial" w:eastAsia="Arial" w:hAnsi="Arial" w:cs="Arial"/>
          <w:b/>
          <w:sz w:val="20"/>
          <w:szCs w:val="20"/>
        </w:rPr>
        <w:t xml:space="preserve">Figura 12. </w:t>
      </w:r>
      <w:r w:rsidR="005E5D37" w:rsidRPr="003A6FCC">
        <w:rPr>
          <w:rFonts w:ascii="Arial" w:eastAsia="Arial" w:hAnsi="Arial" w:cs="Arial"/>
          <w:b/>
          <w:sz w:val="20"/>
          <w:szCs w:val="20"/>
        </w:rPr>
        <w:t>OR de TRG Avapritinib vs Midostaurina</w:t>
      </w:r>
      <w:sdt>
        <w:sdtPr>
          <w:rPr>
            <w:rFonts w:ascii="Arial" w:eastAsia="Arial" w:hAnsi="Arial" w:cs="Arial"/>
            <w:b/>
            <w:sz w:val="20"/>
            <w:szCs w:val="20"/>
            <w:vertAlign w:val="superscript"/>
          </w:rPr>
          <w:id w:val="-1361664968"/>
          <w:citation/>
        </w:sdtPr>
        <w:sdtEndPr/>
        <w:sdtContent>
          <w:r w:rsidR="00743E44" w:rsidRPr="00677F41">
            <w:rPr>
              <w:rFonts w:ascii="Arial" w:eastAsia="Arial" w:hAnsi="Arial" w:cs="Arial"/>
              <w:b/>
              <w:sz w:val="20"/>
              <w:szCs w:val="20"/>
              <w:vertAlign w:val="superscript"/>
            </w:rPr>
            <w:fldChar w:fldCharType="begin"/>
          </w:r>
          <w:r w:rsidR="005E5D37" w:rsidRPr="00677F41">
            <w:rPr>
              <w:rFonts w:ascii="Arial" w:eastAsia="Arial" w:hAnsi="Arial" w:cs="Arial"/>
              <w:b/>
              <w:sz w:val="20"/>
              <w:szCs w:val="20"/>
              <w:vertAlign w:val="superscript"/>
            </w:rPr>
            <w:instrText xml:space="preserve"> CITATION Hol22 \l 3082 </w:instrText>
          </w:r>
          <w:r w:rsidR="00743E44" w:rsidRPr="00677F41">
            <w:rPr>
              <w:rFonts w:ascii="Arial" w:eastAsia="Arial" w:hAnsi="Arial" w:cs="Arial"/>
              <w:b/>
              <w:sz w:val="20"/>
              <w:szCs w:val="20"/>
              <w:vertAlign w:val="superscript"/>
            </w:rPr>
            <w:fldChar w:fldCharType="separate"/>
          </w:r>
          <w:r w:rsidR="00C560F5">
            <w:rPr>
              <w:rFonts w:ascii="Arial" w:eastAsia="Arial" w:hAnsi="Arial" w:cs="Arial"/>
              <w:b/>
              <w:noProof/>
              <w:sz w:val="20"/>
              <w:szCs w:val="20"/>
              <w:vertAlign w:val="superscript"/>
            </w:rPr>
            <w:t xml:space="preserve"> </w:t>
          </w:r>
          <w:r w:rsidR="00C560F5" w:rsidRPr="00C560F5">
            <w:rPr>
              <w:rFonts w:ascii="Arial" w:eastAsia="Arial" w:hAnsi="Arial" w:cs="Arial"/>
              <w:noProof/>
              <w:sz w:val="20"/>
              <w:szCs w:val="20"/>
            </w:rPr>
            <w:t>(12)</w:t>
          </w:r>
          <w:r w:rsidR="00743E44" w:rsidRPr="00677F41">
            <w:rPr>
              <w:rFonts w:ascii="Arial" w:eastAsia="Arial" w:hAnsi="Arial" w:cs="Arial"/>
              <w:b/>
              <w:sz w:val="20"/>
              <w:szCs w:val="20"/>
              <w:vertAlign w:val="superscript"/>
            </w:rPr>
            <w:fldChar w:fldCharType="end"/>
          </w:r>
        </w:sdtContent>
      </w:sdt>
    </w:p>
    <w:p w:rsidR="003302E5" w:rsidRDefault="003302E5" w:rsidP="005E5D37">
      <w:pPr>
        <w:ind w:left="0" w:hanging="2"/>
        <w:jc w:val="center"/>
        <w:rPr>
          <w:rFonts w:ascii="Arial" w:eastAsia="Arial" w:hAnsi="Arial" w:cs="Arial"/>
          <w:sz w:val="20"/>
          <w:szCs w:val="20"/>
        </w:rPr>
      </w:pPr>
    </w:p>
    <w:p w:rsidR="003302E5" w:rsidRDefault="003302E5" w:rsidP="003A6FCC">
      <w:pPr>
        <w:ind w:left="0" w:hanging="2"/>
        <w:jc w:val="both"/>
        <w:rPr>
          <w:rFonts w:ascii="Arial" w:eastAsia="Arial" w:hAnsi="Arial" w:cs="Arial"/>
          <w:sz w:val="20"/>
          <w:szCs w:val="20"/>
        </w:rPr>
      </w:pPr>
      <w:r>
        <w:rPr>
          <w:rFonts w:ascii="Arial" w:eastAsia="Arial" w:hAnsi="Arial" w:cs="Arial"/>
          <w:sz w:val="20"/>
          <w:szCs w:val="20"/>
        </w:rPr>
        <w:t xml:space="preserve">Finalmente, en el estudio se detallan las </w:t>
      </w:r>
      <w:r w:rsidRPr="003A6FCC">
        <w:rPr>
          <w:rFonts w:ascii="Arial" w:eastAsia="Arial" w:hAnsi="Arial" w:cs="Arial"/>
          <w:sz w:val="20"/>
          <w:szCs w:val="20"/>
          <w:u w:val="single"/>
        </w:rPr>
        <w:t>limitaciones asumidas en las distintas CCII</w:t>
      </w:r>
      <w:r>
        <w:rPr>
          <w:rFonts w:ascii="Arial" w:eastAsia="Arial" w:hAnsi="Arial" w:cs="Arial"/>
          <w:sz w:val="20"/>
          <w:szCs w:val="20"/>
        </w:rPr>
        <w:t xml:space="preserve">. </w:t>
      </w:r>
    </w:p>
    <w:p w:rsidR="003302E5" w:rsidRDefault="003302E5" w:rsidP="003A6FCC">
      <w:pPr>
        <w:ind w:left="0" w:hanging="2"/>
        <w:jc w:val="both"/>
        <w:rPr>
          <w:rFonts w:ascii="Arial" w:eastAsia="Arial" w:hAnsi="Arial" w:cs="Arial"/>
          <w:sz w:val="20"/>
          <w:szCs w:val="20"/>
        </w:rPr>
      </w:pPr>
    </w:p>
    <w:p w:rsidR="00B74082" w:rsidRDefault="003302E5" w:rsidP="003A6FCC">
      <w:pPr>
        <w:ind w:left="0" w:hanging="2"/>
        <w:jc w:val="both"/>
        <w:rPr>
          <w:rFonts w:ascii="Arial" w:eastAsia="Arial" w:hAnsi="Arial" w:cs="Arial"/>
          <w:sz w:val="20"/>
          <w:szCs w:val="20"/>
        </w:rPr>
      </w:pPr>
      <w:r>
        <w:rPr>
          <w:rFonts w:ascii="Arial" w:eastAsia="Arial" w:hAnsi="Arial" w:cs="Arial"/>
          <w:sz w:val="20"/>
          <w:szCs w:val="20"/>
        </w:rPr>
        <w:t xml:space="preserve">Debido a la escasez de datos disponibles y la prácticamente nula disponibilidad de datos en población de vida real, parece interesante incluir este trabajo en este informe de evaluación. Hay que destacar que los autores </w:t>
      </w:r>
      <w:r w:rsidR="00B70A68">
        <w:rPr>
          <w:rFonts w:ascii="Arial" w:eastAsia="Arial" w:hAnsi="Arial" w:cs="Arial"/>
          <w:sz w:val="20"/>
          <w:szCs w:val="20"/>
        </w:rPr>
        <w:t>de este</w:t>
      </w:r>
      <w:r>
        <w:rPr>
          <w:rFonts w:ascii="Arial" w:eastAsia="Arial" w:hAnsi="Arial" w:cs="Arial"/>
          <w:sz w:val="20"/>
          <w:szCs w:val="20"/>
        </w:rPr>
        <w:t xml:space="preserve"> tienen relación con el laboratorio comercializador del fármaco. En el estudio se discute la heterogeneidad de las distintas poblaciones, además de detallarse los aspectos más limitantes. Realizaron varios análisis de sensibilidad con el objeto de minimizar en la medida </w:t>
      </w:r>
      <w:r w:rsidR="00677F41">
        <w:rPr>
          <w:rFonts w:ascii="Arial" w:eastAsia="Arial" w:hAnsi="Arial" w:cs="Arial"/>
          <w:sz w:val="20"/>
          <w:szCs w:val="20"/>
        </w:rPr>
        <w:t>de lo posible</w:t>
      </w:r>
      <w:r>
        <w:rPr>
          <w:rFonts w:ascii="Arial" w:eastAsia="Arial" w:hAnsi="Arial" w:cs="Arial"/>
          <w:sz w:val="20"/>
          <w:szCs w:val="20"/>
        </w:rPr>
        <w:t xml:space="preserve"> los sesgos de comparación</w:t>
      </w:r>
      <w:r w:rsidR="00D97F8C">
        <w:rPr>
          <w:rFonts w:ascii="Arial" w:eastAsia="Arial" w:hAnsi="Arial" w:cs="Arial"/>
          <w:sz w:val="20"/>
          <w:szCs w:val="20"/>
        </w:rPr>
        <w:t xml:space="preserve">. </w:t>
      </w:r>
    </w:p>
    <w:p w:rsidR="00BA445A" w:rsidRDefault="00BA445A" w:rsidP="003A6FCC">
      <w:pPr>
        <w:ind w:leftChars="0" w:left="0" w:firstLineChars="0" w:firstLine="0"/>
        <w:jc w:val="both"/>
        <w:rPr>
          <w:rFonts w:ascii="Arial" w:eastAsia="Arial" w:hAnsi="Arial" w:cs="Arial"/>
          <w:sz w:val="20"/>
          <w:szCs w:val="20"/>
        </w:rPr>
      </w:pPr>
    </w:p>
    <w:p w:rsidR="00BA445A" w:rsidRDefault="00BA445A" w:rsidP="003A6FCC">
      <w:pPr>
        <w:ind w:left="0" w:hanging="2"/>
        <w:jc w:val="both"/>
        <w:rPr>
          <w:rFonts w:ascii="Arial" w:eastAsia="Arial" w:hAnsi="Arial" w:cs="Arial"/>
          <w:sz w:val="20"/>
          <w:szCs w:val="20"/>
        </w:rPr>
      </w:pPr>
      <w:r>
        <w:rPr>
          <w:rFonts w:ascii="Arial" w:eastAsia="Arial" w:hAnsi="Arial" w:cs="Arial"/>
          <w:sz w:val="20"/>
          <w:szCs w:val="20"/>
        </w:rPr>
        <w:t>Disponemos además de otra CI</w:t>
      </w:r>
      <w:sdt>
        <w:sdtPr>
          <w:rPr>
            <w:rFonts w:ascii="Arial" w:eastAsia="Arial" w:hAnsi="Arial" w:cs="Arial"/>
            <w:sz w:val="20"/>
            <w:szCs w:val="20"/>
            <w:vertAlign w:val="superscript"/>
          </w:rPr>
          <w:id w:val="1890535093"/>
          <w:citation/>
        </w:sdtPr>
        <w:sdtEndPr/>
        <w:sdtContent>
          <w:r w:rsidR="00743E44" w:rsidRPr="00677F41">
            <w:rPr>
              <w:rFonts w:ascii="Arial" w:eastAsia="Arial" w:hAnsi="Arial" w:cs="Arial"/>
              <w:sz w:val="20"/>
              <w:szCs w:val="20"/>
              <w:vertAlign w:val="superscript"/>
            </w:rPr>
            <w:fldChar w:fldCharType="begin"/>
          </w:r>
          <w:r w:rsidR="00387772" w:rsidRPr="00677F41">
            <w:rPr>
              <w:rFonts w:ascii="Arial" w:eastAsia="Arial" w:hAnsi="Arial" w:cs="Arial"/>
              <w:sz w:val="20"/>
              <w:szCs w:val="20"/>
              <w:vertAlign w:val="superscript"/>
            </w:rPr>
            <w:instrText xml:space="preserve"> CITATION And22 \l 3082 </w:instrText>
          </w:r>
          <w:r w:rsidR="00743E44" w:rsidRPr="00677F41">
            <w:rPr>
              <w:rFonts w:ascii="Arial" w:eastAsia="Arial" w:hAnsi="Arial" w:cs="Arial"/>
              <w:sz w:val="20"/>
              <w:szCs w:val="20"/>
              <w:vertAlign w:val="superscript"/>
            </w:rPr>
            <w:fldChar w:fldCharType="separate"/>
          </w:r>
          <w:r w:rsidR="00C560F5">
            <w:rPr>
              <w:rFonts w:ascii="Arial" w:eastAsia="Arial" w:hAnsi="Arial" w:cs="Arial"/>
              <w:noProof/>
              <w:sz w:val="20"/>
              <w:szCs w:val="20"/>
              <w:vertAlign w:val="superscript"/>
            </w:rPr>
            <w:t xml:space="preserve"> </w:t>
          </w:r>
          <w:r w:rsidR="00C560F5" w:rsidRPr="00C560F5">
            <w:rPr>
              <w:rFonts w:ascii="Arial" w:eastAsia="Arial" w:hAnsi="Arial" w:cs="Arial"/>
              <w:noProof/>
              <w:sz w:val="20"/>
              <w:szCs w:val="20"/>
            </w:rPr>
            <w:t>(13)</w:t>
          </w:r>
          <w:r w:rsidR="00743E44" w:rsidRPr="00677F41">
            <w:rPr>
              <w:rFonts w:ascii="Arial" w:eastAsia="Arial" w:hAnsi="Arial" w:cs="Arial"/>
              <w:sz w:val="20"/>
              <w:szCs w:val="20"/>
              <w:vertAlign w:val="superscript"/>
            </w:rPr>
            <w:fldChar w:fldCharType="end"/>
          </w:r>
        </w:sdtContent>
      </w:sdt>
      <w:r>
        <w:rPr>
          <w:rFonts w:ascii="Arial" w:eastAsia="Arial" w:hAnsi="Arial" w:cs="Arial"/>
          <w:sz w:val="20"/>
          <w:szCs w:val="20"/>
        </w:rPr>
        <w:t xml:space="preserve"> que en este caso enfrenta a avapritinib frente a la mejor terapia disponible (BAT) en MS. Para la cohorte de pacientes de avapritinib se usaron los pacientes del corte de abril de 2021 de los estudios PATHFINDER y EXPLORER, mientras que para la cohorte BAT se </w:t>
      </w:r>
      <w:r w:rsidR="00381035">
        <w:rPr>
          <w:rFonts w:ascii="Arial" w:eastAsia="Arial" w:hAnsi="Arial" w:cs="Arial"/>
          <w:sz w:val="20"/>
          <w:szCs w:val="20"/>
        </w:rPr>
        <w:t xml:space="preserve">creó mediante un estudio multicéntrico, observacional, retrospectivo, una cohorte de pacientes con </w:t>
      </w:r>
      <w:r w:rsidR="00381035" w:rsidRPr="00381035">
        <w:rPr>
          <w:rFonts w:ascii="Arial" w:eastAsia="Arial" w:hAnsi="Arial" w:cs="Arial"/>
          <w:i/>
          <w:iCs/>
          <w:sz w:val="20"/>
          <w:szCs w:val="20"/>
        </w:rPr>
        <w:t>Real World Data</w:t>
      </w:r>
      <w:r w:rsidR="00381035">
        <w:rPr>
          <w:rFonts w:ascii="Arial" w:eastAsia="Arial" w:hAnsi="Arial" w:cs="Arial"/>
          <w:sz w:val="20"/>
          <w:szCs w:val="20"/>
        </w:rPr>
        <w:t xml:space="preserve"> seleccionada mediante unos criterios de inclusión y exclusión similares a la de los estudios pivotales de avapritinib. Como variable principal se escogió SG. </w:t>
      </w:r>
    </w:p>
    <w:p w:rsidR="00F67B2A" w:rsidRDefault="00F67B2A" w:rsidP="003A6FCC">
      <w:pPr>
        <w:ind w:leftChars="0" w:left="0" w:firstLineChars="0" w:firstLine="0"/>
        <w:jc w:val="both"/>
        <w:rPr>
          <w:rFonts w:ascii="Arial" w:eastAsia="Arial" w:hAnsi="Arial" w:cs="Arial"/>
          <w:sz w:val="20"/>
          <w:szCs w:val="20"/>
        </w:rPr>
      </w:pPr>
    </w:p>
    <w:p w:rsidR="00F67B2A" w:rsidRDefault="00F67B2A" w:rsidP="003A6FCC">
      <w:pPr>
        <w:ind w:left="0" w:hanging="2"/>
        <w:jc w:val="both"/>
        <w:rPr>
          <w:rFonts w:ascii="Arial" w:eastAsia="Arial" w:hAnsi="Arial" w:cs="Arial"/>
          <w:sz w:val="20"/>
          <w:szCs w:val="20"/>
        </w:rPr>
      </w:pPr>
      <w:r>
        <w:rPr>
          <w:rFonts w:ascii="Arial" w:eastAsia="Arial" w:hAnsi="Arial" w:cs="Arial"/>
          <w:sz w:val="20"/>
          <w:szCs w:val="20"/>
        </w:rPr>
        <w:t xml:space="preserve">En el caso de la cohorte BAT (n=141), midostaurina fue usada en aproximadamente un 50% de los pacientes, más en primera y segunda línea que en tercera. El segundo fármaco más utilizado en la cohorte BAT fue cladribina en un 25% de pacientes, con mayor uso en líneas de tratamiento posteriores.  </w:t>
      </w:r>
    </w:p>
    <w:p w:rsidR="009757FE" w:rsidRDefault="009757FE" w:rsidP="003A6FCC">
      <w:pPr>
        <w:ind w:left="0" w:hanging="2"/>
        <w:jc w:val="both"/>
        <w:rPr>
          <w:rFonts w:ascii="Arial" w:eastAsia="Arial" w:hAnsi="Arial" w:cs="Arial"/>
          <w:sz w:val="20"/>
          <w:szCs w:val="20"/>
        </w:rPr>
      </w:pPr>
    </w:p>
    <w:p w:rsidR="009757FE" w:rsidRDefault="009757FE" w:rsidP="003A6FCC">
      <w:pPr>
        <w:ind w:left="0" w:hanging="2"/>
        <w:jc w:val="both"/>
        <w:rPr>
          <w:rFonts w:ascii="Arial" w:eastAsia="Arial" w:hAnsi="Arial" w:cs="Arial"/>
          <w:sz w:val="20"/>
          <w:szCs w:val="20"/>
        </w:rPr>
      </w:pPr>
      <w:r>
        <w:rPr>
          <w:rFonts w:ascii="Arial" w:eastAsia="Arial" w:hAnsi="Arial" w:cs="Arial"/>
          <w:sz w:val="20"/>
          <w:szCs w:val="20"/>
        </w:rPr>
        <w:t xml:space="preserve">En cuanto a la diferencias en características de los pacientes </w:t>
      </w:r>
      <w:r w:rsidR="003A6FCC">
        <w:rPr>
          <w:rFonts w:ascii="Arial" w:eastAsia="Arial" w:hAnsi="Arial" w:cs="Arial"/>
          <w:sz w:val="20"/>
          <w:szCs w:val="20"/>
        </w:rPr>
        <w:t>incluidos destaca</w:t>
      </w:r>
      <w:r>
        <w:rPr>
          <w:rFonts w:ascii="Arial" w:eastAsia="Arial" w:hAnsi="Arial" w:cs="Arial"/>
          <w:sz w:val="20"/>
          <w:szCs w:val="20"/>
        </w:rPr>
        <w:t xml:space="preserve"> un mayor porcentaje de mujeres en la cohorte de avapritinib, un mayor número de pacientes con ECOG 2 en avapritinib, más pacientes con MS-AHN en avapritinib y más MSA en BAT y mayor número de líneas de tratamiento previas en la cohorte avapritinib (sobre todo por midostaurina previa). </w:t>
      </w:r>
    </w:p>
    <w:p w:rsidR="00125CBB" w:rsidRDefault="00125CBB" w:rsidP="00B70A68">
      <w:pPr>
        <w:ind w:left="0" w:hanging="2"/>
        <w:rPr>
          <w:rFonts w:ascii="Arial" w:eastAsia="Arial" w:hAnsi="Arial" w:cs="Arial"/>
          <w:sz w:val="20"/>
          <w:szCs w:val="20"/>
        </w:rPr>
      </w:pPr>
    </w:p>
    <w:p w:rsidR="00125CBB" w:rsidRDefault="00257E51" w:rsidP="00B70A68">
      <w:pPr>
        <w:ind w:left="0" w:hanging="2"/>
        <w:rPr>
          <w:rFonts w:ascii="Arial" w:eastAsia="Arial" w:hAnsi="Arial" w:cs="Arial"/>
          <w:sz w:val="20"/>
          <w:szCs w:val="20"/>
        </w:rPr>
      </w:pPr>
      <w:r>
        <w:rPr>
          <w:noProof/>
        </w:rPr>
        <w:lastRenderedPageBreak/>
        <w:drawing>
          <wp:anchor distT="0" distB="0" distL="114300" distR="114300" simplePos="0" relativeHeight="251657216" behindDoc="0" locked="0" layoutInCell="1" allowOverlap="1">
            <wp:simplePos x="0" y="0"/>
            <wp:positionH relativeFrom="margin">
              <wp:posOffset>-426085</wp:posOffset>
            </wp:positionH>
            <wp:positionV relativeFrom="margin">
              <wp:posOffset>266700</wp:posOffset>
            </wp:positionV>
            <wp:extent cx="6512983" cy="1724025"/>
            <wp:effectExtent l="0" t="0" r="2540" b="0"/>
            <wp:wrapSquare wrapText="bothSides"/>
            <wp:docPr id="2"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pic:cNvPicPr/>
                  </pic:nvPicPr>
                  <pic:blipFill rotWithShape="1">
                    <a:blip r:embed="rId24" cstate="print">
                      <a:extLst>
                        <a:ext uri="{28A0092B-C50C-407E-A947-70E740481C1C}">
                          <a14:useLocalDpi xmlns:a14="http://schemas.microsoft.com/office/drawing/2010/main" val="0"/>
                        </a:ext>
                      </a:extLst>
                    </a:blip>
                    <a:srcRect l="28321" t="33259" r="27738" b="47823"/>
                    <a:stretch/>
                  </pic:blipFill>
                  <pic:spPr bwMode="auto">
                    <a:xfrm>
                      <a:off x="0" y="0"/>
                      <a:ext cx="6512983" cy="1724025"/>
                    </a:xfrm>
                    <a:prstGeom prst="rect">
                      <a:avLst/>
                    </a:prstGeom>
                    <a:ln>
                      <a:noFill/>
                    </a:ln>
                    <a:extLst>
                      <a:ext uri="{53640926-AAD7-44D8-BBD7-CCE9431645EC}">
                        <a14:shadowObscured xmlns:a14="http://schemas.microsoft.com/office/drawing/2010/main"/>
                      </a:ext>
                    </a:extLst>
                  </pic:spPr>
                </pic:pic>
              </a:graphicData>
            </a:graphic>
          </wp:anchor>
        </w:drawing>
      </w:r>
      <w:r w:rsidR="00125CBB">
        <w:rPr>
          <w:rFonts w:ascii="Arial" w:eastAsia="Arial" w:hAnsi="Arial" w:cs="Arial"/>
          <w:sz w:val="20"/>
          <w:szCs w:val="20"/>
        </w:rPr>
        <w:t xml:space="preserve">Se muestran a continuación las curvas de SG y de la variable secundaria duración de tratamiento. </w:t>
      </w:r>
    </w:p>
    <w:p w:rsidR="00125CBB" w:rsidRDefault="00125CBB" w:rsidP="00B70A68">
      <w:pPr>
        <w:ind w:left="0" w:hanging="2"/>
        <w:rPr>
          <w:rFonts w:ascii="Arial" w:eastAsia="Arial" w:hAnsi="Arial" w:cs="Arial"/>
          <w:sz w:val="20"/>
          <w:szCs w:val="20"/>
        </w:rPr>
      </w:pPr>
    </w:p>
    <w:p w:rsidR="004845E9" w:rsidRDefault="00257E51" w:rsidP="003A6FCC">
      <w:pPr>
        <w:ind w:left="0" w:hanging="2"/>
        <w:jc w:val="both"/>
        <w:rPr>
          <w:rFonts w:ascii="Arial" w:eastAsia="Arial" w:hAnsi="Arial" w:cs="Arial"/>
          <w:sz w:val="20"/>
          <w:szCs w:val="20"/>
        </w:rPr>
      </w:pPr>
      <w:r>
        <w:rPr>
          <w:rFonts w:ascii="Arial" w:eastAsia="Arial" w:hAnsi="Arial" w:cs="Arial"/>
          <w:sz w:val="20"/>
          <w:szCs w:val="20"/>
        </w:rPr>
        <w:t>Los resultados en SG tras un ajuste en función de características basales (edad, sexo, región, ECOG, Hb&lt;10…) fue de 49 meses (46</w:t>
      </w:r>
      <w:r w:rsidR="00677F41">
        <w:rPr>
          <w:rFonts w:ascii="Arial" w:eastAsia="Arial" w:hAnsi="Arial" w:cs="Arial"/>
          <w:sz w:val="20"/>
          <w:szCs w:val="20"/>
        </w:rPr>
        <w:t>,</w:t>
      </w:r>
      <w:r>
        <w:rPr>
          <w:rFonts w:ascii="Arial" w:eastAsia="Arial" w:hAnsi="Arial" w:cs="Arial"/>
          <w:sz w:val="20"/>
          <w:szCs w:val="20"/>
        </w:rPr>
        <w:t>9-NA) para avapritinib y de 26</w:t>
      </w:r>
      <w:r w:rsidR="00677F41">
        <w:rPr>
          <w:rFonts w:ascii="Arial" w:eastAsia="Arial" w:hAnsi="Arial" w:cs="Arial"/>
          <w:sz w:val="20"/>
          <w:szCs w:val="20"/>
        </w:rPr>
        <w:t>,</w:t>
      </w:r>
      <w:r>
        <w:rPr>
          <w:rFonts w:ascii="Arial" w:eastAsia="Arial" w:hAnsi="Arial" w:cs="Arial"/>
          <w:sz w:val="20"/>
          <w:szCs w:val="20"/>
        </w:rPr>
        <w:t>8 meses (18</w:t>
      </w:r>
      <w:r w:rsidR="00677F41">
        <w:rPr>
          <w:rFonts w:ascii="Arial" w:eastAsia="Arial" w:hAnsi="Arial" w:cs="Arial"/>
          <w:sz w:val="20"/>
          <w:szCs w:val="20"/>
        </w:rPr>
        <w:t>,</w:t>
      </w:r>
      <w:r>
        <w:rPr>
          <w:rFonts w:ascii="Arial" w:eastAsia="Arial" w:hAnsi="Arial" w:cs="Arial"/>
          <w:sz w:val="20"/>
          <w:szCs w:val="20"/>
        </w:rPr>
        <w:t>2-39</w:t>
      </w:r>
      <w:r w:rsidR="00677F41">
        <w:rPr>
          <w:rFonts w:ascii="Arial" w:eastAsia="Arial" w:hAnsi="Arial" w:cs="Arial"/>
          <w:sz w:val="20"/>
          <w:szCs w:val="20"/>
        </w:rPr>
        <w:t>,</w:t>
      </w:r>
      <w:r>
        <w:rPr>
          <w:rFonts w:ascii="Arial" w:eastAsia="Arial" w:hAnsi="Arial" w:cs="Arial"/>
          <w:sz w:val="20"/>
          <w:szCs w:val="20"/>
        </w:rPr>
        <w:t xml:space="preserve">7) para BAT. LA HR fue </w:t>
      </w:r>
      <w:r w:rsidR="00677F41">
        <w:rPr>
          <w:rFonts w:ascii="Arial" w:eastAsia="Arial" w:hAnsi="Arial" w:cs="Arial"/>
          <w:sz w:val="20"/>
          <w:szCs w:val="20"/>
        </w:rPr>
        <w:t>0,</w:t>
      </w:r>
      <w:r w:rsidR="00387772">
        <w:rPr>
          <w:rFonts w:ascii="Arial" w:eastAsia="Arial" w:hAnsi="Arial" w:cs="Arial"/>
          <w:sz w:val="20"/>
          <w:szCs w:val="20"/>
        </w:rPr>
        <w:t>48 (0</w:t>
      </w:r>
      <w:r w:rsidR="00677F41">
        <w:rPr>
          <w:rFonts w:ascii="Arial" w:eastAsia="Arial" w:hAnsi="Arial" w:cs="Arial"/>
          <w:sz w:val="20"/>
          <w:szCs w:val="20"/>
        </w:rPr>
        <w:t>,29-0,</w:t>
      </w:r>
      <w:r w:rsidR="00387772">
        <w:rPr>
          <w:rFonts w:ascii="Arial" w:eastAsia="Arial" w:hAnsi="Arial" w:cs="Arial"/>
          <w:sz w:val="20"/>
          <w:szCs w:val="20"/>
        </w:rPr>
        <w:t>79</w:t>
      </w:r>
      <w:r w:rsidR="004845E9">
        <w:rPr>
          <w:rFonts w:ascii="Arial" w:eastAsia="Arial" w:hAnsi="Arial" w:cs="Arial"/>
          <w:sz w:val="20"/>
          <w:szCs w:val="20"/>
        </w:rPr>
        <w:t>, p=0</w:t>
      </w:r>
      <w:r w:rsidR="00677F41">
        <w:rPr>
          <w:rFonts w:ascii="Arial" w:eastAsia="Arial" w:hAnsi="Arial" w:cs="Arial"/>
          <w:sz w:val="20"/>
          <w:szCs w:val="20"/>
        </w:rPr>
        <w:t>,</w:t>
      </w:r>
      <w:r w:rsidR="004845E9">
        <w:rPr>
          <w:rFonts w:ascii="Arial" w:eastAsia="Arial" w:hAnsi="Arial" w:cs="Arial"/>
          <w:sz w:val="20"/>
          <w:szCs w:val="20"/>
        </w:rPr>
        <w:t>004</w:t>
      </w:r>
      <w:r w:rsidR="00387772">
        <w:rPr>
          <w:rFonts w:ascii="Arial" w:eastAsia="Arial" w:hAnsi="Arial" w:cs="Arial"/>
          <w:sz w:val="20"/>
          <w:szCs w:val="20"/>
        </w:rPr>
        <w:t>). La mediana de seguimiento fue 17</w:t>
      </w:r>
      <w:r w:rsidR="00677F41">
        <w:rPr>
          <w:rFonts w:ascii="Arial" w:eastAsia="Arial" w:hAnsi="Arial" w:cs="Arial"/>
          <w:sz w:val="20"/>
          <w:szCs w:val="20"/>
        </w:rPr>
        <w:t>,</w:t>
      </w:r>
      <w:r w:rsidR="00387772">
        <w:rPr>
          <w:rFonts w:ascii="Arial" w:eastAsia="Arial" w:hAnsi="Arial" w:cs="Arial"/>
          <w:sz w:val="20"/>
          <w:szCs w:val="20"/>
        </w:rPr>
        <w:t>9 meses para avapritinib y 25</w:t>
      </w:r>
      <w:r w:rsidR="00677F41">
        <w:rPr>
          <w:rFonts w:ascii="Arial" w:eastAsia="Arial" w:hAnsi="Arial" w:cs="Arial"/>
          <w:sz w:val="20"/>
          <w:szCs w:val="20"/>
        </w:rPr>
        <w:t>,</w:t>
      </w:r>
      <w:r w:rsidR="00387772">
        <w:rPr>
          <w:rFonts w:ascii="Arial" w:eastAsia="Arial" w:hAnsi="Arial" w:cs="Arial"/>
          <w:sz w:val="20"/>
          <w:szCs w:val="20"/>
        </w:rPr>
        <w:t>7 meses para BAT.</w:t>
      </w:r>
    </w:p>
    <w:p w:rsidR="004845E9" w:rsidRDefault="004845E9" w:rsidP="003A6FCC">
      <w:pPr>
        <w:ind w:left="0" w:hanging="2"/>
        <w:jc w:val="both"/>
        <w:rPr>
          <w:rFonts w:ascii="Arial" w:eastAsia="Arial" w:hAnsi="Arial" w:cs="Arial"/>
          <w:sz w:val="20"/>
          <w:szCs w:val="20"/>
        </w:rPr>
      </w:pPr>
    </w:p>
    <w:p w:rsidR="00257E51" w:rsidRPr="00B70A68" w:rsidRDefault="004845E9" w:rsidP="003A6FCC">
      <w:pPr>
        <w:ind w:left="0" w:hanging="2"/>
        <w:jc w:val="both"/>
        <w:rPr>
          <w:rFonts w:ascii="Arial" w:eastAsia="Arial" w:hAnsi="Arial" w:cs="Arial"/>
          <w:sz w:val="20"/>
          <w:szCs w:val="20"/>
        </w:rPr>
      </w:pPr>
      <w:r>
        <w:rPr>
          <w:rFonts w:ascii="Arial" w:eastAsia="Arial" w:hAnsi="Arial" w:cs="Arial"/>
          <w:sz w:val="20"/>
          <w:szCs w:val="20"/>
        </w:rPr>
        <w:t>Al igual que ocurre con la otra CI resumida en este informe, existen amplias limitaciones ya mencionadas anteriormente que nos deben hacer tomar los resultados con cautela. Sin embargo, dado que no es posible realizar comparaciones directas, CI como las dos referenciadas sirven de apoyo</w:t>
      </w:r>
      <w:r w:rsidR="00387772">
        <w:rPr>
          <w:rFonts w:ascii="Arial" w:eastAsia="Arial" w:hAnsi="Arial" w:cs="Arial"/>
          <w:sz w:val="20"/>
          <w:szCs w:val="20"/>
        </w:rPr>
        <w:t xml:space="preserve"> </w:t>
      </w:r>
      <w:r>
        <w:rPr>
          <w:rFonts w:ascii="Arial" w:eastAsia="Arial" w:hAnsi="Arial" w:cs="Arial"/>
          <w:sz w:val="20"/>
          <w:szCs w:val="20"/>
        </w:rPr>
        <w:t xml:space="preserve">para la estimación de la eficacia y el impacto en vida real que tendrá avapritinib. En el caso de la segunda CI también existe declaración de conflicto de interés de </w:t>
      </w:r>
      <w:r w:rsidR="00677F41">
        <w:rPr>
          <w:rFonts w:ascii="Arial" w:eastAsia="Arial" w:hAnsi="Arial" w:cs="Arial"/>
          <w:sz w:val="20"/>
          <w:szCs w:val="20"/>
        </w:rPr>
        <w:t>v</w:t>
      </w:r>
      <w:r>
        <w:rPr>
          <w:rFonts w:ascii="Arial" w:eastAsia="Arial" w:hAnsi="Arial" w:cs="Arial"/>
          <w:sz w:val="20"/>
          <w:szCs w:val="20"/>
        </w:rPr>
        <w:t xml:space="preserve">arios autores, algunos de ellos relacionados directamente con el laboratorio promotor. </w:t>
      </w:r>
    </w:p>
    <w:p w:rsidR="00B74082" w:rsidRDefault="00B74082">
      <w:pPr>
        <w:ind w:left="0" w:hanging="2"/>
        <w:rPr>
          <w:rFonts w:ascii="Arial" w:eastAsia="Arial" w:hAnsi="Arial" w:cs="Arial"/>
          <w:color w:val="FF0000"/>
          <w:sz w:val="20"/>
          <w:szCs w:val="20"/>
        </w:rPr>
      </w:pPr>
      <w:bookmarkStart w:id="74" w:name="_heading=h.2p2csry" w:colFirst="0" w:colLast="0"/>
      <w:bookmarkEnd w:id="74"/>
    </w:p>
    <w:p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5.3.b.2 Comparaciones indirectas de elaboración propia</w:t>
      </w:r>
    </w:p>
    <w:p w:rsidR="00B74082" w:rsidRDefault="00DA20C8">
      <w:pPr>
        <w:ind w:left="0" w:hanging="2"/>
        <w:rPr>
          <w:rFonts w:ascii="Arial" w:eastAsia="Arial" w:hAnsi="Arial" w:cs="Arial"/>
          <w:color w:val="000080"/>
        </w:rPr>
      </w:pPr>
      <w:r>
        <w:rPr>
          <w:rFonts w:ascii="Arial" w:eastAsia="Arial" w:hAnsi="Arial" w:cs="Arial"/>
          <w:color w:val="FF0000"/>
          <w:sz w:val="20"/>
          <w:szCs w:val="20"/>
        </w:rPr>
        <w:t xml:space="preserve">   </w:t>
      </w:r>
    </w:p>
    <w:p w:rsidR="00B74082" w:rsidRDefault="00B032A8" w:rsidP="003A6FCC">
      <w:pPr>
        <w:ind w:left="0" w:hanging="2"/>
        <w:jc w:val="both"/>
        <w:rPr>
          <w:rFonts w:ascii="Arial" w:eastAsia="Arial" w:hAnsi="Arial" w:cs="Arial"/>
          <w:sz w:val="20"/>
          <w:szCs w:val="20"/>
        </w:rPr>
      </w:pPr>
      <w:bookmarkStart w:id="75" w:name="_heading=h.147n2zr" w:colFirst="0" w:colLast="0"/>
      <w:bookmarkEnd w:id="75"/>
      <w:r>
        <w:rPr>
          <w:rFonts w:ascii="Arial" w:eastAsia="Arial" w:hAnsi="Arial" w:cs="Arial"/>
          <w:sz w:val="20"/>
          <w:szCs w:val="20"/>
        </w:rPr>
        <w:t xml:space="preserve">No se considera </w:t>
      </w:r>
      <w:r w:rsidR="00D97F8C">
        <w:rPr>
          <w:rFonts w:ascii="Arial" w:eastAsia="Arial" w:hAnsi="Arial" w:cs="Arial"/>
          <w:sz w:val="20"/>
          <w:szCs w:val="20"/>
        </w:rPr>
        <w:t>oportuna la realización de una CI por los siguientes motivos:</w:t>
      </w:r>
    </w:p>
    <w:p w:rsidR="00D97F8C" w:rsidRDefault="00D97F8C" w:rsidP="003A6FCC">
      <w:pPr>
        <w:ind w:left="0" w:hanging="2"/>
        <w:jc w:val="both"/>
        <w:rPr>
          <w:rFonts w:ascii="Arial" w:eastAsia="Arial" w:hAnsi="Arial" w:cs="Arial"/>
          <w:sz w:val="20"/>
          <w:szCs w:val="20"/>
        </w:rPr>
      </w:pPr>
    </w:p>
    <w:p w:rsidR="00D97F8C" w:rsidRDefault="00D97F8C" w:rsidP="003A6FCC">
      <w:pPr>
        <w:pStyle w:val="Prrafodelista"/>
        <w:numPr>
          <w:ilvl w:val="0"/>
          <w:numId w:val="9"/>
        </w:numPr>
        <w:ind w:leftChars="0" w:firstLineChars="0"/>
        <w:jc w:val="both"/>
        <w:rPr>
          <w:rFonts w:ascii="Arial" w:eastAsia="Arial" w:hAnsi="Arial" w:cs="Arial"/>
          <w:sz w:val="20"/>
          <w:szCs w:val="20"/>
        </w:rPr>
      </w:pPr>
      <w:r>
        <w:rPr>
          <w:rFonts w:ascii="Arial" w:eastAsia="Arial" w:hAnsi="Arial" w:cs="Arial"/>
          <w:sz w:val="20"/>
          <w:szCs w:val="20"/>
        </w:rPr>
        <w:t>Pequeño tamaño muestral de los estudios con avapritinib y con el posible comparador midostaurina.</w:t>
      </w:r>
    </w:p>
    <w:p w:rsidR="00D97F8C" w:rsidRPr="00D97F8C" w:rsidRDefault="00D97F8C" w:rsidP="003A6FCC">
      <w:pPr>
        <w:pStyle w:val="Prrafodelista"/>
        <w:numPr>
          <w:ilvl w:val="0"/>
          <w:numId w:val="9"/>
        </w:numPr>
        <w:ind w:leftChars="0" w:firstLineChars="0"/>
        <w:jc w:val="both"/>
        <w:rPr>
          <w:rFonts w:ascii="Arial" w:eastAsia="Arial" w:hAnsi="Arial" w:cs="Arial"/>
          <w:sz w:val="20"/>
          <w:szCs w:val="20"/>
        </w:rPr>
      </w:pPr>
      <w:r>
        <w:rPr>
          <w:rFonts w:ascii="Arial" w:eastAsia="Arial" w:hAnsi="Arial" w:cs="Arial"/>
          <w:sz w:val="20"/>
          <w:szCs w:val="20"/>
        </w:rPr>
        <w:t>No disponibilidad en ningún caso de ensayos clínicos fase III.</w:t>
      </w:r>
    </w:p>
    <w:p w:rsidR="00D97F8C" w:rsidRDefault="00D97F8C" w:rsidP="003A6FCC">
      <w:pPr>
        <w:ind w:leftChars="0" w:left="-2" w:firstLineChars="0" w:firstLine="0"/>
        <w:jc w:val="both"/>
        <w:rPr>
          <w:rFonts w:ascii="Arial" w:eastAsia="Arial" w:hAnsi="Arial" w:cs="Arial"/>
          <w:sz w:val="20"/>
          <w:szCs w:val="20"/>
        </w:rPr>
      </w:pPr>
    </w:p>
    <w:p w:rsidR="00D97F8C" w:rsidRDefault="00D97F8C" w:rsidP="003A6FCC">
      <w:pPr>
        <w:ind w:leftChars="0" w:left="-2" w:firstLineChars="0" w:firstLine="0"/>
        <w:jc w:val="both"/>
        <w:rPr>
          <w:rFonts w:ascii="Arial" w:eastAsia="Arial" w:hAnsi="Arial" w:cs="Arial"/>
          <w:sz w:val="20"/>
          <w:szCs w:val="20"/>
        </w:rPr>
      </w:pPr>
      <w:r>
        <w:rPr>
          <w:rFonts w:ascii="Arial" w:eastAsia="Arial" w:hAnsi="Arial" w:cs="Arial"/>
          <w:sz w:val="20"/>
          <w:szCs w:val="20"/>
        </w:rPr>
        <w:t>No obstante, se incluye en el apartado 5.3.b.1 una CI publicada que puede servir como aproximación</w:t>
      </w:r>
      <w:r w:rsidR="003A6FCC">
        <w:rPr>
          <w:rFonts w:ascii="Arial" w:eastAsia="Arial" w:hAnsi="Arial" w:cs="Arial"/>
          <w:sz w:val="20"/>
          <w:szCs w:val="20"/>
        </w:rPr>
        <w:t xml:space="preserve"> exploratoria</w:t>
      </w:r>
      <w:r>
        <w:rPr>
          <w:rFonts w:ascii="Arial" w:eastAsia="Arial" w:hAnsi="Arial" w:cs="Arial"/>
          <w:sz w:val="20"/>
          <w:szCs w:val="20"/>
        </w:rPr>
        <w:t xml:space="preserve"> a la hora de intentar establecer comparaciones entre avapritinib y midostaurina.</w:t>
      </w:r>
    </w:p>
    <w:p w:rsidR="00D97F8C" w:rsidRPr="00D97F8C" w:rsidRDefault="00D97F8C" w:rsidP="003A6FCC">
      <w:pPr>
        <w:ind w:leftChars="0" w:left="-2" w:firstLineChars="0" w:firstLine="0"/>
        <w:jc w:val="both"/>
        <w:rPr>
          <w:rFonts w:ascii="Arial" w:eastAsia="Arial" w:hAnsi="Arial" w:cs="Arial"/>
          <w:sz w:val="20"/>
          <w:szCs w:val="20"/>
        </w:rPr>
      </w:pPr>
    </w:p>
    <w:p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 xml:space="preserve">5.4 Evaluación de fuentes secundarias </w:t>
      </w:r>
    </w:p>
    <w:p w:rsidR="00B74082" w:rsidRDefault="00B74082">
      <w:pPr>
        <w:ind w:left="0" w:hanging="2"/>
        <w:jc w:val="both"/>
        <w:rPr>
          <w:rFonts w:ascii="Arial" w:eastAsia="Arial" w:hAnsi="Arial" w:cs="Arial"/>
          <w:color w:val="0000FF"/>
          <w:sz w:val="20"/>
          <w:szCs w:val="20"/>
        </w:rPr>
      </w:pPr>
      <w:bookmarkStart w:id="76" w:name="_heading=h.3o7alnk" w:colFirst="0" w:colLast="0"/>
      <w:bookmarkEnd w:id="76"/>
    </w:p>
    <w:p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 xml:space="preserve">5.4.1 Guías de Práctica clínica </w:t>
      </w:r>
    </w:p>
    <w:p w:rsidR="00B74082" w:rsidRDefault="00B74082" w:rsidP="003A6FCC">
      <w:pPr>
        <w:ind w:left="0" w:hanging="2"/>
        <w:jc w:val="both"/>
        <w:rPr>
          <w:rFonts w:ascii="Arial" w:eastAsia="Arial" w:hAnsi="Arial" w:cs="Arial"/>
          <w:sz w:val="20"/>
          <w:szCs w:val="20"/>
        </w:rPr>
      </w:pPr>
      <w:bookmarkStart w:id="77" w:name="_heading=h.23ckvvd" w:colFirst="0" w:colLast="0"/>
      <w:bookmarkEnd w:id="77"/>
    </w:p>
    <w:p w:rsidR="0053069C" w:rsidRDefault="0053069C" w:rsidP="003A6FCC">
      <w:pPr>
        <w:ind w:left="0" w:hanging="2"/>
        <w:jc w:val="both"/>
        <w:rPr>
          <w:rFonts w:ascii="Arial" w:eastAsia="Arial" w:hAnsi="Arial" w:cs="Arial"/>
          <w:sz w:val="20"/>
          <w:szCs w:val="20"/>
        </w:rPr>
      </w:pPr>
      <w:r>
        <w:rPr>
          <w:rFonts w:ascii="Arial" w:eastAsia="Arial" w:hAnsi="Arial" w:cs="Arial"/>
          <w:sz w:val="20"/>
          <w:szCs w:val="20"/>
        </w:rPr>
        <w:t>Guía NCCN (ver apartado 3.2.b): Tan sólo avapritinib y midostaurina aparecen como tratamientos preferentes en MS. En la guía se hace un análisis por bloques en las 3 variantes de la enfermedad:</w:t>
      </w:r>
    </w:p>
    <w:p w:rsidR="0053069C" w:rsidRDefault="0053069C" w:rsidP="003A6FCC">
      <w:pPr>
        <w:pStyle w:val="Prrafodelista"/>
        <w:numPr>
          <w:ilvl w:val="0"/>
          <w:numId w:val="15"/>
        </w:numPr>
        <w:ind w:leftChars="0" w:firstLineChars="0"/>
        <w:jc w:val="both"/>
        <w:rPr>
          <w:rFonts w:ascii="Arial" w:eastAsia="Arial" w:hAnsi="Arial" w:cs="Arial"/>
          <w:sz w:val="20"/>
          <w:szCs w:val="20"/>
        </w:rPr>
      </w:pPr>
      <w:r>
        <w:rPr>
          <w:rFonts w:ascii="Arial" w:eastAsia="Arial" w:hAnsi="Arial" w:cs="Arial"/>
          <w:sz w:val="20"/>
          <w:szCs w:val="20"/>
        </w:rPr>
        <w:t xml:space="preserve">MSA: Avapritinib y midostaurina obtienen la misma puntuación sobre 5 puntos (4 en eficacia y calidad y consistencia de la evidencia, 3 en seguridad, </w:t>
      </w:r>
      <w:r w:rsidR="00AC64A4">
        <w:rPr>
          <w:rFonts w:ascii="Arial" w:eastAsia="Arial" w:hAnsi="Arial" w:cs="Arial"/>
          <w:sz w:val="20"/>
          <w:szCs w:val="20"/>
        </w:rPr>
        <w:t>2 en asequibilidad).</w:t>
      </w:r>
    </w:p>
    <w:p w:rsidR="00AC64A4" w:rsidRDefault="00AC64A4" w:rsidP="003A6FCC">
      <w:pPr>
        <w:pStyle w:val="Prrafodelista"/>
        <w:numPr>
          <w:ilvl w:val="0"/>
          <w:numId w:val="15"/>
        </w:numPr>
        <w:ind w:leftChars="0" w:firstLineChars="0"/>
        <w:jc w:val="both"/>
        <w:rPr>
          <w:rFonts w:ascii="Arial" w:eastAsia="Arial" w:hAnsi="Arial" w:cs="Arial"/>
          <w:sz w:val="20"/>
          <w:szCs w:val="20"/>
        </w:rPr>
      </w:pPr>
      <w:r>
        <w:rPr>
          <w:rFonts w:ascii="Arial" w:eastAsia="Arial" w:hAnsi="Arial" w:cs="Arial"/>
          <w:sz w:val="20"/>
          <w:szCs w:val="20"/>
        </w:rPr>
        <w:t>MS-NHA: Avapritinib igual que en MSA. Midostaurina obtiene un punto menos, es decir, 3 puntos, en eficacia y calidad y consistencia de la evidencia.</w:t>
      </w:r>
    </w:p>
    <w:p w:rsidR="00AC64A4" w:rsidRDefault="00AC64A4" w:rsidP="003A6FCC">
      <w:pPr>
        <w:pStyle w:val="Prrafodelista"/>
        <w:numPr>
          <w:ilvl w:val="0"/>
          <w:numId w:val="15"/>
        </w:numPr>
        <w:ind w:leftChars="0" w:firstLineChars="0"/>
        <w:jc w:val="both"/>
        <w:rPr>
          <w:rFonts w:ascii="Arial" w:eastAsia="Arial" w:hAnsi="Arial" w:cs="Arial"/>
          <w:sz w:val="20"/>
          <w:szCs w:val="20"/>
        </w:rPr>
      </w:pPr>
      <w:r>
        <w:rPr>
          <w:rFonts w:ascii="Arial" w:eastAsia="Arial" w:hAnsi="Arial" w:cs="Arial"/>
          <w:sz w:val="20"/>
          <w:szCs w:val="20"/>
        </w:rPr>
        <w:t>LM: Avapritinib obtiene la misma eficacia que midostaurina con 3 puntos. En calidad y consistencia de la evidencia avapritinib obtiene un punto más que midostaurina (4 puntos).</w:t>
      </w:r>
    </w:p>
    <w:p w:rsidR="00AC64A4" w:rsidRPr="00AC64A4" w:rsidRDefault="00AC64A4" w:rsidP="00AC64A4">
      <w:pPr>
        <w:ind w:leftChars="0" w:left="0" w:firstLineChars="0" w:firstLine="0"/>
        <w:jc w:val="both"/>
        <w:rPr>
          <w:rFonts w:ascii="Arial" w:eastAsia="Arial" w:hAnsi="Arial" w:cs="Arial"/>
          <w:sz w:val="20"/>
          <w:szCs w:val="20"/>
        </w:rPr>
      </w:pPr>
    </w:p>
    <w:p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5.4.2 Evaluaciones previas por organismos independientes</w:t>
      </w:r>
    </w:p>
    <w:p w:rsidR="00B74082" w:rsidRDefault="00DA20C8">
      <w:pPr>
        <w:ind w:left="0" w:hanging="2"/>
        <w:jc w:val="both"/>
        <w:rPr>
          <w:rFonts w:ascii="Arial" w:eastAsia="Arial" w:hAnsi="Arial" w:cs="Arial"/>
          <w:sz w:val="20"/>
          <w:szCs w:val="20"/>
        </w:rPr>
      </w:pPr>
      <w:r>
        <w:rPr>
          <w:rFonts w:ascii="Arial" w:eastAsia="Arial" w:hAnsi="Arial" w:cs="Arial"/>
          <w:sz w:val="20"/>
          <w:szCs w:val="20"/>
        </w:rPr>
        <w:tab/>
      </w:r>
    </w:p>
    <w:p w:rsidR="00B74082" w:rsidRDefault="00DA20C8" w:rsidP="00C311D9">
      <w:pPr>
        <w:ind w:leftChars="0" w:firstLineChars="0" w:firstLine="0"/>
        <w:jc w:val="both"/>
        <w:rPr>
          <w:rFonts w:ascii="Arial" w:eastAsia="Arial" w:hAnsi="Arial" w:cs="Arial"/>
          <w:sz w:val="20"/>
          <w:szCs w:val="20"/>
        </w:rPr>
      </w:pPr>
      <w:r>
        <w:rPr>
          <w:rFonts w:ascii="Arial" w:eastAsia="Arial" w:hAnsi="Arial" w:cs="Arial"/>
          <w:sz w:val="20"/>
          <w:szCs w:val="20"/>
        </w:rPr>
        <w:lastRenderedPageBreak/>
        <w:t>A nivel nacional</w:t>
      </w:r>
      <w:r w:rsidR="00C311D9">
        <w:rPr>
          <w:rFonts w:ascii="Arial" w:eastAsia="Arial" w:hAnsi="Arial" w:cs="Arial"/>
          <w:sz w:val="20"/>
          <w:szCs w:val="20"/>
        </w:rPr>
        <w:t>/otros países: evaluación</w:t>
      </w:r>
      <w:r w:rsidR="00C311D9" w:rsidRPr="00C311D9">
        <w:t xml:space="preserve"> </w:t>
      </w:r>
      <w:r w:rsidR="00C311D9" w:rsidRPr="00C311D9">
        <w:rPr>
          <w:rFonts w:ascii="Arial" w:eastAsia="Arial" w:hAnsi="Arial" w:cs="Arial"/>
          <w:sz w:val="20"/>
          <w:szCs w:val="20"/>
        </w:rPr>
        <w:t>informativa sobre tecnología sanitaria</w:t>
      </w:r>
      <w:r w:rsidR="00C311D9">
        <w:rPr>
          <w:rFonts w:ascii="Arial" w:eastAsia="Arial" w:hAnsi="Arial" w:cs="Arial"/>
          <w:sz w:val="20"/>
          <w:szCs w:val="20"/>
        </w:rPr>
        <w:t xml:space="preserve"> de NIR DE Febrero de 2022, donde concluye que s</w:t>
      </w:r>
      <w:r w:rsidR="00C311D9" w:rsidRPr="00C311D9">
        <w:rPr>
          <w:rFonts w:ascii="Arial" w:eastAsia="Arial" w:hAnsi="Arial" w:cs="Arial"/>
          <w:sz w:val="20"/>
          <w:szCs w:val="20"/>
        </w:rPr>
        <w:t>i se autoriza, avapritinib ofrecer</w:t>
      </w:r>
      <w:r w:rsidR="00C311D9">
        <w:rPr>
          <w:rFonts w:ascii="Arial" w:eastAsia="Arial" w:hAnsi="Arial" w:cs="Arial"/>
          <w:sz w:val="20"/>
          <w:szCs w:val="20"/>
        </w:rPr>
        <w:t>ía</w:t>
      </w:r>
      <w:r w:rsidR="00C311D9" w:rsidRPr="00C311D9">
        <w:rPr>
          <w:rFonts w:ascii="Arial" w:eastAsia="Arial" w:hAnsi="Arial" w:cs="Arial"/>
          <w:sz w:val="20"/>
          <w:szCs w:val="20"/>
        </w:rPr>
        <w:t xml:space="preserve"> una opción de tratamiento adicion</w:t>
      </w:r>
      <w:r w:rsidR="00C311D9">
        <w:rPr>
          <w:rFonts w:ascii="Arial" w:eastAsia="Arial" w:hAnsi="Arial" w:cs="Arial"/>
          <w:sz w:val="20"/>
          <w:szCs w:val="20"/>
        </w:rPr>
        <w:t xml:space="preserve">al para pacientes </w:t>
      </w:r>
      <w:r w:rsidR="00C311D9" w:rsidRPr="00C311D9">
        <w:rPr>
          <w:rFonts w:ascii="Arial" w:eastAsia="Arial" w:hAnsi="Arial" w:cs="Arial"/>
          <w:sz w:val="20"/>
          <w:szCs w:val="20"/>
        </w:rPr>
        <w:t xml:space="preserve">con </w:t>
      </w:r>
      <w:r w:rsidR="00C311D9">
        <w:rPr>
          <w:rFonts w:ascii="Arial" w:eastAsia="Arial" w:hAnsi="Arial" w:cs="Arial"/>
          <w:sz w:val="20"/>
          <w:szCs w:val="20"/>
        </w:rPr>
        <w:t xml:space="preserve">mastocitosis sistémica avanzada. </w:t>
      </w:r>
      <w:r w:rsidR="00C311D9" w:rsidRPr="00C311D9">
        <w:rPr>
          <w:rFonts w:ascii="Arial" w:eastAsia="Arial" w:hAnsi="Arial" w:cs="Arial"/>
          <w:sz w:val="20"/>
          <w:szCs w:val="20"/>
        </w:rPr>
        <w:t>https://www.io.nihr.ac.uk/wp-content/uploads/2022/01/26588-Avapritinib-for-systemic-mastocytosis-V1.0-FEB2020-NON-CONF.pdf</w:t>
      </w:r>
    </w:p>
    <w:p w:rsidR="00B74082" w:rsidRDefault="00DA20C8">
      <w:pPr>
        <w:ind w:left="0" w:hanging="2"/>
        <w:rPr>
          <w:rFonts w:ascii="Arial" w:eastAsia="Arial" w:hAnsi="Arial" w:cs="Arial"/>
          <w:sz w:val="20"/>
          <w:szCs w:val="20"/>
        </w:rPr>
      </w:pPr>
      <w:bookmarkStart w:id="78" w:name="_heading=h.ihv636" w:colFirst="0" w:colLast="0"/>
      <w:bookmarkStart w:id="79" w:name="_heading=h.1hmsyys" w:colFirst="0" w:colLast="0"/>
      <w:bookmarkEnd w:id="78"/>
      <w:bookmarkEnd w:id="79"/>
      <w:r>
        <w:rPr>
          <w:rFonts w:ascii="Arial" w:eastAsia="Arial" w:hAnsi="Arial" w:cs="Arial"/>
          <w:b/>
          <w:sz w:val="20"/>
          <w:szCs w:val="20"/>
        </w:rPr>
        <w:t xml:space="preserve">                 </w:t>
      </w:r>
    </w:p>
    <w:tbl>
      <w:tblPr>
        <w:tblStyle w:val="28"/>
        <w:tblW w:w="88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90"/>
      </w:tblGrid>
      <w:tr w:rsidR="00B74082">
        <w:trPr>
          <w:trHeight w:val="228"/>
        </w:trPr>
        <w:tc>
          <w:tcPr>
            <w:tcW w:w="8890" w:type="dxa"/>
            <w:tcBorders>
              <w:top w:val="single" w:sz="4" w:space="0" w:color="000000"/>
              <w:left w:val="single" w:sz="4" w:space="0" w:color="000000"/>
              <w:bottom w:val="single" w:sz="4" w:space="0" w:color="000000"/>
              <w:right w:val="single" w:sz="4" w:space="0" w:color="000000"/>
            </w:tcBorders>
            <w:shd w:val="clear" w:color="auto" w:fill="B3B3B3"/>
          </w:tcPr>
          <w:p w:rsidR="00B74082" w:rsidRDefault="00DA20C8">
            <w:pPr>
              <w:keepNext/>
              <w:pBdr>
                <w:top w:val="nil"/>
                <w:left w:val="nil"/>
                <w:bottom w:val="nil"/>
                <w:right w:val="nil"/>
                <w:between w:val="nil"/>
              </w:pBdr>
              <w:shd w:val="clear" w:color="auto" w:fill="A6A6A6"/>
              <w:spacing w:line="240" w:lineRule="auto"/>
              <w:ind w:left="0" w:hanging="2"/>
              <w:rPr>
                <w:rFonts w:ascii="Arial" w:eastAsia="Arial" w:hAnsi="Arial" w:cs="Arial"/>
                <w:b/>
                <w:color w:val="000000"/>
                <w:sz w:val="20"/>
                <w:szCs w:val="20"/>
              </w:rPr>
            </w:pPr>
            <w:r>
              <w:rPr>
                <w:rFonts w:ascii="Arial" w:eastAsia="Arial" w:hAnsi="Arial" w:cs="Arial"/>
                <w:b/>
                <w:color w:val="000000"/>
                <w:sz w:val="20"/>
                <w:szCs w:val="20"/>
              </w:rPr>
              <w:t xml:space="preserve">6. EVALUACIÓN DE LA SEGURIDAD. </w:t>
            </w:r>
          </w:p>
        </w:tc>
      </w:tr>
    </w:tbl>
    <w:p w:rsidR="00B74082" w:rsidRDefault="00B74082">
      <w:pPr>
        <w:ind w:left="0" w:hanging="2"/>
        <w:rPr>
          <w:rFonts w:ascii="Arial" w:eastAsia="Arial" w:hAnsi="Arial" w:cs="Arial"/>
          <w:sz w:val="20"/>
          <w:szCs w:val="20"/>
        </w:rPr>
      </w:pPr>
      <w:bookmarkStart w:id="80" w:name="_heading=h.41mghml" w:colFirst="0" w:colLast="0"/>
      <w:bookmarkEnd w:id="80"/>
    </w:p>
    <w:p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6.1.a Descripción de la búsqueda bibliográfica</w:t>
      </w:r>
    </w:p>
    <w:p w:rsidR="00B74082" w:rsidRDefault="00B74082">
      <w:pPr>
        <w:shd w:val="clear" w:color="auto" w:fill="FFFFFF"/>
        <w:ind w:left="0" w:hanging="2"/>
        <w:jc w:val="both"/>
        <w:rPr>
          <w:rFonts w:ascii="Arial" w:eastAsia="Arial" w:hAnsi="Arial" w:cs="Arial"/>
          <w:sz w:val="20"/>
          <w:szCs w:val="20"/>
        </w:rPr>
      </w:pPr>
    </w:p>
    <w:p w:rsidR="005844FF" w:rsidRPr="009929D0" w:rsidRDefault="005844FF" w:rsidP="00862AF4">
      <w:pPr>
        <w:suppressAutoHyphens w:val="0"/>
        <w:spacing w:line="240" w:lineRule="auto"/>
        <w:ind w:leftChars="0" w:left="0" w:firstLineChars="0" w:hanging="2"/>
        <w:jc w:val="both"/>
        <w:textDirection w:val="lrTb"/>
        <w:textAlignment w:val="auto"/>
        <w:outlineLvl w:val="9"/>
        <w:rPr>
          <w:position w:val="0"/>
        </w:rPr>
      </w:pPr>
      <w:bookmarkStart w:id="81" w:name="_heading=h.2grqrue" w:colFirst="0" w:colLast="0"/>
      <w:bookmarkEnd w:id="81"/>
      <w:r w:rsidRPr="009929D0">
        <w:rPr>
          <w:rFonts w:ascii="Arial" w:hAnsi="Arial" w:cs="Arial"/>
          <w:color w:val="000000"/>
          <w:position w:val="0"/>
          <w:sz w:val="20"/>
          <w:szCs w:val="20"/>
        </w:rPr>
        <w:t>Se encuentra actualmente en fase de desarrollo el estudio pivotal fase II PATHFINDER, del que disponemos de un análisis interino publicado</w:t>
      </w:r>
      <w:sdt>
        <w:sdtPr>
          <w:rPr>
            <w:rFonts w:ascii="Arial" w:hAnsi="Arial" w:cs="Arial"/>
            <w:color w:val="000000"/>
            <w:position w:val="0"/>
            <w:sz w:val="20"/>
            <w:szCs w:val="20"/>
          </w:rPr>
          <w:id w:val="-183365819"/>
          <w:citation/>
        </w:sdtPr>
        <w:sdtEndPr>
          <w:rPr>
            <w:vertAlign w:val="superscript"/>
          </w:rPr>
        </w:sdtEndPr>
        <w:sdtContent>
          <w:r w:rsidR="00743E44" w:rsidRPr="0042331C">
            <w:rPr>
              <w:rFonts w:ascii="Arial" w:hAnsi="Arial" w:cs="Arial"/>
              <w:color w:val="000000"/>
              <w:position w:val="0"/>
              <w:sz w:val="20"/>
              <w:szCs w:val="20"/>
              <w:vertAlign w:val="superscript"/>
            </w:rPr>
            <w:fldChar w:fldCharType="begin"/>
          </w:r>
          <w:r w:rsidRPr="0042331C">
            <w:rPr>
              <w:rFonts w:ascii="Arial" w:hAnsi="Arial" w:cs="Arial"/>
              <w:color w:val="000000"/>
              <w:position w:val="0"/>
              <w:sz w:val="20"/>
              <w:szCs w:val="20"/>
              <w:vertAlign w:val="superscript"/>
            </w:rPr>
            <w:instrText xml:space="preserve"> CITATION Jas21 \l 3082 </w:instrText>
          </w:r>
          <w:r w:rsidR="00743E44" w:rsidRPr="0042331C">
            <w:rPr>
              <w:rFonts w:ascii="Arial" w:hAnsi="Arial" w:cs="Arial"/>
              <w:color w:val="000000"/>
              <w:position w:val="0"/>
              <w:sz w:val="20"/>
              <w:szCs w:val="20"/>
              <w:vertAlign w:val="superscript"/>
            </w:rPr>
            <w:fldChar w:fldCharType="separate"/>
          </w:r>
          <w:r w:rsidR="00C560F5">
            <w:rPr>
              <w:rFonts w:ascii="Arial" w:hAnsi="Arial" w:cs="Arial"/>
              <w:noProof/>
              <w:color w:val="000000"/>
              <w:position w:val="0"/>
              <w:sz w:val="20"/>
              <w:szCs w:val="20"/>
              <w:vertAlign w:val="superscript"/>
            </w:rPr>
            <w:t xml:space="preserve"> </w:t>
          </w:r>
          <w:r w:rsidR="00C560F5" w:rsidRPr="00C560F5">
            <w:rPr>
              <w:rFonts w:ascii="Arial" w:hAnsi="Arial" w:cs="Arial"/>
              <w:noProof/>
              <w:color w:val="000000"/>
              <w:position w:val="0"/>
              <w:sz w:val="20"/>
              <w:szCs w:val="20"/>
            </w:rPr>
            <w:t>(9)</w:t>
          </w:r>
          <w:r w:rsidR="00743E44" w:rsidRPr="0042331C">
            <w:rPr>
              <w:rFonts w:ascii="Arial" w:hAnsi="Arial" w:cs="Arial"/>
              <w:color w:val="000000"/>
              <w:position w:val="0"/>
              <w:sz w:val="20"/>
              <w:szCs w:val="20"/>
              <w:vertAlign w:val="superscript"/>
            </w:rPr>
            <w:fldChar w:fldCharType="end"/>
          </w:r>
        </w:sdtContent>
      </w:sdt>
      <w:r>
        <w:rPr>
          <w:rFonts w:ascii="Arial" w:hAnsi="Arial" w:cs="Arial"/>
          <w:color w:val="000000"/>
          <w:position w:val="0"/>
          <w:sz w:val="20"/>
          <w:szCs w:val="20"/>
        </w:rPr>
        <w:t xml:space="preserve">. </w:t>
      </w:r>
      <w:r w:rsidRPr="009929D0">
        <w:rPr>
          <w:rFonts w:ascii="Arial" w:hAnsi="Arial" w:cs="Arial"/>
          <w:color w:val="000000"/>
          <w:position w:val="0"/>
          <w:sz w:val="20"/>
          <w:szCs w:val="20"/>
        </w:rPr>
        <w:t>En este análisis interino se estudia la eficacia y seguridad de avapritinib en MS avanzada. El informe EPAR utiliza este estudio para evaluar avapritinib.   </w:t>
      </w:r>
    </w:p>
    <w:p w:rsidR="00B74082" w:rsidRDefault="005844FF" w:rsidP="003A6FCC">
      <w:pPr>
        <w:ind w:left="0" w:hanging="2"/>
        <w:jc w:val="both"/>
        <w:rPr>
          <w:rFonts w:ascii="Arial" w:eastAsia="Arial" w:hAnsi="Arial" w:cs="Arial"/>
          <w:color w:val="FF0000"/>
          <w:sz w:val="20"/>
          <w:szCs w:val="20"/>
        </w:rPr>
      </w:pPr>
      <w:r w:rsidRPr="009929D0">
        <w:rPr>
          <w:rFonts w:ascii="Arial" w:hAnsi="Arial" w:cs="Arial"/>
          <w:color w:val="000000"/>
          <w:position w:val="0"/>
          <w:sz w:val="20"/>
          <w:szCs w:val="20"/>
        </w:rPr>
        <w:t xml:space="preserve">Con fecha 29/06/2022 se realiza búsqueda bibliográfica en PubMed con el objetivo de identificar algún otro ensayo clínico. Tampoco se encuentra ningún otro estudio con avapritinib en </w:t>
      </w:r>
      <w:r w:rsidRPr="009929D0">
        <w:rPr>
          <w:rFonts w:ascii="Arial" w:hAnsi="Arial" w:cs="Arial"/>
          <w:i/>
          <w:iCs/>
          <w:color w:val="000000"/>
          <w:position w:val="0"/>
          <w:sz w:val="20"/>
          <w:szCs w:val="20"/>
        </w:rPr>
        <w:t>clinicaltrials.gov</w:t>
      </w:r>
    </w:p>
    <w:p w:rsidR="005844FF" w:rsidRDefault="005844FF" w:rsidP="00862AF4">
      <w:pPr>
        <w:ind w:leftChars="0" w:left="0" w:firstLineChars="0" w:firstLine="0"/>
        <w:rPr>
          <w:rFonts w:ascii="Arial" w:eastAsia="Arial" w:hAnsi="Arial" w:cs="Arial"/>
          <w:color w:val="FF0000"/>
          <w:sz w:val="20"/>
          <w:szCs w:val="20"/>
        </w:rPr>
      </w:pPr>
    </w:p>
    <w:p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6.1.b Descripción de los efectos adversos más significativos</w:t>
      </w:r>
    </w:p>
    <w:p w:rsidR="00B74082" w:rsidRDefault="00B74082">
      <w:pPr>
        <w:shd w:val="clear" w:color="auto" w:fill="FFFFFF"/>
        <w:ind w:left="0" w:hanging="2"/>
        <w:jc w:val="both"/>
        <w:rPr>
          <w:rFonts w:ascii="Arial" w:eastAsia="Arial" w:hAnsi="Arial" w:cs="Arial"/>
          <w:sz w:val="20"/>
          <w:szCs w:val="20"/>
        </w:rPr>
      </w:pPr>
    </w:p>
    <w:p w:rsidR="00412330" w:rsidRDefault="00027F14" w:rsidP="003A6FCC">
      <w:pPr>
        <w:shd w:val="clear" w:color="auto" w:fill="FFFFFF"/>
        <w:ind w:left="0" w:hanging="2"/>
        <w:jc w:val="both"/>
        <w:rPr>
          <w:rFonts w:ascii="Arial" w:eastAsia="Arial" w:hAnsi="Arial" w:cs="Arial"/>
          <w:sz w:val="20"/>
          <w:szCs w:val="20"/>
        </w:rPr>
      </w:pPr>
      <w:r>
        <w:rPr>
          <w:rFonts w:ascii="Arial" w:eastAsia="Arial" w:hAnsi="Arial" w:cs="Arial"/>
          <w:sz w:val="20"/>
          <w:szCs w:val="20"/>
        </w:rPr>
        <w:t xml:space="preserve">Disponemos de los datos de seguridad publicados en el análisis intermedio del estudio fase II BLU-285-2202. Sin embargo, se ha optado por mostrar los datos de seguridad correspondientes al análisis agregado </w:t>
      </w:r>
      <w:r w:rsidR="00862AF4">
        <w:rPr>
          <w:rFonts w:ascii="Arial" w:eastAsia="Arial" w:hAnsi="Arial" w:cs="Arial"/>
          <w:sz w:val="20"/>
          <w:szCs w:val="20"/>
        </w:rPr>
        <w:t>aportado por el</w:t>
      </w:r>
      <w:r>
        <w:rPr>
          <w:rFonts w:ascii="Arial" w:eastAsia="Arial" w:hAnsi="Arial" w:cs="Arial"/>
          <w:sz w:val="20"/>
          <w:szCs w:val="20"/>
        </w:rPr>
        <w:t xml:space="preserve"> promot</w:t>
      </w:r>
      <w:r w:rsidR="00862AF4">
        <w:rPr>
          <w:rFonts w:ascii="Arial" w:eastAsia="Arial" w:hAnsi="Arial" w:cs="Arial"/>
          <w:sz w:val="20"/>
          <w:szCs w:val="20"/>
        </w:rPr>
        <w:t>or para la evaluación del EPAR</w:t>
      </w:r>
      <w:sdt>
        <w:sdtPr>
          <w:rPr>
            <w:rFonts w:ascii="Arial" w:eastAsia="Arial" w:hAnsi="Arial" w:cs="Arial"/>
            <w:sz w:val="20"/>
            <w:szCs w:val="20"/>
          </w:rPr>
          <w:id w:val="388388387"/>
          <w:citation/>
        </w:sdtPr>
        <w:sdtEndPr/>
        <w:sdtContent>
          <w:r w:rsidR="00743E44">
            <w:rPr>
              <w:rFonts w:ascii="Arial" w:eastAsia="Arial" w:hAnsi="Arial" w:cs="Arial"/>
              <w:sz w:val="20"/>
              <w:szCs w:val="20"/>
            </w:rPr>
            <w:fldChar w:fldCharType="begin"/>
          </w:r>
          <w:r w:rsidR="002C601D">
            <w:rPr>
              <w:rFonts w:ascii="Arial" w:eastAsia="Arial" w:hAnsi="Arial" w:cs="Arial"/>
              <w:sz w:val="20"/>
              <w:szCs w:val="20"/>
            </w:rPr>
            <w:instrText xml:space="preserve"> CITATION EPAR \l 3082 </w:instrText>
          </w:r>
          <w:r w:rsidR="00743E44">
            <w:rPr>
              <w:rFonts w:ascii="Arial" w:eastAsia="Arial" w:hAnsi="Arial" w:cs="Arial"/>
              <w:sz w:val="20"/>
              <w:szCs w:val="20"/>
            </w:rPr>
            <w:fldChar w:fldCharType="separate"/>
          </w:r>
          <w:r w:rsidR="00C560F5">
            <w:rPr>
              <w:rFonts w:ascii="Arial" w:eastAsia="Arial" w:hAnsi="Arial" w:cs="Arial"/>
              <w:noProof/>
              <w:sz w:val="20"/>
              <w:szCs w:val="20"/>
            </w:rPr>
            <w:t xml:space="preserve"> </w:t>
          </w:r>
          <w:r w:rsidR="00C560F5" w:rsidRPr="00C560F5">
            <w:rPr>
              <w:rFonts w:ascii="Arial" w:eastAsia="Arial" w:hAnsi="Arial" w:cs="Arial"/>
              <w:noProof/>
              <w:sz w:val="20"/>
              <w:szCs w:val="20"/>
            </w:rPr>
            <w:t>(2)</w:t>
          </w:r>
          <w:r w:rsidR="00743E44">
            <w:rPr>
              <w:rFonts w:ascii="Arial" w:eastAsia="Arial" w:hAnsi="Arial" w:cs="Arial"/>
              <w:sz w:val="20"/>
              <w:szCs w:val="20"/>
            </w:rPr>
            <w:fldChar w:fldCharType="end"/>
          </w:r>
        </w:sdtContent>
      </w:sdt>
      <w:r w:rsidR="00862AF4">
        <w:rPr>
          <w:rFonts w:ascii="Arial" w:eastAsia="Arial" w:hAnsi="Arial" w:cs="Arial"/>
          <w:sz w:val="20"/>
          <w:szCs w:val="20"/>
        </w:rPr>
        <w:t>: c</w:t>
      </w:r>
      <w:r w:rsidR="002C601D">
        <w:rPr>
          <w:rFonts w:ascii="Arial" w:eastAsia="Arial" w:hAnsi="Arial" w:cs="Arial"/>
          <w:sz w:val="20"/>
          <w:szCs w:val="20"/>
        </w:rPr>
        <w:t xml:space="preserve">on fecha de corte abril de 2021 se tienen datos del análisis integrado de seguridad de 193 pacientes (estudios BLU-285-2101 y BLU-285-2202), 126 de ellos que </w:t>
      </w:r>
      <w:r w:rsidR="00B70A68">
        <w:rPr>
          <w:rFonts w:ascii="Arial" w:eastAsia="Arial" w:hAnsi="Arial" w:cs="Arial"/>
          <w:sz w:val="20"/>
          <w:szCs w:val="20"/>
        </w:rPr>
        <w:t>iniciaron</w:t>
      </w:r>
      <w:r w:rsidR="002C601D">
        <w:rPr>
          <w:rFonts w:ascii="Arial" w:eastAsia="Arial" w:hAnsi="Arial" w:cs="Arial"/>
          <w:sz w:val="20"/>
          <w:szCs w:val="20"/>
        </w:rPr>
        <w:t xml:space="preserve"> con 200 mg/24h y 50 de ellos que </w:t>
      </w:r>
      <w:r w:rsidR="00B70A68">
        <w:rPr>
          <w:rFonts w:ascii="Arial" w:eastAsia="Arial" w:hAnsi="Arial" w:cs="Arial"/>
          <w:sz w:val="20"/>
          <w:szCs w:val="20"/>
        </w:rPr>
        <w:t>iniciaron</w:t>
      </w:r>
      <w:r w:rsidR="002C601D">
        <w:rPr>
          <w:rFonts w:ascii="Arial" w:eastAsia="Arial" w:hAnsi="Arial" w:cs="Arial"/>
          <w:sz w:val="20"/>
          <w:szCs w:val="20"/>
        </w:rPr>
        <w:t xml:space="preserve"> con al menos 300 mg/24h. </w:t>
      </w:r>
    </w:p>
    <w:p w:rsidR="00B74082" w:rsidRPr="00FA0125" w:rsidRDefault="00B74082">
      <w:pPr>
        <w:shd w:val="clear" w:color="auto" w:fill="FFFFFF"/>
        <w:ind w:left="0" w:hanging="2"/>
        <w:jc w:val="both"/>
        <w:rPr>
          <w:rFonts w:ascii="Arial" w:eastAsia="Arial" w:hAnsi="Arial" w:cs="Arial"/>
          <w:b/>
          <w:sz w:val="16"/>
          <w:szCs w:val="16"/>
        </w:rPr>
      </w:pPr>
    </w:p>
    <w:tbl>
      <w:tblPr>
        <w:tblStyle w:val="27"/>
        <w:tblW w:w="90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32"/>
        <w:gridCol w:w="3969"/>
      </w:tblGrid>
      <w:tr w:rsidR="00B74082" w:rsidRPr="00FA0125" w:rsidTr="00862AF4">
        <w:trPr>
          <w:trHeight w:val="115"/>
        </w:trPr>
        <w:tc>
          <w:tcPr>
            <w:tcW w:w="9001" w:type="dxa"/>
            <w:gridSpan w:val="2"/>
            <w:shd w:val="clear" w:color="auto" w:fill="CCFFCC"/>
          </w:tcPr>
          <w:p w:rsidR="00287F58" w:rsidRPr="00FA0125" w:rsidRDefault="00287F58" w:rsidP="00287F58">
            <w:pPr>
              <w:ind w:left="0" w:hanging="2"/>
              <w:rPr>
                <w:rFonts w:ascii="Arial" w:eastAsia="Arial" w:hAnsi="Arial" w:cs="Arial"/>
                <w:b/>
                <w:sz w:val="16"/>
                <w:szCs w:val="16"/>
              </w:rPr>
            </w:pPr>
            <w:r w:rsidRPr="00862AF4">
              <w:rPr>
                <w:rFonts w:ascii="Arial" w:eastAsia="Arial" w:hAnsi="Arial" w:cs="Arial"/>
                <w:b/>
                <w:sz w:val="16"/>
                <w:szCs w:val="16"/>
              </w:rPr>
              <w:t xml:space="preserve">Estudio fase II </w:t>
            </w:r>
            <w:r w:rsidR="0042331C" w:rsidRPr="00862AF4">
              <w:rPr>
                <w:rFonts w:ascii="Arial" w:eastAsia="Arial" w:hAnsi="Arial" w:cs="Arial"/>
                <w:b/>
                <w:sz w:val="16"/>
                <w:szCs w:val="16"/>
              </w:rPr>
              <w:t>PATHFINDER</w:t>
            </w:r>
            <w:r w:rsidRPr="00862AF4">
              <w:rPr>
                <w:rFonts w:ascii="Arial" w:eastAsia="Arial" w:hAnsi="Arial" w:cs="Arial"/>
                <w:b/>
                <w:sz w:val="16"/>
                <w:szCs w:val="16"/>
              </w:rPr>
              <w:t xml:space="preserve"> (BLU-285-2202)</w:t>
            </w:r>
            <w:r w:rsidR="00FA0125">
              <w:rPr>
                <w:rFonts w:ascii="Arial" w:eastAsia="Arial" w:hAnsi="Arial" w:cs="Arial"/>
                <w:b/>
                <w:sz w:val="16"/>
                <w:szCs w:val="16"/>
              </w:rPr>
              <w:t xml:space="preserve"> y </w:t>
            </w:r>
            <w:r w:rsidR="00FA0125" w:rsidRPr="00FA0125">
              <w:rPr>
                <w:rFonts w:ascii="Arial" w:eastAsia="Arial" w:hAnsi="Arial" w:cs="Arial"/>
                <w:b/>
                <w:sz w:val="16"/>
                <w:szCs w:val="16"/>
              </w:rPr>
              <w:t>estudios BLU-285-2101</w:t>
            </w:r>
          </w:p>
          <w:p w:rsidR="00B74082" w:rsidRPr="00FA0125" w:rsidRDefault="00287F58" w:rsidP="00862AF4">
            <w:pPr>
              <w:pStyle w:val="Bibliografa"/>
              <w:ind w:left="0" w:hanging="2"/>
              <w:rPr>
                <w:rFonts w:ascii="Arial" w:eastAsia="Arial" w:hAnsi="Arial" w:cs="Arial"/>
                <w:b/>
                <w:sz w:val="16"/>
                <w:szCs w:val="16"/>
              </w:rPr>
            </w:pPr>
            <w:r w:rsidRPr="00155E6D">
              <w:rPr>
                <w:rFonts w:ascii="Arial" w:eastAsia="Arial" w:hAnsi="Arial" w:cs="Arial"/>
                <w:b/>
                <w:sz w:val="16"/>
                <w:szCs w:val="16"/>
                <w:lang w:val="en-US"/>
              </w:rPr>
              <w:t xml:space="preserve">Referencia: Efficacy and safety of avapritinib in advanced systemic mastocytosis: interim analysis of the phase II Pathfinder trial. </w:t>
            </w:r>
            <w:r w:rsidRPr="00FA0125">
              <w:rPr>
                <w:rFonts w:ascii="Arial" w:eastAsia="Arial" w:hAnsi="Arial" w:cs="Arial"/>
                <w:b/>
                <w:sz w:val="16"/>
                <w:szCs w:val="16"/>
              </w:rPr>
              <w:t>Gotlib, J et al. Nature medicine, 2021, Vol. 27.</w:t>
            </w:r>
          </w:p>
        </w:tc>
      </w:tr>
      <w:tr w:rsidR="00B74082" w:rsidTr="00862AF4">
        <w:trPr>
          <w:trHeight w:val="115"/>
        </w:trPr>
        <w:tc>
          <w:tcPr>
            <w:tcW w:w="9001" w:type="dxa"/>
            <w:gridSpan w:val="2"/>
          </w:tcPr>
          <w:p w:rsidR="001335B8" w:rsidRPr="00862AF4" w:rsidRDefault="001335B8" w:rsidP="00FA0125">
            <w:pPr>
              <w:ind w:left="0" w:hanging="2"/>
              <w:jc w:val="both"/>
              <w:rPr>
                <w:rFonts w:ascii="Arial" w:eastAsia="Arial" w:hAnsi="Arial" w:cs="Arial"/>
                <w:sz w:val="16"/>
                <w:szCs w:val="16"/>
              </w:rPr>
            </w:pPr>
            <w:r w:rsidRPr="00862AF4">
              <w:rPr>
                <w:rFonts w:ascii="Arial" w:eastAsia="Arial" w:hAnsi="Arial" w:cs="Arial"/>
                <w:sz w:val="16"/>
                <w:szCs w:val="16"/>
              </w:rPr>
              <w:t>Se incluyen los resultados de seguridad agregados aportados por el promoto</w:t>
            </w:r>
            <w:r w:rsidR="00FA0125">
              <w:rPr>
                <w:rFonts w:ascii="Arial" w:eastAsia="Arial" w:hAnsi="Arial" w:cs="Arial"/>
                <w:sz w:val="16"/>
                <w:szCs w:val="16"/>
              </w:rPr>
              <w:t>r para la evaluación por la EMA</w:t>
            </w:r>
            <w:sdt>
              <w:sdtPr>
                <w:rPr>
                  <w:rFonts w:ascii="Arial" w:eastAsia="Arial" w:hAnsi="Arial" w:cs="Arial"/>
                  <w:sz w:val="16"/>
                  <w:szCs w:val="16"/>
                </w:rPr>
                <w:id w:val="-1193684221"/>
                <w:citation/>
              </w:sdtPr>
              <w:sdtEndPr/>
              <w:sdtContent>
                <w:r w:rsidR="00743E44" w:rsidRPr="00862AF4">
                  <w:rPr>
                    <w:rFonts w:ascii="Arial" w:eastAsia="Arial" w:hAnsi="Arial" w:cs="Arial"/>
                    <w:sz w:val="16"/>
                    <w:szCs w:val="16"/>
                  </w:rPr>
                  <w:fldChar w:fldCharType="begin"/>
                </w:r>
                <w:r w:rsidRPr="00862AF4">
                  <w:rPr>
                    <w:rFonts w:ascii="Arial" w:eastAsia="Arial" w:hAnsi="Arial" w:cs="Arial"/>
                    <w:sz w:val="16"/>
                    <w:szCs w:val="16"/>
                  </w:rPr>
                  <w:instrText xml:space="preserve"> CITATION EPAR \l 3082 </w:instrText>
                </w:r>
                <w:r w:rsidR="00743E44" w:rsidRPr="00862AF4">
                  <w:rPr>
                    <w:rFonts w:ascii="Arial" w:eastAsia="Arial" w:hAnsi="Arial" w:cs="Arial"/>
                    <w:sz w:val="16"/>
                    <w:szCs w:val="16"/>
                  </w:rPr>
                  <w:fldChar w:fldCharType="separate"/>
                </w:r>
                <w:r w:rsidR="00C560F5">
                  <w:rPr>
                    <w:rFonts w:ascii="Arial" w:eastAsia="Arial" w:hAnsi="Arial" w:cs="Arial"/>
                    <w:noProof/>
                    <w:sz w:val="16"/>
                    <w:szCs w:val="16"/>
                  </w:rPr>
                  <w:t xml:space="preserve"> </w:t>
                </w:r>
                <w:r w:rsidR="00C560F5" w:rsidRPr="00C560F5">
                  <w:rPr>
                    <w:rFonts w:ascii="Arial" w:eastAsia="Arial" w:hAnsi="Arial" w:cs="Arial"/>
                    <w:noProof/>
                    <w:sz w:val="16"/>
                    <w:szCs w:val="16"/>
                  </w:rPr>
                  <w:t>(2)</w:t>
                </w:r>
                <w:r w:rsidR="00743E44" w:rsidRPr="00862AF4">
                  <w:rPr>
                    <w:rFonts w:ascii="Arial" w:eastAsia="Arial" w:hAnsi="Arial" w:cs="Arial"/>
                    <w:sz w:val="16"/>
                    <w:szCs w:val="16"/>
                  </w:rPr>
                  <w:fldChar w:fldCharType="end"/>
                </w:r>
              </w:sdtContent>
            </w:sdt>
            <w:r w:rsidR="00287F58" w:rsidRPr="00862AF4">
              <w:rPr>
                <w:rFonts w:ascii="Arial" w:eastAsia="Arial" w:hAnsi="Arial" w:cs="Arial"/>
                <w:sz w:val="16"/>
                <w:szCs w:val="16"/>
              </w:rPr>
              <w:t>.</w:t>
            </w:r>
            <w:r w:rsidRPr="00862AF4">
              <w:rPr>
                <w:rFonts w:ascii="Arial" w:eastAsia="Arial" w:hAnsi="Arial" w:cs="Arial"/>
                <w:sz w:val="16"/>
                <w:szCs w:val="16"/>
              </w:rPr>
              <w:t xml:space="preserve"> 193 pacientes, 74 hombres y 52 mujeres. El 52.4% había sido tratado previamente con midostaurina. La mediana de edad fue de 68 (31-88) años, con un 39.3% de los pacientes con una edad inferior a 65 años. </w:t>
            </w:r>
            <w:r w:rsidR="00412330" w:rsidRPr="00862AF4">
              <w:rPr>
                <w:rFonts w:ascii="Arial" w:eastAsia="Arial" w:hAnsi="Arial" w:cs="Arial"/>
                <w:sz w:val="16"/>
                <w:szCs w:val="16"/>
              </w:rPr>
              <w:t>De entre la población de seguridad, se ha optado por mostrar en la tabla los datos más relevantes del grupo de 200mg/24h, ya que es la posología formalmente aprobada para la indicación que se está evaluando</w:t>
            </w:r>
          </w:p>
        </w:tc>
      </w:tr>
      <w:tr w:rsidR="00B74082" w:rsidTr="00862AF4">
        <w:trPr>
          <w:trHeight w:val="115"/>
        </w:trPr>
        <w:tc>
          <w:tcPr>
            <w:tcW w:w="9001" w:type="dxa"/>
            <w:gridSpan w:val="2"/>
            <w:shd w:val="clear" w:color="auto" w:fill="CCFFCC"/>
          </w:tcPr>
          <w:p w:rsidR="00B74082" w:rsidRPr="00862AF4" w:rsidRDefault="00DA20C8">
            <w:pPr>
              <w:ind w:left="0" w:hanging="2"/>
              <w:jc w:val="both"/>
              <w:rPr>
                <w:rFonts w:ascii="Arial" w:eastAsia="Arial" w:hAnsi="Arial" w:cs="Arial"/>
                <w:sz w:val="16"/>
                <w:szCs w:val="16"/>
              </w:rPr>
            </w:pPr>
            <w:r w:rsidRPr="00862AF4">
              <w:rPr>
                <w:rFonts w:ascii="Arial" w:eastAsia="Arial" w:hAnsi="Arial" w:cs="Arial"/>
                <w:b/>
                <w:sz w:val="16"/>
                <w:szCs w:val="16"/>
              </w:rPr>
              <w:t>Resultados de seguridad</w:t>
            </w:r>
          </w:p>
        </w:tc>
      </w:tr>
      <w:tr w:rsidR="00412330" w:rsidTr="00FA0125">
        <w:trPr>
          <w:trHeight w:val="290"/>
        </w:trPr>
        <w:tc>
          <w:tcPr>
            <w:tcW w:w="5032" w:type="dxa"/>
          </w:tcPr>
          <w:p w:rsidR="00412330" w:rsidRPr="00862AF4" w:rsidRDefault="00412330">
            <w:pPr>
              <w:ind w:left="0" w:hanging="2"/>
              <w:jc w:val="both"/>
              <w:rPr>
                <w:rFonts w:ascii="Arial" w:eastAsia="Arial" w:hAnsi="Arial" w:cs="Arial"/>
                <w:sz w:val="16"/>
                <w:szCs w:val="16"/>
              </w:rPr>
            </w:pPr>
            <w:r w:rsidRPr="00862AF4">
              <w:rPr>
                <w:rFonts w:ascii="Arial" w:eastAsia="Arial" w:hAnsi="Arial" w:cs="Arial"/>
                <w:b/>
                <w:i/>
                <w:sz w:val="16"/>
                <w:szCs w:val="16"/>
              </w:rPr>
              <w:t>Variable de seguridad evaluada en el estudio</w:t>
            </w:r>
          </w:p>
        </w:tc>
        <w:tc>
          <w:tcPr>
            <w:tcW w:w="3969" w:type="dxa"/>
          </w:tcPr>
          <w:p w:rsidR="00412330" w:rsidRPr="00FA0125" w:rsidRDefault="00412330" w:rsidP="00FA0125">
            <w:pPr>
              <w:ind w:left="0" w:hanging="2"/>
              <w:jc w:val="both"/>
              <w:rPr>
                <w:rFonts w:ascii="Arial" w:eastAsia="Arial" w:hAnsi="Arial" w:cs="Arial"/>
                <w:b/>
                <w:i/>
                <w:sz w:val="16"/>
                <w:szCs w:val="16"/>
              </w:rPr>
            </w:pPr>
            <w:r w:rsidRPr="00862AF4">
              <w:rPr>
                <w:rFonts w:ascii="Arial" w:eastAsia="Arial" w:hAnsi="Arial" w:cs="Arial"/>
                <w:b/>
                <w:i/>
                <w:sz w:val="16"/>
                <w:szCs w:val="16"/>
              </w:rPr>
              <w:t>Avap</w:t>
            </w:r>
            <w:r w:rsidR="00FA0125">
              <w:rPr>
                <w:rFonts w:ascii="Arial" w:eastAsia="Arial" w:hAnsi="Arial" w:cs="Arial"/>
                <w:b/>
                <w:i/>
                <w:sz w:val="16"/>
                <w:szCs w:val="16"/>
              </w:rPr>
              <w:t>ritinib 200 mg/24h  (</w:t>
            </w:r>
            <w:r w:rsidRPr="00862AF4">
              <w:rPr>
                <w:rFonts w:ascii="Arial" w:eastAsia="Arial" w:hAnsi="Arial" w:cs="Arial"/>
                <w:b/>
                <w:i/>
                <w:sz w:val="16"/>
                <w:szCs w:val="16"/>
              </w:rPr>
              <w:t>n=126</w:t>
            </w:r>
            <w:r w:rsidR="00FA0125">
              <w:rPr>
                <w:rFonts w:ascii="Arial" w:eastAsia="Arial" w:hAnsi="Arial" w:cs="Arial"/>
                <w:b/>
                <w:i/>
                <w:sz w:val="16"/>
                <w:szCs w:val="16"/>
              </w:rPr>
              <w:t>)</w:t>
            </w:r>
          </w:p>
        </w:tc>
      </w:tr>
      <w:tr w:rsidR="00412330" w:rsidTr="00FA0125">
        <w:trPr>
          <w:cantSplit/>
          <w:trHeight w:val="4827"/>
        </w:trPr>
        <w:tc>
          <w:tcPr>
            <w:tcW w:w="5032" w:type="dxa"/>
          </w:tcPr>
          <w:p w:rsidR="00412330" w:rsidRPr="00FA0125" w:rsidRDefault="00412330"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lastRenderedPageBreak/>
              <w:t>Cualquier EA</w:t>
            </w:r>
          </w:p>
          <w:p w:rsidR="00412330" w:rsidRPr="00FA0125" w:rsidRDefault="00345320"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EA grave (SAE)</w:t>
            </w:r>
          </w:p>
          <w:p w:rsidR="00345320" w:rsidRPr="00FA0125" w:rsidRDefault="00345320"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EA grado ≥3</w:t>
            </w:r>
          </w:p>
          <w:p w:rsidR="00345320" w:rsidRPr="00FA0125" w:rsidRDefault="00345320"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EA que lleva a discontinuación</w:t>
            </w:r>
          </w:p>
          <w:p w:rsidR="00345320" w:rsidRPr="00FA0125" w:rsidRDefault="00345320"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Hemorragia intracraneal</w:t>
            </w:r>
          </w:p>
          <w:p w:rsidR="00345320" w:rsidRPr="00FA0125" w:rsidRDefault="00345320"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“Efectos cognitivos”</w:t>
            </w:r>
          </w:p>
          <w:p w:rsidR="00345320" w:rsidRPr="00FA0125" w:rsidRDefault="00345320"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Muerte</w:t>
            </w:r>
          </w:p>
          <w:p w:rsidR="00F17AB9" w:rsidRPr="00FA0125" w:rsidRDefault="00345320"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EA relacionado con muerte</w:t>
            </w:r>
          </w:p>
          <w:p w:rsidR="00F17AB9" w:rsidRPr="00FA0125" w:rsidRDefault="00F17AB9"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Edema periférico</w:t>
            </w:r>
          </w:p>
          <w:p w:rsidR="00AA2245" w:rsidRPr="00FA0125" w:rsidRDefault="00AA2245"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Anemia</w:t>
            </w:r>
          </w:p>
          <w:p w:rsidR="00AA2245" w:rsidRPr="00FA0125" w:rsidRDefault="00AA2245"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Edema periorbital</w:t>
            </w:r>
          </w:p>
          <w:p w:rsidR="00AA2245" w:rsidRPr="00FA0125" w:rsidRDefault="00AA2245"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Trombocitopenia</w:t>
            </w:r>
          </w:p>
          <w:p w:rsidR="00F17AB9" w:rsidRPr="00FA0125" w:rsidRDefault="00F17AB9"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Diarrea</w:t>
            </w:r>
          </w:p>
          <w:p w:rsidR="00F17AB9" w:rsidRPr="00FA0125" w:rsidRDefault="00F17AB9"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Naúseas</w:t>
            </w:r>
          </w:p>
          <w:p w:rsidR="00F17AB9" w:rsidRPr="00FA0125" w:rsidRDefault="00F17AB9"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Vómitos</w:t>
            </w:r>
          </w:p>
          <w:p w:rsidR="00F17AB9" w:rsidRPr="00FA0125" w:rsidRDefault="00F17AB9"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Disgeusia</w:t>
            </w:r>
          </w:p>
          <w:p w:rsidR="00F17AB9" w:rsidRPr="00FA0125" w:rsidRDefault="00F17AB9"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Fatiga</w:t>
            </w:r>
          </w:p>
          <w:p w:rsidR="00F17AB9" w:rsidRPr="00FA0125" w:rsidRDefault="00F17AB9"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Cambio color pelo</w:t>
            </w:r>
          </w:p>
          <w:p w:rsidR="00F17AB9" w:rsidRPr="00FA0125" w:rsidRDefault="00AA2245"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Dolor cabeza</w:t>
            </w:r>
          </w:p>
          <w:p w:rsidR="00AA2245" w:rsidRPr="00FA0125" w:rsidRDefault="00AA2245"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Edema palpebral</w:t>
            </w:r>
          </w:p>
          <w:p w:rsidR="00AA2245" w:rsidRPr="00FA0125" w:rsidRDefault="00AA2245"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Estreñimiento</w:t>
            </w:r>
          </w:p>
          <w:p w:rsidR="00AA2245" w:rsidRPr="00FA0125" w:rsidRDefault="00AA2245"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Edema en cara</w:t>
            </w:r>
          </w:p>
          <w:p w:rsidR="00AA2245" w:rsidRPr="00FA0125" w:rsidRDefault="00AA2245"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Artralgia</w:t>
            </w:r>
          </w:p>
          <w:p w:rsidR="00AA2245" w:rsidRPr="00FA0125" w:rsidRDefault="00AA2245"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Prurito</w:t>
            </w:r>
          </w:p>
          <w:p w:rsidR="00AA2245" w:rsidRPr="00FA0125" w:rsidRDefault="00AA2245"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Dolor abdominal</w:t>
            </w:r>
          </w:p>
          <w:p w:rsidR="00AA2245" w:rsidRPr="00FA0125" w:rsidRDefault="00AA2245"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Epistaxis</w:t>
            </w:r>
          </w:p>
          <w:p w:rsidR="00AA2245" w:rsidRPr="00FA0125" w:rsidRDefault="00AA2245"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Aumento de fosfatasa alcalina</w:t>
            </w:r>
          </w:p>
          <w:p w:rsidR="00AA2245" w:rsidRPr="00FA0125" w:rsidRDefault="00AA2245"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Mareos</w:t>
            </w:r>
          </w:p>
          <w:p w:rsidR="00AA2245" w:rsidRPr="00FA0125" w:rsidRDefault="00AA2245"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Desórdenes cognitivos</w:t>
            </w:r>
          </w:p>
          <w:p w:rsidR="00AA2245" w:rsidRPr="00FA0125" w:rsidRDefault="00AA2245"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Hiperbilirrubienmia</w:t>
            </w:r>
          </w:p>
          <w:p w:rsidR="00AA2245" w:rsidRPr="00FA0125" w:rsidRDefault="00AA2245"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Aumento creatinina plasmática</w:t>
            </w:r>
          </w:p>
          <w:p w:rsidR="00AA2245" w:rsidRPr="00FA0125" w:rsidRDefault="00AA2245"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Plaquetopenia</w:t>
            </w:r>
          </w:p>
          <w:p w:rsidR="001921D7" w:rsidRPr="00FA0125" w:rsidRDefault="00AA2245"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Aumento de peso</w:t>
            </w:r>
          </w:p>
        </w:tc>
        <w:tc>
          <w:tcPr>
            <w:tcW w:w="3969" w:type="dxa"/>
          </w:tcPr>
          <w:p w:rsidR="00412330" w:rsidRPr="00FA0125" w:rsidRDefault="00F17AB9"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126 (100%)</w:t>
            </w:r>
          </w:p>
          <w:p w:rsidR="00F17AB9" w:rsidRPr="00FA0125" w:rsidRDefault="00F17AB9"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48 (38.1%)</w:t>
            </w:r>
          </w:p>
          <w:p w:rsidR="00F17AB9" w:rsidRPr="00FA0125" w:rsidRDefault="00F17AB9"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95(75.4%)</w:t>
            </w:r>
          </w:p>
          <w:p w:rsidR="00F17AB9" w:rsidRPr="00FA0125" w:rsidRDefault="00F17AB9"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23 (18.3%)</w:t>
            </w:r>
          </w:p>
          <w:p w:rsidR="00F17AB9" w:rsidRPr="00FA0125" w:rsidRDefault="00F17AB9"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4 (3.2%)</w:t>
            </w:r>
          </w:p>
          <w:p w:rsidR="00F17AB9" w:rsidRPr="00FA0125" w:rsidRDefault="00F17AB9"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24 (19%)</w:t>
            </w:r>
          </w:p>
          <w:p w:rsidR="00F17AB9" w:rsidRPr="00FA0125" w:rsidRDefault="00F17AB9"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8 (6.3%)</w:t>
            </w:r>
          </w:p>
          <w:p w:rsidR="00AA2245" w:rsidRPr="00FA0125" w:rsidRDefault="00862AF4"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0 (0%)</w:t>
            </w:r>
          </w:p>
          <w:p w:rsidR="00AA2245" w:rsidRPr="00FA0125" w:rsidRDefault="00AA2245"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54 (42.9%)</w:t>
            </w:r>
          </w:p>
          <w:p w:rsidR="00AA2245" w:rsidRPr="00FA0125" w:rsidRDefault="00AA2245"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51 (40.5%)</w:t>
            </w:r>
          </w:p>
          <w:p w:rsidR="00AA2245" w:rsidRPr="00FA0125" w:rsidRDefault="00AA2245"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50 (39.7%)</w:t>
            </w:r>
          </w:p>
          <w:p w:rsidR="00AA2245" w:rsidRPr="00FA0125" w:rsidRDefault="001F7EE7"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50 (39.7%)</w:t>
            </w:r>
          </w:p>
          <w:p w:rsidR="001F7EE7" w:rsidRPr="00FA0125" w:rsidRDefault="001F7EE7"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35 (27.8%)</w:t>
            </w:r>
          </w:p>
          <w:p w:rsidR="001F7EE7" w:rsidRPr="00FA0125" w:rsidRDefault="001F7EE7"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3. (23.8%)</w:t>
            </w:r>
          </w:p>
          <w:p w:rsidR="001F7EE7" w:rsidRPr="00FA0125" w:rsidRDefault="001F7EE7"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24 (19.0%)</w:t>
            </w:r>
          </w:p>
          <w:p w:rsidR="001F7EE7" w:rsidRPr="00FA0125" w:rsidRDefault="001F7EE7"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24 (19.0%)</w:t>
            </w:r>
          </w:p>
          <w:p w:rsidR="001F7EE7" w:rsidRPr="00FA0125" w:rsidRDefault="001F7EE7"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21 (16.7%)</w:t>
            </w:r>
          </w:p>
          <w:p w:rsidR="001F7EE7" w:rsidRPr="00FA0125" w:rsidRDefault="001F7EE7"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19 (15.1%)</w:t>
            </w:r>
          </w:p>
          <w:p w:rsidR="001F7EE7" w:rsidRPr="00FA0125" w:rsidRDefault="001F7EE7"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19 (15.1%)</w:t>
            </w:r>
          </w:p>
          <w:p w:rsidR="001F7EE7" w:rsidRPr="00FA0125" w:rsidRDefault="001F7EE7"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18 (14.3%)</w:t>
            </w:r>
          </w:p>
          <w:p w:rsidR="001F7EE7" w:rsidRPr="00FA0125" w:rsidRDefault="001F7EE7"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17 (13.5%)</w:t>
            </w:r>
          </w:p>
          <w:p w:rsidR="001F7EE7" w:rsidRPr="00FA0125" w:rsidRDefault="001F7EE7"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17 (13.5%)</w:t>
            </w:r>
          </w:p>
          <w:p w:rsidR="001F7EE7" w:rsidRPr="00FA0125" w:rsidRDefault="001F7EE7"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16 (12.7%)</w:t>
            </w:r>
          </w:p>
          <w:p w:rsidR="001F7EE7" w:rsidRPr="00FA0125" w:rsidRDefault="001F7EE7"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16 (12.7%)</w:t>
            </w:r>
          </w:p>
          <w:p w:rsidR="001F7EE7" w:rsidRPr="00FA0125" w:rsidRDefault="001F7EE7"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16 (12.7%)</w:t>
            </w:r>
          </w:p>
          <w:p w:rsidR="001F7EE7" w:rsidRPr="00FA0125" w:rsidRDefault="001F7EE7"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16 (12.7%)</w:t>
            </w:r>
          </w:p>
          <w:p w:rsidR="001F7EE7" w:rsidRPr="00FA0125" w:rsidRDefault="001F7EE7"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16 (12.7%)</w:t>
            </w:r>
          </w:p>
          <w:p w:rsidR="001F7EE7" w:rsidRPr="00FA0125" w:rsidRDefault="001F7EE7"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15 (11.9%)</w:t>
            </w:r>
          </w:p>
          <w:p w:rsidR="001F7EE7" w:rsidRPr="00FA0125" w:rsidRDefault="001F7EE7"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15 (11.9%)</w:t>
            </w:r>
          </w:p>
          <w:p w:rsidR="001F7EE7" w:rsidRPr="00FA0125" w:rsidRDefault="001F7EE7"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15 (11.9%)</w:t>
            </w:r>
          </w:p>
          <w:p w:rsidR="001F7EE7" w:rsidRPr="00FA0125" w:rsidRDefault="001F7EE7"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15 (11.9%)</w:t>
            </w:r>
          </w:p>
          <w:p w:rsidR="001F7EE7" w:rsidRPr="00FA0125" w:rsidRDefault="001F7EE7"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14 (11.1%)</w:t>
            </w:r>
          </w:p>
          <w:p w:rsidR="001F7EE7" w:rsidRPr="00FA0125" w:rsidRDefault="00862AF4"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13 (10.3%)</w:t>
            </w:r>
          </w:p>
        </w:tc>
      </w:tr>
      <w:tr w:rsidR="00B74082" w:rsidTr="00862AF4">
        <w:trPr>
          <w:cantSplit/>
          <w:trHeight w:val="175"/>
        </w:trPr>
        <w:tc>
          <w:tcPr>
            <w:tcW w:w="9001" w:type="dxa"/>
            <w:gridSpan w:val="2"/>
          </w:tcPr>
          <w:p w:rsidR="00B74082" w:rsidRPr="00FA0125" w:rsidRDefault="00DA20C8" w:rsidP="00FA0125">
            <w:pPr>
              <w:jc w:val="both"/>
              <w:rPr>
                <w:rFonts w:ascii="Arial" w:eastAsia="Arial" w:hAnsi="Arial" w:cs="Arial"/>
                <w:sz w:val="12"/>
                <w:szCs w:val="12"/>
              </w:rPr>
            </w:pPr>
            <w:r w:rsidRPr="00FA0125">
              <w:rPr>
                <w:rFonts w:ascii="Arial" w:eastAsia="Arial" w:hAnsi="Arial" w:cs="Arial"/>
                <w:sz w:val="12"/>
                <w:szCs w:val="12"/>
              </w:rPr>
              <w:t>(*)</w:t>
            </w:r>
            <w:r w:rsidR="00287F58" w:rsidRPr="00FA0125">
              <w:rPr>
                <w:rFonts w:ascii="Arial" w:eastAsia="Arial" w:hAnsi="Arial" w:cs="Arial"/>
                <w:sz w:val="12"/>
                <w:szCs w:val="12"/>
              </w:rPr>
              <w:t xml:space="preserve"> Se incluyen los resultados de seguridad </w:t>
            </w:r>
            <w:r w:rsidR="001335B8" w:rsidRPr="00FA0125">
              <w:rPr>
                <w:rFonts w:ascii="Arial" w:eastAsia="Arial" w:hAnsi="Arial" w:cs="Arial"/>
                <w:sz w:val="12"/>
                <w:szCs w:val="12"/>
              </w:rPr>
              <w:t>agregados aportados por el promotor para la evaluación por la EMA</w:t>
            </w:r>
            <w:r w:rsidR="00287F58" w:rsidRPr="00FA0125">
              <w:rPr>
                <w:rFonts w:ascii="Arial" w:eastAsia="Arial" w:hAnsi="Arial" w:cs="Arial"/>
                <w:sz w:val="12"/>
                <w:szCs w:val="12"/>
              </w:rPr>
              <w:t xml:space="preserve"> con los datos de fecha de corte de abril de 2021</w:t>
            </w:r>
            <w:r w:rsidR="00F17AB9" w:rsidRPr="00FA0125">
              <w:rPr>
                <w:rFonts w:ascii="Arial" w:eastAsia="Arial" w:hAnsi="Arial" w:cs="Arial"/>
                <w:sz w:val="12"/>
                <w:szCs w:val="12"/>
              </w:rPr>
              <w:t>, “safety population”</w:t>
            </w:r>
            <w:sdt>
              <w:sdtPr>
                <w:rPr>
                  <w:rFonts w:ascii="Arial" w:eastAsia="Arial" w:hAnsi="Arial" w:cs="Arial"/>
                  <w:sz w:val="12"/>
                  <w:szCs w:val="12"/>
                </w:rPr>
                <w:id w:val="-104894432"/>
                <w:citation/>
              </w:sdtPr>
              <w:sdtEndPr/>
              <w:sdtContent>
                <w:r w:rsidR="00743E44" w:rsidRPr="00FA0125">
                  <w:rPr>
                    <w:rFonts w:ascii="Arial" w:eastAsia="Arial" w:hAnsi="Arial" w:cs="Arial"/>
                    <w:sz w:val="12"/>
                    <w:szCs w:val="12"/>
                  </w:rPr>
                  <w:fldChar w:fldCharType="begin"/>
                </w:r>
                <w:r w:rsidR="00287F58" w:rsidRPr="00FA0125">
                  <w:rPr>
                    <w:rFonts w:ascii="Arial" w:eastAsia="Arial" w:hAnsi="Arial" w:cs="Arial"/>
                    <w:sz w:val="12"/>
                    <w:szCs w:val="12"/>
                  </w:rPr>
                  <w:instrText xml:space="preserve"> CITATION EPAR \l 3082 </w:instrText>
                </w:r>
                <w:r w:rsidR="00743E44" w:rsidRPr="00FA0125">
                  <w:rPr>
                    <w:rFonts w:ascii="Arial" w:eastAsia="Arial" w:hAnsi="Arial" w:cs="Arial"/>
                    <w:sz w:val="12"/>
                    <w:szCs w:val="12"/>
                  </w:rPr>
                  <w:fldChar w:fldCharType="separate"/>
                </w:r>
                <w:r w:rsidR="00C560F5">
                  <w:rPr>
                    <w:rFonts w:ascii="Arial" w:eastAsia="Arial" w:hAnsi="Arial" w:cs="Arial"/>
                    <w:noProof/>
                    <w:sz w:val="12"/>
                    <w:szCs w:val="12"/>
                  </w:rPr>
                  <w:t xml:space="preserve"> </w:t>
                </w:r>
                <w:r w:rsidR="00C560F5" w:rsidRPr="00C560F5">
                  <w:rPr>
                    <w:rFonts w:ascii="Arial" w:eastAsia="Arial" w:hAnsi="Arial" w:cs="Arial"/>
                    <w:noProof/>
                    <w:sz w:val="12"/>
                    <w:szCs w:val="12"/>
                  </w:rPr>
                  <w:t>(2)</w:t>
                </w:r>
                <w:r w:rsidR="00743E44" w:rsidRPr="00FA0125">
                  <w:rPr>
                    <w:rFonts w:ascii="Arial" w:eastAsia="Arial" w:hAnsi="Arial" w:cs="Arial"/>
                    <w:sz w:val="12"/>
                    <w:szCs w:val="12"/>
                  </w:rPr>
                  <w:fldChar w:fldCharType="end"/>
                </w:r>
              </w:sdtContent>
            </w:sdt>
            <w:r w:rsidR="00862AF4" w:rsidRPr="00FA0125">
              <w:rPr>
                <w:rFonts w:ascii="Arial" w:eastAsia="Arial" w:hAnsi="Arial" w:cs="Arial"/>
                <w:sz w:val="12"/>
                <w:szCs w:val="12"/>
              </w:rPr>
              <w:t>.</w:t>
            </w:r>
          </w:p>
        </w:tc>
      </w:tr>
    </w:tbl>
    <w:p w:rsidR="00345539" w:rsidRDefault="00345539" w:rsidP="00862AF4">
      <w:pPr>
        <w:keepNext/>
        <w:pBdr>
          <w:top w:val="nil"/>
          <w:left w:val="nil"/>
          <w:bottom w:val="nil"/>
          <w:right w:val="nil"/>
          <w:between w:val="nil"/>
        </w:pBdr>
        <w:shd w:val="clear" w:color="auto" w:fill="FFFFFF"/>
        <w:spacing w:line="240" w:lineRule="auto"/>
        <w:ind w:leftChars="0" w:left="0" w:firstLineChars="0" w:firstLine="0"/>
        <w:jc w:val="both"/>
        <w:rPr>
          <w:rFonts w:ascii="Arial" w:eastAsia="Arial" w:hAnsi="Arial" w:cs="Arial"/>
          <w:sz w:val="20"/>
          <w:szCs w:val="20"/>
        </w:rPr>
      </w:pPr>
      <w:bookmarkStart w:id="82" w:name="_heading=h.vx1227" w:colFirst="0" w:colLast="0"/>
      <w:bookmarkEnd w:id="82"/>
      <w:r w:rsidRPr="00D36B93">
        <w:rPr>
          <w:rFonts w:ascii="Arial" w:eastAsia="Arial" w:hAnsi="Arial" w:cs="Arial"/>
          <w:sz w:val="20"/>
          <w:szCs w:val="20"/>
        </w:rPr>
        <w:lastRenderedPageBreak/>
        <w:t>De los pacientes que iniciaron con 200 mg, el 78</w:t>
      </w:r>
      <w:r w:rsidR="0042331C">
        <w:rPr>
          <w:rFonts w:ascii="Arial" w:eastAsia="Arial" w:hAnsi="Arial" w:cs="Arial"/>
          <w:sz w:val="20"/>
          <w:szCs w:val="20"/>
        </w:rPr>
        <w:t>,</w:t>
      </w:r>
      <w:r w:rsidRPr="00D36B93">
        <w:rPr>
          <w:rFonts w:ascii="Arial" w:eastAsia="Arial" w:hAnsi="Arial" w:cs="Arial"/>
          <w:sz w:val="20"/>
          <w:szCs w:val="20"/>
        </w:rPr>
        <w:t>6% continuaba en tratamiento a fecha de corte de los datos aportados por el promotor.  129 pacientes habían tenido que interrumpir en alguna</w:t>
      </w:r>
      <w:r w:rsidR="00D36B93">
        <w:rPr>
          <w:rFonts w:ascii="Arial" w:eastAsia="Arial" w:hAnsi="Arial" w:cs="Arial"/>
          <w:sz w:val="20"/>
          <w:szCs w:val="20"/>
        </w:rPr>
        <w:t xml:space="preserve"> </w:t>
      </w:r>
      <w:r w:rsidRPr="00D36B93">
        <w:rPr>
          <w:rFonts w:ascii="Arial" w:eastAsia="Arial" w:hAnsi="Arial" w:cs="Arial"/>
          <w:sz w:val="20"/>
          <w:szCs w:val="20"/>
        </w:rPr>
        <w:t>ocasión el tratamiento (66</w:t>
      </w:r>
      <w:r w:rsidR="0042331C">
        <w:rPr>
          <w:rFonts w:ascii="Arial" w:eastAsia="Arial" w:hAnsi="Arial" w:cs="Arial"/>
          <w:sz w:val="20"/>
          <w:szCs w:val="20"/>
        </w:rPr>
        <w:t>,</w:t>
      </w:r>
      <w:r w:rsidRPr="00D36B93">
        <w:rPr>
          <w:rFonts w:ascii="Arial" w:eastAsia="Arial" w:hAnsi="Arial" w:cs="Arial"/>
          <w:sz w:val="20"/>
          <w:szCs w:val="20"/>
        </w:rPr>
        <w:t xml:space="preserve">8%) debido a algún efecto adverso y 140 (72,5%) habían tenido al menos una reducción de dosis por efectos adversos relacionados con avapritinib. </w:t>
      </w:r>
    </w:p>
    <w:p w:rsidR="00D36B93" w:rsidRDefault="00D36B93" w:rsidP="00B37D4D">
      <w:pPr>
        <w:keepNext/>
        <w:pBdr>
          <w:top w:val="nil"/>
          <w:left w:val="nil"/>
          <w:bottom w:val="nil"/>
          <w:right w:val="nil"/>
          <w:between w:val="nil"/>
        </w:pBdr>
        <w:shd w:val="clear" w:color="auto" w:fill="FFFFFF"/>
        <w:spacing w:line="240" w:lineRule="auto"/>
        <w:ind w:left="0" w:hanging="2"/>
        <w:jc w:val="both"/>
        <w:rPr>
          <w:rFonts w:ascii="Arial" w:eastAsia="Arial" w:hAnsi="Arial" w:cs="Arial"/>
          <w:sz w:val="20"/>
          <w:szCs w:val="20"/>
        </w:rPr>
      </w:pPr>
    </w:p>
    <w:p w:rsidR="00D36B93" w:rsidRPr="00D36B93" w:rsidRDefault="00D36B93" w:rsidP="00B37D4D">
      <w:pPr>
        <w:keepNext/>
        <w:pBdr>
          <w:top w:val="nil"/>
          <w:left w:val="nil"/>
          <w:bottom w:val="nil"/>
          <w:right w:val="nil"/>
          <w:between w:val="nil"/>
        </w:pBdr>
        <w:shd w:val="clear" w:color="auto" w:fill="FFFFFF"/>
        <w:spacing w:line="240" w:lineRule="auto"/>
        <w:ind w:left="0" w:hanging="2"/>
        <w:jc w:val="both"/>
        <w:rPr>
          <w:rFonts w:ascii="Arial" w:eastAsia="Arial" w:hAnsi="Arial" w:cs="Arial"/>
          <w:sz w:val="20"/>
          <w:szCs w:val="20"/>
        </w:rPr>
      </w:pPr>
      <w:r>
        <w:rPr>
          <w:rFonts w:ascii="Arial" w:eastAsia="Arial" w:hAnsi="Arial" w:cs="Arial"/>
          <w:sz w:val="20"/>
          <w:szCs w:val="20"/>
        </w:rPr>
        <w:t>Los eventos adversos g</w:t>
      </w:r>
      <w:r w:rsidR="00FA0125">
        <w:rPr>
          <w:rFonts w:ascii="Arial" w:eastAsia="Arial" w:hAnsi="Arial" w:cs="Arial"/>
          <w:sz w:val="20"/>
          <w:szCs w:val="20"/>
        </w:rPr>
        <w:t>r</w:t>
      </w:r>
      <w:r>
        <w:rPr>
          <w:rFonts w:ascii="Arial" w:eastAsia="Arial" w:hAnsi="Arial" w:cs="Arial"/>
          <w:sz w:val="20"/>
          <w:szCs w:val="20"/>
        </w:rPr>
        <w:t xml:space="preserve">ado 3 o superior más comunes fueron los de tipo hematológico, como se muestra en la siguiente tabla </w:t>
      </w:r>
      <w:r w:rsidR="00140029">
        <w:rPr>
          <w:rFonts w:ascii="Arial" w:eastAsia="Arial" w:hAnsi="Arial" w:cs="Arial"/>
          <w:sz w:val="20"/>
          <w:szCs w:val="20"/>
        </w:rPr>
        <w:t>extraída</w:t>
      </w:r>
      <w:r>
        <w:rPr>
          <w:rFonts w:ascii="Arial" w:eastAsia="Arial" w:hAnsi="Arial" w:cs="Arial"/>
          <w:sz w:val="20"/>
          <w:szCs w:val="20"/>
        </w:rPr>
        <w:t xml:space="preserve"> del informe EPAR, también con los datos más recientes aportados por el promotor.</w:t>
      </w:r>
    </w:p>
    <w:p w:rsidR="00D36B93" w:rsidRDefault="00D36B93" w:rsidP="00B37D4D">
      <w:pPr>
        <w:keepNext/>
        <w:pBdr>
          <w:top w:val="nil"/>
          <w:left w:val="nil"/>
          <w:bottom w:val="nil"/>
          <w:right w:val="nil"/>
          <w:between w:val="nil"/>
        </w:pBdr>
        <w:shd w:val="clear" w:color="auto" w:fill="FFFFFF"/>
        <w:spacing w:line="240" w:lineRule="auto"/>
        <w:ind w:left="0" w:hanging="2"/>
        <w:jc w:val="both"/>
        <w:rPr>
          <w:rFonts w:ascii="Cambria" w:eastAsia="Cambria" w:hAnsi="Cambria" w:cs="Cambria"/>
          <w:i/>
          <w:color w:val="000000"/>
          <w:sz w:val="20"/>
          <w:szCs w:val="20"/>
        </w:rPr>
      </w:pPr>
    </w:p>
    <w:p w:rsidR="00D36B93" w:rsidRDefault="00D36B93" w:rsidP="00FA0125">
      <w:pPr>
        <w:keepNext/>
        <w:pBdr>
          <w:top w:val="nil"/>
          <w:left w:val="nil"/>
          <w:bottom w:val="nil"/>
          <w:right w:val="nil"/>
          <w:between w:val="nil"/>
        </w:pBdr>
        <w:shd w:val="clear" w:color="auto" w:fill="FFFFFF"/>
        <w:spacing w:line="240" w:lineRule="auto"/>
        <w:ind w:left="0" w:hanging="2"/>
        <w:jc w:val="center"/>
        <w:rPr>
          <w:rFonts w:ascii="Cambria" w:eastAsia="Cambria" w:hAnsi="Cambria" w:cs="Cambria"/>
          <w:i/>
          <w:color w:val="000000"/>
          <w:sz w:val="20"/>
          <w:szCs w:val="20"/>
        </w:rPr>
      </w:pPr>
      <w:r>
        <w:rPr>
          <w:noProof/>
        </w:rPr>
        <w:drawing>
          <wp:inline distT="0" distB="0" distL="0" distR="0">
            <wp:extent cx="4305300" cy="4740177"/>
            <wp:effectExtent l="0" t="0" r="0" b="3810"/>
            <wp:docPr id="9" name="Imagen 9"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Aplicación, Tabla&#10;&#10;Descripción generada automáticamente"/>
                    <pic:cNvPicPr/>
                  </pic:nvPicPr>
                  <pic:blipFill rotWithShape="1">
                    <a:blip r:embed="rId25" cstate="print"/>
                    <a:srcRect l="32955" t="21664" r="33059" b="11818"/>
                    <a:stretch/>
                  </pic:blipFill>
                  <pic:spPr bwMode="auto">
                    <a:xfrm>
                      <a:off x="0" y="0"/>
                      <a:ext cx="4305820" cy="4740750"/>
                    </a:xfrm>
                    <a:prstGeom prst="rect">
                      <a:avLst/>
                    </a:prstGeom>
                    <a:ln>
                      <a:noFill/>
                    </a:ln>
                    <a:extLst>
                      <a:ext uri="{53640926-AAD7-44D8-BBD7-CCE9431645EC}">
                        <a14:shadowObscured xmlns:a14="http://schemas.microsoft.com/office/drawing/2010/main"/>
                      </a:ext>
                    </a:extLst>
                  </pic:spPr>
                </pic:pic>
              </a:graphicData>
            </a:graphic>
          </wp:inline>
        </w:drawing>
      </w:r>
    </w:p>
    <w:p w:rsidR="00345539" w:rsidRPr="003A6FCC" w:rsidRDefault="00345539" w:rsidP="00B37D4D">
      <w:pPr>
        <w:keepNext/>
        <w:pBdr>
          <w:top w:val="nil"/>
          <w:left w:val="nil"/>
          <w:bottom w:val="nil"/>
          <w:right w:val="nil"/>
          <w:between w:val="nil"/>
        </w:pBdr>
        <w:shd w:val="clear" w:color="auto" w:fill="FFFFFF"/>
        <w:spacing w:line="240" w:lineRule="auto"/>
        <w:ind w:left="0" w:hanging="2"/>
        <w:jc w:val="both"/>
        <w:rPr>
          <w:rFonts w:ascii="Cambria" w:eastAsia="Cambria" w:hAnsi="Cambria" w:cs="Cambria"/>
          <w:b/>
          <w:i/>
          <w:color w:val="000000"/>
          <w:sz w:val="20"/>
          <w:szCs w:val="20"/>
        </w:rPr>
      </w:pPr>
    </w:p>
    <w:p w:rsidR="00D36B93" w:rsidRPr="003A6FCC" w:rsidRDefault="00B70A68" w:rsidP="00B37D4D">
      <w:pPr>
        <w:keepNext/>
        <w:pBdr>
          <w:top w:val="nil"/>
          <w:left w:val="nil"/>
          <w:bottom w:val="nil"/>
          <w:right w:val="nil"/>
          <w:between w:val="nil"/>
        </w:pBdr>
        <w:shd w:val="clear" w:color="auto" w:fill="FFFFFF"/>
        <w:spacing w:line="240" w:lineRule="auto"/>
        <w:ind w:left="0" w:hanging="2"/>
        <w:jc w:val="center"/>
        <w:rPr>
          <w:rFonts w:ascii="Arial" w:eastAsia="Arial" w:hAnsi="Arial" w:cs="Arial"/>
          <w:b/>
          <w:sz w:val="20"/>
          <w:szCs w:val="20"/>
        </w:rPr>
      </w:pPr>
      <w:r w:rsidRPr="003A6FCC">
        <w:rPr>
          <w:rFonts w:ascii="Arial" w:eastAsia="Arial" w:hAnsi="Arial" w:cs="Arial"/>
          <w:b/>
          <w:sz w:val="20"/>
          <w:szCs w:val="20"/>
        </w:rPr>
        <w:t>Figura 10</w:t>
      </w:r>
      <w:r w:rsidR="003A6FCC">
        <w:rPr>
          <w:rFonts w:ascii="Arial" w:eastAsia="Arial" w:hAnsi="Arial" w:cs="Arial"/>
          <w:b/>
          <w:sz w:val="20"/>
          <w:szCs w:val="20"/>
        </w:rPr>
        <w:t>.  EA grado</w:t>
      </w:r>
      <w:r w:rsidR="00D36B93" w:rsidRPr="003A6FCC">
        <w:rPr>
          <w:rFonts w:ascii="Arial" w:eastAsia="Arial" w:hAnsi="Arial" w:cs="Arial"/>
          <w:b/>
          <w:sz w:val="20"/>
          <w:szCs w:val="20"/>
        </w:rPr>
        <w:t xml:space="preserve">≥ </w:t>
      </w:r>
      <w:r w:rsidR="003A6FCC">
        <w:rPr>
          <w:rFonts w:ascii="Arial" w:eastAsia="Arial" w:hAnsi="Arial" w:cs="Arial"/>
          <w:b/>
          <w:sz w:val="20"/>
          <w:szCs w:val="20"/>
        </w:rPr>
        <w:t xml:space="preserve">3 </w:t>
      </w:r>
      <w:r w:rsidR="00D36B93" w:rsidRPr="003A6FCC">
        <w:rPr>
          <w:rFonts w:ascii="Arial" w:eastAsia="Arial" w:hAnsi="Arial" w:cs="Arial"/>
          <w:b/>
          <w:sz w:val="20"/>
          <w:szCs w:val="20"/>
        </w:rPr>
        <w:t xml:space="preserve">que se dieron en más de un 2% </w:t>
      </w:r>
      <w:r w:rsidR="00D36B93" w:rsidRPr="0042331C">
        <w:rPr>
          <w:rFonts w:ascii="Arial" w:eastAsia="Arial" w:hAnsi="Arial" w:cs="Arial"/>
          <w:b/>
          <w:i/>
          <w:sz w:val="20"/>
          <w:szCs w:val="20"/>
        </w:rPr>
        <w:t>safety population</w:t>
      </w:r>
      <w:sdt>
        <w:sdtPr>
          <w:rPr>
            <w:rFonts w:ascii="Arial" w:eastAsia="Arial" w:hAnsi="Arial" w:cs="Arial"/>
            <w:b/>
            <w:sz w:val="20"/>
            <w:szCs w:val="20"/>
            <w:vertAlign w:val="superscript"/>
          </w:rPr>
          <w:id w:val="-1039896694"/>
          <w:citation/>
        </w:sdtPr>
        <w:sdtEndPr/>
        <w:sdtContent>
          <w:r w:rsidR="00743E44" w:rsidRPr="0042331C">
            <w:rPr>
              <w:rFonts w:ascii="Arial" w:eastAsia="Arial" w:hAnsi="Arial" w:cs="Arial"/>
              <w:b/>
              <w:sz w:val="20"/>
              <w:szCs w:val="20"/>
              <w:vertAlign w:val="superscript"/>
            </w:rPr>
            <w:fldChar w:fldCharType="begin"/>
          </w:r>
          <w:r w:rsidR="00D36B93" w:rsidRPr="0042331C">
            <w:rPr>
              <w:rFonts w:ascii="Arial" w:eastAsia="Arial" w:hAnsi="Arial" w:cs="Arial"/>
              <w:b/>
              <w:sz w:val="20"/>
              <w:szCs w:val="20"/>
              <w:vertAlign w:val="superscript"/>
            </w:rPr>
            <w:instrText xml:space="preserve"> CITATION EPAR \l 3082 </w:instrText>
          </w:r>
          <w:r w:rsidR="00743E44" w:rsidRPr="0042331C">
            <w:rPr>
              <w:rFonts w:ascii="Arial" w:eastAsia="Arial" w:hAnsi="Arial" w:cs="Arial"/>
              <w:b/>
              <w:sz w:val="20"/>
              <w:szCs w:val="20"/>
              <w:vertAlign w:val="superscript"/>
            </w:rPr>
            <w:fldChar w:fldCharType="separate"/>
          </w:r>
          <w:r w:rsidR="00C560F5">
            <w:rPr>
              <w:rFonts w:ascii="Arial" w:eastAsia="Arial" w:hAnsi="Arial" w:cs="Arial"/>
              <w:b/>
              <w:noProof/>
              <w:sz w:val="20"/>
              <w:szCs w:val="20"/>
              <w:vertAlign w:val="superscript"/>
            </w:rPr>
            <w:t xml:space="preserve"> </w:t>
          </w:r>
          <w:r w:rsidR="00C560F5" w:rsidRPr="00C560F5">
            <w:rPr>
              <w:rFonts w:ascii="Arial" w:eastAsia="Arial" w:hAnsi="Arial" w:cs="Arial"/>
              <w:noProof/>
              <w:sz w:val="20"/>
              <w:szCs w:val="20"/>
            </w:rPr>
            <w:t>(2)</w:t>
          </w:r>
          <w:r w:rsidR="00743E44" w:rsidRPr="0042331C">
            <w:rPr>
              <w:rFonts w:ascii="Arial" w:eastAsia="Arial" w:hAnsi="Arial" w:cs="Arial"/>
              <w:b/>
              <w:sz w:val="20"/>
              <w:szCs w:val="20"/>
              <w:vertAlign w:val="superscript"/>
            </w:rPr>
            <w:fldChar w:fldCharType="end"/>
          </w:r>
        </w:sdtContent>
      </w:sdt>
    </w:p>
    <w:p w:rsidR="00140029" w:rsidRDefault="00140029" w:rsidP="00B37D4D">
      <w:pPr>
        <w:keepNext/>
        <w:pBdr>
          <w:top w:val="nil"/>
          <w:left w:val="nil"/>
          <w:bottom w:val="nil"/>
          <w:right w:val="nil"/>
          <w:between w:val="nil"/>
        </w:pBdr>
        <w:shd w:val="clear" w:color="auto" w:fill="FFFFFF"/>
        <w:spacing w:line="240" w:lineRule="auto"/>
        <w:ind w:left="0" w:hanging="2"/>
        <w:jc w:val="center"/>
        <w:rPr>
          <w:rFonts w:ascii="Arial" w:eastAsia="Arial" w:hAnsi="Arial" w:cs="Arial"/>
          <w:sz w:val="20"/>
          <w:szCs w:val="20"/>
        </w:rPr>
      </w:pPr>
    </w:p>
    <w:p w:rsidR="00140029" w:rsidRDefault="003A6FCC" w:rsidP="00B37D4D">
      <w:pPr>
        <w:keepNext/>
        <w:pBdr>
          <w:top w:val="nil"/>
          <w:left w:val="nil"/>
          <w:bottom w:val="nil"/>
          <w:right w:val="nil"/>
          <w:between w:val="nil"/>
        </w:pBdr>
        <w:shd w:val="clear" w:color="auto" w:fill="FFFFFF"/>
        <w:spacing w:line="240" w:lineRule="auto"/>
        <w:ind w:left="0" w:hanging="2"/>
        <w:rPr>
          <w:rFonts w:ascii="Arial" w:eastAsia="Arial" w:hAnsi="Arial" w:cs="Arial"/>
          <w:sz w:val="20"/>
          <w:szCs w:val="20"/>
        </w:rPr>
      </w:pPr>
      <w:r>
        <w:rPr>
          <w:rFonts w:ascii="Arial" w:eastAsia="Arial" w:hAnsi="Arial" w:cs="Arial"/>
          <w:sz w:val="20"/>
          <w:szCs w:val="20"/>
        </w:rPr>
        <w:t xml:space="preserve">A continuación se incluye </w:t>
      </w:r>
      <w:r w:rsidR="00FA0125">
        <w:rPr>
          <w:rFonts w:ascii="Arial" w:eastAsia="Arial" w:hAnsi="Arial" w:cs="Arial"/>
          <w:sz w:val="20"/>
          <w:szCs w:val="20"/>
        </w:rPr>
        <w:t>la figura 11</w:t>
      </w:r>
      <w:r w:rsidR="00140029">
        <w:rPr>
          <w:rFonts w:ascii="Arial" w:eastAsia="Arial" w:hAnsi="Arial" w:cs="Arial"/>
          <w:sz w:val="20"/>
          <w:szCs w:val="20"/>
        </w:rPr>
        <w:t xml:space="preserve"> extraída del EPAR donde se detallan los EA atribuibles a Avapritinib</w:t>
      </w:r>
    </w:p>
    <w:p w:rsidR="00140029" w:rsidRDefault="00140029" w:rsidP="00B37D4D">
      <w:pPr>
        <w:keepNext/>
        <w:pBdr>
          <w:top w:val="nil"/>
          <w:left w:val="nil"/>
          <w:bottom w:val="nil"/>
          <w:right w:val="nil"/>
          <w:between w:val="nil"/>
        </w:pBdr>
        <w:shd w:val="clear" w:color="auto" w:fill="FFFFFF"/>
        <w:spacing w:line="240" w:lineRule="auto"/>
        <w:ind w:left="0" w:hanging="2"/>
        <w:rPr>
          <w:rFonts w:ascii="Arial" w:eastAsia="Arial" w:hAnsi="Arial" w:cs="Arial"/>
          <w:sz w:val="20"/>
          <w:szCs w:val="20"/>
        </w:rPr>
      </w:pPr>
    </w:p>
    <w:p w:rsidR="00140029" w:rsidRPr="00D36B93" w:rsidRDefault="00140029" w:rsidP="00862AF4">
      <w:pPr>
        <w:keepNext/>
        <w:pBdr>
          <w:top w:val="nil"/>
          <w:left w:val="nil"/>
          <w:bottom w:val="nil"/>
          <w:right w:val="nil"/>
          <w:between w:val="nil"/>
        </w:pBdr>
        <w:shd w:val="clear" w:color="auto" w:fill="FFFFFF"/>
        <w:spacing w:line="240" w:lineRule="auto"/>
        <w:ind w:left="0" w:hanging="2"/>
        <w:jc w:val="right"/>
        <w:rPr>
          <w:rFonts w:ascii="Arial" w:eastAsia="Arial" w:hAnsi="Arial" w:cs="Arial"/>
          <w:sz w:val="20"/>
          <w:szCs w:val="20"/>
        </w:rPr>
      </w:pPr>
      <w:r>
        <w:rPr>
          <w:noProof/>
        </w:rPr>
        <w:lastRenderedPageBreak/>
        <w:drawing>
          <wp:inline distT="0" distB="0" distL="0" distR="0">
            <wp:extent cx="5153025" cy="3559819"/>
            <wp:effectExtent l="0" t="0" r="0" b="2540"/>
            <wp:docPr id="10" name="Imagen 10"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Texto&#10;&#10;Descripción generada automáticamente"/>
                    <pic:cNvPicPr/>
                  </pic:nvPicPr>
                  <pic:blipFill rotWithShape="1">
                    <a:blip r:embed="rId26" cstate="print"/>
                    <a:srcRect l="32098" t="30513" r="32372" b="25855"/>
                    <a:stretch/>
                  </pic:blipFill>
                  <pic:spPr bwMode="auto">
                    <a:xfrm>
                      <a:off x="0" y="0"/>
                      <a:ext cx="5159181" cy="3564072"/>
                    </a:xfrm>
                    <a:prstGeom prst="rect">
                      <a:avLst/>
                    </a:prstGeom>
                    <a:ln>
                      <a:noFill/>
                    </a:ln>
                    <a:extLst>
                      <a:ext uri="{53640926-AAD7-44D8-BBD7-CCE9431645EC}">
                        <a14:shadowObscured xmlns:a14="http://schemas.microsoft.com/office/drawing/2010/main"/>
                      </a:ext>
                    </a:extLst>
                  </pic:spPr>
                </pic:pic>
              </a:graphicData>
            </a:graphic>
          </wp:inline>
        </w:drawing>
      </w:r>
    </w:p>
    <w:p w:rsidR="00D36B93" w:rsidRPr="003C3939" w:rsidRDefault="00B70A68" w:rsidP="00B37D4D">
      <w:pPr>
        <w:keepNext/>
        <w:pBdr>
          <w:top w:val="nil"/>
          <w:left w:val="nil"/>
          <w:bottom w:val="nil"/>
          <w:right w:val="nil"/>
          <w:between w:val="nil"/>
        </w:pBdr>
        <w:shd w:val="clear" w:color="auto" w:fill="FFFFFF"/>
        <w:spacing w:line="240" w:lineRule="auto"/>
        <w:ind w:left="0" w:hanging="2"/>
        <w:jc w:val="both"/>
        <w:rPr>
          <w:rFonts w:ascii="Cambria" w:eastAsia="Cambria" w:hAnsi="Cambria" w:cs="Cambria"/>
          <w:b/>
          <w:i/>
          <w:color w:val="000000"/>
          <w:sz w:val="20"/>
          <w:szCs w:val="20"/>
        </w:rPr>
      </w:pPr>
      <w:r w:rsidRPr="003C3939">
        <w:rPr>
          <w:rFonts w:ascii="Arial" w:eastAsia="Arial" w:hAnsi="Arial" w:cs="Arial"/>
          <w:b/>
          <w:sz w:val="20"/>
          <w:szCs w:val="20"/>
        </w:rPr>
        <w:t>Figura 11</w:t>
      </w:r>
      <w:r w:rsidR="00140029" w:rsidRPr="003C3939">
        <w:rPr>
          <w:rFonts w:ascii="Arial" w:eastAsia="Arial" w:hAnsi="Arial" w:cs="Arial"/>
          <w:b/>
          <w:sz w:val="20"/>
          <w:szCs w:val="20"/>
        </w:rPr>
        <w:t>.  EA grado 3≥ que se dieron en más de un 2% de los pacientes (</w:t>
      </w:r>
      <w:r w:rsidR="00140029" w:rsidRPr="0042331C">
        <w:rPr>
          <w:rFonts w:ascii="Arial" w:eastAsia="Arial" w:hAnsi="Arial" w:cs="Arial"/>
          <w:b/>
          <w:i/>
          <w:sz w:val="20"/>
          <w:szCs w:val="20"/>
        </w:rPr>
        <w:t>safety population</w:t>
      </w:r>
      <w:r w:rsidR="00140029" w:rsidRPr="003C3939">
        <w:rPr>
          <w:rFonts w:ascii="Arial" w:eastAsia="Arial" w:hAnsi="Arial" w:cs="Arial"/>
          <w:b/>
          <w:sz w:val="20"/>
          <w:szCs w:val="20"/>
        </w:rPr>
        <w:t>)</w:t>
      </w:r>
      <w:sdt>
        <w:sdtPr>
          <w:rPr>
            <w:rFonts w:ascii="Arial" w:eastAsia="Arial" w:hAnsi="Arial" w:cs="Arial"/>
            <w:b/>
            <w:sz w:val="20"/>
            <w:szCs w:val="20"/>
            <w:vertAlign w:val="superscript"/>
          </w:rPr>
          <w:id w:val="-54093695"/>
          <w:citation/>
        </w:sdtPr>
        <w:sdtEndPr/>
        <w:sdtContent>
          <w:r w:rsidR="00743E44" w:rsidRPr="0042331C">
            <w:rPr>
              <w:rFonts w:ascii="Arial" w:eastAsia="Arial" w:hAnsi="Arial" w:cs="Arial"/>
              <w:b/>
              <w:sz w:val="20"/>
              <w:szCs w:val="20"/>
              <w:vertAlign w:val="superscript"/>
            </w:rPr>
            <w:fldChar w:fldCharType="begin"/>
          </w:r>
          <w:r w:rsidR="00140029" w:rsidRPr="0042331C">
            <w:rPr>
              <w:rFonts w:ascii="Arial" w:eastAsia="Arial" w:hAnsi="Arial" w:cs="Arial"/>
              <w:b/>
              <w:sz w:val="20"/>
              <w:szCs w:val="20"/>
              <w:vertAlign w:val="superscript"/>
            </w:rPr>
            <w:instrText xml:space="preserve"> CITATION EPAR \l 3082 </w:instrText>
          </w:r>
          <w:r w:rsidR="00743E44" w:rsidRPr="0042331C">
            <w:rPr>
              <w:rFonts w:ascii="Arial" w:eastAsia="Arial" w:hAnsi="Arial" w:cs="Arial"/>
              <w:b/>
              <w:sz w:val="20"/>
              <w:szCs w:val="20"/>
              <w:vertAlign w:val="superscript"/>
            </w:rPr>
            <w:fldChar w:fldCharType="separate"/>
          </w:r>
          <w:r w:rsidR="00C560F5">
            <w:rPr>
              <w:rFonts w:ascii="Arial" w:eastAsia="Arial" w:hAnsi="Arial" w:cs="Arial"/>
              <w:b/>
              <w:noProof/>
              <w:sz w:val="20"/>
              <w:szCs w:val="20"/>
              <w:vertAlign w:val="superscript"/>
            </w:rPr>
            <w:t xml:space="preserve"> </w:t>
          </w:r>
          <w:r w:rsidR="00C560F5" w:rsidRPr="00C560F5">
            <w:rPr>
              <w:rFonts w:ascii="Arial" w:eastAsia="Arial" w:hAnsi="Arial" w:cs="Arial"/>
              <w:noProof/>
              <w:sz w:val="20"/>
              <w:szCs w:val="20"/>
            </w:rPr>
            <w:t>(2)</w:t>
          </w:r>
          <w:r w:rsidR="00743E44" w:rsidRPr="0042331C">
            <w:rPr>
              <w:rFonts w:ascii="Arial" w:eastAsia="Arial" w:hAnsi="Arial" w:cs="Arial"/>
              <w:b/>
              <w:sz w:val="20"/>
              <w:szCs w:val="20"/>
              <w:vertAlign w:val="superscript"/>
            </w:rPr>
            <w:fldChar w:fldCharType="end"/>
          </w:r>
        </w:sdtContent>
      </w:sdt>
      <w:r w:rsidR="00140029" w:rsidRPr="003C3939">
        <w:rPr>
          <w:rFonts w:ascii="Cambria" w:eastAsia="Cambria" w:hAnsi="Cambria" w:cs="Cambria"/>
          <w:b/>
          <w:i/>
          <w:color w:val="000000"/>
          <w:sz w:val="20"/>
          <w:szCs w:val="20"/>
        </w:rPr>
        <w:t xml:space="preserve"> </w:t>
      </w:r>
    </w:p>
    <w:p w:rsidR="008E1F23" w:rsidRDefault="008E1F23" w:rsidP="00B37D4D">
      <w:pPr>
        <w:keepNext/>
        <w:pBdr>
          <w:top w:val="nil"/>
          <w:left w:val="nil"/>
          <w:bottom w:val="nil"/>
          <w:right w:val="nil"/>
          <w:between w:val="nil"/>
        </w:pBdr>
        <w:shd w:val="clear" w:color="auto" w:fill="FFFFFF"/>
        <w:spacing w:line="240" w:lineRule="auto"/>
        <w:ind w:left="0" w:hanging="2"/>
        <w:jc w:val="both"/>
        <w:rPr>
          <w:rFonts w:ascii="Cambria" w:eastAsia="Cambria" w:hAnsi="Cambria" w:cs="Cambria"/>
          <w:i/>
          <w:color w:val="000000"/>
          <w:sz w:val="20"/>
          <w:szCs w:val="20"/>
        </w:rPr>
      </w:pPr>
    </w:p>
    <w:p w:rsidR="00A3401E" w:rsidRDefault="008E1F23" w:rsidP="00B37D4D">
      <w:pPr>
        <w:keepNext/>
        <w:pBdr>
          <w:top w:val="nil"/>
          <w:left w:val="nil"/>
          <w:bottom w:val="nil"/>
          <w:right w:val="nil"/>
          <w:between w:val="nil"/>
        </w:pBdr>
        <w:shd w:val="clear" w:color="auto" w:fill="FFFFFF"/>
        <w:spacing w:line="240" w:lineRule="auto"/>
        <w:ind w:left="0" w:hanging="2"/>
        <w:jc w:val="both"/>
        <w:rPr>
          <w:rFonts w:ascii="Arial" w:eastAsia="Cambria" w:hAnsi="Arial" w:cs="Arial"/>
          <w:iCs/>
          <w:color w:val="000000"/>
          <w:sz w:val="20"/>
          <w:szCs w:val="20"/>
        </w:rPr>
      </w:pPr>
      <w:r>
        <w:rPr>
          <w:rFonts w:ascii="Arial" w:eastAsia="Cambria" w:hAnsi="Arial" w:cs="Arial"/>
          <w:iCs/>
          <w:color w:val="000000"/>
          <w:sz w:val="20"/>
          <w:szCs w:val="20"/>
        </w:rPr>
        <w:t>Se dieron, además otros efectos adversos graves en un menor número de pacientes. Estos fueron</w:t>
      </w:r>
      <w:r w:rsidR="00F32149">
        <w:rPr>
          <w:rFonts w:ascii="Arial" w:eastAsia="Cambria" w:hAnsi="Arial" w:cs="Arial"/>
          <w:iCs/>
          <w:color w:val="000000"/>
          <w:sz w:val="20"/>
          <w:szCs w:val="20"/>
        </w:rPr>
        <w:t xml:space="preserve"> hematoma subdural 3 (2</w:t>
      </w:r>
      <w:r w:rsidR="0042331C">
        <w:rPr>
          <w:rFonts w:ascii="Arial" w:eastAsia="Cambria" w:hAnsi="Arial" w:cs="Arial"/>
          <w:iCs/>
          <w:color w:val="000000"/>
          <w:sz w:val="20"/>
          <w:szCs w:val="20"/>
        </w:rPr>
        <w:t>,4%), anemia 2 (1,</w:t>
      </w:r>
      <w:r w:rsidR="00F32149">
        <w:rPr>
          <w:rFonts w:ascii="Arial" w:eastAsia="Cambria" w:hAnsi="Arial" w:cs="Arial"/>
          <w:iCs/>
          <w:color w:val="000000"/>
          <w:sz w:val="20"/>
          <w:szCs w:val="20"/>
        </w:rPr>
        <w:t>6%) y hemorragia 2 (1</w:t>
      </w:r>
      <w:r w:rsidR="0042331C">
        <w:rPr>
          <w:rFonts w:ascii="Arial" w:eastAsia="Cambria" w:hAnsi="Arial" w:cs="Arial"/>
          <w:iCs/>
          <w:color w:val="000000"/>
          <w:sz w:val="20"/>
          <w:szCs w:val="20"/>
        </w:rPr>
        <w:t>,</w:t>
      </w:r>
      <w:r w:rsidR="00F32149">
        <w:rPr>
          <w:rFonts w:ascii="Arial" w:eastAsia="Cambria" w:hAnsi="Arial" w:cs="Arial"/>
          <w:iCs/>
          <w:color w:val="000000"/>
          <w:sz w:val="20"/>
          <w:szCs w:val="20"/>
        </w:rPr>
        <w:t>6%).</w:t>
      </w:r>
    </w:p>
    <w:p w:rsidR="00A3401E" w:rsidRDefault="00A3401E" w:rsidP="00B37D4D">
      <w:pPr>
        <w:keepNext/>
        <w:pBdr>
          <w:top w:val="nil"/>
          <w:left w:val="nil"/>
          <w:bottom w:val="nil"/>
          <w:right w:val="nil"/>
          <w:between w:val="nil"/>
        </w:pBdr>
        <w:shd w:val="clear" w:color="auto" w:fill="FFFFFF"/>
        <w:spacing w:line="240" w:lineRule="auto"/>
        <w:ind w:left="0" w:hanging="2"/>
        <w:jc w:val="both"/>
        <w:rPr>
          <w:rFonts w:ascii="Arial" w:eastAsia="Cambria" w:hAnsi="Arial" w:cs="Arial"/>
          <w:iCs/>
          <w:color w:val="000000"/>
          <w:sz w:val="20"/>
          <w:szCs w:val="20"/>
        </w:rPr>
      </w:pPr>
    </w:p>
    <w:p w:rsidR="00091DAD" w:rsidRDefault="00A3401E" w:rsidP="00B37D4D">
      <w:pPr>
        <w:keepNext/>
        <w:pBdr>
          <w:top w:val="nil"/>
          <w:left w:val="nil"/>
          <w:bottom w:val="nil"/>
          <w:right w:val="nil"/>
          <w:between w:val="nil"/>
        </w:pBdr>
        <w:shd w:val="clear" w:color="auto" w:fill="FFFFFF"/>
        <w:spacing w:line="240" w:lineRule="auto"/>
        <w:ind w:left="0" w:hanging="2"/>
        <w:jc w:val="both"/>
        <w:rPr>
          <w:rFonts w:ascii="Arial" w:eastAsia="Cambria" w:hAnsi="Arial" w:cs="Arial"/>
          <w:iCs/>
          <w:color w:val="000000"/>
          <w:sz w:val="20"/>
          <w:szCs w:val="20"/>
        </w:rPr>
      </w:pPr>
      <w:r>
        <w:rPr>
          <w:rFonts w:ascii="Arial" w:eastAsia="Cambria" w:hAnsi="Arial" w:cs="Arial"/>
          <w:iCs/>
          <w:color w:val="000000"/>
          <w:sz w:val="20"/>
          <w:szCs w:val="20"/>
        </w:rPr>
        <w:t xml:space="preserve">Se realizaron análisis por </w:t>
      </w:r>
      <w:r w:rsidR="00B70A68">
        <w:rPr>
          <w:rFonts w:ascii="Arial" w:eastAsia="Cambria" w:hAnsi="Arial" w:cs="Arial"/>
          <w:iCs/>
          <w:color w:val="000000"/>
          <w:sz w:val="20"/>
          <w:szCs w:val="20"/>
        </w:rPr>
        <w:t>subgrupos</w:t>
      </w:r>
      <w:r>
        <w:rPr>
          <w:rFonts w:ascii="Arial" w:eastAsia="Cambria" w:hAnsi="Arial" w:cs="Arial"/>
          <w:iCs/>
          <w:color w:val="000000"/>
          <w:sz w:val="20"/>
          <w:szCs w:val="20"/>
        </w:rPr>
        <w:t xml:space="preserve"> de EA y EA atribuibles al fármaco </w:t>
      </w:r>
      <w:sdt>
        <w:sdtPr>
          <w:rPr>
            <w:rFonts w:ascii="Arial" w:eastAsia="Cambria" w:hAnsi="Arial" w:cs="Arial"/>
            <w:iCs/>
            <w:color w:val="000000"/>
            <w:sz w:val="20"/>
            <w:szCs w:val="20"/>
            <w:vertAlign w:val="superscript"/>
          </w:rPr>
          <w:id w:val="759098652"/>
          <w:citation/>
        </w:sdtPr>
        <w:sdtEndPr/>
        <w:sdtContent>
          <w:r w:rsidR="00743E44" w:rsidRPr="0042331C">
            <w:rPr>
              <w:rFonts w:ascii="Arial" w:eastAsia="Cambria" w:hAnsi="Arial" w:cs="Arial"/>
              <w:iCs/>
              <w:color w:val="000000"/>
              <w:sz w:val="20"/>
              <w:szCs w:val="20"/>
              <w:vertAlign w:val="superscript"/>
            </w:rPr>
            <w:fldChar w:fldCharType="begin"/>
          </w:r>
          <w:r w:rsidRPr="0042331C">
            <w:rPr>
              <w:rFonts w:ascii="Arial" w:eastAsia="Cambria" w:hAnsi="Arial" w:cs="Arial"/>
              <w:iCs/>
              <w:color w:val="000000"/>
              <w:sz w:val="20"/>
              <w:szCs w:val="20"/>
              <w:vertAlign w:val="superscript"/>
            </w:rPr>
            <w:instrText xml:space="preserve"> CITATION EPAR \l 3082 </w:instrText>
          </w:r>
          <w:r w:rsidR="00743E44" w:rsidRPr="0042331C">
            <w:rPr>
              <w:rFonts w:ascii="Arial" w:eastAsia="Cambria" w:hAnsi="Arial" w:cs="Arial"/>
              <w:iCs/>
              <w:color w:val="000000"/>
              <w:sz w:val="20"/>
              <w:szCs w:val="20"/>
              <w:vertAlign w:val="superscript"/>
            </w:rPr>
            <w:fldChar w:fldCharType="separate"/>
          </w:r>
          <w:r w:rsidR="00C560F5" w:rsidRPr="00C560F5">
            <w:rPr>
              <w:rFonts w:ascii="Arial" w:eastAsia="Cambria" w:hAnsi="Arial" w:cs="Arial"/>
              <w:noProof/>
              <w:color w:val="000000"/>
              <w:sz w:val="20"/>
              <w:szCs w:val="20"/>
            </w:rPr>
            <w:t>(2)</w:t>
          </w:r>
          <w:r w:rsidR="00743E44" w:rsidRPr="0042331C">
            <w:rPr>
              <w:rFonts w:ascii="Arial" w:eastAsia="Cambria" w:hAnsi="Arial" w:cs="Arial"/>
              <w:iCs/>
              <w:color w:val="000000"/>
              <w:sz w:val="20"/>
              <w:szCs w:val="20"/>
              <w:vertAlign w:val="superscript"/>
            </w:rPr>
            <w:fldChar w:fldCharType="end"/>
          </w:r>
        </w:sdtContent>
      </w:sdt>
      <w:r>
        <w:rPr>
          <w:rFonts w:ascii="Arial" w:eastAsia="Cambria" w:hAnsi="Arial" w:cs="Arial"/>
          <w:iCs/>
          <w:color w:val="000000"/>
          <w:sz w:val="20"/>
          <w:szCs w:val="20"/>
        </w:rPr>
        <w:t xml:space="preserve">. Hay que tener en cuenta no obstante el pequeño número de muestra de los subgrupos. En cuanto a la edad no se observaron diferencias significativas entre el subgrupo de mayores de 65 años y el de menores para los EA grado 3≥. Sí fue mayor el </w:t>
      </w:r>
      <w:r w:rsidR="0042331C">
        <w:rPr>
          <w:rFonts w:ascii="Arial" w:eastAsia="Cambria" w:hAnsi="Arial" w:cs="Arial"/>
          <w:iCs/>
          <w:color w:val="000000"/>
          <w:sz w:val="20"/>
          <w:szCs w:val="20"/>
        </w:rPr>
        <w:t xml:space="preserve">porcentaje </w:t>
      </w:r>
      <w:r>
        <w:rPr>
          <w:rFonts w:ascii="Arial" w:eastAsia="Cambria" w:hAnsi="Arial" w:cs="Arial"/>
          <w:iCs/>
          <w:color w:val="000000"/>
          <w:sz w:val="20"/>
          <w:szCs w:val="20"/>
        </w:rPr>
        <w:t>de EA graves en los mayores (43% vs 29</w:t>
      </w:r>
      <w:r w:rsidR="0042331C">
        <w:rPr>
          <w:rFonts w:ascii="Arial" w:eastAsia="Cambria" w:hAnsi="Arial" w:cs="Arial"/>
          <w:iCs/>
          <w:color w:val="000000"/>
          <w:sz w:val="20"/>
          <w:szCs w:val="20"/>
        </w:rPr>
        <w:t>,</w:t>
      </w:r>
      <w:r>
        <w:rPr>
          <w:rFonts w:ascii="Arial" w:eastAsia="Cambria" w:hAnsi="Arial" w:cs="Arial"/>
          <w:iCs/>
          <w:color w:val="000000"/>
          <w:sz w:val="20"/>
          <w:szCs w:val="20"/>
        </w:rPr>
        <w:t xml:space="preserve">8%). </w:t>
      </w:r>
      <w:r w:rsidR="00091DAD">
        <w:rPr>
          <w:rFonts w:ascii="Arial" w:eastAsia="Cambria" w:hAnsi="Arial" w:cs="Arial"/>
          <w:iCs/>
          <w:color w:val="000000"/>
          <w:sz w:val="20"/>
          <w:szCs w:val="20"/>
        </w:rPr>
        <w:t>No se encontraron diferencias en función de haber recibido midostaurina previamente para EA grado 3≥, pero sí fueron superiores los EA graves en pacientes con midostaurina previa (43</w:t>
      </w:r>
      <w:r w:rsidR="0042331C">
        <w:rPr>
          <w:rFonts w:ascii="Arial" w:eastAsia="Cambria" w:hAnsi="Arial" w:cs="Arial"/>
          <w:iCs/>
          <w:color w:val="000000"/>
          <w:sz w:val="20"/>
          <w:szCs w:val="20"/>
        </w:rPr>
        <w:t>,</w:t>
      </w:r>
      <w:r w:rsidR="00091DAD">
        <w:rPr>
          <w:rFonts w:ascii="Arial" w:eastAsia="Cambria" w:hAnsi="Arial" w:cs="Arial"/>
          <w:iCs/>
          <w:color w:val="000000"/>
          <w:sz w:val="20"/>
          <w:szCs w:val="20"/>
        </w:rPr>
        <w:t>4% vs 33</w:t>
      </w:r>
      <w:r w:rsidR="0042331C">
        <w:rPr>
          <w:rFonts w:ascii="Arial" w:eastAsia="Cambria" w:hAnsi="Arial" w:cs="Arial"/>
          <w:iCs/>
          <w:color w:val="000000"/>
          <w:sz w:val="20"/>
          <w:szCs w:val="20"/>
        </w:rPr>
        <w:t>,</w:t>
      </w:r>
      <w:r w:rsidR="00091DAD">
        <w:rPr>
          <w:rFonts w:ascii="Arial" w:eastAsia="Cambria" w:hAnsi="Arial" w:cs="Arial"/>
          <w:iCs/>
          <w:color w:val="000000"/>
          <w:sz w:val="20"/>
          <w:szCs w:val="20"/>
        </w:rPr>
        <w:t>3%).</w:t>
      </w:r>
    </w:p>
    <w:p w:rsidR="008E1F23" w:rsidRPr="008E1F23" w:rsidRDefault="00091DAD" w:rsidP="00B37D4D">
      <w:pPr>
        <w:keepNext/>
        <w:pBdr>
          <w:top w:val="nil"/>
          <w:left w:val="nil"/>
          <w:bottom w:val="nil"/>
          <w:right w:val="nil"/>
          <w:between w:val="nil"/>
        </w:pBdr>
        <w:shd w:val="clear" w:color="auto" w:fill="FFFFFF"/>
        <w:spacing w:line="240" w:lineRule="auto"/>
        <w:ind w:left="0" w:hanging="2"/>
        <w:jc w:val="both"/>
        <w:rPr>
          <w:rFonts w:ascii="Arial" w:eastAsia="Cambria" w:hAnsi="Arial" w:cs="Arial"/>
          <w:iCs/>
          <w:color w:val="000000"/>
          <w:sz w:val="20"/>
          <w:szCs w:val="20"/>
        </w:rPr>
      </w:pPr>
      <w:r>
        <w:rPr>
          <w:rFonts w:ascii="Arial" w:eastAsia="Cambria" w:hAnsi="Arial" w:cs="Arial"/>
          <w:iCs/>
          <w:color w:val="000000"/>
          <w:sz w:val="20"/>
          <w:szCs w:val="20"/>
        </w:rPr>
        <w:t>En cuanto al género, se dieron más EA grado 3 o superior en mujeres (82</w:t>
      </w:r>
      <w:r w:rsidR="0042331C">
        <w:rPr>
          <w:rFonts w:ascii="Arial" w:eastAsia="Cambria" w:hAnsi="Arial" w:cs="Arial"/>
          <w:iCs/>
          <w:color w:val="000000"/>
          <w:sz w:val="20"/>
          <w:szCs w:val="20"/>
        </w:rPr>
        <w:t>,</w:t>
      </w:r>
      <w:r>
        <w:rPr>
          <w:rFonts w:ascii="Arial" w:eastAsia="Cambria" w:hAnsi="Arial" w:cs="Arial"/>
          <w:iCs/>
          <w:color w:val="000000"/>
          <w:sz w:val="20"/>
          <w:szCs w:val="20"/>
        </w:rPr>
        <w:t>7% vs 70</w:t>
      </w:r>
      <w:r w:rsidR="0042331C">
        <w:rPr>
          <w:rFonts w:ascii="Arial" w:eastAsia="Cambria" w:hAnsi="Arial" w:cs="Arial"/>
          <w:iCs/>
          <w:color w:val="000000"/>
          <w:sz w:val="20"/>
          <w:szCs w:val="20"/>
        </w:rPr>
        <w:t>,</w:t>
      </w:r>
      <w:r>
        <w:rPr>
          <w:rFonts w:ascii="Arial" w:eastAsia="Cambria" w:hAnsi="Arial" w:cs="Arial"/>
          <w:iCs/>
          <w:color w:val="000000"/>
          <w:sz w:val="20"/>
          <w:szCs w:val="20"/>
        </w:rPr>
        <w:t>3%), debido sobre todo a la neutropenia (17</w:t>
      </w:r>
      <w:r w:rsidR="0042331C">
        <w:rPr>
          <w:rFonts w:ascii="Arial" w:eastAsia="Cambria" w:hAnsi="Arial" w:cs="Arial"/>
          <w:iCs/>
          <w:color w:val="000000"/>
          <w:sz w:val="20"/>
          <w:szCs w:val="20"/>
        </w:rPr>
        <w:t>,</w:t>
      </w:r>
      <w:r>
        <w:rPr>
          <w:rFonts w:ascii="Arial" w:eastAsia="Cambria" w:hAnsi="Arial" w:cs="Arial"/>
          <w:iCs/>
          <w:color w:val="000000"/>
          <w:sz w:val="20"/>
          <w:szCs w:val="20"/>
        </w:rPr>
        <w:t>3% en mujeres, 1</w:t>
      </w:r>
      <w:r w:rsidR="0042331C">
        <w:rPr>
          <w:rFonts w:ascii="Arial" w:eastAsia="Cambria" w:hAnsi="Arial" w:cs="Arial"/>
          <w:iCs/>
          <w:color w:val="000000"/>
          <w:sz w:val="20"/>
          <w:szCs w:val="20"/>
        </w:rPr>
        <w:t>,</w:t>
      </w:r>
      <w:r>
        <w:rPr>
          <w:rFonts w:ascii="Arial" w:eastAsia="Cambria" w:hAnsi="Arial" w:cs="Arial"/>
          <w:iCs/>
          <w:color w:val="000000"/>
          <w:sz w:val="20"/>
          <w:szCs w:val="20"/>
        </w:rPr>
        <w:t xml:space="preserve">4% en hombres). </w:t>
      </w:r>
      <w:r w:rsidR="008E1F23">
        <w:rPr>
          <w:rFonts w:ascii="Arial" w:eastAsia="Cambria" w:hAnsi="Arial" w:cs="Arial"/>
          <w:iCs/>
          <w:color w:val="000000"/>
          <w:sz w:val="20"/>
          <w:szCs w:val="20"/>
        </w:rPr>
        <w:t xml:space="preserve"> </w:t>
      </w:r>
    </w:p>
    <w:p w:rsidR="00140029" w:rsidRDefault="00140029" w:rsidP="00B37D4D">
      <w:pPr>
        <w:keepNext/>
        <w:pBdr>
          <w:top w:val="nil"/>
          <w:left w:val="nil"/>
          <w:bottom w:val="nil"/>
          <w:right w:val="nil"/>
          <w:between w:val="nil"/>
        </w:pBdr>
        <w:shd w:val="clear" w:color="auto" w:fill="FFFFFF"/>
        <w:spacing w:line="240" w:lineRule="auto"/>
        <w:ind w:left="0" w:hanging="2"/>
        <w:jc w:val="both"/>
        <w:rPr>
          <w:rFonts w:ascii="Cambria" w:eastAsia="Cambria" w:hAnsi="Cambria" w:cs="Cambria"/>
          <w:i/>
          <w:color w:val="000000"/>
          <w:sz w:val="20"/>
          <w:szCs w:val="20"/>
        </w:rPr>
      </w:pPr>
    </w:p>
    <w:p w:rsidR="00345539" w:rsidRDefault="00345539" w:rsidP="00345539">
      <w:pPr>
        <w:keepNext/>
        <w:pBdr>
          <w:top w:val="single" w:sz="4" w:space="0"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18"/>
          <w:szCs w:val="18"/>
        </w:rPr>
        <w:t>6.2 Ensayos Clínicos comparativos</w:t>
      </w:r>
      <w:r>
        <w:rPr>
          <w:rFonts w:ascii="Cambria" w:eastAsia="Cambria" w:hAnsi="Cambria" w:cs="Cambria"/>
          <w:b/>
          <w:i/>
          <w:color w:val="000000"/>
          <w:sz w:val="20"/>
          <w:szCs w:val="20"/>
        </w:rPr>
        <w:t xml:space="preserve">. </w:t>
      </w:r>
    </w:p>
    <w:p w:rsidR="00345539" w:rsidRDefault="00345539">
      <w:pPr>
        <w:keepNext/>
        <w:pBdr>
          <w:top w:val="nil"/>
          <w:left w:val="nil"/>
          <w:bottom w:val="nil"/>
          <w:right w:val="nil"/>
          <w:between w:val="nil"/>
        </w:pBdr>
        <w:shd w:val="clear" w:color="auto" w:fill="FFFFFF"/>
        <w:spacing w:line="240" w:lineRule="auto"/>
        <w:ind w:left="0" w:hanging="2"/>
        <w:jc w:val="both"/>
        <w:rPr>
          <w:rFonts w:ascii="Cambria" w:eastAsia="Cambria" w:hAnsi="Cambria" w:cs="Cambria"/>
          <w:i/>
          <w:color w:val="000000"/>
          <w:sz w:val="20"/>
          <w:szCs w:val="20"/>
        </w:rPr>
      </w:pPr>
    </w:p>
    <w:p w:rsidR="00B74082" w:rsidRPr="003C3939" w:rsidRDefault="00140029">
      <w:pPr>
        <w:ind w:left="0" w:hanging="2"/>
        <w:rPr>
          <w:rFonts w:ascii="Arial" w:eastAsia="Arial" w:hAnsi="Arial" w:cs="Arial"/>
          <w:iCs/>
          <w:sz w:val="16"/>
          <w:szCs w:val="16"/>
        </w:rPr>
      </w:pPr>
      <w:r w:rsidRPr="003C3939">
        <w:rPr>
          <w:rFonts w:ascii="Arial" w:eastAsia="Arial" w:hAnsi="Arial" w:cs="Arial"/>
          <w:iCs/>
          <w:sz w:val="20"/>
          <w:szCs w:val="20"/>
        </w:rPr>
        <w:t>No procede</w:t>
      </w:r>
      <w:r w:rsidR="003C3939">
        <w:rPr>
          <w:rFonts w:ascii="Arial" w:eastAsia="Arial" w:hAnsi="Arial" w:cs="Arial"/>
          <w:iCs/>
          <w:sz w:val="20"/>
          <w:szCs w:val="20"/>
        </w:rPr>
        <w:t>.</w:t>
      </w:r>
    </w:p>
    <w:p w:rsidR="00B74082" w:rsidRDefault="00B74082">
      <w:pPr>
        <w:ind w:left="0" w:hanging="2"/>
        <w:jc w:val="both"/>
        <w:rPr>
          <w:rFonts w:ascii="Arial" w:eastAsia="Arial" w:hAnsi="Arial" w:cs="Arial"/>
          <w:color w:val="000080"/>
          <w:sz w:val="20"/>
          <w:szCs w:val="20"/>
        </w:rPr>
      </w:pPr>
      <w:bookmarkStart w:id="83" w:name="_heading=h.3fwokq0" w:colFirst="0" w:colLast="0"/>
      <w:bookmarkEnd w:id="83"/>
    </w:p>
    <w:p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6.3 Fuentes secundarias sobre seguridad</w:t>
      </w:r>
    </w:p>
    <w:p w:rsidR="00B74082" w:rsidRPr="003C3939" w:rsidRDefault="00B74082">
      <w:pPr>
        <w:ind w:left="0" w:hanging="2"/>
        <w:jc w:val="both"/>
        <w:rPr>
          <w:rFonts w:ascii="Arial" w:eastAsia="Arial" w:hAnsi="Arial" w:cs="Arial"/>
          <w:b/>
          <w:sz w:val="20"/>
          <w:szCs w:val="20"/>
        </w:rPr>
      </w:pPr>
    </w:p>
    <w:p w:rsidR="00DD74F8" w:rsidRDefault="00B36557">
      <w:pPr>
        <w:ind w:left="0" w:hanging="2"/>
        <w:jc w:val="both"/>
        <w:rPr>
          <w:rFonts w:ascii="Arial" w:eastAsia="Arial" w:hAnsi="Arial" w:cs="Arial"/>
          <w:sz w:val="20"/>
          <w:szCs w:val="20"/>
        </w:rPr>
      </w:pPr>
      <w:r w:rsidRPr="003C3939">
        <w:rPr>
          <w:rFonts w:ascii="Arial" w:eastAsia="Arial" w:hAnsi="Arial" w:cs="Arial"/>
          <w:b/>
          <w:sz w:val="20"/>
          <w:szCs w:val="20"/>
        </w:rPr>
        <w:t>EPAR</w:t>
      </w:r>
      <w:sdt>
        <w:sdtPr>
          <w:rPr>
            <w:rFonts w:ascii="Arial" w:eastAsia="Arial" w:hAnsi="Arial" w:cs="Arial"/>
            <w:b/>
            <w:sz w:val="20"/>
            <w:szCs w:val="20"/>
            <w:vertAlign w:val="superscript"/>
          </w:rPr>
          <w:id w:val="-2043897165"/>
          <w:citation/>
        </w:sdtPr>
        <w:sdtEndPr/>
        <w:sdtContent>
          <w:r w:rsidR="00743E44" w:rsidRPr="0042331C">
            <w:rPr>
              <w:rFonts w:ascii="Arial" w:eastAsia="Arial" w:hAnsi="Arial" w:cs="Arial"/>
              <w:b/>
              <w:sz w:val="20"/>
              <w:szCs w:val="20"/>
              <w:vertAlign w:val="superscript"/>
            </w:rPr>
            <w:fldChar w:fldCharType="begin"/>
          </w:r>
          <w:r w:rsidR="005A6E83" w:rsidRPr="0042331C">
            <w:rPr>
              <w:rFonts w:ascii="Arial" w:eastAsia="Arial" w:hAnsi="Arial" w:cs="Arial"/>
              <w:b/>
              <w:sz w:val="20"/>
              <w:szCs w:val="20"/>
              <w:vertAlign w:val="superscript"/>
            </w:rPr>
            <w:instrText xml:space="preserve"> CITATION EPAR \l 3082 </w:instrText>
          </w:r>
          <w:r w:rsidR="00743E44" w:rsidRPr="0042331C">
            <w:rPr>
              <w:rFonts w:ascii="Arial" w:eastAsia="Arial" w:hAnsi="Arial" w:cs="Arial"/>
              <w:b/>
              <w:sz w:val="20"/>
              <w:szCs w:val="20"/>
              <w:vertAlign w:val="superscript"/>
            </w:rPr>
            <w:fldChar w:fldCharType="separate"/>
          </w:r>
          <w:r w:rsidR="00C560F5">
            <w:rPr>
              <w:rFonts w:ascii="Arial" w:eastAsia="Arial" w:hAnsi="Arial" w:cs="Arial"/>
              <w:b/>
              <w:noProof/>
              <w:sz w:val="20"/>
              <w:szCs w:val="20"/>
              <w:vertAlign w:val="superscript"/>
            </w:rPr>
            <w:t xml:space="preserve"> </w:t>
          </w:r>
          <w:r w:rsidR="00C560F5" w:rsidRPr="00C560F5">
            <w:rPr>
              <w:rFonts w:ascii="Arial" w:eastAsia="Arial" w:hAnsi="Arial" w:cs="Arial"/>
              <w:noProof/>
              <w:sz w:val="20"/>
              <w:szCs w:val="20"/>
            </w:rPr>
            <w:t>(2)</w:t>
          </w:r>
          <w:r w:rsidR="00743E44" w:rsidRPr="0042331C">
            <w:rPr>
              <w:rFonts w:ascii="Arial" w:eastAsia="Arial" w:hAnsi="Arial" w:cs="Arial"/>
              <w:b/>
              <w:sz w:val="20"/>
              <w:szCs w:val="20"/>
              <w:vertAlign w:val="superscript"/>
            </w:rPr>
            <w:fldChar w:fldCharType="end"/>
          </w:r>
        </w:sdtContent>
      </w:sdt>
      <w:r w:rsidRPr="003C3939">
        <w:rPr>
          <w:rFonts w:ascii="Arial" w:eastAsia="Arial" w:hAnsi="Arial" w:cs="Arial"/>
          <w:b/>
          <w:sz w:val="20"/>
          <w:szCs w:val="20"/>
        </w:rPr>
        <w:t>:</w:t>
      </w:r>
      <w:r>
        <w:rPr>
          <w:rFonts w:ascii="Arial" w:eastAsia="Arial" w:hAnsi="Arial" w:cs="Arial"/>
          <w:sz w:val="20"/>
          <w:szCs w:val="20"/>
        </w:rPr>
        <w:t xml:space="preserve"> Avapritinib presenta dos limitaciones principales; el pequeño tamaño de muestra de la “</w:t>
      </w:r>
      <w:r w:rsidRPr="0042331C">
        <w:rPr>
          <w:rFonts w:ascii="Arial" w:eastAsia="Arial" w:hAnsi="Arial" w:cs="Arial"/>
          <w:i/>
          <w:sz w:val="20"/>
          <w:szCs w:val="20"/>
        </w:rPr>
        <w:t>safety population</w:t>
      </w:r>
      <w:r>
        <w:rPr>
          <w:rFonts w:ascii="Arial" w:eastAsia="Arial" w:hAnsi="Arial" w:cs="Arial"/>
          <w:sz w:val="20"/>
          <w:szCs w:val="20"/>
        </w:rPr>
        <w:t>” y el hecho de que la misma proceda de estudios que no son fase III. Como contraposición está el hecho de disponer de información previa por la primera indicación de avapritinib en GIST. La toxicidad con la dosis de 200 mg y sus posibles reducciones de dosis mejoran la tolerancia respecto a dosis superiores usadas en los estudios. La incidencia de hemorragia intracraneal y efectos a nivel cognitivo son las RA más preocupantes</w:t>
      </w:r>
      <w:r w:rsidR="005A6E83">
        <w:rPr>
          <w:rFonts w:ascii="Arial" w:eastAsia="Arial" w:hAnsi="Arial" w:cs="Arial"/>
          <w:sz w:val="20"/>
          <w:szCs w:val="20"/>
        </w:rPr>
        <w:t xml:space="preserve"> y deben ser monitorizadas mediante un adecuado plan de minimización de riesgos.</w:t>
      </w:r>
    </w:p>
    <w:p w:rsidR="00DD74F8" w:rsidRDefault="00DD74F8">
      <w:pPr>
        <w:ind w:left="0" w:hanging="2"/>
        <w:jc w:val="both"/>
        <w:rPr>
          <w:rFonts w:ascii="Arial" w:eastAsia="Arial" w:hAnsi="Arial" w:cs="Arial"/>
          <w:sz w:val="20"/>
          <w:szCs w:val="20"/>
        </w:rPr>
      </w:pPr>
    </w:p>
    <w:p w:rsidR="002324E2" w:rsidRDefault="00DD74F8">
      <w:pPr>
        <w:ind w:left="0" w:hanging="2"/>
        <w:jc w:val="both"/>
        <w:rPr>
          <w:rFonts w:ascii="Arial" w:eastAsia="Arial" w:hAnsi="Arial" w:cs="Arial"/>
          <w:sz w:val="20"/>
          <w:szCs w:val="20"/>
        </w:rPr>
      </w:pPr>
      <w:r>
        <w:rPr>
          <w:rFonts w:ascii="Arial" w:eastAsia="Arial" w:hAnsi="Arial" w:cs="Arial"/>
          <w:sz w:val="20"/>
          <w:szCs w:val="20"/>
        </w:rPr>
        <w:lastRenderedPageBreak/>
        <w:t xml:space="preserve">En la </w:t>
      </w:r>
      <w:r w:rsidRPr="003C3939">
        <w:rPr>
          <w:rFonts w:ascii="Arial" w:eastAsia="Arial" w:hAnsi="Arial" w:cs="Arial"/>
          <w:b/>
          <w:sz w:val="20"/>
          <w:szCs w:val="20"/>
        </w:rPr>
        <w:t>evaluación ESMO</w:t>
      </w:r>
      <w:r>
        <w:rPr>
          <w:rFonts w:ascii="Arial" w:eastAsia="Arial" w:hAnsi="Arial" w:cs="Arial"/>
          <w:sz w:val="20"/>
          <w:szCs w:val="20"/>
        </w:rPr>
        <w:t xml:space="preserve"> de avapritinib en GIST</w:t>
      </w:r>
      <w:sdt>
        <w:sdtPr>
          <w:rPr>
            <w:rFonts w:ascii="Arial" w:eastAsia="Arial" w:hAnsi="Arial" w:cs="Arial"/>
            <w:sz w:val="20"/>
            <w:szCs w:val="20"/>
            <w:vertAlign w:val="superscript"/>
          </w:rPr>
          <w:id w:val="-950313586"/>
          <w:citation/>
        </w:sdtPr>
        <w:sdtEndPr/>
        <w:sdtContent>
          <w:r w:rsidR="00743E44" w:rsidRPr="0042331C">
            <w:rPr>
              <w:rFonts w:ascii="Arial" w:eastAsia="Arial" w:hAnsi="Arial" w:cs="Arial"/>
              <w:sz w:val="20"/>
              <w:szCs w:val="20"/>
              <w:vertAlign w:val="superscript"/>
            </w:rPr>
            <w:fldChar w:fldCharType="begin"/>
          </w:r>
          <w:r w:rsidRPr="0042331C">
            <w:rPr>
              <w:rFonts w:ascii="Arial" w:eastAsia="Arial" w:hAnsi="Arial" w:cs="Arial"/>
              <w:sz w:val="20"/>
              <w:szCs w:val="20"/>
              <w:vertAlign w:val="superscript"/>
            </w:rPr>
            <w:instrText xml:space="preserve"> CITATION SEO21 \l 3082 </w:instrText>
          </w:r>
          <w:r w:rsidR="00743E44" w:rsidRPr="0042331C">
            <w:rPr>
              <w:rFonts w:ascii="Arial" w:eastAsia="Arial" w:hAnsi="Arial" w:cs="Arial"/>
              <w:sz w:val="20"/>
              <w:szCs w:val="20"/>
              <w:vertAlign w:val="superscript"/>
            </w:rPr>
            <w:fldChar w:fldCharType="separate"/>
          </w:r>
          <w:r w:rsidR="00C560F5">
            <w:rPr>
              <w:rFonts w:ascii="Arial" w:eastAsia="Arial" w:hAnsi="Arial" w:cs="Arial"/>
              <w:noProof/>
              <w:sz w:val="20"/>
              <w:szCs w:val="20"/>
              <w:vertAlign w:val="superscript"/>
            </w:rPr>
            <w:t xml:space="preserve"> </w:t>
          </w:r>
          <w:r w:rsidR="00C560F5" w:rsidRPr="00C560F5">
            <w:rPr>
              <w:rFonts w:ascii="Arial" w:eastAsia="Arial" w:hAnsi="Arial" w:cs="Arial"/>
              <w:noProof/>
              <w:sz w:val="20"/>
              <w:szCs w:val="20"/>
            </w:rPr>
            <w:t>(14)</w:t>
          </w:r>
          <w:r w:rsidR="00743E44" w:rsidRPr="0042331C">
            <w:rPr>
              <w:rFonts w:ascii="Arial" w:eastAsia="Arial" w:hAnsi="Arial" w:cs="Arial"/>
              <w:sz w:val="20"/>
              <w:szCs w:val="20"/>
              <w:vertAlign w:val="superscript"/>
            </w:rPr>
            <w:fldChar w:fldCharType="end"/>
          </w:r>
        </w:sdtContent>
      </w:sdt>
      <w:r>
        <w:rPr>
          <w:rFonts w:ascii="Arial" w:eastAsia="Arial" w:hAnsi="Arial" w:cs="Arial"/>
          <w:sz w:val="20"/>
          <w:szCs w:val="20"/>
        </w:rPr>
        <w:t xml:space="preserve"> sitúan el perfil de toxicidad de avapritinib al nivel de otros </w:t>
      </w:r>
      <w:r w:rsidR="00944BBD">
        <w:rPr>
          <w:rFonts w:ascii="Arial" w:eastAsia="Arial" w:hAnsi="Arial" w:cs="Arial"/>
          <w:sz w:val="20"/>
          <w:szCs w:val="20"/>
        </w:rPr>
        <w:t>TKIs</w:t>
      </w:r>
      <w:r>
        <w:rPr>
          <w:rFonts w:ascii="Arial" w:eastAsia="Arial" w:hAnsi="Arial" w:cs="Arial"/>
          <w:sz w:val="20"/>
          <w:szCs w:val="20"/>
        </w:rPr>
        <w:t xml:space="preserve"> frente a KIT y PDGFRA, de acuerdo a los estudios publicados en GIST, si bien avapritinib presenta una mayor incidencia de efectos cognitivos. </w:t>
      </w:r>
      <w:r w:rsidR="005A6E83">
        <w:rPr>
          <w:rFonts w:ascii="Arial" w:eastAsia="Arial" w:hAnsi="Arial" w:cs="Arial"/>
          <w:sz w:val="20"/>
          <w:szCs w:val="20"/>
        </w:rPr>
        <w:t xml:space="preserve"> </w:t>
      </w:r>
    </w:p>
    <w:p w:rsidR="00A15DE1" w:rsidRDefault="00A15DE1" w:rsidP="00A15DE1">
      <w:pPr>
        <w:ind w:leftChars="0" w:left="0" w:firstLineChars="0" w:firstLine="0"/>
        <w:jc w:val="both"/>
        <w:rPr>
          <w:rFonts w:ascii="Arial" w:eastAsia="Arial" w:hAnsi="Arial" w:cs="Arial"/>
          <w:sz w:val="20"/>
          <w:szCs w:val="20"/>
        </w:rPr>
      </w:pPr>
    </w:p>
    <w:p w:rsidR="005A6E83" w:rsidRDefault="00867F9F" w:rsidP="00A15DE1">
      <w:pPr>
        <w:ind w:leftChars="0" w:left="0" w:firstLineChars="0" w:firstLine="0"/>
        <w:jc w:val="both"/>
        <w:rPr>
          <w:rFonts w:ascii="Arial" w:eastAsia="Arial" w:hAnsi="Arial" w:cs="Arial"/>
          <w:sz w:val="20"/>
          <w:szCs w:val="20"/>
        </w:rPr>
      </w:pPr>
      <w:r>
        <w:rPr>
          <w:rFonts w:ascii="Arial" w:eastAsia="Arial" w:hAnsi="Arial" w:cs="Arial"/>
          <w:sz w:val="20"/>
          <w:szCs w:val="20"/>
        </w:rPr>
        <w:t xml:space="preserve"> </w:t>
      </w:r>
    </w:p>
    <w:p w:rsidR="00B74082" w:rsidRDefault="00DA20C8">
      <w:pPr>
        <w:ind w:left="0" w:hanging="2"/>
        <w:jc w:val="right"/>
        <w:rPr>
          <w:rFonts w:ascii="Arial" w:eastAsia="Arial" w:hAnsi="Arial" w:cs="Arial"/>
          <w:sz w:val="20"/>
          <w:szCs w:val="20"/>
        </w:rPr>
      </w:pPr>
      <w:bookmarkStart w:id="84" w:name="_heading=h.1v1yuxt" w:colFirst="0" w:colLast="0"/>
      <w:bookmarkEnd w:id="84"/>
      <w:r>
        <w:rPr>
          <w:rFonts w:ascii="Arial" w:eastAsia="Arial" w:hAnsi="Arial" w:cs="Arial"/>
          <w:sz w:val="20"/>
          <w:szCs w:val="20"/>
        </w:rPr>
        <w:t xml:space="preserve">                  </w:t>
      </w:r>
    </w:p>
    <w:p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 xml:space="preserve">6.4 Precauciones de empleo en casos especiales </w:t>
      </w:r>
      <w:sdt>
        <w:sdtPr>
          <w:rPr>
            <w:rFonts w:ascii="Cambria" w:eastAsia="Cambria" w:hAnsi="Cambria" w:cs="Cambria"/>
            <w:b/>
            <w:i/>
            <w:color w:val="000000"/>
            <w:sz w:val="20"/>
            <w:szCs w:val="20"/>
          </w:rPr>
          <w:id w:val="11738592"/>
          <w:citation/>
        </w:sdtPr>
        <w:sdtEndPr/>
        <w:sdtContent>
          <w:r w:rsidR="00743E44">
            <w:rPr>
              <w:rFonts w:ascii="Cambria" w:eastAsia="Cambria" w:hAnsi="Cambria" w:cs="Cambria"/>
              <w:b/>
              <w:i/>
              <w:color w:val="000000"/>
              <w:sz w:val="20"/>
              <w:szCs w:val="20"/>
            </w:rPr>
            <w:fldChar w:fldCharType="begin"/>
          </w:r>
          <w:r w:rsidR="008E1F23">
            <w:rPr>
              <w:rFonts w:ascii="Cambria" w:eastAsia="Cambria" w:hAnsi="Cambria" w:cs="Cambria"/>
              <w:b/>
              <w:i/>
              <w:color w:val="000000"/>
              <w:sz w:val="20"/>
              <w:szCs w:val="20"/>
            </w:rPr>
            <w:instrText xml:space="preserve"> CITATION EPAR \l 3082 </w:instrText>
          </w:r>
          <w:r w:rsidR="00743E44">
            <w:rPr>
              <w:rFonts w:ascii="Cambria" w:eastAsia="Cambria" w:hAnsi="Cambria" w:cs="Cambria"/>
              <w:b/>
              <w:i/>
              <w:color w:val="000000"/>
              <w:sz w:val="20"/>
              <w:szCs w:val="20"/>
            </w:rPr>
            <w:fldChar w:fldCharType="separate"/>
          </w:r>
          <w:r w:rsidR="00C560F5" w:rsidRPr="00C560F5">
            <w:rPr>
              <w:rFonts w:ascii="Cambria" w:eastAsia="Cambria" w:hAnsi="Cambria" w:cs="Cambria"/>
              <w:noProof/>
              <w:color w:val="000000"/>
              <w:sz w:val="20"/>
              <w:szCs w:val="20"/>
            </w:rPr>
            <w:t>(2)</w:t>
          </w:r>
          <w:r w:rsidR="00743E44">
            <w:rPr>
              <w:rFonts w:ascii="Cambria" w:eastAsia="Cambria" w:hAnsi="Cambria" w:cs="Cambria"/>
              <w:b/>
              <w:i/>
              <w:color w:val="000000"/>
              <w:sz w:val="20"/>
              <w:szCs w:val="20"/>
            </w:rPr>
            <w:fldChar w:fldCharType="end"/>
          </w:r>
        </w:sdtContent>
      </w:sdt>
    </w:p>
    <w:p w:rsidR="00B74082" w:rsidRDefault="00B74082">
      <w:pPr>
        <w:ind w:left="0" w:hanging="2"/>
        <w:rPr>
          <w:rFonts w:ascii="Arial" w:eastAsia="Arial" w:hAnsi="Arial" w:cs="Arial"/>
          <w:sz w:val="20"/>
          <w:szCs w:val="20"/>
        </w:rPr>
      </w:pPr>
    </w:p>
    <w:p w:rsidR="008E1F23" w:rsidRDefault="008E1F23" w:rsidP="00FA0125">
      <w:pPr>
        <w:ind w:left="0" w:hanging="2"/>
        <w:jc w:val="both"/>
        <w:rPr>
          <w:rFonts w:ascii="Arial" w:eastAsia="Arial" w:hAnsi="Arial" w:cs="Arial"/>
          <w:sz w:val="20"/>
          <w:szCs w:val="20"/>
        </w:rPr>
      </w:pPr>
      <w:r w:rsidRPr="008E1F23">
        <w:rPr>
          <w:rFonts w:ascii="Arial" w:eastAsia="Arial" w:hAnsi="Arial" w:cs="Arial"/>
          <w:b/>
          <w:bCs/>
          <w:sz w:val="20"/>
          <w:szCs w:val="20"/>
        </w:rPr>
        <w:t>Pediatría</w:t>
      </w:r>
      <w:r>
        <w:rPr>
          <w:rFonts w:ascii="Arial" w:eastAsia="Arial" w:hAnsi="Arial" w:cs="Arial"/>
          <w:sz w:val="20"/>
          <w:szCs w:val="20"/>
        </w:rPr>
        <w:t>: No se ha establecido todavía la seguridad y eficacia de AYVAKYT en niños de 0 a 18 años. No se dispone de datos.</w:t>
      </w:r>
    </w:p>
    <w:p w:rsidR="008E1F23" w:rsidRDefault="008E1F23" w:rsidP="00FA0125">
      <w:pPr>
        <w:ind w:left="0" w:hanging="2"/>
        <w:jc w:val="both"/>
        <w:rPr>
          <w:rFonts w:ascii="Arial" w:eastAsia="Arial" w:hAnsi="Arial" w:cs="Arial"/>
          <w:sz w:val="20"/>
          <w:szCs w:val="20"/>
        </w:rPr>
      </w:pPr>
      <w:r w:rsidRPr="008E1F23">
        <w:rPr>
          <w:rFonts w:ascii="Arial" w:eastAsia="Arial" w:hAnsi="Arial" w:cs="Arial"/>
          <w:b/>
          <w:bCs/>
          <w:sz w:val="20"/>
          <w:szCs w:val="20"/>
        </w:rPr>
        <w:t>Mayores de 65 años</w:t>
      </w:r>
      <w:r>
        <w:rPr>
          <w:rFonts w:ascii="Arial" w:eastAsia="Arial" w:hAnsi="Arial" w:cs="Arial"/>
          <w:sz w:val="20"/>
          <w:szCs w:val="20"/>
        </w:rPr>
        <w:t>: No se recomienda el ajuste de la dosis para pacientes de 65 años o más.</w:t>
      </w:r>
    </w:p>
    <w:p w:rsidR="008E1F23" w:rsidRDefault="008E1F23" w:rsidP="00FA0125">
      <w:pPr>
        <w:ind w:left="0" w:hanging="2"/>
        <w:jc w:val="both"/>
        <w:rPr>
          <w:rFonts w:ascii="Arial" w:eastAsia="Arial" w:hAnsi="Arial" w:cs="Arial"/>
          <w:sz w:val="20"/>
          <w:szCs w:val="20"/>
        </w:rPr>
      </w:pPr>
      <w:r w:rsidRPr="008E1F23">
        <w:rPr>
          <w:rFonts w:ascii="Arial" w:eastAsia="Arial" w:hAnsi="Arial" w:cs="Arial"/>
          <w:b/>
          <w:bCs/>
          <w:sz w:val="20"/>
          <w:szCs w:val="20"/>
        </w:rPr>
        <w:t>Insuficiencia renal</w:t>
      </w:r>
      <w:r>
        <w:rPr>
          <w:rFonts w:ascii="Arial" w:eastAsia="Arial" w:hAnsi="Arial" w:cs="Arial"/>
          <w:sz w:val="20"/>
          <w:szCs w:val="20"/>
        </w:rPr>
        <w:t>: No se recomienda ningún ajuste de la dosis para los pacientes con insuficiencia renal leve y moderada (aclaramiento de creatinina [ClCr] 30-89 ml/min calculado según Cockcroft-Gault). Avapritinib no se ha estudiado en pacientes con insuficiencia renal grave (ClCr 15-29 ml/min) o enfermedad renal terminal (ClCr &lt; 15 ml/min), uso no recomendado.</w:t>
      </w:r>
    </w:p>
    <w:p w:rsidR="008E1F23" w:rsidRDefault="008E1F23" w:rsidP="00FA0125">
      <w:pPr>
        <w:ind w:left="0" w:hanging="2"/>
        <w:jc w:val="both"/>
        <w:rPr>
          <w:rFonts w:ascii="Arial" w:eastAsia="Arial" w:hAnsi="Arial" w:cs="Arial"/>
          <w:sz w:val="20"/>
          <w:szCs w:val="20"/>
        </w:rPr>
      </w:pPr>
      <w:r w:rsidRPr="008E1F23">
        <w:rPr>
          <w:rFonts w:ascii="Arial" w:eastAsia="Arial" w:hAnsi="Arial" w:cs="Arial"/>
          <w:b/>
          <w:bCs/>
          <w:sz w:val="20"/>
          <w:szCs w:val="20"/>
        </w:rPr>
        <w:t>Insuficiencia hepática</w:t>
      </w:r>
      <w:r>
        <w:rPr>
          <w:rFonts w:ascii="Arial" w:eastAsia="Arial" w:hAnsi="Arial" w:cs="Arial"/>
          <w:sz w:val="20"/>
          <w:szCs w:val="20"/>
        </w:rPr>
        <w:t xml:space="preserve">: No se recomienda ningún ajuste de la dosis para los pacientes con insuficiencia hepática leve (bilirrubina total dentro de límite superior de la normalidad [LSN] y aspartato aminotransferasa (AST) &gt;LSN o bilirrubina total superior a 1 a 1,5 veces el LSN y cualquier AST) e insuficiencia hepática moderada (bilirrubina total &gt;1,5 a 3,0 veces el LSN y cualquier AST). Avapritinib no se ha estudiado en sujetos con insuficiencia hepática grave (clase C de Child-Pugh) y, por tanto, no puede recomendarse su uso en pacientes con insuficiencia hepática grave </w:t>
      </w:r>
      <w:sdt>
        <w:sdtPr>
          <w:rPr>
            <w:rFonts w:ascii="Arial" w:eastAsia="Arial" w:hAnsi="Arial" w:cs="Arial"/>
            <w:sz w:val="20"/>
            <w:szCs w:val="20"/>
            <w:vertAlign w:val="superscript"/>
          </w:rPr>
          <w:id w:val="-1953926971"/>
          <w:citation/>
        </w:sdtPr>
        <w:sdtEndPr/>
        <w:sdtContent>
          <w:r w:rsidR="00743E44" w:rsidRPr="0042331C">
            <w:rPr>
              <w:rFonts w:ascii="Arial" w:eastAsia="Arial" w:hAnsi="Arial" w:cs="Arial"/>
              <w:sz w:val="20"/>
              <w:szCs w:val="20"/>
              <w:vertAlign w:val="superscript"/>
            </w:rPr>
            <w:fldChar w:fldCharType="begin"/>
          </w:r>
          <w:r w:rsidRPr="0042331C">
            <w:rPr>
              <w:rFonts w:ascii="Arial" w:eastAsia="Arial" w:hAnsi="Arial" w:cs="Arial"/>
              <w:sz w:val="20"/>
              <w:szCs w:val="20"/>
              <w:vertAlign w:val="superscript"/>
            </w:rPr>
            <w:instrText xml:space="preserve"> CITATION Sys22 \l 3082 </w:instrText>
          </w:r>
          <w:r w:rsidR="00743E44" w:rsidRPr="0042331C">
            <w:rPr>
              <w:rFonts w:ascii="Arial" w:eastAsia="Arial" w:hAnsi="Arial" w:cs="Arial"/>
              <w:sz w:val="20"/>
              <w:szCs w:val="20"/>
              <w:vertAlign w:val="superscript"/>
            </w:rPr>
            <w:fldChar w:fldCharType="separate"/>
          </w:r>
          <w:r w:rsidR="00C560F5" w:rsidRPr="00C560F5">
            <w:rPr>
              <w:rFonts w:ascii="Arial" w:eastAsia="Arial" w:hAnsi="Arial" w:cs="Arial"/>
              <w:noProof/>
              <w:sz w:val="20"/>
              <w:szCs w:val="20"/>
            </w:rPr>
            <w:t>(8)</w:t>
          </w:r>
          <w:r w:rsidR="00743E44" w:rsidRPr="0042331C">
            <w:rPr>
              <w:rFonts w:ascii="Arial" w:eastAsia="Arial" w:hAnsi="Arial" w:cs="Arial"/>
              <w:sz w:val="20"/>
              <w:szCs w:val="20"/>
              <w:vertAlign w:val="superscript"/>
            </w:rPr>
            <w:fldChar w:fldCharType="end"/>
          </w:r>
        </w:sdtContent>
      </w:sdt>
      <w:r>
        <w:rPr>
          <w:rFonts w:ascii="Arial" w:eastAsia="Arial" w:hAnsi="Arial" w:cs="Arial"/>
          <w:sz w:val="20"/>
          <w:szCs w:val="20"/>
        </w:rPr>
        <w:t>.</w:t>
      </w:r>
    </w:p>
    <w:p w:rsidR="008E1F23" w:rsidRDefault="008E1F23" w:rsidP="008E1F23">
      <w:pPr>
        <w:ind w:left="0" w:hanging="2"/>
        <w:jc w:val="both"/>
        <w:rPr>
          <w:rFonts w:ascii="Arial" w:eastAsia="Arial" w:hAnsi="Arial" w:cs="Arial"/>
          <w:sz w:val="20"/>
          <w:szCs w:val="20"/>
        </w:rPr>
      </w:pPr>
      <w:r>
        <w:rPr>
          <w:rFonts w:ascii="Arial" w:eastAsia="Arial" w:hAnsi="Arial" w:cs="Arial"/>
          <w:sz w:val="20"/>
          <w:szCs w:val="20"/>
        </w:rPr>
        <w:t xml:space="preserve">Debe </w:t>
      </w:r>
      <w:r w:rsidRPr="00FA0125">
        <w:rPr>
          <w:rFonts w:ascii="Arial" w:eastAsia="Arial" w:hAnsi="Arial" w:cs="Arial"/>
          <w:b/>
          <w:sz w:val="20"/>
          <w:szCs w:val="20"/>
        </w:rPr>
        <w:t>evitarse el uso concomitante</w:t>
      </w:r>
      <w:r>
        <w:rPr>
          <w:rFonts w:ascii="Arial" w:eastAsia="Arial" w:hAnsi="Arial" w:cs="Arial"/>
          <w:sz w:val="20"/>
          <w:szCs w:val="20"/>
        </w:rPr>
        <w:t xml:space="preserve"> de avapritinib con inhibidores potentes o moderados de CYP3A. Si no puede evitarse el uso concomitante de un inhibidor moderado de CYP3A, la dosis inicial de avapritinib debe reducirse de 200 mg a 50 mg por vía oral una vez al día (ver apartado 4.5 de farmacocinética).</w:t>
      </w:r>
    </w:p>
    <w:p w:rsidR="00E77619" w:rsidRDefault="00E77619" w:rsidP="008E1F23">
      <w:pPr>
        <w:ind w:left="0" w:hanging="2"/>
        <w:jc w:val="both"/>
        <w:rPr>
          <w:rFonts w:ascii="Arial" w:eastAsia="Arial" w:hAnsi="Arial" w:cs="Arial"/>
          <w:sz w:val="20"/>
          <w:szCs w:val="20"/>
        </w:rPr>
      </w:pPr>
    </w:p>
    <w:p w:rsidR="00E77619" w:rsidRDefault="00E77619" w:rsidP="00FA0125">
      <w:pPr>
        <w:ind w:left="0" w:hanging="2"/>
        <w:jc w:val="center"/>
        <w:rPr>
          <w:rFonts w:ascii="Arial" w:eastAsia="Arial" w:hAnsi="Arial" w:cs="Arial"/>
          <w:sz w:val="20"/>
          <w:szCs w:val="20"/>
        </w:rPr>
      </w:pPr>
      <w:r>
        <w:rPr>
          <w:noProof/>
        </w:rPr>
        <w:drawing>
          <wp:inline distT="0" distB="0" distL="0" distR="0">
            <wp:extent cx="4210050" cy="4339590"/>
            <wp:effectExtent l="0" t="0" r="0" b="3810"/>
            <wp:docPr id="11" name="Imagen 1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Aplicación&#10;&#10;Descripción generada automáticamente"/>
                    <pic:cNvPicPr/>
                  </pic:nvPicPr>
                  <pic:blipFill rotWithShape="1">
                    <a:blip r:embed="rId27" cstate="print"/>
                    <a:srcRect l="40508" t="32038" r="26021" b="6631"/>
                    <a:stretch/>
                  </pic:blipFill>
                  <pic:spPr bwMode="auto">
                    <a:xfrm>
                      <a:off x="0" y="0"/>
                      <a:ext cx="4215674" cy="4345387"/>
                    </a:xfrm>
                    <a:prstGeom prst="rect">
                      <a:avLst/>
                    </a:prstGeom>
                    <a:ln>
                      <a:noFill/>
                    </a:ln>
                    <a:extLst>
                      <a:ext uri="{53640926-AAD7-44D8-BBD7-CCE9431645EC}">
                        <a14:shadowObscured xmlns:a14="http://schemas.microsoft.com/office/drawing/2010/main"/>
                      </a:ext>
                    </a:extLst>
                  </pic:spPr>
                </pic:pic>
              </a:graphicData>
            </a:graphic>
          </wp:inline>
        </w:drawing>
      </w:r>
    </w:p>
    <w:p w:rsidR="008E1F23" w:rsidRPr="00FA0125" w:rsidRDefault="00E77619" w:rsidP="00E85D3F">
      <w:pPr>
        <w:ind w:left="0" w:hanging="2"/>
        <w:jc w:val="center"/>
        <w:rPr>
          <w:rFonts w:ascii="Arial" w:eastAsia="Arial" w:hAnsi="Arial" w:cs="Arial"/>
          <w:b/>
          <w:sz w:val="20"/>
          <w:szCs w:val="20"/>
        </w:rPr>
      </w:pPr>
      <w:r w:rsidRPr="00FA0125">
        <w:rPr>
          <w:rFonts w:ascii="Arial" w:eastAsia="Arial" w:hAnsi="Arial" w:cs="Arial"/>
          <w:b/>
          <w:sz w:val="20"/>
          <w:szCs w:val="20"/>
        </w:rPr>
        <w:t xml:space="preserve">Figura 12. </w:t>
      </w:r>
      <w:r w:rsidR="00E85D3F" w:rsidRPr="00FA0125">
        <w:rPr>
          <w:rFonts w:ascii="Arial" w:eastAsia="Arial" w:hAnsi="Arial" w:cs="Arial"/>
          <w:b/>
          <w:sz w:val="20"/>
          <w:szCs w:val="20"/>
        </w:rPr>
        <w:t>Reducciones y modificaciones de dosis (</w:t>
      </w:r>
      <w:r w:rsidR="00FA0125" w:rsidRPr="00FA0125">
        <w:rPr>
          <w:rFonts w:ascii="Arial" w:eastAsia="Arial" w:hAnsi="Arial" w:cs="Arial"/>
          <w:b/>
          <w:sz w:val="20"/>
          <w:szCs w:val="20"/>
        </w:rPr>
        <w:t xml:space="preserve">ficha técnica </w:t>
      </w:r>
      <w:r w:rsidR="00FA0125">
        <w:rPr>
          <w:rFonts w:ascii="Arial" w:eastAsia="Arial" w:hAnsi="Arial" w:cs="Arial"/>
          <w:b/>
          <w:sz w:val="20"/>
          <w:szCs w:val="20"/>
        </w:rPr>
        <w:t>A</w:t>
      </w:r>
      <w:r w:rsidR="00FA0125" w:rsidRPr="00FA0125">
        <w:rPr>
          <w:rFonts w:ascii="Arial" w:eastAsia="Arial" w:hAnsi="Arial" w:cs="Arial"/>
          <w:b/>
          <w:sz w:val="20"/>
          <w:szCs w:val="20"/>
        </w:rPr>
        <w:t>vapritinib</w:t>
      </w:r>
      <w:r w:rsidR="00E85D3F" w:rsidRPr="00FA0125">
        <w:rPr>
          <w:rFonts w:ascii="Arial" w:eastAsia="Arial" w:hAnsi="Arial" w:cs="Arial"/>
          <w:b/>
          <w:sz w:val="20"/>
          <w:szCs w:val="20"/>
        </w:rPr>
        <w:t>)</w:t>
      </w:r>
    </w:p>
    <w:p w:rsidR="00FA0125" w:rsidRDefault="00FA0125" w:rsidP="00FA0125">
      <w:pPr>
        <w:ind w:leftChars="0" w:left="0" w:firstLineChars="0" w:firstLine="0"/>
        <w:rPr>
          <w:rFonts w:ascii="Arial" w:eastAsia="Arial" w:hAnsi="Arial" w:cs="Arial"/>
          <w:sz w:val="20"/>
          <w:szCs w:val="20"/>
        </w:rPr>
      </w:pPr>
    </w:p>
    <w:p w:rsidR="00FA0125" w:rsidRDefault="00FA0125" w:rsidP="00FA0125">
      <w:pPr>
        <w:ind w:leftChars="0" w:left="0" w:firstLineChars="0" w:firstLine="0"/>
        <w:rPr>
          <w:rFonts w:ascii="Arial" w:eastAsia="Arial" w:hAnsi="Arial" w:cs="Arial"/>
          <w:sz w:val="20"/>
          <w:szCs w:val="20"/>
        </w:rPr>
      </w:pPr>
    </w:p>
    <w:p w:rsidR="00FA0125" w:rsidRDefault="00FA0125" w:rsidP="00FA0125">
      <w:pPr>
        <w:ind w:leftChars="0" w:left="0" w:firstLineChars="0" w:firstLine="0"/>
        <w:rPr>
          <w:rFonts w:ascii="Arial" w:eastAsia="Arial" w:hAnsi="Arial" w:cs="Arial"/>
          <w:sz w:val="20"/>
          <w:szCs w:val="20"/>
        </w:rPr>
      </w:pPr>
    </w:p>
    <w:p w:rsidR="00B74082" w:rsidRDefault="00DA20C8" w:rsidP="00FA0125">
      <w:pPr>
        <w:ind w:leftChars="0" w:left="0" w:firstLineChars="0" w:firstLine="0"/>
        <w:rPr>
          <w:rFonts w:ascii="Arial" w:eastAsia="Arial" w:hAnsi="Arial" w:cs="Arial"/>
          <w:b/>
          <w:sz w:val="20"/>
          <w:szCs w:val="20"/>
        </w:rPr>
      </w:pPr>
      <w:r w:rsidRPr="00FA0125">
        <w:rPr>
          <w:rFonts w:ascii="Arial" w:eastAsia="Arial" w:hAnsi="Arial" w:cs="Arial"/>
          <w:b/>
          <w:sz w:val="20"/>
          <w:szCs w:val="20"/>
        </w:rPr>
        <w:t xml:space="preserve">Monitorización de efectos adversos: pruebas a realizar, frecuencia de revisión, etc. </w:t>
      </w:r>
    </w:p>
    <w:p w:rsidR="00FA0125" w:rsidRPr="00FA0125" w:rsidRDefault="00FA0125" w:rsidP="00FA0125">
      <w:pPr>
        <w:ind w:leftChars="0" w:left="0" w:firstLineChars="0" w:firstLine="0"/>
        <w:rPr>
          <w:rFonts w:ascii="Arial" w:eastAsia="Arial" w:hAnsi="Arial" w:cs="Arial"/>
          <w:b/>
          <w:sz w:val="20"/>
          <w:szCs w:val="20"/>
        </w:rPr>
      </w:pPr>
    </w:p>
    <w:p w:rsidR="00E85D3F" w:rsidRPr="00FA0125" w:rsidRDefault="00E85D3F" w:rsidP="00FA0125">
      <w:pPr>
        <w:ind w:leftChars="0" w:left="0" w:firstLineChars="0" w:firstLine="0"/>
      </w:pPr>
      <w:bookmarkStart w:id="85" w:name="_heading=h.4f1mdlm" w:colFirst="0" w:colLast="0"/>
      <w:bookmarkEnd w:id="85"/>
      <w:r>
        <w:rPr>
          <w:rFonts w:ascii="Arial" w:hAnsi="Arial" w:cs="Arial"/>
          <w:sz w:val="20"/>
          <w:szCs w:val="20"/>
        </w:rPr>
        <w:t>Debido a los EA encontrados en los estudios se debe tener especial precaución en los siguientes casos:</w:t>
      </w:r>
    </w:p>
    <w:p w:rsidR="00E85D3F" w:rsidRDefault="00E85D3F">
      <w:pPr>
        <w:ind w:left="0" w:hanging="2"/>
        <w:rPr>
          <w:rFonts w:ascii="Arial" w:hAnsi="Arial" w:cs="Arial"/>
          <w:sz w:val="20"/>
          <w:szCs w:val="20"/>
        </w:rPr>
      </w:pPr>
    </w:p>
    <w:p w:rsidR="00E85D3F" w:rsidRPr="00FA0125" w:rsidRDefault="00E85D3F" w:rsidP="00FA0125">
      <w:pPr>
        <w:pStyle w:val="Prrafodelista"/>
        <w:numPr>
          <w:ilvl w:val="0"/>
          <w:numId w:val="26"/>
        </w:numPr>
        <w:ind w:leftChars="0" w:firstLineChars="0"/>
        <w:rPr>
          <w:rFonts w:ascii="Arial" w:hAnsi="Arial" w:cs="Arial"/>
          <w:sz w:val="20"/>
          <w:szCs w:val="20"/>
        </w:rPr>
      </w:pPr>
      <w:r w:rsidRPr="00FA0125">
        <w:rPr>
          <w:rFonts w:ascii="Arial" w:hAnsi="Arial" w:cs="Arial"/>
          <w:sz w:val="20"/>
          <w:szCs w:val="20"/>
        </w:rPr>
        <w:t>Hemorragias: exploración física, hemogramas, pacientes anticoagulados.</w:t>
      </w:r>
    </w:p>
    <w:p w:rsidR="00E85D3F" w:rsidRPr="00FA0125" w:rsidRDefault="00E85D3F" w:rsidP="00FA0125">
      <w:pPr>
        <w:pStyle w:val="Prrafodelista"/>
        <w:numPr>
          <w:ilvl w:val="0"/>
          <w:numId w:val="26"/>
        </w:numPr>
        <w:ind w:leftChars="0" w:firstLineChars="0"/>
        <w:rPr>
          <w:rFonts w:ascii="Arial" w:hAnsi="Arial" w:cs="Arial"/>
          <w:sz w:val="20"/>
          <w:szCs w:val="20"/>
        </w:rPr>
      </w:pPr>
      <w:r w:rsidRPr="00FA0125">
        <w:rPr>
          <w:rFonts w:ascii="Arial" w:hAnsi="Arial" w:cs="Arial"/>
          <w:sz w:val="20"/>
          <w:szCs w:val="20"/>
        </w:rPr>
        <w:t>Hemorragias intracraneales: precaución especial en pacientes con alto potencial de desarrollar esta RA.</w:t>
      </w:r>
    </w:p>
    <w:p w:rsidR="00E85D3F" w:rsidRPr="00FA0125" w:rsidRDefault="00E85D3F" w:rsidP="00FA0125">
      <w:pPr>
        <w:pStyle w:val="Prrafodelista"/>
        <w:numPr>
          <w:ilvl w:val="0"/>
          <w:numId w:val="26"/>
        </w:numPr>
        <w:ind w:leftChars="0" w:firstLineChars="0"/>
        <w:rPr>
          <w:rFonts w:ascii="Arial" w:hAnsi="Arial" w:cs="Arial"/>
          <w:sz w:val="20"/>
          <w:szCs w:val="20"/>
        </w:rPr>
      </w:pPr>
      <w:r w:rsidRPr="00FA0125">
        <w:rPr>
          <w:rFonts w:ascii="Arial" w:hAnsi="Arial" w:cs="Arial"/>
          <w:sz w:val="20"/>
          <w:szCs w:val="20"/>
        </w:rPr>
        <w:t>Efectos en la función cognitiva</w:t>
      </w:r>
    </w:p>
    <w:p w:rsidR="00356911" w:rsidRPr="00FA0125" w:rsidRDefault="00356911" w:rsidP="00FA0125">
      <w:pPr>
        <w:pStyle w:val="Prrafodelista"/>
        <w:numPr>
          <w:ilvl w:val="0"/>
          <w:numId w:val="26"/>
        </w:numPr>
        <w:ind w:leftChars="0" w:firstLineChars="0"/>
        <w:rPr>
          <w:rFonts w:ascii="Arial" w:hAnsi="Arial" w:cs="Arial"/>
          <w:sz w:val="20"/>
          <w:szCs w:val="20"/>
        </w:rPr>
      </w:pPr>
      <w:r w:rsidRPr="00FA0125">
        <w:rPr>
          <w:rFonts w:ascii="Arial" w:hAnsi="Arial" w:cs="Arial"/>
          <w:sz w:val="20"/>
          <w:szCs w:val="20"/>
        </w:rPr>
        <w:t>Retención de líquidos, edemas localizados: evaluación periódica de peso, de síntomas respiratorios.</w:t>
      </w:r>
    </w:p>
    <w:p w:rsidR="00356911" w:rsidRPr="00FA0125" w:rsidRDefault="00356911" w:rsidP="00FA0125">
      <w:pPr>
        <w:pStyle w:val="Prrafodelista"/>
        <w:numPr>
          <w:ilvl w:val="0"/>
          <w:numId w:val="26"/>
        </w:numPr>
        <w:ind w:leftChars="0" w:firstLineChars="0"/>
        <w:rPr>
          <w:rFonts w:ascii="Arial" w:hAnsi="Arial" w:cs="Arial"/>
          <w:sz w:val="20"/>
          <w:szCs w:val="20"/>
        </w:rPr>
      </w:pPr>
      <w:r w:rsidRPr="00FA0125">
        <w:rPr>
          <w:rFonts w:ascii="Arial" w:hAnsi="Arial" w:cs="Arial"/>
          <w:sz w:val="20"/>
          <w:szCs w:val="20"/>
        </w:rPr>
        <w:t>Prolongación QT: ECG, fármacos concomitantes que incrementen el intervalo QT.</w:t>
      </w:r>
    </w:p>
    <w:p w:rsidR="00E85D3F" w:rsidRPr="00FA0125" w:rsidRDefault="00E85D3F" w:rsidP="00356911">
      <w:pPr>
        <w:ind w:leftChars="0" w:left="358" w:firstLineChars="0" w:firstLine="0"/>
        <w:rPr>
          <w:rFonts w:ascii="Arial" w:eastAsia="Arial" w:hAnsi="Arial" w:cs="Arial"/>
          <w:sz w:val="20"/>
          <w:szCs w:val="20"/>
        </w:rPr>
      </w:pPr>
      <w:r w:rsidRPr="00FA0125">
        <w:rPr>
          <w:rFonts w:ascii="Arial" w:hAnsi="Arial" w:cs="Arial"/>
        </w:rPr>
        <w:br/>
      </w:r>
    </w:p>
    <w:tbl>
      <w:tblPr>
        <w:tblStyle w:val="25"/>
        <w:tblW w:w="90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01"/>
      </w:tblGrid>
      <w:tr w:rsidR="00B74082">
        <w:tc>
          <w:tcPr>
            <w:tcW w:w="9001" w:type="dxa"/>
            <w:tcBorders>
              <w:top w:val="single" w:sz="4" w:space="0" w:color="000000"/>
              <w:left w:val="single" w:sz="4" w:space="0" w:color="000000"/>
              <w:bottom w:val="single" w:sz="4" w:space="0" w:color="000000"/>
              <w:right w:val="single" w:sz="4" w:space="0" w:color="000000"/>
            </w:tcBorders>
            <w:shd w:val="clear" w:color="auto" w:fill="B3B3B3"/>
          </w:tcPr>
          <w:p w:rsidR="00B74082" w:rsidRDefault="00DA20C8">
            <w:pPr>
              <w:keepNext/>
              <w:pBdr>
                <w:top w:val="nil"/>
                <w:left w:val="nil"/>
                <w:bottom w:val="nil"/>
                <w:right w:val="nil"/>
                <w:between w:val="nil"/>
              </w:pBdr>
              <w:shd w:val="clear" w:color="auto" w:fill="A6A6A6"/>
              <w:spacing w:line="240" w:lineRule="auto"/>
              <w:ind w:left="0" w:hanging="2"/>
              <w:rPr>
                <w:rFonts w:ascii="Arial" w:eastAsia="Arial" w:hAnsi="Arial" w:cs="Arial"/>
                <w:b/>
                <w:color w:val="000000"/>
                <w:sz w:val="20"/>
                <w:szCs w:val="20"/>
              </w:rPr>
            </w:pPr>
            <w:r>
              <w:rPr>
                <w:rFonts w:ascii="Arial" w:eastAsia="Arial" w:hAnsi="Arial" w:cs="Arial"/>
                <w:b/>
                <w:color w:val="000000"/>
                <w:sz w:val="20"/>
                <w:szCs w:val="20"/>
              </w:rPr>
              <w:t>7. AREA ECONÓMICA</w:t>
            </w:r>
          </w:p>
        </w:tc>
      </w:tr>
    </w:tbl>
    <w:p w:rsidR="00B74082" w:rsidRDefault="00B74082">
      <w:pPr>
        <w:ind w:left="0" w:hanging="2"/>
        <w:jc w:val="both"/>
        <w:rPr>
          <w:rFonts w:ascii="Arial" w:eastAsia="Arial" w:hAnsi="Arial" w:cs="Arial"/>
          <w:sz w:val="20"/>
          <w:szCs w:val="20"/>
          <w:highlight w:val="lightGray"/>
        </w:rPr>
      </w:pPr>
    </w:p>
    <w:p w:rsidR="009E5594" w:rsidRDefault="009E5594">
      <w:pPr>
        <w:ind w:left="0" w:hanging="2"/>
        <w:jc w:val="both"/>
        <w:rPr>
          <w:rFonts w:ascii="Arial" w:eastAsia="Arial" w:hAnsi="Arial" w:cs="Arial"/>
          <w:sz w:val="20"/>
          <w:szCs w:val="20"/>
          <w:highlight w:val="lightGray"/>
        </w:rPr>
      </w:pPr>
      <w:bookmarkStart w:id="86" w:name="_heading=h.2u6wntf" w:colFirst="0" w:colLast="0"/>
      <w:bookmarkEnd w:id="86"/>
    </w:p>
    <w:p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7.1 Costes. Coste incremental</w:t>
      </w:r>
    </w:p>
    <w:p w:rsidR="00B74082" w:rsidRDefault="00B74082">
      <w:pPr>
        <w:ind w:left="0" w:hanging="2"/>
        <w:jc w:val="both"/>
        <w:rPr>
          <w:rFonts w:ascii="Arial" w:eastAsia="Arial" w:hAnsi="Arial" w:cs="Arial"/>
          <w:sz w:val="20"/>
          <w:szCs w:val="20"/>
          <w:highlight w:val="lightGray"/>
        </w:rPr>
      </w:pPr>
    </w:p>
    <w:p w:rsidR="002F419F" w:rsidRPr="002F419F" w:rsidRDefault="009456BB" w:rsidP="002F419F">
      <w:pPr>
        <w:ind w:left="0" w:hanging="2"/>
        <w:jc w:val="both"/>
        <w:rPr>
          <w:rFonts w:ascii="Arial" w:eastAsia="Arial" w:hAnsi="Arial" w:cs="Arial"/>
          <w:sz w:val="20"/>
          <w:szCs w:val="20"/>
        </w:rPr>
      </w:pPr>
      <w:r w:rsidRPr="002F419F">
        <w:rPr>
          <w:rFonts w:ascii="Arial" w:eastAsia="Arial" w:hAnsi="Arial" w:cs="Arial"/>
          <w:sz w:val="20"/>
          <w:szCs w:val="20"/>
        </w:rPr>
        <w:t xml:space="preserve">Se muestra en </w:t>
      </w:r>
      <w:r w:rsidR="00FA0125">
        <w:rPr>
          <w:rFonts w:ascii="Arial" w:eastAsia="Arial" w:hAnsi="Arial" w:cs="Arial"/>
          <w:sz w:val="20"/>
          <w:szCs w:val="20"/>
        </w:rPr>
        <w:t>la</w:t>
      </w:r>
      <w:r w:rsidRPr="002F419F">
        <w:rPr>
          <w:rFonts w:ascii="Arial" w:eastAsia="Arial" w:hAnsi="Arial" w:cs="Arial"/>
          <w:sz w:val="20"/>
          <w:szCs w:val="20"/>
        </w:rPr>
        <w:t xml:space="preserve"> tabla </w:t>
      </w:r>
      <w:r w:rsidR="00FA0125">
        <w:rPr>
          <w:rFonts w:ascii="Arial" w:eastAsia="Arial" w:hAnsi="Arial" w:cs="Arial"/>
          <w:sz w:val="20"/>
          <w:szCs w:val="20"/>
        </w:rPr>
        <w:t xml:space="preserve">7.1.1 </w:t>
      </w:r>
      <w:r w:rsidRPr="002F419F">
        <w:rPr>
          <w:rFonts w:ascii="Arial" w:eastAsia="Arial" w:hAnsi="Arial" w:cs="Arial"/>
          <w:sz w:val="20"/>
          <w:szCs w:val="20"/>
        </w:rPr>
        <w:t>una comparación de costes de la alternativa a evaluar frente a midostaurina, única alternativa con indicación aprobada en España para mastocitosis sistémica</w:t>
      </w:r>
      <w:r w:rsidR="002F419F" w:rsidRPr="002F419F">
        <w:rPr>
          <w:rFonts w:ascii="Arial" w:eastAsia="Arial" w:hAnsi="Arial" w:cs="Arial"/>
          <w:sz w:val="20"/>
          <w:szCs w:val="20"/>
        </w:rPr>
        <w:t>.</w:t>
      </w:r>
    </w:p>
    <w:p w:rsidR="002F419F" w:rsidRDefault="002F419F" w:rsidP="002F419F">
      <w:pPr>
        <w:ind w:leftChars="0" w:left="0" w:firstLineChars="0" w:firstLine="0"/>
        <w:jc w:val="both"/>
        <w:rPr>
          <w:rFonts w:ascii="Arial" w:eastAsia="Arial" w:hAnsi="Arial" w:cs="Arial"/>
          <w:sz w:val="20"/>
          <w:szCs w:val="20"/>
        </w:rPr>
      </w:pPr>
    </w:p>
    <w:p w:rsidR="002F419F" w:rsidRDefault="002F419F" w:rsidP="002F419F">
      <w:pPr>
        <w:ind w:leftChars="0" w:left="0" w:firstLineChars="0" w:firstLine="0"/>
        <w:jc w:val="both"/>
        <w:rPr>
          <w:rFonts w:ascii="Arial" w:eastAsia="Arial" w:hAnsi="Arial" w:cs="Arial"/>
          <w:sz w:val="20"/>
          <w:szCs w:val="20"/>
        </w:rPr>
      </w:pPr>
      <w:r>
        <w:rPr>
          <w:rFonts w:ascii="Arial" w:eastAsia="Arial" w:hAnsi="Arial" w:cs="Arial"/>
          <w:sz w:val="20"/>
          <w:szCs w:val="20"/>
        </w:rPr>
        <w:t>Para los cálculos de costes con avapritinib se escogió el precio aproximado que tiene en EE. UU., realizando posteriormente un análisis de sensibilidad del 15% para reflejar probables descuentos en nuestro mercado. El precio en EE. UU. es de unos 37.000 $</w:t>
      </w:r>
      <w:r w:rsidR="008D2276">
        <w:rPr>
          <w:rFonts w:ascii="Arial" w:eastAsia="Arial" w:hAnsi="Arial" w:cs="Arial"/>
          <w:sz w:val="20"/>
          <w:szCs w:val="20"/>
        </w:rPr>
        <w:t>, con un precio idéntico, independiente de la presentación</w:t>
      </w:r>
      <w:r>
        <w:rPr>
          <w:rFonts w:ascii="Arial" w:eastAsia="Arial" w:hAnsi="Arial" w:cs="Arial"/>
          <w:sz w:val="20"/>
          <w:szCs w:val="20"/>
        </w:rPr>
        <w:t xml:space="preserve"> (factor de conversión: 1€=1$)</w:t>
      </w:r>
      <w:sdt>
        <w:sdtPr>
          <w:rPr>
            <w:rFonts w:ascii="Arial" w:eastAsia="Arial" w:hAnsi="Arial" w:cs="Arial"/>
            <w:sz w:val="20"/>
            <w:szCs w:val="20"/>
          </w:rPr>
          <w:id w:val="1334563062"/>
          <w:citation/>
        </w:sdtPr>
        <w:sdtEndPr>
          <w:rPr>
            <w:vertAlign w:val="superscript"/>
          </w:rPr>
        </w:sdtEndPr>
        <w:sdtContent>
          <w:r w:rsidR="00743E44" w:rsidRPr="0042331C">
            <w:rPr>
              <w:rFonts w:ascii="Arial" w:eastAsia="Arial" w:hAnsi="Arial" w:cs="Arial"/>
              <w:sz w:val="20"/>
              <w:szCs w:val="20"/>
              <w:vertAlign w:val="superscript"/>
            </w:rPr>
            <w:fldChar w:fldCharType="begin"/>
          </w:r>
          <w:r w:rsidRPr="0042331C">
            <w:rPr>
              <w:rFonts w:ascii="Arial" w:eastAsia="Arial" w:hAnsi="Arial" w:cs="Arial"/>
              <w:sz w:val="20"/>
              <w:szCs w:val="20"/>
              <w:vertAlign w:val="superscript"/>
            </w:rPr>
            <w:instrText xml:space="preserve"> CITATION Dru22 \l 3082 </w:instrText>
          </w:r>
          <w:r w:rsidR="00743E44" w:rsidRPr="0042331C">
            <w:rPr>
              <w:rFonts w:ascii="Arial" w:eastAsia="Arial" w:hAnsi="Arial" w:cs="Arial"/>
              <w:sz w:val="20"/>
              <w:szCs w:val="20"/>
              <w:vertAlign w:val="superscript"/>
            </w:rPr>
            <w:fldChar w:fldCharType="separate"/>
          </w:r>
          <w:r w:rsidR="00C560F5">
            <w:rPr>
              <w:rFonts w:ascii="Arial" w:eastAsia="Arial" w:hAnsi="Arial" w:cs="Arial"/>
              <w:noProof/>
              <w:sz w:val="20"/>
              <w:szCs w:val="20"/>
              <w:vertAlign w:val="superscript"/>
            </w:rPr>
            <w:t xml:space="preserve"> </w:t>
          </w:r>
          <w:r w:rsidR="00C560F5" w:rsidRPr="00C560F5">
            <w:rPr>
              <w:rFonts w:ascii="Arial" w:eastAsia="Arial" w:hAnsi="Arial" w:cs="Arial"/>
              <w:noProof/>
              <w:sz w:val="20"/>
              <w:szCs w:val="20"/>
            </w:rPr>
            <w:t>(15)</w:t>
          </w:r>
          <w:r w:rsidR="00743E44" w:rsidRPr="0042331C">
            <w:rPr>
              <w:rFonts w:ascii="Arial" w:eastAsia="Arial" w:hAnsi="Arial" w:cs="Arial"/>
              <w:sz w:val="20"/>
              <w:szCs w:val="20"/>
              <w:vertAlign w:val="superscript"/>
            </w:rPr>
            <w:fldChar w:fldCharType="end"/>
          </w:r>
        </w:sdtContent>
      </w:sdt>
      <w:sdt>
        <w:sdtPr>
          <w:rPr>
            <w:rFonts w:ascii="Arial" w:eastAsia="Arial" w:hAnsi="Arial" w:cs="Arial"/>
            <w:sz w:val="20"/>
            <w:szCs w:val="20"/>
            <w:vertAlign w:val="superscript"/>
          </w:rPr>
          <w:id w:val="-1787959238"/>
          <w:citation/>
        </w:sdtPr>
        <w:sdtEndPr/>
        <w:sdtContent>
          <w:r w:rsidR="00743E44" w:rsidRPr="0042331C">
            <w:rPr>
              <w:rFonts w:ascii="Arial" w:eastAsia="Arial" w:hAnsi="Arial" w:cs="Arial"/>
              <w:sz w:val="20"/>
              <w:szCs w:val="20"/>
              <w:vertAlign w:val="superscript"/>
            </w:rPr>
            <w:fldChar w:fldCharType="begin"/>
          </w:r>
          <w:r w:rsidRPr="0042331C">
            <w:rPr>
              <w:rFonts w:ascii="Arial" w:eastAsia="Arial" w:hAnsi="Arial" w:cs="Arial"/>
              <w:sz w:val="20"/>
              <w:szCs w:val="20"/>
              <w:vertAlign w:val="superscript"/>
            </w:rPr>
            <w:instrText xml:space="preserve"> CITATION Dav20 \l 3082 </w:instrText>
          </w:r>
          <w:r w:rsidR="00743E44" w:rsidRPr="0042331C">
            <w:rPr>
              <w:rFonts w:ascii="Arial" w:eastAsia="Arial" w:hAnsi="Arial" w:cs="Arial"/>
              <w:sz w:val="20"/>
              <w:szCs w:val="20"/>
              <w:vertAlign w:val="superscript"/>
            </w:rPr>
            <w:fldChar w:fldCharType="separate"/>
          </w:r>
          <w:r w:rsidR="00C560F5">
            <w:rPr>
              <w:rFonts w:ascii="Arial" w:eastAsia="Arial" w:hAnsi="Arial" w:cs="Arial"/>
              <w:noProof/>
              <w:sz w:val="20"/>
              <w:szCs w:val="20"/>
              <w:vertAlign w:val="superscript"/>
            </w:rPr>
            <w:t xml:space="preserve"> </w:t>
          </w:r>
          <w:r w:rsidR="00C560F5" w:rsidRPr="00C560F5">
            <w:rPr>
              <w:rFonts w:ascii="Arial" w:eastAsia="Arial" w:hAnsi="Arial" w:cs="Arial"/>
              <w:noProof/>
              <w:sz w:val="20"/>
              <w:szCs w:val="20"/>
            </w:rPr>
            <w:t>(16)</w:t>
          </w:r>
          <w:r w:rsidR="00743E44" w:rsidRPr="0042331C">
            <w:rPr>
              <w:rFonts w:ascii="Arial" w:eastAsia="Arial" w:hAnsi="Arial" w:cs="Arial"/>
              <w:sz w:val="20"/>
              <w:szCs w:val="20"/>
              <w:vertAlign w:val="superscript"/>
            </w:rPr>
            <w:fldChar w:fldCharType="end"/>
          </w:r>
        </w:sdtContent>
      </w:sdt>
      <w:r>
        <w:rPr>
          <w:rFonts w:ascii="Arial" w:eastAsia="Arial" w:hAnsi="Arial" w:cs="Arial"/>
          <w:sz w:val="20"/>
          <w:szCs w:val="20"/>
        </w:rPr>
        <w:t>.</w:t>
      </w:r>
    </w:p>
    <w:p w:rsidR="002F419F" w:rsidRDefault="002F419F" w:rsidP="002F419F">
      <w:pPr>
        <w:ind w:left="0" w:hanging="2"/>
        <w:jc w:val="both"/>
        <w:rPr>
          <w:rFonts w:ascii="Arial" w:eastAsia="Arial" w:hAnsi="Arial" w:cs="Arial"/>
          <w:sz w:val="20"/>
          <w:szCs w:val="20"/>
        </w:rPr>
      </w:pPr>
    </w:p>
    <w:p w:rsidR="002F419F" w:rsidRDefault="002F419F" w:rsidP="002F419F">
      <w:pPr>
        <w:ind w:left="0" w:hanging="2"/>
        <w:jc w:val="both"/>
        <w:rPr>
          <w:rFonts w:ascii="Arial" w:eastAsia="Arial" w:hAnsi="Arial" w:cs="Arial"/>
          <w:sz w:val="20"/>
          <w:szCs w:val="20"/>
        </w:rPr>
      </w:pPr>
      <w:r>
        <w:rPr>
          <w:rFonts w:ascii="Arial" w:eastAsia="Arial" w:hAnsi="Arial" w:cs="Arial"/>
          <w:sz w:val="20"/>
          <w:szCs w:val="20"/>
        </w:rPr>
        <w:t xml:space="preserve">En el caso de midostaurina se realizaron los cálculos con el precio notificado para la especialidad </w:t>
      </w:r>
      <w:r w:rsidRPr="009E5594">
        <w:rPr>
          <w:rFonts w:ascii="Arial" w:eastAsia="Arial" w:hAnsi="Arial" w:cs="Arial"/>
          <w:sz w:val="20"/>
          <w:szCs w:val="20"/>
        </w:rPr>
        <w:t>RYDAPT 25 MG CAPSULAS BLANDAS, 56 cápsulas</w:t>
      </w:r>
      <w:r>
        <w:rPr>
          <w:rFonts w:ascii="Arial" w:eastAsia="Arial" w:hAnsi="Arial" w:cs="Arial"/>
          <w:sz w:val="20"/>
          <w:szCs w:val="20"/>
        </w:rPr>
        <w:t xml:space="preserve"> (6673,73€).  </w:t>
      </w:r>
    </w:p>
    <w:p w:rsidR="002F419F" w:rsidRDefault="002F419F" w:rsidP="002F419F">
      <w:pPr>
        <w:ind w:left="0" w:hanging="2"/>
        <w:jc w:val="both"/>
        <w:rPr>
          <w:rFonts w:ascii="Arial" w:eastAsia="Arial" w:hAnsi="Arial" w:cs="Arial"/>
          <w:sz w:val="20"/>
          <w:szCs w:val="20"/>
        </w:rPr>
      </w:pPr>
    </w:p>
    <w:p w:rsidR="002F419F" w:rsidRDefault="002F419F" w:rsidP="002F419F">
      <w:pPr>
        <w:ind w:left="0" w:hanging="2"/>
        <w:jc w:val="both"/>
        <w:rPr>
          <w:rFonts w:ascii="Arial" w:eastAsia="Arial" w:hAnsi="Arial" w:cs="Arial"/>
          <w:sz w:val="20"/>
          <w:szCs w:val="20"/>
        </w:rPr>
      </w:pPr>
      <w:r w:rsidRPr="009456BB">
        <w:rPr>
          <w:rFonts w:ascii="Arial" w:eastAsia="Arial" w:hAnsi="Arial" w:cs="Arial"/>
          <w:sz w:val="20"/>
          <w:szCs w:val="20"/>
        </w:rPr>
        <w:t xml:space="preserve">No se incluyen en el cálculo costes directos asociados, como los derivados de pruebas de laboratorio, determinaciones de mutaciones genéticas, </w:t>
      </w:r>
      <w:r w:rsidR="00944BBD" w:rsidRPr="009456BB">
        <w:rPr>
          <w:rFonts w:ascii="Arial" w:eastAsia="Arial" w:hAnsi="Arial" w:cs="Arial"/>
          <w:sz w:val="20"/>
          <w:szCs w:val="20"/>
        </w:rPr>
        <w:t>etc.</w:t>
      </w:r>
      <w:r w:rsidRPr="009456BB">
        <w:rPr>
          <w:rFonts w:ascii="Arial" w:eastAsia="Arial" w:hAnsi="Arial" w:cs="Arial"/>
          <w:sz w:val="20"/>
          <w:szCs w:val="20"/>
        </w:rPr>
        <w:t xml:space="preserve">, debido a la variabilidad de </w:t>
      </w:r>
      <w:r w:rsidR="00944BBD" w:rsidRPr="009456BB">
        <w:rPr>
          <w:rFonts w:ascii="Arial" w:eastAsia="Arial" w:hAnsi="Arial" w:cs="Arial"/>
          <w:sz w:val="20"/>
          <w:szCs w:val="20"/>
        </w:rPr>
        <w:t>estos</w:t>
      </w:r>
      <w:r w:rsidR="00285C01">
        <w:rPr>
          <w:rFonts w:ascii="Arial" w:eastAsia="Arial" w:hAnsi="Arial" w:cs="Arial"/>
          <w:sz w:val="20"/>
          <w:szCs w:val="20"/>
        </w:rPr>
        <w:t>, a</w:t>
      </w:r>
      <w:r w:rsidRPr="009456BB">
        <w:rPr>
          <w:rFonts w:ascii="Arial" w:eastAsia="Arial" w:hAnsi="Arial" w:cs="Arial"/>
          <w:sz w:val="20"/>
          <w:szCs w:val="20"/>
        </w:rPr>
        <w:t xml:space="preserve"> la dificultad de realizar una estimación con ellos</w:t>
      </w:r>
      <w:r w:rsidR="00285C01">
        <w:rPr>
          <w:rFonts w:ascii="Arial" w:eastAsia="Arial" w:hAnsi="Arial" w:cs="Arial"/>
          <w:sz w:val="20"/>
          <w:szCs w:val="20"/>
        </w:rPr>
        <w:t xml:space="preserve"> y porque se asume que para ambos fármacos serían similares</w:t>
      </w:r>
      <w:r w:rsidRPr="009456BB">
        <w:rPr>
          <w:rFonts w:ascii="Arial" w:eastAsia="Arial" w:hAnsi="Arial" w:cs="Arial"/>
          <w:sz w:val="20"/>
          <w:szCs w:val="20"/>
        </w:rPr>
        <w:t>. Además, el propio laboratorio comercializador sufraga estas pruebas en ocasiones. Al tratarse de terapias de administración oral no se asumen costes de hospitalización ni hospital de día.</w:t>
      </w:r>
    </w:p>
    <w:p w:rsidR="009456BB" w:rsidRDefault="009456BB">
      <w:pPr>
        <w:ind w:left="0" w:hanging="2"/>
        <w:jc w:val="both"/>
        <w:rPr>
          <w:rFonts w:ascii="Arial" w:eastAsia="Arial" w:hAnsi="Arial" w:cs="Arial"/>
          <w:sz w:val="20"/>
          <w:szCs w:val="20"/>
          <w:highlight w:val="lightGray"/>
        </w:rPr>
      </w:pPr>
    </w:p>
    <w:tbl>
      <w:tblPr>
        <w:tblStyle w:val="24"/>
        <w:tblW w:w="88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47"/>
        <w:gridCol w:w="2902"/>
        <w:gridCol w:w="2941"/>
      </w:tblGrid>
      <w:tr w:rsidR="00B74082">
        <w:trPr>
          <w:cantSplit/>
        </w:trPr>
        <w:tc>
          <w:tcPr>
            <w:tcW w:w="8890" w:type="dxa"/>
            <w:gridSpan w:val="3"/>
            <w:shd w:val="clear" w:color="auto" w:fill="CCFFCC"/>
          </w:tcPr>
          <w:p w:rsidR="00B74082" w:rsidRDefault="00DA20C8">
            <w:pPr>
              <w:ind w:left="0" w:hanging="2"/>
              <w:rPr>
                <w:rFonts w:ascii="Arial" w:eastAsia="Arial" w:hAnsi="Arial" w:cs="Arial"/>
                <w:sz w:val="16"/>
                <w:szCs w:val="16"/>
              </w:rPr>
            </w:pPr>
            <w:r>
              <w:rPr>
                <w:rFonts w:ascii="Arial" w:eastAsia="Arial" w:hAnsi="Arial" w:cs="Arial"/>
                <w:b/>
                <w:sz w:val="18"/>
                <w:szCs w:val="18"/>
              </w:rPr>
              <w:t>Tabla 7.1.1</w:t>
            </w:r>
            <w:r w:rsidR="002F419F">
              <w:rPr>
                <w:rFonts w:ascii="Arial" w:eastAsia="Arial" w:hAnsi="Arial" w:cs="Arial"/>
                <w:b/>
                <w:sz w:val="18"/>
                <w:szCs w:val="18"/>
              </w:rPr>
              <w:t>.a</w:t>
            </w:r>
            <w:r>
              <w:rPr>
                <w:rFonts w:ascii="Arial" w:eastAsia="Arial" w:hAnsi="Arial" w:cs="Arial"/>
                <w:b/>
                <w:sz w:val="18"/>
                <w:szCs w:val="18"/>
              </w:rPr>
              <w:t xml:space="preserve"> Costes de la terapia con el medicamento y con las distintas alternativas </w:t>
            </w:r>
          </w:p>
        </w:tc>
      </w:tr>
      <w:tr w:rsidR="00B73812" w:rsidTr="00B73812">
        <w:tc>
          <w:tcPr>
            <w:tcW w:w="3047" w:type="dxa"/>
            <w:shd w:val="clear" w:color="auto" w:fill="E6E6E6"/>
          </w:tcPr>
          <w:p w:rsidR="00B73812" w:rsidRDefault="00B73812">
            <w:pPr>
              <w:ind w:left="0" w:hanging="2"/>
              <w:jc w:val="both"/>
              <w:rPr>
                <w:rFonts w:ascii="Arial" w:eastAsia="Arial" w:hAnsi="Arial" w:cs="Arial"/>
              </w:rPr>
            </w:pPr>
          </w:p>
        </w:tc>
        <w:tc>
          <w:tcPr>
            <w:tcW w:w="2902" w:type="dxa"/>
            <w:shd w:val="clear" w:color="auto" w:fill="E6E6E6"/>
          </w:tcPr>
          <w:p w:rsidR="00B73812" w:rsidRDefault="00B73812" w:rsidP="008D2276">
            <w:pPr>
              <w:ind w:left="0" w:hanging="2"/>
              <w:jc w:val="center"/>
              <w:rPr>
                <w:rFonts w:ascii="Arial" w:eastAsia="Arial" w:hAnsi="Arial" w:cs="Arial"/>
                <w:sz w:val="16"/>
                <w:szCs w:val="16"/>
              </w:rPr>
            </w:pPr>
            <w:r>
              <w:rPr>
                <w:rFonts w:ascii="Arial" w:eastAsia="Arial" w:hAnsi="Arial" w:cs="Arial"/>
                <w:b/>
                <w:sz w:val="16"/>
                <w:szCs w:val="16"/>
              </w:rPr>
              <w:t>Avapritinib</w:t>
            </w:r>
          </w:p>
          <w:p w:rsidR="00B73812" w:rsidRDefault="00B73812" w:rsidP="008D2276">
            <w:pPr>
              <w:ind w:left="0" w:hanging="2"/>
              <w:jc w:val="center"/>
              <w:rPr>
                <w:rFonts w:ascii="Arial" w:eastAsia="Arial" w:hAnsi="Arial" w:cs="Arial"/>
              </w:rPr>
            </w:pPr>
            <w:r>
              <w:rPr>
                <w:rFonts w:ascii="Arial" w:eastAsia="Arial" w:hAnsi="Arial" w:cs="Arial"/>
                <w:sz w:val="16"/>
                <w:szCs w:val="16"/>
              </w:rPr>
              <w:t>Comprimidos 25, 50, 100, 200 mg</w:t>
            </w:r>
            <w:r w:rsidR="00AF3407">
              <w:rPr>
                <w:rFonts w:ascii="Arial" w:eastAsia="Arial" w:hAnsi="Arial" w:cs="Arial"/>
                <w:sz w:val="16"/>
                <w:szCs w:val="16"/>
              </w:rPr>
              <w:t xml:space="preserve"> (c/30 comprimidos)</w:t>
            </w:r>
          </w:p>
        </w:tc>
        <w:tc>
          <w:tcPr>
            <w:tcW w:w="2941" w:type="dxa"/>
            <w:shd w:val="clear" w:color="auto" w:fill="E6E6E6"/>
          </w:tcPr>
          <w:p w:rsidR="00B73812" w:rsidRDefault="00B73812" w:rsidP="008D2276">
            <w:pPr>
              <w:ind w:left="0" w:hanging="2"/>
              <w:jc w:val="center"/>
              <w:rPr>
                <w:rFonts w:ascii="Arial" w:eastAsia="Arial" w:hAnsi="Arial" w:cs="Arial"/>
                <w:b/>
                <w:sz w:val="16"/>
                <w:szCs w:val="16"/>
              </w:rPr>
            </w:pPr>
            <w:r>
              <w:rPr>
                <w:rFonts w:ascii="Arial" w:eastAsia="Arial" w:hAnsi="Arial" w:cs="Arial"/>
                <w:b/>
                <w:sz w:val="16"/>
                <w:szCs w:val="16"/>
              </w:rPr>
              <w:t>Midostaurina</w:t>
            </w:r>
          </w:p>
          <w:p w:rsidR="008D2276" w:rsidRDefault="00B73812" w:rsidP="008D2276">
            <w:pPr>
              <w:ind w:left="0" w:hanging="2"/>
              <w:jc w:val="center"/>
              <w:rPr>
                <w:rFonts w:ascii="Arial" w:eastAsia="Arial" w:hAnsi="Arial" w:cs="Arial"/>
                <w:bCs/>
                <w:sz w:val="16"/>
                <w:szCs w:val="16"/>
              </w:rPr>
            </w:pPr>
            <w:r w:rsidRPr="00B73812">
              <w:rPr>
                <w:rFonts w:ascii="Arial" w:eastAsia="Arial" w:hAnsi="Arial" w:cs="Arial"/>
                <w:bCs/>
                <w:sz w:val="16"/>
                <w:szCs w:val="16"/>
              </w:rPr>
              <w:t>Cápsulas blandas 25 mg</w:t>
            </w:r>
            <w:r w:rsidR="00AF3407">
              <w:rPr>
                <w:rFonts w:ascii="Arial" w:eastAsia="Arial" w:hAnsi="Arial" w:cs="Arial"/>
                <w:bCs/>
                <w:sz w:val="16"/>
                <w:szCs w:val="16"/>
              </w:rPr>
              <w:t xml:space="preserve"> </w:t>
            </w:r>
          </w:p>
          <w:p w:rsidR="00B73812" w:rsidRDefault="00AF3407" w:rsidP="008D2276">
            <w:pPr>
              <w:ind w:left="0" w:hanging="2"/>
              <w:jc w:val="center"/>
              <w:rPr>
                <w:rFonts w:ascii="Arial" w:eastAsia="Arial" w:hAnsi="Arial" w:cs="Arial"/>
              </w:rPr>
            </w:pPr>
            <w:r>
              <w:rPr>
                <w:rFonts w:ascii="Arial" w:eastAsia="Arial" w:hAnsi="Arial" w:cs="Arial"/>
                <w:bCs/>
                <w:sz w:val="16"/>
                <w:szCs w:val="16"/>
              </w:rPr>
              <w:t>(c/56 cápsulas)</w:t>
            </w:r>
          </w:p>
        </w:tc>
      </w:tr>
      <w:tr w:rsidR="00B73812" w:rsidTr="00B73812">
        <w:trPr>
          <w:trHeight w:val="168"/>
        </w:trPr>
        <w:tc>
          <w:tcPr>
            <w:tcW w:w="3047" w:type="dxa"/>
          </w:tcPr>
          <w:p w:rsidR="00B73812" w:rsidRPr="00B73812" w:rsidRDefault="00B73812">
            <w:pPr>
              <w:ind w:left="0" w:hanging="2"/>
              <w:jc w:val="both"/>
              <w:rPr>
                <w:rFonts w:ascii="Arial" w:eastAsia="Arial" w:hAnsi="Arial" w:cs="Arial"/>
                <w:bCs/>
              </w:rPr>
            </w:pPr>
            <w:r w:rsidRPr="00B73812">
              <w:rPr>
                <w:rFonts w:ascii="Arial" w:eastAsia="Arial" w:hAnsi="Arial" w:cs="Arial"/>
                <w:bCs/>
                <w:sz w:val="16"/>
                <w:szCs w:val="16"/>
              </w:rPr>
              <w:t>Precio unitario (PVL+</w:t>
            </w:r>
            <w:r>
              <w:rPr>
                <w:rFonts w:ascii="Arial" w:eastAsia="Arial" w:hAnsi="Arial" w:cs="Arial"/>
                <w:bCs/>
                <w:sz w:val="16"/>
                <w:szCs w:val="16"/>
              </w:rPr>
              <w:t xml:space="preserve"> 4% </w:t>
            </w:r>
            <w:r w:rsidRPr="00B73812">
              <w:rPr>
                <w:rFonts w:ascii="Arial" w:eastAsia="Arial" w:hAnsi="Arial" w:cs="Arial"/>
                <w:bCs/>
                <w:sz w:val="16"/>
                <w:szCs w:val="16"/>
              </w:rPr>
              <w:t>IVA)</w:t>
            </w:r>
          </w:p>
        </w:tc>
        <w:tc>
          <w:tcPr>
            <w:tcW w:w="2902" w:type="dxa"/>
          </w:tcPr>
          <w:p w:rsidR="00B73812" w:rsidRPr="006F2328" w:rsidRDefault="00B73812" w:rsidP="00B73812">
            <w:pPr>
              <w:ind w:left="0" w:hanging="2"/>
              <w:jc w:val="center"/>
              <w:rPr>
                <w:rFonts w:ascii="Arial" w:eastAsia="Arial" w:hAnsi="Arial" w:cs="Arial"/>
                <w:sz w:val="20"/>
                <w:szCs w:val="20"/>
              </w:rPr>
            </w:pPr>
            <w:r>
              <w:rPr>
                <w:rFonts w:ascii="Arial" w:eastAsia="Arial" w:hAnsi="Arial" w:cs="Arial"/>
                <w:sz w:val="20"/>
                <w:szCs w:val="20"/>
              </w:rPr>
              <w:t>12</w:t>
            </w:r>
            <w:r w:rsidR="00AF3407">
              <w:rPr>
                <w:rFonts w:ascii="Arial" w:eastAsia="Arial" w:hAnsi="Arial" w:cs="Arial"/>
                <w:sz w:val="20"/>
                <w:szCs w:val="20"/>
              </w:rPr>
              <w:t>82,66</w:t>
            </w:r>
            <w:r>
              <w:rPr>
                <w:rFonts w:ascii="Arial" w:eastAsia="Arial" w:hAnsi="Arial" w:cs="Arial"/>
                <w:sz w:val="20"/>
                <w:szCs w:val="20"/>
              </w:rPr>
              <w:t xml:space="preserve"> €</w:t>
            </w:r>
            <w:r w:rsidR="008D2276">
              <w:rPr>
                <w:rFonts w:ascii="Arial" w:eastAsia="Arial" w:hAnsi="Arial" w:cs="Arial"/>
                <w:sz w:val="20"/>
                <w:szCs w:val="20"/>
              </w:rPr>
              <w:t>*</w:t>
            </w:r>
          </w:p>
        </w:tc>
        <w:tc>
          <w:tcPr>
            <w:tcW w:w="2941" w:type="dxa"/>
          </w:tcPr>
          <w:p w:rsidR="008D2276" w:rsidRDefault="00AF3407" w:rsidP="00B73812">
            <w:pPr>
              <w:ind w:left="0" w:hanging="2"/>
              <w:jc w:val="center"/>
              <w:rPr>
                <w:rFonts w:ascii="Arial" w:eastAsia="Arial" w:hAnsi="Arial" w:cs="Arial"/>
                <w:sz w:val="20"/>
                <w:szCs w:val="20"/>
              </w:rPr>
            </w:pPr>
            <w:r>
              <w:rPr>
                <w:rFonts w:ascii="Arial" w:eastAsia="Arial" w:hAnsi="Arial" w:cs="Arial"/>
                <w:sz w:val="20"/>
                <w:szCs w:val="20"/>
              </w:rPr>
              <w:t>123,94</w:t>
            </w:r>
            <w:r w:rsidR="008D2276">
              <w:rPr>
                <w:rFonts w:ascii="Arial" w:eastAsia="Arial" w:hAnsi="Arial" w:cs="Arial"/>
                <w:sz w:val="20"/>
                <w:szCs w:val="20"/>
              </w:rPr>
              <w:t xml:space="preserve"> €  </w:t>
            </w:r>
          </w:p>
          <w:p w:rsidR="00B73812" w:rsidRPr="006F2328" w:rsidRDefault="008D2276" w:rsidP="00B73812">
            <w:pPr>
              <w:ind w:left="0" w:hanging="2"/>
              <w:jc w:val="center"/>
              <w:rPr>
                <w:rFonts w:ascii="Arial" w:eastAsia="Arial" w:hAnsi="Arial" w:cs="Arial"/>
                <w:sz w:val="20"/>
                <w:szCs w:val="20"/>
              </w:rPr>
            </w:pPr>
            <w:r w:rsidRPr="008D2276">
              <w:rPr>
                <w:rFonts w:ascii="Arial" w:eastAsia="Arial" w:hAnsi="Arial" w:cs="Arial"/>
                <w:bCs/>
                <w:sz w:val="16"/>
                <w:szCs w:val="16"/>
              </w:rPr>
              <w:t>(precio por cápsula de 25 mg)</w:t>
            </w:r>
          </w:p>
        </w:tc>
      </w:tr>
      <w:tr w:rsidR="00B73812" w:rsidTr="00B73812">
        <w:tc>
          <w:tcPr>
            <w:tcW w:w="3047" w:type="dxa"/>
          </w:tcPr>
          <w:p w:rsidR="00B73812" w:rsidRPr="00B73812" w:rsidRDefault="00B73812">
            <w:pPr>
              <w:ind w:left="0" w:hanging="2"/>
              <w:jc w:val="both"/>
              <w:rPr>
                <w:rFonts w:ascii="Arial" w:eastAsia="Arial" w:hAnsi="Arial" w:cs="Arial"/>
                <w:bCs/>
              </w:rPr>
            </w:pPr>
            <w:r w:rsidRPr="00B73812">
              <w:rPr>
                <w:rFonts w:ascii="Arial" w:eastAsia="Arial" w:hAnsi="Arial" w:cs="Arial"/>
                <w:bCs/>
                <w:sz w:val="16"/>
                <w:szCs w:val="16"/>
              </w:rPr>
              <w:t>Posología</w:t>
            </w:r>
          </w:p>
        </w:tc>
        <w:tc>
          <w:tcPr>
            <w:tcW w:w="2902" w:type="dxa"/>
          </w:tcPr>
          <w:p w:rsidR="00B73812" w:rsidRPr="006F2328" w:rsidRDefault="00B73812" w:rsidP="00B73812">
            <w:pPr>
              <w:ind w:left="0" w:hanging="2"/>
              <w:jc w:val="center"/>
              <w:rPr>
                <w:rFonts w:ascii="Arial" w:eastAsia="Arial" w:hAnsi="Arial" w:cs="Arial"/>
                <w:sz w:val="20"/>
                <w:szCs w:val="20"/>
              </w:rPr>
            </w:pPr>
            <w:r>
              <w:rPr>
                <w:rFonts w:ascii="Arial" w:eastAsia="Arial" w:hAnsi="Arial" w:cs="Arial"/>
                <w:sz w:val="20"/>
                <w:szCs w:val="20"/>
              </w:rPr>
              <w:t>200 mg/24h</w:t>
            </w:r>
          </w:p>
        </w:tc>
        <w:tc>
          <w:tcPr>
            <w:tcW w:w="2941" w:type="dxa"/>
          </w:tcPr>
          <w:p w:rsidR="00B73812" w:rsidRPr="006F2328" w:rsidRDefault="00B73812" w:rsidP="00B73812">
            <w:pPr>
              <w:ind w:left="0" w:hanging="2"/>
              <w:jc w:val="center"/>
              <w:rPr>
                <w:rFonts w:ascii="Arial" w:eastAsia="Arial" w:hAnsi="Arial" w:cs="Arial"/>
                <w:sz w:val="20"/>
                <w:szCs w:val="20"/>
              </w:rPr>
            </w:pPr>
            <w:r w:rsidRPr="006F2328">
              <w:rPr>
                <w:rFonts w:ascii="Arial" w:eastAsia="Arial" w:hAnsi="Arial" w:cs="Arial"/>
                <w:sz w:val="20"/>
                <w:szCs w:val="20"/>
              </w:rPr>
              <w:t>100 mg / 12h</w:t>
            </w:r>
          </w:p>
        </w:tc>
      </w:tr>
      <w:tr w:rsidR="00B73812" w:rsidTr="00B73812">
        <w:tc>
          <w:tcPr>
            <w:tcW w:w="3047" w:type="dxa"/>
          </w:tcPr>
          <w:p w:rsidR="00B73812" w:rsidRDefault="00B73812">
            <w:pPr>
              <w:ind w:left="0" w:hanging="2"/>
              <w:jc w:val="both"/>
              <w:rPr>
                <w:rFonts w:ascii="Arial" w:eastAsia="Arial" w:hAnsi="Arial" w:cs="Arial"/>
              </w:rPr>
            </w:pPr>
            <w:r w:rsidRPr="00B73812">
              <w:rPr>
                <w:rFonts w:ascii="Arial" w:eastAsia="Arial" w:hAnsi="Arial" w:cs="Arial"/>
                <w:sz w:val="16"/>
                <w:szCs w:val="16"/>
              </w:rPr>
              <w:t>Coste día o por ciclo (ciclos de 28 días para midostaurina y mes de 30 días para avapritinib)</w:t>
            </w:r>
          </w:p>
        </w:tc>
        <w:tc>
          <w:tcPr>
            <w:tcW w:w="2902" w:type="dxa"/>
          </w:tcPr>
          <w:p w:rsidR="00B73812" w:rsidRPr="006F2328" w:rsidRDefault="00B73812" w:rsidP="00B73812">
            <w:pPr>
              <w:ind w:left="0" w:hanging="2"/>
              <w:jc w:val="center"/>
              <w:rPr>
                <w:rFonts w:ascii="Arial" w:eastAsia="Arial" w:hAnsi="Arial" w:cs="Arial"/>
                <w:sz w:val="20"/>
                <w:szCs w:val="20"/>
              </w:rPr>
            </w:pPr>
            <w:r>
              <w:rPr>
                <w:rFonts w:ascii="Arial" w:eastAsia="Arial" w:hAnsi="Arial" w:cs="Arial"/>
                <w:sz w:val="20"/>
                <w:szCs w:val="20"/>
              </w:rPr>
              <w:t>3</w:t>
            </w:r>
            <w:r w:rsidR="00AF3407">
              <w:rPr>
                <w:rFonts w:ascii="Arial" w:eastAsia="Arial" w:hAnsi="Arial" w:cs="Arial"/>
                <w:sz w:val="20"/>
                <w:szCs w:val="20"/>
              </w:rPr>
              <w:t>8.480,00</w:t>
            </w:r>
            <w:r>
              <w:rPr>
                <w:rFonts w:ascii="Arial" w:eastAsia="Arial" w:hAnsi="Arial" w:cs="Arial"/>
                <w:sz w:val="20"/>
                <w:szCs w:val="20"/>
              </w:rPr>
              <w:t xml:space="preserve"> €</w:t>
            </w:r>
          </w:p>
        </w:tc>
        <w:tc>
          <w:tcPr>
            <w:tcW w:w="2941" w:type="dxa"/>
          </w:tcPr>
          <w:p w:rsidR="00B73812" w:rsidRPr="006F2328" w:rsidRDefault="00B73812" w:rsidP="00B73812">
            <w:pPr>
              <w:ind w:left="0" w:hanging="2"/>
              <w:jc w:val="center"/>
              <w:rPr>
                <w:rFonts w:ascii="Arial" w:eastAsia="Arial" w:hAnsi="Arial" w:cs="Arial"/>
                <w:sz w:val="20"/>
                <w:szCs w:val="20"/>
              </w:rPr>
            </w:pPr>
            <w:r>
              <w:rPr>
                <w:rFonts w:ascii="Arial" w:eastAsia="Arial" w:hAnsi="Arial" w:cs="Arial"/>
                <w:sz w:val="20"/>
                <w:szCs w:val="20"/>
              </w:rPr>
              <w:t>2</w:t>
            </w:r>
            <w:r w:rsidR="002C01F8">
              <w:rPr>
                <w:rFonts w:ascii="Arial" w:eastAsia="Arial" w:hAnsi="Arial" w:cs="Arial"/>
                <w:sz w:val="20"/>
                <w:szCs w:val="20"/>
              </w:rPr>
              <w:t>7.761,84</w:t>
            </w:r>
            <w:r>
              <w:rPr>
                <w:rFonts w:ascii="Arial" w:eastAsia="Arial" w:hAnsi="Arial" w:cs="Arial"/>
                <w:sz w:val="20"/>
                <w:szCs w:val="20"/>
              </w:rPr>
              <w:t xml:space="preserve"> €</w:t>
            </w:r>
          </w:p>
        </w:tc>
      </w:tr>
      <w:tr w:rsidR="00B73812" w:rsidTr="00B73812">
        <w:tc>
          <w:tcPr>
            <w:tcW w:w="3047" w:type="dxa"/>
          </w:tcPr>
          <w:p w:rsidR="00B73812" w:rsidRPr="00B73812" w:rsidRDefault="00B73812" w:rsidP="00B73812">
            <w:pPr>
              <w:ind w:left="0" w:hanging="2"/>
              <w:rPr>
                <w:rFonts w:ascii="Arial" w:eastAsia="Arial" w:hAnsi="Arial" w:cs="Arial"/>
                <w:bCs/>
                <w:sz w:val="16"/>
                <w:szCs w:val="16"/>
              </w:rPr>
            </w:pPr>
            <w:r w:rsidRPr="00B73812">
              <w:rPr>
                <w:rFonts w:ascii="Arial" w:eastAsia="Arial" w:hAnsi="Arial" w:cs="Arial"/>
                <w:bCs/>
                <w:sz w:val="16"/>
                <w:szCs w:val="16"/>
              </w:rPr>
              <w:t>Cost</w:t>
            </w:r>
            <w:r>
              <w:rPr>
                <w:rFonts w:ascii="Arial" w:eastAsia="Arial" w:hAnsi="Arial" w:cs="Arial"/>
                <w:bCs/>
                <w:sz w:val="16"/>
                <w:szCs w:val="16"/>
              </w:rPr>
              <w:t>e</w:t>
            </w:r>
            <w:r>
              <w:rPr>
                <w:rFonts w:ascii="Arial" w:eastAsia="Arial" w:hAnsi="Arial" w:cs="Arial"/>
                <w:sz w:val="16"/>
                <w:szCs w:val="16"/>
              </w:rPr>
              <w:t xml:space="preserve"> tratamiento/año (13 ciclos midostaurina y 1 año avapritinib)</w:t>
            </w:r>
          </w:p>
        </w:tc>
        <w:tc>
          <w:tcPr>
            <w:tcW w:w="2902" w:type="dxa"/>
          </w:tcPr>
          <w:p w:rsidR="00B73812" w:rsidRPr="006F2328" w:rsidRDefault="00B73812" w:rsidP="00B73812">
            <w:pPr>
              <w:ind w:left="0" w:hanging="2"/>
              <w:jc w:val="center"/>
              <w:rPr>
                <w:rFonts w:ascii="Arial" w:eastAsia="Arial" w:hAnsi="Arial" w:cs="Arial"/>
                <w:sz w:val="20"/>
                <w:szCs w:val="20"/>
              </w:rPr>
            </w:pPr>
            <w:r>
              <w:rPr>
                <w:rFonts w:ascii="Arial" w:eastAsia="Arial" w:hAnsi="Arial" w:cs="Arial"/>
                <w:sz w:val="20"/>
                <w:szCs w:val="20"/>
              </w:rPr>
              <w:t>4</w:t>
            </w:r>
            <w:r w:rsidR="002C01F8">
              <w:rPr>
                <w:rFonts w:ascii="Arial" w:eastAsia="Arial" w:hAnsi="Arial" w:cs="Arial"/>
                <w:sz w:val="20"/>
                <w:szCs w:val="20"/>
              </w:rPr>
              <w:t>61.760</w:t>
            </w:r>
            <w:r>
              <w:rPr>
                <w:rFonts w:ascii="Arial" w:eastAsia="Arial" w:hAnsi="Arial" w:cs="Arial"/>
                <w:sz w:val="20"/>
                <w:szCs w:val="20"/>
              </w:rPr>
              <w:t xml:space="preserve"> €</w:t>
            </w:r>
          </w:p>
        </w:tc>
        <w:tc>
          <w:tcPr>
            <w:tcW w:w="2941" w:type="dxa"/>
          </w:tcPr>
          <w:p w:rsidR="00B73812" w:rsidRPr="006F2328" w:rsidRDefault="002C01F8" w:rsidP="00B73812">
            <w:pPr>
              <w:ind w:left="0" w:hanging="2"/>
              <w:jc w:val="center"/>
              <w:rPr>
                <w:rFonts w:ascii="Arial" w:eastAsia="Arial" w:hAnsi="Arial" w:cs="Arial"/>
                <w:sz w:val="20"/>
                <w:szCs w:val="20"/>
              </w:rPr>
            </w:pPr>
            <w:r>
              <w:rPr>
                <w:rFonts w:ascii="Arial" w:eastAsia="Arial" w:hAnsi="Arial" w:cs="Arial"/>
                <w:sz w:val="20"/>
                <w:szCs w:val="20"/>
              </w:rPr>
              <w:t>360.904</w:t>
            </w:r>
            <w:r w:rsidR="00B73812">
              <w:rPr>
                <w:rFonts w:ascii="Arial" w:eastAsia="Arial" w:hAnsi="Arial" w:cs="Arial"/>
                <w:sz w:val="20"/>
                <w:szCs w:val="20"/>
              </w:rPr>
              <w:t xml:space="preserve"> €</w:t>
            </w:r>
          </w:p>
        </w:tc>
      </w:tr>
      <w:tr w:rsidR="00B73812" w:rsidTr="00B73812">
        <w:tc>
          <w:tcPr>
            <w:tcW w:w="3047" w:type="dxa"/>
          </w:tcPr>
          <w:p w:rsidR="00B73812" w:rsidRDefault="00B73812">
            <w:pPr>
              <w:ind w:left="0" w:hanging="2"/>
              <w:jc w:val="both"/>
              <w:rPr>
                <w:rFonts w:ascii="Arial" w:eastAsia="Arial" w:hAnsi="Arial" w:cs="Arial"/>
                <w:sz w:val="16"/>
                <w:szCs w:val="16"/>
              </w:rPr>
            </w:pPr>
            <w:r>
              <w:rPr>
                <w:rFonts w:ascii="Arial" w:eastAsia="Arial" w:hAnsi="Arial" w:cs="Arial"/>
                <w:b/>
                <w:sz w:val="16"/>
                <w:szCs w:val="16"/>
              </w:rPr>
              <w:t>Costes directos asociados</w:t>
            </w:r>
          </w:p>
        </w:tc>
        <w:tc>
          <w:tcPr>
            <w:tcW w:w="2902" w:type="dxa"/>
          </w:tcPr>
          <w:p w:rsidR="00B73812" w:rsidRPr="006F2328" w:rsidRDefault="00AF3407" w:rsidP="00B73812">
            <w:pPr>
              <w:ind w:left="0" w:hanging="2"/>
              <w:jc w:val="center"/>
              <w:rPr>
                <w:rFonts w:ascii="Arial" w:eastAsia="Arial" w:hAnsi="Arial" w:cs="Arial"/>
                <w:sz w:val="20"/>
                <w:szCs w:val="20"/>
              </w:rPr>
            </w:pPr>
            <w:r>
              <w:rPr>
                <w:rFonts w:ascii="Arial" w:eastAsia="Arial" w:hAnsi="Arial" w:cs="Arial"/>
                <w:sz w:val="20"/>
                <w:szCs w:val="20"/>
              </w:rPr>
              <w:t>-</w:t>
            </w:r>
          </w:p>
        </w:tc>
        <w:tc>
          <w:tcPr>
            <w:tcW w:w="2941" w:type="dxa"/>
          </w:tcPr>
          <w:p w:rsidR="00B73812" w:rsidRPr="006F2328" w:rsidRDefault="00AF3407" w:rsidP="00B73812">
            <w:pPr>
              <w:ind w:left="0" w:hanging="2"/>
              <w:jc w:val="center"/>
              <w:rPr>
                <w:rFonts w:ascii="Arial" w:eastAsia="Arial" w:hAnsi="Arial" w:cs="Arial"/>
                <w:sz w:val="20"/>
                <w:szCs w:val="20"/>
              </w:rPr>
            </w:pPr>
            <w:r>
              <w:rPr>
                <w:rFonts w:ascii="Arial" w:eastAsia="Arial" w:hAnsi="Arial" w:cs="Arial"/>
                <w:sz w:val="20"/>
                <w:szCs w:val="20"/>
              </w:rPr>
              <w:t>-</w:t>
            </w:r>
          </w:p>
        </w:tc>
      </w:tr>
      <w:tr w:rsidR="00B73812" w:rsidTr="00B73812">
        <w:tc>
          <w:tcPr>
            <w:tcW w:w="3047" w:type="dxa"/>
          </w:tcPr>
          <w:p w:rsidR="00B73812" w:rsidRPr="002F419F" w:rsidRDefault="002F419F">
            <w:pPr>
              <w:ind w:left="0" w:hanging="2"/>
              <w:rPr>
                <w:rFonts w:ascii="Arial" w:eastAsia="Arial" w:hAnsi="Arial" w:cs="Arial"/>
                <w:b/>
                <w:sz w:val="16"/>
                <w:szCs w:val="16"/>
              </w:rPr>
            </w:pPr>
            <w:r w:rsidRPr="002F419F">
              <w:rPr>
                <w:rFonts w:ascii="Arial" w:eastAsia="Arial" w:hAnsi="Arial" w:cs="Arial"/>
                <w:b/>
                <w:sz w:val="16"/>
                <w:szCs w:val="16"/>
              </w:rPr>
              <w:t xml:space="preserve">Coste </w:t>
            </w:r>
            <w:r w:rsidR="00B73812" w:rsidRPr="002F419F">
              <w:rPr>
                <w:rFonts w:ascii="Arial" w:eastAsia="Arial" w:hAnsi="Arial" w:cs="Arial"/>
                <w:b/>
                <w:sz w:val="16"/>
                <w:szCs w:val="16"/>
              </w:rPr>
              <w:t xml:space="preserve">tratamiento/año </w:t>
            </w:r>
          </w:p>
        </w:tc>
        <w:tc>
          <w:tcPr>
            <w:tcW w:w="2902" w:type="dxa"/>
          </w:tcPr>
          <w:p w:rsidR="00B73812" w:rsidRPr="006F2328" w:rsidRDefault="002F419F" w:rsidP="00B73812">
            <w:pPr>
              <w:ind w:left="0" w:hanging="2"/>
              <w:jc w:val="center"/>
              <w:rPr>
                <w:rFonts w:ascii="Arial" w:eastAsia="Arial" w:hAnsi="Arial" w:cs="Arial"/>
                <w:sz w:val="20"/>
                <w:szCs w:val="20"/>
              </w:rPr>
            </w:pPr>
            <w:r>
              <w:rPr>
                <w:rFonts w:ascii="Arial" w:eastAsia="Arial" w:hAnsi="Arial" w:cs="Arial"/>
                <w:sz w:val="20"/>
                <w:szCs w:val="20"/>
              </w:rPr>
              <w:t>461.760 €</w:t>
            </w:r>
          </w:p>
        </w:tc>
        <w:tc>
          <w:tcPr>
            <w:tcW w:w="2941" w:type="dxa"/>
          </w:tcPr>
          <w:p w:rsidR="00B73812" w:rsidRPr="006F2328" w:rsidRDefault="002F419F" w:rsidP="00B73812">
            <w:pPr>
              <w:ind w:left="0" w:hanging="2"/>
              <w:jc w:val="center"/>
              <w:rPr>
                <w:rFonts w:ascii="Arial" w:eastAsia="Arial" w:hAnsi="Arial" w:cs="Arial"/>
                <w:sz w:val="20"/>
                <w:szCs w:val="20"/>
              </w:rPr>
            </w:pPr>
            <w:r>
              <w:rPr>
                <w:rFonts w:ascii="Arial" w:eastAsia="Arial" w:hAnsi="Arial" w:cs="Arial"/>
                <w:sz w:val="20"/>
                <w:szCs w:val="20"/>
              </w:rPr>
              <w:t>360.904 €</w:t>
            </w:r>
          </w:p>
        </w:tc>
      </w:tr>
      <w:tr w:rsidR="00B73812" w:rsidTr="00B73812">
        <w:tc>
          <w:tcPr>
            <w:tcW w:w="3047" w:type="dxa"/>
          </w:tcPr>
          <w:p w:rsidR="00B73812" w:rsidRDefault="00B73812">
            <w:pPr>
              <w:ind w:left="0" w:hanging="2"/>
              <w:rPr>
                <w:rFonts w:ascii="Arial" w:eastAsia="Arial" w:hAnsi="Arial" w:cs="Arial"/>
                <w:sz w:val="16"/>
                <w:szCs w:val="16"/>
              </w:rPr>
            </w:pPr>
            <w:r>
              <w:rPr>
                <w:rFonts w:ascii="Arial" w:eastAsia="Arial" w:hAnsi="Arial" w:cs="Arial"/>
                <w:b/>
                <w:sz w:val="16"/>
                <w:szCs w:val="16"/>
              </w:rPr>
              <w:t>Coste incremental (diferencial</w:t>
            </w:r>
            <w:r w:rsidR="002C01F8">
              <w:rPr>
                <w:rFonts w:ascii="Arial" w:eastAsia="Arial" w:hAnsi="Arial" w:cs="Arial"/>
                <w:b/>
                <w:sz w:val="16"/>
                <w:szCs w:val="16"/>
              </w:rPr>
              <w:t>)</w:t>
            </w:r>
          </w:p>
        </w:tc>
        <w:tc>
          <w:tcPr>
            <w:tcW w:w="2902" w:type="dxa"/>
          </w:tcPr>
          <w:p w:rsidR="00B73812" w:rsidRPr="00FA0125" w:rsidRDefault="002C01F8" w:rsidP="00B73812">
            <w:pPr>
              <w:ind w:left="0" w:hanging="2"/>
              <w:jc w:val="center"/>
              <w:rPr>
                <w:rFonts w:ascii="Arial" w:eastAsia="Arial" w:hAnsi="Arial" w:cs="Arial"/>
                <w:b/>
                <w:sz w:val="20"/>
                <w:szCs w:val="20"/>
              </w:rPr>
            </w:pPr>
            <w:r w:rsidRPr="00FA0125">
              <w:rPr>
                <w:rFonts w:ascii="Arial" w:eastAsia="Arial" w:hAnsi="Arial" w:cs="Arial"/>
                <w:b/>
                <w:color w:val="C00000"/>
                <w:sz w:val="20"/>
                <w:szCs w:val="20"/>
              </w:rPr>
              <w:t>+ 100.856 €</w:t>
            </w:r>
          </w:p>
        </w:tc>
        <w:tc>
          <w:tcPr>
            <w:tcW w:w="2941" w:type="dxa"/>
          </w:tcPr>
          <w:p w:rsidR="00B73812" w:rsidRPr="006F2328" w:rsidRDefault="002C01F8" w:rsidP="00B73812">
            <w:pPr>
              <w:ind w:left="0" w:hanging="2"/>
              <w:jc w:val="center"/>
              <w:rPr>
                <w:rFonts w:ascii="Arial" w:eastAsia="Arial" w:hAnsi="Arial" w:cs="Arial"/>
                <w:sz w:val="20"/>
                <w:szCs w:val="20"/>
              </w:rPr>
            </w:pPr>
            <w:r>
              <w:rPr>
                <w:rFonts w:ascii="Arial" w:eastAsia="Arial" w:hAnsi="Arial" w:cs="Arial"/>
                <w:sz w:val="20"/>
                <w:szCs w:val="20"/>
              </w:rPr>
              <w:t>-</w:t>
            </w:r>
          </w:p>
        </w:tc>
      </w:tr>
      <w:tr w:rsidR="00B74082">
        <w:trPr>
          <w:cantSplit/>
        </w:trPr>
        <w:tc>
          <w:tcPr>
            <w:tcW w:w="8890" w:type="dxa"/>
            <w:gridSpan w:val="3"/>
            <w:shd w:val="clear" w:color="auto" w:fill="E6E6E6"/>
          </w:tcPr>
          <w:p w:rsidR="00B74082" w:rsidRDefault="00DA20C8" w:rsidP="009456BB">
            <w:pPr>
              <w:ind w:left="0" w:hanging="2"/>
              <w:jc w:val="both"/>
              <w:rPr>
                <w:rFonts w:ascii="Arial" w:eastAsia="Arial" w:hAnsi="Arial" w:cs="Arial"/>
                <w:sz w:val="16"/>
                <w:szCs w:val="16"/>
              </w:rPr>
            </w:pPr>
            <w:r>
              <w:rPr>
                <w:rFonts w:ascii="Arial" w:eastAsia="Arial" w:hAnsi="Arial" w:cs="Arial"/>
                <w:sz w:val="16"/>
                <w:szCs w:val="16"/>
              </w:rPr>
              <w:t xml:space="preserve">* </w:t>
            </w:r>
            <w:r w:rsidR="00DC75BF">
              <w:rPr>
                <w:rFonts w:ascii="Arial" w:eastAsia="Arial" w:hAnsi="Arial" w:cs="Arial"/>
                <w:sz w:val="16"/>
                <w:szCs w:val="16"/>
              </w:rPr>
              <w:t>En EEUU el precio de las distintas presentaciones con diferentes dosis, según la bibliografía encontrada, es el mismo.</w:t>
            </w:r>
            <w:r>
              <w:rPr>
                <w:rFonts w:ascii="Arial" w:eastAsia="Arial" w:hAnsi="Arial" w:cs="Arial"/>
                <w:sz w:val="16"/>
                <w:szCs w:val="16"/>
              </w:rPr>
              <w:t xml:space="preserve"> </w:t>
            </w:r>
          </w:p>
        </w:tc>
      </w:tr>
    </w:tbl>
    <w:p w:rsidR="00B74082" w:rsidRDefault="00B74082">
      <w:pPr>
        <w:ind w:left="0" w:hanging="2"/>
        <w:jc w:val="both"/>
        <w:rPr>
          <w:rFonts w:ascii="Arial" w:eastAsia="Arial" w:hAnsi="Arial" w:cs="Arial"/>
        </w:rPr>
      </w:pPr>
    </w:p>
    <w:p w:rsidR="00B74082" w:rsidRDefault="002F419F">
      <w:pPr>
        <w:ind w:left="0" w:hanging="2"/>
        <w:jc w:val="both"/>
        <w:rPr>
          <w:rFonts w:ascii="Arial" w:eastAsia="Arial" w:hAnsi="Arial" w:cs="Arial"/>
          <w:sz w:val="20"/>
          <w:szCs w:val="20"/>
        </w:rPr>
      </w:pPr>
      <w:r w:rsidRPr="002F419F">
        <w:rPr>
          <w:rFonts w:ascii="Arial" w:eastAsia="Arial" w:hAnsi="Arial" w:cs="Arial"/>
          <w:sz w:val="20"/>
          <w:szCs w:val="20"/>
        </w:rPr>
        <w:lastRenderedPageBreak/>
        <w:t xml:space="preserve">Se realiza </w:t>
      </w:r>
      <w:r w:rsidR="00FA0125">
        <w:rPr>
          <w:rFonts w:ascii="Arial" w:eastAsia="Arial" w:hAnsi="Arial" w:cs="Arial"/>
          <w:sz w:val="20"/>
          <w:szCs w:val="20"/>
        </w:rPr>
        <w:t xml:space="preserve">en </w:t>
      </w:r>
      <w:r w:rsidR="00FA0125">
        <w:rPr>
          <w:rFonts w:ascii="Arial" w:eastAsia="Arial" w:hAnsi="Arial" w:cs="Arial"/>
          <w:b/>
          <w:sz w:val="18"/>
          <w:szCs w:val="18"/>
        </w:rPr>
        <w:t xml:space="preserve">Tabla 7.1.1.b </w:t>
      </w:r>
      <w:r w:rsidRPr="002F419F">
        <w:rPr>
          <w:rFonts w:ascii="Arial" w:eastAsia="Arial" w:hAnsi="Arial" w:cs="Arial"/>
          <w:sz w:val="20"/>
          <w:szCs w:val="20"/>
        </w:rPr>
        <w:t>un análisis de sensibilidad teniendo en cuenta un descuento aproximado en el precio de avapritinib en España respecto del coste aproximado en EEUU de un 15%</w:t>
      </w:r>
    </w:p>
    <w:p w:rsidR="002F419F" w:rsidRDefault="002F419F">
      <w:pPr>
        <w:ind w:left="0" w:hanging="2"/>
        <w:jc w:val="both"/>
        <w:rPr>
          <w:rFonts w:ascii="Arial" w:eastAsia="Arial" w:hAnsi="Arial" w:cs="Arial"/>
          <w:sz w:val="20"/>
          <w:szCs w:val="20"/>
        </w:rPr>
      </w:pPr>
    </w:p>
    <w:tbl>
      <w:tblPr>
        <w:tblStyle w:val="24"/>
        <w:tblW w:w="88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47"/>
        <w:gridCol w:w="2902"/>
        <w:gridCol w:w="2941"/>
      </w:tblGrid>
      <w:tr w:rsidR="002F419F" w:rsidTr="00702882">
        <w:trPr>
          <w:cantSplit/>
        </w:trPr>
        <w:tc>
          <w:tcPr>
            <w:tcW w:w="8890" w:type="dxa"/>
            <w:gridSpan w:val="3"/>
            <w:shd w:val="clear" w:color="auto" w:fill="CCFFCC"/>
          </w:tcPr>
          <w:p w:rsidR="002F419F" w:rsidRDefault="002F419F" w:rsidP="00702882">
            <w:pPr>
              <w:ind w:left="0" w:hanging="2"/>
              <w:rPr>
                <w:rFonts w:ascii="Arial" w:eastAsia="Arial" w:hAnsi="Arial" w:cs="Arial"/>
                <w:sz w:val="16"/>
                <w:szCs w:val="16"/>
              </w:rPr>
            </w:pPr>
            <w:r>
              <w:rPr>
                <w:rFonts w:ascii="Arial" w:eastAsia="Arial" w:hAnsi="Arial" w:cs="Arial"/>
                <w:b/>
                <w:sz w:val="18"/>
                <w:szCs w:val="18"/>
              </w:rPr>
              <w:t>Tabla 7.1.1.b Costes de la terapia con el medicamento y con las distintas alternativas (incluye descuento del precio de avapritinib de un 15%)</w:t>
            </w:r>
          </w:p>
        </w:tc>
      </w:tr>
      <w:tr w:rsidR="002F419F" w:rsidTr="00702882">
        <w:tc>
          <w:tcPr>
            <w:tcW w:w="3047" w:type="dxa"/>
            <w:shd w:val="clear" w:color="auto" w:fill="E6E6E6"/>
          </w:tcPr>
          <w:p w:rsidR="002F419F" w:rsidRDefault="002F419F" w:rsidP="00702882">
            <w:pPr>
              <w:ind w:left="0" w:hanging="2"/>
              <w:jc w:val="both"/>
              <w:rPr>
                <w:rFonts w:ascii="Arial" w:eastAsia="Arial" w:hAnsi="Arial" w:cs="Arial"/>
              </w:rPr>
            </w:pPr>
          </w:p>
        </w:tc>
        <w:tc>
          <w:tcPr>
            <w:tcW w:w="2902" w:type="dxa"/>
            <w:shd w:val="clear" w:color="auto" w:fill="E6E6E6"/>
          </w:tcPr>
          <w:p w:rsidR="002F419F" w:rsidRDefault="002F419F" w:rsidP="00702882">
            <w:pPr>
              <w:ind w:left="0" w:hanging="2"/>
              <w:jc w:val="both"/>
              <w:rPr>
                <w:rFonts w:ascii="Arial" w:eastAsia="Arial" w:hAnsi="Arial" w:cs="Arial"/>
                <w:sz w:val="16"/>
                <w:szCs w:val="16"/>
              </w:rPr>
            </w:pPr>
            <w:r>
              <w:rPr>
                <w:rFonts w:ascii="Arial" w:eastAsia="Arial" w:hAnsi="Arial" w:cs="Arial"/>
                <w:b/>
                <w:sz w:val="16"/>
                <w:szCs w:val="16"/>
              </w:rPr>
              <w:t>Avapritinib</w:t>
            </w:r>
          </w:p>
          <w:p w:rsidR="002F419F" w:rsidRDefault="002F419F" w:rsidP="00702882">
            <w:pPr>
              <w:ind w:left="0" w:hanging="2"/>
              <w:jc w:val="both"/>
              <w:rPr>
                <w:rFonts w:ascii="Arial" w:eastAsia="Arial" w:hAnsi="Arial" w:cs="Arial"/>
              </w:rPr>
            </w:pPr>
            <w:r>
              <w:rPr>
                <w:rFonts w:ascii="Arial" w:eastAsia="Arial" w:hAnsi="Arial" w:cs="Arial"/>
                <w:sz w:val="16"/>
                <w:szCs w:val="16"/>
              </w:rPr>
              <w:t>Comprimidos 25, 50, 100, 200 mg (c/30 comprimidos)</w:t>
            </w:r>
          </w:p>
        </w:tc>
        <w:tc>
          <w:tcPr>
            <w:tcW w:w="2941" w:type="dxa"/>
            <w:shd w:val="clear" w:color="auto" w:fill="E6E6E6"/>
          </w:tcPr>
          <w:p w:rsidR="002F419F" w:rsidRDefault="002F419F" w:rsidP="00702882">
            <w:pPr>
              <w:ind w:left="0" w:hanging="2"/>
              <w:jc w:val="both"/>
              <w:rPr>
                <w:rFonts w:ascii="Arial" w:eastAsia="Arial" w:hAnsi="Arial" w:cs="Arial"/>
                <w:b/>
                <w:sz w:val="16"/>
                <w:szCs w:val="16"/>
              </w:rPr>
            </w:pPr>
            <w:r>
              <w:rPr>
                <w:rFonts w:ascii="Arial" w:eastAsia="Arial" w:hAnsi="Arial" w:cs="Arial"/>
                <w:b/>
                <w:sz w:val="16"/>
                <w:szCs w:val="16"/>
              </w:rPr>
              <w:t>Midostaurina</w:t>
            </w:r>
          </w:p>
          <w:p w:rsidR="002F419F" w:rsidRDefault="002F419F" w:rsidP="00702882">
            <w:pPr>
              <w:ind w:left="0" w:hanging="2"/>
              <w:jc w:val="both"/>
              <w:rPr>
                <w:rFonts w:ascii="Arial" w:eastAsia="Arial" w:hAnsi="Arial" w:cs="Arial"/>
              </w:rPr>
            </w:pPr>
            <w:r w:rsidRPr="00B73812">
              <w:rPr>
                <w:rFonts w:ascii="Arial" w:eastAsia="Arial" w:hAnsi="Arial" w:cs="Arial"/>
                <w:bCs/>
                <w:sz w:val="16"/>
                <w:szCs w:val="16"/>
              </w:rPr>
              <w:t>Cápsulas blandas 25 mg</w:t>
            </w:r>
            <w:r>
              <w:rPr>
                <w:rFonts w:ascii="Arial" w:eastAsia="Arial" w:hAnsi="Arial" w:cs="Arial"/>
                <w:bCs/>
                <w:sz w:val="16"/>
                <w:szCs w:val="16"/>
              </w:rPr>
              <w:t xml:space="preserve"> (c/56 cápsulas)</w:t>
            </w:r>
          </w:p>
        </w:tc>
      </w:tr>
      <w:tr w:rsidR="002F419F" w:rsidTr="00702882">
        <w:trPr>
          <w:trHeight w:val="168"/>
        </w:trPr>
        <w:tc>
          <w:tcPr>
            <w:tcW w:w="3047" w:type="dxa"/>
          </w:tcPr>
          <w:p w:rsidR="002F419F" w:rsidRPr="00B73812" w:rsidRDefault="002F419F" w:rsidP="00702882">
            <w:pPr>
              <w:ind w:left="0" w:hanging="2"/>
              <w:jc w:val="both"/>
              <w:rPr>
                <w:rFonts w:ascii="Arial" w:eastAsia="Arial" w:hAnsi="Arial" w:cs="Arial"/>
                <w:bCs/>
              </w:rPr>
            </w:pPr>
            <w:r w:rsidRPr="00B73812">
              <w:rPr>
                <w:rFonts w:ascii="Arial" w:eastAsia="Arial" w:hAnsi="Arial" w:cs="Arial"/>
                <w:bCs/>
                <w:sz w:val="16"/>
                <w:szCs w:val="16"/>
              </w:rPr>
              <w:t>Precio unitario (PVL+</w:t>
            </w:r>
            <w:r>
              <w:rPr>
                <w:rFonts w:ascii="Arial" w:eastAsia="Arial" w:hAnsi="Arial" w:cs="Arial"/>
                <w:bCs/>
                <w:sz w:val="16"/>
                <w:szCs w:val="16"/>
              </w:rPr>
              <w:t xml:space="preserve"> 4% </w:t>
            </w:r>
            <w:r w:rsidRPr="00B73812">
              <w:rPr>
                <w:rFonts w:ascii="Arial" w:eastAsia="Arial" w:hAnsi="Arial" w:cs="Arial"/>
                <w:bCs/>
                <w:sz w:val="16"/>
                <w:szCs w:val="16"/>
              </w:rPr>
              <w:t>IVA)</w:t>
            </w:r>
          </w:p>
        </w:tc>
        <w:tc>
          <w:tcPr>
            <w:tcW w:w="2902" w:type="dxa"/>
          </w:tcPr>
          <w:p w:rsidR="002F419F" w:rsidRPr="006F2328" w:rsidRDefault="002F419F" w:rsidP="00702882">
            <w:pPr>
              <w:ind w:left="0" w:hanging="2"/>
              <w:jc w:val="center"/>
              <w:rPr>
                <w:rFonts w:ascii="Arial" w:eastAsia="Arial" w:hAnsi="Arial" w:cs="Arial"/>
                <w:sz w:val="20"/>
                <w:szCs w:val="20"/>
              </w:rPr>
            </w:pPr>
            <w:r>
              <w:rPr>
                <w:rFonts w:ascii="Arial" w:eastAsia="Arial" w:hAnsi="Arial" w:cs="Arial"/>
                <w:sz w:val="20"/>
                <w:szCs w:val="20"/>
              </w:rPr>
              <w:t>1090,26 €</w:t>
            </w:r>
          </w:p>
        </w:tc>
        <w:tc>
          <w:tcPr>
            <w:tcW w:w="2941" w:type="dxa"/>
          </w:tcPr>
          <w:p w:rsidR="002F419F" w:rsidRPr="006F2328" w:rsidRDefault="002F419F" w:rsidP="00702882">
            <w:pPr>
              <w:ind w:left="0" w:hanging="2"/>
              <w:jc w:val="center"/>
              <w:rPr>
                <w:rFonts w:ascii="Arial" w:eastAsia="Arial" w:hAnsi="Arial" w:cs="Arial"/>
                <w:sz w:val="20"/>
                <w:szCs w:val="20"/>
              </w:rPr>
            </w:pPr>
            <w:r>
              <w:rPr>
                <w:rFonts w:ascii="Arial" w:eastAsia="Arial" w:hAnsi="Arial" w:cs="Arial"/>
                <w:sz w:val="20"/>
                <w:szCs w:val="20"/>
              </w:rPr>
              <w:t>123,94 € *</w:t>
            </w:r>
          </w:p>
        </w:tc>
      </w:tr>
      <w:tr w:rsidR="002F419F" w:rsidTr="00702882">
        <w:tc>
          <w:tcPr>
            <w:tcW w:w="3047" w:type="dxa"/>
          </w:tcPr>
          <w:p w:rsidR="002F419F" w:rsidRPr="00B73812" w:rsidRDefault="002F419F" w:rsidP="00702882">
            <w:pPr>
              <w:ind w:left="0" w:hanging="2"/>
              <w:jc w:val="both"/>
              <w:rPr>
                <w:rFonts w:ascii="Arial" w:eastAsia="Arial" w:hAnsi="Arial" w:cs="Arial"/>
                <w:bCs/>
              </w:rPr>
            </w:pPr>
            <w:r w:rsidRPr="00B73812">
              <w:rPr>
                <w:rFonts w:ascii="Arial" w:eastAsia="Arial" w:hAnsi="Arial" w:cs="Arial"/>
                <w:bCs/>
                <w:sz w:val="16"/>
                <w:szCs w:val="16"/>
              </w:rPr>
              <w:t>Posología</w:t>
            </w:r>
          </w:p>
        </w:tc>
        <w:tc>
          <w:tcPr>
            <w:tcW w:w="2902" w:type="dxa"/>
          </w:tcPr>
          <w:p w:rsidR="002F419F" w:rsidRPr="006F2328" w:rsidRDefault="002F419F" w:rsidP="00702882">
            <w:pPr>
              <w:ind w:left="0" w:hanging="2"/>
              <w:jc w:val="center"/>
              <w:rPr>
                <w:rFonts w:ascii="Arial" w:eastAsia="Arial" w:hAnsi="Arial" w:cs="Arial"/>
                <w:sz w:val="20"/>
                <w:szCs w:val="20"/>
              </w:rPr>
            </w:pPr>
            <w:r>
              <w:rPr>
                <w:rFonts w:ascii="Arial" w:eastAsia="Arial" w:hAnsi="Arial" w:cs="Arial"/>
                <w:sz w:val="20"/>
                <w:szCs w:val="20"/>
              </w:rPr>
              <w:t>200 mg/24h</w:t>
            </w:r>
          </w:p>
        </w:tc>
        <w:tc>
          <w:tcPr>
            <w:tcW w:w="2941" w:type="dxa"/>
          </w:tcPr>
          <w:p w:rsidR="002F419F" w:rsidRPr="006F2328" w:rsidRDefault="002F419F" w:rsidP="00702882">
            <w:pPr>
              <w:ind w:left="0" w:hanging="2"/>
              <w:jc w:val="center"/>
              <w:rPr>
                <w:rFonts w:ascii="Arial" w:eastAsia="Arial" w:hAnsi="Arial" w:cs="Arial"/>
                <w:sz w:val="20"/>
                <w:szCs w:val="20"/>
              </w:rPr>
            </w:pPr>
            <w:r w:rsidRPr="006F2328">
              <w:rPr>
                <w:rFonts w:ascii="Arial" w:eastAsia="Arial" w:hAnsi="Arial" w:cs="Arial"/>
                <w:sz w:val="20"/>
                <w:szCs w:val="20"/>
              </w:rPr>
              <w:t>100 mg / 12h</w:t>
            </w:r>
          </w:p>
        </w:tc>
      </w:tr>
      <w:tr w:rsidR="002F419F" w:rsidTr="00702882">
        <w:tc>
          <w:tcPr>
            <w:tcW w:w="3047" w:type="dxa"/>
          </w:tcPr>
          <w:p w:rsidR="002F419F" w:rsidRDefault="002F419F" w:rsidP="00702882">
            <w:pPr>
              <w:ind w:left="0" w:hanging="2"/>
              <w:jc w:val="both"/>
              <w:rPr>
                <w:rFonts w:ascii="Arial" w:eastAsia="Arial" w:hAnsi="Arial" w:cs="Arial"/>
              </w:rPr>
            </w:pPr>
            <w:r w:rsidRPr="00B73812">
              <w:rPr>
                <w:rFonts w:ascii="Arial" w:eastAsia="Arial" w:hAnsi="Arial" w:cs="Arial"/>
                <w:sz w:val="16"/>
                <w:szCs w:val="16"/>
              </w:rPr>
              <w:t>Coste día o por ciclo (ciclos de 28 días para midostaurina y mes de 30 días para avapritinib)</w:t>
            </w:r>
          </w:p>
        </w:tc>
        <w:tc>
          <w:tcPr>
            <w:tcW w:w="2902" w:type="dxa"/>
          </w:tcPr>
          <w:p w:rsidR="002F419F" w:rsidRPr="006F2328" w:rsidRDefault="002F419F" w:rsidP="00702882">
            <w:pPr>
              <w:ind w:left="0" w:hanging="2"/>
              <w:jc w:val="center"/>
              <w:rPr>
                <w:rFonts w:ascii="Arial" w:eastAsia="Arial" w:hAnsi="Arial" w:cs="Arial"/>
                <w:sz w:val="20"/>
                <w:szCs w:val="20"/>
              </w:rPr>
            </w:pPr>
            <w:r>
              <w:rPr>
                <w:rFonts w:ascii="Arial" w:eastAsia="Arial" w:hAnsi="Arial" w:cs="Arial"/>
                <w:sz w:val="20"/>
                <w:szCs w:val="20"/>
              </w:rPr>
              <w:t>3</w:t>
            </w:r>
            <w:r w:rsidR="007D751F">
              <w:rPr>
                <w:rFonts w:ascii="Arial" w:eastAsia="Arial" w:hAnsi="Arial" w:cs="Arial"/>
                <w:sz w:val="20"/>
                <w:szCs w:val="20"/>
              </w:rPr>
              <w:t>2.708</w:t>
            </w:r>
            <w:r>
              <w:rPr>
                <w:rFonts w:ascii="Arial" w:eastAsia="Arial" w:hAnsi="Arial" w:cs="Arial"/>
                <w:sz w:val="20"/>
                <w:szCs w:val="20"/>
              </w:rPr>
              <w:t>,00 €</w:t>
            </w:r>
          </w:p>
        </w:tc>
        <w:tc>
          <w:tcPr>
            <w:tcW w:w="2941" w:type="dxa"/>
          </w:tcPr>
          <w:p w:rsidR="002F419F" w:rsidRPr="006F2328" w:rsidRDefault="002F419F" w:rsidP="00702882">
            <w:pPr>
              <w:ind w:left="0" w:hanging="2"/>
              <w:jc w:val="center"/>
              <w:rPr>
                <w:rFonts w:ascii="Arial" w:eastAsia="Arial" w:hAnsi="Arial" w:cs="Arial"/>
                <w:sz w:val="20"/>
                <w:szCs w:val="20"/>
              </w:rPr>
            </w:pPr>
            <w:r>
              <w:rPr>
                <w:rFonts w:ascii="Arial" w:eastAsia="Arial" w:hAnsi="Arial" w:cs="Arial"/>
                <w:sz w:val="20"/>
                <w:szCs w:val="20"/>
              </w:rPr>
              <w:t>27.761,84 €</w:t>
            </w:r>
          </w:p>
        </w:tc>
      </w:tr>
      <w:tr w:rsidR="002F419F" w:rsidTr="00702882">
        <w:tc>
          <w:tcPr>
            <w:tcW w:w="3047" w:type="dxa"/>
          </w:tcPr>
          <w:p w:rsidR="002F419F" w:rsidRPr="00B73812" w:rsidRDefault="002F419F" w:rsidP="00702882">
            <w:pPr>
              <w:ind w:left="0" w:hanging="2"/>
              <w:rPr>
                <w:rFonts w:ascii="Arial" w:eastAsia="Arial" w:hAnsi="Arial" w:cs="Arial"/>
                <w:bCs/>
                <w:sz w:val="16"/>
                <w:szCs w:val="16"/>
              </w:rPr>
            </w:pPr>
            <w:r w:rsidRPr="00B73812">
              <w:rPr>
                <w:rFonts w:ascii="Arial" w:eastAsia="Arial" w:hAnsi="Arial" w:cs="Arial"/>
                <w:bCs/>
                <w:sz w:val="16"/>
                <w:szCs w:val="16"/>
              </w:rPr>
              <w:t>Cost</w:t>
            </w:r>
            <w:r>
              <w:rPr>
                <w:rFonts w:ascii="Arial" w:eastAsia="Arial" w:hAnsi="Arial" w:cs="Arial"/>
                <w:bCs/>
                <w:sz w:val="16"/>
                <w:szCs w:val="16"/>
              </w:rPr>
              <w:t>e</w:t>
            </w:r>
            <w:r>
              <w:rPr>
                <w:rFonts w:ascii="Arial" w:eastAsia="Arial" w:hAnsi="Arial" w:cs="Arial"/>
                <w:sz w:val="16"/>
                <w:szCs w:val="16"/>
              </w:rPr>
              <w:t xml:space="preserve"> tratamiento/año (13 ciclos midostaurina y 1 año avapritinib)</w:t>
            </w:r>
          </w:p>
        </w:tc>
        <w:tc>
          <w:tcPr>
            <w:tcW w:w="2902" w:type="dxa"/>
          </w:tcPr>
          <w:p w:rsidR="002F419F" w:rsidRPr="006F2328" w:rsidRDefault="007D751F" w:rsidP="00702882">
            <w:pPr>
              <w:ind w:left="0" w:hanging="2"/>
              <w:jc w:val="center"/>
              <w:rPr>
                <w:rFonts w:ascii="Arial" w:eastAsia="Arial" w:hAnsi="Arial" w:cs="Arial"/>
                <w:sz w:val="20"/>
                <w:szCs w:val="20"/>
              </w:rPr>
            </w:pPr>
            <w:r>
              <w:rPr>
                <w:rFonts w:ascii="Arial" w:eastAsia="Arial" w:hAnsi="Arial" w:cs="Arial"/>
                <w:sz w:val="20"/>
                <w:szCs w:val="20"/>
              </w:rPr>
              <w:t>392.496</w:t>
            </w:r>
            <w:r w:rsidR="002F419F">
              <w:rPr>
                <w:rFonts w:ascii="Arial" w:eastAsia="Arial" w:hAnsi="Arial" w:cs="Arial"/>
                <w:sz w:val="20"/>
                <w:szCs w:val="20"/>
              </w:rPr>
              <w:t xml:space="preserve"> €</w:t>
            </w:r>
          </w:p>
        </w:tc>
        <w:tc>
          <w:tcPr>
            <w:tcW w:w="2941" w:type="dxa"/>
          </w:tcPr>
          <w:p w:rsidR="002F419F" w:rsidRPr="006F2328" w:rsidRDefault="002F419F" w:rsidP="00702882">
            <w:pPr>
              <w:ind w:left="0" w:hanging="2"/>
              <w:jc w:val="center"/>
              <w:rPr>
                <w:rFonts w:ascii="Arial" w:eastAsia="Arial" w:hAnsi="Arial" w:cs="Arial"/>
                <w:sz w:val="20"/>
                <w:szCs w:val="20"/>
              </w:rPr>
            </w:pPr>
            <w:r>
              <w:rPr>
                <w:rFonts w:ascii="Arial" w:eastAsia="Arial" w:hAnsi="Arial" w:cs="Arial"/>
                <w:sz w:val="20"/>
                <w:szCs w:val="20"/>
              </w:rPr>
              <w:t>360.904 €</w:t>
            </w:r>
          </w:p>
        </w:tc>
      </w:tr>
      <w:tr w:rsidR="002F419F" w:rsidTr="00702882">
        <w:tc>
          <w:tcPr>
            <w:tcW w:w="3047" w:type="dxa"/>
          </w:tcPr>
          <w:p w:rsidR="002F419F" w:rsidRDefault="002F419F" w:rsidP="00702882">
            <w:pPr>
              <w:ind w:left="0" w:hanging="2"/>
              <w:jc w:val="both"/>
              <w:rPr>
                <w:rFonts w:ascii="Arial" w:eastAsia="Arial" w:hAnsi="Arial" w:cs="Arial"/>
                <w:sz w:val="16"/>
                <w:szCs w:val="16"/>
              </w:rPr>
            </w:pPr>
            <w:r>
              <w:rPr>
                <w:rFonts w:ascii="Arial" w:eastAsia="Arial" w:hAnsi="Arial" w:cs="Arial"/>
                <w:b/>
                <w:sz w:val="16"/>
                <w:szCs w:val="16"/>
              </w:rPr>
              <w:t>Costes directos asociados</w:t>
            </w:r>
          </w:p>
        </w:tc>
        <w:tc>
          <w:tcPr>
            <w:tcW w:w="2902" w:type="dxa"/>
          </w:tcPr>
          <w:p w:rsidR="002F419F" w:rsidRPr="006F2328" w:rsidRDefault="002F419F" w:rsidP="00702882">
            <w:pPr>
              <w:ind w:left="0" w:hanging="2"/>
              <w:jc w:val="center"/>
              <w:rPr>
                <w:rFonts w:ascii="Arial" w:eastAsia="Arial" w:hAnsi="Arial" w:cs="Arial"/>
                <w:sz w:val="20"/>
                <w:szCs w:val="20"/>
              </w:rPr>
            </w:pPr>
            <w:r>
              <w:rPr>
                <w:rFonts w:ascii="Arial" w:eastAsia="Arial" w:hAnsi="Arial" w:cs="Arial"/>
                <w:sz w:val="20"/>
                <w:szCs w:val="20"/>
              </w:rPr>
              <w:t>-</w:t>
            </w:r>
          </w:p>
        </w:tc>
        <w:tc>
          <w:tcPr>
            <w:tcW w:w="2941" w:type="dxa"/>
          </w:tcPr>
          <w:p w:rsidR="002F419F" w:rsidRPr="006F2328" w:rsidRDefault="002F419F" w:rsidP="00702882">
            <w:pPr>
              <w:ind w:left="0" w:hanging="2"/>
              <w:jc w:val="center"/>
              <w:rPr>
                <w:rFonts w:ascii="Arial" w:eastAsia="Arial" w:hAnsi="Arial" w:cs="Arial"/>
                <w:sz w:val="20"/>
                <w:szCs w:val="20"/>
              </w:rPr>
            </w:pPr>
            <w:r>
              <w:rPr>
                <w:rFonts w:ascii="Arial" w:eastAsia="Arial" w:hAnsi="Arial" w:cs="Arial"/>
                <w:sz w:val="20"/>
                <w:szCs w:val="20"/>
              </w:rPr>
              <w:t>-</w:t>
            </w:r>
          </w:p>
        </w:tc>
      </w:tr>
      <w:tr w:rsidR="002F419F" w:rsidTr="00702882">
        <w:tc>
          <w:tcPr>
            <w:tcW w:w="3047" w:type="dxa"/>
          </w:tcPr>
          <w:p w:rsidR="002F419F" w:rsidRPr="002F419F" w:rsidRDefault="002F419F" w:rsidP="00702882">
            <w:pPr>
              <w:ind w:left="0" w:hanging="2"/>
              <w:rPr>
                <w:rFonts w:ascii="Arial" w:eastAsia="Arial" w:hAnsi="Arial" w:cs="Arial"/>
                <w:b/>
                <w:sz w:val="16"/>
                <w:szCs w:val="16"/>
              </w:rPr>
            </w:pPr>
            <w:r w:rsidRPr="002F419F">
              <w:rPr>
                <w:rFonts w:ascii="Arial" w:eastAsia="Arial" w:hAnsi="Arial" w:cs="Arial"/>
                <w:b/>
                <w:sz w:val="16"/>
                <w:szCs w:val="16"/>
              </w:rPr>
              <w:t xml:space="preserve">Coste tratamiento/año </w:t>
            </w:r>
          </w:p>
        </w:tc>
        <w:tc>
          <w:tcPr>
            <w:tcW w:w="2902" w:type="dxa"/>
          </w:tcPr>
          <w:p w:rsidR="002F419F" w:rsidRPr="006F2328" w:rsidRDefault="007D751F" w:rsidP="00702882">
            <w:pPr>
              <w:ind w:left="0" w:hanging="2"/>
              <w:jc w:val="center"/>
              <w:rPr>
                <w:rFonts w:ascii="Arial" w:eastAsia="Arial" w:hAnsi="Arial" w:cs="Arial"/>
                <w:sz w:val="20"/>
                <w:szCs w:val="20"/>
              </w:rPr>
            </w:pPr>
            <w:r>
              <w:rPr>
                <w:rFonts w:ascii="Arial" w:eastAsia="Arial" w:hAnsi="Arial" w:cs="Arial"/>
                <w:sz w:val="20"/>
                <w:szCs w:val="20"/>
              </w:rPr>
              <w:t>392.496 €</w:t>
            </w:r>
          </w:p>
        </w:tc>
        <w:tc>
          <w:tcPr>
            <w:tcW w:w="2941" w:type="dxa"/>
          </w:tcPr>
          <w:p w:rsidR="002F419F" w:rsidRPr="006F2328" w:rsidRDefault="002F419F" w:rsidP="00702882">
            <w:pPr>
              <w:ind w:left="0" w:hanging="2"/>
              <w:jc w:val="center"/>
              <w:rPr>
                <w:rFonts w:ascii="Arial" w:eastAsia="Arial" w:hAnsi="Arial" w:cs="Arial"/>
                <w:sz w:val="20"/>
                <w:szCs w:val="20"/>
              </w:rPr>
            </w:pPr>
            <w:r>
              <w:rPr>
                <w:rFonts w:ascii="Arial" w:eastAsia="Arial" w:hAnsi="Arial" w:cs="Arial"/>
                <w:sz w:val="20"/>
                <w:szCs w:val="20"/>
              </w:rPr>
              <w:t>360.904 €</w:t>
            </w:r>
          </w:p>
        </w:tc>
      </w:tr>
      <w:tr w:rsidR="00324D74" w:rsidTr="00702882">
        <w:tc>
          <w:tcPr>
            <w:tcW w:w="3047" w:type="dxa"/>
          </w:tcPr>
          <w:p w:rsidR="00324D74" w:rsidRPr="002F419F" w:rsidRDefault="00324D74" w:rsidP="00702882">
            <w:pPr>
              <w:ind w:left="0" w:hanging="2"/>
              <w:rPr>
                <w:rFonts w:ascii="Arial" w:eastAsia="Arial" w:hAnsi="Arial" w:cs="Arial"/>
                <w:b/>
                <w:sz w:val="16"/>
                <w:szCs w:val="16"/>
              </w:rPr>
            </w:pPr>
            <w:r w:rsidRPr="002F419F">
              <w:rPr>
                <w:rFonts w:ascii="Arial" w:eastAsia="Arial" w:hAnsi="Arial" w:cs="Arial"/>
                <w:b/>
                <w:sz w:val="16"/>
                <w:szCs w:val="16"/>
              </w:rPr>
              <w:t>Coste tratamiento/</w:t>
            </w:r>
            <w:r>
              <w:rPr>
                <w:rFonts w:ascii="Arial" w:eastAsia="Arial" w:hAnsi="Arial" w:cs="Arial"/>
                <w:b/>
                <w:sz w:val="16"/>
                <w:szCs w:val="16"/>
              </w:rPr>
              <w:t xml:space="preserve">2 </w:t>
            </w:r>
            <w:r w:rsidRPr="002F419F">
              <w:rPr>
                <w:rFonts w:ascii="Arial" w:eastAsia="Arial" w:hAnsi="Arial" w:cs="Arial"/>
                <w:b/>
                <w:sz w:val="16"/>
                <w:szCs w:val="16"/>
              </w:rPr>
              <w:t>año</w:t>
            </w:r>
            <w:r>
              <w:rPr>
                <w:rFonts w:ascii="Arial" w:eastAsia="Arial" w:hAnsi="Arial" w:cs="Arial"/>
                <w:b/>
                <w:sz w:val="16"/>
                <w:szCs w:val="16"/>
              </w:rPr>
              <w:t>s</w:t>
            </w:r>
          </w:p>
        </w:tc>
        <w:tc>
          <w:tcPr>
            <w:tcW w:w="2902" w:type="dxa"/>
          </w:tcPr>
          <w:p w:rsidR="00324D74" w:rsidRDefault="00324D74" w:rsidP="00702882">
            <w:pPr>
              <w:ind w:left="0" w:hanging="2"/>
              <w:jc w:val="center"/>
              <w:rPr>
                <w:rFonts w:ascii="Arial" w:eastAsia="Arial" w:hAnsi="Arial" w:cs="Arial"/>
                <w:sz w:val="20"/>
                <w:szCs w:val="20"/>
              </w:rPr>
            </w:pPr>
            <w:r>
              <w:rPr>
                <w:rFonts w:ascii="Arial" w:eastAsia="Arial" w:hAnsi="Arial" w:cs="Arial"/>
                <w:sz w:val="20"/>
                <w:szCs w:val="20"/>
              </w:rPr>
              <w:t>784.992 €</w:t>
            </w:r>
          </w:p>
        </w:tc>
        <w:tc>
          <w:tcPr>
            <w:tcW w:w="2941" w:type="dxa"/>
          </w:tcPr>
          <w:p w:rsidR="00324D74" w:rsidRDefault="00324D74" w:rsidP="00702882">
            <w:pPr>
              <w:ind w:left="0" w:hanging="2"/>
              <w:jc w:val="center"/>
              <w:rPr>
                <w:rFonts w:ascii="Arial" w:eastAsia="Arial" w:hAnsi="Arial" w:cs="Arial"/>
                <w:sz w:val="20"/>
                <w:szCs w:val="20"/>
              </w:rPr>
            </w:pPr>
            <w:r>
              <w:rPr>
                <w:rFonts w:ascii="Arial" w:eastAsia="Arial" w:hAnsi="Arial" w:cs="Arial"/>
                <w:sz w:val="20"/>
                <w:szCs w:val="20"/>
              </w:rPr>
              <w:t>721.808 €</w:t>
            </w:r>
          </w:p>
        </w:tc>
      </w:tr>
      <w:tr w:rsidR="00324D74" w:rsidTr="00702882">
        <w:tc>
          <w:tcPr>
            <w:tcW w:w="3047" w:type="dxa"/>
          </w:tcPr>
          <w:p w:rsidR="00324D74" w:rsidRPr="002F419F" w:rsidRDefault="00324D74" w:rsidP="00702882">
            <w:pPr>
              <w:ind w:left="0" w:hanging="2"/>
              <w:rPr>
                <w:rFonts w:ascii="Arial" w:eastAsia="Arial" w:hAnsi="Arial" w:cs="Arial"/>
                <w:b/>
                <w:sz w:val="16"/>
                <w:szCs w:val="16"/>
              </w:rPr>
            </w:pPr>
            <w:r w:rsidRPr="002F419F">
              <w:rPr>
                <w:rFonts w:ascii="Arial" w:eastAsia="Arial" w:hAnsi="Arial" w:cs="Arial"/>
                <w:b/>
                <w:sz w:val="16"/>
                <w:szCs w:val="16"/>
              </w:rPr>
              <w:t>Coste tratamiento/</w:t>
            </w:r>
            <w:r>
              <w:rPr>
                <w:rFonts w:ascii="Arial" w:eastAsia="Arial" w:hAnsi="Arial" w:cs="Arial"/>
                <w:b/>
                <w:sz w:val="16"/>
                <w:szCs w:val="16"/>
              </w:rPr>
              <w:t xml:space="preserve">3 </w:t>
            </w:r>
            <w:r w:rsidRPr="002F419F">
              <w:rPr>
                <w:rFonts w:ascii="Arial" w:eastAsia="Arial" w:hAnsi="Arial" w:cs="Arial"/>
                <w:b/>
                <w:sz w:val="16"/>
                <w:szCs w:val="16"/>
              </w:rPr>
              <w:t>año</w:t>
            </w:r>
            <w:r>
              <w:rPr>
                <w:rFonts w:ascii="Arial" w:eastAsia="Arial" w:hAnsi="Arial" w:cs="Arial"/>
                <w:b/>
                <w:sz w:val="16"/>
                <w:szCs w:val="16"/>
              </w:rPr>
              <w:t>s</w:t>
            </w:r>
          </w:p>
        </w:tc>
        <w:tc>
          <w:tcPr>
            <w:tcW w:w="2902" w:type="dxa"/>
          </w:tcPr>
          <w:p w:rsidR="00324D74" w:rsidRDefault="00324D74" w:rsidP="00702882">
            <w:pPr>
              <w:ind w:left="0" w:hanging="2"/>
              <w:jc w:val="center"/>
              <w:rPr>
                <w:rFonts w:ascii="Arial" w:eastAsia="Arial" w:hAnsi="Arial" w:cs="Arial"/>
                <w:sz w:val="20"/>
                <w:szCs w:val="20"/>
              </w:rPr>
            </w:pPr>
            <w:r>
              <w:rPr>
                <w:rFonts w:ascii="Arial" w:eastAsia="Arial" w:hAnsi="Arial" w:cs="Arial"/>
                <w:sz w:val="20"/>
                <w:szCs w:val="20"/>
              </w:rPr>
              <w:t>1.177.488 €</w:t>
            </w:r>
          </w:p>
        </w:tc>
        <w:tc>
          <w:tcPr>
            <w:tcW w:w="2941" w:type="dxa"/>
          </w:tcPr>
          <w:p w:rsidR="00324D74" w:rsidRDefault="00324D74" w:rsidP="00702882">
            <w:pPr>
              <w:ind w:left="0" w:hanging="2"/>
              <w:jc w:val="center"/>
              <w:rPr>
                <w:rFonts w:ascii="Arial" w:eastAsia="Arial" w:hAnsi="Arial" w:cs="Arial"/>
                <w:sz w:val="20"/>
                <w:szCs w:val="20"/>
              </w:rPr>
            </w:pPr>
            <w:r>
              <w:rPr>
                <w:rFonts w:ascii="Arial" w:eastAsia="Arial" w:hAnsi="Arial" w:cs="Arial"/>
                <w:sz w:val="20"/>
                <w:szCs w:val="20"/>
              </w:rPr>
              <w:t>1.082.712 €</w:t>
            </w:r>
          </w:p>
        </w:tc>
      </w:tr>
      <w:tr w:rsidR="002F419F" w:rsidTr="00702882">
        <w:tc>
          <w:tcPr>
            <w:tcW w:w="3047" w:type="dxa"/>
          </w:tcPr>
          <w:p w:rsidR="002F419F" w:rsidRDefault="002F419F" w:rsidP="00702882">
            <w:pPr>
              <w:ind w:left="0" w:hanging="2"/>
              <w:rPr>
                <w:rFonts w:ascii="Arial" w:eastAsia="Arial" w:hAnsi="Arial" w:cs="Arial"/>
                <w:sz w:val="16"/>
                <w:szCs w:val="16"/>
              </w:rPr>
            </w:pPr>
            <w:r>
              <w:rPr>
                <w:rFonts w:ascii="Arial" w:eastAsia="Arial" w:hAnsi="Arial" w:cs="Arial"/>
                <w:b/>
                <w:sz w:val="16"/>
                <w:szCs w:val="16"/>
              </w:rPr>
              <w:t>Coste incremental (diferencial)</w:t>
            </w:r>
            <w:r w:rsidR="00324D74">
              <w:rPr>
                <w:rFonts w:ascii="Arial" w:eastAsia="Arial" w:hAnsi="Arial" w:cs="Arial"/>
                <w:b/>
                <w:sz w:val="16"/>
                <w:szCs w:val="16"/>
              </w:rPr>
              <w:t xml:space="preserve"> 1 año</w:t>
            </w:r>
          </w:p>
        </w:tc>
        <w:tc>
          <w:tcPr>
            <w:tcW w:w="2902" w:type="dxa"/>
          </w:tcPr>
          <w:p w:rsidR="002F419F" w:rsidRPr="006F2328" w:rsidRDefault="002F419F" w:rsidP="00702882">
            <w:pPr>
              <w:ind w:left="0" w:hanging="2"/>
              <w:jc w:val="center"/>
              <w:rPr>
                <w:rFonts w:ascii="Arial" w:eastAsia="Arial" w:hAnsi="Arial" w:cs="Arial"/>
                <w:sz w:val="20"/>
                <w:szCs w:val="20"/>
              </w:rPr>
            </w:pPr>
            <w:r w:rsidRPr="002C01F8">
              <w:rPr>
                <w:rFonts w:ascii="Arial" w:eastAsia="Arial" w:hAnsi="Arial" w:cs="Arial"/>
                <w:color w:val="C00000"/>
                <w:sz w:val="20"/>
                <w:szCs w:val="20"/>
              </w:rPr>
              <w:t xml:space="preserve">+ </w:t>
            </w:r>
            <w:r w:rsidR="007D751F">
              <w:rPr>
                <w:rFonts w:ascii="Arial" w:eastAsia="Arial" w:hAnsi="Arial" w:cs="Arial"/>
                <w:color w:val="C00000"/>
                <w:sz w:val="20"/>
                <w:szCs w:val="20"/>
              </w:rPr>
              <w:t>31.592</w:t>
            </w:r>
            <w:r w:rsidRPr="002C01F8">
              <w:rPr>
                <w:rFonts w:ascii="Arial" w:eastAsia="Arial" w:hAnsi="Arial" w:cs="Arial"/>
                <w:color w:val="C00000"/>
                <w:sz w:val="20"/>
                <w:szCs w:val="20"/>
              </w:rPr>
              <w:t xml:space="preserve"> €</w:t>
            </w:r>
          </w:p>
        </w:tc>
        <w:tc>
          <w:tcPr>
            <w:tcW w:w="2941" w:type="dxa"/>
          </w:tcPr>
          <w:p w:rsidR="002F419F" w:rsidRPr="006F2328" w:rsidRDefault="002F419F" w:rsidP="00702882">
            <w:pPr>
              <w:ind w:left="0" w:hanging="2"/>
              <w:jc w:val="center"/>
              <w:rPr>
                <w:rFonts w:ascii="Arial" w:eastAsia="Arial" w:hAnsi="Arial" w:cs="Arial"/>
                <w:sz w:val="20"/>
                <w:szCs w:val="20"/>
              </w:rPr>
            </w:pPr>
            <w:r>
              <w:rPr>
                <w:rFonts w:ascii="Arial" w:eastAsia="Arial" w:hAnsi="Arial" w:cs="Arial"/>
                <w:sz w:val="20"/>
                <w:szCs w:val="20"/>
              </w:rPr>
              <w:t>-</w:t>
            </w:r>
          </w:p>
        </w:tc>
      </w:tr>
      <w:tr w:rsidR="00324D74" w:rsidTr="00702882">
        <w:tc>
          <w:tcPr>
            <w:tcW w:w="3047" w:type="dxa"/>
          </w:tcPr>
          <w:p w:rsidR="00324D74" w:rsidRDefault="00324D74" w:rsidP="0065057D">
            <w:pPr>
              <w:ind w:left="0" w:hanging="2"/>
              <w:rPr>
                <w:rFonts w:ascii="Arial" w:eastAsia="Arial" w:hAnsi="Arial" w:cs="Arial"/>
                <w:b/>
                <w:sz w:val="16"/>
                <w:szCs w:val="16"/>
              </w:rPr>
            </w:pPr>
            <w:r>
              <w:rPr>
                <w:rFonts w:ascii="Arial" w:eastAsia="Arial" w:hAnsi="Arial" w:cs="Arial"/>
                <w:b/>
                <w:sz w:val="16"/>
                <w:szCs w:val="16"/>
              </w:rPr>
              <w:t xml:space="preserve">Coste incremental (diferencial) </w:t>
            </w:r>
            <w:r w:rsidR="0065057D">
              <w:rPr>
                <w:rFonts w:ascii="Arial" w:eastAsia="Arial" w:hAnsi="Arial" w:cs="Arial"/>
                <w:b/>
                <w:sz w:val="16"/>
                <w:szCs w:val="16"/>
              </w:rPr>
              <w:t>2</w:t>
            </w:r>
            <w:r>
              <w:rPr>
                <w:rFonts w:ascii="Arial" w:eastAsia="Arial" w:hAnsi="Arial" w:cs="Arial"/>
                <w:b/>
                <w:sz w:val="16"/>
                <w:szCs w:val="16"/>
              </w:rPr>
              <w:t xml:space="preserve"> año</w:t>
            </w:r>
          </w:p>
        </w:tc>
        <w:tc>
          <w:tcPr>
            <w:tcW w:w="2902" w:type="dxa"/>
          </w:tcPr>
          <w:p w:rsidR="00324D74" w:rsidRPr="002C01F8" w:rsidRDefault="00324D74" w:rsidP="00702882">
            <w:pPr>
              <w:ind w:left="0" w:hanging="2"/>
              <w:jc w:val="center"/>
              <w:rPr>
                <w:rFonts w:ascii="Arial" w:eastAsia="Arial" w:hAnsi="Arial" w:cs="Arial"/>
                <w:color w:val="C00000"/>
                <w:sz w:val="20"/>
                <w:szCs w:val="20"/>
              </w:rPr>
            </w:pPr>
            <w:r>
              <w:rPr>
                <w:rFonts w:ascii="Arial" w:eastAsia="Arial" w:hAnsi="Arial" w:cs="Arial"/>
                <w:color w:val="C00000"/>
                <w:sz w:val="20"/>
                <w:szCs w:val="20"/>
              </w:rPr>
              <w:t>+ 63.184 €</w:t>
            </w:r>
          </w:p>
        </w:tc>
        <w:tc>
          <w:tcPr>
            <w:tcW w:w="2941" w:type="dxa"/>
          </w:tcPr>
          <w:p w:rsidR="00324D74" w:rsidRDefault="00324D74" w:rsidP="00702882">
            <w:pPr>
              <w:ind w:left="0" w:hanging="2"/>
              <w:jc w:val="center"/>
              <w:rPr>
                <w:rFonts w:ascii="Arial" w:eastAsia="Arial" w:hAnsi="Arial" w:cs="Arial"/>
                <w:sz w:val="20"/>
                <w:szCs w:val="20"/>
              </w:rPr>
            </w:pPr>
            <w:r>
              <w:rPr>
                <w:rFonts w:ascii="Arial" w:eastAsia="Arial" w:hAnsi="Arial" w:cs="Arial"/>
                <w:sz w:val="20"/>
                <w:szCs w:val="20"/>
              </w:rPr>
              <w:t>-</w:t>
            </w:r>
          </w:p>
        </w:tc>
      </w:tr>
      <w:tr w:rsidR="00324D74" w:rsidTr="00702882">
        <w:tc>
          <w:tcPr>
            <w:tcW w:w="3047" w:type="dxa"/>
          </w:tcPr>
          <w:p w:rsidR="00324D74" w:rsidRDefault="00324D74" w:rsidP="0065057D">
            <w:pPr>
              <w:ind w:left="0" w:hanging="2"/>
              <w:rPr>
                <w:rFonts w:ascii="Arial" w:eastAsia="Arial" w:hAnsi="Arial" w:cs="Arial"/>
                <w:b/>
                <w:sz w:val="16"/>
                <w:szCs w:val="16"/>
              </w:rPr>
            </w:pPr>
            <w:r>
              <w:rPr>
                <w:rFonts w:ascii="Arial" w:eastAsia="Arial" w:hAnsi="Arial" w:cs="Arial"/>
                <w:b/>
                <w:sz w:val="16"/>
                <w:szCs w:val="16"/>
              </w:rPr>
              <w:t xml:space="preserve">Coste incremental (diferencial) </w:t>
            </w:r>
            <w:r w:rsidR="0065057D">
              <w:rPr>
                <w:rFonts w:ascii="Arial" w:eastAsia="Arial" w:hAnsi="Arial" w:cs="Arial"/>
                <w:b/>
                <w:sz w:val="16"/>
                <w:szCs w:val="16"/>
              </w:rPr>
              <w:t>3</w:t>
            </w:r>
            <w:r>
              <w:rPr>
                <w:rFonts w:ascii="Arial" w:eastAsia="Arial" w:hAnsi="Arial" w:cs="Arial"/>
                <w:b/>
                <w:sz w:val="16"/>
                <w:szCs w:val="16"/>
              </w:rPr>
              <w:t xml:space="preserve"> año</w:t>
            </w:r>
          </w:p>
        </w:tc>
        <w:tc>
          <w:tcPr>
            <w:tcW w:w="2902" w:type="dxa"/>
          </w:tcPr>
          <w:p w:rsidR="00324D74" w:rsidRPr="002C01F8" w:rsidRDefault="00BE3BDC" w:rsidP="00702882">
            <w:pPr>
              <w:ind w:left="0" w:hanging="2"/>
              <w:jc w:val="center"/>
              <w:rPr>
                <w:rFonts w:ascii="Arial" w:eastAsia="Arial" w:hAnsi="Arial" w:cs="Arial"/>
                <w:color w:val="C00000"/>
                <w:sz w:val="20"/>
                <w:szCs w:val="20"/>
              </w:rPr>
            </w:pPr>
            <w:r>
              <w:rPr>
                <w:rFonts w:ascii="Arial" w:eastAsia="Arial" w:hAnsi="Arial" w:cs="Arial"/>
                <w:color w:val="C00000"/>
                <w:sz w:val="20"/>
                <w:szCs w:val="20"/>
              </w:rPr>
              <w:t>+94.776 €</w:t>
            </w:r>
          </w:p>
        </w:tc>
        <w:tc>
          <w:tcPr>
            <w:tcW w:w="2941" w:type="dxa"/>
          </w:tcPr>
          <w:p w:rsidR="00324D74" w:rsidRDefault="00324D74" w:rsidP="00702882">
            <w:pPr>
              <w:ind w:left="0" w:hanging="2"/>
              <w:jc w:val="center"/>
              <w:rPr>
                <w:rFonts w:ascii="Arial" w:eastAsia="Arial" w:hAnsi="Arial" w:cs="Arial"/>
                <w:sz w:val="20"/>
                <w:szCs w:val="20"/>
              </w:rPr>
            </w:pPr>
            <w:r>
              <w:rPr>
                <w:rFonts w:ascii="Arial" w:eastAsia="Arial" w:hAnsi="Arial" w:cs="Arial"/>
                <w:sz w:val="20"/>
                <w:szCs w:val="20"/>
              </w:rPr>
              <w:t>-</w:t>
            </w:r>
          </w:p>
        </w:tc>
      </w:tr>
      <w:tr w:rsidR="002F419F" w:rsidTr="00702882">
        <w:trPr>
          <w:cantSplit/>
        </w:trPr>
        <w:tc>
          <w:tcPr>
            <w:tcW w:w="8890" w:type="dxa"/>
            <w:gridSpan w:val="3"/>
            <w:shd w:val="clear" w:color="auto" w:fill="E6E6E6"/>
          </w:tcPr>
          <w:p w:rsidR="002F419F" w:rsidRDefault="002F419F" w:rsidP="00702882">
            <w:pPr>
              <w:ind w:left="0" w:hanging="2"/>
              <w:jc w:val="both"/>
              <w:rPr>
                <w:rFonts w:ascii="Arial" w:eastAsia="Arial" w:hAnsi="Arial" w:cs="Arial"/>
                <w:sz w:val="16"/>
                <w:szCs w:val="16"/>
              </w:rPr>
            </w:pPr>
            <w:r>
              <w:rPr>
                <w:rFonts w:ascii="Arial" w:eastAsia="Arial" w:hAnsi="Arial" w:cs="Arial"/>
                <w:sz w:val="16"/>
                <w:szCs w:val="16"/>
              </w:rPr>
              <w:t xml:space="preserve">* En EEUU el precio de las distintas presentaciones con diferentes dosis, según la bibliografía encontrada, es el mismo. </w:t>
            </w:r>
          </w:p>
        </w:tc>
      </w:tr>
    </w:tbl>
    <w:p w:rsidR="002F419F" w:rsidRPr="002F419F" w:rsidRDefault="002F419F">
      <w:pPr>
        <w:ind w:left="0" w:hanging="2"/>
        <w:jc w:val="both"/>
        <w:rPr>
          <w:rFonts w:ascii="Arial" w:eastAsia="Arial" w:hAnsi="Arial" w:cs="Arial"/>
          <w:sz w:val="20"/>
          <w:szCs w:val="20"/>
        </w:rPr>
      </w:pPr>
    </w:p>
    <w:p w:rsidR="00B74082" w:rsidRDefault="00BE3BDC">
      <w:pPr>
        <w:ind w:left="0" w:hanging="2"/>
        <w:jc w:val="both"/>
        <w:rPr>
          <w:rFonts w:ascii="Arial" w:eastAsia="Arial" w:hAnsi="Arial" w:cs="Arial"/>
          <w:sz w:val="20"/>
          <w:szCs w:val="20"/>
        </w:rPr>
      </w:pPr>
      <w:bookmarkStart w:id="87" w:name="_heading=h.19c6y18" w:colFirst="0" w:colLast="0"/>
      <w:bookmarkEnd w:id="87"/>
      <w:r>
        <w:rPr>
          <w:rFonts w:ascii="Arial" w:eastAsia="Arial" w:hAnsi="Arial" w:cs="Arial"/>
          <w:sz w:val="20"/>
          <w:szCs w:val="20"/>
        </w:rPr>
        <w:t xml:space="preserve">El coste del tratamiento </w:t>
      </w:r>
      <w:r w:rsidR="00B30369">
        <w:rPr>
          <w:rFonts w:ascii="Arial" w:eastAsia="Arial" w:hAnsi="Arial" w:cs="Arial"/>
          <w:sz w:val="20"/>
          <w:szCs w:val="20"/>
        </w:rPr>
        <w:t>anual</w:t>
      </w:r>
      <w:r>
        <w:rPr>
          <w:rFonts w:ascii="Arial" w:eastAsia="Arial" w:hAnsi="Arial" w:cs="Arial"/>
          <w:sz w:val="20"/>
          <w:szCs w:val="20"/>
        </w:rPr>
        <w:t xml:space="preserve"> con avapritinib con la dosis de 200 mg/24h sería de 392.496 €, que sería, según las estimaciones anteriormente comentadas, 31.592 € más caro que el tratamiento anual de un paciente con midostaurina. En principio las posibles reducciones de dosis no tendrían un efecto de abaratamiento del coste del tratamiento por ciclo de avapritinib, ya que en el mercado norteamericano el coste del fármaco es el mismo independientemente de la dosis empleada. Sí se podría dar una posible reducción del precio de midostaurina por reducciones de dosis, lo que habría que tener presente en la interpretación de </w:t>
      </w:r>
      <w:r w:rsidR="00C538F0">
        <w:rPr>
          <w:rFonts w:ascii="Arial" w:eastAsia="Arial" w:hAnsi="Arial" w:cs="Arial"/>
          <w:sz w:val="20"/>
          <w:szCs w:val="20"/>
        </w:rPr>
        <w:t>los datos económicos de las tablas. Se muestran también en la tabla la estimación de coste y de coste incremental a dos y a 3 años.</w:t>
      </w:r>
    </w:p>
    <w:p w:rsidR="00BE3BDC" w:rsidRDefault="00BE3BDC">
      <w:pPr>
        <w:ind w:left="0" w:hanging="2"/>
        <w:jc w:val="both"/>
        <w:rPr>
          <w:rFonts w:ascii="Arial" w:eastAsia="Arial" w:hAnsi="Arial" w:cs="Arial"/>
          <w:sz w:val="20"/>
          <w:szCs w:val="20"/>
        </w:rPr>
      </w:pPr>
    </w:p>
    <w:p w:rsidR="00B74082" w:rsidRDefault="00DA20C8">
      <w:pPr>
        <w:keepNext/>
        <w:pBdr>
          <w:top w:val="single" w:sz="4" w:space="1" w:color="000000"/>
          <w:left w:val="single" w:sz="4" w:space="4" w:color="000000"/>
          <w:bottom w:val="single" w:sz="4" w:space="1" w:color="000000"/>
          <w:right w:val="single" w:sz="4" w:space="0"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 xml:space="preserve">7.2 Evaluaciones económicas publicadas  </w:t>
      </w:r>
    </w:p>
    <w:p w:rsidR="00B74082" w:rsidRDefault="00B74082" w:rsidP="00A25581">
      <w:pPr>
        <w:ind w:leftChars="0" w:left="0" w:firstLineChars="0" w:firstLine="0"/>
        <w:jc w:val="both"/>
        <w:rPr>
          <w:rFonts w:ascii="Arial" w:eastAsia="Arial" w:hAnsi="Arial" w:cs="Arial"/>
          <w:sz w:val="20"/>
          <w:szCs w:val="20"/>
        </w:rPr>
      </w:pPr>
    </w:p>
    <w:p w:rsidR="00B74082" w:rsidRDefault="00DA20C8">
      <w:pPr>
        <w:pBdr>
          <w:top w:val="single" w:sz="4" w:space="1" w:color="000000"/>
          <w:left w:val="single" w:sz="4" w:space="4" w:color="000000"/>
          <w:bottom w:val="single" w:sz="4" w:space="1" w:color="000000"/>
          <w:right w:val="single" w:sz="4" w:space="4" w:color="000000"/>
          <w:between w:val="single" w:sz="4" w:space="1" w:color="000000"/>
        </w:pBdr>
        <w:shd w:val="clear" w:color="auto" w:fill="D9D9D9"/>
        <w:ind w:left="0" w:hanging="2"/>
        <w:rPr>
          <w:rFonts w:ascii="Arial" w:eastAsia="Arial" w:hAnsi="Arial" w:cs="Arial"/>
          <w:sz w:val="20"/>
          <w:szCs w:val="20"/>
        </w:rPr>
      </w:pPr>
      <w:r>
        <w:rPr>
          <w:rFonts w:ascii="Arial" w:eastAsia="Arial" w:hAnsi="Arial" w:cs="Arial"/>
          <w:b/>
          <w:sz w:val="20"/>
          <w:szCs w:val="20"/>
        </w:rPr>
        <w:t>7.2.a Búsqueda de evaluaciones económicas publicadas</w:t>
      </w:r>
    </w:p>
    <w:p w:rsidR="00B74082" w:rsidRDefault="00B74082">
      <w:pPr>
        <w:ind w:left="0" w:hanging="2"/>
        <w:rPr>
          <w:rFonts w:ascii="Arial" w:eastAsia="Arial" w:hAnsi="Arial" w:cs="Arial"/>
          <w:sz w:val="20"/>
          <w:szCs w:val="20"/>
        </w:rPr>
      </w:pPr>
    </w:p>
    <w:p w:rsidR="00B74082" w:rsidRDefault="00DA20C8" w:rsidP="00FA0125">
      <w:pPr>
        <w:ind w:left="0" w:hanging="2"/>
        <w:jc w:val="both"/>
        <w:rPr>
          <w:rFonts w:ascii="Arial" w:eastAsia="Arial" w:hAnsi="Arial" w:cs="Arial"/>
          <w:sz w:val="20"/>
          <w:szCs w:val="20"/>
        </w:rPr>
      </w:pPr>
      <w:r>
        <w:rPr>
          <w:rFonts w:ascii="Arial" w:eastAsia="Arial" w:hAnsi="Arial" w:cs="Arial"/>
          <w:sz w:val="20"/>
          <w:szCs w:val="20"/>
        </w:rPr>
        <w:t xml:space="preserve">En fecha </w:t>
      </w:r>
      <w:r w:rsidR="007D751F">
        <w:rPr>
          <w:rFonts w:ascii="Arial" w:eastAsia="Arial" w:hAnsi="Arial" w:cs="Arial"/>
          <w:sz w:val="20"/>
          <w:szCs w:val="20"/>
        </w:rPr>
        <w:t>12/07/2022</w:t>
      </w:r>
      <w:r>
        <w:rPr>
          <w:rFonts w:ascii="Arial" w:eastAsia="Arial" w:hAnsi="Arial" w:cs="Arial"/>
          <w:sz w:val="20"/>
          <w:szCs w:val="20"/>
        </w:rPr>
        <w:t xml:space="preserve"> se realizó una búsqueda bibliográfica en </w:t>
      </w:r>
      <w:r w:rsidR="007D751F">
        <w:rPr>
          <w:rFonts w:ascii="Arial" w:eastAsia="Arial" w:hAnsi="Arial" w:cs="Arial"/>
          <w:sz w:val="20"/>
          <w:szCs w:val="20"/>
        </w:rPr>
        <w:t>Medline utilizando los siguientes MeSH: “avapritinib”, “mastocytosis”</w:t>
      </w:r>
      <w:r w:rsidR="00A25581">
        <w:rPr>
          <w:rFonts w:ascii="Arial" w:eastAsia="Arial" w:hAnsi="Arial" w:cs="Arial"/>
          <w:sz w:val="20"/>
          <w:szCs w:val="20"/>
        </w:rPr>
        <w:t>, “</w:t>
      </w:r>
      <w:r w:rsidR="000A063D">
        <w:rPr>
          <w:rFonts w:ascii="Arial" w:eastAsia="Arial" w:hAnsi="Arial" w:cs="Arial"/>
          <w:sz w:val="20"/>
          <w:szCs w:val="20"/>
        </w:rPr>
        <w:t>economics</w:t>
      </w:r>
      <w:r w:rsidR="00A25581">
        <w:rPr>
          <w:rFonts w:ascii="Arial" w:eastAsia="Arial" w:hAnsi="Arial" w:cs="Arial"/>
          <w:sz w:val="20"/>
          <w:szCs w:val="20"/>
        </w:rPr>
        <w:t>”. Se encontró un trabajo para la indicación de avapritinib en GIST, pero ninguno de interés para esta evaluación GENESIS.</w:t>
      </w:r>
    </w:p>
    <w:p w:rsidR="00B74082" w:rsidRDefault="00B74082">
      <w:pPr>
        <w:ind w:left="0" w:hanging="2"/>
        <w:jc w:val="both"/>
        <w:rPr>
          <w:rFonts w:ascii="Arial" w:eastAsia="Arial" w:hAnsi="Arial" w:cs="Arial"/>
          <w:sz w:val="20"/>
          <w:szCs w:val="20"/>
        </w:rPr>
      </w:pPr>
    </w:p>
    <w:p w:rsidR="00B74082" w:rsidRDefault="00DA20C8">
      <w:pPr>
        <w:pBdr>
          <w:top w:val="single" w:sz="4" w:space="1" w:color="000000"/>
          <w:left w:val="single" w:sz="4" w:space="4" w:color="000000"/>
          <w:bottom w:val="single" w:sz="4" w:space="1" w:color="000000"/>
          <w:right w:val="single" w:sz="4" w:space="4" w:color="000000"/>
          <w:between w:val="single" w:sz="4" w:space="1" w:color="000000"/>
        </w:pBdr>
        <w:shd w:val="clear" w:color="auto" w:fill="D9D9D9"/>
        <w:ind w:left="0" w:hanging="2"/>
        <w:rPr>
          <w:rFonts w:ascii="Arial" w:eastAsia="Arial" w:hAnsi="Arial" w:cs="Arial"/>
          <w:sz w:val="20"/>
          <w:szCs w:val="20"/>
        </w:rPr>
      </w:pPr>
      <w:r>
        <w:rPr>
          <w:rFonts w:ascii="Arial" w:eastAsia="Arial" w:hAnsi="Arial" w:cs="Arial"/>
          <w:b/>
          <w:sz w:val="20"/>
          <w:szCs w:val="20"/>
        </w:rPr>
        <w:t>7.2.b Extracción de datos de las evaluaciones económicas publicadas</w:t>
      </w:r>
    </w:p>
    <w:p w:rsidR="00B74082" w:rsidRDefault="00B74082" w:rsidP="00A25581">
      <w:pPr>
        <w:ind w:leftChars="0" w:left="0" w:firstLineChars="0" w:firstLine="0"/>
        <w:rPr>
          <w:rFonts w:ascii="Arial" w:eastAsia="Arial" w:hAnsi="Arial" w:cs="Arial"/>
          <w:color w:val="0000FF"/>
          <w:sz w:val="20"/>
          <w:szCs w:val="20"/>
        </w:rPr>
      </w:pPr>
      <w:bookmarkStart w:id="88" w:name="_heading=h.3tbugp1" w:colFirst="0" w:colLast="0"/>
      <w:bookmarkEnd w:id="88"/>
    </w:p>
    <w:p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7.3 Evaluación económica de elaboración propia</w:t>
      </w:r>
    </w:p>
    <w:p w:rsidR="00B74082" w:rsidRDefault="00B74082">
      <w:pPr>
        <w:ind w:left="0" w:hanging="2"/>
        <w:jc w:val="both"/>
        <w:rPr>
          <w:rFonts w:ascii="Arial" w:eastAsia="Arial" w:hAnsi="Arial" w:cs="Arial"/>
          <w:sz w:val="20"/>
          <w:szCs w:val="20"/>
        </w:rPr>
      </w:pPr>
    </w:p>
    <w:p w:rsidR="00D348F2" w:rsidRDefault="00D348F2" w:rsidP="00FA0125">
      <w:pPr>
        <w:ind w:left="0" w:hanging="2"/>
        <w:jc w:val="both"/>
        <w:rPr>
          <w:rFonts w:ascii="Arial" w:eastAsia="Arial" w:hAnsi="Arial" w:cs="Arial"/>
          <w:sz w:val="20"/>
          <w:szCs w:val="20"/>
        </w:rPr>
      </w:pPr>
      <w:r>
        <w:rPr>
          <w:rFonts w:ascii="Arial" w:eastAsia="Arial" w:hAnsi="Arial" w:cs="Arial"/>
          <w:sz w:val="20"/>
          <w:szCs w:val="20"/>
        </w:rPr>
        <w:t>Inicialmente nos encontramos ante una evaluación complicada de llevar a cabo sin dar resultados que puedan resultar algo arbitrarios. Entre otras, las limitaciones son las siguientes:</w:t>
      </w:r>
    </w:p>
    <w:p w:rsidR="00D348F2" w:rsidRDefault="00D348F2" w:rsidP="00FA0125">
      <w:pPr>
        <w:ind w:left="0" w:hanging="2"/>
        <w:jc w:val="both"/>
        <w:rPr>
          <w:rFonts w:ascii="Arial" w:eastAsia="Arial" w:hAnsi="Arial" w:cs="Arial"/>
          <w:sz w:val="20"/>
          <w:szCs w:val="20"/>
        </w:rPr>
      </w:pPr>
    </w:p>
    <w:p w:rsidR="00D348F2" w:rsidRDefault="00D348F2" w:rsidP="00FA0125">
      <w:pPr>
        <w:pStyle w:val="Prrafodelista"/>
        <w:numPr>
          <w:ilvl w:val="0"/>
          <w:numId w:val="16"/>
        </w:numPr>
        <w:ind w:leftChars="0" w:firstLineChars="0"/>
        <w:jc w:val="both"/>
        <w:rPr>
          <w:rFonts w:ascii="Arial" w:eastAsia="Arial" w:hAnsi="Arial" w:cs="Arial"/>
          <w:sz w:val="20"/>
          <w:szCs w:val="20"/>
        </w:rPr>
      </w:pPr>
      <w:r>
        <w:rPr>
          <w:rFonts w:ascii="Arial" w:eastAsia="Arial" w:hAnsi="Arial" w:cs="Arial"/>
          <w:sz w:val="20"/>
          <w:szCs w:val="20"/>
        </w:rPr>
        <w:t>Tanto para avapritinib como para su comparador más adecuado, midostaurina, se dispone tan solo de ensayos fase 2.</w:t>
      </w:r>
    </w:p>
    <w:p w:rsidR="00D348F2" w:rsidRDefault="00D348F2" w:rsidP="00FA0125">
      <w:pPr>
        <w:pStyle w:val="Prrafodelista"/>
        <w:numPr>
          <w:ilvl w:val="0"/>
          <w:numId w:val="16"/>
        </w:numPr>
        <w:ind w:leftChars="0" w:firstLineChars="0"/>
        <w:jc w:val="both"/>
        <w:rPr>
          <w:rFonts w:ascii="Arial" w:eastAsia="Arial" w:hAnsi="Arial" w:cs="Arial"/>
          <w:sz w:val="20"/>
          <w:szCs w:val="20"/>
        </w:rPr>
      </w:pPr>
      <w:r>
        <w:rPr>
          <w:rFonts w:ascii="Arial" w:eastAsia="Arial" w:hAnsi="Arial" w:cs="Arial"/>
          <w:sz w:val="20"/>
          <w:szCs w:val="20"/>
        </w:rPr>
        <w:t>En el caso de avapritinib el estudio pivotal fase 2 publicado es un análisis intermedio, más allá de los datos aportados a la EMA por el laboratorio fabricante a fecha de corte posterior de abril de 2021.</w:t>
      </w:r>
    </w:p>
    <w:p w:rsidR="00D348F2" w:rsidRDefault="00D348F2" w:rsidP="00FA0125">
      <w:pPr>
        <w:pStyle w:val="Prrafodelista"/>
        <w:numPr>
          <w:ilvl w:val="0"/>
          <w:numId w:val="16"/>
        </w:numPr>
        <w:ind w:leftChars="0" w:firstLineChars="0"/>
        <w:jc w:val="both"/>
        <w:rPr>
          <w:rFonts w:ascii="Arial" w:eastAsia="Arial" w:hAnsi="Arial" w:cs="Arial"/>
          <w:sz w:val="20"/>
          <w:szCs w:val="20"/>
        </w:rPr>
      </w:pPr>
      <w:r>
        <w:rPr>
          <w:rFonts w:ascii="Arial" w:eastAsia="Arial" w:hAnsi="Arial" w:cs="Arial"/>
          <w:sz w:val="20"/>
          <w:szCs w:val="20"/>
        </w:rPr>
        <w:t>La variable primaria de los estudios pivotales fase 2 fue la tasa de respuesta global, en lugar de una variable final o que relacione directamente con la calidad de vida.</w:t>
      </w:r>
    </w:p>
    <w:p w:rsidR="00D348F2" w:rsidRDefault="00D348F2" w:rsidP="00FA0125">
      <w:pPr>
        <w:pStyle w:val="Prrafodelista"/>
        <w:numPr>
          <w:ilvl w:val="0"/>
          <w:numId w:val="16"/>
        </w:numPr>
        <w:ind w:leftChars="0" w:firstLineChars="0"/>
        <w:jc w:val="both"/>
        <w:rPr>
          <w:rFonts w:ascii="Arial" w:eastAsia="Arial" w:hAnsi="Arial" w:cs="Arial"/>
          <w:sz w:val="20"/>
          <w:szCs w:val="20"/>
        </w:rPr>
      </w:pPr>
      <w:r>
        <w:rPr>
          <w:rFonts w:ascii="Arial" w:eastAsia="Arial" w:hAnsi="Arial" w:cs="Arial"/>
          <w:sz w:val="20"/>
          <w:szCs w:val="20"/>
        </w:rPr>
        <w:lastRenderedPageBreak/>
        <w:t>Tanto en el trabajo publicado del estudio Pathfinder como en los datos de fecha de corte abril de 2021 no se alcanzó la mediana de ninguna de las variables secundarias SG o SLP.</w:t>
      </w:r>
    </w:p>
    <w:p w:rsidR="00D348F2" w:rsidRDefault="00D348F2" w:rsidP="00FA0125">
      <w:pPr>
        <w:pStyle w:val="Prrafodelista"/>
        <w:numPr>
          <w:ilvl w:val="0"/>
          <w:numId w:val="16"/>
        </w:numPr>
        <w:ind w:leftChars="0" w:firstLineChars="0"/>
        <w:jc w:val="both"/>
        <w:rPr>
          <w:rFonts w:ascii="Arial" w:eastAsia="Arial" w:hAnsi="Arial" w:cs="Arial"/>
          <w:sz w:val="20"/>
          <w:szCs w:val="20"/>
        </w:rPr>
      </w:pPr>
      <w:r>
        <w:rPr>
          <w:rFonts w:ascii="Arial" w:eastAsia="Arial" w:hAnsi="Arial" w:cs="Arial"/>
          <w:sz w:val="20"/>
          <w:szCs w:val="20"/>
        </w:rPr>
        <w:t>Como se comenta en el apartado de eficacia, amplia variabilidad de las poblaciones incluidas en los estudios, por ejemplo en lo referente a los distintos subtipos de enfermedad.</w:t>
      </w:r>
    </w:p>
    <w:p w:rsidR="00D348F2" w:rsidRPr="00D348F2" w:rsidRDefault="00D348F2" w:rsidP="00D348F2">
      <w:pPr>
        <w:pStyle w:val="Prrafodelista"/>
        <w:numPr>
          <w:ilvl w:val="0"/>
          <w:numId w:val="16"/>
        </w:numPr>
        <w:ind w:leftChars="0" w:firstLineChars="0"/>
        <w:jc w:val="both"/>
        <w:rPr>
          <w:rFonts w:ascii="Arial" w:eastAsia="Arial" w:hAnsi="Arial" w:cs="Arial"/>
          <w:sz w:val="20"/>
          <w:szCs w:val="20"/>
        </w:rPr>
      </w:pPr>
      <w:r w:rsidRPr="00D348F2">
        <w:rPr>
          <w:rFonts w:ascii="Arial" w:eastAsia="Arial" w:hAnsi="Arial" w:cs="Arial"/>
          <w:sz w:val="20"/>
          <w:szCs w:val="20"/>
        </w:rPr>
        <w:t>No se realiza ningún análisis de sensibilidad con los distintos subgrupos debido al reducido número de pacientes que los componen y el enorme sesgo que podría suponer trasladar esos datos a unidades monetarias.</w:t>
      </w:r>
    </w:p>
    <w:p w:rsidR="00D348F2" w:rsidRDefault="00D348F2" w:rsidP="00D348F2">
      <w:pPr>
        <w:ind w:left="0" w:hanging="2"/>
        <w:jc w:val="both"/>
        <w:rPr>
          <w:rFonts w:ascii="Arial" w:eastAsia="Arial" w:hAnsi="Arial" w:cs="Arial"/>
          <w:sz w:val="20"/>
          <w:szCs w:val="20"/>
        </w:rPr>
      </w:pPr>
    </w:p>
    <w:p w:rsidR="00244D42" w:rsidRDefault="00244D42" w:rsidP="00D348F2">
      <w:pPr>
        <w:ind w:left="0" w:hanging="2"/>
        <w:jc w:val="both"/>
        <w:rPr>
          <w:rFonts w:ascii="Arial" w:eastAsia="Arial" w:hAnsi="Arial" w:cs="Arial"/>
          <w:sz w:val="20"/>
          <w:szCs w:val="20"/>
        </w:rPr>
      </w:pPr>
      <w:r>
        <w:rPr>
          <w:rFonts w:ascii="Arial" w:eastAsia="Arial" w:hAnsi="Arial" w:cs="Arial"/>
          <w:sz w:val="20"/>
          <w:szCs w:val="20"/>
        </w:rPr>
        <w:t>Se realiza</w:t>
      </w:r>
      <w:r w:rsidR="00D348F2">
        <w:rPr>
          <w:rFonts w:ascii="Arial" w:eastAsia="Arial" w:hAnsi="Arial" w:cs="Arial"/>
          <w:sz w:val="20"/>
          <w:szCs w:val="20"/>
        </w:rPr>
        <w:t xml:space="preserve"> finalmente</w:t>
      </w:r>
      <w:r>
        <w:rPr>
          <w:rFonts w:ascii="Arial" w:eastAsia="Arial" w:hAnsi="Arial" w:cs="Arial"/>
          <w:sz w:val="20"/>
          <w:szCs w:val="20"/>
        </w:rPr>
        <w:t xml:space="preserve"> una pequeña </w:t>
      </w:r>
      <w:r w:rsidR="00645EF0">
        <w:rPr>
          <w:rFonts w:ascii="Arial" w:eastAsia="Arial" w:hAnsi="Arial" w:cs="Arial"/>
          <w:sz w:val="20"/>
          <w:szCs w:val="20"/>
        </w:rPr>
        <w:t xml:space="preserve">muestra de los resultados diferenciales </w:t>
      </w:r>
      <w:r>
        <w:rPr>
          <w:rFonts w:ascii="Arial" w:eastAsia="Arial" w:hAnsi="Arial" w:cs="Arial"/>
          <w:sz w:val="20"/>
          <w:szCs w:val="20"/>
        </w:rPr>
        <w:t>a partir de los resultados de HR derivados de la comparación indirecta mencionada en el apartado de eficacia que enfrenta a avapritinib con midostaurina</w:t>
      </w:r>
      <w:sdt>
        <w:sdtPr>
          <w:rPr>
            <w:rFonts w:ascii="Arial" w:eastAsia="Arial" w:hAnsi="Arial" w:cs="Arial"/>
            <w:sz w:val="20"/>
            <w:szCs w:val="20"/>
            <w:vertAlign w:val="superscript"/>
          </w:rPr>
          <w:id w:val="-2021613496"/>
          <w:citation/>
        </w:sdtPr>
        <w:sdtEndPr/>
        <w:sdtContent>
          <w:r w:rsidR="00743E44" w:rsidRPr="00D8772B">
            <w:rPr>
              <w:rFonts w:ascii="Arial" w:eastAsia="Arial" w:hAnsi="Arial" w:cs="Arial"/>
              <w:sz w:val="20"/>
              <w:szCs w:val="20"/>
              <w:vertAlign w:val="superscript"/>
            </w:rPr>
            <w:fldChar w:fldCharType="begin"/>
          </w:r>
          <w:r w:rsidR="00D348F2" w:rsidRPr="00D8772B">
            <w:rPr>
              <w:rFonts w:ascii="Arial" w:eastAsia="Arial" w:hAnsi="Arial" w:cs="Arial"/>
              <w:sz w:val="20"/>
              <w:szCs w:val="20"/>
              <w:vertAlign w:val="superscript"/>
            </w:rPr>
            <w:instrText xml:space="preserve"> CITATION Hol22 \l 3082 </w:instrText>
          </w:r>
          <w:r w:rsidR="00743E44" w:rsidRPr="00D8772B">
            <w:rPr>
              <w:rFonts w:ascii="Arial" w:eastAsia="Arial" w:hAnsi="Arial" w:cs="Arial"/>
              <w:sz w:val="20"/>
              <w:szCs w:val="20"/>
              <w:vertAlign w:val="superscript"/>
            </w:rPr>
            <w:fldChar w:fldCharType="separate"/>
          </w:r>
          <w:r w:rsidR="00C560F5">
            <w:rPr>
              <w:rFonts w:ascii="Arial" w:eastAsia="Arial" w:hAnsi="Arial" w:cs="Arial"/>
              <w:noProof/>
              <w:sz w:val="20"/>
              <w:szCs w:val="20"/>
              <w:vertAlign w:val="superscript"/>
            </w:rPr>
            <w:t xml:space="preserve"> </w:t>
          </w:r>
          <w:r w:rsidR="00C560F5" w:rsidRPr="00C560F5">
            <w:rPr>
              <w:rFonts w:ascii="Arial" w:eastAsia="Arial" w:hAnsi="Arial" w:cs="Arial"/>
              <w:noProof/>
              <w:sz w:val="20"/>
              <w:szCs w:val="20"/>
            </w:rPr>
            <w:t>(12)</w:t>
          </w:r>
          <w:r w:rsidR="00743E44" w:rsidRPr="00D8772B">
            <w:rPr>
              <w:rFonts w:ascii="Arial" w:eastAsia="Arial" w:hAnsi="Arial" w:cs="Arial"/>
              <w:sz w:val="20"/>
              <w:szCs w:val="20"/>
              <w:vertAlign w:val="superscript"/>
            </w:rPr>
            <w:fldChar w:fldCharType="end"/>
          </w:r>
        </w:sdtContent>
      </w:sdt>
      <w:r w:rsidRPr="00D8772B">
        <w:rPr>
          <w:rFonts w:ascii="Arial" w:eastAsia="Arial" w:hAnsi="Arial" w:cs="Arial"/>
          <w:sz w:val="20"/>
          <w:szCs w:val="20"/>
          <w:vertAlign w:val="superscript"/>
        </w:rPr>
        <w:t>.</w:t>
      </w:r>
      <w:r>
        <w:rPr>
          <w:rFonts w:ascii="Arial" w:eastAsia="Arial" w:hAnsi="Arial" w:cs="Arial"/>
          <w:sz w:val="20"/>
          <w:szCs w:val="20"/>
        </w:rPr>
        <w:t xml:space="preserve"> Posteriormente se </w:t>
      </w:r>
      <w:r w:rsidR="005E0F82">
        <w:rPr>
          <w:rFonts w:ascii="Arial" w:eastAsia="Arial" w:hAnsi="Arial" w:cs="Arial"/>
          <w:sz w:val="20"/>
          <w:szCs w:val="20"/>
        </w:rPr>
        <w:t xml:space="preserve">comparan los datos de esta CI con la otra CI que enfrenta a avapritinib con BAT, </w:t>
      </w:r>
      <w:r>
        <w:rPr>
          <w:rFonts w:ascii="Arial" w:eastAsia="Arial" w:hAnsi="Arial" w:cs="Arial"/>
          <w:sz w:val="20"/>
          <w:szCs w:val="20"/>
        </w:rPr>
        <w:t>en la que un elevado porcentaje de pacientes había recibido midostaurina, sobre todo en primeras líneas de tratamiento</w:t>
      </w:r>
      <w:sdt>
        <w:sdtPr>
          <w:rPr>
            <w:rFonts w:ascii="Arial" w:eastAsia="Arial" w:hAnsi="Arial" w:cs="Arial"/>
            <w:sz w:val="20"/>
            <w:szCs w:val="20"/>
            <w:vertAlign w:val="superscript"/>
          </w:rPr>
          <w:id w:val="1243142410"/>
          <w:citation/>
        </w:sdtPr>
        <w:sdtEndPr/>
        <w:sdtContent>
          <w:r w:rsidR="00743E44" w:rsidRPr="00D8772B">
            <w:rPr>
              <w:rFonts w:ascii="Arial" w:eastAsia="Arial" w:hAnsi="Arial" w:cs="Arial"/>
              <w:sz w:val="20"/>
              <w:szCs w:val="20"/>
              <w:vertAlign w:val="superscript"/>
            </w:rPr>
            <w:fldChar w:fldCharType="begin"/>
          </w:r>
          <w:r w:rsidR="005E0F82" w:rsidRPr="00D8772B">
            <w:rPr>
              <w:rFonts w:ascii="Arial" w:eastAsia="Arial" w:hAnsi="Arial" w:cs="Arial"/>
              <w:sz w:val="20"/>
              <w:szCs w:val="20"/>
              <w:vertAlign w:val="superscript"/>
            </w:rPr>
            <w:instrText xml:space="preserve"> CITATION And22 \l 3082 </w:instrText>
          </w:r>
          <w:r w:rsidR="00743E44" w:rsidRPr="00D8772B">
            <w:rPr>
              <w:rFonts w:ascii="Arial" w:eastAsia="Arial" w:hAnsi="Arial" w:cs="Arial"/>
              <w:sz w:val="20"/>
              <w:szCs w:val="20"/>
              <w:vertAlign w:val="superscript"/>
            </w:rPr>
            <w:fldChar w:fldCharType="separate"/>
          </w:r>
          <w:r w:rsidR="00C560F5">
            <w:rPr>
              <w:rFonts w:ascii="Arial" w:eastAsia="Arial" w:hAnsi="Arial" w:cs="Arial"/>
              <w:noProof/>
              <w:sz w:val="20"/>
              <w:szCs w:val="20"/>
              <w:vertAlign w:val="superscript"/>
            </w:rPr>
            <w:t xml:space="preserve"> </w:t>
          </w:r>
          <w:r w:rsidR="00C560F5" w:rsidRPr="00C560F5">
            <w:rPr>
              <w:rFonts w:ascii="Arial" w:eastAsia="Arial" w:hAnsi="Arial" w:cs="Arial"/>
              <w:noProof/>
              <w:sz w:val="20"/>
              <w:szCs w:val="20"/>
            </w:rPr>
            <w:t>(13)</w:t>
          </w:r>
          <w:r w:rsidR="00743E44" w:rsidRPr="00D8772B">
            <w:rPr>
              <w:rFonts w:ascii="Arial" w:eastAsia="Arial" w:hAnsi="Arial" w:cs="Arial"/>
              <w:sz w:val="20"/>
              <w:szCs w:val="20"/>
              <w:vertAlign w:val="superscript"/>
            </w:rPr>
            <w:fldChar w:fldCharType="end"/>
          </w:r>
        </w:sdtContent>
      </w:sdt>
      <w:r>
        <w:rPr>
          <w:rFonts w:ascii="Arial" w:eastAsia="Arial" w:hAnsi="Arial" w:cs="Arial"/>
          <w:sz w:val="20"/>
          <w:szCs w:val="20"/>
        </w:rPr>
        <w:t>.</w:t>
      </w:r>
      <w:r w:rsidR="005E0F82">
        <w:rPr>
          <w:rFonts w:ascii="Arial" w:eastAsia="Arial" w:hAnsi="Arial" w:cs="Arial"/>
          <w:sz w:val="20"/>
          <w:szCs w:val="20"/>
        </w:rPr>
        <w:t xml:space="preserve"> </w:t>
      </w:r>
    </w:p>
    <w:p w:rsidR="00B74082" w:rsidRDefault="00B74082" w:rsidP="00171121">
      <w:pPr>
        <w:ind w:leftChars="0" w:left="0" w:firstLineChars="0" w:firstLine="0"/>
        <w:jc w:val="both"/>
        <w:rPr>
          <w:rFonts w:ascii="Arial" w:eastAsia="Arial" w:hAnsi="Arial" w:cs="Arial"/>
          <w:sz w:val="20"/>
          <w:szCs w:val="20"/>
        </w:rPr>
      </w:pPr>
    </w:p>
    <w:p w:rsidR="00171121" w:rsidRPr="00171121" w:rsidRDefault="00171121" w:rsidP="00171121">
      <w:pPr>
        <w:suppressAutoHyphens w:val="0"/>
        <w:spacing w:line="240" w:lineRule="auto"/>
        <w:ind w:leftChars="0" w:left="0" w:firstLineChars="0" w:firstLine="0"/>
        <w:textDirection w:val="lrTb"/>
        <w:textAlignment w:val="auto"/>
        <w:outlineLvl w:val="9"/>
        <w:rPr>
          <w:position w:val="0"/>
        </w:rPr>
      </w:pPr>
    </w:p>
    <w:tbl>
      <w:tblPr>
        <w:tblW w:w="0" w:type="auto"/>
        <w:tblCellMar>
          <w:top w:w="15" w:type="dxa"/>
          <w:left w:w="15" w:type="dxa"/>
          <w:bottom w:w="15" w:type="dxa"/>
          <w:right w:w="15" w:type="dxa"/>
        </w:tblCellMar>
        <w:tblLook w:val="04A0" w:firstRow="1" w:lastRow="0" w:firstColumn="1" w:lastColumn="0" w:noHBand="0" w:noVBand="1"/>
      </w:tblPr>
      <w:tblGrid>
        <w:gridCol w:w="1467"/>
        <w:gridCol w:w="1008"/>
        <w:gridCol w:w="1239"/>
        <w:gridCol w:w="772"/>
        <w:gridCol w:w="4393"/>
      </w:tblGrid>
      <w:tr w:rsidR="00171121" w:rsidRPr="00171121" w:rsidTr="00171121">
        <w:tc>
          <w:tcPr>
            <w:tcW w:w="0" w:type="auto"/>
            <w:gridSpan w:val="5"/>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hideMark/>
          </w:tcPr>
          <w:p w:rsidR="00171121" w:rsidRPr="003628E0" w:rsidRDefault="00171121" w:rsidP="00171121">
            <w:pPr>
              <w:suppressAutoHyphens w:val="0"/>
              <w:spacing w:line="240" w:lineRule="auto"/>
              <w:ind w:leftChars="0" w:left="-2" w:firstLineChars="0"/>
              <w:jc w:val="both"/>
              <w:textDirection w:val="lrTb"/>
              <w:textAlignment w:val="auto"/>
              <w:outlineLvl w:val="9"/>
              <w:rPr>
                <w:rFonts w:ascii="Arial" w:hAnsi="Arial" w:cs="Arial"/>
                <w:b/>
                <w:bCs/>
                <w:color w:val="000000"/>
                <w:position w:val="0"/>
                <w:sz w:val="18"/>
                <w:szCs w:val="18"/>
              </w:rPr>
            </w:pPr>
            <w:r w:rsidRPr="00171121">
              <w:rPr>
                <w:rFonts w:ascii="Arial" w:hAnsi="Arial" w:cs="Arial"/>
                <w:b/>
                <w:bCs/>
                <w:color w:val="000000"/>
                <w:position w:val="0"/>
                <w:sz w:val="18"/>
                <w:szCs w:val="18"/>
              </w:rPr>
              <w:t>Tabla 7.3.0.1.</w:t>
            </w:r>
            <w:r w:rsidRPr="005E0F82">
              <w:rPr>
                <w:rFonts w:ascii="Arial" w:hAnsi="Arial" w:cs="Arial"/>
                <w:b/>
                <w:bCs/>
                <w:i/>
                <w:iCs/>
                <w:color w:val="000000"/>
                <w:position w:val="0"/>
                <w:sz w:val="18"/>
                <w:szCs w:val="18"/>
              </w:rPr>
              <w:t xml:space="preserve"> </w:t>
            </w:r>
            <w:r w:rsidR="003628E0">
              <w:rPr>
                <w:rFonts w:ascii="Arial" w:hAnsi="Arial" w:cs="Arial"/>
                <w:b/>
                <w:bCs/>
                <w:color w:val="000000"/>
                <w:sz w:val="18"/>
                <w:szCs w:val="18"/>
              </w:rPr>
              <w:t>Resultados diferenciales de interés entre los tratamientos comparados</w:t>
            </w:r>
          </w:p>
          <w:p w:rsidR="00171121" w:rsidRPr="00171121" w:rsidRDefault="00171121" w:rsidP="00171121">
            <w:pPr>
              <w:suppressAutoHyphens w:val="0"/>
              <w:spacing w:line="240" w:lineRule="auto"/>
              <w:ind w:leftChars="0" w:left="-2" w:firstLineChars="0" w:hanging="2"/>
              <w:jc w:val="both"/>
              <w:textDirection w:val="lrTb"/>
              <w:textAlignment w:val="auto"/>
              <w:outlineLvl w:val="9"/>
              <w:rPr>
                <w:position w:val="0"/>
              </w:rPr>
            </w:pPr>
          </w:p>
        </w:tc>
      </w:tr>
      <w:tr w:rsidR="00862A9C" w:rsidRPr="00171121" w:rsidTr="00702882">
        <w:tc>
          <w:tcPr>
            <w:tcW w:w="0" w:type="auto"/>
            <w:tcBorders>
              <w:top w:val="single" w:sz="4" w:space="0" w:color="000000"/>
              <w:left w:val="single" w:sz="4" w:space="0" w:color="000000"/>
              <w:bottom w:val="single" w:sz="4" w:space="0" w:color="000000"/>
              <w:right w:val="single" w:sz="4" w:space="0" w:color="000000"/>
            </w:tcBorders>
            <w:shd w:val="clear" w:color="auto" w:fill="E7E6E6"/>
            <w:tcMar>
              <w:top w:w="0" w:type="dxa"/>
              <w:left w:w="70" w:type="dxa"/>
              <w:bottom w:w="0" w:type="dxa"/>
              <w:right w:w="70" w:type="dxa"/>
            </w:tcMar>
            <w:hideMark/>
          </w:tcPr>
          <w:p w:rsidR="003628E0" w:rsidRPr="00171121" w:rsidRDefault="003628E0" w:rsidP="00171121">
            <w:pPr>
              <w:suppressAutoHyphens w:val="0"/>
              <w:spacing w:line="240" w:lineRule="auto"/>
              <w:ind w:leftChars="0" w:left="0" w:firstLineChars="0" w:firstLine="0"/>
              <w:textDirection w:val="lrTb"/>
              <w:textAlignment w:val="auto"/>
              <w:outlineLvl w:val="9"/>
              <w:rPr>
                <w:position w:val="0"/>
              </w:rPr>
            </w:pPr>
          </w:p>
        </w:tc>
        <w:tc>
          <w:tcPr>
            <w:tcW w:w="0" w:type="auto"/>
            <w:tcBorders>
              <w:top w:val="single" w:sz="4" w:space="0" w:color="000000"/>
              <w:left w:val="single" w:sz="4" w:space="0" w:color="000000"/>
              <w:bottom w:val="single" w:sz="4" w:space="0" w:color="000000"/>
              <w:right w:val="single" w:sz="4" w:space="0" w:color="000000"/>
            </w:tcBorders>
            <w:shd w:val="clear" w:color="auto" w:fill="E7E6E6"/>
            <w:tcMar>
              <w:top w:w="0" w:type="dxa"/>
              <w:left w:w="70" w:type="dxa"/>
              <w:bottom w:w="0" w:type="dxa"/>
              <w:right w:w="70" w:type="dxa"/>
            </w:tcMar>
            <w:hideMark/>
          </w:tcPr>
          <w:p w:rsidR="003628E0" w:rsidRPr="00171121" w:rsidRDefault="003628E0" w:rsidP="00171121">
            <w:pPr>
              <w:suppressAutoHyphens w:val="0"/>
              <w:spacing w:line="240" w:lineRule="auto"/>
              <w:ind w:leftChars="0" w:left="-2" w:firstLineChars="0" w:hanging="2"/>
              <w:jc w:val="center"/>
              <w:textDirection w:val="lrTb"/>
              <w:textAlignment w:val="auto"/>
              <w:outlineLvl w:val="9"/>
              <w:rPr>
                <w:position w:val="0"/>
              </w:rPr>
            </w:pPr>
            <w:r>
              <w:rPr>
                <w:rFonts w:ascii="Arial" w:hAnsi="Arial" w:cs="Arial"/>
                <w:color w:val="000000"/>
                <w:position w:val="0"/>
                <w:sz w:val="16"/>
                <w:szCs w:val="16"/>
              </w:rPr>
              <w:t>Avapritinib</w:t>
            </w:r>
            <w:r w:rsidR="00862A9C">
              <w:rPr>
                <w:rFonts w:ascii="Arial" w:hAnsi="Arial" w:cs="Arial"/>
                <w:color w:val="000000"/>
                <w:position w:val="0"/>
                <w:sz w:val="16"/>
                <w:szCs w:val="16"/>
              </w:rPr>
              <w:t>**</w:t>
            </w:r>
          </w:p>
        </w:tc>
        <w:tc>
          <w:tcPr>
            <w:tcW w:w="0" w:type="auto"/>
            <w:tcBorders>
              <w:top w:val="single" w:sz="4" w:space="0" w:color="000000"/>
              <w:left w:val="single" w:sz="4" w:space="0" w:color="000000"/>
              <w:bottom w:val="single" w:sz="4" w:space="0" w:color="000000"/>
              <w:right w:val="single" w:sz="4" w:space="0" w:color="000000"/>
            </w:tcBorders>
            <w:shd w:val="clear" w:color="auto" w:fill="E7E6E6"/>
            <w:tcMar>
              <w:top w:w="0" w:type="dxa"/>
              <w:left w:w="70" w:type="dxa"/>
              <w:bottom w:w="0" w:type="dxa"/>
              <w:right w:w="70" w:type="dxa"/>
            </w:tcMar>
            <w:hideMark/>
          </w:tcPr>
          <w:p w:rsidR="003628E0" w:rsidRPr="00171121" w:rsidRDefault="003628E0" w:rsidP="00171121">
            <w:pPr>
              <w:suppressAutoHyphens w:val="0"/>
              <w:spacing w:line="240" w:lineRule="auto"/>
              <w:ind w:leftChars="0" w:left="-2" w:firstLineChars="0" w:hanging="2"/>
              <w:jc w:val="center"/>
              <w:textDirection w:val="lrTb"/>
              <w:textAlignment w:val="auto"/>
              <w:outlineLvl w:val="9"/>
              <w:rPr>
                <w:position w:val="0"/>
              </w:rPr>
            </w:pPr>
            <w:r>
              <w:rPr>
                <w:rFonts w:ascii="Arial" w:hAnsi="Arial" w:cs="Arial"/>
                <w:color w:val="000000"/>
                <w:position w:val="0"/>
                <w:sz w:val="16"/>
                <w:szCs w:val="16"/>
              </w:rPr>
              <w:t>Midostaurina</w:t>
            </w:r>
            <w:r w:rsidR="00862A9C">
              <w:rPr>
                <w:rFonts w:ascii="Arial" w:hAnsi="Arial" w:cs="Arial"/>
                <w:color w:val="000000"/>
                <w:position w:val="0"/>
                <w:sz w:val="16"/>
                <w:szCs w:val="16"/>
              </w:rPr>
              <w:t>***</w:t>
            </w:r>
          </w:p>
        </w:tc>
        <w:tc>
          <w:tcPr>
            <w:tcW w:w="0" w:type="auto"/>
            <w:tcBorders>
              <w:top w:val="single" w:sz="4" w:space="0" w:color="000000"/>
              <w:left w:val="single" w:sz="4" w:space="0" w:color="000000"/>
              <w:bottom w:val="single" w:sz="4" w:space="0" w:color="000000"/>
              <w:right w:val="single" w:sz="4" w:space="0" w:color="000000"/>
            </w:tcBorders>
            <w:shd w:val="clear" w:color="auto" w:fill="E7E6E6"/>
            <w:tcMar>
              <w:top w:w="0" w:type="dxa"/>
              <w:left w:w="70" w:type="dxa"/>
              <w:bottom w:w="0" w:type="dxa"/>
              <w:right w:w="70" w:type="dxa"/>
            </w:tcMar>
            <w:hideMark/>
          </w:tcPr>
          <w:p w:rsidR="003628E0" w:rsidRPr="00171121" w:rsidRDefault="003628E0" w:rsidP="00171121">
            <w:pPr>
              <w:suppressAutoHyphens w:val="0"/>
              <w:spacing w:line="240" w:lineRule="auto"/>
              <w:ind w:leftChars="0" w:left="-2" w:firstLineChars="0" w:hanging="2"/>
              <w:jc w:val="center"/>
              <w:textDirection w:val="lrTb"/>
              <w:textAlignment w:val="auto"/>
              <w:outlineLvl w:val="9"/>
              <w:rPr>
                <w:position w:val="0"/>
              </w:rPr>
            </w:pPr>
            <w:r>
              <w:rPr>
                <w:rFonts w:ascii="Arial" w:hAnsi="Arial" w:cs="Arial"/>
                <w:color w:val="000000"/>
                <w:position w:val="0"/>
                <w:sz w:val="16"/>
                <w:szCs w:val="16"/>
              </w:rPr>
              <w:t>HR (IC 95%)</w:t>
            </w:r>
          </w:p>
        </w:tc>
        <w:tc>
          <w:tcPr>
            <w:tcW w:w="0" w:type="auto"/>
            <w:tcBorders>
              <w:top w:val="single" w:sz="4" w:space="0" w:color="000000"/>
              <w:left w:val="single" w:sz="4" w:space="0" w:color="000000"/>
              <w:bottom w:val="single" w:sz="4" w:space="0" w:color="000000"/>
              <w:right w:val="single" w:sz="4" w:space="0" w:color="000000"/>
            </w:tcBorders>
            <w:shd w:val="clear" w:color="auto" w:fill="E7E6E6"/>
            <w:tcMar>
              <w:top w:w="0" w:type="dxa"/>
              <w:left w:w="70" w:type="dxa"/>
              <w:bottom w:w="0" w:type="dxa"/>
              <w:right w:w="70" w:type="dxa"/>
            </w:tcMar>
            <w:hideMark/>
          </w:tcPr>
          <w:p w:rsidR="003628E0" w:rsidRPr="00171121" w:rsidRDefault="003628E0" w:rsidP="00171121">
            <w:pPr>
              <w:suppressAutoHyphens w:val="0"/>
              <w:spacing w:line="240" w:lineRule="auto"/>
              <w:ind w:leftChars="0" w:left="-2" w:firstLineChars="0" w:hanging="2"/>
              <w:jc w:val="center"/>
              <w:textDirection w:val="lrTb"/>
              <w:textAlignment w:val="auto"/>
              <w:outlineLvl w:val="9"/>
              <w:rPr>
                <w:position w:val="0"/>
              </w:rPr>
            </w:pPr>
            <w:r w:rsidRPr="00171121">
              <w:rPr>
                <w:rFonts w:ascii="Arial" w:hAnsi="Arial" w:cs="Arial"/>
                <w:color w:val="000000"/>
                <w:position w:val="0"/>
                <w:sz w:val="16"/>
                <w:szCs w:val="16"/>
              </w:rPr>
              <w:t>Referencia</w:t>
            </w:r>
          </w:p>
          <w:p w:rsidR="003628E0" w:rsidRPr="00171121" w:rsidRDefault="003628E0" w:rsidP="00171121">
            <w:pPr>
              <w:suppressAutoHyphens w:val="0"/>
              <w:spacing w:line="240" w:lineRule="auto"/>
              <w:ind w:leftChars="0" w:left="-2" w:firstLineChars="0" w:hanging="2"/>
              <w:jc w:val="center"/>
              <w:textDirection w:val="lrTb"/>
              <w:textAlignment w:val="auto"/>
              <w:outlineLvl w:val="9"/>
              <w:rPr>
                <w:position w:val="0"/>
              </w:rPr>
            </w:pPr>
          </w:p>
        </w:tc>
      </w:tr>
      <w:tr w:rsidR="00862A9C" w:rsidRPr="00171121" w:rsidTr="00702882">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3628E0" w:rsidRPr="00171121" w:rsidRDefault="003628E0" w:rsidP="00171121">
            <w:pPr>
              <w:suppressAutoHyphens w:val="0"/>
              <w:spacing w:line="240" w:lineRule="auto"/>
              <w:ind w:leftChars="0" w:left="-2" w:firstLineChars="0" w:hanging="2"/>
              <w:jc w:val="both"/>
              <w:textDirection w:val="lrTb"/>
              <w:textAlignment w:val="auto"/>
              <w:outlineLvl w:val="9"/>
              <w:rPr>
                <w:position w:val="0"/>
              </w:rPr>
            </w:pPr>
            <w:r>
              <w:rPr>
                <w:rFonts w:ascii="Arial" w:hAnsi="Arial" w:cs="Arial"/>
                <w:color w:val="000000"/>
                <w:position w:val="0"/>
                <w:sz w:val="16"/>
                <w:szCs w:val="16"/>
              </w:rPr>
              <w:t>Supervivencia global (meses)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3628E0" w:rsidRPr="00171121" w:rsidRDefault="00D84773" w:rsidP="00171121">
            <w:pPr>
              <w:suppressAutoHyphens w:val="0"/>
              <w:spacing w:line="240" w:lineRule="auto"/>
              <w:ind w:leftChars="0" w:left="0" w:firstLineChars="0" w:firstLine="0"/>
              <w:textDirection w:val="lrTb"/>
              <w:textAlignment w:val="auto"/>
              <w:outlineLvl w:val="9"/>
              <w:rPr>
                <w:position w:val="0"/>
              </w:rPr>
            </w:pPr>
            <w:r>
              <w:rPr>
                <w:position w:val="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3628E0" w:rsidRPr="00171121" w:rsidRDefault="00D84773" w:rsidP="00171121">
            <w:pPr>
              <w:suppressAutoHyphens w:val="0"/>
              <w:spacing w:line="240" w:lineRule="auto"/>
              <w:ind w:leftChars="0" w:left="0" w:firstLineChars="0" w:firstLine="0"/>
              <w:textDirection w:val="lrTb"/>
              <w:textAlignment w:val="auto"/>
              <w:outlineLvl w:val="9"/>
              <w:rPr>
                <w:position w:val="0"/>
              </w:rPr>
            </w:pPr>
            <w:r>
              <w:rPr>
                <w:position w:val="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3628E0" w:rsidRPr="00171121" w:rsidRDefault="00862A9C" w:rsidP="0065057D">
            <w:pPr>
              <w:suppressAutoHyphens w:val="0"/>
              <w:spacing w:line="240" w:lineRule="auto"/>
              <w:ind w:leftChars="0" w:left="0" w:firstLineChars="0" w:firstLine="0"/>
              <w:textDirection w:val="lrTb"/>
              <w:textAlignment w:val="auto"/>
              <w:outlineLvl w:val="9"/>
              <w:rPr>
                <w:position w:val="0"/>
              </w:rPr>
            </w:pPr>
            <w:r w:rsidRPr="00862A9C">
              <w:rPr>
                <w:rFonts w:ascii="Arial" w:hAnsi="Arial" w:cs="Arial"/>
                <w:color w:val="000000"/>
                <w:position w:val="0"/>
                <w:sz w:val="16"/>
                <w:szCs w:val="16"/>
              </w:rPr>
              <w:t>0.44 (0</w:t>
            </w:r>
            <w:r w:rsidR="0065057D">
              <w:rPr>
                <w:rFonts w:ascii="Arial" w:hAnsi="Arial" w:cs="Arial"/>
                <w:color w:val="000000"/>
                <w:position w:val="0"/>
                <w:sz w:val="16"/>
                <w:szCs w:val="16"/>
              </w:rPr>
              <w:t>,</w:t>
            </w:r>
            <w:r w:rsidRPr="00862A9C">
              <w:rPr>
                <w:rFonts w:ascii="Arial" w:hAnsi="Arial" w:cs="Arial"/>
                <w:color w:val="000000"/>
                <w:position w:val="0"/>
                <w:sz w:val="16"/>
                <w:szCs w:val="16"/>
              </w:rPr>
              <w:t>25-0</w:t>
            </w:r>
            <w:r w:rsidR="0065057D">
              <w:rPr>
                <w:rFonts w:ascii="Arial" w:hAnsi="Arial" w:cs="Arial"/>
                <w:color w:val="000000"/>
                <w:position w:val="0"/>
                <w:sz w:val="16"/>
                <w:szCs w:val="16"/>
              </w:rPr>
              <w:t>,</w:t>
            </w:r>
            <w:r w:rsidRPr="00862A9C">
              <w:rPr>
                <w:rFonts w:ascii="Arial" w:hAnsi="Arial" w:cs="Arial"/>
                <w:color w:val="000000"/>
                <w:position w:val="0"/>
                <w:sz w:val="16"/>
                <w:szCs w:val="16"/>
              </w:rPr>
              <w:t>76)</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3628E0" w:rsidRPr="00171121" w:rsidRDefault="003628E0" w:rsidP="00171121">
            <w:pPr>
              <w:suppressAutoHyphens w:val="0"/>
              <w:spacing w:line="240" w:lineRule="auto"/>
              <w:ind w:leftChars="0" w:left="0" w:firstLineChars="0" w:firstLine="0"/>
              <w:textDirection w:val="lrTb"/>
              <w:textAlignment w:val="auto"/>
              <w:outlineLvl w:val="9"/>
              <w:rPr>
                <w:rFonts w:ascii="Arial" w:hAnsi="Arial" w:cs="Arial"/>
                <w:color w:val="000000"/>
                <w:position w:val="0"/>
                <w:sz w:val="16"/>
                <w:szCs w:val="16"/>
              </w:rPr>
            </w:pPr>
            <w:r w:rsidRPr="005E0F82">
              <w:rPr>
                <w:rFonts w:ascii="Arial" w:hAnsi="Arial" w:cs="Arial"/>
                <w:color w:val="000000"/>
                <w:position w:val="0"/>
                <w:sz w:val="16"/>
                <w:szCs w:val="16"/>
                <w:lang w:val="en-US"/>
              </w:rPr>
              <w:t xml:space="preserve">Pilkington, Hollie et al. Indirect treatment comparisons of avapritinib versus midostaurin for patients with advanced systemic mastocytosis. </w:t>
            </w:r>
            <w:r w:rsidRPr="00862A9C">
              <w:rPr>
                <w:rFonts w:ascii="Arial" w:hAnsi="Arial" w:cs="Arial"/>
                <w:color w:val="000000"/>
                <w:position w:val="0"/>
                <w:sz w:val="16"/>
                <w:szCs w:val="16"/>
              </w:rPr>
              <w:t>Future Oncology, 2022;18</w:t>
            </w:r>
            <w:sdt>
              <w:sdtPr>
                <w:rPr>
                  <w:rFonts w:ascii="Arial" w:hAnsi="Arial" w:cs="Arial"/>
                  <w:color w:val="000000"/>
                  <w:position w:val="0"/>
                  <w:sz w:val="16"/>
                  <w:szCs w:val="16"/>
                </w:rPr>
                <w:id w:val="-891340744"/>
                <w:citation/>
              </w:sdtPr>
              <w:sdtEndPr/>
              <w:sdtContent>
                <w:r w:rsidR="00743E44" w:rsidRPr="00862A9C">
                  <w:rPr>
                    <w:rFonts w:ascii="Arial" w:hAnsi="Arial" w:cs="Arial"/>
                    <w:color w:val="000000"/>
                    <w:position w:val="0"/>
                    <w:sz w:val="16"/>
                    <w:szCs w:val="16"/>
                  </w:rPr>
                  <w:fldChar w:fldCharType="begin"/>
                </w:r>
                <w:r w:rsidRPr="00862A9C">
                  <w:rPr>
                    <w:rFonts w:ascii="Arial" w:hAnsi="Arial" w:cs="Arial"/>
                    <w:color w:val="000000"/>
                    <w:position w:val="0"/>
                    <w:sz w:val="16"/>
                    <w:szCs w:val="16"/>
                  </w:rPr>
                  <w:instrText xml:space="preserve"> CITATION Hol22 \l 3082 </w:instrText>
                </w:r>
                <w:r w:rsidR="00743E44" w:rsidRPr="00862A9C">
                  <w:rPr>
                    <w:rFonts w:ascii="Arial" w:hAnsi="Arial" w:cs="Arial"/>
                    <w:color w:val="000000"/>
                    <w:position w:val="0"/>
                    <w:sz w:val="16"/>
                    <w:szCs w:val="16"/>
                  </w:rPr>
                  <w:fldChar w:fldCharType="separate"/>
                </w:r>
                <w:r w:rsidR="00C560F5">
                  <w:rPr>
                    <w:rFonts w:ascii="Arial" w:hAnsi="Arial" w:cs="Arial"/>
                    <w:noProof/>
                    <w:color w:val="000000"/>
                    <w:position w:val="0"/>
                    <w:sz w:val="16"/>
                    <w:szCs w:val="16"/>
                  </w:rPr>
                  <w:t xml:space="preserve"> </w:t>
                </w:r>
                <w:r w:rsidR="00C560F5" w:rsidRPr="00C560F5">
                  <w:rPr>
                    <w:rFonts w:ascii="Arial" w:hAnsi="Arial" w:cs="Arial"/>
                    <w:noProof/>
                    <w:color w:val="000000"/>
                    <w:position w:val="0"/>
                    <w:sz w:val="16"/>
                    <w:szCs w:val="16"/>
                  </w:rPr>
                  <w:t>(12)</w:t>
                </w:r>
                <w:r w:rsidR="00743E44" w:rsidRPr="00862A9C">
                  <w:rPr>
                    <w:rFonts w:ascii="Arial" w:hAnsi="Arial" w:cs="Arial"/>
                    <w:color w:val="000000"/>
                    <w:position w:val="0"/>
                    <w:sz w:val="16"/>
                    <w:szCs w:val="16"/>
                  </w:rPr>
                  <w:fldChar w:fldCharType="end"/>
                </w:r>
              </w:sdtContent>
            </w:sdt>
            <w:r w:rsidRPr="00862A9C">
              <w:rPr>
                <w:rFonts w:ascii="Arial" w:hAnsi="Arial" w:cs="Arial"/>
                <w:color w:val="000000"/>
                <w:position w:val="0"/>
                <w:sz w:val="16"/>
                <w:szCs w:val="16"/>
              </w:rPr>
              <w:t>.</w:t>
            </w:r>
          </w:p>
        </w:tc>
      </w:tr>
      <w:tr w:rsidR="00862A9C" w:rsidRPr="00155E6D" w:rsidTr="00702882">
        <w:tc>
          <w:tcPr>
            <w:tcW w:w="0" w:type="auto"/>
            <w:gridSpan w:val="5"/>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862A9C" w:rsidRPr="005E0F82" w:rsidRDefault="00862A9C" w:rsidP="00171121">
            <w:pPr>
              <w:suppressAutoHyphens w:val="0"/>
              <w:spacing w:line="240" w:lineRule="auto"/>
              <w:ind w:leftChars="0" w:left="0" w:firstLineChars="0" w:firstLine="0"/>
              <w:textDirection w:val="lrTb"/>
              <w:textAlignment w:val="auto"/>
              <w:outlineLvl w:val="9"/>
              <w:rPr>
                <w:rFonts w:ascii="Arial" w:hAnsi="Arial" w:cs="Arial"/>
                <w:color w:val="000000"/>
                <w:position w:val="0"/>
                <w:sz w:val="16"/>
                <w:szCs w:val="16"/>
                <w:lang w:val="en-US"/>
              </w:rPr>
            </w:pPr>
            <w:r w:rsidRPr="005E0F82">
              <w:rPr>
                <w:rFonts w:ascii="Arial" w:hAnsi="Arial" w:cs="Arial"/>
                <w:color w:val="000000"/>
                <w:position w:val="0"/>
                <w:sz w:val="16"/>
                <w:szCs w:val="16"/>
                <w:lang w:val="en-US"/>
              </w:rPr>
              <w:t>*Matching-adjusted indirect comparison</w:t>
            </w:r>
          </w:p>
          <w:p w:rsidR="00862A9C" w:rsidRPr="005E0F82" w:rsidRDefault="00862A9C" w:rsidP="00171121">
            <w:pPr>
              <w:suppressAutoHyphens w:val="0"/>
              <w:spacing w:line="240" w:lineRule="auto"/>
              <w:ind w:leftChars="0" w:left="0" w:firstLineChars="0" w:firstLine="0"/>
              <w:textDirection w:val="lrTb"/>
              <w:textAlignment w:val="auto"/>
              <w:outlineLvl w:val="9"/>
              <w:rPr>
                <w:rFonts w:ascii="Arial" w:hAnsi="Arial" w:cs="Arial"/>
                <w:color w:val="000000"/>
                <w:position w:val="0"/>
                <w:sz w:val="16"/>
                <w:szCs w:val="16"/>
                <w:lang w:val="en-US"/>
              </w:rPr>
            </w:pPr>
            <w:r w:rsidRPr="005E0F82">
              <w:rPr>
                <w:rFonts w:ascii="Arial" w:hAnsi="Arial" w:cs="Arial"/>
                <w:color w:val="000000"/>
                <w:position w:val="0"/>
                <w:sz w:val="16"/>
                <w:szCs w:val="16"/>
                <w:lang w:val="en-US"/>
              </w:rPr>
              <w:t>**Pooled Explorer and Pathfinder population. Response assessment committee response-evaluable</w:t>
            </w:r>
          </w:p>
          <w:p w:rsidR="00862A9C" w:rsidRPr="005E0F82" w:rsidRDefault="00862A9C" w:rsidP="00171121">
            <w:pPr>
              <w:suppressAutoHyphens w:val="0"/>
              <w:spacing w:line="240" w:lineRule="auto"/>
              <w:ind w:leftChars="0" w:left="0" w:firstLineChars="0" w:firstLine="0"/>
              <w:textDirection w:val="lrTb"/>
              <w:textAlignment w:val="auto"/>
              <w:outlineLvl w:val="9"/>
              <w:rPr>
                <w:rFonts w:ascii="Arial" w:hAnsi="Arial" w:cs="Arial"/>
                <w:color w:val="000000"/>
                <w:position w:val="0"/>
                <w:sz w:val="16"/>
                <w:szCs w:val="16"/>
                <w:lang w:val="en-US"/>
              </w:rPr>
            </w:pPr>
            <w:r w:rsidRPr="005E0F82">
              <w:rPr>
                <w:rFonts w:ascii="Arial" w:hAnsi="Arial" w:cs="Arial"/>
                <w:color w:val="000000"/>
                <w:position w:val="0"/>
                <w:sz w:val="16"/>
                <w:szCs w:val="16"/>
                <w:lang w:val="en-US"/>
              </w:rPr>
              <w:t>***Pooled D2201 and A2213 population</w:t>
            </w:r>
          </w:p>
        </w:tc>
      </w:tr>
    </w:tbl>
    <w:p w:rsidR="00171121" w:rsidRPr="00862A9C" w:rsidRDefault="00171121" w:rsidP="00171121">
      <w:pPr>
        <w:ind w:leftChars="0" w:left="0" w:firstLineChars="0" w:firstLine="0"/>
        <w:jc w:val="both"/>
        <w:rPr>
          <w:rFonts w:ascii="Arial" w:eastAsia="Arial" w:hAnsi="Arial" w:cs="Arial"/>
          <w:sz w:val="20"/>
          <w:szCs w:val="20"/>
          <w:lang w:val="en-US"/>
        </w:rPr>
      </w:pPr>
    </w:p>
    <w:p w:rsidR="009F4E08" w:rsidRPr="00862A9C" w:rsidRDefault="009F4E08" w:rsidP="00171121">
      <w:pPr>
        <w:ind w:leftChars="0" w:left="0" w:firstLineChars="0" w:firstLine="0"/>
        <w:jc w:val="both"/>
        <w:rPr>
          <w:rFonts w:ascii="Arial" w:eastAsia="Arial" w:hAnsi="Arial" w:cs="Arial"/>
          <w:sz w:val="20"/>
          <w:szCs w:val="20"/>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534"/>
        <w:gridCol w:w="946"/>
        <w:gridCol w:w="1143"/>
        <w:gridCol w:w="817"/>
        <w:gridCol w:w="4439"/>
      </w:tblGrid>
      <w:tr w:rsidR="009F4E08" w:rsidRPr="00171121" w:rsidTr="00702882">
        <w:tc>
          <w:tcPr>
            <w:tcW w:w="0" w:type="auto"/>
            <w:gridSpan w:val="5"/>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hideMark/>
          </w:tcPr>
          <w:p w:rsidR="009F4E08" w:rsidRPr="003628E0" w:rsidRDefault="009F4E08" w:rsidP="009F4E08">
            <w:pPr>
              <w:ind w:leftChars="0" w:left="0" w:firstLineChars="0" w:firstLine="0"/>
              <w:jc w:val="both"/>
              <w:rPr>
                <w:rFonts w:ascii="Arial" w:eastAsia="Arial" w:hAnsi="Arial" w:cs="Arial"/>
                <w:sz w:val="20"/>
                <w:szCs w:val="20"/>
              </w:rPr>
            </w:pPr>
            <w:r w:rsidRPr="00171121">
              <w:rPr>
                <w:rFonts w:ascii="Arial" w:hAnsi="Arial" w:cs="Arial"/>
                <w:b/>
                <w:bCs/>
                <w:color w:val="000000"/>
                <w:position w:val="0"/>
                <w:sz w:val="18"/>
                <w:szCs w:val="18"/>
              </w:rPr>
              <w:t>Tabla 7.3.0.</w:t>
            </w:r>
            <w:r>
              <w:rPr>
                <w:rFonts w:ascii="Arial" w:hAnsi="Arial" w:cs="Arial"/>
                <w:b/>
                <w:bCs/>
                <w:color w:val="000000"/>
                <w:position w:val="0"/>
                <w:sz w:val="18"/>
                <w:szCs w:val="18"/>
              </w:rPr>
              <w:t>2.</w:t>
            </w:r>
            <w:r w:rsidRPr="009F4E08">
              <w:rPr>
                <w:rFonts w:ascii="Arial" w:hAnsi="Arial" w:cs="Arial"/>
                <w:b/>
                <w:bCs/>
                <w:i/>
                <w:iCs/>
                <w:color w:val="000000"/>
                <w:position w:val="0"/>
                <w:sz w:val="18"/>
                <w:szCs w:val="18"/>
              </w:rPr>
              <w:t xml:space="preserve"> </w:t>
            </w:r>
            <w:r w:rsidR="003628E0">
              <w:rPr>
                <w:rFonts w:ascii="Arial" w:hAnsi="Arial" w:cs="Arial"/>
                <w:b/>
                <w:bCs/>
                <w:i/>
                <w:iCs/>
                <w:color w:val="000000"/>
                <w:position w:val="0"/>
                <w:sz w:val="18"/>
                <w:szCs w:val="18"/>
              </w:rPr>
              <w:t xml:space="preserve"> </w:t>
            </w:r>
            <w:r w:rsidR="003628E0">
              <w:rPr>
                <w:rFonts w:ascii="Arial" w:hAnsi="Arial" w:cs="Arial"/>
                <w:b/>
                <w:bCs/>
                <w:color w:val="000000"/>
                <w:sz w:val="18"/>
                <w:szCs w:val="18"/>
              </w:rPr>
              <w:t>Resultados diferenciales de interés entre los tratamientos comparados</w:t>
            </w:r>
          </w:p>
          <w:p w:rsidR="009F4E08" w:rsidRPr="00171121" w:rsidRDefault="009F4E08" w:rsidP="00702882">
            <w:pPr>
              <w:suppressAutoHyphens w:val="0"/>
              <w:spacing w:line="240" w:lineRule="auto"/>
              <w:ind w:leftChars="0" w:left="-2" w:firstLineChars="0" w:hanging="2"/>
              <w:jc w:val="both"/>
              <w:textDirection w:val="lrTb"/>
              <w:textAlignment w:val="auto"/>
              <w:outlineLvl w:val="9"/>
              <w:rPr>
                <w:position w:val="0"/>
              </w:rPr>
            </w:pPr>
          </w:p>
        </w:tc>
      </w:tr>
      <w:tr w:rsidR="003628E0" w:rsidRPr="00171121" w:rsidTr="00702882">
        <w:tc>
          <w:tcPr>
            <w:tcW w:w="0" w:type="auto"/>
            <w:tcBorders>
              <w:top w:val="single" w:sz="4" w:space="0" w:color="000000"/>
              <w:left w:val="single" w:sz="4" w:space="0" w:color="000000"/>
              <w:bottom w:val="single" w:sz="4" w:space="0" w:color="000000"/>
              <w:right w:val="single" w:sz="4" w:space="0" w:color="000000"/>
            </w:tcBorders>
            <w:shd w:val="clear" w:color="auto" w:fill="E7E6E6"/>
            <w:tcMar>
              <w:top w:w="0" w:type="dxa"/>
              <w:left w:w="70" w:type="dxa"/>
              <w:bottom w:w="0" w:type="dxa"/>
              <w:right w:w="70" w:type="dxa"/>
            </w:tcMar>
            <w:hideMark/>
          </w:tcPr>
          <w:p w:rsidR="003628E0" w:rsidRPr="00171121" w:rsidRDefault="003628E0" w:rsidP="00702882">
            <w:pPr>
              <w:suppressAutoHyphens w:val="0"/>
              <w:spacing w:line="240" w:lineRule="auto"/>
              <w:ind w:leftChars="0" w:left="0" w:firstLineChars="0" w:firstLine="0"/>
              <w:textDirection w:val="lrTb"/>
              <w:textAlignment w:val="auto"/>
              <w:outlineLvl w:val="9"/>
              <w:rPr>
                <w:position w:val="0"/>
              </w:rPr>
            </w:pPr>
          </w:p>
        </w:tc>
        <w:tc>
          <w:tcPr>
            <w:tcW w:w="0" w:type="auto"/>
            <w:tcBorders>
              <w:top w:val="single" w:sz="4" w:space="0" w:color="000000"/>
              <w:left w:val="single" w:sz="4" w:space="0" w:color="000000"/>
              <w:bottom w:val="single" w:sz="4" w:space="0" w:color="000000"/>
              <w:right w:val="single" w:sz="4" w:space="0" w:color="000000"/>
            </w:tcBorders>
            <w:shd w:val="clear" w:color="auto" w:fill="E7E6E6"/>
            <w:tcMar>
              <w:top w:w="0" w:type="dxa"/>
              <w:left w:w="70" w:type="dxa"/>
              <w:bottom w:w="0" w:type="dxa"/>
              <w:right w:w="70" w:type="dxa"/>
            </w:tcMar>
            <w:hideMark/>
          </w:tcPr>
          <w:p w:rsidR="003628E0" w:rsidRPr="00171121" w:rsidRDefault="003628E0" w:rsidP="00702882">
            <w:pPr>
              <w:suppressAutoHyphens w:val="0"/>
              <w:spacing w:line="240" w:lineRule="auto"/>
              <w:ind w:leftChars="0" w:left="-2" w:firstLineChars="0" w:hanging="2"/>
              <w:jc w:val="center"/>
              <w:textDirection w:val="lrTb"/>
              <w:textAlignment w:val="auto"/>
              <w:outlineLvl w:val="9"/>
              <w:rPr>
                <w:position w:val="0"/>
              </w:rPr>
            </w:pPr>
            <w:r>
              <w:rPr>
                <w:rFonts w:ascii="Arial" w:hAnsi="Arial" w:cs="Arial"/>
                <w:color w:val="000000"/>
                <w:position w:val="0"/>
                <w:sz w:val="16"/>
                <w:szCs w:val="16"/>
              </w:rPr>
              <w:t>Avapritinib</w:t>
            </w:r>
          </w:p>
        </w:tc>
        <w:tc>
          <w:tcPr>
            <w:tcW w:w="0" w:type="auto"/>
            <w:tcBorders>
              <w:top w:val="single" w:sz="4" w:space="0" w:color="000000"/>
              <w:left w:val="single" w:sz="4" w:space="0" w:color="000000"/>
              <w:bottom w:val="single" w:sz="4" w:space="0" w:color="000000"/>
              <w:right w:val="single" w:sz="4" w:space="0" w:color="000000"/>
            </w:tcBorders>
            <w:shd w:val="clear" w:color="auto" w:fill="E7E6E6"/>
            <w:tcMar>
              <w:top w:w="0" w:type="dxa"/>
              <w:left w:w="70" w:type="dxa"/>
              <w:bottom w:w="0" w:type="dxa"/>
              <w:right w:w="70" w:type="dxa"/>
            </w:tcMar>
            <w:hideMark/>
          </w:tcPr>
          <w:p w:rsidR="003628E0" w:rsidRPr="00171121" w:rsidRDefault="003628E0" w:rsidP="00702882">
            <w:pPr>
              <w:suppressAutoHyphens w:val="0"/>
              <w:spacing w:line="240" w:lineRule="auto"/>
              <w:ind w:leftChars="0" w:left="-2" w:firstLineChars="0" w:hanging="2"/>
              <w:jc w:val="center"/>
              <w:textDirection w:val="lrTb"/>
              <w:textAlignment w:val="auto"/>
              <w:outlineLvl w:val="9"/>
              <w:rPr>
                <w:i/>
                <w:iCs/>
                <w:position w:val="0"/>
              </w:rPr>
            </w:pPr>
            <w:r w:rsidRPr="009F4E08">
              <w:rPr>
                <w:rFonts w:ascii="Arial" w:hAnsi="Arial" w:cs="Arial"/>
                <w:i/>
                <w:iCs/>
                <w:color w:val="000000"/>
                <w:position w:val="0"/>
                <w:sz w:val="16"/>
                <w:szCs w:val="16"/>
              </w:rPr>
              <w:t>Best Available Therapy</w:t>
            </w:r>
          </w:p>
        </w:tc>
        <w:tc>
          <w:tcPr>
            <w:tcW w:w="0" w:type="auto"/>
            <w:tcBorders>
              <w:top w:val="single" w:sz="4" w:space="0" w:color="000000"/>
              <w:left w:val="single" w:sz="4" w:space="0" w:color="000000"/>
              <w:bottom w:val="single" w:sz="4" w:space="0" w:color="000000"/>
              <w:right w:val="single" w:sz="4" w:space="0" w:color="000000"/>
            </w:tcBorders>
            <w:shd w:val="clear" w:color="auto" w:fill="E7E6E6"/>
            <w:tcMar>
              <w:top w:w="0" w:type="dxa"/>
              <w:left w:w="70" w:type="dxa"/>
              <w:bottom w:w="0" w:type="dxa"/>
              <w:right w:w="70" w:type="dxa"/>
            </w:tcMar>
            <w:hideMark/>
          </w:tcPr>
          <w:p w:rsidR="003628E0" w:rsidRPr="00171121" w:rsidRDefault="003628E0" w:rsidP="00702882">
            <w:pPr>
              <w:suppressAutoHyphens w:val="0"/>
              <w:spacing w:line="240" w:lineRule="auto"/>
              <w:ind w:leftChars="0" w:left="-2" w:firstLineChars="0" w:hanging="2"/>
              <w:jc w:val="center"/>
              <w:textDirection w:val="lrTb"/>
              <w:textAlignment w:val="auto"/>
              <w:outlineLvl w:val="9"/>
              <w:rPr>
                <w:position w:val="0"/>
              </w:rPr>
            </w:pPr>
            <w:r>
              <w:rPr>
                <w:rFonts w:ascii="Arial" w:hAnsi="Arial" w:cs="Arial"/>
                <w:color w:val="000000"/>
                <w:position w:val="0"/>
                <w:sz w:val="16"/>
                <w:szCs w:val="16"/>
              </w:rPr>
              <w:t>HR (IC 95%)</w:t>
            </w:r>
          </w:p>
        </w:tc>
        <w:tc>
          <w:tcPr>
            <w:tcW w:w="0" w:type="auto"/>
            <w:tcBorders>
              <w:top w:val="single" w:sz="4" w:space="0" w:color="000000"/>
              <w:left w:val="single" w:sz="4" w:space="0" w:color="000000"/>
              <w:bottom w:val="single" w:sz="4" w:space="0" w:color="000000"/>
              <w:right w:val="single" w:sz="4" w:space="0" w:color="000000"/>
            </w:tcBorders>
            <w:shd w:val="clear" w:color="auto" w:fill="E7E6E6"/>
            <w:tcMar>
              <w:top w:w="0" w:type="dxa"/>
              <w:left w:w="70" w:type="dxa"/>
              <w:bottom w:w="0" w:type="dxa"/>
              <w:right w:w="70" w:type="dxa"/>
            </w:tcMar>
            <w:hideMark/>
          </w:tcPr>
          <w:p w:rsidR="003628E0" w:rsidRPr="00171121" w:rsidRDefault="003628E0" w:rsidP="00702882">
            <w:pPr>
              <w:suppressAutoHyphens w:val="0"/>
              <w:spacing w:line="240" w:lineRule="auto"/>
              <w:ind w:leftChars="0" w:left="-2" w:firstLineChars="0" w:hanging="2"/>
              <w:jc w:val="center"/>
              <w:textDirection w:val="lrTb"/>
              <w:textAlignment w:val="auto"/>
              <w:outlineLvl w:val="9"/>
              <w:rPr>
                <w:position w:val="0"/>
              </w:rPr>
            </w:pPr>
            <w:r w:rsidRPr="00171121">
              <w:rPr>
                <w:rFonts w:ascii="Arial" w:hAnsi="Arial" w:cs="Arial"/>
                <w:color w:val="000000"/>
                <w:position w:val="0"/>
                <w:sz w:val="16"/>
                <w:szCs w:val="16"/>
              </w:rPr>
              <w:t>Referencia</w:t>
            </w:r>
          </w:p>
          <w:p w:rsidR="003628E0" w:rsidRPr="00171121" w:rsidRDefault="003628E0" w:rsidP="003628E0">
            <w:pPr>
              <w:suppressAutoHyphens w:val="0"/>
              <w:spacing w:line="240" w:lineRule="auto"/>
              <w:ind w:leftChars="0" w:left="0" w:firstLineChars="0" w:firstLine="0"/>
              <w:textDirection w:val="lrTb"/>
              <w:textAlignment w:val="auto"/>
              <w:outlineLvl w:val="9"/>
              <w:rPr>
                <w:position w:val="0"/>
              </w:rPr>
            </w:pPr>
          </w:p>
        </w:tc>
      </w:tr>
      <w:tr w:rsidR="003628E0" w:rsidRPr="00171121" w:rsidTr="00702882">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3628E0" w:rsidRPr="00171121" w:rsidRDefault="003628E0" w:rsidP="00702882">
            <w:pPr>
              <w:suppressAutoHyphens w:val="0"/>
              <w:spacing w:line="240" w:lineRule="auto"/>
              <w:ind w:leftChars="0" w:left="-2" w:firstLineChars="0" w:hanging="2"/>
              <w:jc w:val="both"/>
              <w:textDirection w:val="lrTb"/>
              <w:textAlignment w:val="auto"/>
              <w:outlineLvl w:val="9"/>
              <w:rPr>
                <w:position w:val="0"/>
              </w:rPr>
            </w:pPr>
            <w:r>
              <w:rPr>
                <w:rFonts w:ascii="Arial" w:hAnsi="Arial" w:cs="Arial"/>
                <w:color w:val="000000"/>
                <w:position w:val="0"/>
                <w:sz w:val="16"/>
                <w:szCs w:val="16"/>
              </w:rPr>
              <w:t>Supervivencia global (meses)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3628E0" w:rsidRPr="00171121" w:rsidRDefault="003628E0" w:rsidP="00702882">
            <w:pPr>
              <w:suppressAutoHyphens w:val="0"/>
              <w:spacing w:line="240" w:lineRule="auto"/>
              <w:ind w:leftChars="0" w:left="0" w:firstLineChars="0" w:firstLine="0"/>
              <w:textDirection w:val="lrTb"/>
              <w:textAlignment w:val="auto"/>
              <w:outlineLvl w:val="9"/>
              <w:rPr>
                <w:rFonts w:ascii="Arial" w:hAnsi="Arial" w:cs="Arial"/>
                <w:color w:val="000000"/>
                <w:position w:val="0"/>
                <w:sz w:val="16"/>
                <w:szCs w:val="16"/>
              </w:rPr>
            </w:pPr>
            <w:r w:rsidRPr="003628E0">
              <w:rPr>
                <w:rFonts w:ascii="Arial" w:hAnsi="Arial" w:cs="Arial"/>
                <w:color w:val="000000"/>
                <w:position w:val="0"/>
                <w:sz w:val="16"/>
                <w:szCs w:val="16"/>
              </w:rPr>
              <w:t>49 (46</w:t>
            </w:r>
            <w:r w:rsidR="0013636B">
              <w:rPr>
                <w:rFonts w:ascii="Arial" w:hAnsi="Arial" w:cs="Arial"/>
                <w:color w:val="000000"/>
                <w:position w:val="0"/>
                <w:sz w:val="16"/>
                <w:szCs w:val="16"/>
              </w:rPr>
              <w:t>,</w:t>
            </w:r>
            <w:r w:rsidRPr="003628E0">
              <w:rPr>
                <w:rFonts w:ascii="Arial" w:hAnsi="Arial" w:cs="Arial"/>
                <w:color w:val="000000"/>
                <w:position w:val="0"/>
                <w:sz w:val="16"/>
                <w:szCs w:val="16"/>
              </w:rPr>
              <w:t>9-NA)</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3628E0" w:rsidRPr="00171121" w:rsidRDefault="003628E0" w:rsidP="00702882">
            <w:pPr>
              <w:suppressAutoHyphens w:val="0"/>
              <w:spacing w:line="240" w:lineRule="auto"/>
              <w:ind w:leftChars="0" w:left="0" w:firstLineChars="0" w:firstLine="0"/>
              <w:textDirection w:val="lrTb"/>
              <w:textAlignment w:val="auto"/>
              <w:outlineLvl w:val="9"/>
              <w:rPr>
                <w:rFonts w:ascii="Arial" w:hAnsi="Arial" w:cs="Arial"/>
                <w:color w:val="000000"/>
                <w:position w:val="0"/>
                <w:sz w:val="16"/>
                <w:szCs w:val="16"/>
              </w:rPr>
            </w:pPr>
            <w:r w:rsidRPr="003628E0">
              <w:rPr>
                <w:rFonts w:ascii="Arial" w:hAnsi="Arial" w:cs="Arial"/>
                <w:color w:val="000000"/>
                <w:position w:val="0"/>
                <w:sz w:val="16"/>
                <w:szCs w:val="16"/>
              </w:rPr>
              <w:t>26</w:t>
            </w:r>
            <w:r w:rsidR="0013636B">
              <w:rPr>
                <w:rFonts w:ascii="Arial" w:hAnsi="Arial" w:cs="Arial"/>
                <w:color w:val="000000"/>
                <w:position w:val="0"/>
                <w:sz w:val="16"/>
                <w:szCs w:val="16"/>
              </w:rPr>
              <w:t>,</w:t>
            </w:r>
            <w:r w:rsidRPr="003628E0">
              <w:rPr>
                <w:rFonts w:ascii="Arial" w:hAnsi="Arial" w:cs="Arial"/>
                <w:color w:val="000000"/>
                <w:position w:val="0"/>
                <w:sz w:val="16"/>
                <w:szCs w:val="16"/>
              </w:rPr>
              <w:t>8 (18</w:t>
            </w:r>
            <w:r w:rsidR="0013636B">
              <w:rPr>
                <w:rFonts w:ascii="Arial" w:hAnsi="Arial" w:cs="Arial"/>
                <w:color w:val="000000"/>
                <w:position w:val="0"/>
                <w:sz w:val="16"/>
                <w:szCs w:val="16"/>
              </w:rPr>
              <w:t>,</w:t>
            </w:r>
            <w:r w:rsidRPr="003628E0">
              <w:rPr>
                <w:rFonts w:ascii="Arial" w:hAnsi="Arial" w:cs="Arial"/>
                <w:color w:val="000000"/>
                <w:position w:val="0"/>
                <w:sz w:val="16"/>
                <w:szCs w:val="16"/>
              </w:rPr>
              <w:t>2-39</w:t>
            </w:r>
            <w:r w:rsidR="0013636B">
              <w:rPr>
                <w:rFonts w:ascii="Arial" w:hAnsi="Arial" w:cs="Arial"/>
                <w:color w:val="000000"/>
                <w:position w:val="0"/>
                <w:sz w:val="16"/>
                <w:szCs w:val="16"/>
              </w:rPr>
              <w:t>,</w:t>
            </w:r>
            <w:r w:rsidRPr="003628E0">
              <w:rPr>
                <w:rFonts w:ascii="Arial" w:hAnsi="Arial" w:cs="Arial"/>
                <w:color w:val="000000"/>
                <w:position w:val="0"/>
                <w:sz w:val="16"/>
                <w:szCs w:val="16"/>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3628E0" w:rsidRPr="00171121" w:rsidRDefault="003628E0" w:rsidP="0013636B">
            <w:pPr>
              <w:suppressAutoHyphens w:val="0"/>
              <w:spacing w:line="240" w:lineRule="auto"/>
              <w:ind w:leftChars="0" w:left="0" w:firstLineChars="0" w:firstLine="0"/>
              <w:textDirection w:val="lrTb"/>
              <w:textAlignment w:val="auto"/>
              <w:outlineLvl w:val="9"/>
              <w:rPr>
                <w:rFonts w:ascii="Arial" w:hAnsi="Arial" w:cs="Arial"/>
                <w:color w:val="000000"/>
                <w:position w:val="0"/>
                <w:sz w:val="16"/>
                <w:szCs w:val="16"/>
              </w:rPr>
            </w:pPr>
            <w:r w:rsidRPr="003628E0">
              <w:rPr>
                <w:rFonts w:ascii="Arial" w:hAnsi="Arial" w:cs="Arial"/>
                <w:color w:val="000000"/>
                <w:position w:val="0"/>
                <w:sz w:val="16"/>
                <w:szCs w:val="16"/>
              </w:rPr>
              <w:t>0</w:t>
            </w:r>
            <w:r w:rsidR="0013636B">
              <w:rPr>
                <w:rFonts w:ascii="Arial" w:hAnsi="Arial" w:cs="Arial"/>
                <w:color w:val="000000"/>
                <w:position w:val="0"/>
                <w:sz w:val="16"/>
                <w:szCs w:val="16"/>
              </w:rPr>
              <w:t>,</w:t>
            </w:r>
            <w:r w:rsidRPr="003628E0">
              <w:rPr>
                <w:rFonts w:ascii="Arial" w:hAnsi="Arial" w:cs="Arial"/>
                <w:color w:val="000000"/>
                <w:position w:val="0"/>
                <w:sz w:val="16"/>
                <w:szCs w:val="16"/>
              </w:rPr>
              <w:t>48 (0</w:t>
            </w:r>
            <w:r w:rsidR="0013636B">
              <w:rPr>
                <w:rFonts w:ascii="Arial" w:hAnsi="Arial" w:cs="Arial"/>
                <w:color w:val="000000"/>
                <w:position w:val="0"/>
                <w:sz w:val="16"/>
                <w:szCs w:val="16"/>
              </w:rPr>
              <w:t>,</w:t>
            </w:r>
            <w:r w:rsidRPr="003628E0">
              <w:rPr>
                <w:rFonts w:ascii="Arial" w:hAnsi="Arial" w:cs="Arial"/>
                <w:color w:val="000000"/>
                <w:position w:val="0"/>
                <w:sz w:val="16"/>
                <w:szCs w:val="16"/>
              </w:rPr>
              <w:t>29-0</w:t>
            </w:r>
            <w:r w:rsidR="0013636B">
              <w:rPr>
                <w:rFonts w:ascii="Arial" w:hAnsi="Arial" w:cs="Arial"/>
                <w:color w:val="000000"/>
                <w:position w:val="0"/>
                <w:sz w:val="16"/>
                <w:szCs w:val="16"/>
              </w:rPr>
              <w:t>,</w:t>
            </w:r>
            <w:r w:rsidRPr="003628E0">
              <w:rPr>
                <w:rFonts w:ascii="Arial" w:hAnsi="Arial" w:cs="Arial"/>
                <w:color w:val="000000"/>
                <w:position w:val="0"/>
                <w:sz w:val="16"/>
                <w:szCs w:val="16"/>
              </w:rPr>
              <w:t>79)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3628E0" w:rsidRPr="00171121" w:rsidRDefault="003628E0" w:rsidP="00702882">
            <w:pPr>
              <w:suppressAutoHyphens w:val="0"/>
              <w:spacing w:line="240" w:lineRule="auto"/>
              <w:ind w:leftChars="0" w:left="0" w:firstLineChars="0" w:firstLine="0"/>
              <w:textDirection w:val="lrTb"/>
              <w:textAlignment w:val="auto"/>
              <w:outlineLvl w:val="9"/>
              <w:rPr>
                <w:rFonts w:ascii="Arial" w:hAnsi="Arial" w:cs="Arial"/>
                <w:color w:val="000000"/>
                <w:position w:val="0"/>
                <w:sz w:val="16"/>
                <w:szCs w:val="16"/>
              </w:rPr>
            </w:pPr>
            <w:r w:rsidRPr="005E0F82">
              <w:rPr>
                <w:rFonts w:ascii="Arial" w:hAnsi="Arial" w:cs="Arial"/>
                <w:color w:val="000000"/>
                <w:position w:val="0"/>
                <w:sz w:val="16"/>
                <w:szCs w:val="16"/>
                <w:lang w:val="en-US"/>
              </w:rPr>
              <w:t xml:space="preserve">Reiter, A. et al. Efficacy of avapritinib versus best available therapy in the treatment of advanced systemic mastocytosis. </w:t>
            </w:r>
            <w:r w:rsidRPr="00862A9C">
              <w:rPr>
                <w:rFonts w:ascii="Arial" w:hAnsi="Arial" w:cs="Arial"/>
                <w:color w:val="000000"/>
                <w:position w:val="0"/>
                <w:sz w:val="16"/>
                <w:szCs w:val="16"/>
              </w:rPr>
              <w:t>Leukemia, 2022;36</w:t>
            </w:r>
            <w:sdt>
              <w:sdtPr>
                <w:rPr>
                  <w:rFonts w:ascii="Arial" w:hAnsi="Arial" w:cs="Arial"/>
                  <w:color w:val="000000"/>
                  <w:position w:val="0"/>
                  <w:sz w:val="16"/>
                  <w:szCs w:val="16"/>
                  <w:vertAlign w:val="superscript"/>
                </w:rPr>
                <w:id w:val="-1360037823"/>
                <w:citation/>
              </w:sdtPr>
              <w:sdtEndPr/>
              <w:sdtContent>
                <w:r w:rsidR="00743E44" w:rsidRPr="0013636B">
                  <w:rPr>
                    <w:rFonts w:ascii="Arial" w:hAnsi="Arial" w:cs="Arial"/>
                    <w:color w:val="000000"/>
                    <w:position w:val="0"/>
                    <w:sz w:val="16"/>
                    <w:szCs w:val="16"/>
                    <w:vertAlign w:val="superscript"/>
                  </w:rPr>
                  <w:fldChar w:fldCharType="begin"/>
                </w:r>
                <w:r w:rsidRPr="0013636B">
                  <w:rPr>
                    <w:rFonts w:ascii="Arial" w:hAnsi="Arial" w:cs="Arial"/>
                    <w:color w:val="000000"/>
                    <w:position w:val="0"/>
                    <w:sz w:val="16"/>
                    <w:szCs w:val="16"/>
                    <w:vertAlign w:val="superscript"/>
                  </w:rPr>
                  <w:instrText xml:space="preserve"> CITATION And22 \l 3082 </w:instrText>
                </w:r>
                <w:r w:rsidR="00743E44" w:rsidRPr="0013636B">
                  <w:rPr>
                    <w:rFonts w:ascii="Arial" w:hAnsi="Arial" w:cs="Arial"/>
                    <w:color w:val="000000"/>
                    <w:position w:val="0"/>
                    <w:sz w:val="16"/>
                    <w:szCs w:val="16"/>
                    <w:vertAlign w:val="superscript"/>
                  </w:rPr>
                  <w:fldChar w:fldCharType="separate"/>
                </w:r>
                <w:r w:rsidR="00C560F5">
                  <w:rPr>
                    <w:rFonts w:ascii="Arial" w:hAnsi="Arial" w:cs="Arial"/>
                    <w:noProof/>
                    <w:color w:val="000000"/>
                    <w:position w:val="0"/>
                    <w:sz w:val="16"/>
                    <w:szCs w:val="16"/>
                    <w:vertAlign w:val="superscript"/>
                  </w:rPr>
                  <w:t xml:space="preserve"> </w:t>
                </w:r>
                <w:r w:rsidR="00C560F5" w:rsidRPr="00C560F5">
                  <w:rPr>
                    <w:rFonts w:ascii="Arial" w:hAnsi="Arial" w:cs="Arial"/>
                    <w:noProof/>
                    <w:color w:val="000000"/>
                    <w:position w:val="0"/>
                    <w:sz w:val="16"/>
                    <w:szCs w:val="16"/>
                  </w:rPr>
                  <w:t>(13)</w:t>
                </w:r>
                <w:r w:rsidR="00743E44" w:rsidRPr="0013636B">
                  <w:rPr>
                    <w:rFonts w:ascii="Arial" w:hAnsi="Arial" w:cs="Arial"/>
                    <w:color w:val="000000"/>
                    <w:position w:val="0"/>
                    <w:sz w:val="16"/>
                    <w:szCs w:val="16"/>
                    <w:vertAlign w:val="superscript"/>
                  </w:rPr>
                  <w:fldChar w:fldCharType="end"/>
                </w:r>
              </w:sdtContent>
            </w:sdt>
            <w:r w:rsidRPr="00862A9C">
              <w:rPr>
                <w:rFonts w:ascii="Arial" w:hAnsi="Arial" w:cs="Arial"/>
                <w:color w:val="000000"/>
                <w:position w:val="0"/>
                <w:sz w:val="16"/>
                <w:szCs w:val="16"/>
              </w:rPr>
              <w:t>.</w:t>
            </w:r>
          </w:p>
        </w:tc>
      </w:tr>
    </w:tbl>
    <w:p w:rsidR="009F4E08" w:rsidRDefault="009F4E08" w:rsidP="00171121">
      <w:pPr>
        <w:ind w:leftChars="0" w:left="0" w:firstLineChars="0" w:firstLine="0"/>
        <w:jc w:val="both"/>
        <w:rPr>
          <w:rFonts w:ascii="Arial" w:eastAsia="Arial" w:hAnsi="Arial" w:cs="Arial"/>
          <w:sz w:val="20"/>
          <w:szCs w:val="20"/>
        </w:rPr>
      </w:pPr>
    </w:p>
    <w:p w:rsidR="003628E0" w:rsidRDefault="005E0F82">
      <w:pPr>
        <w:ind w:left="0" w:hanging="2"/>
        <w:jc w:val="both"/>
        <w:rPr>
          <w:rFonts w:ascii="Arial" w:eastAsia="Arial" w:hAnsi="Arial" w:cs="Arial"/>
          <w:sz w:val="20"/>
          <w:szCs w:val="20"/>
        </w:rPr>
      </w:pPr>
      <w:r>
        <w:rPr>
          <w:rFonts w:ascii="Arial" w:eastAsia="Arial" w:hAnsi="Arial" w:cs="Arial"/>
          <w:sz w:val="20"/>
          <w:szCs w:val="20"/>
        </w:rPr>
        <w:t xml:space="preserve">Como se puede observar, en estos supuestos los resultados en HR, </w:t>
      </w:r>
      <w:r w:rsidR="0065057D">
        <w:rPr>
          <w:rFonts w:ascii="Arial" w:eastAsia="Arial" w:hAnsi="Arial" w:cs="Arial"/>
          <w:sz w:val="20"/>
          <w:szCs w:val="20"/>
        </w:rPr>
        <w:t>incluidos</w:t>
      </w:r>
      <w:r>
        <w:rPr>
          <w:rFonts w:ascii="Arial" w:eastAsia="Arial" w:hAnsi="Arial" w:cs="Arial"/>
          <w:sz w:val="20"/>
          <w:szCs w:val="20"/>
        </w:rPr>
        <w:t xml:space="preserve"> sus intervalos son casi idénticos, por lo que </w:t>
      </w:r>
      <w:r w:rsidR="00645EF0">
        <w:rPr>
          <w:rFonts w:ascii="Arial" w:eastAsia="Arial" w:hAnsi="Arial" w:cs="Arial"/>
          <w:sz w:val="20"/>
          <w:szCs w:val="20"/>
        </w:rPr>
        <w:t>se puede extrapolar a modo de aproximación el resultado de coste incremental expuesto en la tabla 7.1.1.a y 7.1.1.b</w:t>
      </w:r>
      <w:r>
        <w:rPr>
          <w:rFonts w:ascii="Arial" w:eastAsia="Arial" w:hAnsi="Arial" w:cs="Arial"/>
          <w:sz w:val="20"/>
          <w:szCs w:val="20"/>
        </w:rPr>
        <w:t xml:space="preserve">. </w:t>
      </w:r>
    </w:p>
    <w:p w:rsidR="005E0F82" w:rsidRDefault="005E0F82">
      <w:pPr>
        <w:ind w:left="0" w:hanging="2"/>
        <w:jc w:val="both"/>
        <w:rPr>
          <w:rFonts w:ascii="Arial" w:eastAsia="Arial" w:hAnsi="Arial" w:cs="Arial"/>
          <w:sz w:val="20"/>
          <w:szCs w:val="20"/>
          <w:highlight w:val="yellow"/>
        </w:rPr>
      </w:pPr>
    </w:p>
    <w:p w:rsidR="00645EF0" w:rsidRDefault="00DA20C8" w:rsidP="00FE2330">
      <w:pPr>
        <w:pBdr>
          <w:top w:val="single" w:sz="4" w:space="1" w:color="000000"/>
          <w:left w:val="single" w:sz="4" w:space="4" w:color="000000"/>
          <w:bottom w:val="single" w:sz="4" w:space="1" w:color="000000"/>
          <w:right w:val="single" w:sz="4" w:space="4" w:color="000000"/>
          <w:between w:val="single" w:sz="4" w:space="1" w:color="000000"/>
        </w:pBdr>
        <w:shd w:val="clear" w:color="auto" w:fill="D9D9D9"/>
        <w:ind w:left="0" w:hanging="2"/>
        <w:rPr>
          <w:rFonts w:ascii="Arial" w:eastAsia="Arial" w:hAnsi="Arial" w:cs="Arial"/>
          <w:sz w:val="20"/>
          <w:szCs w:val="20"/>
        </w:rPr>
      </w:pPr>
      <w:r>
        <w:rPr>
          <w:rFonts w:ascii="Arial" w:eastAsia="Arial" w:hAnsi="Arial" w:cs="Arial"/>
          <w:b/>
          <w:sz w:val="20"/>
          <w:szCs w:val="20"/>
        </w:rPr>
        <w:t>7.3.1. Análisis de minimización de costes. Estudios propios</w:t>
      </w:r>
    </w:p>
    <w:p w:rsidR="00B74082" w:rsidRDefault="00B74082" w:rsidP="00FE2330">
      <w:pPr>
        <w:ind w:leftChars="0" w:left="0" w:firstLineChars="0" w:firstLine="0"/>
        <w:rPr>
          <w:rFonts w:ascii="Arial" w:eastAsia="Arial" w:hAnsi="Arial" w:cs="Arial"/>
          <w:sz w:val="20"/>
          <w:szCs w:val="20"/>
        </w:rPr>
      </w:pPr>
    </w:p>
    <w:p w:rsidR="005E0F82" w:rsidRPr="00645EF0" w:rsidRDefault="00DA20C8" w:rsidP="00645EF0">
      <w:pPr>
        <w:pBdr>
          <w:top w:val="single" w:sz="4" w:space="1" w:color="000000"/>
          <w:left w:val="single" w:sz="4" w:space="4" w:color="000000"/>
          <w:bottom w:val="single" w:sz="4" w:space="1" w:color="000000"/>
          <w:right w:val="single" w:sz="4" w:space="4" w:color="000000"/>
          <w:between w:val="single" w:sz="4" w:space="1" w:color="000000"/>
        </w:pBdr>
        <w:shd w:val="clear" w:color="auto" w:fill="D9D9D9"/>
        <w:ind w:left="0" w:hanging="2"/>
        <w:rPr>
          <w:rFonts w:ascii="Arial" w:eastAsia="Arial" w:hAnsi="Arial" w:cs="Arial"/>
          <w:sz w:val="20"/>
          <w:szCs w:val="20"/>
        </w:rPr>
      </w:pPr>
      <w:r>
        <w:rPr>
          <w:rFonts w:ascii="Arial" w:eastAsia="Arial" w:hAnsi="Arial" w:cs="Arial"/>
          <w:b/>
          <w:sz w:val="20"/>
          <w:szCs w:val="20"/>
        </w:rPr>
        <w:t>7.3.2. Coste-efectividad. Estudios propios</w:t>
      </w:r>
    </w:p>
    <w:p w:rsidR="005E0F82" w:rsidRDefault="005E0F82" w:rsidP="00645EF0">
      <w:pPr>
        <w:pBdr>
          <w:top w:val="nil"/>
          <w:left w:val="nil"/>
          <w:bottom w:val="nil"/>
          <w:right w:val="nil"/>
          <w:between w:val="nil"/>
        </w:pBdr>
        <w:tabs>
          <w:tab w:val="center" w:pos="4252"/>
          <w:tab w:val="right" w:pos="8504"/>
        </w:tabs>
        <w:spacing w:line="240" w:lineRule="auto"/>
        <w:ind w:leftChars="0" w:left="0" w:firstLineChars="0" w:firstLine="0"/>
        <w:rPr>
          <w:rFonts w:ascii="Arial" w:eastAsia="Arial" w:hAnsi="Arial" w:cs="Arial"/>
          <w:color w:val="000000"/>
        </w:rPr>
      </w:pPr>
    </w:p>
    <w:p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7.3.3 Coste-utilidad. Estudios propios</w:t>
      </w:r>
    </w:p>
    <w:p w:rsidR="00B74082" w:rsidRDefault="00B74082" w:rsidP="008838A6">
      <w:pPr>
        <w:pBdr>
          <w:top w:val="nil"/>
          <w:left w:val="nil"/>
          <w:bottom w:val="nil"/>
          <w:right w:val="nil"/>
          <w:between w:val="nil"/>
        </w:pBdr>
        <w:tabs>
          <w:tab w:val="center" w:pos="4252"/>
          <w:tab w:val="right" w:pos="8504"/>
        </w:tabs>
        <w:spacing w:line="240" w:lineRule="auto"/>
        <w:ind w:leftChars="0" w:left="0" w:firstLineChars="0" w:firstLine="0"/>
        <w:jc w:val="both"/>
        <w:rPr>
          <w:rFonts w:ascii="Arial" w:eastAsia="Arial" w:hAnsi="Arial" w:cs="Arial"/>
          <w:color w:val="000000"/>
        </w:rPr>
      </w:pPr>
    </w:p>
    <w:p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7.3.4. Análisis de sensibilidad</w:t>
      </w:r>
    </w:p>
    <w:p w:rsidR="00B74082" w:rsidRDefault="00B74082">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rPr>
      </w:pPr>
    </w:p>
    <w:p w:rsidR="00B74082" w:rsidRDefault="00DA20C8">
      <w:pPr>
        <w:pBdr>
          <w:top w:val="single" w:sz="4" w:space="1" w:color="000000"/>
          <w:left w:val="single" w:sz="4" w:space="4" w:color="000000"/>
          <w:bottom w:val="single" w:sz="4" w:space="1" w:color="000000"/>
          <w:right w:val="single" w:sz="4" w:space="4" w:color="000000"/>
        </w:pBdr>
        <w:shd w:val="clear" w:color="auto" w:fill="D9D9D9"/>
        <w:ind w:left="0" w:hanging="2"/>
        <w:rPr>
          <w:rFonts w:ascii="Arial" w:eastAsia="Arial" w:hAnsi="Arial" w:cs="Arial"/>
        </w:rPr>
      </w:pPr>
      <w:r>
        <w:rPr>
          <w:rFonts w:ascii="Arial" w:eastAsia="Arial" w:hAnsi="Arial" w:cs="Arial"/>
          <w:b/>
          <w:sz w:val="20"/>
          <w:szCs w:val="20"/>
        </w:rPr>
        <w:t>7.4. Estimación del impacto presupuestario y de los beneficios esperados en salud</w:t>
      </w:r>
    </w:p>
    <w:p w:rsidR="00B74082" w:rsidRDefault="00B74082" w:rsidP="008838A6">
      <w:pPr>
        <w:ind w:leftChars="0" w:left="0" w:firstLineChars="0" w:firstLine="0"/>
        <w:jc w:val="both"/>
        <w:rPr>
          <w:rFonts w:ascii="Arial" w:eastAsia="Arial" w:hAnsi="Arial" w:cs="Arial"/>
          <w:sz w:val="20"/>
          <w:szCs w:val="20"/>
        </w:rPr>
      </w:pPr>
    </w:p>
    <w:p w:rsidR="00B74082" w:rsidRDefault="00DA20C8">
      <w:pPr>
        <w:pBdr>
          <w:top w:val="single" w:sz="4" w:space="1" w:color="000000"/>
          <w:left w:val="single" w:sz="4" w:space="4" w:color="000000"/>
          <w:bottom w:val="single" w:sz="4" w:space="1" w:color="000000"/>
          <w:right w:val="single" w:sz="4" w:space="4" w:color="000000"/>
        </w:pBdr>
        <w:shd w:val="clear" w:color="auto" w:fill="D9D9D9"/>
        <w:ind w:left="0" w:hanging="2"/>
        <w:rPr>
          <w:rFonts w:ascii="Arial" w:eastAsia="Arial" w:hAnsi="Arial" w:cs="Arial"/>
          <w:sz w:val="20"/>
          <w:szCs w:val="20"/>
        </w:rPr>
      </w:pPr>
      <w:r>
        <w:rPr>
          <w:rFonts w:ascii="Arial" w:eastAsia="Arial" w:hAnsi="Arial" w:cs="Arial"/>
          <w:b/>
          <w:sz w:val="20"/>
          <w:szCs w:val="20"/>
        </w:rPr>
        <w:t>7.4.1. Estimación de la población diana</w:t>
      </w:r>
    </w:p>
    <w:p w:rsidR="00B74082" w:rsidRDefault="00B74082" w:rsidP="006321B5">
      <w:pPr>
        <w:ind w:leftChars="0" w:left="0" w:firstLineChars="0" w:firstLine="0"/>
        <w:rPr>
          <w:rFonts w:ascii="Arial" w:eastAsia="Arial" w:hAnsi="Arial" w:cs="Arial"/>
          <w:sz w:val="20"/>
          <w:szCs w:val="20"/>
        </w:rPr>
      </w:pPr>
    </w:p>
    <w:tbl>
      <w:tblPr>
        <w:tblW w:w="8936"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59"/>
        <w:gridCol w:w="2977"/>
      </w:tblGrid>
      <w:tr w:rsidR="00C35D5D" w:rsidRPr="00C845C0" w:rsidTr="004934D6">
        <w:trPr>
          <w:trHeight w:val="268"/>
        </w:trPr>
        <w:tc>
          <w:tcPr>
            <w:tcW w:w="8936" w:type="dxa"/>
            <w:gridSpan w:val="2"/>
            <w:shd w:val="clear" w:color="auto" w:fill="CCFFCC"/>
          </w:tcPr>
          <w:p w:rsidR="00C35D5D" w:rsidRPr="007543A5" w:rsidRDefault="00C35D5D" w:rsidP="004934D6">
            <w:pPr>
              <w:ind w:left="0" w:hanging="2"/>
              <w:rPr>
                <w:rFonts w:ascii="Arial" w:hAnsi="Arial" w:cs="Arial"/>
                <w:b/>
                <w:bCs/>
                <w:sz w:val="16"/>
                <w:szCs w:val="16"/>
              </w:rPr>
            </w:pPr>
            <w:r w:rsidRPr="007543A5">
              <w:rPr>
                <w:rFonts w:ascii="Arial" w:hAnsi="Arial" w:cs="Arial"/>
                <w:b/>
                <w:bCs/>
                <w:sz w:val="16"/>
                <w:szCs w:val="16"/>
              </w:rPr>
              <w:t>Tabla 7.4.1.1. Estimación de la población diana.</w:t>
            </w:r>
          </w:p>
        </w:tc>
      </w:tr>
      <w:tr w:rsidR="00C35D5D" w:rsidTr="004934D6">
        <w:trPr>
          <w:trHeight w:val="268"/>
        </w:trPr>
        <w:tc>
          <w:tcPr>
            <w:tcW w:w="8936" w:type="dxa"/>
            <w:gridSpan w:val="2"/>
          </w:tcPr>
          <w:p w:rsidR="00C35D5D" w:rsidRPr="007543A5" w:rsidRDefault="00C35D5D" w:rsidP="004934D6">
            <w:pPr>
              <w:ind w:left="0" w:hanging="2"/>
              <w:jc w:val="both"/>
              <w:rPr>
                <w:rFonts w:ascii="Arial" w:hAnsi="Arial" w:cs="Arial"/>
                <w:b/>
                <w:bCs/>
                <w:sz w:val="16"/>
                <w:szCs w:val="16"/>
              </w:rPr>
            </w:pPr>
            <w:r w:rsidRPr="007543A5">
              <w:rPr>
                <w:rFonts w:ascii="Arial" w:hAnsi="Arial" w:cs="Arial"/>
                <w:b/>
                <w:bCs/>
                <w:sz w:val="16"/>
                <w:szCs w:val="16"/>
              </w:rPr>
              <w:t xml:space="preserve">Fármaco e indicación: </w:t>
            </w:r>
          </w:p>
          <w:p w:rsidR="00C35D5D" w:rsidRPr="007543A5" w:rsidRDefault="00C35D5D" w:rsidP="004934D6">
            <w:pPr>
              <w:ind w:left="0" w:hanging="2"/>
              <w:rPr>
                <w:rFonts w:ascii="Arial" w:hAnsi="Arial" w:cs="Arial"/>
                <w:b/>
                <w:sz w:val="16"/>
                <w:szCs w:val="16"/>
                <w:lang w:eastAsia="ar-SA"/>
              </w:rPr>
            </w:pPr>
            <w:r w:rsidRPr="007543A5">
              <w:rPr>
                <w:rFonts w:ascii="Arial" w:hAnsi="Arial" w:cs="Arial"/>
                <w:b/>
                <w:sz w:val="16"/>
                <w:szCs w:val="16"/>
                <w:lang w:eastAsia="ar-SA"/>
              </w:rPr>
              <w:t xml:space="preserve">Ámbito y horizonte temporal: </w:t>
            </w:r>
          </w:p>
          <w:p w:rsidR="00C35D5D" w:rsidRPr="007543A5" w:rsidRDefault="00C35D5D" w:rsidP="004934D6">
            <w:pPr>
              <w:ind w:left="0" w:hanging="2"/>
              <w:rPr>
                <w:rFonts w:ascii="Arial" w:hAnsi="Arial" w:cs="Arial"/>
                <w:b/>
                <w:bCs/>
                <w:sz w:val="16"/>
                <w:szCs w:val="16"/>
              </w:rPr>
            </w:pPr>
            <w:r w:rsidRPr="007543A5">
              <w:rPr>
                <w:rFonts w:ascii="Arial" w:hAnsi="Arial" w:cs="Arial"/>
                <w:b/>
                <w:bCs/>
                <w:sz w:val="16"/>
                <w:szCs w:val="16"/>
              </w:rPr>
              <w:lastRenderedPageBreak/>
              <w:t xml:space="preserve">Estimación: </w:t>
            </w:r>
          </w:p>
        </w:tc>
      </w:tr>
      <w:tr w:rsidR="00C35D5D" w:rsidTr="004934D6">
        <w:trPr>
          <w:trHeight w:val="375"/>
        </w:trPr>
        <w:tc>
          <w:tcPr>
            <w:tcW w:w="5959" w:type="dxa"/>
            <w:shd w:val="clear" w:color="auto" w:fill="D9D9D9"/>
          </w:tcPr>
          <w:p w:rsidR="00C35D5D" w:rsidRPr="007543A5" w:rsidRDefault="00C35D5D" w:rsidP="004934D6">
            <w:pPr>
              <w:ind w:left="0" w:hanging="2"/>
              <w:rPr>
                <w:rFonts w:ascii="Arial" w:hAnsi="Arial" w:cs="Arial"/>
                <w:b/>
                <w:bCs/>
                <w:sz w:val="16"/>
                <w:szCs w:val="16"/>
              </w:rPr>
            </w:pPr>
            <w:r w:rsidRPr="007543A5">
              <w:rPr>
                <w:rFonts w:ascii="Arial" w:hAnsi="Arial" w:cs="Arial"/>
                <w:b/>
                <w:bCs/>
                <w:sz w:val="16"/>
                <w:szCs w:val="16"/>
              </w:rPr>
              <w:lastRenderedPageBreak/>
              <w:t>Ámbito</w:t>
            </w:r>
          </w:p>
        </w:tc>
        <w:tc>
          <w:tcPr>
            <w:tcW w:w="2977" w:type="dxa"/>
            <w:shd w:val="clear" w:color="auto" w:fill="D9D9D9"/>
          </w:tcPr>
          <w:p w:rsidR="00C35D5D" w:rsidRPr="007543A5" w:rsidRDefault="00C35D5D" w:rsidP="004934D6">
            <w:pPr>
              <w:ind w:left="0" w:hanging="2"/>
              <w:jc w:val="center"/>
              <w:rPr>
                <w:rFonts w:ascii="Arial" w:hAnsi="Arial" w:cs="Arial"/>
                <w:bCs/>
                <w:sz w:val="16"/>
                <w:szCs w:val="16"/>
              </w:rPr>
            </w:pPr>
            <w:r w:rsidRPr="007543A5">
              <w:rPr>
                <w:rFonts w:ascii="Arial" w:hAnsi="Arial" w:cs="Arial"/>
                <w:bCs/>
                <w:sz w:val="16"/>
                <w:szCs w:val="16"/>
              </w:rPr>
              <w:t>Estatal</w:t>
            </w:r>
          </w:p>
        </w:tc>
      </w:tr>
      <w:tr w:rsidR="00C35D5D" w:rsidTr="00645EF0">
        <w:trPr>
          <w:trHeight w:val="375"/>
        </w:trPr>
        <w:tc>
          <w:tcPr>
            <w:tcW w:w="5959" w:type="dxa"/>
            <w:vAlign w:val="center"/>
            <w:hideMark/>
          </w:tcPr>
          <w:p w:rsidR="00C35D5D" w:rsidRPr="007543A5" w:rsidRDefault="00C35D5D" w:rsidP="004934D6">
            <w:pPr>
              <w:ind w:left="0" w:hanging="2"/>
              <w:rPr>
                <w:rFonts w:ascii="Arial" w:hAnsi="Arial" w:cs="Arial"/>
                <w:b/>
                <w:bCs/>
                <w:sz w:val="16"/>
                <w:szCs w:val="16"/>
                <w:vertAlign w:val="superscript"/>
              </w:rPr>
            </w:pPr>
            <w:r w:rsidRPr="007543A5">
              <w:rPr>
                <w:rFonts w:ascii="Arial" w:hAnsi="Arial" w:cs="Arial"/>
                <w:b/>
                <w:bCs/>
                <w:sz w:val="16"/>
                <w:szCs w:val="16"/>
              </w:rPr>
              <w:t xml:space="preserve">0. Población de referencia (habitantes): </w:t>
            </w:r>
            <w:r w:rsidR="00FE2330" w:rsidRPr="00FE2330">
              <w:rPr>
                <w:rFonts w:ascii="Arial" w:hAnsi="Arial" w:cs="Arial"/>
                <w:bCs/>
                <w:sz w:val="16"/>
                <w:szCs w:val="16"/>
              </w:rPr>
              <w:t>Adultos en España</w:t>
            </w:r>
          </w:p>
        </w:tc>
        <w:tc>
          <w:tcPr>
            <w:tcW w:w="2977" w:type="dxa"/>
            <w:vAlign w:val="center"/>
          </w:tcPr>
          <w:p w:rsidR="00C35D5D" w:rsidRPr="00FE2330" w:rsidRDefault="00FE2330" w:rsidP="004934D6">
            <w:pPr>
              <w:ind w:left="0" w:hanging="2"/>
              <w:jc w:val="center"/>
              <w:rPr>
                <w:rFonts w:ascii="Arial" w:hAnsi="Arial" w:cs="Arial"/>
                <w:bCs/>
                <w:sz w:val="16"/>
                <w:szCs w:val="16"/>
              </w:rPr>
            </w:pPr>
            <w:r w:rsidRPr="00FE2330">
              <w:rPr>
                <w:rFonts w:ascii="Arial" w:hAnsi="Arial" w:cs="Arial"/>
                <w:bCs/>
                <w:sz w:val="16"/>
                <w:szCs w:val="16"/>
              </w:rPr>
              <w:t>32.647.000</w:t>
            </w:r>
          </w:p>
        </w:tc>
      </w:tr>
      <w:tr w:rsidR="00C35D5D" w:rsidTr="00645EF0">
        <w:trPr>
          <w:trHeight w:val="510"/>
        </w:trPr>
        <w:tc>
          <w:tcPr>
            <w:tcW w:w="5959" w:type="dxa"/>
            <w:vAlign w:val="center"/>
            <w:hideMark/>
          </w:tcPr>
          <w:p w:rsidR="00C35D5D" w:rsidRPr="007543A5" w:rsidRDefault="00C35D5D" w:rsidP="004934D6">
            <w:pPr>
              <w:ind w:left="0" w:hanging="2"/>
              <w:rPr>
                <w:rFonts w:ascii="Arial" w:hAnsi="Arial" w:cs="Arial"/>
                <w:b/>
                <w:bCs/>
                <w:sz w:val="16"/>
                <w:szCs w:val="16"/>
                <w:vertAlign w:val="superscript"/>
              </w:rPr>
            </w:pPr>
            <w:r w:rsidRPr="007543A5">
              <w:rPr>
                <w:rFonts w:ascii="Arial" w:hAnsi="Arial" w:cs="Arial"/>
                <w:b/>
                <w:bCs/>
                <w:sz w:val="16"/>
                <w:szCs w:val="16"/>
              </w:rPr>
              <w:t xml:space="preserve">A. Población con la enfermedad. </w:t>
            </w:r>
            <w:r w:rsidR="00FE2330">
              <w:rPr>
                <w:rFonts w:ascii="Arial" w:hAnsi="Arial" w:cs="Arial"/>
                <w:b/>
                <w:bCs/>
                <w:sz w:val="16"/>
                <w:szCs w:val="16"/>
              </w:rPr>
              <w:t xml:space="preserve">Según prevalencia </w:t>
            </w:r>
            <w:sdt>
              <w:sdtPr>
                <w:rPr>
                  <w:rFonts w:ascii="Arial" w:hAnsi="Arial" w:cs="Arial"/>
                  <w:b/>
                  <w:bCs/>
                  <w:sz w:val="16"/>
                  <w:szCs w:val="16"/>
                  <w:vertAlign w:val="superscript"/>
                </w:rPr>
                <w:id w:val="1265340239"/>
                <w:citation/>
              </w:sdtPr>
              <w:sdtEndPr/>
              <w:sdtContent>
                <w:r w:rsidR="00743E44" w:rsidRPr="0013636B">
                  <w:rPr>
                    <w:rFonts w:ascii="Arial" w:hAnsi="Arial" w:cs="Arial"/>
                    <w:b/>
                    <w:bCs/>
                    <w:sz w:val="16"/>
                    <w:szCs w:val="16"/>
                    <w:vertAlign w:val="superscript"/>
                  </w:rPr>
                  <w:fldChar w:fldCharType="begin"/>
                </w:r>
                <w:r w:rsidR="00FE2330" w:rsidRPr="0013636B">
                  <w:rPr>
                    <w:rFonts w:ascii="Arial" w:hAnsi="Arial" w:cs="Arial"/>
                    <w:b/>
                    <w:bCs/>
                    <w:sz w:val="16"/>
                    <w:szCs w:val="16"/>
                    <w:vertAlign w:val="superscript"/>
                  </w:rPr>
                  <w:instrText xml:space="preserve"> CITATION Sch20 \l 3082 </w:instrText>
                </w:r>
                <w:r w:rsidR="00743E44" w:rsidRPr="0013636B">
                  <w:rPr>
                    <w:rFonts w:ascii="Arial" w:hAnsi="Arial" w:cs="Arial"/>
                    <w:b/>
                    <w:bCs/>
                    <w:sz w:val="16"/>
                    <w:szCs w:val="16"/>
                    <w:vertAlign w:val="superscript"/>
                  </w:rPr>
                  <w:fldChar w:fldCharType="separate"/>
                </w:r>
                <w:r w:rsidR="00C560F5" w:rsidRPr="00C560F5">
                  <w:rPr>
                    <w:rFonts w:ascii="Arial" w:hAnsi="Arial" w:cs="Arial"/>
                    <w:noProof/>
                    <w:sz w:val="16"/>
                    <w:szCs w:val="16"/>
                  </w:rPr>
                  <w:t>(6)</w:t>
                </w:r>
                <w:r w:rsidR="00743E44" w:rsidRPr="0013636B">
                  <w:rPr>
                    <w:rFonts w:ascii="Arial" w:hAnsi="Arial" w:cs="Arial"/>
                    <w:b/>
                    <w:bCs/>
                    <w:sz w:val="16"/>
                    <w:szCs w:val="16"/>
                    <w:vertAlign w:val="superscript"/>
                  </w:rPr>
                  <w:fldChar w:fldCharType="end"/>
                </w:r>
              </w:sdtContent>
            </w:sdt>
          </w:p>
        </w:tc>
        <w:tc>
          <w:tcPr>
            <w:tcW w:w="2977" w:type="dxa"/>
            <w:vAlign w:val="center"/>
          </w:tcPr>
          <w:p w:rsidR="00C35D5D" w:rsidRPr="007543A5" w:rsidRDefault="00FE2330" w:rsidP="004934D6">
            <w:pPr>
              <w:ind w:left="0" w:hanging="2"/>
              <w:jc w:val="center"/>
              <w:rPr>
                <w:rFonts w:ascii="Arial" w:hAnsi="Arial" w:cs="Arial"/>
                <w:sz w:val="16"/>
                <w:szCs w:val="16"/>
              </w:rPr>
            </w:pPr>
            <w:r>
              <w:rPr>
                <w:rFonts w:ascii="Arial" w:hAnsi="Arial" w:cs="Arial"/>
                <w:sz w:val="16"/>
                <w:szCs w:val="16"/>
              </w:rPr>
              <w:t>170</w:t>
            </w:r>
          </w:p>
        </w:tc>
      </w:tr>
      <w:tr w:rsidR="00C35D5D" w:rsidTr="00645EF0">
        <w:trPr>
          <w:trHeight w:val="528"/>
        </w:trPr>
        <w:tc>
          <w:tcPr>
            <w:tcW w:w="5959" w:type="dxa"/>
            <w:vAlign w:val="center"/>
            <w:hideMark/>
          </w:tcPr>
          <w:p w:rsidR="00C35D5D" w:rsidRPr="007543A5" w:rsidRDefault="00C35D5D" w:rsidP="004934D6">
            <w:pPr>
              <w:ind w:left="0" w:hanging="2"/>
              <w:jc w:val="both"/>
              <w:rPr>
                <w:rFonts w:ascii="Arial" w:hAnsi="Arial" w:cs="Arial"/>
                <w:b/>
                <w:bCs/>
                <w:sz w:val="16"/>
                <w:szCs w:val="16"/>
                <w:vertAlign w:val="superscript"/>
              </w:rPr>
            </w:pPr>
            <w:r w:rsidRPr="007543A5">
              <w:rPr>
                <w:rFonts w:ascii="Arial" w:hAnsi="Arial" w:cs="Arial"/>
                <w:b/>
                <w:bCs/>
                <w:sz w:val="16"/>
                <w:szCs w:val="16"/>
              </w:rPr>
              <w:t xml:space="preserve">B. Población con la enfermedad en el estadio en que se indica el medicamento.  </w:t>
            </w:r>
          </w:p>
        </w:tc>
        <w:tc>
          <w:tcPr>
            <w:tcW w:w="2977" w:type="dxa"/>
            <w:vAlign w:val="center"/>
          </w:tcPr>
          <w:p w:rsidR="00C35D5D" w:rsidRPr="007543A5" w:rsidRDefault="00FE2330" w:rsidP="004934D6">
            <w:pPr>
              <w:ind w:left="0" w:hanging="2"/>
              <w:jc w:val="center"/>
              <w:rPr>
                <w:rFonts w:ascii="Arial" w:hAnsi="Arial" w:cs="Arial"/>
                <w:sz w:val="16"/>
                <w:szCs w:val="16"/>
              </w:rPr>
            </w:pPr>
            <w:r>
              <w:rPr>
                <w:rFonts w:ascii="Arial" w:hAnsi="Arial" w:cs="Arial"/>
                <w:sz w:val="16"/>
                <w:szCs w:val="16"/>
              </w:rPr>
              <w:t>170</w:t>
            </w:r>
          </w:p>
        </w:tc>
      </w:tr>
      <w:tr w:rsidR="00C35D5D" w:rsidTr="00645EF0">
        <w:trPr>
          <w:trHeight w:val="452"/>
        </w:trPr>
        <w:tc>
          <w:tcPr>
            <w:tcW w:w="5959" w:type="dxa"/>
            <w:vAlign w:val="center"/>
            <w:hideMark/>
          </w:tcPr>
          <w:p w:rsidR="00C35D5D" w:rsidRPr="007543A5" w:rsidRDefault="00C35D5D" w:rsidP="004934D6">
            <w:pPr>
              <w:ind w:left="0" w:hanging="2"/>
              <w:jc w:val="both"/>
              <w:rPr>
                <w:rFonts w:ascii="Arial" w:hAnsi="Arial" w:cs="Arial"/>
                <w:b/>
                <w:bCs/>
                <w:sz w:val="16"/>
                <w:szCs w:val="16"/>
                <w:vertAlign w:val="superscript"/>
              </w:rPr>
            </w:pPr>
            <w:r w:rsidRPr="007543A5">
              <w:rPr>
                <w:rFonts w:ascii="Arial" w:hAnsi="Arial" w:cs="Arial"/>
                <w:b/>
                <w:bCs/>
                <w:sz w:val="16"/>
                <w:szCs w:val="16"/>
              </w:rPr>
              <w:t>C. Población con las condiciones de uso establecidas.</w:t>
            </w:r>
            <w:r w:rsidRPr="007543A5">
              <w:rPr>
                <w:rFonts w:ascii="Arial" w:hAnsi="Arial" w:cs="Arial"/>
                <w:sz w:val="16"/>
                <w:szCs w:val="16"/>
              </w:rPr>
              <w:t xml:space="preserve"> </w:t>
            </w:r>
            <w:r w:rsidR="00FE2330">
              <w:rPr>
                <w:rFonts w:ascii="Arial" w:hAnsi="Arial" w:cs="Arial"/>
                <w:sz w:val="16"/>
                <w:szCs w:val="16"/>
              </w:rPr>
              <w:t xml:space="preserve">Según cohorte RWD de </w:t>
            </w:r>
            <w:r w:rsidR="00FE2330" w:rsidRPr="0013636B">
              <w:rPr>
                <w:rFonts w:ascii="Arial" w:hAnsi="Arial" w:cs="Arial"/>
                <w:i/>
                <w:sz w:val="16"/>
                <w:szCs w:val="16"/>
              </w:rPr>
              <w:t>Best Available Therapy</w:t>
            </w:r>
            <w:r w:rsidR="00FE2330">
              <w:rPr>
                <w:rFonts w:ascii="Arial" w:hAnsi="Arial" w:cs="Arial"/>
                <w:sz w:val="16"/>
                <w:szCs w:val="16"/>
              </w:rPr>
              <w:t xml:space="preserve"> de la CI</w:t>
            </w:r>
            <w:sdt>
              <w:sdtPr>
                <w:rPr>
                  <w:rFonts w:ascii="Arial" w:hAnsi="Arial" w:cs="Arial"/>
                  <w:sz w:val="16"/>
                  <w:szCs w:val="16"/>
                  <w:vertAlign w:val="superscript"/>
                </w:rPr>
                <w:id w:val="1745450461"/>
                <w:citation/>
              </w:sdtPr>
              <w:sdtEndPr/>
              <w:sdtContent>
                <w:r w:rsidR="00743E44" w:rsidRPr="0013636B">
                  <w:rPr>
                    <w:rFonts w:ascii="Arial" w:hAnsi="Arial" w:cs="Arial"/>
                    <w:sz w:val="16"/>
                    <w:szCs w:val="16"/>
                    <w:vertAlign w:val="superscript"/>
                  </w:rPr>
                  <w:fldChar w:fldCharType="begin"/>
                </w:r>
                <w:r w:rsidR="00FE2330" w:rsidRPr="0013636B">
                  <w:rPr>
                    <w:rFonts w:ascii="Arial" w:hAnsi="Arial" w:cs="Arial"/>
                    <w:sz w:val="16"/>
                    <w:szCs w:val="16"/>
                    <w:vertAlign w:val="superscript"/>
                  </w:rPr>
                  <w:instrText xml:space="preserve"> CITATION And22 \l 3082 </w:instrText>
                </w:r>
                <w:r w:rsidR="00743E44" w:rsidRPr="0013636B">
                  <w:rPr>
                    <w:rFonts w:ascii="Arial" w:hAnsi="Arial" w:cs="Arial"/>
                    <w:sz w:val="16"/>
                    <w:szCs w:val="16"/>
                    <w:vertAlign w:val="superscript"/>
                  </w:rPr>
                  <w:fldChar w:fldCharType="separate"/>
                </w:r>
                <w:r w:rsidR="00C560F5">
                  <w:rPr>
                    <w:rFonts w:ascii="Arial" w:hAnsi="Arial" w:cs="Arial"/>
                    <w:noProof/>
                    <w:sz w:val="16"/>
                    <w:szCs w:val="16"/>
                    <w:vertAlign w:val="superscript"/>
                  </w:rPr>
                  <w:t xml:space="preserve"> </w:t>
                </w:r>
                <w:r w:rsidR="00C560F5" w:rsidRPr="00C560F5">
                  <w:rPr>
                    <w:rFonts w:ascii="Arial" w:hAnsi="Arial" w:cs="Arial"/>
                    <w:noProof/>
                    <w:sz w:val="16"/>
                    <w:szCs w:val="16"/>
                  </w:rPr>
                  <w:t>(13)</w:t>
                </w:r>
                <w:r w:rsidR="00743E44" w:rsidRPr="0013636B">
                  <w:rPr>
                    <w:rFonts w:ascii="Arial" w:hAnsi="Arial" w:cs="Arial"/>
                    <w:sz w:val="16"/>
                    <w:szCs w:val="16"/>
                    <w:vertAlign w:val="superscript"/>
                  </w:rPr>
                  <w:fldChar w:fldCharType="end"/>
                </w:r>
              </w:sdtContent>
            </w:sdt>
            <w:r w:rsidR="00FE2330">
              <w:rPr>
                <w:rFonts w:ascii="Arial" w:hAnsi="Arial" w:cs="Arial"/>
                <w:sz w:val="16"/>
                <w:szCs w:val="16"/>
              </w:rPr>
              <w:t xml:space="preserve">, en la que </w:t>
            </w:r>
            <w:r w:rsidR="009E77D1">
              <w:rPr>
                <w:rFonts w:ascii="Arial" w:hAnsi="Arial" w:cs="Arial"/>
                <w:sz w:val="16"/>
                <w:szCs w:val="16"/>
              </w:rPr>
              <w:t>el 46.8% de los pacientes habían recibido terapia sistémica previa.</w:t>
            </w:r>
          </w:p>
        </w:tc>
        <w:tc>
          <w:tcPr>
            <w:tcW w:w="2977" w:type="dxa"/>
            <w:vAlign w:val="center"/>
          </w:tcPr>
          <w:p w:rsidR="00C35D5D" w:rsidRPr="007543A5" w:rsidRDefault="009E77D1" w:rsidP="004934D6">
            <w:pPr>
              <w:ind w:left="0" w:hanging="2"/>
              <w:jc w:val="center"/>
              <w:rPr>
                <w:rFonts w:ascii="Arial" w:hAnsi="Arial" w:cs="Arial"/>
                <w:sz w:val="16"/>
                <w:szCs w:val="16"/>
              </w:rPr>
            </w:pPr>
            <w:r>
              <w:rPr>
                <w:rFonts w:ascii="Arial" w:hAnsi="Arial" w:cs="Arial"/>
                <w:sz w:val="16"/>
                <w:szCs w:val="16"/>
              </w:rPr>
              <w:t>80</w:t>
            </w:r>
          </w:p>
        </w:tc>
      </w:tr>
      <w:tr w:rsidR="00C35D5D" w:rsidTr="00645EF0">
        <w:trPr>
          <w:trHeight w:val="421"/>
        </w:trPr>
        <w:tc>
          <w:tcPr>
            <w:tcW w:w="5959" w:type="dxa"/>
            <w:tcBorders>
              <w:bottom w:val="single" w:sz="4" w:space="0" w:color="auto"/>
            </w:tcBorders>
            <w:vAlign w:val="center"/>
            <w:hideMark/>
          </w:tcPr>
          <w:p w:rsidR="00C35D5D" w:rsidRPr="007543A5" w:rsidRDefault="00C35D5D" w:rsidP="004934D6">
            <w:pPr>
              <w:ind w:left="0" w:hanging="2"/>
              <w:rPr>
                <w:rFonts w:ascii="Arial" w:hAnsi="Arial" w:cs="Arial"/>
                <w:b/>
                <w:bCs/>
                <w:sz w:val="16"/>
                <w:szCs w:val="16"/>
              </w:rPr>
            </w:pPr>
            <w:r w:rsidRPr="007543A5">
              <w:rPr>
                <w:rFonts w:ascii="Arial" w:hAnsi="Arial" w:cs="Arial"/>
                <w:b/>
                <w:bCs/>
                <w:sz w:val="16"/>
                <w:szCs w:val="16"/>
              </w:rPr>
              <w:t xml:space="preserve">D. POBLACION DIANA. </w:t>
            </w:r>
            <w:r w:rsidRPr="007543A5">
              <w:rPr>
                <w:rFonts w:ascii="Arial" w:hAnsi="Arial" w:cs="Arial"/>
                <w:bCs/>
                <w:sz w:val="16"/>
                <w:szCs w:val="16"/>
              </w:rPr>
              <w:t>Población</w:t>
            </w:r>
            <w:r w:rsidRPr="007543A5">
              <w:rPr>
                <w:rFonts w:ascii="Arial" w:hAnsi="Arial" w:cs="Arial"/>
                <w:b/>
                <w:bCs/>
                <w:sz w:val="16"/>
                <w:szCs w:val="16"/>
              </w:rPr>
              <w:t xml:space="preserve"> susceptible de tratamiento</w:t>
            </w:r>
            <w:r w:rsidRPr="007543A5">
              <w:rPr>
                <w:rFonts w:ascii="Arial" w:hAnsi="Arial" w:cs="Arial"/>
                <w:bCs/>
                <w:sz w:val="16"/>
                <w:szCs w:val="16"/>
              </w:rPr>
              <w:t xml:space="preserve"> dentro de las condiciones de uso.</w:t>
            </w:r>
          </w:p>
        </w:tc>
        <w:tc>
          <w:tcPr>
            <w:tcW w:w="2977" w:type="dxa"/>
            <w:tcBorders>
              <w:bottom w:val="single" w:sz="4" w:space="0" w:color="auto"/>
            </w:tcBorders>
            <w:vAlign w:val="center"/>
          </w:tcPr>
          <w:p w:rsidR="00C35D5D" w:rsidRPr="007543A5" w:rsidRDefault="009E77D1" w:rsidP="004934D6">
            <w:pPr>
              <w:ind w:left="0" w:hanging="2"/>
              <w:jc w:val="center"/>
              <w:rPr>
                <w:rFonts w:ascii="Arial" w:hAnsi="Arial" w:cs="Arial"/>
                <w:sz w:val="16"/>
                <w:szCs w:val="16"/>
              </w:rPr>
            </w:pPr>
            <w:r>
              <w:rPr>
                <w:rFonts w:ascii="Arial" w:hAnsi="Arial" w:cs="Arial"/>
                <w:sz w:val="16"/>
                <w:szCs w:val="16"/>
              </w:rPr>
              <w:t>80</w:t>
            </w:r>
          </w:p>
        </w:tc>
      </w:tr>
    </w:tbl>
    <w:p w:rsidR="00C35D5D" w:rsidRDefault="00C35D5D" w:rsidP="006321B5">
      <w:pPr>
        <w:ind w:leftChars="0" w:left="0" w:firstLineChars="0" w:firstLine="0"/>
        <w:rPr>
          <w:rFonts w:ascii="Arial" w:eastAsia="Arial" w:hAnsi="Arial" w:cs="Arial"/>
          <w:sz w:val="20"/>
          <w:szCs w:val="20"/>
        </w:rPr>
      </w:pPr>
    </w:p>
    <w:p w:rsidR="002C6FEA" w:rsidRDefault="002C6FEA" w:rsidP="00FA0125">
      <w:pPr>
        <w:ind w:leftChars="0" w:left="0" w:firstLineChars="0" w:firstLine="0"/>
        <w:jc w:val="both"/>
        <w:rPr>
          <w:rFonts w:ascii="Arial" w:eastAsia="Arial" w:hAnsi="Arial" w:cs="Arial"/>
          <w:sz w:val="20"/>
          <w:szCs w:val="20"/>
        </w:rPr>
      </w:pPr>
      <w:r>
        <w:rPr>
          <w:rFonts w:ascii="Arial" w:eastAsia="Arial" w:hAnsi="Arial" w:cs="Arial"/>
          <w:sz w:val="20"/>
          <w:szCs w:val="20"/>
        </w:rPr>
        <w:t xml:space="preserve">La población diana, teniendo en cuenta </w:t>
      </w:r>
      <w:r w:rsidR="007D7664">
        <w:rPr>
          <w:rFonts w:ascii="Arial" w:eastAsia="Arial" w:hAnsi="Arial" w:cs="Arial"/>
          <w:sz w:val="20"/>
          <w:szCs w:val="20"/>
        </w:rPr>
        <w:t xml:space="preserve">la prevalencia descrita en la bibliografía citada y que además han recibido tratamiento sistémico previo para cualquiera de las variantes de mastocitosis sistémica sería de unos 80 pacientes al año en España. Para realizar este cálculo se han asumido varios supuestos que hacen que debamos tomar la cifra final con mucha cautela. </w:t>
      </w:r>
    </w:p>
    <w:p w:rsidR="002C6FEA" w:rsidRDefault="002C6FEA" w:rsidP="00FA0125">
      <w:pPr>
        <w:ind w:leftChars="0" w:left="0" w:firstLineChars="0" w:firstLine="0"/>
        <w:jc w:val="both"/>
        <w:rPr>
          <w:rFonts w:ascii="Arial" w:eastAsia="Arial" w:hAnsi="Arial" w:cs="Arial"/>
          <w:sz w:val="20"/>
          <w:szCs w:val="20"/>
        </w:rPr>
      </w:pPr>
    </w:p>
    <w:p w:rsidR="00B74082" w:rsidRDefault="00DA20C8" w:rsidP="00FA0125">
      <w:pPr>
        <w:pBdr>
          <w:top w:val="single" w:sz="4" w:space="1" w:color="000000"/>
          <w:left w:val="single" w:sz="4" w:space="4" w:color="000000"/>
          <w:bottom w:val="single" w:sz="4" w:space="1" w:color="000000"/>
          <w:right w:val="single" w:sz="4" w:space="4" w:color="000000"/>
        </w:pBdr>
        <w:shd w:val="clear" w:color="auto" w:fill="D9D9D9"/>
        <w:ind w:left="0" w:hanging="2"/>
        <w:jc w:val="both"/>
        <w:rPr>
          <w:rFonts w:ascii="Arial" w:eastAsia="Arial" w:hAnsi="Arial" w:cs="Arial"/>
          <w:sz w:val="20"/>
          <w:szCs w:val="20"/>
        </w:rPr>
      </w:pPr>
      <w:r>
        <w:rPr>
          <w:rFonts w:ascii="Arial" w:eastAsia="Arial" w:hAnsi="Arial" w:cs="Arial"/>
          <w:b/>
          <w:sz w:val="20"/>
          <w:szCs w:val="20"/>
        </w:rPr>
        <w:t>7.4.2 Estudios publicados de impacto presupuestario</w:t>
      </w:r>
    </w:p>
    <w:p w:rsidR="00B74082" w:rsidRDefault="00B74082" w:rsidP="00FA0125">
      <w:pPr>
        <w:ind w:leftChars="0" w:left="0" w:firstLineChars="0" w:firstLine="0"/>
        <w:jc w:val="both"/>
        <w:rPr>
          <w:rFonts w:ascii="Arial" w:eastAsia="Arial" w:hAnsi="Arial" w:cs="Arial"/>
        </w:rPr>
      </w:pPr>
    </w:p>
    <w:p w:rsidR="00C72459" w:rsidRPr="00C72459" w:rsidRDefault="00C72459" w:rsidP="00FA0125">
      <w:pPr>
        <w:shd w:val="clear" w:color="auto" w:fill="FFFFFF"/>
        <w:suppressAutoHyphens w:val="0"/>
        <w:spacing w:line="240" w:lineRule="auto"/>
        <w:ind w:leftChars="0" w:left="0" w:firstLineChars="0" w:firstLine="0"/>
        <w:jc w:val="both"/>
        <w:textDirection w:val="lrTb"/>
        <w:textAlignment w:val="auto"/>
        <w:outlineLvl w:val="9"/>
        <w:rPr>
          <w:rFonts w:ascii="Arial" w:eastAsia="Arial" w:hAnsi="Arial" w:cs="Arial"/>
          <w:sz w:val="20"/>
          <w:szCs w:val="20"/>
        </w:rPr>
      </w:pPr>
      <w:r w:rsidRPr="00C72459">
        <w:rPr>
          <w:rFonts w:ascii="Arial" w:eastAsia="Arial" w:hAnsi="Arial" w:cs="Arial"/>
          <w:sz w:val="20"/>
          <w:szCs w:val="20"/>
        </w:rPr>
        <w:t xml:space="preserve">En el momento de realización de este informe no se encontró </w:t>
      </w:r>
      <w:r w:rsidR="00FE2330">
        <w:rPr>
          <w:rFonts w:ascii="Arial" w:eastAsia="Arial" w:hAnsi="Arial" w:cs="Arial"/>
          <w:sz w:val="20"/>
          <w:szCs w:val="20"/>
        </w:rPr>
        <w:t>ningún estudio</w:t>
      </w:r>
      <w:r w:rsidRPr="00C72459">
        <w:rPr>
          <w:rFonts w:ascii="Arial" w:eastAsia="Arial" w:hAnsi="Arial" w:cs="Arial"/>
          <w:sz w:val="20"/>
          <w:szCs w:val="20"/>
        </w:rPr>
        <w:t xml:space="preserve"> acerca del impacto presupuestario de avapritinib para su indicación en MS.</w:t>
      </w:r>
    </w:p>
    <w:p w:rsidR="0024541A" w:rsidRPr="0024541A" w:rsidRDefault="0024541A" w:rsidP="00FA0125">
      <w:pPr>
        <w:shd w:val="clear" w:color="auto" w:fill="FFFFFF"/>
        <w:suppressAutoHyphens w:val="0"/>
        <w:spacing w:line="240" w:lineRule="auto"/>
        <w:ind w:leftChars="0" w:left="0" w:firstLineChars="0" w:firstLine="0"/>
        <w:jc w:val="both"/>
        <w:textDirection w:val="lrTb"/>
        <w:textAlignment w:val="auto"/>
        <w:outlineLvl w:val="9"/>
        <w:rPr>
          <w:color w:val="222222"/>
          <w:position w:val="0"/>
        </w:rPr>
      </w:pPr>
      <w:r w:rsidRPr="0024541A">
        <w:rPr>
          <w:rFonts w:ascii="Arial" w:hAnsi="Arial" w:cs="Arial"/>
          <w:color w:val="222222"/>
          <w:position w:val="0"/>
        </w:rPr>
        <w:t> </w:t>
      </w:r>
    </w:p>
    <w:p w:rsidR="0024541A" w:rsidRPr="0024541A" w:rsidRDefault="00C72459" w:rsidP="00FA0125">
      <w:pPr>
        <w:shd w:val="clear" w:color="auto" w:fill="FFFFFF"/>
        <w:suppressAutoHyphens w:val="0"/>
        <w:spacing w:line="240" w:lineRule="auto"/>
        <w:ind w:leftChars="0" w:left="0" w:firstLineChars="0" w:firstLine="0"/>
        <w:jc w:val="both"/>
        <w:textDirection w:val="lrTb"/>
        <w:textAlignment w:val="auto"/>
        <w:outlineLvl w:val="9"/>
        <w:rPr>
          <w:rFonts w:ascii="Arial" w:eastAsia="Arial" w:hAnsi="Arial" w:cs="Arial"/>
          <w:sz w:val="20"/>
          <w:szCs w:val="20"/>
        </w:rPr>
      </w:pPr>
      <w:r>
        <w:rPr>
          <w:rFonts w:ascii="Arial" w:eastAsia="Arial" w:hAnsi="Arial" w:cs="Arial"/>
          <w:sz w:val="20"/>
          <w:szCs w:val="20"/>
        </w:rPr>
        <w:t>Se dispone de un</w:t>
      </w:r>
      <w:r w:rsidR="0024541A" w:rsidRPr="0024541A">
        <w:rPr>
          <w:rFonts w:ascii="Arial" w:eastAsia="Arial" w:hAnsi="Arial" w:cs="Arial"/>
          <w:sz w:val="20"/>
          <w:szCs w:val="20"/>
        </w:rPr>
        <w:t xml:space="preserve"> </w:t>
      </w:r>
      <w:r w:rsidR="00D8772B">
        <w:rPr>
          <w:rFonts w:ascii="Arial" w:eastAsia="Arial" w:hAnsi="Arial" w:cs="Arial"/>
          <w:sz w:val="20"/>
          <w:szCs w:val="20"/>
        </w:rPr>
        <w:t xml:space="preserve">resumen </w:t>
      </w:r>
      <w:sdt>
        <w:sdtPr>
          <w:rPr>
            <w:rFonts w:ascii="Arial" w:eastAsia="Arial" w:hAnsi="Arial" w:cs="Arial"/>
            <w:sz w:val="20"/>
            <w:szCs w:val="20"/>
            <w:vertAlign w:val="superscript"/>
          </w:rPr>
          <w:id w:val="-1028563391"/>
          <w:citation/>
        </w:sdtPr>
        <w:sdtEndPr/>
        <w:sdtContent>
          <w:r w:rsidR="00743E44" w:rsidRPr="00D8772B">
            <w:rPr>
              <w:rFonts w:ascii="Arial" w:eastAsia="Arial" w:hAnsi="Arial" w:cs="Arial"/>
              <w:sz w:val="20"/>
              <w:szCs w:val="20"/>
              <w:vertAlign w:val="superscript"/>
            </w:rPr>
            <w:fldChar w:fldCharType="begin"/>
          </w:r>
          <w:r w:rsidR="0024541A" w:rsidRPr="00D8772B">
            <w:rPr>
              <w:rFonts w:ascii="Arial" w:eastAsia="Arial" w:hAnsi="Arial" w:cs="Arial"/>
              <w:sz w:val="20"/>
              <w:szCs w:val="20"/>
              <w:vertAlign w:val="superscript"/>
            </w:rPr>
            <w:instrText xml:space="preserve"> CITATION Pro20 \l 3082 </w:instrText>
          </w:r>
          <w:r w:rsidR="00743E44" w:rsidRPr="00D8772B">
            <w:rPr>
              <w:rFonts w:ascii="Arial" w:eastAsia="Arial" w:hAnsi="Arial" w:cs="Arial"/>
              <w:sz w:val="20"/>
              <w:szCs w:val="20"/>
              <w:vertAlign w:val="superscript"/>
            </w:rPr>
            <w:fldChar w:fldCharType="separate"/>
          </w:r>
          <w:r w:rsidR="00C560F5" w:rsidRPr="00C560F5">
            <w:rPr>
              <w:rFonts w:ascii="Arial" w:eastAsia="Arial" w:hAnsi="Arial" w:cs="Arial"/>
              <w:noProof/>
              <w:sz w:val="20"/>
              <w:szCs w:val="20"/>
            </w:rPr>
            <w:t>(17)</w:t>
          </w:r>
          <w:r w:rsidR="00743E44" w:rsidRPr="00D8772B">
            <w:rPr>
              <w:rFonts w:ascii="Arial" w:eastAsia="Arial" w:hAnsi="Arial" w:cs="Arial"/>
              <w:sz w:val="20"/>
              <w:szCs w:val="20"/>
              <w:vertAlign w:val="superscript"/>
            </w:rPr>
            <w:fldChar w:fldCharType="end"/>
          </w:r>
        </w:sdtContent>
      </w:sdt>
      <w:r w:rsidR="0024541A" w:rsidRPr="0024541A">
        <w:rPr>
          <w:rFonts w:ascii="Arial" w:eastAsia="Arial" w:hAnsi="Arial" w:cs="Arial"/>
          <w:sz w:val="20"/>
          <w:szCs w:val="20"/>
        </w:rPr>
        <w:t xml:space="preserve"> </w:t>
      </w:r>
      <w:r w:rsidR="00D8772B">
        <w:rPr>
          <w:rFonts w:ascii="Arial" w:eastAsia="Arial" w:hAnsi="Arial" w:cs="Arial"/>
          <w:sz w:val="20"/>
          <w:szCs w:val="20"/>
        </w:rPr>
        <w:t>que</w:t>
      </w:r>
      <w:r w:rsidR="0024541A" w:rsidRPr="0024541A">
        <w:rPr>
          <w:rFonts w:ascii="Arial" w:eastAsia="Arial" w:hAnsi="Arial" w:cs="Arial"/>
          <w:sz w:val="20"/>
          <w:szCs w:val="20"/>
        </w:rPr>
        <w:t xml:space="preserve"> estudia el impacto económico de avapritinib en su indicación para GIST dentro del plan de salud de EEUU, en una población de 1 millón de pacientes. Aunque se trata de una patología diferente a la evaluada en este informe, el impacto presupuestario resultó pequeño debido a la pequeña muestra de pacientes elegibles y al ahorro en costes por progresión de la enfermedad, con </w:t>
      </w:r>
      <w:r w:rsidR="0024541A">
        <w:rPr>
          <w:rFonts w:ascii="Arial" w:eastAsia="Arial" w:hAnsi="Arial" w:cs="Arial"/>
          <w:sz w:val="20"/>
          <w:szCs w:val="20"/>
        </w:rPr>
        <w:t xml:space="preserve">un </w:t>
      </w:r>
      <w:r w:rsidR="0024541A" w:rsidRPr="0024541A">
        <w:rPr>
          <w:rFonts w:ascii="Arial" w:eastAsia="Arial" w:hAnsi="Arial" w:cs="Arial"/>
          <w:sz w:val="20"/>
          <w:szCs w:val="20"/>
        </w:rPr>
        <w:t>incremento anual de 10.991 $ y a los 3 años de 46.994 $.</w:t>
      </w:r>
    </w:p>
    <w:p w:rsidR="0024541A" w:rsidRDefault="0024541A" w:rsidP="00FA0125">
      <w:pPr>
        <w:ind w:leftChars="0" w:left="0" w:firstLineChars="0" w:firstLine="0"/>
        <w:jc w:val="both"/>
        <w:rPr>
          <w:rFonts w:ascii="Arial" w:eastAsia="Arial" w:hAnsi="Arial" w:cs="Arial"/>
        </w:rPr>
      </w:pPr>
    </w:p>
    <w:p w:rsidR="0024541A" w:rsidRDefault="0024541A" w:rsidP="00FA0125">
      <w:pPr>
        <w:ind w:leftChars="0" w:left="0" w:firstLineChars="0" w:firstLine="0"/>
        <w:jc w:val="both"/>
        <w:rPr>
          <w:rFonts w:ascii="Arial" w:eastAsia="Arial" w:hAnsi="Arial" w:cs="Arial"/>
        </w:rPr>
      </w:pPr>
    </w:p>
    <w:p w:rsidR="00B74082" w:rsidRDefault="00DA20C8" w:rsidP="00FA0125">
      <w:pPr>
        <w:pBdr>
          <w:top w:val="single" w:sz="4" w:space="1" w:color="000000"/>
          <w:left w:val="single" w:sz="4" w:space="4" w:color="000000"/>
          <w:bottom w:val="single" w:sz="4" w:space="1" w:color="000000"/>
          <w:right w:val="single" w:sz="4" w:space="4" w:color="000000"/>
        </w:pBdr>
        <w:shd w:val="clear" w:color="auto" w:fill="D9D9D9"/>
        <w:ind w:left="0" w:hanging="2"/>
        <w:jc w:val="both"/>
        <w:rPr>
          <w:rFonts w:ascii="Arial" w:eastAsia="Arial" w:hAnsi="Arial" w:cs="Arial"/>
          <w:sz w:val="20"/>
          <w:szCs w:val="20"/>
        </w:rPr>
      </w:pPr>
      <w:r>
        <w:rPr>
          <w:rFonts w:ascii="Arial" w:eastAsia="Arial" w:hAnsi="Arial" w:cs="Arial"/>
          <w:b/>
          <w:sz w:val="20"/>
          <w:szCs w:val="20"/>
        </w:rPr>
        <w:t>7.4.3. Estimación propia de impacto presupuestario y beneficios en salud</w:t>
      </w:r>
    </w:p>
    <w:p w:rsidR="00B74082" w:rsidRDefault="00B74082" w:rsidP="00FA0125">
      <w:pPr>
        <w:ind w:left="0" w:hanging="2"/>
        <w:jc w:val="both"/>
        <w:rPr>
          <w:rFonts w:ascii="Arial" w:eastAsia="Arial" w:hAnsi="Arial" w:cs="Arial"/>
          <w:sz w:val="20"/>
          <w:szCs w:val="20"/>
        </w:rPr>
      </w:pPr>
    </w:p>
    <w:p w:rsidR="00B74082" w:rsidRDefault="007D7664" w:rsidP="00FA0125">
      <w:pPr>
        <w:ind w:left="0" w:hanging="2"/>
        <w:jc w:val="both"/>
        <w:rPr>
          <w:rFonts w:ascii="Arial" w:eastAsia="Arial" w:hAnsi="Arial" w:cs="Arial"/>
          <w:sz w:val="20"/>
          <w:szCs w:val="20"/>
        </w:rPr>
      </w:pPr>
      <w:r>
        <w:rPr>
          <w:rFonts w:ascii="Arial" w:eastAsia="Arial" w:hAnsi="Arial" w:cs="Arial"/>
          <w:sz w:val="20"/>
          <w:szCs w:val="20"/>
        </w:rPr>
        <w:t>Se realiza el cálculo a nivel nacional al tratarse de una enfermedad con una prevalencia muy baja.</w:t>
      </w:r>
    </w:p>
    <w:p w:rsidR="00B74082" w:rsidRDefault="00B74082" w:rsidP="00FA0125">
      <w:pPr>
        <w:ind w:left="0" w:hanging="2"/>
        <w:jc w:val="both"/>
        <w:rPr>
          <w:rFonts w:ascii="Arial" w:eastAsia="Arial" w:hAnsi="Arial" w:cs="Arial"/>
        </w:rPr>
      </w:pPr>
    </w:p>
    <w:p w:rsidR="00B74082" w:rsidRDefault="00DA20C8" w:rsidP="00FA0125">
      <w:pPr>
        <w:pBdr>
          <w:top w:val="single" w:sz="4" w:space="0" w:color="000000"/>
          <w:left w:val="single" w:sz="4" w:space="4" w:color="000000"/>
          <w:bottom w:val="single" w:sz="4" w:space="1" w:color="000000"/>
          <w:right w:val="single" w:sz="4" w:space="4" w:color="000000"/>
        </w:pBdr>
        <w:shd w:val="clear" w:color="auto" w:fill="D9D9D9"/>
        <w:ind w:left="0" w:hanging="2"/>
        <w:jc w:val="both"/>
        <w:rPr>
          <w:rFonts w:ascii="Arial" w:eastAsia="Arial" w:hAnsi="Arial" w:cs="Arial"/>
          <w:sz w:val="20"/>
          <w:szCs w:val="20"/>
        </w:rPr>
      </w:pPr>
      <w:r>
        <w:rPr>
          <w:rFonts w:ascii="Arial" w:eastAsia="Arial" w:hAnsi="Arial" w:cs="Arial"/>
          <w:b/>
          <w:sz w:val="20"/>
          <w:szCs w:val="20"/>
        </w:rPr>
        <w:t>7.4.3.1. Estimación propia de impacto presupuestario y beneficios en salud en el hospital</w:t>
      </w:r>
    </w:p>
    <w:p w:rsidR="00B74082" w:rsidRDefault="00B74082" w:rsidP="00FA0125">
      <w:pPr>
        <w:ind w:leftChars="0" w:left="0" w:firstLineChars="0" w:firstLine="0"/>
        <w:jc w:val="both"/>
        <w:rPr>
          <w:rFonts w:ascii="Arial" w:eastAsia="Arial" w:hAnsi="Arial" w:cs="Arial"/>
          <w:sz w:val="20"/>
          <w:szCs w:val="20"/>
        </w:rPr>
      </w:pPr>
    </w:p>
    <w:p w:rsidR="00B74082" w:rsidRDefault="007D7664" w:rsidP="00FA0125">
      <w:pPr>
        <w:ind w:left="0" w:hanging="2"/>
        <w:jc w:val="both"/>
        <w:rPr>
          <w:rFonts w:ascii="Arial" w:eastAsia="Arial" w:hAnsi="Arial" w:cs="Arial"/>
          <w:sz w:val="20"/>
          <w:szCs w:val="20"/>
        </w:rPr>
      </w:pPr>
      <w:r>
        <w:rPr>
          <w:rFonts w:ascii="Arial" w:eastAsia="Arial" w:hAnsi="Arial" w:cs="Arial"/>
          <w:sz w:val="20"/>
          <w:szCs w:val="20"/>
        </w:rPr>
        <w:t>No procede</w:t>
      </w:r>
    </w:p>
    <w:p w:rsidR="007D7664" w:rsidRDefault="007D7664" w:rsidP="00FA0125">
      <w:pPr>
        <w:ind w:left="0" w:hanging="2"/>
        <w:jc w:val="both"/>
        <w:rPr>
          <w:rFonts w:ascii="Arial" w:eastAsia="Arial" w:hAnsi="Arial" w:cs="Arial"/>
          <w:sz w:val="20"/>
          <w:szCs w:val="20"/>
        </w:rPr>
      </w:pPr>
    </w:p>
    <w:p w:rsidR="00B74082" w:rsidRDefault="00DA20C8" w:rsidP="00FA0125">
      <w:pPr>
        <w:pBdr>
          <w:top w:val="single" w:sz="4" w:space="1" w:color="000000"/>
          <w:left w:val="single" w:sz="4" w:space="4" w:color="000000"/>
          <w:bottom w:val="single" w:sz="4" w:space="1" w:color="000000"/>
          <w:right w:val="single" w:sz="4" w:space="4" w:color="000000"/>
        </w:pBdr>
        <w:shd w:val="clear" w:color="auto" w:fill="D9D9D9"/>
        <w:ind w:left="0" w:hanging="2"/>
        <w:jc w:val="both"/>
        <w:rPr>
          <w:rFonts w:ascii="Arial" w:eastAsia="Arial" w:hAnsi="Arial" w:cs="Arial"/>
          <w:sz w:val="20"/>
          <w:szCs w:val="20"/>
        </w:rPr>
      </w:pPr>
      <w:r>
        <w:rPr>
          <w:rFonts w:ascii="Arial" w:eastAsia="Arial" w:hAnsi="Arial" w:cs="Arial"/>
          <w:b/>
          <w:sz w:val="20"/>
          <w:szCs w:val="20"/>
        </w:rPr>
        <w:t>7.4.3.2. Estimación propia de impacto presupuestario y beneficios en salud en atención primaria</w:t>
      </w:r>
    </w:p>
    <w:p w:rsidR="00B74082" w:rsidRDefault="00B74082" w:rsidP="00FA0125">
      <w:pPr>
        <w:ind w:left="0" w:hanging="2"/>
        <w:jc w:val="both"/>
        <w:rPr>
          <w:rFonts w:ascii="Arial" w:eastAsia="Arial" w:hAnsi="Arial" w:cs="Arial"/>
          <w:sz w:val="20"/>
          <w:szCs w:val="20"/>
        </w:rPr>
      </w:pPr>
    </w:p>
    <w:p w:rsidR="007D7664" w:rsidRDefault="007D7664" w:rsidP="00FA0125">
      <w:pPr>
        <w:ind w:left="0" w:hanging="2"/>
        <w:jc w:val="both"/>
        <w:rPr>
          <w:rFonts w:ascii="Arial" w:eastAsia="Arial" w:hAnsi="Arial" w:cs="Arial"/>
          <w:sz w:val="20"/>
          <w:szCs w:val="20"/>
        </w:rPr>
      </w:pPr>
      <w:r>
        <w:rPr>
          <w:rFonts w:ascii="Arial" w:eastAsia="Arial" w:hAnsi="Arial" w:cs="Arial"/>
          <w:sz w:val="20"/>
          <w:szCs w:val="20"/>
        </w:rPr>
        <w:t>No procede</w:t>
      </w:r>
    </w:p>
    <w:p w:rsidR="00B74082" w:rsidRDefault="00B74082" w:rsidP="00FA0125">
      <w:pPr>
        <w:ind w:left="0" w:hanging="2"/>
        <w:jc w:val="both"/>
        <w:rPr>
          <w:rFonts w:ascii="Arial" w:eastAsia="Arial" w:hAnsi="Arial" w:cs="Arial"/>
        </w:rPr>
      </w:pPr>
    </w:p>
    <w:p w:rsidR="00B74082" w:rsidRDefault="00DA20C8" w:rsidP="00FA0125">
      <w:pPr>
        <w:pBdr>
          <w:top w:val="single" w:sz="4" w:space="1" w:color="000000"/>
          <w:left w:val="single" w:sz="4" w:space="4" w:color="000000"/>
          <w:bottom w:val="single" w:sz="4" w:space="1" w:color="000000"/>
          <w:right w:val="single" w:sz="4" w:space="4" w:color="000000"/>
        </w:pBdr>
        <w:shd w:val="clear" w:color="auto" w:fill="D9D9D9"/>
        <w:ind w:left="0" w:hanging="2"/>
        <w:jc w:val="both"/>
        <w:rPr>
          <w:rFonts w:ascii="Arial" w:eastAsia="Arial" w:hAnsi="Arial" w:cs="Arial"/>
          <w:sz w:val="20"/>
          <w:szCs w:val="20"/>
        </w:rPr>
      </w:pPr>
      <w:r>
        <w:rPr>
          <w:rFonts w:ascii="Arial" w:eastAsia="Arial" w:hAnsi="Arial" w:cs="Arial"/>
          <w:b/>
          <w:sz w:val="20"/>
          <w:szCs w:val="20"/>
        </w:rPr>
        <w:t xml:space="preserve">7.4.3.3. Estimación propia de impacto presupuestario y beneficios en salud a nivel autonómico/estatal </w:t>
      </w:r>
    </w:p>
    <w:p w:rsidR="00B74082" w:rsidRDefault="00B74082" w:rsidP="00FA0125">
      <w:pPr>
        <w:ind w:left="0" w:hanging="2"/>
        <w:jc w:val="both"/>
        <w:rPr>
          <w:rFonts w:ascii="Arial" w:eastAsia="Arial" w:hAnsi="Arial" w:cs="Arial"/>
        </w:rPr>
      </w:pPr>
    </w:p>
    <w:p w:rsidR="008D791C" w:rsidRDefault="008D791C" w:rsidP="00FA0125">
      <w:pPr>
        <w:ind w:left="0" w:hanging="2"/>
        <w:jc w:val="both"/>
        <w:rPr>
          <w:rFonts w:ascii="Arial" w:eastAsia="Arial" w:hAnsi="Arial" w:cs="Arial"/>
          <w:sz w:val="20"/>
          <w:szCs w:val="20"/>
        </w:rPr>
      </w:pPr>
      <w:r>
        <w:rPr>
          <w:rFonts w:ascii="Arial" w:eastAsia="Arial" w:hAnsi="Arial" w:cs="Arial"/>
          <w:sz w:val="20"/>
          <w:szCs w:val="20"/>
        </w:rPr>
        <w:t>Nos encontramos ante una enfermedad de difícil diagnóstico. Se dispone de algunos datos de incidencia y prevalencia de mastocitosis sistémica como los publicados en la web Orphanet, comentados en el apartado inicial de patología de este informe. En el caso particular objeto de estudio aquí de mastocitosis sistémica avanzada</w:t>
      </w:r>
      <w:r w:rsidR="001E29C5">
        <w:rPr>
          <w:rFonts w:ascii="Arial" w:eastAsia="Arial" w:hAnsi="Arial" w:cs="Arial"/>
          <w:sz w:val="20"/>
          <w:szCs w:val="20"/>
        </w:rPr>
        <w:t xml:space="preserve"> se dispone del dato de prevalencia de la enfermedad en todos sus subtipos publicada por Schwabb et al</w:t>
      </w:r>
      <w:sdt>
        <w:sdtPr>
          <w:rPr>
            <w:rFonts w:ascii="Arial" w:eastAsia="Arial" w:hAnsi="Arial" w:cs="Arial"/>
            <w:sz w:val="20"/>
            <w:szCs w:val="20"/>
          </w:rPr>
          <w:id w:val="1990743197"/>
          <w:citation/>
        </w:sdtPr>
        <w:sdtEndPr/>
        <w:sdtContent>
          <w:r w:rsidR="00743E44">
            <w:rPr>
              <w:rFonts w:ascii="Arial" w:eastAsia="Arial" w:hAnsi="Arial" w:cs="Arial"/>
              <w:sz w:val="20"/>
              <w:szCs w:val="20"/>
            </w:rPr>
            <w:fldChar w:fldCharType="begin"/>
          </w:r>
          <w:r w:rsidR="001E29C5">
            <w:rPr>
              <w:rFonts w:ascii="Arial" w:eastAsia="Arial" w:hAnsi="Arial" w:cs="Arial"/>
              <w:sz w:val="20"/>
              <w:szCs w:val="20"/>
            </w:rPr>
            <w:instrText xml:space="preserve"> CITATION Sch20 \l 3082 </w:instrText>
          </w:r>
          <w:r w:rsidR="00743E44">
            <w:rPr>
              <w:rFonts w:ascii="Arial" w:eastAsia="Arial" w:hAnsi="Arial" w:cs="Arial"/>
              <w:sz w:val="20"/>
              <w:szCs w:val="20"/>
            </w:rPr>
            <w:fldChar w:fldCharType="separate"/>
          </w:r>
          <w:r w:rsidR="00C560F5">
            <w:rPr>
              <w:rFonts w:ascii="Arial" w:eastAsia="Arial" w:hAnsi="Arial" w:cs="Arial"/>
              <w:noProof/>
              <w:sz w:val="20"/>
              <w:szCs w:val="20"/>
            </w:rPr>
            <w:t xml:space="preserve"> </w:t>
          </w:r>
          <w:r w:rsidR="00C560F5" w:rsidRPr="00C560F5">
            <w:rPr>
              <w:rFonts w:ascii="Arial" w:eastAsia="Arial" w:hAnsi="Arial" w:cs="Arial"/>
              <w:noProof/>
              <w:sz w:val="20"/>
              <w:szCs w:val="20"/>
            </w:rPr>
            <w:t>(6)</w:t>
          </w:r>
          <w:r w:rsidR="00743E44">
            <w:rPr>
              <w:rFonts w:ascii="Arial" w:eastAsia="Arial" w:hAnsi="Arial" w:cs="Arial"/>
              <w:sz w:val="20"/>
              <w:szCs w:val="20"/>
            </w:rPr>
            <w:fldChar w:fldCharType="end"/>
          </w:r>
        </w:sdtContent>
      </w:sdt>
      <w:r w:rsidR="001E29C5">
        <w:rPr>
          <w:rFonts w:ascii="Arial" w:eastAsia="Arial" w:hAnsi="Arial" w:cs="Arial"/>
          <w:sz w:val="20"/>
          <w:szCs w:val="20"/>
        </w:rPr>
        <w:t>, en la que se estima una prevalencia de 0.052 casos por cada 10.000 habitantes. Los cálculos que se muestran</w:t>
      </w:r>
      <w:r w:rsidR="007D7664">
        <w:rPr>
          <w:rFonts w:ascii="Arial" w:eastAsia="Arial" w:hAnsi="Arial" w:cs="Arial"/>
          <w:sz w:val="20"/>
          <w:szCs w:val="20"/>
        </w:rPr>
        <w:t xml:space="preserve"> en la tabla 7.4.1.1</w:t>
      </w:r>
      <w:r w:rsidR="001E29C5">
        <w:rPr>
          <w:rFonts w:ascii="Arial" w:eastAsia="Arial" w:hAnsi="Arial" w:cs="Arial"/>
          <w:sz w:val="20"/>
          <w:szCs w:val="20"/>
        </w:rPr>
        <w:t xml:space="preserve"> se obtienen con este dato.</w:t>
      </w:r>
    </w:p>
    <w:p w:rsidR="001E29C5" w:rsidRDefault="001E29C5" w:rsidP="00FA0125">
      <w:pPr>
        <w:ind w:left="0" w:hanging="2"/>
        <w:jc w:val="both"/>
        <w:rPr>
          <w:rFonts w:ascii="Arial" w:eastAsia="Arial" w:hAnsi="Arial" w:cs="Arial"/>
          <w:sz w:val="20"/>
          <w:szCs w:val="20"/>
        </w:rPr>
      </w:pPr>
    </w:p>
    <w:p w:rsidR="00D84773" w:rsidRDefault="001E29C5" w:rsidP="00BE4D5B">
      <w:pPr>
        <w:ind w:left="0" w:hanging="2"/>
        <w:jc w:val="both"/>
        <w:rPr>
          <w:rFonts w:ascii="Arial" w:eastAsia="Arial" w:hAnsi="Arial" w:cs="Arial"/>
          <w:sz w:val="20"/>
          <w:szCs w:val="20"/>
        </w:rPr>
      </w:pPr>
      <w:r>
        <w:rPr>
          <w:rFonts w:ascii="Arial" w:eastAsia="Arial" w:hAnsi="Arial" w:cs="Arial"/>
          <w:sz w:val="20"/>
          <w:szCs w:val="20"/>
        </w:rPr>
        <w:t>Asumiendo esta prevalencia</w:t>
      </w:r>
      <w:r w:rsidR="007D7664">
        <w:rPr>
          <w:rFonts w:ascii="Arial" w:eastAsia="Arial" w:hAnsi="Arial" w:cs="Arial"/>
          <w:sz w:val="20"/>
          <w:szCs w:val="20"/>
        </w:rPr>
        <w:t xml:space="preserve"> y con el dato de % de pacientes que han recibido tratamiento sistémico previo</w:t>
      </w:r>
      <w:r>
        <w:rPr>
          <w:rFonts w:ascii="Arial" w:eastAsia="Arial" w:hAnsi="Arial" w:cs="Arial"/>
          <w:sz w:val="20"/>
          <w:szCs w:val="20"/>
        </w:rPr>
        <w:t xml:space="preserve"> nos encontraríamos ante </w:t>
      </w:r>
      <w:r w:rsidR="007D7664">
        <w:rPr>
          <w:rFonts w:ascii="Arial" w:eastAsia="Arial" w:hAnsi="Arial" w:cs="Arial"/>
          <w:sz w:val="20"/>
          <w:szCs w:val="20"/>
        </w:rPr>
        <w:t>80</w:t>
      </w:r>
      <w:r>
        <w:rPr>
          <w:rFonts w:ascii="Arial" w:eastAsia="Arial" w:hAnsi="Arial" w:cs="Arial"/>
          <w:sz w:val="20"/>
          <w:szCs w:val="20"/>
        </w:rPr>
        <w:t xml:space="preserve"> caso</w:t>
      </w:r>
      <w:r w:rsidR="007D7664">
        <w:rPr>
          <w:rFonts w:ascii="Arial" w:eastAsia="Arial" w:hAnsi="Arial" w:cs="Arial"/>
          <w:sz w:val="20"/>
          <w:szCs w:val="20"/>
        </w:rPr>
        <w:t>s</w:t>
      </w:r>
      <w:r>
        <w:rPr>
          <w:rFonts w:ascii="Arial" w:eastAsia="Arial" w:hAnsi="Arial" w:cs="Arial"/>
          <w:sz w:val="20"/>
          <w:szCs w:val="20"/>
        </w:rPr>
        <w:t xml:space="preserve"> de MSA </w:t>
      </w:r>
      <w:r w:rsidR="007D7664">
        <w:rPr>
          <w:rFonts w:ascii="Arial" w:eastAsia="Arial" w:hAnsi="Arial" w:cs="Arial"/>
          <w:sz w:val="20"/>
          <w:szCs w:val="20"/>
        </w:rPr>
        <w:t>en España por año</w:t>
      </w:r>
      <w:r w:rsidR="00E81DF4">
        <w:rPr>
          <w:rFonts w:ascii="Arial" w:eastAsia="Arial" w:hAnsi="Arial" w:cs="Arial"/>
          <w:sz w:val="20"/>
          <w:szCs w:val="20"/>
        </w:rPr>
        <w:t xml:space="preserve">. </w:t>
      </w:r>
      <w:r w:rsidR="007D7664">
        <w:rPr>
          <w:rFonts w:ascii="Arial" w:eastAsia="Arial" w:hAnsi="Arial" w:cs="Arial"/>
          <w:sz w:val="20"/>
          <w:szCs w:val="20"/>
        </w:rPr>
        <w:t xml:space="preserve">Por tanto, teniendo en cuenta el CI de 31.592€ el primer año de tratamiento de avapritinib respecto a midostaurina tendríamos un </w:t>
      </w:r>
      <w:r w:rsidR="007D7664" w:rsidRPr="00D84773">
        <w:rPr>
          <w:rFonts w:ascii="Arial" w:eastAsia="Arial" w:hAnsi="Arial" w:cs="Arial"/>
          <w:b/>
          <w:sz w:val="20"/>
          <w:szCs w:val="20"/>
        </w:rPr>
        <w:t xml:space="preserve">impacto adicional </w:t>
      </w:r>
      <w:r w:rsidR="00D84773">
        <w:rPr>
          <w:rFonts w:ascii="Arial" w:eastAsia="Arial" w:hAnsi="Arial" w:cs="Arial"/>
          <w:b/>
          <w:sz w:val="20"/>
          <w:szCs w:val="20"/>
        </w:rPr>
        <w:t xml:space="preserve">el primer año </w:t>
      </w:r>
      <w:r w:rsidR="007D7664" w:rsidRPr="00D84773">
        <w:rPr>
          <w:rFonts w:ascii="Arial" w:eastAsia="Arial" w:hAnsi="Arial" w:cs="Arial"/>
          <w:b/>
          <w:sz w:val="20"/>
          <w:szCs w:val="20"/>
        </w:rPr>
        <w:t>de 2.527.360 € (gasto total de 31.399.680 €).</w:t>
      </w:r>
      <w:r w:rsidR="007D7664">
        <w:rPr>
          <w:rFonts w:ascii="Arial" w:eastAsia="Arial" w:hAnsi="Arial" w:cs="Arial"/>
          <w:sz w:val="20"/>
          <w:szCs w:val="20"/>
        </w:rPr>
        <w:t xml:space="preserve"> </w:t>
      </w:r>
    </w:p>
    <w:p w:rsidR="00D84773" w:rsidRDefault="00D84773" w:rsidP="00BE4D5B">
      <w:pPr>
        <w:ind w:left="0" w:hanging="2"/>
        <w:jc w:val="both"/>
        <w:rPr>
          <w:rFonts w:ascii="Arial" w:eastAsia="Arial" w:hAnsi="Arial" w:cs="Arial"/>
          <w:sz w:val="20"/>
          <w:szCs w:val="20"/>
        </w:rPr>
      </w:pPr>
    </w:p>
    <w:p w:rsidR="001E29C5" w:rsidRDefault="00E81DF4" w:rsidP="00FA0125">
      <w:pPr>
        <w:ind w:left="0" w:hanging="2"/>
        <w:jc w:val="both"/>
        <w:rPr>
          <w:rFonts w:ascii="Arial" w:eastAsia="Arial" w:hAnsi="Arial" w:cs="Arial"/>
          <w:sz w:val="20"/>
          <w:szCs w:val="20"/>
        </w:rPr>
      </w:pPr>
      <w:r>
        <w:rPr>
          <w:rFonts w:ascii="Arial" w:eastAsia="Arial" w:hAnsi="Arial" w:cs="Arial"/>
          <w:sz w:val="20"/>
          <w:szCs w:val="20"/>
        </w:rPr>
        <w:t>En cualquier caso, estos pacientes deben cumplir los siguientes criterios:</w:t>
      </w:r>
    </w:p>
    <w:p w:rsidR="00E81DF4" w:rsidRDefault="00E81DF4" w:rsidP="00FA0125">
      <w:pPr>
        <w:ind w:left="0" w:hanging="2"/>
        <w:jc w:val="both"/>
        <w:rPr>
          <w:rFonts w:ascii="Arial" w:eastAsia="Arial" w:hAnsi="Arial" w:cs="Arial"/>
          <w:sz w:val="20"/>
          <w:szCs w:val="20"/>
        </w:rPr>
      </w:pPr>
    </w:p>
    <w:p w:rsidR="00E81DF4" w:rsidRDefault="00E81DF4" w:rsidP="00BE4D5B">
      <w:pPr>
        <w:pStyle w:val="Prrafodelista"/>
        <w:numPr>
          <w:ilvl w:val="0"/>
          <w:numId w:val="27"/>
        </w:numPr>
        <w:ind w:leftChars="0" w:firstLineChars="0"/>
        <w:jc w:val="both"/>
        <w:rPr>
          <w:rFonts w:ascii="Arial" w:eastAsia="Arial" w:hAnsi="Arial" w:cs="Arial"/>
          <w:sz w:val="20"/>
          <w:szCs w:val="20"/>
        </w:rPr>
      </w:pPr>
      <w:r>
        <w:rPr>
          <w:rFonts w:ascii="Arial" w:eastAsia="Arial" w:hAnsi="Arial" w:cs="Arial"/>
          <w:sz w:val="20"/>
          <w:szCs w:val="20"/>
        </w:rPr>
        <w:t>Haber recibido una terapia sistémica previa</w:t>
      </w:r>
      <w:r w:rsidR="00BE4D5B">
        <w:rPr>
          <w:rFonts w:ascii="Arial" w:eastAsia="Arial" w:hAnsi="Arial" w:cs="Arial"/>
          <w:sz w:val="20"/>
          <w:szCs w:val="20"/>
        </w:rPr>
        <w:t>.</w:t>
      </w:r>
    </w:p>
    <w:p w:rsidR="00E81DF4" w:rsidRDefault="00E81DF4" w:rsidP="00BE4D5B">
      <w:pPr>
        <w:pStyle w:val="Prrafodelista"/>
        <w:numPr>
          <w:ilvl w:val="0"/>
          <w:numId w:val="27"/>
        </w:numPr>
        <w:ind w:leftChars="0" w:firstLineChars="0"/>
        <w:jc w:val="both"/>
        <w:rPr>
          <w:rFonts w:ascii="Arial" w:eastAsia="Arial" w:hAnsi="Arial" w:cs="Arial"/>
          <w:sz w:val="20"/>
          <w:szCs w:val="20"/>
        </w:rPr>
      </w:pPr>
      <w:r>
        <w:rPr>
          <w:rFonts w:ascii="Arial" w:eastAsia="Arial" w:hAnsi="Arial" w:cs="Arial"/>
          <w:sz w:val="20"/>
          <w:szCs w:val="20"/>
        </w:rPr>
        <w:t xml:space="preserve">Diagnóstico confirmado de MSA. Cumplir con los criterios </w:t>
      </w:r>
      <w:r w:rsidRPr="00E81DF4">
        <w:rPr>
          <w:rFonts w:ascii="Arial" w:eastAsia="Arial" w:hAnsi="Arial" w:cs="Arial"/>
          <w:sz w:val="20"/>
          <w:szCs w:val="20"/>
        </w:rPr>
        <w:t>mIWG-MRT-ECNM</w:t>
      </w:r>
      <w:r w:rsidR="00BE4D5B">
        <w:rPr>
          <w:rFonts w:ascii="Arial" w:eastAsia="Arial" w:hAnsi="Arial" w:cs="Arial"/>
          <w:sz w:val="20"/>
          <w:szCs w:val="20"/>
        </w:rPr>
        <w:t>.</w:t>
      </w:r>
    </w:p>
    <w:p w:rsidR="00E81DF4" w:rsidRDefault="00E81DF4" w:rsidP="00BE4D5B">
      <w:pPr>
        <w:pStyle w:val="Prrafodelista"/>
        <w:numPr>
          <w:ilvl w:val="0"/>
          <w:numId w:val="27"/>
        </w:numPr>
        <w:ind w:leftChars="0" w:firstLineChars="0"/>
        <w:jc w:val="both"/>
        <w:rPr>
          <w:rFonts w:ascii="Arial" w:eastAsia="Arial" w:hAnsi="Arial" w:cs="Arial"/>
          <w:sz w:val="20"/>
          <w:szCs w:val="20"/>
        </w:rPr>
      </w:pPr>
      <w:r>
        <w:rPr>
          <w:rFonts w:ascii="Arial" w:eastAsia="Arial" w:hAnsi="Arial" w:cs="Arial"/>
          <w:sz w:val="20"/>
          <w:szCs w:val="20"/>
        </w:rPr>
        <w:t xml:space="preserve">Cumplir el resto de </w:t>
      </w:r>
      <w:r w:rsidR="00AA08A2">
        <w:rPr>
          <w:rFonts w:ascii="Arial" w:eastAsia="Arial" w:hAnsi="Arial" w:cs="Arial"/>
          <w:sz w:val="20"/>
          <w:szCs w:val="20"/>
        </w:rPr>
        <w:t>los criterios</w:t>
      </w:r>
      <w:r>
        <w:rPr>
          <w:rFonts w:ascii="Arial" w:eastAsia="Arial" w:hAnsi="Arial" w:cs="Arial"/>
          <w:sz w:val="20"/>
          <w:szCs w:val="20"/>
        </w:rPr>
        <w:t xml:space="preserve"> de inclusión establecidos en el estudio </w:t>
      </w:r>
      <w:r w:rsidR="00AA08A2">
        <w:rPr>
          <w:rFonts w:ascii="Arial" w:eastAsia="Arial" w:hAnsi="Arial" w:cs="Arial"/>
          <w:sz w:val="20"/>
          <w:szCs w:val="20"/>
        </w:rPr>
        <w:t>Pathfinder</w:t>
      </w:r>
      <w:r>
        <w:rPr>
          <w:rFonts w:ascii="Arial" w:eastAsia="Arial" w:hAnsi="Arial" w:cs="Arial"/>
          <w:sz w:val="20"/>
          <w:szCs w:val="20"/>
        </w:rPr>
        <w:t>.</w:t>
      </w:r>
    </w:p>
    <w:p w:rsidR="00AA08A2" w:rsidRDefault="00AA08A2" w:rsidP="00AA08A2">
      <w:pPr>
        <w:ind w:leftChars="0" w:left="0" w:firstLineChars="0" w:firstLine="0"/>
        <w:rPr>
          <w:rFonts w:ascii="Arial" w:eastAsia="Arial" w:hAnsi="Arial" w:cs="Arial"/>
          <w:sz w:val="20"/>
          <w:szCs w:val="20"/>
        </w:rPr>
      </w:pPr>
    </w:p>
    <w:p w:rsidR="00FA0125" w:rsidRDefault="00AA08A2" w:rsidP="00FA0125">
      <w:pPr>
        <w:ind w:leftChars="0" w:left="0" w:firstLineChars="0" w:firstLine="0"/>
        <w:rPr>
          <w:rFonts w:ascii="Arial" w:eastAsia="Arial" w:hAnsi="Arial" w:cs="Arial"/>
          <w:sz w:val="20"/>
          <w:szCs w:val="20"/>
        </w:rPr>
      </w:pPr>
      <w:r>
        <w:rPr>
          <w:rFonts w:ascii="Arial" w:eastAsia="Arial" w:hAnsi="Arial" w:cs="Arial"/>
          <w:sz w:val="20"/>
          <w:szCs w:val="20"/>
        </w:rPr>
        <w:t>En el caso particular de la edad, en el estudio se incluían pacien</w:t>
      </w:r>
      <w:r w:rsidR="00100BC2">
        <w:rPr>
          <w:rFonts w:ascii="Arial" w:eastAsia="Arial" w:hAnsi="Arial" w:cs="Arial"/>
          <w:sz w:val="20"/>
          <w:szCs w:val="20"/>
        </w:rPr>
        <w:t xml:space="preserve">tes adultos con un amplio rango </w:t>
      </w:r>
      <w:r>
        <w:rPr>
          <w:rFonts w:ascii="Arial" w:eastAsia="Arial" w:hAnsi="Arial" w:cs="Arial"/>
          <w:sz w:val="20"/>
          <w:szCs w:val="20"/>
        </w:rPr>
        <w:t>de edades.</w:t>
      </w:r>
    </w:p>
    <w:p w:rsidR="00B74082" w:rsidRDefault="00FA0125" w:rsidP="00FA0125">
      <w:pPr>
        <w:ind w:leftChars="0" w:left="0" w:firstLineChars="0" w:firstLine="0"/>
        <w:rPr>
          <w:rFonts w:ascii="Arial" w:eastAsia="Arial" w:hAnsi="Arial" w:cs="Arial"/>
          <w:color w:val="000000"/>
        </w:rPr>
      </w:pPr>
      <w:r>
        <w:rPr>
          <w:rFonts w:ascii="Arial" w:eastAsia="Arial" w:hAnsi="Arial" w:cs="Arial"/>
          <w:color w:val="000000"/>
        </w:rPr>
        <w:t xml:space="preserve"> </w:t>
      </w:r>
    </w:p>
    <w:p w:rsidR="00B74082" w:rsidRDefault="00DA20C8">
      <w:pPr>
        <w:pBdr>
          <w:top w:val="single" w:sz="4" w:space="1" w:color="000000"/>
          <w:left w:val="single" w:sz="4" w:space="4" w:color="000000"/>
          <w:bottom w:val="single" w:sz="4" w:space="1" w:color="000000"/>
          <w:right w:val="single" w:sz="4" w:space="4" w:color="000000"/>
        </w:pBdr>
        <w:shd w:val="clear" w:color="auto" w:fill="D9D9D9"/>
        <w:ind w:left="0" w:hanging="2"/>
        <w:rPr>
          <w:rFonts w:ascii="Arial" w:eastAsia="Arial" w:hAnsi="Arial" w:cs="Arial"/>
        </w:rPr>
      </w:pPr>
      <w:r>
        <w:rPr>
          <w:rFonts w:ascii="Arial" w:eastAsia="Arial" w:hAnsi="Arial" w:cs="Arial"/>
          <w:b/>
          <w:sz w:val="20"/>
          <w:szCs w:val="20"/>
        </w:rPr>
        <w:t>7.5. Propuesta de posicionamiento</w:t>
      </w:r>
    </w:p>
    <w:p w:rsidR="00B74082" w:rsidRDefault="00B74082" w:rsidP="0008624F">
      <w:pPr>
        <w:pBdr>
          <w:top w:val="nil"/>
          <w:left w:val="nil"/>
          <w:bottom w:val="nil"/>
          <w:right w:val="nil"/>
          <w:between w:val="nil"/>
        </w:pBdr>
        <w:tabs>
          <w:tab w:val="center" w:pos="4252"/>
          <w:tab w:val="right" w:pos="8504"/>
        </w:tabs>
        <w:spacing w:line="240" w:lineRule="auto"/>
        <w:ind w:leftChars="0" w:left="0" w:firstLineChars="0" w:firstLine="0"/>
        <w:rPr>
          <w:rFonts w:ascii="Arial" w:eastAsia="Arial" w:hAnsi="Arial" w:cs="Arial"/>
          <w:color w:val="000000"/>
        </w:rPr>
      </w:pPr>
    </w:p>
    <w:p w:rsidR="00B74082" w:rsidRDefault="00DA20C8">
      <w:pPr>
        <w:pBdr>
          <w:top w:val="single" w:sz="4" w:space="1" w:color="000000"/>
          <w:left w:val="single" w:sz="4" w:space="4" w:color="000000"/>
          <w:bottom w:val="single" w:sz="4" w:space="1" w:color="000000"/>
          <w:right w:val="single" w:sz="4" w:space="4" w:color="000000"/>
        </w:pBdr>
        <w:shd w:val="clear" w:color="auto" w:fill="D9D9D9"/>
        <w:ind w:left="0" w:hanging="2"/>
        <w:jc w:val="both"/>
        <w:rPr>
          <w:rFonts w:ascii="Arial" w:eastAsia="Arial" w:hAnsi="Arial" w:cs="Arial"/>
          <w:sz w:val="20"/>
          <w:szCs w:val="20"/>
        </w:rPr>
      </w:pPr>
      <w:r>
        <w:rPr>
          <w:rFonts w:ascii="Arial" w:eastAsia="Arial" w:hAnsi="Arial" w:cs="Arial"/>
          <w:b/>
          <w:sz w:val="20"/>
          <w:szCs w:val="20"/>
        </w:rPr>
        <w:t>7.5.1 Criterios de precio y financiación: Medicamento que presenta un valor terapéutico añadido respecto a la terapia de referencia.</w:t>
      </w:r>
    </w:p>
    <w:p w:rsidR="006D6988" w:rsidRDefault="006D6988" w:rsidP="006D6988">
      <w:pPr>
        <w:ind w:leftChars="0" w:left="0" w:firstLineChars="0" w:firstLine="0"/>
        <w:rPr>
          <w:rFonts w:ascii="Arial" w:eastAsia="Arial" w:hAnsi="Arial" w:cs="Arial"/>
          <w:color w:val="000000"/>
          <w:sz w:val="20"/>
          <w:szCs w:val="20"/>
        </w:rPr>
      </w:pPr>
    </w:p>
    <w:p w:rsidR="00BE4D5B" w:rsidRDefault="006D6988" w:rsidP="00BE4D5B">
      <w:pPr>
        <w:pStyle w:val="Encabezado"/>
        <w:spacing w:after="120"/>
        <w:ind w:leftChars="0" w:left="0" w:firstLineChars="0" w:firstLine="0"/>
        <w:jc w:val="both"/>
        <w:rPr>
          <w:rFonts w:ascii="Arial" w:hAnsi="Arial" w:cs="Arial"/>
          <w:sz w:val="20"/>
          <w:szCs w:val="20"/>
        </w:rPr>
      </w:pPr>
      <w:r>
        <w:rPr>
          <w:rFonts w:ascii="Arial" w:hAnsi="Arial" w:cs="Arial"/>
          <w:sz w:val="20"/>
          <w:szCs w:val="20"/>
        </w:rPr>
        <w:t xml:space="preserve">Avapritinib puede suponer un </w:t>
      </w:r>
      <w:r w:rsidR="00BE4D5B">
        <w:rPr>
          <w:rFonts w:ascii="Arial" w:hAnsi="Arial" w:cs="Arial"/>
          <w:sz w:val="20"/>
          <w:szCs w:val="20"/>
        </w:rPr>
        <w:t xml:space="preserve">cambio en los protocolos terapéuticos </w:t>
      </w:r>
      <w:r>
        <w:rPr>
          <w:rFonts w:ascii="Arial" w:hAnsi="Arial" w:cs="Arial"/>
          <w:sz w:val="20"/>
          <w:szCs w:val="20"/>
        </w:rPr>
        <w:t xml:space="preserve">de la MS, al tratarse de una patología con </w:t>
      </w:r>
      <w:r w:rsidR="00BE4D5B">
        <w:rPr>
          <w:rFonts w:ascii="Arial" w:hAnsi="Arial" w:cs="Arial"/>
          <w:sz w:val="20"/>
          <w:szCs w:val="20"/>
        </w:rPr>
        <w:t>poca</w:t>
      </w:r>
      <w:r>
        <w:rPr>
          <w:rFonts w:ascii="Arial" w:hAnsi="Arial" w:cs="Arial"/>
          <w:sz w:val="20"/>
          <w:szCs w:val="20"/>
        </w:rPr>
        <w:t xml:space="preserve">s </w:t>
      </w:r>
      <w:r w:rsidR="00BE4D5B">
        <w:rPr>
          <w:rFonts w:ascii="Arial" w:hAnsi="Arial" w:cs="Arial"/>
          <w:sz w:val="20"/>
          <w:szCs w:val="20"/>
        </w:rPr>
        <w:t>alternativas</w:t>
      </w:r>
      <w:r>
        <w:rPr>
          <w:rFonts w:ascii="Arial" w:hAnsi="Arial" w:cs="Arial"/>
          <w:sz w:val="20"/>
          <w:szCs w:val="20"/>
        </w:rPr>
        <w:t xml:space="preserve"> disponibles. </w:t>
      </w:r>
    </w:p>
    <w:p w:rsidR="006D6988" w:rsidRDefault="006D6988" w:rsidP="00BE4D5B">
      <w:pPr>
        <w:pStyle w:val="Encabezado"/>
        <w:spacing w:after="120"/>
        <w:ind w:leftChars="0" w:left="0" w:firstLineChars="0" w:firstLine="0"/>
        <w:jc w:val="both"/>
        <w:rPr>
          <w:rFonts w:ascii="Arial" w:hAnsi="Arial" w:cs="Arial"/>
          <w:position w:val="0"/>
          <w:sz w:val="20"/>
          <w:szCs w:val="20"/>
        </w:rPr>
      </w:pPr>
      <w:r>
        <w:rPr>
          <w:rFonts w:ascii="Arial" w:hAnsi="Arial" w:cs="Arial"/>
          <w:sz w:val="20"/>
          <w:szCs w:val="20"/>
        </w:rPr>
        <w:t xml:space="preserve">Sin embargo, dada la </w:t>
      </w:r>
      <w:r w:rsidR="00697205">
        <w:rPr>
          <w:rFonts w:ascii="Arial" w:hAnsi="Arial" w:cs="Arial"/>
          <w:sz w:val="20"/>
          <w:szCs w:val="20"/>
        </w:rPr>
        <w:t>escasa</w:t>
      </w:r>
      <w:r>
        <w:rPr>
          <w:rFonts w:ascii="Arial" w:hAnsi="Arial" w:cs="Arial"/>
          <w:sz w:val="20"/>
          <w:szCs w:val="20"/>
        </w:rPr>
        <w:t xml:space="preserve"> información disponible en cuanto a eficacia (solo estudios fase II) y coste del tratamiento (no se dispone de precio</w:t>
      </w:r>
      <w:r w:rsidR="00BE4D5B">
        <w:rPr>
          <w:rFonts w:ascii="Arial" w:hAnsi="Arial" w:cs="Arial"/>
          <w:sz w:val="20"/>
          <w:szCs w:val="20"/>
        </w:rPr>
        <w:t xml:space="preserve"> en España</w:t>
      </w:r>
      <w:r>
        <w:rPr>
          <w:rFonts w:ascii="Arial" w:hAnsi="Arial" w:cs="Arial"/>
          <w:sz w:val="20"/>
          <w:szCs w:val="20"/>
        </w:rPr>
        <w:t>)</w:t>
      </w:r>
      <w:r w:rsidR="00BC09DD">
        <w:rPr>
          <w:rFonts w:ascii="Arial" w:hAnsi="Arial" w:cs="Arial"/>
          <w:sz w:val="20"/>
          <w:szCs w:val="20"/>
        </w:rPr>
        <w:t xml:space="preserve"> se debe tomar con cautela el posicionamiento del fármaco, a pesar de que parece ser más eficaz que su comparador</w:t>
      </w:r>
      <w:r>
        <w:rPr>
          <w:rFonts w:ascii="Arial" w:hAnsi="Arial" w:cs="Arial"/>
          <w:sz w:val="20"/>
          <w:szCs w:val="20"/>
        </w:rPr>
        <w:t>.</w:t>
      </w:r>
    </w:p>
    <w:p w:rsidR="00B74082" w:rsidRDefault="006D6988" w:rsidP="00BE4D5B">
      <w:pPr>
        <w:ind w:left="0" w:hanging="2"/>
        <w:jc w:val="both"/>
        <w:rPr>
          <w:rFonts w:ascii="Arial" w:eastAsia="Arial" w:hAnsi="Arial" w:cs="Arial"/>
        </w:rPr>
      </w:pPr>
      <w:r>
        <w:rPr>
          <w:rFonts w:ascii="Arial" w:eastAsia="Arial" w:hAnsi="Arial" w:cs="Arial"/>
          <w:color w:val="000000"/>
          <w:sz w:val="20"/>
          <w:szCs w:val="20"/>
        </w:rPr>
        <w:t>En el momento de realización del informe n</w:t>
      </w:r>
      <w:r w:rsidR="00274B6E" w:rsidRPr="00274B6E">
        <w:rPr>
          <w:rFonts w:ascii="Arial" w:eastAsia="Arial" w:hAnsi="Arial" w:cs="Arial"/>
          <w:color w:val="000000"/>
          <w:sz w:val="20"/>
          <w:szCs w:val="20"/>
        </w:rPr>
        <w:t>o se dispone de datos para los AVAC en el caso de avapritinib</w:t>
      </w:r>
      <w:r>
        <w:rPr>
          <w:rFonts w:ascii="Arial" w:eastAsia="Arial" w:hAnsi="Arial" w:cs="Arial"/>
          <w:color w:val="000000"/>
          <w:sz w:val="20"/>
          <w:szCs w:val="20"/>
        </w:rPr>
        <w:t>.</w:t>
      </w:r>
    </w:p>
    <w:p w:rsidR="00B74082" w:rsidRDefault="00B74082">
      <w:pPr>
        <w:ind w:left="0" w:hanging="2"/>
        <w:rPr>
          <w:rFonts w:ascii="Arial" w:eastAsia="Arial" w:hAnsi="Arial" w:cs="Arial"/>
          <w:color w:val="000080"/>
          <w:sz w:val="20"/>
          <w:szCs w:val="20"/>
        </w:rPr>
      </w:pPr>
      <w:bookmarkStart w:id="89" w:name="_heading=h.nmf14n" w:colFirst="0" w:colLast="0"/>
      <w:bookmarkEnd w:id="89"/>
    </w:p>
    <w:tbl>
      <w:tblPr>
        <w:tblStyle w:val="6"/>
        <w:tblW w:w="88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59"/>
      </w:tblGrid>
      <w:tr w:rsidR="00B74082">
        <w:trPr>
          <w:trHeight w:val="228"/>
        </w:trPr>
        <w:tc>
          <w:tcPr>
            <w:tcW w:w="8859" w:type="dxa"/>
            <w:tcBorders>
              <w:top w:val="single" w:sz="4" w:space="0" w:color="000000"/>
              <w:left w:val="single" w:sz="4" w:space="0" w:color="000000"/>
              <w:bottom w:val="single" w:sz="4" w:space="0" w:color="000000"/>
              <w:right w:val="single" w:sz="4" w:space="0" w:color="000000"/>
            </w:tcBorders>
            <w:shd w:val="clear" w:color="auto" w:fill="B3B3B3"/>
          </w:tcPr>
          <w:p w:rsidR="00B74082" w:rsidRDefault="00DA20C8">
            <w:pPr>
              <w:keepNext/>
              <w:pBdr>
                <w:top w:val="nil"/>
                <w:left w:val="nil"/>
                <w:bottom w:val="nil"/>
                <w:right w:val="nil"/>
                <w:between w:val="nil"/>
              </w:pBdr>
              <w:shd w:val="clear" w:color="auto" w:fill="A6A6A6"/>
              <w:spacing w:line="240" w:lineRule="auto"/>
              <w:ind w:left="0" w:hanging="2"/>
              <w:rPr>
                <w:rFonts w:ascii="Arial" w:eastAsia="Arial" w:hAnsi="Arial" w:cs="Arial"/>
                <w:b/>
                <w:color w:val="000000"/>
                <w:sz w:val="20"/>
                <w:szCs w:val="20"/>
              </w:rPr>
            </w:pPr>
            <w:r>
              <w:rPr>
                <w:rFonts w:ascii="Arial" w:eastAsia="Arial" w:hAnsi="Arial" w:cs="Arial"/>
                <w:b/>
                <w:color w:val="000000"/>
                <w:sz w:val="20"/>
                <w:szCs w:val="20"/>
              </w:rPr>
              <w:t xml:space="preserve">8. EVALUACIÓN DE LA CONVENIENCIA. </w:t>
            </w:r>
          </w:p>
        </w:tc>
      </w:tr>
    </w:tbl>
    <w:p w:rsidR="00B74082" w:rsidRDefault="00B74082">
      <w:pPr>
        <w:ind w:left="0" w:hanging="2"/>
        <w:rPr>
          <w:rFonts w:ascii="Arial" w:eastAsia="Arial" w:hAnsi="Arial" w:cs="Arial"/>
          <w:sz w:val="20"/>
          <w:szCs w:val="20"/>
        </w:rPr>
      </w:pPr>
    </w:p>
    <w:p w:rsidR="00B74082" w:rsidRDefault="00B74082">
      <w:pPr>
        <w:ind w:left="0" w:hanging="2"/>
        <w:rPr>
          <w:rFonts w:ascii="Arial" w:eastAsia="Arial" w:hAnsi="Arial" w:cs="Arial"/>
          <w:color w:val="000080"/>
          <w:sz w:val="20"/>
          <w:szCs w:val="20"/>
        </w:rPr>
      </w:pPr>
      <w:bookmarkStart w:id="90" w:name="_heading=h.37m2jsg" w:colFirst="0" w:colLast="0"/>
      <w:bookmarkEnd w:id="90"/>
    </w:p>
    <w:p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8.1 Descripción de la conveniencia</w:t>
      </w:r>
    </w:p>
    <w:p w:rsidR="00B74082" w:rsidRDefault="00B74082">
      <w:pPr>
        <w:shd w:val="clear" w:color="auto" w:fill="FFFFFF"/>
        <w:ind w:left="0" w:hanging="2"/>
        <w:jc w:val="both"/>
        <w:rPr>
          <w:rFonts w:ascii="Arial" w:eastAsia="Arial" w:hAnsi="Arial" w:cs="Arial"/>
          <w:color w:val="000080"/>
          <w:sz w:val="20"/>
          <w:szCs w:val="20"/>
        </w:rPr>
      </w:pPr>
    </w:p>
    <w:p w:rsidR="00BE4D5B" w:rsidRDefault="00BE4D5B" w:rsidP="00BC09DD">
      <w:pPr>
        <w:shd w:val="clear" w:color="auto" w:fill="FFFFFF"/>
        <w:ind w:left="0" w:hanging="2"/>
        <w:jc w:val="both"/>
        <w:rPr>
          <w:rFonts w:ascii="Arial" w:eastAsia="Arial" w:hAnsi="Arial" w:cs="Arial"/>
          <w:color w:val="000000"/>
          <w:sz w:val="20"/>
          <w:szCs w:val="20"/>
        </w:rPr>
      </w:pPr>
      <w:bookmarkStart w:id="91" w:name="_heading=h.1mrcu09" w:colFirst="0" w:colLast="0"/>
      <w:bookmarkEnd w:id="91"/>
    </w:p>
    <w:p w:rsidR="00BC09DD" w:rsidRDefault="00BC09DD" w:rsidP="00BC09DD">
      <w:pPr>
        <w:shd w:val="clear" w:color="auto" w:fill="FFFFFF"/>
        <w:ind w:left="0" w:hanging="2"/>
        <w:jc w:val="both"/>
        <w:rPr>
          <w:rFonts w:ascii="Arial" w:hAnsi="Arial" w:cs="Arial"/>
          <w:sz w:val="20"/>
          <w:szCs w:val="20"/>
        </w:rPr>
      </w:pPr>
      <w:r>
        <w:rPr>
          <w:rFonts w:ascii="Arial" w:hAnsi="Arial" w:cs="Arial"/>
          <w:sz w:val="20"/>
          <w:szCs w:val="20"/>
        </w:rPr>
        <w:t xml:space="preserve">Avapritinib se presenta en forma de comprimidos recubiertos con diferentes presentaciones para </w:t>
      </w:r>
      <w:r w:rsidR="00BE4D5B">
        <w:rPr>
          <w:rFonts w:ascii="Arial" w:hAnsi="Arial" w:cs="Arial"/>
          <w:sz w:val="20"/>
          <w:szCs w:val="20"/>
        </w:rPr>
        <w:t xml:space="preserve">las </w:t>
      </w:r>
      <w:r>
        <w:rPr>
          <w:rFonts w:ascii="Arial" w:hAnsi="Arial" w:cs="Arial"/>
          <w:sz w:val="20"/>
          <w:szCs w:val="20"/>
        </w:rPr>
        <w:t>diferentes dosis, pudiéndose ajustar la posología según el caso particular o toxicidades.</w:t>
      </w:r>
    </w:p>
    <w:p w:rsidR="00BC09DD" w:rsidRDefault="00BC09DD" w:rsidP="00BC09DD">
      <w:pPr>
        <w:shd w:val="clear" w:color="auto" w:fill="FFFFFF"/>
        <w:ind w:left="0" w:hanging="2"/>
        <w:jc w:val="both"/>
        <w:rPr>
          <w:rFonts w:ascii="Arial" w:hAnsi="Arial" w:cs="Arial"/>
          <w:sz w:val="20"/>
          <w:szCs w:val="20"/>
        </w:rPr>
      </w:pPr>
    </w:p>
    <w:p w:rsidR="00BC09DD" w:rsidRDefault="00BC09DD" w:rsidP="00BC09DD">
      <w:pPr>
        <w:shd w:val="clear" w:color="auto" w:fill="FFFFFF"/>
        <w:ind w:left="0" w:hanging="2"/>
        <w:jc w:val="both"/>
        <w:rPr>
          <w:rFonts w:ascii="Arial" w:hAnsi="Arial" w:cs="Arial"/>
          <w:sz w:val="20"/>
          <w:szCs w:val="20"/>
        </w:rPr>
      </w:pPr>
      <w:r>
        <w:rPr>
          <w:rFonts w:ascii="Arial" w:hAnsi="Arial" w:cs="Arial"/>
          <w:sz w:val="20"/>
          <w:szCs w:val="20"/>
        </w:rPr>
        <w:t>La administración oral de avapritinib puede dar lugar a problemas de adherencia al tratamiento como en la mayoría de los tratamientos orales, sobre todo en aquellos pacientes que presenten efectos adversos al mismo</w:t>
      </w:r>
    </w:p>
    <w:p w:rsidR="00BC09DD" w:rsidRDefault="00BC09DD" w:rsidP="00BC09DD">
      <w:pPr>
        <w:shd w:val="clear" w:color="auto" w:fill="FFFFFF"/>
        <w:ind w:left="0" w:hanging="2"/>
        <w:jc w:val="both"/>
        <w:rPr>
          <w:rFonts w:ascii="Arial" w:hAnsi="Arial" w:cs="Arial"/>
          <w:sz w:val="20"/>
          <w:szCs w:val="20"/>
        </w:rPr>
      </w:pPr>
    </w:p>
    <w:p w:rsidR="00BC09DD" w:rsidRDefault="00BC09DD" w:rsidP="00BC09DD">
      <w:pPr>
        <w:shd w:val="clear" w:color="auto" w:fill="FFFFFF"/>
        <w:ind w:left="0" w:hanging="2"/>
        <w:jc w:val="both"/>
        <w:rPr>
          <w:rFonts w:ascii="Arial" w:eastAsia="Arial" w:hAnsi="Arial" w:cs="Arial"/>
          <w:color w:val="000080"/>
          <w:sz w:val="20"/>
          <w:szCs w:val="20"/>
        </w:rPr>
      </w:pPr>
      <w:r>
        <w:rPr>
          <w:rFonts w:ascii="Arial" w:hAnsi="Arial" w:cs="Arial"/>
          <w:sz w:val="20"/>
          <w:szCs w:val="20"/>
        </w:rPr>
        <w:t>Deben realizarse los recuentos plaquetarios previos y tras la instauración del tratamiento con avapritinib descritos en ficha técnica</w:t>
      </w:r>
      <w:sdt>
        <w:sdtPr>
          <w:rPr>
            <w:rFonts w:ascii="Arial" w:hAnsi="Arial" w:cs="Arial"/>
            <w:sz w:val="20"/>
            <w:szCs w:val="20"/>
            <w:vertAlign w:val="superscript"/>
          </w:rPr>
          <w:id w:val="562838956"/>
          <w:citation/>
        </w:sdtPr>
        <w:sdtEndPr/>
        <w:sdtContent>
          <w:r w:rsidR="00743E44" w:rsidRPr="00D8772B">
            <w:rPr>
              <w:rFonts w:ascii="Arial" w:hAnsi="Arial" w:cs="Arial"/>
              <w:sz w:val="20"/>
              <w:szCs w:val="20"/>
              <w:vertAlign w:val="superscript"/>
            </w:rPr>
            <w:fldChar w:fldCharType="begin"/>
          </w:r>
          <w:r w:rsidRPr="00D8772B">
            <w:rPr>
              <w:rFonts w:ascii="Arial" w:hAnsi="Arial" w:cs="Arial"/>
              <w:sz w:val="20"/>
              <w:szCs w:val="20"/>
              <w:vertAlign w:val="superscript"/>
            </w:rPr>
            <w:instrText xml:space="preserve"> CITATION EPAR \l 3082 </w:instrText>
          </w:r>
          <w:r w:rsidR="00743E44" w:rsidRPr="00D8772B">
            <w:rPr>
              <w:rFonts w:ascii="Arial" w:hAnsi="Arial" w:cs="Arial"/>
              <w:sz w:val="20"/>
              <w:szCs w:val="20"/>
              <w:vertAlign w:val="superscript"/>
            </w:rPr>
            <w:fldChar w:fldCharType="separate"/>
          </w:r>
          <w:r w:rsidR="00C560F5">
            <w:rPr>
              <w:rFonts w:ascii="Arial" w:hAnsi="Arial" w:cs="Arial"/>
              <w:noProof/>
              <w:sz w:val="20"/>
              <w:szCs w:val="20"/>
              <w:vertAlign w:val="superscript"/>
            </w:rPr>
            <w:t xml:space="preserve"> </w:t>
          </w:r>
          <w:r w:rsidR="00C560F5" w:rsidRPr="00C560F5">
            <w:rPr>
              <w:rFonts w:ascii="Arial" w:hAnsi="Arial" w:cs="Arial"/>
              <w:noProof/>
              <w:sz w:val="20"/>
              <w:szCs w:val="20"/>
            </w:rPr>
            <w:t>(2)</w:t>
          </w:r>
          <w:r w:rsidR="00743E44" w:rsidRPr="00D8772B">
            <w:rPr>
              <w:rFonts w:ascii="Arial" w:hAnsi="Arial" w:cs="Arial"/>
              <w:sz w:val="20"/>
              <w:szCs w:val="20"/>
              <w:vertAlign w:val="superscript"/>
            </w:rPr>
            <w:fldChar w:fldCharType="end"/>
          </w:r>
        </w:sdtContent>
      </w:sdt>
      <w:r>
        <w:rPr>
          <w:rFonts w:ascii="Arial" w:hAnsi="Arial" w:cs="Arial"/>
          <w:sz w:val="20"/>
          <w:szCs w:val="20"/>
        </w:rPr>
        <w:t xml:space="preserve">. </w:t>
      </w:r>
    </w:p>
    <w:p w:rsidR="00B74082" w:rsidRDefault="00B74082">
      <w:pPr>
        <w:ind w:left="0" w:hanging="2"/>
        <w:rPr>
          <w:rFonts w:ascii="Arial" w:eastAsia="Arial" w:hAnsi="Arial" w:cs="Arial"/>
          <w:color w:val="000080"/>
          <w:sz w:val="20"/>
          <w:szCs w:val="20"/>
        </w:rPr>
      </w:pPr>
    </w:p>
    <w:p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8.2 Influencia de la conveniencia en la efectividad del tratamiento</w:t>
      </w:r>
    </w:p>
    <w:p w:rsidR="00B74082" w:rsidRDefault="00B74082">
      <w:pPr>
        <w:shd w:val="clear" w:color="auto" w:fill="FFFFFF"/>
        <w:ind w:left="0" w:hanging="2"/>
        <w:jc w:val="both"/>
        <w:rPr>
          <w:rFonts w:ascii="Arial" w:eastAsia="Arial" w:hAnsi="Arial" w:cs="Arial"/>
          <w:color w:val="000080"/>
          <w:sz w:val="20"/>
          <w:szCs w:val="20"/>
        </w:rPr>
      </w:pPr>
    </w:p>
    <w:p w:rsidR="00BE4D5B" w:rsidRDefault="00D81CBA" w:rsidP="00BC09DD">
      <w:pPr>
        <w:shd w:val="clear" w:color="auto" w:fill="FFFFFF"/>
        <w:ind w:left="0" w:hanging="2"/>
        <w:jc w:val="both"/>
        <w:rPr>
          <w:rFonts w:ascii="Arial" w:hAnsi="Arial" w:cs="Arial"/>
          <w:sz w:val="20"/>
          <w:szCs w:val="20"/>
        </w:rPr>
      </w:pPr>
      <w:r w:rsidRPr="00BC09DD">
        <w:rPr>
          <w:rFonts w:ascii="Arial" w:hAnsi="Arial" w:cs="Arial"/>
          <w:sz w:val="20"/>
          <w:szCs w:val="20"/>
        </w:rPr>
        <w:t xml:space="preserve">En general, la vía oral tiene mayor aceptación por parte de los pacientes. </w:t>
      </w:r>
    </w:p>
    <w:p w:rsidR="00BE4D5B" w:rsidRDefault="00BE4D5B" w:rsidP="00BC09DD">
      <w:pPr>
        <w:shd w:val="clear" w:color="auto" w:fill="FFFFFF"/>
        <w:ind w:left="0" w:hanging="2"/>
        <w:jc w:val="both"/>
        <w:rPr>
          <w:rFonts w:ascii="Arial" w:hAnsi="Arial" w:cs="Arial"/>
          <w:sz w:val="20"/>
          <w:szCs w:val="20"/>
        </w:rPr>
      </w:pPr>
    </w:p>
    <w:p w:rsidR="00BE4D5B" w:rsidRDefault="00D81CBA" w:rsidP="00BC09DD">
      <w:pPr>
        <w:shd w:val="clear" w:color="auto" w:fill="FFFFFF"/>
        <w:ind w:left="0" w:hanging="2"/>
        <w:jc w:val="both"/>
        <w:rPr>
          <w:rFonts w:ascii="Arial" w:hAnsi="Arial" w:cs="Arial"/>
          <w:sz w:val="20"/>
          <w:szCs w:val="20"/>
        </w:rPr>
      </w:pPr>
      <w:r w:rsidRPr="00BC09DD">
        <w:rPr>
          <w:rFonts w:ascii="Arial" w:hAnsi="Arial" w:cs="Arial"/>
          <w:sz w:val="20"/>
          <w:szCs w:val="20"/>
        </w:rPr>
        <w:t xml:space="preserve">Sin embargo, </w:t>
      </w:r>
      <w:r w:rsidR="006D6988" w:rsidRPr="00BC09DD">
        <w:rPr>
          <w:rFonts w:ascii="Arial" w:hAnsi="Arial" w:cs="Arial"/>
          <w:sz w:val="20"/>
          <w:szCs w:val="20"/>
        </w:rPr>
        <w:t xml:space="preserve">no parece existir evidencia suficiente como para afirmar si alguna de las dos vías puede conllevar una mayor efectividad al tener en cuenta factores como la adherencia al tratamiento. </w:t>
      </w:r>
    </w:p>
    <w:p w:rsidR="00BE4D5B" w:rsidRDefault="00BE4D5B" w:rsidP="00BC09DD">
      <w:pPr>
        <w:shd w:val="clear" w:color="auto" w:fill="FFFFFF"/>
        <w:ind w:left="0" w:hanging="2"/>
        <w:jc w:val="both"/>
        <w:rPr>
          <w:rFonts w:ascii="Arial" w:hAnsi="Arial" w:cs="Arial"/>
          <w:sz w:val="20"/>
          <w:szCs w:val="20"/>
        </w:rPr>
      </w:pPr>
    </w:p>
    <w:p w:rsidR="00BC09DD" w:rsidRPr="00BC09DD" w:rsidRDefault="00BC09DD" w:rsidP="00BC09DD">
      <w:pPr>
        <w:shd w:val="clear" w:color="auto" w:fill="FFFFFF"/>
        <w:ind w:left="0" w:hanging="2"/>
        <w:jc w:val="both"/>
        <w:rPr>
          <w:rFonts w:ascii="Arial" w:hAnsi="Arial" w:cs="Arial"/>
          <w:sz w:val="20"/>
          <w:szCs w:val="20"/>
        </w:rPr>
      </w:pPr>
      <w:r>
        <w:rPr>
          <w:rFonts w:ascii="Arial" w:hAnsi="Arial" w:cs="Arial"/>
          <w:sz w:val="20"/>
          <w:szCs w:val="20"/>
        </w:rPr>
        <w:lastRenderedPageBreak/>
        <w:t xml:space="preserve">Se debe monitorizar la adherencia del paciente al tratamiento, además de realizar un estudio de </w:t>
      </w:r>
      <w:r w:rsidR="00BE4D5B">
        <w:rPr>
          <w:rFonts w:ascii="Arial" w:hAnsi="Arial" w:cs="Arial"/>
          <w:sz w:val="20"/>
          <w:szCs w:val="20"/>
        </w:rPr>
        <w:t xml:space="preserve">potenciales </w:t>
      </w:r>
      <w:r>
        <w:rPr>
          <w:rFonts w:ascii="Arial" w:hAnsi="Arial" w:cs="Arial"/>
          <w:sz w:val="20"/>
          <w:szCs w:val="20"/>
        </w:rPr>
        <w:t xml:space="preserve">interacciones con </w:t>
      </w:r>
      <w:r w:rsidR="00BE4D5B">
        <w:rPr>
          <w:rFonts w:ascii="Arial" w:hAnsi="Arial" w:cs="Arial"/>
          <w:sz w:val="20"/>
          <w:szCs w:val="20"/>
        </w:rPr>
        <w:t>la</w:t>
      </w:r>
      <w:r>
        <w:rPr>
          <w:rFonts w:ascii="Arial" w:hAnsi="Arial" w:cs="Arial"/>
          <w:sz w:val="20"/>
          <w:szCs w:val="20"/>
        </w:rPr>
        <w:t xml:space="preserve"> medicación </w:t>
      </w:r>
      <w:r w:rsidR="00BE4D5B">
        <w:rPr>
          <w:rFonts w:ascii="Arial" w:hAnsi="Arial" w:cs="Arial"/>
          <w:sz w:val="20"/>
          <w:szCs w:val="20"/>
        </w:rPr>
        <w:t xml:space="preserve">concomitante </w:t>
      </w:r>
      <w:r>
        <w:rPr>
          <w:rFonts w:ascii="Arial" w:hAnsi="Arial" w:cs="Arial"/>
          <w:sz w:val="20"/>
          <w:szCs w:val="20"/>
        </w:rPr>
        <w:t>que tome el paciente.</w:t>
      </w:r>
    </w:p>
    <w:p w:rsidR="00B74082" w:rsidRDefault="00B74082" w:rsidP="00BC09DD">
      <w:pPr>
        <w:ind w:leftChars="0" w:left="0" w:firstLineChars="0" w:firstLine="0"/>
        <w:rPr>
          <w:rFonts w:ascii="Arial" w:eastAsia="Arial" w:hAnsi="Arial" w:cs="Arial"/>
          <w:color w:val="FF0000"/>
          <w:sz w:val="20"/>
          <w:szCs w:val="20"/>
        </w:rPr>
      </w:pPr>
      <w:bookmarkStart w:id="92" w:name="_heading=h.46r0co2" w:colFirst="0" w:colLast="0"/>
      <w:bookmarkEnd w:id="92"/>
    </w:p>
    <w:p w:rsidR="00BE4D5B" w:rsidRDefault="00BE4D5B" w:rsidP="00BC09DD">
      <w:pPr>
        <w:ind w:leftChars="0" w:left="0" w:firstLineChars="0" w:firstLine="0"/>
        <w:rPr>
          <w:rFonts w:ascii="Arial" w:eastAsia="Arial" w:hAnsi="Arial" w:cs="Arial"/>
          <w:color w:val="FF0000"/>
          <w:sz w:val="20"/>
          <w:szCs w:val="20"/>
        </w:rPr>
      </w:pPr>
    </w:p>
    <w:p w:rsidR="00BE4D5B" w:rsidRDefault="00BE4D5B" w:rsidP="00BC09DD">
      <w:pPr>
        <w:ind w:leftChars="0" w:left="0" w:firstLineChars="0" w:firstLine="0"/>
        <w:rPr>
          <w:rFonts w:ascii="Arial" w:eastAsia="Arial" w:hAnsi="Arial" w:cs="Arial"/>
          <w:color w:val="FF0000"/>
          <w:sz w:val="20"/>
          <w:szCs w:val="20"/>
        </w:rPr>
      </w:pPr>
    </w:p>
    <w:tbl>
      <w:tblPr>
        <w:tblStyle w:val="5"/>
        <w:tblW w:w="88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90"/>
      </w:tblGrid>
      <w:tr w:rsidR="00B74082">
        <w:tc>
          <w:tcPr>
            <w:tcW w:w="8890" w:type="dxa"/>
            <w:tcBorders>
              <w:top w:val="single" w:sz="4" w:space="0" w:color="000000"/>
              <w:left w:val="single" w:sz="4" w:space="0" w:color="000000"/>
              <w:bottom w:val="single" w:sz="4" w:space="0" w:color="000000"/>
              <w:right w:val="single" w:sz="4" w:space="0" w:color="000000"/>
            </w:tcBorders>
            <w:shd w:val="clear" w:color="auto" w:fill="B3B3B3"/>
          </w:tcPr>
          <w:p w:rsidR="00B74082" w:rsidRDefault="00DA20C8">
            <w:pPr>
              <w:keepNext/>
              <w:pBdr>
                <w:top w:val="nil"/>
                <w:left w:val="nil"/>
                <w:bottom w:val="nil"/>
                <w:right w:val="nil"/>
                <w:between w:val="nil"/>
              </w:pBdr>
              <w:shd w:val="clear" w:color="auto" w:fill="A6A6A6"/>
              <w:spacing w:line="240" w:lineRule="auto"/>
              <w:ind w:left="0" w:hanging="2"/>
              <w:rPr>
                <w:rFonts w:ascii="Arial" w:eastAsia="Arial" w:hAnsi="Arial" w:cs="Arial"/>
                <w:b/>
                <w:color w:val="000000"/>
                <w:sz w:val="20"/>
                <w:szCs w:val="20"/>
              </w:rPr>
            </w:pPr>
            <w:r>
              <w:rPr>
                <w:rFonts w:ascii="Arial" w:eastAsia="Arial" w:hAnsi="Arial" w:cs="Arial"/>
                <w:b/>
                <w:color w:val="000000"/>
                <w:sz w:val="20"/>
                <w:szCs w:val="20"/>
              </w:rPr>
              <w:t>9. AREA DE CONCLUSIONES.</w:t>
            </w:r>
          </w:p>
        </w:tc>
      </w:tr>
    </w:tbl>
    <w:p w:rsidR="00B74082" w:rsidRDefault="00B74082">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rPr>
      </w:pPr>
      <w:bookmarkStart w:id="93" w:name="_heading=h.2lwamvv" w:colFirst="0" w:colLast="0"/>
      <w:bookmarkEnd w:id="93"/>
    </w:p>
    <w:p w:rsidR="00B74082" w:rsidRPr="00C82EE4" w:rsidRDefault="00DA20C8" w:rsidP="00C82EE4">
      <w:pPr>
        <w:pStyle w:val="Prrafodelista"/>
        <w:keepNext/>
        <w:numPr>
          <w:ilvl w:val="1"/>
          <w:numId w:val="22"/>
        </w:numPr>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Chars="0" w:firstLineChars="0"/>
        <w:jc w:val="both"/>
        <w:rPr>
          <w:rFonts w:ascii="Cambria" w:eastAsia="Cambria" w:hAnsi="Cambria" w:cs="Cambria"/>
          <w:b/>
          <w:i/>
          <w:color w:val="000000"/>
          <w:sz w:val="20"/>
          <w:szCs w:val="20"/>
        </w:rPr>
      </w:pPr>
      <w:r w:rsidRPr="00C82EE4">
        <w:rPr>
          <w:rFonts w:ascii="Cambria" w:eastAsia="Cambria" w:hAnsi="Cambria" w:cs="Cambria"/>
          <w:b/>
          <w:i/>
          <w:color w:val="000000"/>
          <w:sz w:val="20"/>
          <w:szCs w:val="20"/>
        </w:rPr>
        <w:t>Resumen de los aspectos más significativos respecto a la alternativa y propuestas</w:t>
      </w:r>
    </w:p>
    <w:p w:rsidR="00B74082" w:rsidRDefault="00B74082">
      <w:pPr>
        <w:ind w:left="0" w:hanging="2"/>
        <w:jc w:val="both"/>
        <w:rPr>
          <w:rFonts w:ascii="Arial" w:eastAsia="Arial" w:hAnsi="Arial" w:cs="Arial"/>
          <w:sz w:val="20"/>
          <w:szCs w:val="20"/>
        </w:rPr>
      </w:pPr>
    </w:p>
    <w:p w:rsidR="00BE4D5B" w:rsidRDefault="00833DFD" w:rsidP="00833DFD">
      <w:pPr>
        <w:pBdr>
          <w:top w:val="nil"/>
          <w:left w:val="nil"/>
          <w:bottom w:val="nil"/>
          <w:right w:val="nil"/>
          <w:between w:val="nil"/>
        </w:pBdr>
        <w:spacing w:line="240" w:lineRule="auto"/>
        <w:ind w:leftChars="0" w:left="0" w:firstLineChars="0" w:hanging="2"/>
        <w:jc w:val="both"/>
        <w:rPr>
          <w:rFonts w:ascii="Arial" w:hAnsi="Arial" w:cs="Arial"/>
          <w:b/>
          <w:sz w:val="20"/>
          <w:szCs w:val="20"/>
        </w:rPr>
      </w:pPr>
      <w:r w:rsidRPr="00833DFD">
        <w:rPr>
          <w:rFonts w:ascii="Arial" w:hAnsi="Arial" w:cs="Arial"/>
          <w:b/>
          <w:sz w:val="20"/>
          <w:szCs w:val="20"/>
        </w:rPr>
        <w:t>EFICACIA</w:t>
      </w:r>
      <w:r w:rsidR="00BE4D5B">
        <w:rPr>
          <w:rFonts w:ascii="Arial" w:hAnsi="Arial" w:cs="Arial"/>
          <w:b/>
          <w:sz w:val="20"/>
          <w:szCs w:val="20"/>
        </w:rPr>
        <w:t xml:space="preserve">: </w:t>
      </w:r>
    </w:p>
    <w:p w:rsidR="00C82EE4" w:rsidRPr="00833DFD" w:rsidRDefault="00B032A8" w:rsidP="00833DFD">
      <w:pPr>
        <w:pBdr>
          <w:top w:val="nil"/>
          <w:left w:val="nil"/>
          <w:bottom w:val="nil"/>
          <w:right w:val="nil"/>
          <w:between w:val="nil"/>
        </w:pBdr>
        <w:spacing w:line="240" w:lineRule="auto"/>
        <w:ind w:leftChars="0" w:left="0" w:firstLineChars="0" w:hanging="2"/>
        <w:jc w:val="both"/>
        <w:rPr>
          <w:rFonts w:ascii="Arial" w:hAnsi="Arial" w:cs="Arial"/>
          <w:b/>
          <w:sz w:val="20"/>
          <w:szCs w:val="20"/>
        </w:rPr>
      </w:pPr>
      <w:r w:rsidRPr="00833DFD">
        <w:rPr>
          <w:rFonts w:ascii="Arial" w:hAnsi="Arial" w:cs="Arial"/>
          <w:b/>
          <w:sz w:val="20"/>
          <w:szCs w:val="20"/>
        </w:rPr>
        <w:t xml:space="preserve"> </w:t>
      </w:r>
    </w:p>
    <w:p w:rsidR="00C82EE4" w:rsidRPr="00833DFD" w:rsidRDefault="00C82EE4" w:rsidP="00833DFD">
      <w:pPr>
        <w:pStyle w:val="Prrafodelista"/>
        <w:numPr>
          <w:ilvl w:val="0"/>
          <w:numId w:val="21"/>
        </w:numPr>
        <w:pBdr>
          <w:top w:val="nil"/>
          <w:left w:val="nil"/>
          <w:bottom w:val="nil"/>
          <w:right w:val="nil"/>
          <w:between w:val="nil"/>
        </w:pBdr>
        <w:spacing w:line="240" w:lineRule="auto"/>
        <w:ind w:leftChars="0" w:firstLineChars="0"/>
        <w:jc w:val="both"/>
        <w:rPr>
          <w:rFonts w:ascii="Arial" w:eastAsia="Arial" w:hAnsi="Arial" w:cs="Arial"/>
          <w:color w:val="000000" w:themeColor="text1"/>
          <w:sz w:val="20"/>
          <w:szCs w:val="20"/>
        </w:rPr>
      </w:pPr>
      <w:r w:rsidRPr="00C82EE4">
        <w:rPr>
          <w:rFonts w:ascii="Arial" w:eastAsia="Arial" w:hAnsi="Arial" w:cs="Arial"/>
          <w:color w:val="000000" w:themeColor="text1"/>
          <w:sz w:val="20"/>
          <w:szCs w:val="20"/>
        </w:rPr>
        <w:t xml:space="preserve">Disponemos del estudio fase II </w:t>
      </w:r>
      <w:r w:rsidR="00697205" w:rsidRPr="00C82EE4">
        <w:rPr>
          <w:rFonts w:ascii="Arial" w:eastAsia="Arial" w:hAnsi="Arial" w:cs="Arial"/>
          <w:color w:val="000000" w:themeColor="text1"/>
          <w:sz w:val="20"/>
          <w:szCs w:val="20"/>
        </w:rPr>
        <w:t>PATHFINDER</w:t>
      </w:r>
      <w:r w:rsidRPr="00C82EE4">
        <w:rPr>
          <w:rFonts w:ascii="Arial" w:eastAsia="Arial" w:hAnsi="Arial" w:cs="Arial"/>
          <w:color w:val="000000" w:themeColor="text1"/>
          <w:sz w:val="20"/>
          <w:szCs w:val="20"/>
        </w:rPr>
        <w:t xml:space="preserve">, de un solo brazo. </w:t>
      </w:r>
      <w:r w:rsidR="00067522">
        <w:rPr>
          <w:rFonts w:ascii="Arial" w:eastAsia="Arial" w:hAnsi="Arial" w:cs="Arial"/>
          <w:color w:val="000000" w:themeColor="text1"/>
          <w:sz w:val="20"/>
          <w:szCs w:val="20"/>
        </w:rPr>
        <w:t>Para poder realizar una evaluación completa se</w:t>
      </w:r>
      <w:r w:rsidRPr="00C82EE4">
        <w:rPr>
          <w:rFonts w:ascii="Arial" w:eastAsia="Arial" w:hAnsi="Arial" w:cs="Arial"/>
          <w:color w:val="000000" w:themeColor="text1"/>
          <w:sz w:val="20"/>
          <w:szCs w:val="20"/>
        </w:rPr>
        <w:t xml:space="preserve"> hubiera </w:t>
      </w:r>
      <w:r w:rsidR="00067522">
        <w:rPr>
          <w:rFonts w:ascii="Arial" w:eastAsia="Arial" w:hAnsi="Arial" w:cs="Arial"/>
          <w:color w:val="000000" w:themeColor="text1"/>
          <w:sz w:val="20"/>
          <w:szCs w:val="20"/>
        </w:rPr>
        <w:t>requerido</w:t>
      </w:r>
      <w:r w:rsidRPr="00C82EE4">
        <w:rPr>
          <w:rFonts w:ascii="Arial" w:eastAsia="Arial" w:hAnsi="Arial" w:cs="Arial"/>
          <w:color w:val="000000" w:themeColor="text1"/>
          <w:sz w:val="20"/>
          <w:szCs w:val="20"/>
        </w:rPr>
        <w:t xml:space="preserve"> dispone</w:t>
      </w:r>
      <w:r w:rsidR="00067522">
        <w:rPr>
          <w:rFonts w:ascii="Arial" w:eastAsia="Arial" w:hAnsi="Arial" w:cs="Arial"/>
          <w:color w:val="000000" w:themeColor="text1"/>
          <w:sz w:val="20"/>
          <w:szCs w:val="20"/>
        </w:rPr>
        <w:t>r de un estudio en fase III con</w:t>
      </w:r>
      <w:r w:rsidRPr="00C82EE4">
        <w:rPr>
          <w:rFonts w:ascii="Arial" w:eastAsia="Arial" w:hAnsi="Arial" w:cs="Arial"/>
          <w:color w:val="000000" w:themeColor="text1"/>
          <w:sz w:val="20"/>
          <w:szCs w:val="20"/>
        </w:rPr>
        <w:t xml:space="preserve"> comparador, idealmente midostaurina. Sin embargo, dado que estamos ante una enfermedad huérfana</w:t>
      </w:r>
      <w:r w:rsidR="00702E95">
        <w:rPr>
          <w:rFonts w:ascii="Arial" w:eastAsia="Arial" w:hAnsi="Arial" w:cs="Arial"/>
          <w:color w:val="000000" w:themeColor="text1"/>
          <w:sz w:val="20"/>
          <w:szCs w:val="20"/>
        </w:rPr>
        <w:t xml:space="preserve"> con escasos tratamientos disponibles y</w:t>
      </w:r>
      <w:r w:rsidRPr="00C82EE4">
        <w:rPr>
          <w:rFonts w:ascii="Arial" w:eastAsia="Arial" w:hAnsi="Arial" w:cs="Arial"/>
          <w:color w:val="000000" w:themeColor="text1"/>
          <w:sz w:val="20"/>
          <w:szCs w:val="20"/>
        </w:rPr>
        <w:t xml:space="preserve"> el potencial beneficio de una nueva terapia</w:t>
      </w:r>
      <w:r w:rsidR="00702E95">
        <w:rPr>
          <w:rFonts w:ascii="Arial" w:eastAsia="Arial" w:hAnsi="Arial" w:cs="Arial"/>
          <w:color w:val="000000" w:themeColor="text1"/>
          <w:sz w:val="20"/>
          <w:szCs w:val="20"/>
        </w:rPr>
        <w:t>, este hecho no parece limitante</w:t>
      </w:r>
      <w:r w:rsidRPr="00C82EE4">
        <w:rPr>
          <w:rFonts w:ascii="Arial" w:eastAsia="Arial" w:hAnsi="Arial" w:cs="Arial"/>
          <w:color w:val="000000" w:themeColor="text1"/>
          <w:sz w:val="20"/>
          <w:szCs w:val="20"/>
        </w:rPr>
        <w:t xml:space="preserve">. </w:t>
      </w:r>
    </w:p>
    <w:p w:rsidR="00C82EE4" w:rsidRPr="00833DFD" w:rsidRDefault="00ED6FC6" w:rsidP="00833DFD">
      <w:pPr>
        <w:pStyle w:val="Prrafodelista"/>
        <w:numPr>
          <w:ilvl w:val="0"/>
          <w:numId w:val="21"/>
        </w:numPr>
        <w:pBdr>
          <w:top w:val="nil"/>
          <w:left w:val="nil"/>
          <w:bottom w:val="nil"/>
          <w:right w:val="nil"/>
          <w:between w:val="nil"/>
        </w:pBdr>
        <w:spacing w:line="240" w:lineRule="auto"/>
        <w:ind w:leftChars="0" w:firstLineChars="0"/>
        <w:jc w:val="both"/>
        <w:rPr>
          <w:rFonts w:ascii="Arial" w:eastAsia="Arial" w:hAnsi="Arial" w:cs="Arial"/>
          <w:color w:val="000000" w:themeColor="text1"/>
          <w:sz w:val="20"/>
          <w:szCs w:val="20"/>
        </w:rPr>
      </w:pPr>
      <w:r w:rsidRPr="00833DFD">
        <w:rPr>
          <w:rFonts w:ascii="Arial" w:eastAsia="Arial" w:hAnsi="Arial" w:cs="Arial"/>
          <w:color w:val="000000" w:themeColor="text1"/>
          <w:sz w:val="20"/>
          <w:szCs w:val="20"/>
        </w:rPr>
        <w:t>La evaluación de la variable primaria de eficacia</w:t>
      </w:r>
      <w:r w:rsidR="00833DFD" w:rsidRPr="00833DFD">
        <w:rPr>
          <w:rFonts w:ascii="Arial" w:eastAsia="Arial" w:hAnsi="Arial" w:cs="Arial"/>
          <w:color w:val="000000" w:themeColor="text1"/>
          <w:sz w:val="20"/>
          <w:szCs w:val="20"/>
        </w:rPr>
        <w:t xml:space="preserve"> TRG</w:t>
      </w:r>
      <w:r w:rsidRPr="00833DFD">
        <w:rPr>
          <w:rFonts w:ascii="Arial" w:eastAsia="Arial" w:hAnsi="Arial" w:cs="Arial"/>
          <w:color w:val="000000" w:themeColor="text1"/>
          <w:sz w:val="20"/>
          <w:szCs w:val="20"/>
        </w:rPr>
        <w:t xml:space="preserve"> se basa en un total de 47 pacientes evaluables de acuerdo con los criterios IWG-MRT-ECNM de respuesta, que habían recibido al menos una terapia sistémica previa y que comenzaron el estudio con la dosis de avapritinib de 200 mg, y de los cuales un 78.7% había recibido previamente midostaurina, un 17% cladribina, un 14.9% IFN-alfa, un 10.6% hidroxic</w:t>
      </w:r>
      <w:r w:rsidR="00833DFD" w:rsidRPr="00833DFD">
        <w:rPr>
          <w:rFonts w:ascii="Arial" w:eastAsia="Arial" w:hAnsi="Arial" w:cs="Arial"/>
          <w:color w:val="000000" w:themeColor="text1"/>
          <w:sz w:val="20"/>
          <w:szCs w:val="20"/>
        </w:rPr>
        <w:t>arbamida y un 6.4% azacitidina. Los resultados en TRG a las 12 semanas fueron 5 para MSA (62</w:t>
      </w:r>
      <w:r w:rsidR="00D8772B">
        <w:rPr>
          <w:rFonts w:ascii="Arial" w:eastAsia="Arial" w:hAnsi="Arial" w:cs="Arial"/>
          <w:color w:val="000000" w:themeColor="text1"/>
          <w:sz w:val="20"/>
          <w:szCs w:val="20"/>
        </w:rPr>
        <w:t>,</w:t>
      </w:r>
      <w:r w:rsidR="00833DFD" w:rsidRPr="00833DFD">
        <w:rPr>
          <w:rFonts w:ascii="Arial" w:eastAsia="Arial" w:hAnsi="Arial" w:cs="Arial"/>
          <w:color w:val="000000" w:themeColor="text1"/>
          <w:sz w:val="20"/>
          <w:szCs w:val="20"/>
        </w:rPr>
        <w:t>5%), 19 MS-AHN (65</w:t>
      </w:r>
      <w:r w:rsidR="00D8772B">
        <w:rPr>
          <w:rFonts w:ascii="Arial" w:eastAsia="Arial" w:hAnsi="Arial" w:cs="Arial"/>
          <w:color w:val="000000" w:themeColor="text1"/>
          <w:sz w:val="20"/>
          <w:szCs w:val="20"/>
        </w:rPr>
        <w:t>,</w:t>
      </w:r>
      <w:r w:rsidR="00833DFD" w:rsidRPr="00833DFD">
        <w:rPr>
          <w:rFonts w:ascii="Arial" w:eastAsia="Arial" w:hAnsi="Arial" w:cs="Arial"/>
          <w:color w:val="000000" w:themeColor="text1"/>
          <w:sz w:val="20"/>
          <w:szCs w:val="20"/>
        </w:rPr>
        <w:t>5%) y 4 para LM (40%).</w:t>
      </w:r>
    </w:p>
    <w:p w:rsidR="00833DFD" w:rsidRPr="00833DFD" w:rsidRDefault="00833DFD" w:rsidP="00833DFD">
      <w:pPr>
        <w:pStyle w:val="Prrafodelista"/>
        <w:numPr>
          <w:ilvl w:val="0"/>
          <w:numId w:val="21"/>
        </w:numPr>
        <w:pBdr>
          <w:top w:val="nil"/>
          <w:left w:val="nil"/>
          <w:bottom w:val="nil"/>
          <w:right w:val="nil"/>
          <w:between w:val="nil"/>
        </w:pBdr>
        <w:spacing w:line="240" w:lineRule="auto"/>
        <w:ind w:leftChars="0" w:firstLineChars="0"/>
        <w:jc w:val="both"/>
        <w:rPr>
          <w:rFonts w:ascii="Arial" w:eastAsia="Arial" w:hAnsi="Arial" w:cs="Arial"/>
          <w:color w:val="000000" w:themeColor="text1"/>
          <w:sz w:val="20"/>
          <w:szCs w:val="20"/>
        </w:rPr>
      </w:pPr>
      <w:r w:rsidRPr="00833DFD">
        <w:rPr>
          <w:rFonts w:ascii="Arial" w:eastAsia="Arial" w:hAnsi="Arial" w:cs="Arial"/>
          <w:color w:val="000000" w:themeColor="text1"/>
          <w:sz w:val="20"/>
          <w:szCs w:val="20"/>
        </w:rPr>
        <w:t xml:space="preserve">La </w:t>
      </w:r>
      <w:r w:rsidR="00067522">
        <w:rPr>
          <w:rFonts w:ascii="Arial" w:eastAsia="Arial" w:hAnsi="Arial" w:cs="Arial"/>
          <w:color w:val="000000" w:themeColor="text1"/>
          <w:sz w:val="20"/>
          <w:szCs w:val="20"/>
        </w:rPr>
        <w:t>extrapolación a la actividad clínica asistencial de los resultados para poder evaluar la v</w:t>
      </w:r>
      <w:r w:rsidRPr="00833DFD">
        <w:rPr>
          <w:rFonts w:ascii="Arial" w:eastAsia="Arial" w:hAnsi="Arial" w:cs="Arial"/>
          <w:color w:val="000000" w:themeColor="text1"/>
          <w:sz w:val="20"/>
          <w:szCs w:val="20"/>
        </w:rPr>
        <w:t>ariable principal con la medición de criterios mIWG-MRT-ECNM, “obligaría” a realizar la misma evaluación pormenorizada de nuestros pacientes en la práctica clínica habitual usando los mismos criterios.</w:t>
      </w:r>
    </w:p>
    <w:p w:rsidR="00833DFD" w:rsidRDefault="00067522" w:rsidP="00833DFD">
      <w:pPr>
        <w:pStyle w:val="Prrafodelista"/>
        <w:numPr>
          <w:ilvl w:val="0"/>
          <w:numId w:val="21"/>
        </w:numPr>
        <w:pBdr>
          <w:top w:val="nil"/>
          <w:left w:val="nil"/>
          <w:bottom w:val="nil"/>
          <w:right w:val="nil"/>
          <w:between w:val="nil"/>
        </w:pBdr>
        <w:spacing w:line="240" w:lineRule="auto"/>
        <w:ind w:leftChars="0" w:firstLineChars="0"/>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Limitados datos publicados de CCII: </w:t>
      </w:r>
      <w:r w:rsidR="00833DFD" w:rsidRPr="00833DFD">
        <w:rPr>
          <w:rFonts w:ascii="Arial" w:eastAsia="Arial" w:hAnsi="Arial" w:cs="Arial"/>
          <w:color w:val="000000" w:themeColor="text1"/>
          <w:sz w:val="20"/>
          <w:szCs w:val="20"/>
        </w:rPr>
        <w:t xml:space="preserve">Se encuentra una CI publicada en abril de 2022 </w:t>
      </w:r>
      <w:r w:rsidR="00833DFD" w:rsidRPr="00D8772B">
        <w:rPr>
          <w:rFonts w:ascii="Arial" w:eastAsia="Arial" w:hAnsi="Arial" w:cs="Arial"/>
          <w:color w:val="000000" w:themeColor="text1"/>
          <w:sz w:val="20"/>
          <w:szCs w:val="20"/>
          <w:vertAlign w:val="superscript"/>
        </w:rPr>
        <w:t>(12).</w:t>
      </w:r>
      <w:r w:rsidR="00833DFD" w:rsidRPr="00833DFD">
        <w:rPr>
          <w:rFonts w:ascii="Arial" w:eastAsia="Arial" w:hAnsi="Arial" w:cs="Arial"/>
          <w:color w:val="000000" w:themeColor="text1"/>
          <w:sz w:val="20"/>
          <w:szCs w:val="20"/>
        </w:rPr>
        <w:t xml:space="preserve"> En ella se realizan CCII de midostaurina frente a avapritinib en pacientes </w:t>
      </w:r>
      <w:r w:rsidR="00833DFD">
        <w:rPr>
          <w:rFonts w:ascii="Arial" w:eastAsia="Arial" w:hAnsi="Arial" w:cs="Arial"/>
          <w:color w:val="000000" w:themeColor="text1"/>
          <w:sz w:val="20"/>
          <w:szCs w:val="20"/>
        </w:rPr>
        <w:t>con MS</w:t>
      </w:r>
      <w:r w:rsidR="00833DFD" w:rsidRPr="00833DFD">
        <w:rPr>
          <w:rFonts w:ascii="Arial" w:eastAsia="Arial" w:hAnsi="Arial" w:cs="Arial"/>
          <w:color w:val="000000" w:themeColor="text1"/>
          <w:sz w:val="20"/>
          <w:szCs w:val="20"/>
        </w:rPr>
        <w:t>. Se realizaron CCII ajustadas con los estudios Explorer y Pathfinder de avapritinib y D2201 y A2213 de midostaurina. Los resultados sugieren que avapritinib mejora la SG respecto a midostaurina, con una HR de 0.37-0.67, dependiendo del método y la población usada en el análisis.  Disponemos además de otra CI (13) que en este caso enfrenta a avapritinib frente a la mejor terapia disponible (BAT) en MS</w:t>
      </w:r>
      <w:r w:rsidR="00833DFD">
        <w:rPr>
          <w:rFonts w:ascii="Arial" w:eastAsia="Arial" w:hAnsi="Arial" w:cs="Arial"/>
          <w:color w:val="000000" w:themeColor="text1"/>
          <w:sz w:val="20"/>
          <w:szCs w:val="20"/>
        </w:rPr>
        <w:t xml:space="preserve">. </w:t>
      </w:r>
      <w:r w:rsidR="00833DFD" w:rsidRPr="00833DFD">
        <w:rPr>
          <w:rFonts w:ascii="Arial" w:eastAsia="Arial" w:hAnsi="Arial" w:cs="Arial"/>
          <w:color w:val="000000" w:themeColor="text1"/>
          <w:sz w:val="20"/>
          <w:szCs w:val="20"/>
        </w:rPr>
        <w:t>Los resultados en SG tras un ajuste en función de características basales (edad, sexo, región, ECOG, Hb&lt;10…) fue de 49 meses (46</w:t>
      </w:r>
      <w:r w:rsidR="00D8772B">
        <w:rPr>
          <w:rFonts w:ascii="Arial" w:eastAsia="Arial" w:hAnsi="Arial" w:cs="Arial"/>
          <w:color w:val="000000" w:themeColor="text1"/>
          <w:sz w:val="20"/>
          <w:szCs w:val="20"/>
        </w:rPr>
        <w:t>,</w:t>
      </w:r>
      <w:r w:rsidR="00833DFD" w:rsidRPr="00833DFD">
        <w:rPr>
          <w:rFonts w:ascii="Arial" w:eastAsia="Arial" w:hAnsi="Arial" w:cs="Arial"/>
          <w:color w:val="000000" w:themeColor="text1"/>
          <w:sz w:val="20"/>
          <w:szCs w:val="20"/>
        </w:rPr>
        <w:t>9-NA) para avapritinib y de 26</w:t>
      </w:r>
      <w:r w:rsidR="00D8772B">
        <w:rPr>
          <w:rFonts w:ascii="Arial" w:eastAsia="Arial" w:hAnsi="Arial" w:cs="Arial"/>
          <w:color w:val="000000" w:themeColor="text1"/>
          <w:sz w:val="20"/>
          <w:szCs w:val="20"/>
        </w:rPr>
        <w:t>,</w:t>
      </w:r>
      <w:r w:rsidR="00833DFD" w:rsidRPr="00833DFD">
        <w:rPr>
          <w:rFonts w:ascii="Arial" w:eastAsia="Arial" w:hAnsi="Arial" w:cs="Arial"/>
          <w:color w:val="000000" w:themeColor="text1"/>
          <w:sz w:val="20"/>
          <w:szCs w:val="20"/>
        </w:rPr>
        <w:t>8 meses (18</w:t>
      </w:r>
      <w:r w:rsidR="00D8772B">
        <w:rPr>
          <w:rFonts w:ascii="Arial" w:eastAsia="Arial" w:hAnsi="Arial" w:cs="Arial"/>
          <w:color w:val="000000" w:themeColor="text1"/>
          <w:sz w:val="20"/>
          <w:szCs w:val="20"/>
        </w:rPr>
        <w:t>,</w:t>
      </w:r>
      <w:r w:rsidR="00833DFD" w:rsidRPr="00833DFD">
        <w:rPr>
          <w:rFonts w:ascii="Arial" w:eastAsia="Arial" w:hAnsi="Arial" w:cs="Arial"/>
          <w:color w:val="000000" w:themeColor="text1"/>
          <w:sz w:val="20"/>
          <w:szCs w:val="20"/>
        </w:rPr>
        <w:t>2-39</w:t>
      </w:r>
      <w:r w:rsidR="00D8772B">
        <w:rPr>
          <w:rFonts w:ascii="Arial" w:eastAsia="Arial" w:hAnsi="Arial" w:cs="Arial"/>
          <w:color w:val="000000" w:themeColor="text1"/>
          <w:sz w:val="20"/>
          <w:szCs w:val="20"/>
        </w:rPr>
        <w:t>,</w:t>
      </w:r>
      <w:r w:rsidR="00833DFD" w:rsidRPr="00833DFD">
        <w:rPr>
          <w:rFonts w:ascii="Arial" w:eastAsia="Arial" w:hAnsi="Arial" w:cs="Arial"/>
          <w:color w:val="000000" w:themeColor="text1"/>
          <w:sz w:val="20"/>
          <w:szCs w:val="20"/>
        </w:rPr>
        <w:t>7) para BAT. LA HR fue 0.48 (0</w:t>
      </w:r>
      <w:r w:rsidR="00D8772B">
        <w:rPr>
          <w:rFonts w:ascii="Arial" w:eastAsia="Arial" w:hAnsi="Arial" w:cs="Arial"/>
          <w:color w:val="000000" w:themeColor="text1"/>
          <w:sz w:val="20"/>
          <w:szCs w:val="20"/>
        </w:rPr>
        <w:t>,</w:t>
      </w:r>
      <w:r w:rsidR="00833DFD" w:rsidRPr="00833DFD">
        <w:rPr>
          <w:rFonts w:ascii="Arial" w:eastAsia="Arial" w:hAnsi="Arial" w:cs="Arial"/>
          <w:color w:val="000000" w:themeColor="text1"/>
          <w:sz w:val="20"/>
          <w:szCs w:val="20"/>
        </w:rPr>
        <w:t>29-0</w:t>
      </w:r>
      <w:r w:rsidR="00D8772B">
        <w:rPr>
          <w:rFonts w:ascii="Arial" w:eastAsia="Arial" w:hAnsi="Arial" w:cs="Arial"/>
          <w:color w:val="000000" w:themeColor="text1"/>
          <w:sz w:val="20"/>
          <w:szCs w:val="20"/>
        </w:rPr>
        <w:t>,</w:t>
      </w:r>
      <w:r w:rsidR="00833DFD" w:rsidRPr="00833DFD">
        <w:rPr>
          <w:rFonts w:ascii="Arial" w:eastAsia="Arial" w:hAnsi="Arial" w:cs="Arial"/>
          <w:color w:val="000000" w:themeColor="text1"/>
          <w:sz w:val="20"/>
          <w:szCs w:val="20"/>
        </w:rPr>
        <w:t>79, p=0</w:t>
      </w:r>
      <w:r w:rsidR="00D8772B">
        <w:rPr>
          <w:rFonts w:ascii="Arial" w:eastAsia="Arial" w:hAnsi="Arial" w:cs="Arial"/>
          <w:color w:val="000000" w:themeColor="text1"/>
          <w:sz w:val="20"/>
          <w:szCs w:val="20"/>
        </w:rPr>
        <w:t>,</w:t>
      </w:r>
      <w:r w:rsidR="00833DFD" w:rsidRPr="00833DFD">
        <w:rPr>
          <w:rFonts w:ascii="Arial" w:eastAsia="Arial" w:hAnsi="Arial" w:cs="Arial"/>
          <w:color w:val="000000" w:themeColor="text1"/>
          <w:sz w:val="20"/>
          <w:szCs w:val="20"/>
        </w:rPr>
        <w:t>004). La mediana de seguimiento fue 17</w:t>
      </w:r>
      <w:r w:rsidR="00D8772B">
        <w:rPr>
          <w:rFonts w:ascii="Arial" w:eastAsia="Arial" w:hAnsi="Arial" w:cs="Arial"/>
          <w:color w:val="000000" w:themeColor="text1"/>
          <w:sz w:val="20"/>
          <w:szCs w:val="20"/>
        </w:rPr>
        <w:t>,</w:t>
      </w:r>
      <w:r w:rsidR="00833DFD" w:rsidRPr="00833DFD">
        <w:rPr>
          <w:rFonts w:ascii="Arial" w:eastAsia="Arial" w:hAnsi="Arial" w:cs="Arial"/>
          <w:color w:val="000000" w:themeColor="text1"/>
          <w:sz w:val="20"/>
          <w:szCs w:val="20"/>
        </w:rPr>
        <w:t>9 meses para avapritinib y 25.7 meses para BAT</w:t>
      </w:r>
      <w:r>
        <w:rPr>
          <w:rFonts w:ascii="Arial" w:eastAsia="Arial" w:hAnsi="Arial" w:cs="Arial"/>
          <w:color w:val="000000" w:themeColor="text1"/>
          <w:sz w:val="20"/>
          <w:szCs w:val="20"/>
        </w:rPr>
        <w:t>.</w:t>
      </w:r>
    </w:p>
    <w:p w:rsidR="00833DFD" w:rsidRDefault="00833DFD" w:rsidP="00833DFD">
      <w:pPr>
        <w:pBdr>
          <w:top w:val="nil"/>
          <w:left w:val="nil"/>
          <w:bottom w:val="nil"/>
          <w:right w:val="nil"/>
          <w:between w:val="nil"/>
        </w:pBdr>
        <w:spacing w:line="240" w:lineRule="auto"/>
        <w:ind w:leftChars="0" w:left="0" w:firstLineChars="0" w:firstLine="0"/>
        <w:jc w:val="both"/>
        <w:rPr>
          <w:rFonts w:ascii="Arial" w:eastAsia="Arial" w:hAnsi="Arial" w:cs="Arial"/>
          <w:color w:val="000000" w:themeColor="text1"/>
          <w:sz w:val="20"/>
          <w:szCs w:val="20"/>
        </w:rPr>
      </w:pPr>
    </w:p>
    <w:p w:rsidR="00833DFD" w:rsidRDefault="00833DFD" w:rsidP="00833DFD">
      <w:pPr>
        <w:pBdr>
          <w:top w:val="nil"/>
          <w:left w:val="nil"/>
          <w:bottom w:val="nil"/>
          <w:right w:val="nil"/>
          <w:between w:val="nil"/>
        </w:pBdr>
        <w:spacing w:line="240" w:lineRule="auto"/>
        <w:ind w:leftChars="0" w:left="0" w:firstLineChars="0" w:firstLine="0"/>
        <w:jc w:val="both"/>
        <w:rPr>
          <w:rFonts w:ascii="Arial" w:eastAsia="Arial" w:hAnsi="Arial" w:cs="Arial"/>
          <w:b/>
          <w:color w:val="000000" w:themeColor="text1"/>
          <w:sz w:val="20"/>
          <w:szCs w:val="20"/>
        </w:rPr>
      </w:pPr>
      <w:r w:rsidRPr="00833DFD">
        <w:rPr>
          <w:rFonts w:ascii="Arial" w:eastAsia="Arial" w:hAnsi="Arial" w:cs="Arial"/>
          <w:b/>
          <w:color w:val="000000" w:themeColor="text1"/>
          <w:sz w:val="20"/>
          <w:szCs w:val="20"/>
        </w:rPr>
        <w:t>SEGURIDAD</w:t>
      </w:r>
    </w:p>
    <w:p w:rsidR="00833DFD" w:rsidRDefault="00833DFD" w:rsidP="00067522">
      <w:pPr>
        <w:pBdr>
          <w:top w:val="nil"/>
          <w:left w:val="nil"/>
          <w:bottom w:val="nil"/>
          <w:right w:val="nil"/>
          <w:between w:val="nil"/>
        </w:pBdr>
        <w:spacing w:line="240" w:lineRule="auto"/>
        <w:ind w:leftChars="0" w:left="0" w:firstLineChars="0" w:firstLine="0"/>
        <w:jc w:val="both"/>
        <w:rPr>
          <w:rFonts w:ascii="Arial" w:eastAsia="Arial" w:hAnsi="Arial" w:cs="Arial"/>
          <w:b/>
          <w:color w:val="000000" w:themeColor="text1"/>
          <w:sz w:val="20"/>
          <w:szCs w:val="20"/>
        </w:rPr>
      </w:pPr>
    </w:p>
    <w:p w:rsidR="00B37D4D" w:rsidRDefault="00B37D4D" w:rsidP="00067522">
      <w:pPr>
        <w:pStyle w:val="Prrafodelista"/>
        <w:numPr>
          <w:ilvl w:val="0"/>
          <w:numId w:val="23"/>
        </w:numPr>
        <w:spacing w:line="240" w:lineRule="auto"/>
        <w:ind w:leftChars="0" w:firstLineChars="0"/>
        <w:jc w:val="both"/>
        <w:rPr>
          <w:rFonts w:ascii="Arial" w:eastAsia="Arial" w:hAnsi="Arial" w:cs="Arial"/>
          <w:sz w:val="20"/>
          <w:szCs w:val="20"/>
        </w:rPr>
      </w:pPr>
      <w:r w:rsidRPr="00B37D4D">
        <w:rPr>
          <w:rFonts w:ascii="Arial" w:eastAsia="Arial" w:hAnsi="Arial" w:cs="Arial"/>
          <w:sz w:val="20"/>
          <w:szCs w:val="20"/>
        </w:rPr>
        <w:t xml:space="preserve">Debe evitarse el uso concomitante de avapritinib con inhibidores potentes o moderados de CYP3A. Si no puede evitarse el uso concomitante de un inhibidor moderado de CYP3A, la dosis inicial de avapritinib debe reducirse de 200 mg a 50 </w:t>
      </w:r>
      <w:r>
        <w:rPr>
          <w:rFonts w:ascii="Arial" w:eastAsia="Arial" w:hAnsi="Arial" w:cs="Arial"/>
          <w:sz w:val="20"/>
          <w:szCs w:val="20"/>
        </w:rPr>
        <w:t>mg por vía oral una vez al día.</w:t>
      </w:r>
    </w:p>
    <w:p w:rsidR="00B37D4D" w:rsidRDefault="00B37D4D" w:rsidP="00067522">
      <w:pPr>
        <w:pStyle w:val="Prrafodelista"/>
        <w:numPr>
          <w:ilvl w:val="0"/>
          <w:numId w:val="23"/>
        </w:numPr>
        <w:spacing w:line="240" w:lineRule="auto"/>
        <w:ind w:leftChars="0" w:firstLineChars="0"/>
        <w:jc w:val="both"/>
        <w:rPr>
          <w:rFonts w:ascii="Arial" w:eastAsia="Arial" w:hAnsi="Arial" w:cs="Arial"/>
          <w:sz w:val="20"/>
          <w:szCs w:val="20"/>
        </w:rPr>
      </w:pPr>
      <w:r>
        <w:rPr>
          <w:rFonts w:ascii="Arial" w:eastAsia="Arial" w:hAnsi="Arial" w:cs="Arial"/>
          <w:sz w:val="20"/>
          <w:szCs w:val="20"/>
        </w:rPr>
        <w:t>Con fecha de corte abril de 2021 se tienen datos del análisis integrado de seguridad de 193 pacientes (estudios BLU-285-2101 y BLU-285-2202), 126 de ellos que iniciaron con 200 mg/24h y 50 de ellos que iniciaron con al menos 300 mg/24h.</w:t>
      </w:r>
      <w:r w:rsidR="00B30369">
        <w:rPr>
          <w:rFonts w:ascii="Arial" w:eastAsia="Arial" w:hAnsi="Arial" w:cs="Arial"/>
          <w:sz w:val="20"/>
          <w:szCs w:val="20"/>
        </w:rPr>
        <w:t xml:space="preserve"> </w:t>
      </w:r>
      <w:r w:rsidRPr="00B30369">
        <w:rPr>
          <w:rFonts w:ascii="Arial" w:eastAsia="Arial" w:hAnsi="Arial" w:cs="Arial"/>
          <w:sz w:val="20"/>
          <w:szCs w:val="20"/>
        </w:rPr>
        <w:t>De los pacientes que iniciaron con 200 mg, el 78.6% continuaba en tratamiento a fecha de corte de los datos aportados por el promotor.  129 pacientes habían tenido que interrumpir en alguna ocasión el tratamiento (66.8%) debido a algún efecto adverso y 140 (72,5%) habían tenido al menos una reducción de dosis por efectos adverso</w:t>
      </w:r>
      <w:r w:rsidR="00B30369">
        <w:rPr>
          <w:rFonts w:ascii="Arial" w:eastAsia="Arial" w:hAnsi="Arial" w:cs="Arial"/>
          <w:sz w:val="20"/>
          <w:szCs w:val="20"/>
        </w:rPr>
        <w:t xml:space="preserve">s relacionados con avapritinib. </w:t>
      </w:r>
    </w:p>
    <w:p w:rsidR="00B37D4D" w:rsidRPr="00B30369" w:rsidRDefault="00B30369" w:rsidP="00067522">
      <w:pPr>
        <w:pStyle w:val="Prrafodelista"/>
        <w:numPr>
          <w:ilvl w:val="0"/>
          <w:numId w:val="23"/>
        </w:numPr>
        <w:spacing w:line="240" w:lineRule="auto"/>
        <w:ind w:leftChars="0" w:firstLineChars="0"/>
        <w:jc w:val="both"/>
        <w:rPr>
          <w:rFonts w:ascii="Arial" w:eastAsia="Arial" w:hAnsi="Arial" w:cs="Arial"/>
          <w:sz w:val="20"/>
          <w:szCs w:val="20"/>
        </w:rPr>
      </w:pPr>
      <w:r w:rsidRPr="00B30369">
        <w:rPr>
          <w:rFonts w:ascii="Arial" w:eastAsia="Arial" w:hAnsi="Arial" w:cs="Arial"/>
          <w:sz w:val="20"/>
          <w:szCs w:val="20"/>
        </w:rPr>
        <w:t xml:space="preserve">Los efectos adversos grado 3 o superior más comunes fueron los de tipo hematológico. </w:t>
      </w:r>
      <w:r w:rsidRPr="00B30369">
        <w:rPr>
          <w:rFonts w:ascii="Arial" w:eastAsia="Cambria" w:hAnsi="Arial" w:cs="Arial"/>
          <w:iCs/>
          <w:color w:val="000000"/>
          <w:sz w:val="20"/>
          <w:szCs w:val="20"/>
        </w:rPr>
        <w:t>Se dieron, además otros efectos adversos graves en un menor número de pacientes. Estos fueron hematoma subdural 3 (2</w:t>
      </w:r>
      <w:r w:rsidR="00D8772B">
        <w:rPr>
          <w:rFonts w:ascii="Arial" w:eastAsia="Cambria" w:hAnsi="Arial" w:cs="Arial"/>
          <w:iCs/>
          <w:color w:val="000000"/>
          <w:sz w:val="20"/>
          <w:szCs w:val="20"/>
        </w:rPr>
        <w:t>,</w:t>
      </w:r>
      <w:r w:rsidRPr="00B30369">
        <w:rPr>
          <w:rFonts w:ascii="Arial" w:eastAsia="Cambria" w:hAnsi="Arial" w:cs="Arial"/>
          <w:iCs/>
          <w:color w:val="000000"/>
          <w:sz w:val="20"/>
          <w:szCs w:val="20"/>
        </w:rPr>
        <w:t>4%), anemia 2 (1</w:t>
      </w:r>
      <w:r w:rsidR="00D8772B">
        <w:rPr>
          <w:rFonts w:ascii="Arial" w:eastAsia="Cambria" w:hAnsi="Arial" w:cs="Arial"/>
          <w:iCs/>
          <w:color w:val="000000"/>
          <w:sz w:val="20"/>
          <w:szCs w:val="20"/>
        </w:rPr>
        <w:t>,</w:t>
      </w:r>
      <w:r w:rsidRPr="00B30369">
        <w:rPr>
          <w:rFonts w:ascii="Arial" w:eastAsia="Cambria" w:hAnsi="Arial" w:cs="Arial"/>
          <w:iCs/>
          <w:color w:val="000000"/>
          <w:sz w:val="20"/>
          <w:szCs w:val="20"/>
        </w:rPr>
        <w:t>6%) y hemorragia 2 (1</w:t>
      </w:r>
      <w:r w:rsidR="00D8772B">
        <w:rPr>
          <w:rFonts w:ascii="Arial" w:eastAsia="Cambria" w:hAnsi="Arial" w:cs="Arial"/>
          <w:iCs/>
          <w:color w:val="000000"/>
          <w:sz w:val="20"/>
          <w:szCs w:val="20"/>
        </w:rPr>
        <w:t>,</w:t>
      </w:r>
      <w:r w:rsidRPr="00B30369">
        <w:rPr>
          <w:rFonts w:ascii="Arial" w:eastAsia="Cambria" w:hAnsi="Arial" w:cs="Arial"/>
          <w:iCs/>
          <w:color w:val="000000"/>
          <w:sz w:val="20"/>
          <w:szCs w:val="20"/>
        </w:rPr>
        <w:t>6%).</w:t>
      </w:r>
    </w:p>
    <w:p w:rsidR="00B30369" w:rsidRDefault="00B30369" w:rsidP="00B30369">
      <w:pPr>
        <w:ind w:leftChars="0" w:left="0" w:firstLineChars="0" w:firstLine="0"/>
        <w:jc w:val="both"/>
        <w:rPr>
          <w:rFonts w:ascii="Arial" w:eastAsia="Arial" w:hAnsi="Arial" w:cs="Arial"/>
          <w:sz w:val="20"/>
          <w:szCs w:val="20"/>
        </w:rPr>
      </w:pPr>
    </w:p>
    <w:p w:rsidR="00B30369" w:rsidRPr="00100BC2" w:rsidRDefault="00B30369" w:rsidP="00B30369">
      <w:pPr>
        <w:ind w:leftChars="0" w:left="0" w:firstLineChars="0" w:firstLine="0"/>
        <w:jc w:val="both"/>
        <w:rPr>
          <w:rFonts w:ascii="Arial" w:eastAsia="Arial" w:hAnsi="Arial" w:cs="Arial"/>
          <w:b/>
          <w:sz w:val="20"/>
          <w:szCs w:val="20"/>
        </w:rPr>
      </w:pPr>
      <w:r w:rsidRPr="00100BC2">
        <w:rPr>
          <w:rFonts w:ascii="Arial" w:eastAsia="Arial" w:hAnsi="Arial" w:cs="Arial"/>
          <w:b/>
          <w:sz w:val="20"/>
          <w:szCs w:val="20"/>
        </w:rPr>
        <w:t>ADECUACIÓN</w:t>
      </w:r>
    </w:p>
    <w:p w:rsidR="00B30369" w:rsidRDefault="00B30369" w:rsidP="00B30369">
      <w:pPr>
        <w:ind w:leftChars="0" w:left="0" w:firstLineChars="0" w:firstLine="0"/>
        <w:jc w:val="both"/>
        <w:rPr>
          <w:rFonts w:ascii="Arial" w:eastAsia="Arial" w:hAnsi="Arial" w:cs="Arial"/>
          <w:sz w:val="20"/>
          <w:szCs w:val="20"/>
        </w:rPr>
      </w:pPr>
    </w:p>
    <w:p w:rsidR="00B30369" w:rsidRDefault="00B30369" w:rsidP="00B30369">
      <w:pPr>
        <w:pStyle w:val="Prrafodelista"/>
        <w:numPr>
          <w:ilvl w:val="0"/>
          <w:numId w:val="24"/>
        </w:numPr>
        <w:ind w:leftChars="0" w:firstLineChars="0"/>
        <w:jc w:val="both"/>
        <w:rPr>
          <w:rFonts w:ascii="Arial" w:eastAsia="Arial" w:hAnsi="Arial" w:cs="Arial"/>
          <w:sz w:val="20"/>
          <w:szCs w:val="20"/>
        </w:rPr>
      </w:pPr>
      <w:r>
        <w:rPr>
          <w:rFonts w:ascii="Arial" w:eastAsia="Arial" w:hAnsi="Arial" w:cs="Arial"/>
          <w:sz w:val="20"/>
          <w:szCs w:val="20"/>
        </w:rPr>
        <w:lastRenderedPageBreak/>
        <w:t xml:space="preserve">Avapritinib se presenta en forma de comprimidos recubiertos de distintas dosificaciones que se toman cada 24 horas, ajustando la dosificación a la tolerabilidad del paciente y según toxicidades. </w:t>
      </w:r>
    </w:p>
    <w:p w:rsidR="00B30369" w:rsidRDefault="00B30369" w:rsidP="00B30369">
      <w:pPr>
        <w:ind w:leftChars="0" w:left="0" w:firstLineChars="0" w:firstLine="0"/>
        <w:jc w:val="both"/>
        <w:rPr>
          <w:rFonts w:ascii="Arial" w:eastAsia="Arial" w:hAnsi="Arial" w:cs="Arial"/>
          <w:sz w:val="20"/>
          <w:szCs w:val="20"/>
        </w:rPr>
      </w:pPr>
    </w:p>
    <w:p w:rsidR="00B30369" w:rsidRPr="00100BC2" w:rsidRDefault="00B30369" w:rsidP="00B30369">
      <w:pPr>
        <w:ind w:leftChars="0" w:left="0" w:firstLineChars="0" w:firstLine="0"/>
        <w:jc w:val="both"/>
        <w:rPr>
          <w:rFonts w:ascii="Arial" w:eastAsia="Arial" w:hAnsi="Arial" w:cs="Arial"/>
          <w:b/>
          <w:sz w:val="20"/>
          <w:szCs w:val="20"/>
        </w:rPr>
      </w:pPr>
      <w:r w:rsidRPr="00100BC2">
        <w:rPr>
          <w:rFonts w:ascii="Arial" w:eastAsia="Arial" w:hAnsi="Arial" w:cs="Arial"/>
          <w:b/>
          <w:sz w:val="20"/>
          <w:szCs w:val="20"/>
        </w:rPr>
        <w:t>EVALUACIÓN ECONÓMICA</w:t>
      </w:r>
    </w:p>
    <w:p w:rsidR="00B30369" w:rsidRDefault="00B30369" w:rsidP="00B30369">
      <w:pPr>
        <w:ind w:leftChars="0" w:left="0" w:firstLineChars="0" w:firstLine="0"/>
        <w:jc w:val="both"/>
        <w:rPr>
          <w:rFonts w:ascii="Arial" w:eastAsia="Arial" w:hAnsi="Arial" w:cs="Arial"/>
          <w:sz w:val="20"/>
          <w:szCs w:val="20"/>
        </w:rPr>
      </w:pPr>
    </w:p>
    <w:p w:rsidR="00B30369" w:rsidRDefault="00B30369" w:rsidP="00B30369">
      <w:pPr>
        <w:pStyle w:val="Prrafodelista"/>
        <w:numPr>
          <w:ilvl w:val="0"/>
          <w:numId w:val="24"/>
        </w:numPr>
        <w:ind w:leftChars="0" w:firstLineChars="0"/>
        <w:jc w:val="both"/>
        <w:rPr>
          <w:rFonts w:ascii="Arial" w:eastAsia="Arial" w:hAnsi="Arial" w:cs="Arial"/>
          <w:sz w:val="20"/>
          <w:szCs w:val="20"/>
        </w:rPr>
      </w:pPr>
      <w:r>
        <w:rPr>
          <w:rFonts w:ascii="Arial" w:eastAsia="Arial" w:hAnsi="Arial" w:cs="Arial"/>
          <w:sz w:val="20"/>
          <w:szCs w:val="20"/>
        </w:rPr>
        <w:t>En el momento de realización del informe no se dispone de precio notificado en España para avapritinib.</w:t>
      </w:r>
    </w:p>
    <w:p w:rsidR="00B30369" w:rsidRPr="00B30369" w:rsidRDefault="00B30369" w:rsidP="00B30369">
      <w:pPr>
        <w:pStyle w:val="Prrafodelista"/>
        <w:numPr>
          <w:ilvl w:val="0"/>
          <w:numId w:val="24"/>
        </w:numPr>
        <w:ind w:leftChars="0" w:firstLineChars="0"/>
        <w:jc w:val="both"/>
        <w:rPr>
          <w:rFonts w:ascii="Arial" w:eastAsia="Arial" w:hAnsi="Arial" w:cs="Arial"/>
          <w:sz w:val="20"/>
          <w:szCs w:val="20"/>
        </w:rPr>
      </w:pPr>
      <w:r w:rsidRPr="00B30369">
        <w:rPr>
          <w:rFonts w:ascii="Arial" w:eastAsia="Arial" w:hAnsi="Arial" w:cs="Arial"/>
          <w:sz w:val="20"/>
          <w:szCs w:val="20"/>
        </w:rPr>
        <w:t>Para los cálculos de costes con avapritinib se escogió el precio aproximado que tiene en EE. UU., realizando posteriormente un análisis de sensibilidad del 15% para reflejar probables descuentos en nuestro mercado. El precio en EE. UU. es de unos 37.000 $ (factor de conversión: 1€=1$)</w:t>
      </w:r>
      <w:sdt>
        <w:sdtPr>
          <w:rPr>
            <w:rFonts w:eastAsia="Arial"/>
            <w:vertAlign w:val="superscript"/>
          </w:rPr>
          <w:id w:val="-1163934582"/>
          <w:citation/>
        </w:sdtPr>
        <w:sdtEndPr/>
        <w:sdtContent>
          <w:r w:rsidR="00743E44" w:rsidRPr="00D8772B">
            <w:rPr>
              <w:rFonts w:ascii="Arial" w:eastAsia="Arial" w:hAnsi="Arial" w:cs="Arial"/>
              <w:sz w:val="20"/>
              <w:szCs w:val="20"/>
              <w:vertAlign w:val="superscript"/>
            </w:rPr>
            <w:fldChar w:fldCharType="begin"/>
          </w:r>
          <w:r w:rsidRPr="00D8772B">
            <w:rPr>
              <w:rFonts w:ascii="Arial" w:eastAsia="Arial" w:hAnsi="Arial" w:cs="Arial"/>
              <w:sz w:val="20"/>
              <w:szCs w:val="20"/>
              <w:vertAlign w:val="superscript"/>
            </w:rPr>
            <w:instrText xml:space="preserve"> CITATION Dru22 \l 3082 </w:instrText>
          </w:r>
          <w:r w:rsidR="00743E44" w:rsidRPr="00D8772B">
            <w:rPr>
              <w:rFonts w:ascii="Arial" w:eastAsia="Arial" w:hAnsi="Arial" w:cs="Arial"/>
              <w:sz w:val="20"/>
              <w:szCs w:val="20"/>
              <w:vertAlign w:val="superscript"/>
            </w:rPr>
            <w:fldChar w:fldCharType="separate"/>
          </w:r>
          <w:r w:rsidR="00C560F5">
            <w:rPr>
              <w:rFonts w:ascii="Arial" w:eastAsia="Arial" w:hAnsi="Arial" w:cs="Arial"/>
              <w:noProof/>
              <w:sz w:val="20"/>
              <w:szCs w:val="20"/>
              <w:vertAlign w:val="superscript"/>
            </w:rPr>
            <w:t xml:space="preserve"> </w:t>
          </w:r>
          <w:r w:rsidR="00C560F5" w:rsidRPr="00C560F5">
            <w:rPr>
              <w:rFonts w:ascii="Arial" w:eastAsia="Arial" w:hAnsi="Arial" w:cs="Arial"/>
              <w:noProof/>
              <w:sz w:val="20"/>
              <w:szCs w:val="20"/>
            </w:rPr>
            <w:t>(15)</w:t>
          </w:r>
          <w:r w:rsidR="00743E44" w:rsidRPr="00D8772B">
            <w:rPr>
              <w:rFonts w:ascii="Arial" w:eastAsia="Arial" w:hAnsi="Arial" w:cs="Arial"/>
              <w:sz w:val="20"/>
              <w:szCs w:val="20"/>
              <w:vertAlign w:val="superscript"/>
            </w:rPr>
            <w:fldChar w:fldCharType="end"/>
          </w:r>
        </w:sdtContent>
      </w:sdt>
      <w:sdt>
        <w:sdtPr>
          <w:rPr>
            <w:rFonts w:eastAsia="Arial"/>
            <w:vertAlign w:val="superscript"/>
          </w:rPr>
          <w:id w:val="1035387392"/>
          <w:citation/>
        </w:sdtPr>
        <w:sdtEndPr/>
        <w:sdtContent>
          <w:r w:rsidR="00743E44" w:rsidRPr="00D8772B">
            <w:rPr>
              <w:rFonts w:ascii="Arial" w:eastAsia="Arial" w:hAnsi="Arial" w:cs="Arial"/>
              <w:sz w:val="20"/>
              <w:szCs w:val="20"/>
              <w:vertAlign w:val="superscript"/>
            </w:rPr>
            <w:fldChar w:fldCharType="begin"/>
          </w:r>
          <w:r w:rsidRPr="00D8772B">
            <w:rPr>
              <w:rFonts w:ascii="Arial" w:eastAsia="Arial" w:hAnsi="Arial" w:cs="Arial"/>
              <w:sz w:val="20"/>
              <w:szCs w:val="20"/>
              <w:vertAlign w:val="superscript"/>
            </w:rPr>
            <w:instrText xml:space="preserve"> CITATION Dav20 \l 3082 </w:instrText>
          </w:r>
          <w:r w:rsidR="00743E44" w:rsidRPr="00D8772B">
            <w:rPr>
              <w:rFonts w:ascii="Arial" w:eastAsia="Arial" w:hAnsi="Arial" w:cs="Arial"/>
              <w:sz w:val="20"/>
              <w:szCs w:val="20"/>
              <w:vertAlign w:val="superscript"/>
            </w:rPr>
            <w:fldChar w:fldCharType="separate"/>
          </w:r>
          <w:r w:rsidR="00C560F5">
            <w:rPr>
              <w:rFonts w:ascii="Arial" w:eastAsia="Arial" w:hAnsi="Arial" w:cs="Arial"/>
              <w:noProof/>
              <w:sz w:val="20"/>
              <w:szCs w:val="20"/>
              <w:vertAlign w:val="superscript"/>
            </w:rPr>
            <w:t xml:space="preserve"> </w:t>
          </w:r>
          <w:r w:rsidR="00C560F5" w:rsidRPr="00C560F5">
            <w:rPr>
              <w:rFonts w:ascii="Arial" w:eastAsia="Arial" w:hAnsi="Arial" w:cs="Arial"/>
              <w:noProof/>
              <w:sz w:val="20"/>
              <w:szCs w:val="20"/>
            </w:rPr>
            <w:t>(16)</w:t>
          </w:r>
          <w:r w:rsidR="00743E44" w:rsidRPr="00D8772B">
            <w:rPr>
              <w:rFonts w:ascii="Arial" w:eastAsia="Arial" w:hAnsi="Arial" w:cs="Arial"/>
              <w:sz w:val="20"/>
              <w:szCs w:val="20"/>
              <w:vertAlign w:val="superscript"/>
            </w:rPr>
            <w:fldChar w:fldCharType="end"/>
          </w:r>
        </w:sdtContent>
      </w:sdt>
      <w:r w:rsidRPr="00B30369">
        <w:rPr>
          <w:rFonts w:ascii="Arial" w:eastAsia="Arial" w:hAnsi="Arial" w:cs="Arial"/>
          <w:sz w:val="20"/>
          <w:szCs w:val="20"/>
        </w:rPr>
        <w:t>.</w:t>
      </w:r>
      <w:r>
        <w:rPr>
          <w:rFonts w:ascii="Arial" w:eastAsia="Arial" w:hAnsi="Arial" w:cs="Arial"/>
          <w:sz w:val="20"/>
          <w:szCs w:val="20"/>
        </w:rPr>
        <w:t xml:space="preserve"> </w:t>
      </w:r>
      <w:r w:rsidRPr="00B30369">
        <w:rPr>
          <w:rFonts w:ascii="Arial" w:eastAsia="Arial" w:hAnsi="Arial" w:cs="Arial"/>
          <w:sz w:val="20"/>
          <w:szCs w:val="20"/>
        </w:rPr>
        <w:t xml:space="preserve">En el caso de midostaurina se realizaron los cálculos con el precio notificado para la especialidad RYDAPT 25 MG CAPSULAS BLANDAS, 56 cápsulas (6673,73€).  </w:t>
      </w:r>
    </w:p>
    <w:p w:rsidR="00B30369" w:rsidRDefault="00B30369" w:rsidP="00B30369">
      <w:pPr>
        <w:pStyle w:val="Prrafodelista"/>
        <w:numPr>
          <w:ilvl w:val="0"/>
          <w:numId w:val="24"/>
        </w:numPr>
        <w:ind w:leftChars="0" w:firstLineChars="0"/>
        <w:jc w:val="both"/>
        <w:rPr>
          <w:rFonts w:ascii="Arial" w:eastAsia="Arial" w:hAnsi="Arial" w:cs="Arial"/>
          <w:sz w:val="20"/>
          <w:szCs w:val="20"/>
        </w:rPr>
      </w:pPr>
      <w:r>
        <w:rPr>
          <w:rFonts w:ascii="Arial" w:eastAsia="Arial" w:hAnsi="Arial" w:cs="Arial"/>
          <w:sz w:val="20"/>
          <w:szCs w:val="20"/>
        </w:rPr>
        <w:t>El coste del tratamiento anual con avapritinib con la dosis de 200 mg/24h sería de 392.496 €, que sería, según las estimaciones anteriormente comentadas, 31.592 € más caro que el tratamiento anual de un paciente con midostaurina.</w:t>
      </w:r>
    </w:p>
    <w:p w:rsidR="00B032A8" w:rsidRPr="00100BC2" w:rsidRDefault="00B30369" w:rsidP="00100BC2">
      <w:pPr>
        <w:pStyle w:val="Prrafodelista"/>
        <w:numPr>
          <w:ilvl w:val="0"/>
          <w:numId w:val="24"/>
        </w:numPr>
        <w:ind w:leftChars="0" w:firstLineChars="0"/>
        <w:jc w:val="both"/>
        <w:rPr>
          <w:rFonts w:ascii="Arial" w:eastAsia="Arial" w:hAnsi="Arial" w:cs="Arial"/>
          <w:sz w:val="20"/>
          <w:szCs w:val="20"/>
        </w:rPr>
      </w:pPr>
      <w:r>
        <w:rPr>
          <w:rFonts w:ascii="Arial" w:eastAsia="Arial" w:hAnsi="Arial" w:cs="Arial"/>
          <w:sz w:val="20"/>
          <w:szCs w:val="20"/>
        </w:rPr>
        <w:t xml:space="preserve">Asumiendo una población diana de 80 pacientes en España y teniendo en cuenta el CI de 31.592€ el primer año de tratamiento de avapritinib respecto a midostaurina tendríamos un </w:t>
      </w:r>
      <w:r w:rsidRPr="00D84773">
        <w:rPr>
          <w:rFonts w:ascii="Arial" w:eastAsia="Arial" w:hAnsi="Arial" w:cs="Arial"/>
          <w:b/>
          <w:sz w:val="20"/>
          <w:szCs w:val="20"/>
        </w:rPr>
        <w:t xml:space="preserve">impacto adicional </w:t>
      </w:r>
      <w:r>
        <w:rPr>
          <w:rFonts w:ascii="Arial" w:eastAsia="Arial" w:hAnsi="Arial" w:cs="Arial"/>
          <w:b/>
          <w:sz w:val="20"/>
          <w:szCs w:val="20"/>
        </w:rPr>
        <w:t xml:space="preserve">el primer año </w:t>
      </w:r>
      <w:r w:rsidRPr="00D84773">
        <w:rPr>
          <w:rFonts w:ascii="Arial" w:eastAsia="Arial" w:hAnsi="Arial" w:cs="Arial"/>
          <w:b/>
          <w:sz w:val="20"/>
          <w:szCs w:val="20"/>
        </w:rPr>
        <w:t>de 2.527.360 € (gasto total de 31.399.680 €).</w:t>
      </w:r>
    </w:p>
    <w:p w:rsidR="00B74082" w:rsidRDefault="00B74082">
      <w:pPr>
        <w:ind w:left="0" w:hanging="2"/>
        <w:jc w:val="right"/>
        <w:rPr>
          <w:rFonts w:ascii="Arial" w:eastAsia="Arial" w:hAnsi="Arial" w:cs="Arial"/>
          <w:color w:val="0000FF"/>
          <w:sz w:val="20"/>
          <w:szCs w:val="20"/>
          <w:u w:val="single"/>
        </w:rPr>
      </w:pPr>
    </w:p>
    <w:p w:rsidR="00B74082" w:rsidRDefault="00B74082">
      <w:pPr>
        <w:pBdr>
          <w:top w:val="nil"/>
          <w:left w:val="nil"/>
          <w:bottom w:val="nil"/>
          <w:right w:val="nil"/>
          <w:between w:val="nil"/>
        </w:pBdr>
        <w:spacing w:line="240" w:lineRule="auto"/>
        <w:ind w:left="0" w:hanging="2"/>
        <w:jc w:val="both"/>
        <w:rPr>
          <w:color w:val="000080"/>
          <w:sz w:val="16"/>
          <w:szCs w:val="16"/>
        </w:rPr>
      </w:pPr>
      <w:bookmarkStart w:id="94" w:name="_heading=h.111kx3o" w:colFirst="0" w:colLast="0"/>
      <w:bookmarkEnd w:id="94"/>
    </w:p>
    <w:p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9.2 Decisión</w:t>
      </w:r>
    </w:p>
    <w:p w:rsidR="00B74082" w:rsidRDefault="00B74082">
      <w:pPr>
        <w:pBdr>
          <w:top w:val="nil"/>
          <w:left w:val="nil"/>
          <w:bottom w:val="nil"/>
          <w:right w:val="nil"/>
          <w:between w:val="nil"/>
        </w:pBdr>
        <w:spacing w:line="240" w:lineRule="auto"/>
        <w:ind w:left="0" w:hanging="2"/>
        <w:rPr>
          <w:color w:val="000000"/>
          <w:sz w:val="20"/>
          <w:szCs w:val="20"/>
        </w:rPr>
      </w:pPr>
    </w:p>
    <w:p w:rsidR="00B74082" w:rsidRDefault="00B74082" w:rsidP="00100BC2">
      <w:pPr>
        <w:pBdr>
          <w:top w:val="nil"/>
          <w:left w:val="nil"/>
          <w:bottom w:val="nil"/>
          <w:right w:val="nil"/>
          <w:between w:val="nil"/>
        </w:pBdr>
        <w:spacing w:line="240" w:lineRule="auto"/>
        <w:ind w:leftChars="0" w:left="0" w:firstLineChars="0" w:firstLine="0"/>
        <w:rPr>
          <w:color w:val="000000"/>
          <w:sz w:val="20"/>
          <w:szCs w:val="20"/>
        </w:rPr>
      </w:pPr>
      <w:bookmarkStart w:id="95" w:name="_heading=h.3l18frh" w:colFirst="0" w:colLast="0"/>
      <w:bookmarkEnd w:id="95"/>
    </w:p>
    <w:p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9.3 Condiciones de uso (Solo en caso de clasificación D-E de la guía GINF)</w:t>
      </w:r>
    </w:p>
    <w:p w:rsidR="00B74082" w:rsidRDefault="00B74082">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FF0000"/>
        </w:rPr>
      </w:pPr>
    </w:p>
    <w:p w:rsidR="00C016EB" w:rsidRDefault="00C016EB">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FF0000"/>
        </w:rPr>
      </w:pPr>
    </w:p>
    <w:p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bookmarkStart w:id="96" w:name="_heading=h.206ipza" w:colFirst="0" w:colLast="0"/>
      <w:bookmarkEnd w:id="96"/>
      <w:r>
        <w:rPr>
          <w:rFonts w:ascii="Cambria" w:eastAsia="Cambria" w:hAnsi="Cambria" w:cs="Cambria"/>
          <w:b/>
          <w:i/>
          <w:color w:val="000000"/>
          <w:sz w:val="20"/>
          <w:szCs w:val="20"/>
        </w:rPr>
        <w:t>9.4 Plan de seguimiento</w:t>
      </w:r>
    </w:p>
    <w:p w:rsidR="00CA660A" w:rsidRPr="00FA0125" w:rsidRDefault="00CA660A" w:rsidP="00CA660A">
      <w:pPr>
        <w:ind w:leftChars="0" w:left="0" w:firstLineChars="0" w:firstLine="0"/>
        <w:rPr>
          <w:rFonts w:ascii="Arial" w:eastAsia="Arial" w:hAnsi="Arial" w:cs="Arial"/>
          <w:b/>
          <w:sz w:val="20"/>
          <w:szCs w:val="20"/>
        </w:rPr>
      </w:pPr>
    </w:p>
    <w:p w:rsidR="009C7A61" w:rsidRPr="002A2B50" w:rsidRDefault="00CA660A" w:rsidP="002A2B50">
      <w:pPr>
        <w:ind w:left="0" w:hanging="2"/>
        <w:rPr>
          <w:rFonts w:ascii="Arial" w:eastAsia="Arial" w:hAnsi="Arial" w:cs="Arial"/>
          <w:color w:val="000080"/>
          <w:sz w:val="20"/>
          <w:szCs w:val="20"/>
        </w:rPr>
      </w:pPr>
      <w:r w:rsidRPr="00FA0125">
        <w:rPr>
          <w:rFonts w:ascii="Arial" w:hAnsi="Arial" w:cs="Arial"/>
        </w:rPr>
        <w:br/>
      </w:r>
    </w:p>
    <w:p w:rsidR="00B74082" w:rsidRDefault="00B74082">
      <w:pPr>
        <w:ind w:left="0" w:hanging="2"/>
        <w:jc w:val="right"/>
        <w:rPr>
          <w:rFonts w:ascii="Arial" w:eastAsia="Arial" w:hAnsi="Arial" w:cs="Arial"/>
          <w:color w:val="0000FF"/>
          <w:sz w:val="20"/>
          <w:szCs w:val="20"/>
          <w:u w:val="single"/>
        </w:rPr>
      </w:pPr>
      <w:bookmarkStart w:id="97" w:name="_heading=h.4k668n3" w:colFirst="0" w:colLast="0"/>
      <w:bookmarkEnd w:id="97"/>
    </w:p>
    <w:p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A6A6A6"/>
        <w:spacing w:line="240" w:lineRule="auto"/>
        <w:ind w:left="0" w:hanging="2"/>
        <w:rPr>
          <w:rFonts w:ascii="Cambria" w:eastAsia="Cambria" w:hAnsi="Cambria" w:cs="Cambria"/>
          <w:b/>
          <w:color w:val="000000"/>
          <w:sz w:val="20"/>
          <w:szCs w:val="20"/>
        </w:rPr>
      </w:pPr>
      <w:r>
        <w:rPr>
          <w:rFonts w:ascii="Cambria" w:eastAsia="Cambria" w:hAnsi="Cambria" w:cs="Cambria"/>
          <w:b/>
          <w:color w:val="000000"/>
          <w:sz w:val="20"/>
          <w:szCs w:val="20"/>
        </w:rPr>
        <w:t>10. BIBLIOGRAFÍA</w:t>
      </w:r>
    </w:p>
    <w:p w:rsidR="00B74082" w:rsidRDefault="00B74082">
      <w:pPr>
        <w:ind w:left="0" w:hanging="2"/>
        <w:rPr>
          <w:rFonts w:ascii="Arial" w:eastAsia="Arial" w:hAnsi="Arial" w:cs="Arial"/>
          <w:color w:val="0000FF"/>
          <w:sz w:val="20"/>
          <w:szCs w:val="20"/>
          <w:u w:val="single"/>
        </w:rPr>
      </w:pPr>
    </w:p>
    <w:p w:rsidR="00C560F5" w:rsidRPr="00155E6D" w:rsidRDefault="00C560F5" w:rsidP="00C560F5">
      <w:pPr>
        <w:ind w:left="0" w:hanging="2"/>
        <w:rPr>
          <w:rFonts w:ascii="Arial" w:hAnsi="Arial" w:cs="Arial"/>
          <w:sz w:val="20"/>
          <w:szCs w:val="20"/>
          <w:lang w:val="en-US"/>
        </w:rPr>
      </w:pPr>
      <w:r w:rsidRPr="00C560F5">
        <w:rPr>
          <w:rFonts w:ascii="Arial" w:hAnsi="Arial" w:cs="Arial"/>
          <w:sz w:val="20"/>
          <w:szCs w:val="20"/>
        </w:rPr>
        <w:t xml:space="preserve">1. Pardanani, A et al. </w:t>
      </w:r>
      <w:r w:rsidRPr="00155E6D">
        <w:rPr>
          <w:rFonts w:ascii="Arial" w:hAnsi="Arial" w:cs="Arial"/>
          <w:sz w:val="20"/>
          <w:szCs w:val="20"/>
          <w:lang w:val="en-US"/>
        </w:rPr>
        <w:t>Systemic mastocytosis in adults: 2021 Update on diagnosis. American</w:t>
      </w:r>
    </w:p>
    <w:p w:rsidR="00C560F5" w:rsidRPr="00155E6D" w:rsidRDefault="00C560F5" w:rsidP="00C560F5">
      <w:pPr>
        <w:ind w:left="0" w:hanging="2"/>
        <w:rPr>
          <w:rFonts w:ascii="Arial" w:hAnsi="Arial" w:cs="Arial"/>
          <w:sz w:val="20"/>
          <w:szCs w:val="20"/>
          <w:lang w:val="en-US"/>
        </w:rPr>
      </w:pPr>
      <w:r w:rsidRPr="00155E6D">
        <w:rPr>
          <w:rFonts w:ascii="Arial" w:hAnsi="Arial" w:cs="Arial"/>
          <w:sz w:val="20"/>
          <w:szCs w:val="20"/>
          <w:lang w:val="en-US"/>
        </w:rPr>
        <w:t>Journal of haematology; 2021.</w:t>
      </w:r>
    </w:p>
    <w:p w:rsidR="00C560F5" w:rsidRPr="00155E6D" w:rsidRDefault="00C560F5" w:rsidP="00C560F5">
      <w:pPr>
        <w:ind w:left="0" w:hanging="2"/>
        <w:rPr>
          <w:rFonts w:ascii="Arial" w:hAnsi="Arial" w:cs="Arial"/>
          <w:sz w:val="20"/>
          <w:szCs w:val="20"/>
          <w:lang w:val="en-US"/>
        </w:rPr>
      </w:pPr>
      <w:r w:rsidRPr="00155E6D">
        <w:rPr>
          <w:rFonts w:ascii="Arial" w:hAnsi="Arial" w:cs="Arial"/>
          <w:sz w:val="20"/>
          <w:szCs w:val="20"/>
          <w:lang w:val="en-US"/>
        </w:rPr>
        <w:t>2. EPAR Avapritinib (CHMP assessment report on group of an extension of marketing</w:t>
      </w:r>
    </w:p>
    <w:p w:rsidR="00C560F5" w:rsidRPr="00C560F5" w:rsidRDefault="00C560F5" w:rsidP="00C560F5">
      <w:pPr>
        <w:ind w:left="0" w:hanging="2"/>
        <w:rPr>
          <w:rFonts w:ascii="Arial" w:hAnsi="Arial" w:cs="Arial"/>
          <w:sz w:val="20"/>
          <w:szCs w:val="20"/>
        </w:rPr>
      </w:pPr>
      <w:r w:rsidRPr="00155E6D">
        <w:rPr>
          <w:rFonts w:ascii="Arial" w:hAnsi="Arial" w:cs="Arial"/>
          <w:sz w:val="20"/>
          <w:szCs w:val="20"/>
          <w:lang w:val="en-US"/>
        </w:rPr>
        <w:t xml:space="preserve">authorisation and an extension of indication variation. </w:t>
      </w:r>
      <w:r w:rsidRPr="00C560F5">
        <w:rPr>
          <w:rFonts w:ascii="Arial" w:hAnsi="Arial" w:cs="Arial"/>
          <w:sz w:val="20"/>
          <w:szCs w:val="20"/>
        </w:rPr>
        <w:t>European Medicines Agency, 2022.</w:t>
      </w:r>
    </w:p>
    <w:p w:rsidR="00C560F5" w:rsidRPr="00C560F5" w:rsidRDefault="00C560F5" w:rsidP="00C560F5">
      <w:pPr>
        <w:ind w:left="0" w:hanging="2"/>
        <w:rPr>
          <w:rFonts w:ascii="Arial" w:hAnsi="Arial" w:cs="Arial"/>
          <w:sz w:val="20"/>
          <w:szCs w:val="20"/>
        </w:rPr>
      </w:pPr>
      <w:r w:rsidRPr="00C560F5">
        <w:rPr>
          <w:rFonts w:ascii="Arial" w:hAnsi="Arial" w:cs="Arial"/>
          <w:sz w:val="20"/>
          <w:szCs w:val="20"/>
        </w:rPr>
        <w:t>3. Orphanet. [Internet] [Consultado 02 Nov 2022]Dispo</w:t>
      </w:r>
      <w:r>
        <w:rPr>
          <w:rFonts w:ascii="Arial" w:hAnsi="Arial" w:cs="Arial"/>
          <w:sz w:val="20"/>
          <w:szCs w:val="20"/>
        </w:rPr>
        <w:t>nible en: https://www.orpha.net</w:t>
      </w:r>
    </w:p>
    <w:p w:rsidR="00C560F5" w:rsidRPr="00155E6D" w:rsidRDefault="00C560F5" w:rsidP="00C560F5">
      <w:pPr>
        <w:ind w:left="0" w:hanging="2"/>
        <w:rPr>
          <w:rFonts w:ascii="Arial" w:hAnsi="Arial" w:cs="Arial"/>
          <w:sz w:val="20"/>
          <w:szCs w:val="20"/>
          <w:lang w:val="en-US"/>
        </w:rPr>
      </w:pPr>
      <w:r w:rsidRPr="00155E6D">
        <w:rPr>
          <w:rFonts w:ascii="Arial" w:hAnsi="Arial" w:cs="Arial"/>
          <w:sz w:val="20"/>
          <w:szCs w:val="20"/>
          <w:lang w:val="en-US"/>
        </w:rPr>
        <w:t>4. Swerdlow SH, Campo E, Harris NL, et al. WHO Classification of Tumours of Haematopoietic</w:t>
      </w:r>
    </w:p>
    <w:p w:rsidR="00C560F5" w:rsidRPr="00155E6D" w:rsidRDefault="00C560F5" w:rsidP="00C560F5">
      <w:pPr>
        <w:ind w:left="0" w:hanging="2"/>
        <w:rPr>
          <w:rFonts w:ascii="Arial" w:hAnsi="Arial" w:cs="Arial"/>
          <w:sz w:val="20"/>
          <w:szCs w:val="20"/>
          <w:lang w:val="en-US"/>
        </w:rPr>
      </w:pPr>
      <w:r w:rsidRPr="00155E6D">
        <w:rPr>
          <w:rFonts w:ascii="Arial" w:hAnsi="Arial" w:cs="Arial"/>
          <w:sz w:val="20"/>
          <w:szCs w:val="20"/>
          <w:lang w:val="en-US"/>
        </w:rPr>
        <w:t>and Lymphoid Tissues, revised 4th edition. International Agency for Research on Cancer (IARC);</w:t>
      </w:r>
    </w:p>
    <w:p w:rsidR="00C560F5" w:rsidRPr="00155E6D" w:rsidRDefault="00C560F5" w:rsidP="00C560F5">
      <w:pPr>
        <w:ind w:left="0" w:hanging="2"/>
        <w:rPr>
          <w:rFonts w:ascii="Arial" w:hAnsi="Arial" w:cs="Arial"/>
          <w:sz w:val="20"/>
          <w:szCs w:val="20"/>
          <w:lang w:val="en-US"/>
        </w:rPr>
      </w:pPr>
      <w:r w:rsidRPr="00155E6D">
        <w:rPr>
          <w:rFonts w:ascii="Arial" w:hAnsi="Arial" w:cs="Arial"/>
          <w:sz w:val="20"/>
          <w:szCs w:val="20"/>
          <w:lang w:val="en-US"/>
        </w:rPr>
        <w:t>2018. 58-63.</w:t>
      </w:r>
    </w:p>
    <w:p w:rsidR="00C560F5" w:rsidRPr="00155E6D" w:rsidRDefault="00C560F5" w:rsidP="00C560F5">
      <w:pPr>
        <w:ind w:left="0" w:hanging="2"/>
        <w:rPr>
          <w:rFonts w:ascii="Arial" w:hAnsi="Arial" w:cs="Arial"/>
          <w:sz w:val="20"/>
          <w:szCs w:val="20"/>
          <w:lang w:val="en-US"/>
        </w:rPr>
      </w:pPr>
      <w:r w:rsidRPr="00155E6D">
        <w:rPr>
          <w:rFonts w:ascii="Arial" w:hAnsi="Arial" w:cs="Arial"/>
          <w:sz w:val="20"/>
          <w:szCs w:val="20"/>
          <w:lang w:val="en-US"/>
        </w:rPr>
        <w:t>5. Cohen SS, Skovbo S, Vestergaard H, Kristensen T, Møller M. Epidemiology of systemic</w:t>
      </w:r>
    </w:p>
    <w:p w:rsidR="00C560F5" w:rsidRPr="00155E6D" w:rsidRDefault="00C560F5" w:rsidP="00C560F5">
      <w:pPr>
        <w:ind w:left="0" w:hanging="2"/>
        <w:rPr>
          <w:rFonts w:ascii="Arial" w:hAnsi="Arial" w:cs="Arial"/>
          <w:sz w:val="20"/>
          <w:szCs w:val="20"/>
          <w:lang w:val="en-US"/>
        </w:rPr>
      </w:pPr>
      <w:r w:rsidRPr="00155E6D">
        <w:rPr>
          <w:rFonts w:ascii="Arial" w:hAnsi="Arial" w:cs="Arial"/>
          <w:sz w:val="20"/>
          <w:szCs w:val="20"/>
          <w:lang w:val="en-US"/>
        </w:rPr>
        <w:t>mastocytosis in Denmark. Br J Haematol. 2014. Vol 166.</w:t>
      </w:r>
    </w:p>
    <w:p w:rsidR="00C560F5" w:rsidRPr="00155E6D" w:rsidRDefault="00C560F5" w:rsidP="00C560F5">
      <w:pPr>
        <w:ind w:left="0" w:hanging="2"/>
        <w:rPr>
          <w:rFonts w:ascii="Arial" w:hAnsi="Arial" w:cs="Arial"/>
          <w:sz w:val="20"/>
          <w:szCs w:val="20"/>
          <w:lang w:val="en-US"/>
        </w:rPr>
      </w:pPr>
      <w:r w:rsidRPr="00155E6D">
        <w:rPr>
          <w:rFonts w:ascii="Arial" w:hAnsi="Arial" w:cs="Arial"/>
          <w:sz w:val="20"/>
          <w:szCs w:val="20"/>
          <w:lang w:val="en-US"/>
        </w:rPr>
        <w:t>6. J, Schwabb. Importance of Adequate Diagnostic Workup for Correct Diagnosis of Advanced</w:t>
      </w:r>
    </w:p>
    <w:p w:rsidR="00C560F5" w:rsidRPr="00155E6D" w:rsidRDefault="00C560F5" w:rsidP="00C560F5">
      <w:pPr>
        <w:ind w:left="0" w:hanging="2"/>
        <w:rPr>
          <w:rFonts w:ascii="Arial" w:hAnsi="Arial" w:cs="Arial"/>
          <w:sz w:val="20"/>
          <w:szCs w:val="20"/>
          <w:lang w:val="en-US"/>
        </w:rPr>
      </w:pPr>
      <w:r w:rsidRPr="00155E6D">
        <w:rPr>
          <w:rFonts w:ascii="Arial" w:hAnsi="Arial" w:cs="Arial"/>
          <w:sz w:val="20"/>
          <w:szCs w:val="20"/>
          <w:lang w:val="en-US"/>
        </w:rPr>
        <w:t>Systemic Mastocytosis. J Allergy Clin Immunol Pract, 2020, Vol. 8.</w:t>
      </w:r>
    </w:p>
    <w:p w:rsidR="00C560F5" w:rsidRPr="00C560F5" w:rsidRDefault="00C560F5" w:rsidP="00C560F5">
      <w:pPr>
        <w:ind w:left="0" w:hanging="2"/>
        <w:rPr>
          <w:rFonts w:ascii="Arial" w:hAnsi="Arial" w:cs="Arial"/>
          <w:sz w:val="20"/>
          <w:szCs w:val="20"/>
        </w:rPr>
      </w:pPr>
      <w:r w:rsidRPr="00C560F5">
        <w:rPr>
          <w:rFonts w:ascii="Arial" w:hAnsi="Arial" w:cs="Arial"/>
          <w:sz w:val="20"/>
          <w:szCs w:val="20"/>
        </w:rPr>
        <w:t>7. Gómez-García-Sori</w:t>
      </w:r>
      <w:r>
        <w:rPr>
          <w:rFonts w:ascii="Arial" w:hAnsi="Arial" w:cs="Arial"/>
          <w:sz w:val="20"/>
          <w:szCs w:val="20"/>
        </w:rPr>
        <w:t>a</w:t>
      </w:r>
      <w:r w:rsidRPr="00C560F5">
        <w:rPr>
          <w:rFonts w:ascii="Arial" w:hAnsi="Arial" w:cs="Arial"/>
          <w:sz w:val="20"/>
          <w:szCs w:val="20"/>
        </w:rPr>
        <w:t>. Informe de Posicionamiento Terapéutico de midostaurina (Rydapt®) en</w:t>
      </w:r>
    </w:p>
    <w:p w:rsidR="00C560F5" w:rsidRPr="00155E6D" w:rsidRDefault="00C560F5" w:rsidP="00C560F5">
      <w:pPr>
        <w:ind w:left="0" w:hanging="2"/>
        <w:rPr>
          <w:rFonts w:ascii="Arial" w:hAnsi="Arial" w:cs="Arial"/>
          <w:sz w:val="20"/>
          <w:szCs w:val="20"/>
          <w:lang w:val="en-US"/>
        </w:rPr>
      </w:pPr>
      <w:r w:rsidRPr="00155E6D">
        <w:rPr>
          <w:rFonts w:ascii="Arial" w:hAnsi="Arial" w:cs="Arial"/>
          <w:sz w:val="20"/>
          <w:szCs w:val="20"/>
          <w:lang w:val="en-US"/>
        </w:rPr>
        <w:t>mastocitosis. AEMPS, 2019.</w:t>
      </w:r>
    </w:p>
    <w:p w:rsidR="00C560F5" w:rsidRPr="00155E6D" w:rsidRDefault="00C560F5" w:rsidP="00C560F5">
      <w:pPr>
        <w:ind w:left="0" w:hanging="2"/>
        <w:rPr>
          <w:rFonts w:ascii="Arial" w:hAnsi="Arial" w:cs="Arial"/>
          <w:sz w:val="20"/>
          <w:szCs w:val="20"/>
          <w:lang w:val="en-US"/>
        </w:rPr>
      </w:pPr>
      <w:r w:rsidRPr="00155E6D">
        <w:rPr>
          <w:rFonts w:ascii="Arial" w:hAnsi="Arial" w:cs="Arial"/>
          <w:sz w:val="20"/>
          <w:szCs w:val="20"/>
          <w:lang w:val="en-US"/>
        </w:rPr>
        <w:t>8. Systemic mastocytosis NCCN Evidence Blocks. NCCN, 2022.</w:t>
      </w:r>
    </w:p>
    <w:p w:rsidR="00C560F5" w:rsidRPr="00155E6D" w:rsidRDefault="00C560F5" w:rsidP="00C560F5">
      <w:pPr>
        <w:ind w:left="0" w:hanging="2"/>
        <w:rPr>
          <w:rFonts w:ascii="Arial" w:hAnsi="Arial" w:cs="Arial"/>
          <w:sz w:val="20"/>
          <w:szCs w:val="20"/>
          <w:lang w:val="en-US"/>
        </w:rPr>
      </w:pPr>
      <w:r w:rsidRPr="00155E6D">
        <w:rPr>
          <w:rFonts w:ascii="Arial" w:hAnsi="Arial" w:cs="Arial"/>
          <w:sz w:val="20"/>
          <w:szCs w:val="20"/>
          <w:lang w:val="en-US"/>
        </w:rPr>
        <w:t>9. Gotlib, J. et al. Efficacy and safety of avapritinib in advanced systemic mastocytosis: interim</w:t>
      </w:r>
    </w:p>
    <w:p w:rsidR="00C560F5" w:rsidRPr="00C26695" w:rsidRDefault="00C560F5" w:rsidP="00C560F5">
      <w:pPr>
        <w:ind w:left="0" w:hanging="2"/>
        <w:rPr>
          <w:rFonts w:ascii="Arial" w:hAnsi="Arial" w:cs="Arial"/>
          <w:sz w:val="20"/>
          <w:szCs w:val="20"/>
          <w:lang w:val="en-US"/>
        </w:rPr>
      </w:pPr>
      <w:r w:rsidRPr="00C26695">
        <w:rPr>
          <w:rFonts w:ascii="Arial" w:hAnsi="Arial" w:cs="Arial"/>
          <w:sz w:val="20"/>
          <w:szCs w:val="20"/>
          <w:lang w:val="en-US"/>
        </w:rPr>
        <w:t>analysis of the phase II Pathfinder trial. : Nature medicine, 2021, Vol. 27.</w:t>
      </w:r>
    </w:p>
    <w:p w:rsidR="00C560F5" w:rsidRPr="00155E6D" w:rsidRDefault="00C560F5" w:rsidP="00C560F5">
      <w:pPr>
        <w:ind w:left="0" w:hanging="2"/>
        <w:rPr>
          <w:rFonts w:ascii="Arial" w:hAnsi="Arial" w:cs="Arial"/>
          <w:sz w:val="20"/>
          <w:szCs w:val="20"/>
          <w:lang w:val="en-US"/>
        </w:rPr>
      </w:pPr>
      <w:r w:rsidRPr="00155E6D">
        <w:rPr>
          <w:rFonts w:ascii="Arial" w:hAnsi="Arial" w:cs="Arial"/>
          <w:sz w:val="20"/>
          <w:szCs w:val="20"/>
          <w:lang w:val="en-US"/>
        </w:rPr>
        <w:t>10. DeAngelo, D. et al. Safety and efficacy of avapritinib in advanced systemic mastocytosis: the</w:t>
      </w:r>
    </w:p>
    <w:p w:rsidR="00C560F5" w:rsidRPr="00155E6D" w:rsidRDefault="00C560F5" w:rsidP="00C560F5">
      <w:pPr>
        <w:ind w:left="0" w:hanging="2"/>
        <w:rPr>
          <w:rFonts w:ascii="Arial" w:hAnsi="Arial" w:cs="Arial"/>
          <w:sz w:val="20"/>
          <w:szCs w:val="20"/>
          <w:lang w:val="en-US"/>
        </w:rPr>
      </w:pPr>
      <w:r w:rsidRPr="00155E6D">
        <w:rPr>
          <w:rFonts w:ascii="Arial" w:hAnsi="Arial" w:cs="Arial"/>
          <w:sz w:val="20"/>
          <w:szCs w:val="20"/>
          <w:lang w:val="en-US"/>
        </w:rPr>
        <w:t>phase 1 EXPLORER trial. Nat. Med., 2021.</w:t>
      </w:r>
    </w:p>
    <w:p w:rsidR="00C560F5" w:rsidRPr="00155E6D" w:rsidRDefault="00C560F5" w:rsidP="00C560F5">
      <w:pPr>
        <w:ind w:left="0" w:hanging="2"/>
        <w:rPr>
          <w:rFonts w:ascii="Arial" w:hAnsi="Arial" w:cs="Arial"/>
          <w:sz w:val="20"/>
          <w:szCs w:val="20"/>
          <w:lang w:val="en-US"/>
        </w:rPr>
      </w:pPr>
      <w:r w:rsidRPr="00155E6D">
        <w:rPr>
          <w:rFonts w:ascii="Arial" w:hAnsi="Arial" w:cs="Arial"/>
          <w:sz w:val="20"/>
          <w:szCs w:val="20"/>
          <w:lang w:val="en-US"/>
        </w:rPr>
        <w:t>11. Gotlib, J. et al. Efficacy and safety of avapritinib in advanced systemic mastocytosis: interim</w:t>
      </w:r>
    </w:p>
    <w:p w:rsidR="00C560F5" w:rsidRPr="00155E6D" w:rsidRDefault="00C560F5" w:rsidP="00C560F5">
      <w:pPr>
        <w:ind w:left="0" w:hanging="2"/>
        <w:rPr>
          <w:rFonts w:ascii="Arial" w:hAnsi="Arial" w:cs="Arial"/>
          <w:sz w:val="20"/>
          <w:szCs w:val="20"/>
          <w:lang w:val="en-US"/>
        </w:rPr>
      </w:pPr>
      <w:r w:rsidRPr="00155E6D">
        <w:rPr>
          <w:rFonts w:ascii="Arial" w:hAnsi="Arial" w:cs="Arial"/>
          <w:sz w:val="20"/>
          <w:szCs w:val="20"/>
          <w:lang w:val="en-US"/>
        </w:rPr>
        <w:t>analysis of the phase II Pathfinder trial. Suplemmentary information. Nature medicine, 2021, Vol.</w:t>
      </w:r>
    </w:p>
    <w:p w:rsidR="00C560F5" w:rsidRPr="00155E6D" w:rsidRDefault="00C560F5" w:rsidP="00C560F5">
      <w:pPr>
        <w:ind w:left="0" w:hanging="2"/>
        <w:rPr>
          <w:rFonts w:ascii="Arial" w:hAnsi="Arial" w:cs="Arial"/>
          <w:sz w:val="20"/>
          <w:szCs w:val="20"/>
          <w:lang w:val="en-US"/>
        </w:rPr>
      </w:pPr>
      <w:r w:rsidRPr="00155E6D">
        <w:rPr>
          <w:rFonts w:ascii="Arial" w:hAnsi="Arial" w:cs="Arial"/>
          <w:sz w:val="20"/>
          <w:szCs w:val="20"/>
          <w:lang w:val="en-US"/>
        </w:rPr>
        <w:lastRenderedPageBreak/>
        <w:t>27.</w:t>
      </w:r>
    </w:p>
    <w:p w:rsidR="00C560F5" w:rsidRPr="00155E6D" w:rsidRDefault="00C560F5" w:rsidP="00C560F5">
      <w:pPr>
        <w:ind w:left="0" w:hanging="2"/>
        <w:rPr>
          <w:rFonts w:ascii="Arial" w:hAnsi="Arial" w:cs="Arial"/>
          <w:sz w:val="20"/>
          <w:szCs w:val="20"/>
          <w:lang w:val="en-US"/>
        </w:rPr>
      </w:pPr>
      <w:r w:rsidRPr="00155E6D">
        <w:rPr>
          <w:rFonts w:ascii="Arial" w:hAnsi="Arial" w:cs="Arial"/>
          <w:sz w:val="20"/>
          <w:szCs w:val="20"/>
          <w:lang w:val="en-US"/>
        </w:rPr>
        <w:t>12. Pilkington, H et al. Indirect treatment comparisons of avapritinib versus midostaurin for</w:t>
      </w:r>
    </w:p>
    <w:p w:rsidR="00C560F5" w:rsidRPr="00155E6D" w:rsidRDefault="00C560F5" w:rsidP="00C560F5">
      <w:pPr>
        <w:ind w:left="0" w:hanging="2"/>
        <w:rPr>
          <w:rFonts w:ascii="Arial" w:hAnsi="Arial" w:cs="Arial"/>
          <w:sz w:val="20"/>
          <w:szCs w:val="20"/>
          <w:lang w:val="en-US"/>
        </w:rPr>
      </w:pPr>
      <w:r w:rsidRPr="00155E6D">
        <w:rPr>
          <w:rFonts w:ascii="Arial" w:hAnsi="Arial" w:cs="Arial"/>
          <w:sz w:val="20"/>
          <w:szCs w:val="20"/>
          <w:lang w:val="en-US"/>
        </w:rPr>
        <w:t>patients with advanced systemic mastocytosis. Future Oncology, 2022; vol 18.</w:t>
      </w:r>
    </w:p>
    <w:p w:rsidR="00C560F5" w:rsidRPr="00155E6D" w:rsidRDefault="00C560F5" w:rsidP="00C560F5">
      <w:pPr>
        <w:ind w:left="0" w:hanging="2"/>
        <w:rPr>
          <w:rFonts w:ascii="Arial" w:hAnsi="Arial" w:cs="Arial"/>
          <w:sz w:val="20"/>
          <w:szCs w:val="20"/>
          <w:lang w:val="en-US"/>
        </w:rPr>
      </w:pPr>
      <w:r w:rsidRPr="00155E6D">
        <w:rPr>
          <w:rFonts w:ascii="Arial" w:hAnsi="Arial" w:cs="Arial"/>
          <w:sz w:val="20"/>
          <w:szCs w:val="20"/>
          <w:lang w:val="en-US"/>
        </w:rPr>
        <w:t>13. Reiter, A. et al. Efficacy of avapritinib versus best available therapy in the treatment of</w:t>
      </w:r>
    </w:p>
    <w:p w:rsidR="00C560F5" w:rsidRPr="00155E6D" w:rsidRDefault="00C560F5" w:rsidP="00C560F5">
      <w:pPr>
        <w:ind w:left="0" w:hanging="2"/>
        <w:rPr>
          <w:rFonts w:ascii="Arial" w:hAnsi="Arial" w:cs="Arial"/>
          <w:sz w:val="20"/>
          <w:szCs w:val="20"/>
          <w:lang w:val="en-US"/>
        </w:rPr>
      </w:pPr>
      <w:r w:rsidRPr="00155E6D">
        <w:rPr>
          <w:rFonts w:ascii="Arial" w:hAnsi="Arial" w:cs="Arial"/>
          <w:sz w:val="20"/>
          <w:szCs w:val="20"/>
          <w:lang w:val="en-US"/>
        </w:rPr>
        <w:t>advanced systemic mastocytosis. Leukemia, 2022; vol 36.</w:t>
      </w:r>
    </w:p>
    <w:p w:rsidR="00C560F5" w:rsidRPr="00C560F5" w:rsidRDefault="00C560F5" w:rsidP="00C560F5">
      <w:pPr>
        <w:ind w:left="0" w:hanging="2"/>
        <w:rPr>
          <w:rFonts w:ascii="Arial" w:hAnsi="Arial" w:cs="Arial"/>
          <w:sz w:val="20"/>
          <w:szCs w:val="20"/>
        </w:rPr>
      </w:pPr>
      <w:r w:rsidRPr="00C560F5">
        <w:rPr>
          <w:rFonts w:ascii="Arial" w:hAnsi="Arial" w:cs="Arial"/>
          <w:sz w:val="20"/>
          <w:szCs w:val="20"/>
        </w:rPr>
        <w:t>14. SEOM. Informe SEOM de Avapritinib en TEGI. [Internet] 2021. [Citado el: 11 de Julio de</w:t>
      </w:r>
    </w:p>
    <w:p w:rsidR="00C560F5" w:rsidRPr="00C560F5" w:rsidRDefault="00C560F5" w:rsidP="00C560F5">
      <w:pPr>
        <w:ind w:left="0" w:hanging="2"/>
        <w:rPr>
          <w:rFonts w:ascii="Arial" w:hAnsi="Arial" w:cs="Arial"/>
          <w:sz w:val="20"/>
          <w:szCs w:val="20"/>
        </w:rPr>
      </w:pPr>
      <w:r w:rsidRPr="00C560F5">
        <w:rPr>
          <w:rFonts w:ascii="Arial" w:hAnsi="Arial" w:cs="Arial"/>
          <w:sz w:val="20"/>
          <w:szCs w:val="20"/>
        </w:rPr>
        <w:t>2022.]</w:t>
      </w:r>
      <w:r>
        <w:rPr>
          <w:rFonts w:ascii="Arial" w:hAnsi="Arial" w:cs="Arial"/>
          <w:sz w:val="20"/>
          <w:szCs w:val="20"/>
        </w:rPr>
        <w:t xml:space="preserve"> Disponible en: </w:t>
      </w:r>
      <w:r w:rsidRPr="00C560F5">
        <w:rPr>
          <w:rFonts w:ascii="Arial" w:hAnsi="Arial" w:cs="Arial"/>
          <w:sz w:val="20"/>
          <w:szCs w:val="20"/>
        </w:rPr>
        <w:t>https://seom.org/</w:t>
      </w:r>
      <w:r>
        <w:rPr>
          <w:rFonts w:ascii="Arial" w:hAnsi="Arial" w:cs="Arial"/>
          <w:sz w:val="20"/>
          <w:szCs w:val="20"/>
        </w:rPr>
        <w:t>seomcms/images/stories/InformesSEOM</w:t>
      </w:r>
    </w:p>
    <w:p w:rsidR="00C560F5" w:rsidRPr="00C560F5" w:rsidRDefault="00C560F5" w:rsidP="00C560F5">
      <w:pPr>
        <w:ind w:left="0" w:hanging="2"/>
        <w:rPr>
          <w:rFonts w:ascii="Arial" w:hAnsi="Arial" w:cs="Arial"/>
          <w:sz w:val="20"/>
          <w:szCs w:val="20"/>
        </w:rPr>
      </w:pPr>
      <w:r w:rsidRPr="00C560F5">
        <w:rPr>
          <w:rFonts w:ascii="Arial" w:hAnsi="Arial" w:cs="Arial"/>
          <w:sz w:val="20"/>
          <w:szCs w:val="20"/>
        </w:rPr>
        <w:t>15. Drug</w:t>
      </w:r>
      <w:r>
        <w:rPr>
          <w:rFonts w:ascii="Arial" w:hAnsi="Arial" w:cs="Arial"/>
          <w:sz w:val="20"/>
          <w:szCs w:val="20"/>
        </w:rPr>
        <w:t>s.com. Ayvakit prices. [Internet</w:t>
      </w:r>
      <w:r w:rsidRPr="00C560F5">
        <w:rPr>
          <w:rFonts w:ascii="Arial" w:hAnsi="Arial" w:cs="Arial"/>
          <w:sz w:val="20"/>
          <w:szCs w:val="20"/>
        </w:rPr>
        <w:t>] [Consultado 11 Jul 2022.]. Disponible en:</w:t>
      </w:r>
    </w:p>
    <w:p w:rsidR="00C560F5" w:rsidRPr="00C560F5" w:rsidRDefault="00C560F5" w:rsidP="00C560F5">
      <w:pPr>
        <w:ind w:left="0" w:hanging="2"/>
        <w:rPr>
          <w:rFonts w:ascii="Arial" w:hAnsi="Arial" w:cs="Arial"/>
          <w:sz w:val="20"/>
          <w:szCs w:val="20"/>
        </w:rPr>
      </w:pPr>
      <w:r w:rsidRPr="00C560F5">
        <w:rPr>
          <w:rFonts w:ascii="Arial" w:hAnsi="Arial" w:cs="Arial"/>
          <w:sz w:val="20"/>
          <w:szCs w:val="20"/>
        </w:rPr>
        <w:t>https://www.drugs.com/price-guide/ayvakit.</w:t>
      </w:r>
    </w:p>
    <w:p w:rsidR="00C560F5" w:rsidRPr="00155E6D" w:rsidRDefault="00C560F5" w:rsidP="00C560F5">
      <w:pPr>
        <w:ind w:left="0" w:hanging="2"/>
        <w:rPr>
          <w:rFonts w:ascii="Arial" w:hAnsi="Arial" w:cs="Arial"/>
          <w:sz w:val="20"/>
          <w:szCs w:val="20"/>
          <w:lang w:val="en-US"/>
        </w:rPr>
      </w:pPr>
      <w:r w:rsidRPr="00155E6D">
        <w:rPr>
          <w:rFonts w:ascii="Arial" w:hAnsi="Arial" w:cs="Arial"/>
          <w:sz w:val="20"/>
          <w:szCs w:val="20"/>
          <w:lang w:val="en-US"/>
        </w:rPr>
        <w:t>16. Proudman, D. et al. Financial Implications of Avapritinib for Treatment of Unresectable</w:t>
      </w:r>
    </w:p>
    <w:p w:rsidR="00C560F5" w:rsidRPr="00155E6D" w:rsidRDefault="00C560F5" w:rsidP="00C560F5">
      <w:pPr>
        <w:ind w:left="0" w:hanging="2"/>
        <w:rPr>
          <w:rFonts w:ascii="Arial" w:hAnsi="Arial" w:cs="Arial"/>
          <w:sz w:val="20"/>
          <w:szCs w:val="20"/>
          <w:lang w:val="en-US"/>
        </w:rPr>
      </w:pPr>
      <w:r w:rsidRPr="00155E6D">
        <w:rPr>
          <w:rFonts w:ascii="Arial" w:hAnsi="Arial" w:cs="Arial"/>
          <w:sz w:val="20"/>
          <w:szCs w:val="20"/>
          <w:lang w:val="en-US"/>
        </w:rPr>
        <w:t>Gastrointestinal Stromal Tumors in Patients With a PDGFRA Exon 18 Variant or After 3 Previous</w:t>
      </w:r>
    </w:p>
    <w:p w:rsidR="00C560F5" w:rsidRPr="00155E6D" w:rsidRDefault="00C560F5" w:rsidP="00C560F5">
      <w:pPr>
        <w:ind w:left="0" w:hanging="2"/>
        <w:rPr>
          <w:rFonts w:ascii="Arial" w:hAnsi="Arial" w:cs="Arial"/>
          <w:sz w:val="20"/>
          <w:szCs w:val="20"/>
          <w:lang w:val="en-US"/>
        </w:rPr>
      </w:pPr>
      <w:r w:rsidRPr="00155E6D">
        <w:rPr>
          <w:rFonts w:ascii="Arial" w:hAnsi="Arial" w:cs="Arial"/>
          <w:sz w:val="20"/>
          <w:szCs w:val="20"/>
          <w:lang w:val="en-US"/>
        </w:rPr>
        <w:t>Therapies in a Hypothetical US Health Plan. JAMA, 2020, Vol. 3.</w:t>
      </w:r>
    </w:p>
    <w:p w:rsidR="00C560F5" w:rsidRPr="00155E6D" w:rsidRDefault="00C560F5" w:rsidP="00C560F5">
      <w:pPr>
        <w:ind w:left="0" w:hanging="2"/>
        <w:rPr>
          <w:rFonts w:ascii="Arial" w:hAnsi="Arial" w:cs="Arial"/>
          <w:sz w:val="20"/>
          <w:szCs w:val="20"/>
          <w:lang w:val="en-US"/>
        </w:rPr>
      </w:pPr>
      <w:r w:rsidRPr="00155E6D">
        <w:rPr>
          <w:rFonts w:ascii="Arial" w:hAnsi="Arial" w:cs="Arial"/>
          <w:sz w:val="20"/>
          <w:szCs w:val="20"/>
          <w:lang w:val="en-US"/>
        </w:rPr>
        <w:t>17. Proudman D. Budget impact analysis of ayvakit (avapritinib) in patients with gastrointestinal</w:t>
      </w:r>
    </w:p>
    <w:p w:rsidR="00C560F5" w:rsidRPr="00C560F5" w:rsidRDefault="00C560F5" w:rsidP="00C560F5">
      <w:pPr>
        <w:ind w:left="0" w:hanging="2"/>
        <w:rPr>
          <w:rFonts w:ascii="Arial" w:hAnsi="Arial" w:cs="Arial"/>
          <w:sz w:val="20"/>
          <w:szCs w:val="20"/>
        </w:rPr>
      </w:pPr>
      <w:r w:rsidRPr="00155E6D">
        <w:rPr>
          <w:rFonts w:ascii="Arial" w:hAnsi="Arial" w:cs="Arial"/>
          <w:sz w:val="20"/>
          <w:szCs w:val="20"/>
          <w:lang w:val="en-US"/>
        </w:rPr>
        <w:t xml:space="preserve">stromal tumors and a PDGFRA exon 18 mutation. </w:t>
      </w:r>
      <w:r w:rsidRPr="00C560F5">
        <w:rPr>
          <w:rFonts w:ascii="Arial" w:hAnsi="Arial" w:cs="Arial"/>
          <w:sz w:val="20"/>
          <w:szCs w:val="20"/>
        </w:rPr>
        <w:t>[internet] 2020. [Consultado 30 Oct 2022]</w:t>
      </w:r>
    </w:p>
    <w:p w:rsidR="00E415DE" w:rsidRPr="00C560F5" w:rsidRDefault="00C560F5" w:rsidP="00C560F5">
      <w:pPr>
        <w:ind w:left="0" w:hanging="2"/>
        <w:rPr>
          <w:rFonts w:ascii="Arial" w:hAnsi="Arial" w:cs="Arial"/>
          <w:sz w:val="20"/>
          <w:szCs w:val="20"/>
        </w:rPr>
      </w:pPr>
      <w:r w:rsidRPr="00C560F5">
        <w:rPr>
          <w:rFonts w:ascii="Arial" w:hAnsi="Arial" w:cs="Arial"/>
          <w:sz w:val="20"/>
          <w:szCs w:val="20"/>
        </w:rPr>
        <w:t>Disponible en: https://www.valueinhealthjournal.com/article/S1098-3015(20)31810-6/fulltext.</w:t>
      </w:r>
    </w:p>
    <w:p w:rsidR="00C560F5" w:rsidRDefault="00C560F5" w:rsidP="00C560F5">
      <w:pPr>
        <w:ind w:left="0" w:hanging="2"/>
      </w:pPr>
    </w:p>
    <w:p w:rsidR="00B74082" w:rsidRDefault="00DA20C8">
      <w:pPr>
        <w:shd w:val="clear" w:color="auto" w:fill="DBE5F1"/>
        <w:ind w:left="0" w:hanging="2"/>
        <w:jc w:val="center"/>
        <w:rPr>
          <w:rFonts w:ascii="Arial" w:eastAsia="Arial" w:hAnsi="Arial" w:cs="Arial"/>
          <w:color w:val="000000"/>
          <w:sz w:val="20"/>
          <w:szCs w:val="20"/>
        </w:rPr>
      </w:pPr>
      <w:r>
        <w:br w:type="page"/>
      </w:r>
      <w:r>
        <w:rPr>
          <w:rFonts w:ascii="Arial" w:eastAsia="Arial" w:hAnsi="Arial" w:cs="Arial"/>
          <w:b/>
          <w:color w:val="000000"/>
          <w:sz w:val="20"/>
          <w:szCs w:val="20"/>
        </w:rPr>
        <w:lastRenderedPageBreak/>
        <w:t>Formulario de declaración de conflictos de intereses</w:t>
      </w:r>
    </w:p>
    <w:p w:rsidR="00B74082" w:rsidRDefault="00B74082">
      <w:pPr>
        <w:ind w:left="0" w:hanging="2"/>
        <w:rPr>
          <w:rFonts w:ascii="Arial" w:eastAsia="Arial" w:hAnsi="Arial" w:cs="Arial"/>
          <w:color w:val="000000"/>
          <w:sz w:val="20"/>
          <w:szCs w:val="20"/>
        </w:rPr>
      </w:pPr>
    </w:p>
    <w:p w:rsidR="00B74082" w:rsidRDefault="00DA20C8">
      <w:pPr>
        <w:pBdr>
          <w:top w:val="nil"/>
          <w:left w:val="nil"/>
          <w:bottom w:val="nil"/>
          <w:right w:val="nil"/>
          <w:between w:val="nil"/>
        </w:pBd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Los potenciales conflictos de intereses en la elaboración de informes de evaluación se consideran siempre que superen la cantidad de 2.000 euros anuales (últimos 3 años). </w:t>
      </w:r>
    </w:p>
    <w:p w:rsidR="00B74082" w:rsidRDefault="00B74082">
      <w:pPr>
        <w:pBdr>
          <w:top w:val="nil"/>
          <w:left w:val="nil"/>
          <w:bottom w:val="nil"/>
          <w:right w:val="nil"/>
          <w:between w:val="nil"/>
        </w:pBdr>
        <w:spacing w:line="240" w:lineRule="auto"/>
        <w:ind w:left="0" w:hanging="2"/>
        <w:rPr>
          <w:rFonts w:ascii="Arial" w:eastAsia="Arial" w:hAnsi="Arial" w:cs="Arial"/>
          <w:color w:val="000080"/>
          <w:sz w:val="20"/>
          <w:szCs w:val="20"/>
        </w:rPr>
      </w:pPr>
    </w:p>
    <w:p w:rsidR="00B74082" w:rsidRDefault="00DA20C8">
      <w:pPr>
        <w:ind w:left="0" w:hanging="2"/>
        <w:rPr>
          <w:rFonts w:ascii="Arial" w:eastAsia="Arial" w:hAnsi="Arial" w:cs="Arial"/>
          <w:color w:val="000000"/>
          <w:sz w:val="20"/>
          <w:szCs w:val="20"/>
        </w:rPr>
      </w:pPr>
      <w:r>
        <w:rPr>
          <w:rFonts w:ascii="Arial" w:eastAsia="Arial" w:hAnsi="Arial" w:cs="Arial"/>
          <w:b/>
          <w:color w:val="000000"/>
          <w:sz w:val="20"/>
          <w:szCs w:val="20"/>
        </w:rPr>
        <w:t>– Nombre y apellidos:</w:t>
      </w:r>
    </w:p>
    <w:p w:rsidR="00B74082" w:rsidRDefault="00B74082">
      <w:pPr>
        <w:ind w:left="0" w:hanging="2"/>
        <w:rPr>
          <w:rFonts w:ascii="Arial" w:eastAsia="Arial" w:hAnsi="Arial" w:cs="Arial"/>
          <w:color w:val="000000"/>
          <w:sz w:val="20"/>
          <w:szCs w:val="20"/>
        </w:rPr>
      </w:pPr>
    </w:p>
    <w:p w:rsidR="00B74082" w:rsidRDefault="00DA20C8">
      <w:pPr>
        <w:ind w:left="0" w:hanging="2"/>
        <w:rPr>
          <w:rFonts w:ascii="Arial" w:eastAsia="Arial" w:hAnsi="Arial" w:cs="Arial"/>
          <w:color w:val="000000"/>
          <w:sz w:val="20"/>
          <w:szCs w:val="20"/>
        </w:rPr>
      </w:pPr>
      <w:r>
        <w:rPr>
          <w:rFonts w:ascii="Arial" w:eastAsia="Arial" w:hAnsi="Arial" w:cs="Arial"/>
          <w:b/>
          <w:color w:val="000000"/>
          <w:sz w:val="20"/>
          <w:szCs w:val="20"/>
        </w:rPr>
        <w:t>– Institución en la que trabaja:</w:t>
      </w:r>
    </w:p>
    <w:p w:rsidR="00B74082" w:rsidRDefault="00B74082">
      <w:pPr>
        <w:ind w:left="0" w:hanging="2"/>
        <w:rPr>
          <w:rFonts w:ascii="Arial" w:eastAsia="Arial" w:hAnsi="Arial" w:cs="Arial"/>
          <w:color w:val="000000"/>
          <w:sz w:val="20"/>
          <w:szCs w:val="20"/>
        </w:rPr>
      </w:pPr>
    </w:p>
    <w:p w:rsidR="00B74082" w:rsidRDefault="00DA20C8">
      <w:pPr>
        <w:ind w:left="0" w:hanging="2"/>
        <w:rPr>
          <w:rFonts w:ascii="Arial" w:eastAsia="Arial" w:hAnsi="Arial" w:cs="Arial"/>
          <w:color w:val="000000"/>
          <w:sz w:val="20"/>
          <w:szCs w:val="20"/>
        </w:rPr>
      </w:pPr>
      <w:r>
        <w:rPr>
          <w:rFonts w:ascii="Arial" w:eastAsia="Arial" w:hAnsi="Arial" w:cs="Arial"/>
          <w:b/>
          <w:color w:val="000000"/>
          <w:sz w:val="20"/>
          <w:szCs w:val="20"/>
        </w:rPr>
        <w:t xml:space="preserve">– Institución que le vincula al informe. </w:t>
      </w:r>
      <w:r>
        <w:rPr>
          <w:rFonts w:ascii="Arial" w:eastAsia="Arial" w:hAnsi="Arial" w:cs="Arial"/>
          <w:color w:val="000000"/>
          <w:sz w:val="20"/>
          <w:szCs w:val="20"/>
        </w:rPr>
        <w:t>Ej: sociedades científicas, grupo de trabajo, etc. (contestar sólo si es diferente a la anterior):</w:t>
      </w:r>
    </w:p>
    <w:p w:rsidR="00B74082" w:rsidRDefault="00B74082">
      <w:pPr>
        <w:spacing w:after="40"/>
        <w:ind w:left="0" w:hanging="2"/>
        <w:rPr>
          <w:rFonts w:ascii="Arial" w:eastAsia="Arial" w:hAnsi="Arial" w:cs="Arial"/>
          <w:color w:val="000000"/>
          <w:sz w:val="20"/>
          <w:szCs w:val="20"/>
        </w:rPr>
      </w:pPr>
    </w:p>
    <w:p w:rsidR="00B74082" w:rsidRDefault="00DA20C8">
      <w:pPr>
        <w:spacing w:after="40"/>
        <w:ind w:left="0" w:hanging="2"/>
        <w:rPr>
          <w:rFonts w:ascii="Arial" w:eastAsia="Arial" w:hAnsi="Arial" w:cs="Arial"/>
          <w:color w:val="000000"/>
          <w:sz w:val="20"/>
          <w:szCs w:val="20"/>
        </w:rPr>
      </w:pPr>
      <w:r>
        <w:rPr>
          <w:rFonts w:ascii="Arial" w:eastAsia="Arial" w:hAnsi="Arial" w:cs="Arial"/>
          <w:color w:val="000000"/>
          <w:sz w:val="20"/>
          <w:szCs w:val="20"/>
        </w:rPr>
        <w:t>Participación en el informe de evaluación como:</w:t>
      </w:r>
    </w:p>
    <w:p w:rsidR="00B74082" w:rsidRDefault="00DA20C8">
      <w:pPr>
        <w:ind w:left="0" w:hanging="2"/>
        <w:rPr>
          <w:rFonts w:ascii="Arial" w:eastAsia="Arial" w:hAnsi="Arial" w:cs="Arial"/>
          <w:color w:val="000000"/>
          <w:sz w:val="20"/>
          <w:szCs w:val="20"/>
        </w:rPr>
      </w:pPr>
      <w:r>
        <w:rPr>
          <w:rFonts w:ascii="Arial" w:eastAsia="Arial" w:hAnsi="Arial" w:cs="Arial"/>
          <w:color w:val="000000"/>
          <w:sz w:val="20"/>
          <w:szCs w:val="20"/>
        </w:rPr>
        <w:t>1-Autor/a</w:t>
      </w:r>
    </w:p>
    <w:p w:rsidR="00B74082" w:rsidRDefault="00DA20C8">
      <w:pPr>
        <w:ind w:left="0" w:hanging="2"/>
        <w:rPr>
          <w:rFonts w:ascii="Arial" w:eastAsia="Arial" w:hAnsi="Arial" w:cs="Arial"/>
          <w:color w:val="000000"/>
          <w:sz w:val="20"/>
          <w:szCs w:val="20"/>
        </w:rPr>
      </w:pPr>
      <w:r>
        <w:rPr>
          <w:rFonts w:ascii="Arial" w:eastAsia="Arial" w:hAnsi="Arial" w:cs="Arial"/>
          <w:color w:val="000000"/>
          <w:sz w:val="20"/>
          <w:szCs w:val="20"/>
        </w:rPr>
        <w:t>2-Tutor/a</w:t>
      </w:r>
    </w:p>
    <w:p w:rsidR="00B74082" w:rsidRDefault="00DA20C8">
      <w:pPr>
        <w:ind w:left="0" w:hanging="2"/>
        <w:rPr>
          <w:rFonts w:ascii="Arial" w:eastAsia="Arial" w:hAnsi="Arial" w:cs="Arial"/>
          <w:color w:val="000000"/>
          <w:sz w:val="20"/>
          <w:szCs w:val="20"/>
        </w:rPr>
      </w:pPr>
      <w:r>
        <w:rPr>
          <w:rFonts w:ascii="Arial" w:eastAsia="Arial" w:hAnsi="Arial" w:cs="Arial"/>
          <w:color w:val="000000"/>
          <w:sz w:val="20"/>
          <w:szCs w:val="20"/>
        </w:rPr>
        <w:t>3-Revisor/a externo/a</w:t>
      </w:r>
    </w:p>
    <w:p w:rsidR="00B74082" w:rsidRDefault="00B74082">
      <w:pPr>
        <w:ind w:left="0" w:hanging="2"/>
        <w:jc w:val="both"/>
        <w:rPr>
          <w:rFonts w:ascii="Arial" w:eastAsia="Arial" w:hAnsi="Arial" w:cs="Arial"/>
          <w:color w:val="000000"/>
          <w:sz w:val="20"/>
          <w:szCs w:val="20"/>
        </w:rPr>
      </w:pPr>
    </w:p>
    <w:p w:rsidR="00B74082" w:rsidRDefault="00DA20C8">
      <w:pPr>
        <w:ind w:left="0" w:hanging="2"/>
        <w:jc w:val="both"/>
        <w:rPr>
          <w:rFonts w:ascii="Arial" w:eastAsia="Arial" w:hAnsi="Arial" w:cs="Arial"/>
          <w:color w:val="000000"/>
          <w:sz w:val="20"/>
          <w:szCs w:val="20"/>
        </w:rPr>
      </w:pPr>
      <w:r>
        <w:rPr>
          <w:rFonts w:ascii="Arial" w:eastAsia="Arial" w:hAnsi="Arial" w:cs="Arial"/>
          <w:color w:val="000000"/>
          <w:sz w:val="20"/>
          <w:szCs w:val="20"/>
        </w:rPr>
        <w:t>Tras haber y leído y comprendido la información remitida sobre la declaración de conflictos para el presente informe, formulo la siguiente declaración:</w:t>
      </w:r>
    </w:p>
    <w:p w:rsidR="00B74082" w:rsidRDefault="00B74082">
      <w:pPr>
        <w:spacing w:after="40"/>
        <w:ind w:left="0" w:hanging="2"/>
        <w:rPr>
          <w:rFonts w:ascii="Arial" w:eastAsia="Arial" w:hAnsi="Arial" w:cs="Arial"/>
          <w:color w:val="000000"/>
          <w:sz w:val="20"/>
          <w:szCs w:val="20"/>
        </w:rPr>
      </w:pPr>
    </w:p>
    <w:p w:rsidR="00B74082" w:rsidRDefault="00DA20C8">
      <w:pPr>
        <w:ind w:left="0" w:hanging="2"/>
        <w:rPr>
          <w:rFonts w:ascii="Arial" w:eastAsia="Arial" w:hAnsi="Arial" w:cs="Arial"/>
          <w:color w:val="000000"/>
          <w:sz w:val="20"/>
          <w:szCs w:val="20"/>
        </w:rPr>
      </w:pPr>
      <w:r>
        <w:rPr>
          <w:rFonts w:ascii="Arial" w:eastAsia="Arial" w:hAnsi="Arial" w:cs="Arial"/>
          <w:b/>
          <w:color w:val="000000"/>
          <w:sz w:val="20"/>
          <w:szCs w:val="20"/>
        </w:rPr>
        <w:t>A- Intereses personales (</w:t>
      </w:r>
      <w:r>
        <w:rPr>
          <w:rFonts w:ascii="Arial" w:eastAsia="Arial" w:hAnsi="Arial" w:cs="Arial"/>
          <w:color w:val="000000"/>
          <w:sz w:val="20"/>
          <w:szCs w:val="20"/>
        </w:rPr>
        <w:t>En caso afirmativo especificar</w:t>
      </w:r>
      <w:r>
        <w:rPr>
          <w:rFonts w:ascii="Arial" w:eastAsia="Arial" w:hAnsi="Arial" w:cs="Arial"/>
          <w:b/>
          <w:color w:val="000000"/>
          <w:sz w:val="20"/>
          <w:szCs w:val="20"/>
        </w:rPr>
        <w:t xml:space="preserve">): </w:t>
      </w:r>
      <w:r>
        <w:rPr>
          <w:rFonts w:ascii="Arial" w:eastAsia="Arial" w:hAnsi="Arial" w:cs="Arial"/>
          <w:b/>
          <w:color w:val="000000"/>
          <w:sz w:val="20"/>
          <w:szCs w:val="20"/>
        </w:rPr>
        <w:tab/>
      </w:r>
      <w:r>
        <w:rPr>
          <w:rFonts w:ascii="Arial" w:eastAsia="Arial" w:hAnsi="Arial" w:cs="Arial"/>
          <w:b/>
          <w:color w:val="000000"/>
          <w:sz w:val="20"/>
          <w:szCs w:val="20"/>
        </w:rPr>
        <w:tab/>
      </w:r>
      <w:r>
        <w:rPr>
          <w:rFonts w:ascii="Wingdings" w:eastAsia="Wingdings" w:hAnsi="Wingdings" w:cs="Wingdings"/>
          <w:b/>
          <w:color w:val="000000"/>
          <w:sz w:val="20"/>
          <w:szCs w:val="20"/>
        </w:rPr>
        <w:t>🞐</w:t>
      </w:r>
      <w:r>
        <w:rPr>
          <w:rFonts w:ascii="Arial" w:eastAsia="Arial" w:hAnsi="Arial" w:cs="Arial"/>
          <w:b/>
          <w:color w:val="000000"/>
          <w:sz w:val="20"/>
          <w:szCs w:val="20"/>
        </w:rPr>
        <w:t>SI</w:t>
      </w:r>
      <w:r>
        <w:rPr>
          <w:rFonts w:ascii="Arial" w:eastAsia="Arial" w:hAnsi="Arial" w:cs="Arial"/>
          <w:b/>
          <w:color w:val="000000"/>
          <w:sz w:val="20"/>
          <w:szCs w:val="20"/>
        </w:rPr>
        <w:tab/>
      </w:r>
      <w:r>
        <w:rPr>
          <w:rFonts w:ascii="Arial" w:eastAsia="Arial" w:hAnsi="Arial" w:cs="Arial"/>
          <w:b/>
          <w:color w:val="000000"/>
          <w:sz w:val="20"/>
          <w:szCs w:val="20"/>
        </w:rPr>
        <w:tab/>
      </w:r>
      <w:r>
        <w:rPr>
          <w:rFonts w:ascii="Wingdings" w:eastAsia="Wingdings" w:hAnsi="Wingdings" w:cs="Wingdings"/>
          <w:b/>
          <w:color w:val="000000"/>
          <w:sz w:val="20"/>
          <w:szCs w:val="20"/>
        </w:rPr>
        <w:t>🞐</w:t>
      </w:r>
      <w:r>
        <w:rPr>
          <w:rFonts w:ascii="Arial" w:eastAsia="Arial" w:hAnsi="Arial" w:cs="Arial"/>
          <w:b/>
          <w:color w:val="000000"/>
          <w:sz w:val="20"/>
          <w:szCs w:val="20"/>
        </w:rPr>
        <w:t xml:space="preserve">NO </w:t>
      </w:r>
    </w:p>
    <w:p w:rsidR="00B74082" w:rsidRDefault="00B74082">
      <w:pPr>
        <w:ind w:left="0" w:hanging="2"/>
        <w:rPr>
          <w:rFonts w:ascii="Arial" w:eastAsia="Arial" w:hAnsi="Arial" w:cs="Arial"/>
          <w:color w:val="000000"/>
          <w:sz w:val="20"/>
          <w:szCs w:val="20"/>
        </w:rPr>
      </w:pPr>
    </w:p>
    <w:tbl>
      <w:tblPr>
        <w:tblStyle w:val="4"/>
        <w:tblW w:w="88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5"/>
        <w:gridCol w:w="1276"/>
        <w:gridCol w:w="1275"/>
        <w:gridCol w:w="833"/>
      </w:tblGrid>
      <w:tr w:rsidR="00B74082">
        <w:tc>
          <w:tcPr>
            <w:tcW w:w="5495" w:type="dxa"/>
          </w:tcPr>
          <w:p w:rsidR="00B74082" w:rsidRDefault="00B74082">
            <w:pPr>
              <w:ind w:left="0" w:hanging="2"/>
              <w:rPr>
                <w:rFonts w:ascii="Arial" w:eastAsia="Arial" w:hAnsi="Arial" w:cs="Arial"/>
                <w:color w:val="000000"/>
                <w:sz w:val="18"/>
                <w:szCs w:val="18"/>
              </w:rPr>
            </w:pPr>
          </w:p>
        </w:tc>
        <w:tc>
          <w:tcPr>
            <w:tcW w:w="1276" w:type="dxa"/>
          </w:tcPr>
          <w:p w:rsidR="00B74082" w:rsidRDefault="00DA20C8">
            <w:pPr>
              <w:ind w:left="0" w:hanging="2"/>
              <w:rPr>
                <w:rFonts w:ascii="Arial" w:eastAsia="Arial" w:hAnsi="Arial" w:cs="Arial"/>
                <w:color w:val="000000"/>
                <w:sz w:val="18"/>
                <w:szCs w:val="18"/>
              </w:rPr>
            </w:pPr>
            <w:r>
              <w:rPr>
                <w:rFonts w:ascii="Arial" w:eastAsia="Arial" w:hAnsi="Arial" w:cs="Arial"/>
                <w:color w:val="000000"/>
                <w:sz w:val="18"/>
                <w:szCs w:val="18"/>
              </w:rPr>
              <w:t>Actividad</w:t>
            </w:r>
          </w:p>
        </w:tc>
        <w:tc>
          <w:tcPr>
            <w:tcW w:w="1275" w:type="dxa"/>
          </w:tcPr>
          <w:p w:rsidR="00B74082" w:rsidRDefault="00DA20C8">
            <w:pPr>
              <w:ind w:left="0" w:hanging="2"/>
              <w:rPr>
                <w:rFonts w:ascii="Arial" w:eastAsia="Arial" w:hAnsi="Arial" w:cs="Arial"/>
                <w:color w:val="000000"/>
                <w:sz w:val="18"/>
                <w:szCs w:val="18"/>
              </w:rPr>
            </w:pPr>
            <w:r>
              <w:rPr>
                <w:rFonts w:ascii="Arial" w:eastAsia="Arial" w:hAnsi="Arial" w:cs="Arial"/>
                <w:color w:val="000000"/>
                <w:sz w:val="18"/>
                <w:szCs w:val="18"/>
              </w:rPr>
              <w:t>Institución</w:t>
            </w:r>
          </w:p>
        </w:tc>
        <w:tc>
          <w:tcPr>
            <w:tcW w:w="833" w:type="dxa"/>
          </w:tcPr>
          <w:p w:rsidR="00B74082" w:rsidRDefault="00DA20C8">
            <w:pPr>
              <w:ind w:left="0" w:hanging="2"/>
              <w:rPr>
                <w:rFonts w:ascii="Arial" w:eastAsia="Arial" w:hAnsi="Arial" w:cs="Arial"/>
                <w:color w:val="000000"/>
                <w:sz w:val="18"/>
                <w:szCs w:val="18"/>
              </w:rPr>
            </w:pPr>
            <w:r>
              <w:rPr>
                <w:rFonts w:ascii="Arial" w:eastAsia="Arial" w:hAnsi="Arial" w:cs="Arial"/>
                <w:color w:val="000000"/>
                <w:sz w:val="18"/>
                <w:szCs w:val="18"/>
              </w:rPr>
              <w:t>Fecha</w:t>
            </w:r>
          </w:p>
        </w:tc>
      </w:tr>
      <w:tr w:rsidR="00B74082">
        <w:tc>
          <w:tcPr>
            <w:tcW w:w="5495" w:type="dxa"/>
          </w:tcPr>
          <w:p w:rsidR="00B74082" w:rsidRDefault="00DA20C8">
            <w:pPr>
              <w:ind w:left="0" w:hanging="2"/>
              <w:rPr>
                <w:rFonts w:ascii="Arial" w:eastAsia="Arial" w:hAnsi="Arial" w:cs="Arial"/>
                <w:color w:val="000000"/>
                <w:sz w:val="18"/>
                <w:szCs w:val="18"/>
              </w:rPr>
            </w:pPr>
            <w:r>
              <w:rPr>
                <w:rFonts w:ascii="Arial" w:eastAsia="Arial" w:hAnsi="Arial" w:cs="Arial"/>
                <w:color w:val="000000"/>
                <w:sz w:val="18"/>
                <w:szCs w:val="18"/>
              </w:rPr>
              <w:t>Financiación para reuniones y congresos, asistencia a cursos (inscripciones, bolsas de viajes, alojamiento…)</w:t>
            </w:r>
          </w:p>
        </w:tc>
        <w:tc>
          <w:tcPr>
            <w:tcW w:w="1276" w:type="dxa"/>
          </w:tcPr>
          <w:p w:rsidR="00B74082" w:rsidRDefault="00B74082">
            <w:pPr>
              <w:ind w:left="0" w:hanging="2"/>
              <w:rPr>
                <w:rFonts w:ascii="Arial" w:eastAsia="Arial" w:hAnsi="Arial" w:cs="Arial"/>
                <w:color w:val="000000"/>
                <w:sz w:val="18"/>
                <w:szCs w:val="18"/>
              </w:rPr>
            </w:pPr>
          </w:p>
        </w:tc>
        <w:tc>
          <w:tcPr>
            <w:tcW w:w="1275" w:type="dxa"/>
          </w:tcPr>
          <w:p w:rsidR="00B74082" w:rsidRDefault="00B74082">
            <w:pPr>
              <w:ind w:left="0" w:hanging="2"/>
              <w:rPr>
                <w:rFonts w:ascii="Arial" w:eastAsia="Arial" w:hAnsi="Arial" w:cs="Arial"/>
                <w:color w:val="000000"/>
                <w:sz w:val="18"/>
                <w:szCs w:val="18"/>
              </w:rPr>
            </w:pPr>
          </w:p>
        </w:tc>
        <w:tc>
          <w:tcPr>
            <w:tcW w:w="833" w:type="dxa"/>
          </w:tcPr>
          <w:p w:rsidR="00B74082" w:rsidRDefault="00B74082">
            <w:pPr>
              <w:ind w:left="0" w:hanging="2"/>
              <w:rPr>
                <w:rFonts w:ascii="Arial" w:eastAsia="Arial" w:hAnsi="Arial" w:cs="Arial"/>
                <w:color w:val="000000"/>
                <w:sz w:val="18"/>
                <w:szCs w:val="18"/>
              </w:rPr>
            </w:pPr>
          </w:p>
        </w:tc>
      </w:tr>
      <w:tr w:rsidR="00B74082">
        <w:tc>
          <w:tcPr>
            <w:tcW w:w="5495" w:type="dxa"/>
          </w:tcPr>
          <w:p w:rsidR="00B74082" w:rsidRDefault="00DA20C8">
            <w:pPr>
              <w:ind w:left="0" w:hanging="2"/>
              <w:rPr>
                <w:rFonts w:ascii="Arial" w:eastAsia="Arial" w:hAnsi="Arial" w:cs="Arial"/>
                <w:color w:val="000000"/>
                <w:sz w:val="18"/>
                <w:szCs w:val="18"/>
              </w:rPr>
            </w:pPr>
            <w:r>
              <w:rPr>
                <w:rFonts w:ascii="Arial" w:eastAsia="Arial" w:hAnsi="Arial" w:cs="Arial"/>
                <w:color w:val="000000"/>
                <w:sz w:val="18"/>
                <w:szCs w:val="18"/>
              </w:rPr>
              <w:t>Honorarios como ponente (conferencias, cursos…)</w:t>
            </w:r>
          </w:p>
        </w:tc>
        <w:tc>
          <w:tcPr>
            <w:tcW w:w="1276" w:type="dxa"/>
          </w:tcPr>
          <w:p w:rsidR="00B74082" w:rsidRDefault="00B74082">
            <w:pPr>
              <w:ind w:left="0" w:hanging="2"/>
              <w:rPr>
                <w:rFonts w:ascii="Arial" w:eastAsia="Arial" w:hAnsi="Arial" w:cs="Arial"/>
                <w:color w:val="000000"/>
                <w:sz w:val="18"/>
                <w:szCs w:val="18"/>
              </w:rPr>
            </w:pPr>
          </w:p>
        </w:tc>
        <w:tc>
          <w:tcPr>
            <w:tcW w:w="1275" w:type="dxa"/>
          </w:tcPr>
          <w:p w:rsidR="00B74082" w:rsidRDefault="00B74082">
            <w:pPr>
              <w:ind w:left="0" w:hanging="2"/>
              <w:rPr>
                <w:rFonts w:ascii="Arial" w:eastAsia="Arial" w:hAnsi="Arial" w:cs="Arial"/>
                <w:color w:val="000000"/>
                <w:sz w:val="18"/>
                <w:szCs w:val="18"/>
              </w:rPr>
            </w:pPr>
          </w:p>
        </w:tc>
        <w:tc>
          <w:tcPr>
            <w:tcW w:w="833" w:type="dxa"/>
          </w:tcPr>
          <w:p w:rsidR="00B74082" w:rsidRDefault="00B74082">
            <w:pPr>
              <w:ind w:left="0" w:hanging="2"/>
              <w:rPr>
                <w:rFonts w:ascii="Arial" w:eastAsia="Arial" w:hAnsi="Arial" w:cs="Arial"/>
                <w:color w:val="000000"/>
                <w:sz w:val="18"/>
                <w:szCs w:val="18"/>
              </w:rPr>
            </w:pPr>
          </w:p>
        </w:tc>
      </w:tr>
      <w:tr w:rsidR="00B74082">
        <w:tc>
          <w:tcPr>
            <w:tcW w:w="5495" w:type="dxa"/>
          </w:tcPr>
          <w:p w:rsidR="00B74082" w:rsidRDefault="00DA20C8">
            <w:pPr>
              <w:ind w:left="0" w:hanging="2"/>
              <w:rPr>
                <w:rFonts w:ascii="Arial" w:eastAsia="Arial" w:hAnsi="Arial" w:cs="Arial"/>
                <w:color w:val="000000"/>
                <w:sz w:val="18"/>
                <w:szCs w:val="18"/>
              </w:rPr>
            </w:pPr>
            <w:r>
              <w:rPr>
                <w:rFonts w:ascii="Arial" w:eastAsia="Arial" w:hAnsi="Arial" w:cs="Arial"/>
                <w:color w:val="000000"/>
                <w:sz w:val="18"/>
                <w:szCs w:val="18"/>
              </w:rPr>
              <w:t>Financiación de programas educativos o cursos (contratación de personal, alquiler de instalaciones…)</w:t>
            </w:r>
          </w:p>
        </w:tc>
        <w:tc>
          <w:tcPr>
            <w:tcW w:w="1276" w:type="dxa"/>
          </w:tcPr>
          <w:p w:rsidR="00B74082" w:rsidRDefault="00B74082">
            <w:pPr>
              <w:ind w:left="0" w:hanging="2"/>
              <w:rPr>
                <w:rFonts w:ascii="Arial" w:eastAsia="Arial" w:hAnsi="Arial" w:cs="Arial"/>
                <w:color w:val="000000"/>
                <w:sz w:val="18"/>
                <w:szCs w:val="18"/>
              </w:rPr>
            </w:pPr>
          </w:p>
        </w:tc>
        <w:tc>
          <w:tcPr>
            <w:tcW w:w="1275" w:type="dxa"/>
          </w:tcPr>
          <w:p w:rsidR="00B74082" w:rsidRDefault="00B74082">
            <w:pPr>
              <w:ind w:left="0" w:hanging="2"/>
              <w:rPr>
                <w:rFonts w:ascii="Arial" w:eastAsia="Arial" w:hAnsi="Arial" w:cs="Arial"/>
                <w:color w:val="000000"/>
                <w:sz w:val="18"/>
                <w:szCs w:val="18"/>
              </w:rPr>
            </w:pPr>
          </w:p>
        </w:tc>
        <w:tc>
          <w:tcPr>
            <w:tcW w:w="833" w:type="dxa"/>
          </w:tcPr>
          <w:p w:rsidR="00B74082" w:rsidRDefault="00B74082">
            <w:pPr>
              <w:ind w:left="0" w:hanging="2"/>
              <w:rPr>
                <w:rFonts w:ascii="Arial" w:eastAsia="Arial" w:hAnsi="Arial" w:cs="Arial"/>
                <w:color w:val="000000"/>
                <w:sz w:val="18"/>
                <w:szCs w:val="18"/>
              </w:rPr>
            </w:pPr>
          </w:p>
        </w:tc>
      </w:tr>
      <w:tr w:rsidR="00B74082">
        <w:tc>
          <w:tcPr>
            <w:tcW w:w="5495" w:type="dxa"/>
          </w:tcPr>
          <w:p w:rsidR="00B74082" w:rsidRDefault="00DA20C8">
            <w:pPr>
              <w:ind w:left="0" w:hanging="2"/>
              <w:rPr>
                <w:rFonts w:ascii="Arial" w:eastAsia="Arial" w:hAnsi="Arial" w:cs="Arial"/>
                <w:color w:val="000000"/>
                <w:sz w:val="18"/>
                <w:szCs w:val="18"/>
              </w:rPr>
            </w:pPr>
            <w:r>
              <w:rPr>
                <w:rFonts w:ascii="Arial" w:eastAsia="Arial" w:hAnsi="Arial" w:cs="Arial"/>
                <w:color w:val="000000"/>
                <w:sz w:val="18"/>
                <w:szCs w:val="18"/>
              </w:rPr>
              <w:t>Financiación por participar en una investigación</w:t>
            </w:r>
          </w:p>
        </w:tc>
        <w:tc>
          <w:tcPr>
            <w:tcW w:w="1276" w:type="dxa"/>
          </w:tcPr>
          <w:p w:rsidR="00B74082" w:rsidRDefault="00B74082">
            <w:pPr>
              <w:ind w:left="0" w:hanging="2"/>
              <w:rPr>
                <w:rFonts w:ascii="Arial" w:eastAsia="Arial" w:hAnsi="Arial" w:cs="Arial"/>
                <w:color w:val="000000"/>
                <w:sz w:val="18"/>
                <w:szCs w:val="18"/>
              </w:rPr>
            </w:pPr>
          </w:p>
        </w:tc>
        <w:tc>
          <w:tcPr>
            <w:tcW w:w="1275" w:type="dxa"/>
          </w:tcPr>
          <w:p w:rsidR="00B74082" w:rsidRDefault="00B74082">
            <w:pPr>
              <w:ind w:left="0" w:hanging="2"/>
              <w:rPr>
                <w:rFonts w:ascii="Arial" w:eastAsia="Arial" w:hAnsi="Arial" w:cs="Arial"/>
                <w:color w:val="000000"/>
                <w:sz w:val="18"/>
                <w:szCs w:val="18"/>
              </w:rPr>
            </w:pPr>
          </w:p>
        </w:tc>
        <w:tc>
          <w:tcPr>
            <w:tcW w:w="833" w:type="dxa"/>
          </w:tcPr>
          <w:p w:rsidR="00B74082" w:rsidRDefault="00B74082">
            <w:pPr>
              <w:ind w:left="0" w:hanging="2"/>
              <w:rPr>
                <w:rFonts w:ascii="Arial" w:eastAsia="Arial" w:hAnsi="Arial" w:cs="Arial"/>
                <w:color w:val="000000"/>
                <w:sz w:val="18"/>
                <w:szCs w:val="18"/>
              </w:rPr>
            </w:pPr>
          </w:p>
        </w:tc>
      </w:tr>
      <w:tr w:rsidR="00B74082">
        <w:tc>
          <w:tcPr>
            <w:tcW w:w="5495" w:type="dxa"/>
          </w:tcPr>
          <w:p w:rsidR="00B74082" w:rsidRDefault="00DA20C8">
            <w:pPr>
              <w:ind w:left="0" w:hanging="2"/>
              <w:rPr>
                <w:rFonts w:ascii="Arial" w:eastAsia="Arial" w:hAnsi="Arial" w:cs="Arial"/>
                <w:color w:val="000000"/>
                <w:sz w:val="18"/>
                <w:szCs w:val="18"/>
              </w:rPr>
            </w:pPr>
            <w:r>
              <w:rPr>
                <w:rFonts w:ascii="Arial" w:eastAsia="Arial" w:hAnsi="Arial" w:cs="Arial"/>
                <w:color w:val="000000"/>
                <w:sz w:val="18"/>
                <w:szCs w:val="18"/>
              </w:rPr>
              <w:t>Consultoría para una compañía farmacéutica/otras tecnologías</w:t>
            </w:r>
          </w:p>
        </w:tc>
        <w:tc>
          <w:tcPr>
            <w:tcW w:w="1276" w:type="dxa"/>
          </w:tcPr>
          <w:p w:rsidR="00B74082" w:rsidRDefault="00B74082">
            <w:pPr>
              <w:ind w:left="0" w:hanging="2"/>
              <w:rPr>
                <w:rFonts w:ascii="Arial" w:eastAsia="Arial" w:hAnsi="Arial" w:cs="Arial"/>
                <w:color w:val="000000"/>
                <w:sz w:val="18"/>
                <w:szCs w:val="18"/>
              </w:rPr>
            </w:pPr>
          </w:p>
        </w:tc>
        <w:tc>
          <w:tcPr>
            <w:tcW w:w="1275" w:type="dxa"/>
          </w:tcPr>
          <w:p w:rsidR="00B74082" w:rsidRDefault="00B74082">
            <w:pPr>
              <w:ind w:left="0" w:hanging="2"/>
              <w:rPr>
                <w:rFonts w:ascii="Arial" w:eastAsia="Arial" w:hAnsi="Arial" w:cs="Arial"/>
                <w:color w:val="000000"/>
                <w:sz w:val="18"/>
                <w:szCs w:val="18"/>
              </w:rPr>
            </w:pPr>
          </w:p>
        </w:tc>
        <w:tc>
          <w:tcPr>
            <w:tcW w:w="833" w:type="dxa"/>
          </w:tcPr>
          <w:p w:rsidR="00B74082" w:rsidRDefault="00B74082">
            <w:pPr>
              <w:ind w:left="0" w:hanging="2"/>
              <w:rPr>
                <w:rFonts w:ascii="Arial" w:eastAsia="Arial" w:hAnsi="Arial" w:cs="Arial"/>
                <w:color w:val="000000"/>
                <w:sz w:val="18"/>
                <w:szCs w:val="18"/>
              </w:rPr>
            </w:pPr>
          </w:p>
        </w:tc>
      </w:tr>
      <w:tr w:rsidR="00B74082">
        <w:tc>
          <w:tcPr>
            <w:tcW w:w="5495" w:type="dxa"/>
          </w:tcPr>
          <w:p w:rsidR="00B74082" w:rsidRDefault="00DA20C8">
            <w:pPr>
              <w:ind w:left="0" w:hanging="2"/>
              <w:rPr>
                <w:rFonts w:ascii="Arial" w:eastAsia="Arial" w:hAnsi="Arial" w:cs="Arial"/>
                <w:color w:val="000000"/>
                <w:sz w:val="18"/>
                <w:szCs w:val="18"/>
              </w:rPr>
            </w:pPr>
            <w:r>
              <w:rPr>
                <w:rFonts w:ascii="Arial" w:eastAsia="Arial" w:hAnsi="Arial" w:cs="Arial"/>
                <w:color w:val="000000"/>
                <w:sz w:val="18"/>
                <w:szCs w:val="18"/>
              </w:rPr>
              <w:t>Accionista o con intereses comerciales en una compañía</w:t>
            </w:r>
          </w:p>
        </w:tc>
        <w:tc>
          <w:tcPr>
            <w:tcW w:w="1276" w:type="dxa"/>
          </w:tcPr>
          <w:p w:rsidR="00B74082" w:rsidRDefault="00B74082">
            <w:pPr>
              <w:ind w:left="0" w:hanging="2"/>
              <w:rPr>
                <w:rFonts w:ascii="Arial" w:eastAsia="Arial" w:hAnsi="Arial" w:cs="Arial"/>
                <w:color w:val="000000"/>
                <w:sz w:val="18"/>
                <w:szCs w:val="18"/>
              </w:rPr>
            </w:pPr>
          </w:p>
        </w:tc>
        <w:tc>
          <w:tcPr>
            <w:tcW w:w="1275" w:type="dxa"/>
          </w:tcPr>
          <w:p w:rsidR="00B74082" w:rsidRDefault="00B74082">
            <w:pPr>
              <w:ind w:left="0" w:hanging="2"/>
              <w:rPr>
                <w:rFonts w:ascii="Arial" w:eastAsia="Arial" w:hAnsi="Arial" w:cs="Arial"/>
                <w:color w:val="000000"/>
                <w:sz w:val="18"/>
                <w:szCs w:val="18"/>
              </w:rPr>
            </w:pPr>
          </w:p>
        </w:tc>
        <w:tc>
          <w:tcPr>
            <w:tcW w:w="833" w:type="dxa"/>
          </w:tcPr>
          <w:p w:rsidR="00B74082" w:rsidRDefault="00B74082">
            <w:pPr>
              <w:ind w:left="0" w:hanging="2"/>
              <w:rPr>
                <w:rFonts w:ascii="Arial" w:eastAsia="Arial" w:hAnsi="Arial" w:cs="Arial"/>
                <w:color w:val="000000"/>
                <w:sz w:val="18"/>
                <w:szCs w:val="18"/>
              </w:rPr>
            </w:pPr>
          </w:p>
        </w:tc>
      </w:tr>
      <w:tr w:rsidR="00B74082">
        <w:tc>
          <w:tcPr>
            <w:tcW w:w="5495" w:type="dxa"/>
          </w:tcPr>
          <w:p w:rsidR="00B74082" w:rsidRDefault="00DA20C8">
            <w:pPr>
              <w:ind w:left="0" w:hanging="2"/>
              <w:rPr>
                <w:rFonts w:ascii="Arial" w:eastAsia="Arial" w:hAnsi="Arial" w:cs="Arial"/>
                <w:color w:val="000000"/>
                <w:sz w:val="18"/>
                <w:szCs w:val="18"/>
              </w:rPr>
            </w:pPr>
            <w:r>
              <w:rPr>
                <w:rFonts w:ascii="Arial" w:eastAsia="Arial" w:hAnsi="Arial" w:cs="Arial"/>
                <w:color w:val="000000"/>
                <w:sz w:val="18"/>
                <w:szCs w:val="18"/>
              </w:rPr>
              <w:t>Intereses económicos en una empresa privada relacionada con la salud (propietario, empleado, accionista, consulta privada…), que puede ser significativo en relación a la autoría del informe</w:t>
            </w:r>
          </w:p>
        </w:tc>
        <w:tc>
          <w:tcPr>
            <w:tcW w:w="1276" w:type="dxa"/>
          </w:tcPr>
          <w:p w:rsidR="00B74082" w:rsidRDefault="00B74082">
            <w:pPr>
              <w:ind w:left="0" w:hanging="2"/>
              <w:rPr>
                <w:rFonts w:ascii="Arial" w:eastAsia="Arial" w:hAnsi="Arial" w:cs="Arial"/>
                <w:color w:val="000000"/>
                <w:sz w:val="18"/>
                <w:szCs w:val="18"/>
              </w:rPr>
            </w:pPr>
          </w:p>
        </w:tc>
        <w:tc>
          <w:tcPr>
            <w:tcW w:w="1275" w:type="dxa"/>
          </w:tcPr>
          <w:p w:rsidR="00B74082" w:rsidRDefault="00B74082">
            <w:pPr>
              <w:ind w:left="0" w:hanging="2"/>
              <w:rPr>
                <w:rFonts w:ascii="Arial" w:eastAsia="Arial" w:hAnsi="Arial" w:cs="Arial"/>
                <w:color w:val="000000"/>
                <w:sz w:val="18"/>
                <w:szCs w:val="18"/>
              </w:rPr>
            </w:pPr>
          </w:p>
        </w:tc>
        <w:tc>
          <w:tcPr>
            <w:tcW w:w="833" w:type="dxa"/>
          </w:tcPr>
          <w:p w:rsidR="00B74082" w:rsidRDefault="00B74082">
            <w:pPr>
              <w:ind w:left="0" w:hanging="2"/>
              <w:rPr>
                <w:rFonts w:ascii="Arial" w:eastAsia="Arial" w:hAnsi="Arial" w:cs="Arial"/>
                <w:color w:val="000000"/>
                <w:sz w:val="18"/>
                <w:szCs w:val="18"/>
              </w:rPr>
            </w:pPr>
          </w:p>
        </w:tc>
      </w:tr>
      <w:tr w:rsidR="00B74082">
        <w:tc>
          <w:tcPr>
            <w:tcW w:w="5495" w:type="dxa"/>
          </w:tcPr>
          <w:p w:rsidR="00B74082" w:rsidRDefault="00DA20C8">
            <w:pPr>
              <w:ind w:left="0" w:hanging="2"/>
              <w:rPr>
                <w:rFonts w:ascii="Arial" w:eastAsia="Arial" w:hAnsi="Arial" w:cs="Arial"/>
                <w:color w:val="000000"/>
                <w:sz w:val="18"/>
                <w:szCs w:val="18"/>
              </w:rPr>
            </w:pPr>
            <w:r>
              <w:rPr>
                <w:rFonts w:ascii="Arial" w:eastAsia="Arial" w:hAnsi="Arial" w:cs="Arial"/>
                <w:color w:val="000000"/>
                <w:sz w:val="18"/>
                <w:szCs w:val="18"/>
              </w:rPr>
              <w:t>Conflictos de intereses de índole no económico que pueden ser significativos en relación a la autoría en la guía</w:t>
            </w:r>
          </w:p>
        </w:tc>
        <w:tc>
          <w:tcPr>
            <w:tcW w:w="1276" w:type="dxa"/>
          </w:tcPr>
          <w:p w:rsidR="00B74082" w:rsidRDefault="00B74082">
            <w:pPr>
              <w:ind w:left="0" w:hanging="2"/>
              <w:rPr>
                <w:rFonts w:ascii="Arial" w:eastAsia="Arial" w:hAnsi="Arial" w:cs="Arial"/>
                <w:color w:val="000000"/>
                <w:sz w:val="18"/>
                <w:szCs w:val="18"/>
              </w:rPr>
            </w:pPr>
          </w:p>
        </w:tc>
        <w:tc>
          <w:tcPr>
            <w:tcW w:w="1275" w:type="dxa"/>
          </w:tcPr>
          <w:p w:rsidR="00B74082" w:rsidRDefault="00B74082">
            <w:pPr>
              <w:ind w:left="0" w:hanging="2"/>
              <w:rPr>
                <w:rFonts w:ascii="Arial" w:eastAsia="Arial" w:hAnsi="Arial" w:cs="Arial"/>
                <w:color w:val="000000"/>
                <w:sz w:val="18"/>
                <w:szCs w:val="18"/>
              </w:rPr>
            </w:pPr>
          </w:p>
        </w:tc>
        <w:tc>
          <w:tcPr>
            <w:tcW w:w="833" w:type="dxa"/>
          </w:tcPr>
          <w:p w:rsidR="00B74082" w:rsidRDefault="00B74082">
            <w:pPr>
              <w:ind w:left="0" w:hanging="2"/>
              <w:rPr>
                <w:rFonts w:ascii="Arial" w:eastAsia="Arial" w:hAnsi="Arial" w:cs="Arial"/>
                <w:color w:val="000000"/>
                <w:sz w:val="18"/>
                <w:szCs w:val="18"/>
              </w:rPr>
            </w:pPr>
          </w:p>
        </w:tc>
      </w:tr>
      <w:tr w:rsidR="00B74082">
        <w:trPr>
          <w:trHeight w:val="226"/>
        </w:trPr>
        <w:tc>
          <w:tcPr>
            <w:tcW w:w="8879" w:type="dxa"/>
            <w:gridSpan w:val="4"/>
          </w:tcPr>
          <w:p w:rsidR="00B74082" w:rsidRDefault="00B74082">
            <w:pPr>
              <w:ind w:left="0" w:hanging="2"/>
              <w:jc w:val="both"/>
              <w:rPr>
                <w:rFonts w:ascii="Arial" w:eastAsia="Arial" w:hAnsi="Arial" w:cs="Arial"/>
                <w:color w:val="FF0000"/>
                <w:sz w:val="18"/>
                <w:szCs w:val="18"/>
              </w:rPr>
            </w:pPr>
          </w:p>
        </w:tc>
      </w:tr>
    </w:tbl>
    <w:p w:rsidR="00B74082" w:rsidRDefault="00DA20C8">
      <w:pPr>
        <w:ind w:left="0" w:hanging="2"/>
        <w:rPr>
          <w:rFonts w:ascii="Arial" w:eastAsia="Arial" w:hAnsi="Arial" w:cs="Arial"/>
          <w:color w:val="000000"/>
          <w:sz w:val="20"/>
          <w:szCs w:val="20"/>
        </w:rPr>
      </w:pPr>
      <w:r>
        <w:rPr>
          <w:rFonts w:ascii="Arial" w:eastAsia="Arial" w:hAnsi="Arial" w:cs="Arial"/>
          <w:b/>
          <w:color w:val="000000"/>
          <w:sz w:val="20"/>
          <w:szCs w:val="20"/>
        </w:rPr>
        <w:t>B- Intereses no personales (</w:t>
      </w:r>
      <w:r>
        <w:rPr>
          <w:rFonts w:ascii="Arial" w:eastAsia="Arial" w:hAnsi="Arial" w:cs="Arial"/>
          <w:color w:val="000000"/>
          <w:sz w:val="20"/>
          <w:szCs w:val="20"/>
        </w:rPr>
        <w:t>En caso afirmativo especificar</w:t>
      </w:r>
      <w:r>
        <w:rPr>
          <w:rFonts w:ascii="Arial" w:eastAsia="Arial" w:hAnsi="Arial" w:cs="Arial"/>
          <w:b/>
          <w:color w:val="000000"/>
          <w:sz w:val="20"/>
          <w:szCs w:val="20"/>
        </w:rPr>
        <w:t xml:space="preserve">): </w:t>
      </w:r>
      <w:r>
        <w:rPr>
          <w:rFonts w:ascii="Arial" w:eastAsia="Arial" w:hAnsi="Arial" w:cs="Arial"/>
          <w:b/>
          <w:color w:val="000000"/>
          <w:sz w:val="20"/>
          <w:szCs w:val="20"/>
        </w:rPr>
        <w:tab/>
      </w:r>
      <w:r>
        <w:rPr>
          <w:rFonts w:ascii="Arial" w:eastAsia="Arial" w:hAnsi="Arial" w:cs="Arial"/>
          <w:b/>
          <w:color w:val="000000"/>
          <w:sz w:val="20"/>
          <w:szCs w:val="20"/>
        </w:rPr>
        <w:tab/>
      </w:r>
      <w:r>
        <w:rPr>
          <w:rFonts w:ascii="Wingdings" w:eastAsia="Wingdings" w:hAnsi="Wingdings" w:cs="Wingdings"/>
          <w:b/>
          <w:color w:val="000000"/>
          <w:sz w:val="20"/>
          <w:szCs w:val="20"/>
        </w:rPr>
        <w:t>🞐</w:t>
      </w:r>
      <w:r>
        <w:rPr>
          <w:rFonts w:ascii="Arial" w:eastAsia="Arial" w:hAnsi="Arial" w:cs="Arial"/>
          <w:b/>
          <w:color w:val="000000"/>
          <w:sz w:val="20"/>
          <w:szCs w:val="20"/>
        </w:rPr>
        <w:t>SI</w:t>
      </w:r>
      <w:r>
        <w:rPr>
          <w:rFonts w:ascii="Arial" w:eastAsia="Arial" w:hAnsi="Arial" w:cs="Arial"/>
          <w:b/>
          <w:color w:val="000000"/>
          <w:sz w:val="20"/>
          <w:szCs w:val="20"/>
        </w:rPr>
        <w:tab/>
      </w:r>
      <w:r>
        <w:rPr>
          <w:rFonts w:ascii="Arial" w:eastAsia="Arial" w:hAnsi="Arial" w:cs="Arial"/>
          <w:b/>
          <w:color w:val="000000"/>
          <w:sz w:val="20"/>
          <w:szCs w:val="20"/>
        </w:rPr>
        <w:tab/>
      </w:r>
      <w:r>
        <w:rPr>
          <w:rFonts w:ascii="Wingdings" w:eastAsia="Wingdings" w:hAnsi="Wingdings" w:cs="Wingdings"/>
          <w:b/>
          <w:color w:val="000000"/>
          <w:sz w:val="20"/>
          <w:szCs w:val="20"/>
        </w:rPr>
        <w:t>🞐</w:t>
      </w:r>
      <w:r>
        <w:rPr>
          <w:rFonts w:ascii="Arial" w:eastAsia="Arial" w:hAnsi="Arial" w:cs="Arial"/>
          <w:b/>
          <w:color w:val="000000"/>
          <w:sz w:val="20"/>
          <w:szCs w:val="20"/>
        </w:rPr>
        <w:t>NO</w:t>
      </w:r>
    </w:p>
    <w:p w:rsidR="00B74082" w:rsidRDefault="00DA20C8">
      <w:pPr>
        <w:ind w:left="0" w:hanging="2"/>
        <w:rPr>
          <w:rFonts w:ascii="Arial" w:eastAsia="Arial" w:hAnsi="Arial" w:cs="Arial"/>
          <w:color w:val="000000"/>
          <w:sz w:val="20"/>
          <w:szCs w:val="20"/>
        </w:rPr>
      </w:pPr>
      <w:r>
        <w:rPr>
          <w:rFonts w:ascii="Arial" w:eastAsia="Arial" w:hAnsi="Arial" w:cs="Arial"/>
          <w:b/>
          <w:color w:val="000000"/>
          <w:sz w:val="20"/>
          <w:szCs w:val="20"/>
        </w:rPr>
        <w:t xml:space="preserve"> </w:t>
      </w:r>
    </w:p>
    <w:tbl>
      <w:tblPr>
        <w:tblStyle w:val="3"/>
        <w:tblW w:w="9039"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9039"/>
      </w:tblGrid>
      <w:tr w:rsidR="00B74082">
        <w:trPr>
          <w:trHeight w:val="226"/>
        </w:trPr>
        <w:tc>
          <w:tcPr>
            <w:tcW w:w="9039" w:type="dxa"/>
          </w:tcPr>
          <w:p w:rsidR="00B74082" w:rsidRDefault="00B74082">
            <w:pPr>
              <w:pBdr>
                <w:top w:val="nil"/>
                <w:left w:val="nil"/>
                <w:bottom w:val="nil"/>
                <w:right w:val="nil"/>
                <w:between w:val="nil"/>
              </w:pBdr>
              <w:spacing w:line="240" w:lineRule="auto"/>
              <w:ind w:left="0" w:hanging="2"/>
              <w:rPr>
                <w:rFonts w:ascii="Arial" w:eastAsia="Arial" w:hAnsi="Arial" w:cs="Arial"/>
                <w:color w:val="000000"/>
                <w:sz w:val="20"/>
                <w:szCs w:val="20"/>
              </w:rPr>
            </w:pPr>
          </w:p>
          <w:tbl>
            <w:tblPr>
              <w:tblStyle w:val="2"/>
              <w:tblW w:w="88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5"/>
              <w:gridCol w:w="1276"/>
              <w:gridCol w:w="1275"/>
              <w:gridCol w:w="833"/>
            </w:tblGrid>
            <w:tr w:rsidR="00B74082">
              <w:tc>
                <w:tcPr>
                  <w:tcW w:w="5495" w:type="dxa"/>
                </w:tcPr>
                <w:p w:rsidR="00B74082" w:rsidRDefault="00B74082">
                  <w:pPr>
                    <w:ind w:left="0" w:hanging="2"/>
                    <w:rPr>
                      <w:rFonts w:ascii="Arial" w:eastAsia="Arial" w:hAnsi="Arial" w:cs="Arial"/>
                      <w:color w:val="000000"/>
                      <w:sz w:val="18"/>
                      <w:szCs w:val="18"/>
                    </w:rPr>
                  </w:pPr>
                </w:p>
              </w:tc>
              <w:tc>
                <w:tcPr>
                  <w:tcW w:w="1276" w:type="dxa"/>
                </w:tcPr>
                <w:p w:rsidR="00B74082" w:rsidRDefault="00DA20C8">
                  <w:pPr>
                    <w:ind w:left="0" w:hanging="2"/>
                    <w:rPr>
                      <w:rFonts w:ascii="Arial" w:eastAsia="Arial" w:hAnsi="Arial" w:cs="Arial"/>
                      <w:color w:val="000000"/>
                      <w:sz w:val="18"/>
                      <w:szCs w:val="18"/>
                    </w:rPr>
                  </w:pPr>
                  <w:r>
                    <w:rPr>
                      <w:rFonts w:ascii="Arial" w:eastAsia="Arial" w:hAnsi="Arial" w:cs="Arial"/>
                      <w:color w:val="000000"/>
                      <w:sz w:val="18"/>
                      <w:szCs w:val="18"/>
                    </w:rPr>
                    <w:t>Actividad</w:t>
                  </w:r>
                </w:p>
              </w:tc>
              <w:tc>
                <w:tcPr>
                  <w:tcW w:w="1275" w:type="dxa"/>
                </w:tcPr>
                <w:p w:rsidR="00B74082" w:rsidRDefault="00DA20C8">
                  <w:pPr>
                    <w:ind w:left="0" w:hanging="2"/>
                    <w:rPr>
                      <w:rFonts w:ascii="Arial" w:eastAsia="Arial" w:hAnsi="Arial" w:cs="Arial"/>
                      <w:color w:val="000000"/>
                      <w:sz w:val="18"/>
                      <w:szCs w:val="18"/>
                    </w:rPr>
                  </w:pPr>
                  <w:r>
                    <w:rPr>
                      <w:rFonts w:ascii="Arial" w:eastAsia="Arial" w:hAnsi="Arial" w:cs="Arial"/>
                      <w:color w:val="000000"/>
                      <w:sz w:val="18"/>
                      <w:szCs w:val="18"/>
                    </w:rPr>
                    <w:t>Institución</w:t>
                  </w:r>
                </w:p>
              </w:tc>
              <w:tc>
                <w:tcPr>
                  <w:tcW w:w="833" w:type="dxa"/>
                </w:tcPr>
                <w:p w:rsidR="00B74082" w:rsidRDefault="00DA20C8">
                  <w:pPr>
                    <w:ind w:left="0" w:hanging="2"/>
                    <w:rPr>
                      <w:rFonts w:ascii="Arial" w:eastAsia="Arial" w:hAnsi="Arial" w:cs="Arial"/>
                      <w:color w:val="000000"/>
                      <w:sz w:val="18"/>
                      <w:szCs w:val="18"/>
                    </w:rPr>
                  </w:pPr>
                  <w:r>
                    <w:rPr>
                      <w:rFonts w:ascii="Arial" w:eastAsia="Arial" w:hAnsi="Arial" w:cs="Arial"/>
                      <w:color w:val="000000"/>
                      <w:sz w:val="18"/>
                      <w:szCs w:val="18"/>
                    </w:rPr>
                    <w:t>Fecha</w:t>
                  </w:r>
                </w:p>
              </w:tc>
            </w:tr>
            <w:tr w:rsidR="00B74082">
              <w:tc>
                <w:tcPr>
                  <w:tcW w:w="5495" w:type="dxa"/>
                </w:tcPr>
                <w:p w:rsidR="00B74082" w:rsidRDefault="00DA20C8">
                  <w:pPr>
                    <w:ind w:left="0" w:hanging="2"/>
                    <w:rPr>
                      <w:rFonts w:ascii="Arial" w:eastAsia="Arial" w:hAnsi="Arial" w:cs="Arial"/>
                      <w:color w:val="000000"/>
                      <w:sz w:val="18"/>
                      <w:szCs w:val="18"/>
                    </w:rPr>
                  </w:pPr>
                  <w:r>
                    <w:rPr>
                      <w:rFonts w:ascii="Arial" w:eastAsia="Arial" w:hAnsi="Arial" w:cs="Arial"/>
                      <w:color w:val="000000"/>
                      <w:sz w:val="18"/>
                      <w:szCs w:val="18"/>
                    </w:rPr>
                    <w:t>Financiación o ayudas económicas para la creación de la unidad o servicio</w:t>
                  </w:r>
                </w:p>
              </w:tc>
              <w:tc>
                <w:tcPr>
                  <w:tcW w:w="1276" w:type="dxa"/>
                </w:tcPr>
                <w:p w:rsidR="00B74082" w:rsidRDefault="00B74082">
                  <w:pPr>
                    <w:ind w:left="0" w:hanging="2"/>
                    <w:rPr>
                      <w:rFonts w:ascii="Arial" w:eastAsia="Arial" w:hAnsi="Arial" w:cs="Arial"/>
                      <w:color w:val="000000"/>
                      <w:sz w:val="18"/>
                      <w:szCs w:val="18"/>
                    </w:rPr>
                  </w:pPr>
                </w:p>
              </w:tc>
              <w:tc>
                <w:tcPr>
                  <w:tcW w:w="1275" w:type="dxa"/>
                </w:tcPr>
                <w:p w:rsidR="00B74082" w:rsidRDefault="00B74082">
                  <w:pPr>
                    <w:ind w:left="0" w:hanging="2"/>
                    <w:rPr>
                      <w:rFonts w:ascii="Arial" w:eastAsia="Arial" w:hAnsi="Arial" w:cs="Arial"/>
                      <w:color w:val="000000"/>
                      <w:sz w:val="18"/>
                      <w:szCs w:val="18"/>
                    </w:rPr>
                  </w:pPr>
                </w:p>
              </w:tc>
              <w:tc>
                <w:tcPr>
                  <w:tcW w:w="833" w:type="dxa"/>
                </w:tcPr>
                <w:p w:rsidR="00B74082" w:rsidRDefault="00B74082">
                  <w:pPr>
                    <w:ind w:left="0" w:hanging="2"/>
                    <w:rPr>
                      <w:rFonts w:ascii="Arial" w:eastAsia="Arial" w:hAnsi="Arial" w:cs="Arial"/>
                      <w:color w:val="000000"/>
                      <w:sz w:val="18"/>
                      <w:szCs w:val="18"/>
                    </w:rPr>
                  </w:pPr>
                </w:p>
              </w:tc>
            </w:tr>
            <w:tr w:rsidR="00B74082">
              <w:tc>
                <w:tcPr>
                  <w:tcW w:w="5495" w:type="dxa"/>
                </w:tcPr>
                <w:p w:rsidR="00B74082" w:rsidRDefault="00DA20C8">
                  <w:pPr>
                    <w:ind w:left="0" w:hanging="2"/>
                    <w:rPr>
                      <w:rFonts w:ascii="Arial" w:eastAsia="Arial" w:hAnsi="Arial" w:cs="Arial"/>
                      <w:color w:val="000000"/>
                      <w:sz w:val="18"/>
                      <w:szCs w:val="18"/>
                    </w:rPr>
                  </w:pPr>
                  <w:r>
                    <w:rPr>
                      <w:rFonts w:ascii="Arial" w:eastAsia="Arial" w:hAnsi="Arial" w:cs="Arial"/>
                      <w:color w:val="000000"/>
                      <w:sz w:val="18"/>
                      <w:szCs w:val="18"/>
                    </w:rPr>
                    <w:t>Dotación significativa de material a la unidad o servicio</w:t>
                  </w:r>
                </w:p>
              </w:tc>
              <w:tc>
                <w:tcPr>
                  <w:tcW w:w="1276" w:type="dxa"/>
                </w:tcPr>
                <w:p w:rsidR="00B74082" w:rsidRDefault="00B74082">
                  <w:pPr>
                    <w:ind w:left="0" w:hanging="2"/>
                    <w:rPr>
                      <w:rFonts w:ascii="Arial" w:eastAsia="Arial" w:hAnsi="Arial" w:cs="Arial"/>
                      <w:color w:val="000000"/>
                      <w:sz w:val="18"/>
                      <w:szCs w:val="18"/>
                    </w:rPr>
                  </w:pPr>
                </w:p>
              </w:tc>
              <w:tc>
                <w:tcPr>
                  <w:tcW w:w="1275" w:type="dxa"/>
                </w:tcPr>
                <w:p w:rsidR="00B74082" w:rsidRDefault="00B74082">
                  <w:pPr>
                    <w:ind w:left="0" w:hanging="2"/>
                    <w:rPr>
                      <w:rFonts w:ascii="Arial" w:eastAsia="Arial" w:hAnsi="Arial" w:cs="Arial"/>
                      <w:color w:val="000000"/>
                      <w:sz w:val="18"/>
                      <w:szCs w:val="18"/>
                    </w:rPr>
                  </w:pPr>
                </w:p>
              </w:tc>
              <w:tc>
                <w:tcPr>
                  <w:tcW w:w="833" w:type="dxa"/>
                </w:tcPr>
                <w:p w:rsidR="00B74082" w:rsidRDefault="00B74082">
                  <w:pPr>
                    <w:ind w:left="0" w:hanging="2"/>
                    <w:rPr>
                      <w:rFonts w:ascii="Arial" w:eastAsia="Arial" w:hAnsi="Arial" w:cs="Arial"/>
                      <w:color w:val="000000"/>
                      <w:sz w:val="18"/>
                      <w:szCs w:val="18"/>
                    </w:rPr>
                  </w:pPr>
                </w:p>
              </w:tc>
            </w:tr>
            <w:tr w:rsidR="00B74082">
              <w:tc>
                <w:tcPr>
                  <w:tcW w:w="5495" w:type="dxa"/>
                </w:tcPr>
                <w:p w:rsidR="00B74082" w:rsidRDefault="00DA20C8">
                  <w:pPr>
                    <w:ind w:left="0" w:hanging="2"/>
                    <w:rPr>
                      <w:rFonts w:ascii="Arial" w:eastAsia="Arial" w:hAnsi="Arial" w:cs="Arial"/>
                      <w:color w:val="000000"/>
                      <w:sz w:val="18"/>
                      <w:szCs w:val="18"/>
                    </w:rPr>
                  </w:pPr>
                  <w:r>
                    <w:rPr>
                      <w:rFonts w:ascii="Arial" w:eastAsia="Arial" w:hAnsi="Arial" w:cs="Arial"/>
                      <w:color w:val="000000"/>
                      <w:sz w:val="18"/>
                      <w:szCs w:val="18"/>
                    </w:rPr>
                    <w:t>Contratación o ayudas económicas para contratar personal en la unidad o servicio</w:t>
                  </w:r>
                </w:p>
              </w:tc>
              <w:tc>
                <w:tcPr>
                  <w:tcW w:w="1276" w:type="dxa"/>
                </w:tcPr>
                <w:p w:rsidR="00B74082" w:rsidRDefault="00B74082">
                  <w:pPr>
                    <w:ind w:left="0" w:hanging="2"/>
                    <w:rPr>
                      <w:rFonts w:ascii="Arial" w:eastAsia="Arial" w:hAnsi="Arial" w:cs="Arial"/>
                      <w:color w:val="000000"/>
                      <w:sz w:val="18"/>
                      <w:szCs w:val="18"/>
                    </w:rPr>
                  </w:pPr>
                </w:p>
              </w:tc>
              <w:tc>
                <w:tcPr>
                  <w:tcW w:w="1275" w:type="dxa"/>
                </w:tcPr>
                <w:p w:rsidR="00B74082" w:rsidRDefault="00B74082">
                  <w:pPr>
                    <w:ind w:left="0" w:hanging="2"/>
                    <w:rPr>
                      <w:rFonts w:ascii="Arial" w:eastAsia="Arial" w:hAnsi="Arial" w:cs="Arial"/>
                      <w:color w:val="000000"/>
                      <w:sz w:val="18"/>
                      <w:szCs w:val="18"/>
                    </w:rPr>
                  </w:pPr>
                </w:p>
              </w:tc>
              <w:tc>
                <w:tcPr>
                  <w:tcW w:w="833" w:type="dxa"/>
                </w:tcPr>
                <w:p w:rsidR="00B74082" w:rsidRDefault="00B74082">
                  <w:pPr>
                    <w:ind w:left="0" w:hanging="2"/>
                    <w:rPr>
                      <w:rFonts w:ascii="Arial" w:eastAsia="Arial" w:hAnsi="Arial" w:cs="Arial"/>
                      <w:color w:val="000000"/>
                      <w:sz w:val="18"/>
                      <w:szCs w:val="18"/>
                    </w:rPr>
                  </w:pPr>
                </w:p>
              </w:tc>
            </w:tr>
            <w:tr w:rsidR="00B74082">
              <w:tc>
                <w:tcPr>
                  <w:tcW w:w="5495" w:type="dxa"/>
                </w:tcPr>
                <w:p w:rsidR="00B74082" w:rsidRDefault="00DA20C8">
                  <w:pPr>
                    <w:ind w:left="0" w:hanging="2"/>
                    <w:rPr>
                      <w:rFonts w:ascii="Arial" w:eastAsia="Arial" w:hAnsi="Arial" w:cs="Arial"/>
                      <w:color w:val="000000"/>
                      <w:sz w:val="18"/>
                      <w:szCs w:val="18"/>
                    </w:rPr>
                  </w:pPr>
                  <w:r>
                    <w:rPr>
                      <w:rFonts w:ascii="Arial" w:eastAsia="Arial" w:hAnsi="Arial" w:cs="Arial"/>
                      <w:color w:val="000000"/>
                      <w:sz w:val="18"/>
                      <w:szCs w:val="18"/>
                    </w:rPr>
                    <w:t>Ayuda económica para la financiación de una investigación</w:t>
                  </w:r>
                </w:p>
              </w:tc>
              <w:tc>
                <w:tcPr>
                  <w:tcW w:w="1276" w:type="dxa"/>
                </w:tcPr>
                <w:p w:rsidR="00B74082" w:rsidRDefault="00B74082">
                  <w:pPr>
                    <w:ind w:left="0" w:hanging="2"/>
                    <w:rPr>
                      <w:rFonts w:ascii="Arial" w:eastAsia="Arial" w:hAnsi="Arial" w:cs="Arial"/>
                      <w:color w:val="000000"/>
                      <w:sz w:val="18"/>
                      <w:szCs w:val="18"/>
                    </w:rPr>
                  </w:pPr>
                </w:p>
              </w:tc>
              <w:tc>
                <w:tcPr>
                  <w:tcW w:w="1275" w:type="dxa"/>
                </w:tcPr>
                <w:p w:rsidR="00B74082" w:rsidRDefault="00B74082">
                  <w:pPr>
                    <w:ind w:left="0" w:hanging="2"/>
                    <w:rPr>
                      <w:rFonts w:ascii="Arial" w:eastAsia="Arial" w:hAnsi="Arial" w:cs="Arial"/>
                      <w:color w:val="000000"/>
                      <w:sz w:val="18"/>
                      <w:szCs w:val="18"/>
                    </w:rPr>
                  </w:pPr>
                </w:p>
              </w:tc>
              <w:tc>
                <w:tcPr>
                  <w:tcW w:w="833" w:type="dxa"/>
                </w:tcPr>
                <w:p w:rsidR="00B74082" w:rsidRDefault="00B74082">
                  <w:pPr>
                    <w:ind w:left="0" w:hanging="2"/>
                    <w:rPr>
                      <w:rFonts w:ascii="Arial" w:eastAsia="Arial" w:hAnsi="Arial" w:cs="Arial"/>
                      <w:color w:val="000000"/>
                      <w:sz w:val="18"/>
                      <w:szCs w:val="18"/>
                    </w:rPr>
                  </w:pPr>
                </w:p>
              </w:tc>
            </w:tr>
            <w:tr w:rsidR="00B74082">
              <w:tc>
                <w:tcPr>
                  <w:tcW w:w="5495" w:type="dxa"/>
                </w:tcPr>
                <w:p w:rsidR="00B74082" w:rsidRDefault="00DA20C8">
                  <w:pPr>
                    <w:ind w:left="0" w:hanging="2"/>
                    <w:rPr>
                      <w:rFonts w:ascii="Arial" w:eastAsia="Arial" w:hAnsi="Arial" w:cs="Arial"/>
                      <w:color w:val="000000"/>
                      <w:sz w:val="18"/>
                      <w:szCs w:val="18"/>
                    </w:rPr>
                  </w:pPr>
                  <w:r>
                    <w:rPr>
                      <w:rFonts w:ascii="Arial" w:eastAsia="Arial" w:hAnsi="Arial" w:cs="Arial"/>
                      <w:color w:val="000000"/>
                      <w:sz w:val="18"/>
                      <w:szCs w:val="18"/>
                    </w:rPr>
                    <w:t>Financiación de programas educativos o cursos para la unidad</w:t>
                  </w:r>
                </w:p>
              </w:tc>
              <w:tc>
                <w:tcPr>
                  <w:tcW w:w="1276" w:type="dxa"/>
                </w:tcPr>
                <w:p w:rsidR="00B74082" w:rsidRDefault="00B74082">
                  <w:pPr>
                    <w:ind w:left="0" w:hanging="2"/>
                    <w:rPr>
                      <w:rFonts w:ascii="Arial" w:eastAsia="Arial" w:hAnsi="Arial" w:cs="Arial"/>
                      <w:color w:val="000000"/>
                      <w:sz w:val="18"/>
                      <w:szCs w:val="18"/>
                    </w:rPr>
                  </w:pPr>
                </w:p>
              </w:tc>
              <w:tc>
                <w:tcPr>
                  <w:tcW w:w="1275" w:type="dxa"/>
                </w:tcPr>
                <w:p w:rsidR="00B74082" w:rsidRDefault="00B74082">
                  <w:pPr>
                    <w:ind w:left="0" w:hanging="2"/>
                    <w:rPr>
                      <w:rFonts w:ascii="Arial" w:eastAsia="Arial" w:hAnsi="Arial" w:cs="Arial"/>
                      <w:color w:val="000000"/>
                      <w:sz w:val="18"/>
                      <w:szCs w:val="18"/>
                    </w:rPr>
                  </w:pPr>
                </w:p>
              </w:tc>
              <w:tc>
                <w:tcPr>
                  <w:tcW w:w="833" w:type="dxa"/>
                </w:tcPr>
                <w:p w:rsidR="00B74082" w:rsidRDefault="00B74082">
                  <w:pPr>
                    <w:ind w:left="0" w:hanging="2"/>
                    <w:rPr>
                      <w:rFonts w:ascii="Arial" w:eastAsia="Arial" w:hAnsi="Arial" w:cs="Arial"/>
                      <w:color w:val="000000"/>
                      <w:sz w:val="18"/>
                      <w:szCs w:val="18"/>
                    </w:rPr>
                  </w:pPr>
                </w:p>
              </w:tc>
            </w:tr>
          </w:tbl>
          <w:p w:rsidR="00B74082" w:rsidRDefault="00B74082">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B74082" w:rsidRDefault="00B74082">
      <w:pPr>
        <w:ind w:left="0" w:hanging="2"/>
        <w:rPr>
          <w:rFonts w:ascii="Arial" w:eastAsia="Arial" w:hAnsi="Arial" w:cs="Arial"/>
          <w:color w:val="000000"/>
          <w:sz w:val="20"/>
          <w:szCs w:val="20"/>
        </w:rPr>
      </w:pPr>
    </w:p>
    <w:p w:rsidR="00B74082" w:rsidRDefault="00DA20C8">
      <w:pPr>
        <w:ind w:left="0" w:hanging="2"/>
        <w:rPr>
          <w:rFonts w:ascii="Arial" w:eastAsia="Arial" w:hAnsi="Arial" w:cs="Arial"/>
          <w:sz w:val="20"/>
          <w:szCs w:val="20"/>
        </w:rPr>
      </w:pPr>
      <w:r>
        <w:rPr>
          <w:rFonts w:ascii="Arial" w:eastAsia="Arial" w:hAnsi="Arial" w:cs="Arial"/>
          <w:b/>
          <w:color w:val="000000"/>
          <w:sz w:val="20"/>
          <w:szCs w:val="20"/>
        </w:rPr>
        <w:t>C-Otros posibles conflictos de intereses no señalados en apartados anteriores (especificar)</w:t>
      </w:r>
      <w:r>
        <w:rPr>
          <w:rFonts w:ascii="Arial" w:eastAsia="Arial" w:hAnsi="Arial" w:cs="Arial"/>
          <w:b/>
          <w:sz w:val="20"/>
          <w:szCs w:val="20"/>
        </w:rPr>
        <w:t xml:space="preserve"> </w:t>
      </w:r>
    </w:p>
    <w:p w:rsidR="00B74082" w:rsidRDefault="00B74082">
      <w:pPr>
        <w:ind w:left="0" w:hanging="2"/>
        <w:rPr>
          <w:rFonts w:ascii="Arial" w:eastAsia="Arial" w:hAnsi="Arial" w:cs="Arial"/>
          <w:sz w:val="20"/>
          <w:szCs w:val="20"/>
        </w:rPr>
      </w:pPr>
    </w:p>
    <w:p w:rsidR="00B74082" w:rsidRDefault="00B74082">
      <w:pPr>
        <w:ind w:left="0" w:hanging="2"/>
        <w:rPr>
          <w:rFonts w:ascii="Arial" w:eastAsia="Arial" w:hAnsi="Arial" w:cs="Arial"/>
          <w:sz w:val="20"/>
          <w:szCs w:val="20"/>
        </w:rPr>
      </w:pPr>
    </w:p>
    <w:p w:rsidR="00B74082" w:rsidRDefault="00B74082">
      <w:pPr>
        <w:ind w:left="0" w:hanging="2"/>
        <w:rPr>
          <w:rFonts w:ascii="Arial" w:eastAsia="Arial" w:hAnsi="Arial" w:cs="Arial"/>
          <w:sz w:val="20"/>
          <w:szCs w:val="20"/>
        </w:rPr>
      </w:pPr>
    </w:p>
    <w:p w:rsidR="00B74082" w:rsidRDefault="00B74082">
      <w:pPr>
        <w:ind w:left="0" w:hanging="2"/>
        <w:rPr>
          <w:rFonts w:ascii="Arial" w:eastAsia="Arial" w:hAnsi="Arial" w:cs="Arial"/>
          <w:sz w:val="20"/>
          <w:szCs w:val="20"/>
        </w:rPr>
      </w:pPr>
    </w:p>
    <w:p w:rsidR="00B74082" w:rsidRDefault="00DA20C8">
      <w:pPr>
        <w:ind w:left="0" w:hanging="2"/>
        <w:rPr>
          <w:rFonts w:ascii="Arial" w:eastAsia="Arial" w:hAnsi="Arial" w:cs="Arial"/>
          <w:color w:val="000080"/>
          <w:sz w:val="20"/>
          <w:szCs w:val="20"/>
        </w:rPr>
      </w:pPr>
      <w:r>
        <w:rPr>
          <w:rFonts w:ascii="Arial" w:eastAsia="Arial" w:hAnsi="Arial" w:cs="Arial"/>
          <w:b/>
          <w:sz w:val="20"/>
          <w:szCs w:val="20"/>
        </w:rPr>
        <w:t>FECHA</w:t>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t>FIRMA</w:t>
      </w:r>
    </w:p>
    <w:sectPr w:rsidR="00B74082" w:rsidSect="00E90104">
      <w:headerReference w:type="even" r:id="rId28"/>
      <w:headerReference w:type="default" r:id="rId29"/>
      <w:footerReference w:type="even" r:id="rId30"/>
      <w:footerReference w:type="default" r:id="rId31"/>
      <w:headerReference w:type="first" r:id="rId32"/>
      <w:footerReference w:type="first" r:id="rId33"/>
      <w:pgSz w:w="11906" w:h="16838"/>
      <w:pgMar w:top="1417" w:right="1466"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64BB" w:rsidRDefault="00E564BB">
      <w:pPr>
        <w:spacing w:line="240" w:lineRule="auto"/>
        <w:ind w:left="0" w:hanging="2"/>
      </w:pPr>
      <w:r>
        <w:separator/>
      </w:r>
    </w:p>
  </w:endnote>
  <w:endnote w:type="continuationSeparator" w:id="0">
    <w:p w:rsidR="00E564BB" w:rsidRDefault="00E564BB">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ZYYKLI+TimesTen-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NBIQZG+HelveticaNeue-Light">
    <w:panose1 w:val="00000000000000000000"/>
    <w:charset w:val="00"/>
    <w:family w:val="roman"/>
    <w:notTrueType/>
    <w:pitch w:val="default"/>
  </w:font>
  <w:font w:name="GNQAFU+HelveticaNeue-Black">
    <w:panose1 w:val="00000000000000000000"/>
    <w:charset w:val="00"/>
    <w:family w:val="roman"/>
    <w:notTrueType/>
    <w:pitch w:val="default"/>
  </w:font>
  <w:font w:name="DZMIPA+HelveticaNeue-Medium">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466" w:rsidRDefault="00105466" w:rsidP="00105466">
    <w:pPr>
      <w:pStyle w:val="Piedepgina"/>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80E" w:rsidRDefault="007A180E">
    <w:pPr>
      <w:pBdr>
        <w:top w:val="nil"/>
        <w:left w:val="nil"/>
        <w:bottom w:val="nil"/>
        <w:right w:val="nil"/>
        <w:between w:val="nil"/>
      </w:pBdr>
      <w:tabs>
        <w:tab w:val="center" w:pos="4252"/>
        <w:tab w:val="right" w:pos="8504"/>
      </w:tabs>
      <w:spacing w:line="240" w:lineRule="auto"/>
      <w:ind w:left="0" w:hanging="2"/>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466" w:rsidRDefault="00105466" w:rsidP="00105466">
    <w:pPr>
      <w:pStyle w:val="Piedepgina"/>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64BB" w:rsidRDefault="00E564BB">
      <w:pPr>
        <w:spacing w:line="240" w:lineRule="auto"/>
        <w:ind w:left="0" w:hanging="2"/>
      </w:pPr>
      <w:r>
        <w:separator/>
      </w:r>
    </w:p>
  </w:footnote>
  <w:footnote w:type="continuationSeparator" w:id="0">
    <w:p w:rsidR="00E564BB" w:rsidRDefault="00E564BB">
      <w:pPr>
        <w:spacing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466" w:rsidRDefault="00105466" w:rsidP="00105466">
    <w:pPr>
      <w:pStyle w:val="Encabezado"/>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80E" w:rsidRDefault="007A180E">
    <w:pPr>
      <w:widowControl w:val="0"/>
      <w:pBdr>
        <w:top w:val="nil"/>
        <w:left w:val="nil"/>
        <w:bottom w:val="nil"/>
        <w:right w:val="nil"/>
        <w:between w:val="nil"/>
      </w:pBdr>
      <w:spacing w:line="276" w:lineRule="auto"/>
      <w:ind w:left="0" w:hanging="2"/>
      <w:rPr>
        <w:rFonts w:ascii="Arial" w:eastAsia="Arial" w:hAnsi="Arial" w:cs="Arial"/>
        <w:color w:val="000000"/>
        <w:sz w:val="16"/>
        <w:szCs w:val="16"/>
      </w:rPr>
    </w:pPr>
  </w:p>
  <w:tbl>
    <w:tblPr>
      <w:tblStyle w:val="1"/>
      <w:tblW w:w="8820" w:type="dxa"/>
      <w:tblInd w:w="0" w:type="dxa"/>
      <w:tblLayout w:type="fixed"/>
      <w:tblLook w:val="0000" w:firstRow="0" w:lastRow="0" w:firstColumn="0" w:lastColumn="0" w:noHBand="0" w:noVBand="0"/>
    </w:tblPr>
    <w:tblGrid>
      <w:gridCol w:w="6300"/>
      <w:gridCol w:w="1080"/>
      <w:gridCol w:w="1440"/>
    </w:tblGrid>
    <w:tr w:rsidR="007A180E">
      <w:trPr>
        <w:cantSplit/>
        <w:trHeight w:val="240"/>
      </w:trPr>
      <w:tc>
        <w:tcPr>
          <w:tcW w:w="6300" w:type="dxa"/>
          <w:vMerge w:val="restart"/>
          <w:tcBorders>
            <w:top w:val="single" w:sz="4" w:space="0" w:color="000000"/>
            <w:left w:val="single" w:sz="4" w:space="0" w:color="000000"/>
            <w:right w:val="single" w:sz="4" w:space="0" w:color="000000"/>
          </w:tcBorders>
          <w:shd w:val="clear" w:color="auto" w:fill="000080"/>
          <w:vAlign w:val="center"/>
        </w:tcPr>
        <w:p w:rsidR="007A180E" w:rsidRDefault="007A180E">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FFFFFF"/>
              <w:sz w:val="20"/>
              <w:szCs w:val="20"/>
            </w:rPr>
          </w:pPr>
          <w:r>
            <w:rPr>
              <w:rFonts w:ascii="Arial" w:eastAsia="Arial" w:hAnsi="Arial" w:cs="Arial"/>
              <w:color w:val="FFFFFF"/>
              <w:sz w:val="20"/>
              <w:szCs w:val="20"/>
            </w:rPr>
            <w:t>GENESIS-SEFH</w:t>
          </w:r>
        </w:p>
        <w:p w:rsidR="007A180E" w:rsidRDefault="007A180E">
          <w:pPr>
            <w:pBdr>
              <w:top w:val="nil"/>
              <w:left w:val="nil"/>
              <w:bottom w:val="nil"/>
              <w:right w:val="nil"/>
              <w:between w:val="nil"/>
            </w:pBdr>
            <w:tabs>
              <w:tab w:val="center" w:pos="4252"/>
              <w:tab w:val="right" w:pos="8504"/>
            </w:tabs>
            <w:spacing w:line="240" w:lineRule="auto"/>
            <w:ind w:left="0" w:hanging="2"/>
            <w:jc w:val="right"/>
            <w:rPr>
              <w:rFonts w:ascii="Arial" w:eastAsia="Arial" w:hAnsi="Arial" w:cs="Arial"/>
              <w:color w:val="FFFFFF"/>
              <w:sz w:val="20"/>
              <w:szCs w:val="20"/>
            </w:rPr>
          </w:pPr>
          <w:r>
            <w:rPr>
              <w:rFonts w:ascii="Arial" w:eastAsia="Arial" w:hAnsi="Arial" w:cs="Arial"/>
              <w:color w:val="FFFFFF"/>
              <w:sz w:val="20"/>
              <w:szCs w:val="20"/>
            </w:rPr>
            <w:t xml:space="preserve">Programa MADRE versión 4.1  </w:t>
          </w:r>
        </w:p>
        <w:p w:rsidR="007A180E" w:rsidRDefault="007A180E">
          <w:pPr>
            <w:pBdr>
              <w:top w:val="nil"/>
              <w:left w:val="nil"/>
              <w:bottom w:val="nil"/>
              <w:right w:val="nil"/>
              <w:between w:val="nil"/>
            </w:pBdr>
            <w:tabs>
              <w:tab w:val="center" w:pos="4252"/>
              <w:tab w:val="right" w:pos="8504"/>
            </w:tabs>
            <w:spacing w:line="240" w:lineRule="auto"/>
            <w:ind w:left="0" w:hanging="2"/>
            <w:jc w:val="right"/>
            <w:rPr>
              <w:rFonts w:ascii="Arial" w:eastAsia="Arial" w:hAnsi="Arial" w:cs="Arial"/>
              <w:color w:val="FFFFFF"/>
              <w:sz w:val="22"/>
              <w:szCs w:val="22"/>
            </w:rPr>
          </w:pPr>
          <w:r>
            <w:rPr>
              <w:rFonts w:ascii="Arial" w:eastAsia="Arial" w:hAnsi="Arial" w:cs="Arial"/>
              <w:color w:val="FFFFFF"/>
              <w:sz w:val="20"/>
              <w:szCs w:val="20"/>
            </w:rPr>
            <w:t xml:space="preserve">Informe base actualizado 2017 </w:t>
          </w:r>
          <w:r>
            <w:rPr>
              <w:rFonts w:ascii="Arial" w:eastAsia="Arial" w:hAnsi="Arial" w:cs="Arial"/>
              <w:b/>
              <w:color w:val="FFFFFF"/>
              <w:sz w:val="22"/>
              <w:szCs w:val="22"/>
            </w:rPr>
            <w:t xml:space="preserve">  </w:t>
          </w:r>
        </w:p>
      </w:tc>
      <w:tc>
        <w:tcPr>
          <w:tcW w:w="1080" w:type="dxa"/>
          <w:tcBorders>
            <w:top w:val="single" w:sz="4" w:space="0" w:color="000000"/>
            <w:left w:val="nil"/>
          </w:tcBorders>
          <w:shd w:val="clear" w:color="auto" w:fill="000080"/>
        </w:tcPr>
        <w:p w:rsidR="007A180E" w:rsidRDefault="007A180E">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FFFFFF"/>
              <w:sz w:val="18"/>
              <w:szCs w:val="18"/>
            </w:rPr>
          </w:pPr>
          <w:r>
            <w:rPr>
              <w:rFonts w:ascii="Arial" w:eastAsia="Arial" w:hAnsi="Arial" w:cs="Arial"/>
              <w:color w:val="FFFFFF"/>
              <w:sz w:val="18"/>
              <w:szCs w:val="18"/>
            </w:rPr>
            <w:t>Versión:</w:t>
          </w:r>
        </w:p>
      </w:tc>
      <w:tc>
        <w:tcPr>
          <w:tcW w:w="1440" w:type="dxa"/>
          <w:tcBorders>
            <w:top w:val="single" w:sz="4" w:space="0" w:color="000000"/>
            <w:right w:val="single" w:sz="4" w:space="0" w:color="000000"/>
          </w:tcBorders>
          <w:shd w:val="clear" w:color="auto" w:fill="000080"/>
        </w:tcPr>
        <w:p w:rsidR="007A180E" w:rsidRDefault="007A180E">
          <w:pPr>
            <w:pBdr>
              <w:top w:val="nil"/>
              <w:left w:val="nil"/>
              <w:bottom w:val="nil"/>
              <w:right w:val="nil"/>
              <w:between w:val="nil"/>
            </w:pBdr>
            <w:tabs>
              <w:tab w:val="center" w:pos="4252"/>
              <w:tab w:val="right" w:pos="8504"/>
              <w:tab w:val="left" w:pos="1206"/>
            </w:tabs>
            <w:spacing w:line="240" w:lineRule="auto"/>
            <w:ind w:left="0" w:right="71" w:hanging="2"/>
            <w:jc w:val="right"/>
            <w:rPr>
              <w:rFonts w:ascii="Arial" w:eastAsia="Arial" w:hAnsi="Arial" w:cs="Arial"/>
              <w:color w:val="FFFFFF"/>
              <w:sz w:val="18"/>
              <w:szCs w:val="18"/>
            </w:rPr>
          </w:pPr>
          <w:r>
            <w:rPr>
              <w:rFonts w:ascii="Arial" w:eastAsia="Arial" w:hAnsi="Arial" w:cs="Arial"/>
              <w:color w:val="FFFFFF"/>
              <w:sz w:val="18"/>
              <w:szCs w:val="18"/>
            </w:rPr>
            <w:t>4.1</w:t>
          </w:r>
        </w:p>
      </w:tc>
    </w:tr>
    <w:tr w:rsidR="007A180E">
      <w:trPr>
        <w:cantSplit/>
        <w:trHeight w:val="240"/>
      </w:trPr>
      <w:tc>
        <w:tcPr>
          <w:tcW w:w="6300" w:type="dxa"/>
          <w:vMerge/>
          <w:tcBorders>
            <w:top w:val="single" w:sz="4" w:space="0" w:color="000000"/>
            <w:left w:val="single" w:sz="4" w:space="0" w:color="000000"/>
            <w:right w:val="single" w:sz="4" w:space="0" w:color="000000"/>
          </w:tcBorders>
          <w:shd w:val="clear" w:color="auto" w:fill="000080"/>
          <w:vAlign w:val="center"/>
        </w:tcPr>
        <w:p w:rsidR="007A180E" w:rsidRDefault="007A180E">
          <w:pPr>
            <w:widowControl w:val="0"/>
            <w:pBdr>
              <w:top w:val="nil"/>
              <w:left w:val="nil"/>
              <w:bottom w:val="nil"/>
              <w:right w:val="nil"/>
              <w:between w:val="nil"/>
            </w:pBdr>
            <w:spacing w:line="276" w:lineRule="auto"/>
            <w:ind w:left="0" w:hanging="2"/>
            <w:rPr>
              <w:rFonts w:ascii="Arial" w:eastAsia="Arial" w:hAnsi="Arial" w:cs="Arial"/>
              <w:color w:val="FFFFFF"/>
              <w:sz w:val="18"/>
              <w:szCs w:val="18"/>
            </w:rPr>
          </w:pPr>
        </w:p>
      </w:tc>
      <w:tc>
        <w:tcPr>
          <w:tcW w:w="1080" w:type="dxa"/>
          <w:tcBorders>
            <w:left w:val="nil"/>
          </w:tcBorders>
          <w:shd w:val="clear" w:color="auto" w:fill="000080"/>
        </w:tcPr>
        <w:p w:rsidR="007A180E" w:rsidRDefault="007A180E">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FFFFFF"/>
              <w:sz w:val="18"/>
              <w:szCs w:val="18"/>
            </w:rPr>
          </w:pPr>
          <w:r>
            <w:rPr>
              <w:rFonts w:ascii="Arial" w:eastAsia="Arial" w:hAnsi="Arial" w:cs="Arial"/>
              <w:color w:val="FFFFFF"/>
              <w:sz w:val="18"/>
              <w:szCs w:val="18"/>
            </w:rPr>
            <w:t>Fecha:</w:t>
          </w:r>
        </w:p>
      </w:tc>
      <w:tc>
        <w:tcPr>
          <w:tcW w:w="1440" w:type="dxa"/>
          <w:tcBorders>
            <w:right w:val="single" w:sz="4" w:space="0" w:color="000000"/>
          </w:tcBorders>
          <w:shd w:val="clear" w:color="auto" w:fill="000080"/>
        </w:tcPr>
        <w:p w:rsidR="007A180E" w:rsidRDefault="007A180E">
          <w:pPr>
            <w:pBdr>
              <w:top w:val="nil"/>
              <w:left w:val="nil"/>
              <w:bottom w:val="nil"/>
              <w:right w:val="nil"/>
              <w:between w:val="nil"/>
            </w:pBdr>
            <w:tabs>
              <w:tab w:val="center" w:pos="4252"/>
              <w:tab w:val="right" w:pos="8504"/>
              <w:tab w:val="left" w:pos="1206"/>
            </w:tabs>
            <w:spacing w:line="240" w:lineRule="auto"/>
            <w:ind w:left="0" w:right="71" w:hanging="2"/>
            <w:jc w:val="right"/>
            <w:rPr>
              <w:rFonts w:ascii="Arial" w:eastAsia="Arial" w:hAnsi="Arial" w:cs="Arial"/>
              <w:color w:val="FFFFFF"/>
              <w:sz w:val="18"/>
              <w:szCs w:val="18"/>
            </w:rPr>
          </w:pPr>
          <w:r>
            <w:rPr>
              <w:rFonts w:ascii="Arial" w:eastAsia="Arial" w:hAnsi="Arial" w:cs="Arial"/>
              <w:color w:val="FFFFFF"/>
              <w:sz w:val="18"/>
              <w:szCs w:val="18"/>
            </w:rPr>
            <w:t>19-01-2017</w:t>
          </w:r>
        </w:p>
      </w:tc>
    </w:tr>
    <w:tr w:rsidR="007A180E">
      <w:trPr>
        <w:cantSplit/>
        <w:trHeight w:val="240"/>
      </w:trPr>
      <w:tc>
        <w:tcPr>
          <w:tcW w:w="6300" w:type="dxa"/>
          <w:vMerge/>
          <w:tcBorders>
            <w:top w:val="single" w:sz="4" w:space="0" w:color="000000"/>
            <w:left w:val="single" w:sz="4" w:space="0" w:color="000000"/>
            <w:right w:val="single" w:sz="4" w:space="0" w:color="000000"/>
          </w:tcBorders>
          <w:shd w:val="clear" w:color="auto" w:fill="000080"/>
          <w:vAlign w:val="center"/>
        </w:tcPr>
        <w:p w:rsidR="007A180E" w:rsidRDefault="007A180E">
          <w:pPr>
            <w:widowControl w:val="0"/>
            <w:pBdr>
              <w:top w:val="nil"/>
              <w:left w:val="nil"/>
              <w:bottom w:val="nil"/>
              <w:right w:val="nil"/>
              <w:between w:val="nil"/>
            </w:pBdr>
            <w:spacing w:line="276" w:lineRule="auto"/>
            <w:ind w:left="0" w:hanging="2"/>
            <w:rPr>
              <w:rFonts w:ascii="Arial" w:eastAsia="Arial" w:hAnsi="Arial" w:cs="Arial"/>
              <w:color w:val="FFFFFF"/>
              <w:sz w:val="18"/>
              <w:szCs w:val="18"/>
            </w:rPr>
          </w:pPr>
        </w:p>
      </w:tc>
      <w:tc>
        <w:tcPr>
          <w:tcW w:w="1080" w:type="dxa"/>
          <w:tcBorders>
            <w:left w:val="nil"/>
            <w:bottom w:val="single" w:sz="4" w:space="0" w:color="000000"/>
          </w:tcBorders>
          <w:shd w:val="clear" w:color="auto" w:fill="000080"/>
        </w:tcPr>
        <w:p w:rsidR="007A180E" w:rsidRDefault="007A180E">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FFFFFF"/>
              <w:sz w:val="18"/>
              <w:szCs w:val="18"/>
            </w:rPr>
          </w:pPr>
          <w:r>
            <w:rPr>
              <w:rFonts w:ascii="Arial" w:eastAsia="Arial" w:hAnsi="Arial" w:cs="Arial"/>
              <w:color w:val="FFFFFF"/>
              <w:sz w:val="18"/>
              <w:szCs w:val="18"/>
            </w:rPr>
            <w:t>Página:</w:t>
          </w:r>
        </w:p>
      </w:tc>
      <w:tc>
        <w:tcPr>
          <w:tcW w:w="1440" w:type="dxa"/>
          <w:tcBorders>
            <w:bottom w:val="single" w:sz="4" w:space="0" w:color="000000"/>
            <w:right w:val="single" w:sz="4" w:space="0" w:color="000000"/>
          </w:tcBorders>
          <w:shd w:val="clear" w:color="auto" w:fill="000080"/>
        </w:tcPr>
        <w:p w:rsidR="007A180E" w:rsidRDefault="00743E44">
          <w:pPr>
            <w:pBdr>
              <w:top w:val="nil"/>
              <w:left w:val="nil"/>
              <w:bottom w:val="nil"/>
              <w:right w:val="nil"/>
              <w:between w:val="nil"/>
            </w:pBdr>
            <w:tabs>
              <w:tab w:val="center" w:pos="4252"/>
              <w:tab w:val="right" w:pos="8504"/>
              <w:tab w:val="left" w:pos="1206"/>
            </w:tabs>
            <w:spacing w:line="240" w:lineRule="auto"/>
            <w:ind w:left="0" w:right="71" w:hanging="2"/>
            <w:jc w:val="right"/>
            <w:rPr>
              <w:rFonts w:ascii="Arial" w:eastAsia="Arial" w:hAnsi="Arial" w:cs="Arial"/>
              <w:color w:val="FFFFFF"/>
              <w:sz w:val="18"/>
              <w:szCs w:val="18"/>
            </w:rPr>
          </w:pPr>
          <w:r>
            <w:rPr>
              <w:rFonts w:ascii="Arial" w:eastAsia="Arial" w:hAnsi="Arial" w:cs="Arial"/>
              <w:color w:val="FFFFFF"/>
              <w:sz w:val="18"/>
              <w:szCs w:val="18"/>
            </w:rPr>
            <w:fldChar w:fldCharType="begin"/>
          </w:r>
          <w:r w:rsidR="007A180E">
            <w:rPr>
              <w:rFonts w:ascii="Arial" w:eastAsia="Arial" w:hAnsi="Arial" w:cs="Arial"/>
              <w:color w:val="FFFFFF"/>
              <w:sz w:val="18"/>
              <w:szCs w:val="18"/>
            </w:rPr>
            <w:instrText>PAGE</w:instrText>
          </w:r>
          <w:r>
            <w:rPr>
              <w:rFonts w:ascii="Arial" w:eastAsia="Arial" w:hAnsi="Arial" w:cs="Arial"/>
              <w:color w:val="FFFFFF"/>
              <w:sz w:val="18"/>
              <w:szCs w:val="18"/>
            </w:rPr>
            <w:fldChar w:fldCharType="separate"/>
          </w:r>
          <w:r w:rsidR="009D18C1">
            <w:rPr>
              <w:rFonts w:ascii="Arial" w:eastAsia="Arial" w:hAnsi="Arial" w:cs="Arial"/>
              <w:noProof/>
              <w:color w:val="FFFFFF"/>
              <w:sz w:val="18"/>
              <w:szCs w:val="18"/>
            </w:rPr>
            <w:t>1</w:t>
          </w:r>
          <w:r>
            <w:rPr>
              <w:rFonts w:ascii="Arial" w:eastAsia="Arial" w:hAnsi="Arial" w:cs="Arial"/>
              <w:color w:val="FFFFFF"/>
              <w:sz w:val="18"/>
              <w:szCs w:val="18"/>
            </w:rPr>
            <w:fldChar w:fldCharType="end"/>
          </w:r>
        </w:p>
      </w:tc>
    </w:tr>
  </w:tbl>
  <w:p w:rsidR="007A180E" w:rsidRDefault="007A180E">
    <w:pPr>
      <w:pBdr>
        <w:top w:val="nil"/>
        <w:left w:val="nil"/>
        <w:bottom w:val="nil"/>
        <w:right w:val="nil"/>
        <w:between w:val="nil"/>
      </w:pBdr>
      <w:tabs>
        <w:tab w:val="center" w:pos="4252"/>
        <w:tab w:val="right" w:pos="8504"/>
      </w:tabs>
      <w:spacing w:line="240" w:lineRule="auto"/>
      <w:ind w:left="0" w:hanging="2"/>
      <w:rPr>
        <w:color w:val="FFFFFF"/>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466" w:rsidRDefault="00105466" w:rsidP="00105466">
    <w:pPr>
      <w:pStyle w:val="Encabezado"/>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D17A0"/>
    <w:multiLevelType w:val="multilevel"/>
    <w:tmpl w:val="2AFA3888"/>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
    <w:nsid w:val="02F06F87"/>
    <w:multiLevelType w:val="multilevel"/>
    <w:tmpl w:val="D1FC3A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8000EF8"/>
    <w:multiLevelType w:val="multilevel"/>
    <w:tmpl w:val="0008A7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08B236CB"/>
    <w:multiLevelType w:val="hybridMultilevel"/>
    <w:tmpl w:val="8FAC2BA4"/>
    <w:lvl w:ilvl="0" w:tplc="0C0A000F">
      <w:start w:val="1"/>
      <w:numFmt w:val="decimal"/>
      <w:lvlText w:val="%1."/>
      <w:lvlJc w:val="left"/>
      <w:pPr>
        <w:ind w:left="718" w:hanging="360"/>
      </w:pPr>
      <w:rPr>
        <w:rFonts w:hint="default"/>
      </w:rPr>
    </w:lvl>
    <w:lvl w:ilvl="1" w:tplc="0C0A0003" w:tentative="1">
      <w:start w:val="1"/>
      <w:numFmt w:val="bullet"/>
      <w:lvlText w:val="o"/>
      <w:lvlJc w:val="left"/>
      <w:pPr>
        <w:ind w:left="1438" w:hanging="360"/>
      </w:pPr>
      <w:rPr>
        <w:rFonts w:ascii="Courier New" w:hAnsi="Courier New" w:cs="Courier New" w:hint="default"/>
      </w:rPr>
    </w:lvl>
    <w:lvl w:ilvl="2" w:tplc="0C0A0005" w:tentative="1">
      <w:start w:val="1"/>
      <w:numFmt w:val="bullet"/>
      <w:lvlText w:val=""/>
      <w:lvlJc w:val="left"/>
      <w:pPr>
        <w:ind w:left="2158" w:hanging="360"/>
      </w:pPr>
      <w:rPr>
        <w:rFonts w:ascii="Wingdings" w:hAnsi="Wingdings" w:hint="default"/>
      </w:rPr>
    </w:lvl>
    <w:lvl w:ilvl="3" w:tplc="0C0A0001" w:tentative="1">
      <w:start w:val="1"/>
      <w:numFmt w:val="bullet"/>
      <w:lvlText w:val=""/>
      <w:lvlJc w:val="left"/>
      <w:pPr>
        <w:ind w:left="2878" w:hanging="360"/>
      </w:pPr>
      <w:rPr>
        <w:rFonts w:ascii="Symbol" w:hAnsi="Symbol" w:hint="default"/>
      </w:rPr>
    </w:lvl>
    <w:lvl w:ilvl="4" w:tplc="0C0A0003" w:tentative="1">
      <w:start w:val="1"/>
      <w:numFmt w:val="bullet"/>
      <w:lvlText w:val="o"/>
      <w:lvlJc w:val="left"/>
      <w:pPr>
        <w:ind w:left="3598" w:hanging="360"/>
      </w:pPr>
      <w:rPr>
        <w:rFonts w:ascii="Courier New" w:hAnsi="Courier New" w:cs="Courier New" w:hint="default"/>
      </w:rPr>
    </w:lvl>
    <w:lvl w:ilvl="5" w:tplc="0C0A0005" w:tentative="1">
      <w:start w:val="1"/>
      <w:numFmt w:val="bullet"/>
      <w:lvlText w:val=""/>
      <w:lvlJc w:val="left"/>
      <w:pPr>
        <w:ind w:left="4318" w:hanging="360"/>
      </w:pPr>
      <w:rPr>
        <w:rFonts w:ascii="Wingdings" w:hAnsi="Wingdings" w:hint="default"/>
      </w:rPr>
    </w:lvl>
    <w:lvl w:ilvl="6" w:tplc="0C0A0001" w:tentative="1">
      <w:start w:val="1"/>
      <w:numFmt w:val="bullet"/>
      <w:lvlText w:val=""/>
      <w:lvlJc w:val="left"/>
      <w:pPr>
        <w:ind w:left="5038" w:hanging="360"/>
      </w:pPr>
      <w:rPr>
        <w:rFonts w:ascii="Symbol" w:hAnsi="Symbol" w:hint="default"/>
      </w:rPr>
    </w:lvl>
    <w:lvl w:ilvl="7" w:tplc="0C0A0003" w:tentative="1">
      <w:start w:val="1"/>
      <w:numFmt w:val="bullet"/>
      <w:lvlText w:val="o"/>
      <w:lvlJc w:val="left"/>
      <w:pPr>
        <w:ind w:left="5758" w:hanging="360"/>
      </w:pPr>
      <w:rPr>
        <w:rFonts w:ascii="Courier New" w:hAnsi="Courier New" w:cs="Courier New" w:hint="default"/>
      </w:rPr>
    </w:lvl>
    <w:lvl w:ilvl="8" w:tplc="0C0A0005" w:tentative="1">
      <w:start w:val="1"/>
      <w:numFmt w:val="bullet"/>
      <w:lvlText w:val=""/>
      <w:lvlJc w:val="left"/>
      <w:pPr>
        <w:ind w:left="6478" w:hanging="360"/>
      </w:pPr>
      <w:rPr>
        <w:rFonts w:ascii="Wingdings" w:hAnsi="Wingdings" w:hint="default"/>
      </w:rPr>
    </w:lvl>
  </w:abstractNum>
  <w:abstractNum w:abstractNumId="4">
    <w:nsid w:val="09D85A5F"/>
    <w:multiLevelType w:val="multilevel"/>
    <w:tmpl w:val="7BA87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F67906"/>
    <w:multiLevelType w:val="hybridMultilevel"/>
    <w:tmpl w:val="796EF79A"/>
    <w:lvl w:ilvl="0" w:tplc="2200DB9C">
      <w:start w:val="4"/>
      <w:numFmt w:val="bullet"/>
      <w:lvlText w:val=""/>
      <w:lvlJc w:val="left"/>
      <w:pPr>
        <w:ind w:left="718" w:hanging="360"/>
      </w:pPr>
      <w:rPr>
        <w:rFonts w:ascii="Symbol" w:eastAsia="Arial" w:hAnsi="Symbol" w:cs="Arial" w:hint="default"/>
      </w:rPr>
    </w:lvl>
    <w:lvl w:ilvl="1" w:tplc="0C0A0003" w:tentative="1">
      <w:start w:val="1"/>
      <w:numFmt w:val="bullet"/>
      <w:lvlText w:val="o"/>
      <w:lvlJc w:val="left"/>
      <w:pPr>
        <w:ind w:left="1438" w:hanging="360"/>
      </w:pPr>
      <w:rPr>
        <w:rFonts w:ascii="Courier New" w:hAnsi="Courier New" w:cs="Courier New" w:hint="default"/>
      </w:rPr>
    </w:lvl>
    <w:lvl w:ilvl="2" w:tplc="0C0A0005" w:tentative="1">
      <w:start w:val="1"/>
      <w:numFmt w:val="bullet"/>
      <w:lvlText w:val=""/>
      <w:lvlJc w:val="left"/>
      <w:pPr>
        <w:ind w:left="2158" w:hanging="360"/>
      </w:pPr>
      <w:rPr>
        <w:rFonts w:ascii="Wingdings" w:hAnsi="Wingdings" w:hint="default"/>
      </w:rPr>
    </w:lvl>
    <w:lvl w:ilvl="3" w:tplc="0C0A0001" w:tentative="1">
      <w:start w:val="1"/>
      <w:numFmt w:val="bullet"/>
      <w:lvlText w:val=""/>
      <w:lvlJc w:val="left"/>
      <w:pPr>
        <w:ind w:left="2878" w:hanging="360"/>
      </w:pPr>
      <w:rPr>
        <w:rFonts w:ascii="Symbol" w:hAnsi="Symbol" w:hint="default"/>
      </w:rPr>
    </w:lvl>
    <w:lvl w:ilvl="4" w:tplc="0C0A0003" w:tentative="1">
      <w:start w:val="1"/>
      <w:numFmt w:val="bullet"/>
      <w:lvlText w:val="o"/>
      <w:lvlJc w:val="left"/>
      <w:pPr>
        <w:ind w:left="3598" w:hanging="360"/>
      </w:pPr>
      <w:rPr>
        <w:rFonts w:ascii="Courier New" w:hAnsi="Courier New" w:cs="Courier New" w:hint="default"/>
      </w:rPr>
    </w:lvl>
    <w:lvl w:ilvl="5" w:tplc="0C0A0005" w:tentative="1">
      <w:start w:val="1"/>
      <w:numFmt w:val="bullet"/>
      <w:lvlText w:val=""/>
      <w:lvlJc w:val="left"/>
      <w:pPr>
        <w:ind w:left="4318" w:hanging="360"/>
      </w:pPr>
      <w:rPr>
        <w:rFonts w:ascii="Wingdings" w:hAnsi="Wingdings" w:hint="default"/>
      </w:rPr>
    </w:lvl>
    <w:lvl w:ilvl="6" w:tplc="0C0A0001" w:tentative="1">
      <w:start w:val="1"/>
      <w:numFmt w:val="bullet"/>
      <w:lvlText w:val=""/>
      <w:lvlJc w:val="left"/>
      <w:pPr>
        <w:ind w:left="5038" w:hanging="360"/>
      </w:pPr>
      <w:rPr>
        <w:rFonts w:ascii="Symbol" w:hAnsi="Symbol" w:hint="default"/>
      </w:rPr>
    </w:lvl>
    <w:lvl w:ilvl="7" w:tplc="0C0A0003" w:tentative="1">
      <w:start w:val="1"/>
      <w:numFmt w:val="bullet"/>
      <w:lvlText w:val="o"/>
      <w:lvlJc w:val="left"/>
      <w:pPr>
        <w:ind w:left="5758" w:hanging="360"/>
      </w:pPr>
      <w:rPr>
        <w:rFonts w:ascii="Courier New" w:hAnsi="Courier New" w:cs="Courier New" w:hint="default"/>
      </w:rPr>
    </w:lvl>
    <w:lvl w:ilvl="8" w:tplc="0C0A0005" w:tentative="1">
      <w:start w:val="1"/>
      <w:numFmt w:val="bullet"/>
      <w:lvlText w:val=""/>
      <w:lvlJc w:val="left"/>
      <w:pPr>
        <w:ind w:left="6478" w:hanging="360"/>
      </w:pPr>
      <w:rPr>
        <w:rFonts w:ascii="Wingdings" w:hAnsi="Wingdings" w:hint="default"/>
      </w:rPr>
    </w:lvl>
  </w:abstractNum>
  <w:abstractNum w:abstractNumId="6">
    <w:nsid w:val="113A0B76"/>
    <w:multiLevelType w:val="multilevel"/>
    <w:tmpl w:val="DE5C0C94"/>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nsid w:val="1B1478B0"/>
    <w:multiLevelType w:val="multilevel"/>
    <w:tmpl w:val="FE76B2A6"/>
    <w:lvl w:ilvl="0">
      <w:start w:val="1"/>
      <w:numFmt w:val="bullet"/>
      <w:lvlText w:val=""/>
      <w:lvlJc w:val="left"/>
      <w:pPr>
        <w:ind w:left="360" w:hanging="360"/>
      </w:pPr>
      <w:rPr>
        <w:rFonts w:ascii="Symbol" w:hAnsi="Symbol" w:hint="default"/>
      </w:rPr>
    </w:lvl>
    <w:lvl w:ilvl="1">
      <w:start w:val="1"/>
      <w:numFmt w:val="decimal"/>
      <w:lvlText w:val="%1.%2"/>
      <w:lvlJc w:val="left"/>
      <w:pPr>
        <w:ind w:left="358" w:hanging="360"/>
      </w:pPr>
      <w:rPr>
        <w:rFonts w:hint="default"/>
      </w:rPr>
    </w:lvl>
    <w:lvl w:ilvl="2">
      <w:start w:val="1"/>
      <w:numFmt w:val="lowerLetter"/>
      <w:lvlText w:val="%1.%2.%3"/>
      <w:lvlJc w:val="left"/>
      <w:pPr>
        <w:ind w:left="716" w:hanging="720"/>
      </w:pPr>
      <w:rPr>
        <w:rFonts w:hint="default"/>
      </w:rPr>
    </w:lvl>
    <w:lvl w:ilvl="3">
      <w:start w:val="1"/>
      <w:numFmt w:val="decimal"/>
      <w:lvlText w:val="%1.%2.%3.%4"/>
      <w:lvlJc w:val="left"/>
      <w:pPr>
        <w:ind w:left="714" w:hanging="720"/>
      </w:pPr>
      <w:rPr>
        <w:rFonts w:hint="default"/>
      </w:rPr>
    </w:lvl>
    <w:lvl w:ilvl="4">
      <w:start w:val="1"/>
      <w:numFmt w:val="decimal"/>
      <w:lvlText w:val="%1.%2.%3.%4.%5"/>
      <w:lvlJc w:val="left"/>
      <w:pPr>
        <w:ind w:left="712" w:hanging="720"/>
      </w:pPr>
      <w:rPr>
        <w:rFonts w:hint="default"/>
      </w:rPr>
    </w:lvl>
    <w:lvl w:ilvl="5">
      <w:start w:val="1"/>
      <w:numFmt w:val="decimal"/>
      <w:lvlText w:val="%1.%2.%3.%4.%5.%6"/>
      <w:lvlJc w:val="left"/>
      <w:pPr>
        <w:ind w:left="1070" w:hanging="1080"/>
      </w:pPr>
      <w:rPr>
        <w:rFonts w:hint="default"/>
      </w:rPr>
    </w:lvl>
    <w:lvl w:ilvl="6">
      <w:start w:val="1"/>
      <w:numFmt w:val="decimal"/>
      <w:lvlText w:val="%1.%2.%3.%4.%5.%6.%7"/>
      <w:lvlJc w:val="left"/>
      <w:pPr>
        <w:ind w:left="1068" w:hanging="1080"/>
      </w:pPr>
      <w:rPr>
        <w:rFonts w:hint="default"/>
      </w:rPr>
    </w:lvl>
    <w:lvl w:ilvl="7">
      <w:start w:val="1"/>
      <w:numFmt w:val="decimal"/>
      <w:lvlText w:val="%1.%2.%3.%4.%5.%6.%7.%8"/>
      <w:lvlJc w:val="left"/>
      <w:pPr>
        <w:ind w:left="1426" w:hanging="1440"/>
      </w:pPr>
      <w:rPr>
        <w:rFonts w:hint="default"/>
      </w:rPr>
    </w:lvl>
    <w:lvl w:ilvl="8">
      <w:start w:val="1"/>
      <w:numFmt w:val="decimal"/>
      <w:lvlText w:val="%1.%2.%3.%4.%5.%6.%7.%8.%9"/>
      <w:lvlJc w:val="left"/>
      <w:pPr>
        <w:ind w:left="1424" w:hanging="1440"/>
      </w:pPr>
      <w:rPr>
        <w:rFonts w:hint="default"/>
      </w:rPr>
    </w:lvl>
  </w:abstractNum>
  <w:abstractNum w:abstractNumId="8">
    <w:nsid w:val="1BCE7178"/>
    <w:multiLevelType w:val="multilevel"/>
    <w:tmpl w:val="D7C2D6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20FD416E"/>
    <w:multiLevelType w:val="multilevel"/>
    <w:tmpl w:val="B004379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nsid w:val="256D0A66"/>
    <w:multiLevelType w:val="hybridMultilevel"/>
    <w:tmpl w:val="AE9E97D6"/>
    <w:lvl w:ilvl="0" w:tplc="190C4E6A">
      <w:start w:val="6"/>
      <w:numFmt w:val="bullet"/>
      <w:lvlText w:val="-"/>
      <w:lvlJc w:val="left"/>
      <w:pPr>
        <w:ind w:left="720" w:hanging="360"/>
      </w:pPr>
      <w:rPr>
        <w:rFonts w:ascii="Arial" w:eastAsia="Arial"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9403827"/>
    <w:multiLevelType w:val="hybridMultilevel"/>
    <w:tmpl w:val="BE0ED998"/>
    <w:lvl w:ilvl="0" w:tplc="2200DB9C">
      <w:start w:val="4"/>
      <w:numFmt w:val="bullet"/>
      <w:lvlText w:val=""/>
      <w:lvlJc w:val="left"/>
      <w:pPr>
        <w:ind w:left="718" w:hanging="360"/>
      </w:pPr>
      <w:rPr>
        <w:rFonts w:ascii="Symbol" w:eastAsia="Arial" w:hAnsi="Symbol" w:cs="Arial" w:hint="default"/>
      </w:rPr>
    </w:lvl>
    <w:lvl w:ilvl="1" w:tplc="0C0A0003" w:tentative="1">
      <w:start w:val="1"/>
      <w:numFmt w:val="bullet"/>
      <w:lvlText w:val="o"/>
      <w:lvlJc w:val="left"/>
      <w:pPr>
        <w:ind w:left="1438" w:hanging="360"/>
      </w:pPr>
      <w:rPr>
        <w:rFonts w:ascii="Courier New" w:hAnsi="Courier New" w:cs="Courier New" w:hint="default"/>
      </w:rPr>
    </w:lvl>
    <w:lvl w:ilvl="2" w:tplc="0C0A0005" w:tentative="1">
      <w:start w:val="1"/>
      <w:numFmt w:val="bullet"/>
      <w:lvlText w:val=""/>
      <w:lvlJc w:val="left"/>
      <w:pPr>
        <w:ind w:left="2158" w:hanging="360"/>
      </w:pPr>
      <w:rPr>
        <w:rFonts w:ascii="Wingdings" w:hAnsi="Wingdings" w:hint="default"/>
      </w:rPr>
    </w:lvl>
    <w:lvl w:ilvl="3" w:tplc="0C0A0001" w:tentative="1">
      <w:start w:val="1"/>
      <w:numFmt w:val="bullet"/>
      <w:lvlText w:val=""/>
      <w:lvlJc w:val="left"/>
      <w:pPr>
        <w:ind w:left="2878" w:hanging="360"/>
      </w:pPr>
      <w:rPr>
        <w:rFonts w:ascii="Symbol" w:hAnsi="Symbol" w:hint="default"/>
      </w:rPr>
    </w:lvl>
    <w:lvl w:ilvl="4" w:tplc="0C0A0003" w:tentative="1">
      <w:start w:val="1"/>
      <w:numFmt w:val="bullet"/>
      <w:lvlText w:val="o"/>
      <w:lvlJc w:val="left"/>
      <w:pPr>
        <w:ind w:left="3598" w:hanging="360"/>
      </w:pPr>
      <w:rPr>
        <w:rFonts w:ascii="Courier New" w:hAnsi="Courier New" w:cs="Courier New" w:hint="default"/>
      </w:rPr>
    </w:lvl>
    <w:lvl w:ilvl="5" w:tplc="0C0A0005" w:tentative="1">
      <w:start w:val="1"/>
      <w:numFmt w:val="bullet"/>
      <w:lvlText w:val=""/>
      <w:lvlJc w:val="left"/>
      <w:pPr>
        <w:ind w:left="4318" w:hanging="360"/>
      </w:pPr>
      <w:rPr>
        <w:rFonts w:ascii="Wingdings" w:hAnsi="Wingdings" w:hint="default"/>
      </w:rPr>
    </w:lvl>
    <w:lvl w:ilvl="6" w:tplc="0C0A0001" w:tentative="1">
      <w:start w:val="1"/>
      <w:numFmt w:val="bullet"/>
      <w:lvlText w:val=""/>
      <w:lvlJc w:val="left"/>
      <w:pPr>
        <w:ind w:left="5038" w:hanging="360"/>
      </w:pPr>
      <w:rPr>
        <w:rFonts w:ascii="Symbol" w:hAnsi="Symbol" w:hint="default"/>
      </w:rPr>
    </w:lvl>
    <w:lvl w:ilvl="7" w:tplc="0C0A0003" w:tentative="1">
      <w:start w:val="1"/>
      <w:numFmt w:val="bullet"/>
      <w:lvlText w:val="o"/>
      <w:lvlJc w:val="left"/>
      <w:pPr>
        <w:ind w:left="5758" w:hanging="360"/>
      </w:pPr>
      <w:rPr>
        <w:rFonts w:ascii="Courier New" w:hAnsi="Courier New" w:cs="Courier New" w:hint="default"/>
      </w:rPr>
    </w:lvl>
    <w:lvl w:ilvl="8" w:tplc="0C0A0005" w:tentative="1">
      <w:start w:val="1"/>
      <w:numFmt w:val="bullet"/>
      <w:lvlText w:val=""/>
      <w:lvlJc w:val="left"/>
      <w:pPr>
        <w:ind w:left="6478" w:hanging="360"/>
      </w:pPr>
      <w:rPr>
        <w:rFonts w:ascii="Wingdings" w:hAnsi="Wingdings" w:hint="default"/>
      </w:rPr>
    </w:lvl>
  </w:abstractNum>
  <w:abstractNum w:abstractNumId="12">
    <w:nsid w:val="30143C2E"/>
    <w:multiLevelType w:val="multilevel"/>
    <w:tmpl w:val="E4D0B5B2"/>
    <w:lvl w:ilvl="0">
      <w:start w:val="9"/>
      <w:numFmt w:val="decimal"/>
      <w:lvlText w:val="%1"/>
      <w:lvlJc w:val="left"/>
      <w:pPr>
        <w:ind w:left="360" w:hanging="360"/>
      </w:pPr>
      <w:rPr>
        <w:rFonts w:hint="default"/>
      </w:rPr>
    </w:lvl>
    <w:lvl w:ilvl="1">
      <w:start w:val="1"/>
      <w:numFmt w:val="decimal"/>
      <w:lvlText w:val="%1.%2"/>
      <w:lvlJc w:val="left"/>
      <w:pPr>
        <w:ind w:left="358" w:hanging="360"/>
      </w:pPr>
      <w:rPr>
        <w:rFonts w:hint="default"/>
      </w:rPr>
    </w:lvl>
    <w:lvl w:ilvl="2">
      <w:start w:val="1"/>
      <w:numFmt w:val="lowerLetter"/>
      <w:lvlText w:val="%1.%2.%3"/>
      <w:lvlJc w:val="left"/>
      <w:pPr>
        <w:ind w:left="716" w:hanging="720"/>
      </w:pPr>
      <w:rPr>
        <w:rFonts w:hint="default"/>
      </w:rPr>
    </w:lvl>
    <w:lvl w:ilvl="3">
      <w:start w:val="1"/>
      <w:numFmt w:val="decimal"/>
      <w:lvlText w:val="%1.%2.%3.%4"/>
      <w:lvlJc w:val="left"/>
      <w:pPr>
        <w:ind w:left="714" w:hanging="720"/>
      </w:pPr>
      <w:rPr>
        <w:rFonts w:hint="default"/>
      </w:rPr>
    </w:lvl>
    <w:lvl w:ilvl="4">
      <w:start w:val="1"/>
      <w:numFmt w:val="decimal"/>
      <w:lvlText w:val="%1.%2.%3.%4.%5"/>
      <w:lvlJc w:val="left"/>
      <w:pPr>
        <w:ind w:left="712" w:hanging="720"/>
      </w:pPr>
      <w:rPr>
        <w:rFonts w:hint="default"/>
      </w:rPr>
    </w:lvl>
    <w:lvl w:ilvl="5">
      <w:start w:val="1"/>
      <w:numFmt w:val="decimal"/>
      <w:lvlText w:val="%1.%2.%3.%4.%5.%6"/>
      <w:lvlJc w:val="left"/>
      <w:pPr>
        <w:ind w:left="1070" w:hanging="1080"/>
      </w:pPr>
      <w:rPr>
        <w:rFonts w:hint="default"/>
      </w:rPr>
    </w:lvl>
    <w:lvl w:ilvl="6">
      <w:start w:val="1"/>
      <w:numFmt w:val="decimal"/>
      <w:lvlText w:val="%1.%2.%3.%4.%5.%6.%7"/>
      <w:lvlJc w:val="left"/>
      <w:pPr>
        <w:ind w:left="1068" w:hanging="1080"/>
      </w:pPr>
      <w:rPr>
        <w:rFonts w:hint="default"/>
      </w:rPr>
    </w:lvl>
    <w:lvl w:ilvl="7">
      <w:start w:val="1"/>
      <w:numFmt w:val="decimal"/>
      <w:lvlText w:val="%1.%2.%3.%4.%5.%6.%7.%8"/>
      <w:lvlJc w:val="left"/>
      <w:pPr>
        <w:ind w:left="1426" w:hanging="1440"/>
      </w:pPr>
      <w:rPr>
        <w:rFonts w:hint="default"/>
      </w:rPr>
    </w:lvl>
    <w:lvl w:ilvl="8">
      <w:start w:val="1"/>
      <w:numFmt w:val="decimal"/>
      <w:lvlText w:val="%1.%2.%3.%4.%5.%6.%7.%8.%9"/>
      <w:lvlJc w:val="left"/>
      <w:pPr>
        <w:ind w:left="1424" w:hanging="1440"/>
      </w:pPr>
      <w:rPr>
        <w:rFonts w:hint="default"/>
      </w:rPr>
    </w:lvl>
  </w:abstractNum>
  <w:abstractNum w:abstractNumId="13">
    <w:nsid w:val="32C20C44"/>
    <w:multiLevelType w:val="multilevel"/>
    <w:tmpl w:val="FE76B2A6"/>
    <w:lvl w:ilvl="0">
      <w:start w:val="1"/>
      <w:numFmt w:val="bullet"/>
      <w:lvlText w:val=""/>
      <w:lvlJc w:val="left"/>
      <w:pPr>
        <w:ind w:left="360" w:hanging="360"/>
      </w:pPr>
      <w:rPr>
        <w:rFonts w:ascii="Symbol" w:hAnsi="Symbol" w:hint="default"/>
      </w:rPr>
    </w:lvl>
    <w:lvl w:ilvl="1">
      <w:start w:val="1"/>
      <w:numFmt w:val="decimal"/>
      <w:lvlText w:val="%1.%2"/>
      <w:lvlJc w:val="left"/>
      <w:pPr>
        <w:ind w:left="358" w:hanging="360"/>
      </w:pPr>
      <w:rPr>
        <w:rFonts w:hint="default"/>
      </w:rPr>
    </w:lvl>
    <w:lvl w:ilvl="2">
      <w:start w:val="1"/>
      <w:numFmt w:val="lowerLetter"/>
      <w:lvlText w:val="%1.%2.%3"/>
      <w:lvlJc w:val="left"/>
      <w:pPr>
        <w:ind w:left="716" w:hanging="720"/>
      </w:pPr>
      <w:rPr>
        <w:rFonts w:hint="default"/>
      </w:rPr>
    </w:lvl>
    <w:lvl w:ilvl="3">
      <w:start w:val="1"/>
      <w:numFmt w:val="decimal"/>
      <w:lvlText w:val="%1.%2.%3.%4"/>
      <w:lvlJc w:val="left"/>
      <w:pPr>
        <w:ind w:left="714" w:hanging="720"/>
      </w:pPr>
      <w:rPr>
        <w:rFonts w:hint="default"/>
      </w:rPr>
    </w:lvl>
    <w:lvl w:ilvl="4">
      <w:start w:val="1"/>
      <w:numFmt w:val="decimal"/>
      <w:lvlText w:val="%1.%2.%3.%4.%5"/>
      <w:lvlJc w:val="left"/>
      <w:pPr>
        <w:ind w:left="712" w:hanging="720"/>
      </w:pPr>
      <w:rPr>
        <w:rFonts w:hint="default"/>
      </w:rPr>
    </w:lvl>
    <w:lvl w:ilvl="5">
      <w:start w:val="1"/>
      <w:numFmt w:val="decimal"/>
      <w:lvlText w:val="%1.%2.%3.%4.%5.%6"/>
      <w:lvlJc w:val="left"/>
      <w:pPr>
        <w:ind w:left="1070" w:hanging="1080"/>
      </w:pPr>
      <w:rPr>
        <w:rFonts w:hint="default"/>
      </w:rPr>
    </w:lvl>
    <w:lvl w:ilvl="6">
      <w:start w:val="1"/>
      <w:numFmt w:val="decimal"/>
      <w:lvlText w:val="%1.%2.%3.%4.%5.%6.%7"/>
      <w:lvlJc w:val="left"/>
      <w:pPr>
        <w:ind w:left="1068" w:hanging="1080"/>
      </w:pPr>
      <w:rPr>
        <w:rFonts w:hint="default"/>
      </w:rPr>
    </w:lvl>
    <w:lvl w:ilvl="7">
      <w:start w:val="1"/>
      <w:numFmt w:val="decimal"/>
      <w:lvlText w:val="%1.%2.%3.%4.%5.%6.%7.%8"/>
      <w:lvlJc w:val="left"/>
      <w:pPr>
        <w:ind w:left="1426" w:hanging="1440"/>
      </w:pPr>
      <w:rPr>
        <w:rFonts w:hint="default"/>
      </w:rPr>
    </w:lvl>
    <w:lvl w:ilvl="8">
      <w:start w:val="1"/>
      <w:numFmt w:val="decimal"/>
      <w:lvlText w:val="%1.%2.%3.%4.%5.%6.%7.%8.%9"/>
      <w:lvlJc w:val="left"/>
      <w:pPr>
        <w:ind w:left="1424" w:hanging="1440"/>
      </w:pPr>
      <w:rPr>
        <w:rFonts w:hint="default"/>
      </w:rPr>
    </w:lvl>
  </w:abstractNum>
  <w:abstractNum w:abstractNumId="14">
    <w:nsid w:val="32C26C3B"/>
    <w:multiLevelType w:val="hybridMultilevel"/>
    <w:tmpl w:val="CECCDC76"/>
    <w:lvl w:ilvl="0" w:tplc="0C0A000F">
      <w:start w:val="1"/>
      <w:numFmt w:val="decimal"/>
      <w:lvlText w:val="%1."/>
      <w:lvlJc w:val="left"/>
      <w:pPr>
        <w:ind w:left="718" w:hanging="360"/>
      </w:pPr>
      <w:rPr>
        <w:rFonts w:hint="default"/>
      </w:rPr>
    </w:lvl>
    <w:lvl w:ilvl="1" w:tplc="0C0A0003" w:tentative="1">
      <w:start w:val="1"/>
      <w:numFmt w:val="bullet"/>
      <w:lvlText w:val="o"/>
      <w:lvlJc w:val="left"/>
      <w:pPr>
        <w:ind w:left="1438" w:hanging="360"/>
      </w:pPr>
      <w:rPr>
        <w:rFonts w:ascii="Courier New" w:hAnsi="Courier New" w:cs="Courier New" w:hint="default"/>
      </w:rPr>
    </w:lvl>
    <w:lvl w:ilvl="2" w:tplc="0C0A0005" w:tentative="1">
      <w:start w:val="1"/>
      <w:numFmt w:val="bullet"/>
      <w:lvlText w:val=""/>
      <w:lvlJc w:val="left"/>
      <w:pPr>
        <w:ind w:left="2158" w:hanging="360"/>
      </w:pPr>
      <w:rPr>
        <w:rFonts w:ascii="Wingdings" w:hAnsi="Wingdings" w:hint="default"/>
      </w:rPr>
    </w:lvl>
    <w:lvl w:ilvl="3" w:tplc="0C0A0001" w:tentative="1">
      <w:start w:val="1"/>
      <w:numFmt w:val="bullet"/>
      <w:lvlText w:val=""/>
      <w:lvlJc w:val="left"/>
      <w:pPr>
        <w:ind w:left="2878" w:hanging="360"/>
      </w:pPr>
      <w:rPr>
        <w:rFonts w:ascii="Symbol" w:hAnsi="Symbol" w:hint="default"/>
      </w:rPr>
    </w:lvl>
    <w:lvl w:ilvl="4" w:tplc="0C0A0003" w:tentative="1">
      <w:start w:val="1"/>
      <w:numFmt w:val="bullet"/>
      <w:lvlText w:val="o"/>
      <w:lvlJc w:val="left"/>
      <w:pPr>
        <w:ind w:left="3598" w:hanging="360"/>
      </w:pPr>
      <w:rPr>
        <w:rFonts w:ascii="Courier New" w:hAnsi="Courier New" w:cs="Courier New" w:hint="default"/>
      </w:rPr>
    </w:lvl>
    <w:lvl w:ilvl="5" w:tplc="0C0A0005" w:tentative="1">
      <w:start w:val="1"/>
      <w:numFmt w:val="bullet"/>
      <w:lvlText w:val=""/>
      <w:lvlJc w:val="left"/>
      <w:pPr>
        <w:ind w:left="4318" w:hanging="360"/>
      </w:pPr>
      <w:rPr>
        <w:rFonts w:ascii="Wingdings" w:hAnsi="Wingdings" w:hint="default"/>
      </w:rPr>
    </w:lvl>
    <w:lvl w:ilvl="6" w:tplc="0C0A0001" w:tentative="1">
      <w:start w:val="1"/>
      <w:numFmt w:val="bullet"/>
      <w:lvlText w:val=""/>
      <w:lvlJc w:val="left"/>
      <w:pPr>
        <w:ind w:left="5038" w:hanging="360"/>
      </w:pPr>
      <w:rPr>
        <w:rFonts w:ascii="Symbol" w:hAnsi="Symbol" w:hint="default"/>
      </w:rPr>
    </w:lvl>
    <w:lvl w:ilvl="7" w:tplc="0C0A0003" w:tentative="1">
      <w:start w:val="1"/>
      <w:numFmt w:val="bullet"/>
      <w:lvlText w:val="o"/>
      <w:lvlJc w:val="left"/>
      <w:pPr>
        <w:ind w:left="5758" w:hanging="360"/>
      </w:pPr>
      <w:rPr>
        <w:rFonts w:ascii="Courier New" w:hAnsi="Courier New" w:cs="Courier New" w:hint="default"/>
      </w:rPr>
    </w:lvl>
    <w:lvl w:ilvl="8" w:tplc="0C0A0005" w:tentative="1">
      <w:start w:val="1"/>
      <w:numFmt w:val="bullet"/>
      <w:lvlText w:val=""/>
      <w:lvlJc w:val="left"/>
      <w:pPr>
        <w:ind w:left="6478" w:hanging="360"/>
      </w:pPr>
      <w:rPr>
        <w:rFonts w:ascii="Wingdings" w:hAnsi="Wingdings" w:hint="default"/>
      </w:rPr>
    </w:lvl>
  </w:abstractNum>
  <w:abstractNum w:abstractNumId="15">
    <w:nsid w:val="345B31E4"/>
    <w:multiLevelType w:val="hybridMultilevel"/>
    <w:tmpl w:val="729059E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4817CD4"/>
    <w:multiLevelType w:val="hybridMultilevel"/>
    <w:tmpl w:val="63763478"/>
    <w:lvl w:ilvl="0" w:tplc="2200DB9C">
      <w:start w:val="4"/>
      <w:numFmt w:val="bullet"/>
      <w:lvlText w:val=""/>
      <w:lvlJc w:val="left"/>
      <w:pPr>
        <w:ind w:left="718" w:hanging="360"/>
      </w:pPr>
      <w:rPr>
        <w:rFonts w:ascii="Symbol" w:eastAsia="Arial" w:hAnsi="Symbol" w:cs="Arial" w:hint="default"/>
      </w:rPr>
    </w:lvl>
    <w:lvl w:ilvl="1" w:tplc="0C0A0003" w:tentative="1">
      <w:start w:val="1"/>
      <w:numFmt w:val="bullet"/>
      <w:lvlText w:val="o"/>
      <w:lvlJc w:val="left"/>
      <w:pPr>
        <w:ind w:left="1438" w:hanging="360"/>
      </w:pPr>
      <w:rPr>
        <w:rFonts w:ascii="Courier New" w:hAnsi="Courier New" w:cs="Courier New" w:hint="default"/>
      </w:rPr>
    </w:lvl>
    <w:lvl w:ilvl="2" w:tplc="0C0A0005" w:tentative="1">
      <w:start w:val="1"/>
      <w:numFmt w:val="bullet"/>
      <w:lvlText w:val=""/>
      <w:lvlJc w:val="left"/>
      <w:pPr>
        <w:ind w:left="2158" w:hanging="360"/>
      </w:pPr>
      <w:rPr>
        <w:rFonts w:ascii="Wingdings" w:hAnsi="Wingdings" w:hint="default"/>
      </w:rPr>
    </w:lvl>
    <w:lvl w:ilvl="3" w:tplc="0C0A0001" w:tentative="1">
      <w:start w:val="1"/>
      <w:numFmt w:val="bullet"/>
      <w:lvlText w:val=""/>
      <w:lvlJc w:val="left"/>
      <w:pPr>
        <w:ind w:left="2878" w:hanging="360"/>
      </w:pPr>
      <w:rPr>
        <w:rFonts w:ascii="Symbol" w:hAnsi="Symbol" w:hint="default"/>
      </w:rPr>
    </w:lvl>
    <w:lvl w:ilvl="4" w:tplc="0C0A0003" w:tentative="1">
      <w:start w:val="1"/>
      <w:numFmt w:val="bullet"/>
      <w:lvlText w:val="o"/>
      <w:lvlJc w:val="left"/>
      <w:pPr>
        <w:ind w:left="3598" w:hanging="360"/>
      </w:pPr>
      <w:rPr>
        <w:rFonts w:ascii="Courier New" w:hAnsi="Courier New" w:cs="Courier New" w:hint="default"/>
      </w:rPr>
    </w:lvl>
    <w:lvl w:ilvl="5" w:tplc="0C0A0005" w:tentative="1">
      <w:start w:val="1"/>
      <w:numFmt w:val="bullet"/>
      <w:lvlText w:val=""/>
      <w:lvlJc w:val="left"/>
      <w:pPr>
        <w:ind w:left="4318" w:hanging="360"/>
      </w:pPr>
      <w:rPr>
        <w:rFonts w:ascii="Wingdings" w:hAnsi="Wingdings" w:hint="default"/>
      </w:rPr>
    </w:lvl>
    <w:lvl w:ilvl="6" w:tplc="0C0A0001" w:tentative="1">
      <w:start w:val="1"/>
      <w:numFmt w:val="bullet"/>
      <w:lvlText w:val=""/>
      <w:lvlJc w:val="left"/>
      <w:pPr>
        <w:ind w:left="5038" w:hanging="360"/>
      </w:pPr>
      <w:rPr>
        <w:rFonts w:ascii="Symbol" w:hAnsi="Symbol" w:hint="default"/>
      </w:rPr>
    </w:lvl>
    <w:lvl w:ilvl="7" w:tplc="0C0A0003" w:tentative="1">
      <w:start w:val="1"/>
      <w:numFmt w:val="bullet"/>
      <w:lvlText w:val="o"/>
      <w:lvlJc w:val="left"/>
      <w:pPr>
        <w:ind w:left="5758" w:hanging="360"/>
      </w:pPr>
      <w:rPr>
        <w:rFonts w:ascii="Courier New" w:hAnsi="Courier New" w:cs="Courier New" w:hint="default"/>
      </w:rPr>
    </w:lvl>
    <w:lvl w:ilvl="8" w:tplc="0C0A0005" w:tentative="1">
      <w:start w:val="1"/>
      <w:numFmt w:val="bullet"/>
      <w:lvlText w:val=""/>
      <w:lvlJc w:val="left"/>
      <w:pPr>
        <w:ind w:left="6478" w:hanging="360"/>
      </w:pPr>
      <w:rPr>
        <w:rFonts w:ascii="Wingdings" w:hAnsi="Wingdings" w:hint="default"/>
      </w:rPr>
    </w:lvl>
  </w:abstractNum>
  <w:abstractNum w:abstractNumId="17">
    <w:nsid w:val="4D962D12"/>
    <w:multiLevelType w:val="hybridMultilevel"/>
    <w:tmpl w:val="739EF4E4"/>
    <w:lvl w:ilvl="0" w:tplc="2200DB9C">
      <w:start w:val="4"/>
      <w:numFmt w:val="bullet"/>
      <w:lvlText w:val=""/>
      <w:lvlJc w:val="left"/>
      <w:pPr>
        <w:ind w:left="718" w:hanging="360"/>
      </w:pPr>
      <w:rPr>
        <w:rFonts w:ascii="Symbol" w:eastAsia="Arial" w:hAnsi="Symbol" w:cs="Arial" w:hint="default"/>
      </w:rPr>
    </w:lvl>
    <w:lvl w:ilvl="1" w:tplc="0C0A0003" w:tentative="1">
      <w:start w:val="1"/>
      <w:numFmt w:val="bullet"/>
      <w:lvlText w:val="o"/>
      <w:lvlJc w:val="left"/>
      <w:pPr>
        <w:ind w:left="1438" w:hanging="360"/>
      </w:pPr>
      <w:rPr>
        <w:rFonts w:ascii="Courier New" w:hAnsi="Courier New" w:cs="Courier New" w:hint="default"/>
      </w:rPr>
    </w:lvl>
    <w:lvl w:ilvl="2" w:tplc="0C0A0005" w:tentative="1">
      <w:start w:val="1"/>
      <w:numFmt w:val="bullet"/>
      <w:lvlText w:val=""/>
      <w:lvlJc w:val="left"/>
      <w:pPr>
        <w:ind w:left="2158" w:hanging="360"/>
      </w:pPr>
      <w:rPr>
        <w:rFonts w:ascii="Wingdings" w:hAnsi="Wingdings" w:hint="default"/>
      </w:rPr>
    </w:lvl>
    <w:lvl w:ilvl="3" w:tplc="0C0A0001" w:tentative="1">
      <w:start w:val="1"/>
      <w:numFmt w:val="bullet"/>
      <w:lvlText w:val=""/>
      <w:lvlJc w:val="left"/>
      <w:pPr>
        <w:ind w:left="2878" w:hanging="360"/>
      </w:pPr>
      <w:rPr>
        <w:rFonts w:ascii="Symbol" w:hAnsi="Symbol" w:hint="default"/>
      </w:rPr>
    </w:lvl>
    <w:lvl w:ilvl="4" w:tplc="0C0A0003" w:tentative="1">
      <w:start w:val="1"/>
      <w:numFmt w:val="bullet"/>
      <w:lvlText w:val="o"/>
      <w:lvlJc w:val="left"/>
      <w:pPr>
        <w:ind w:left="3598" w:hanging="360"/>
      </w:pPr>
      <w:rPr>
        <w:rFonts w:ascii="Courier New" w:hAnsi="Courier New" w:cs="Courier New" w:hint="default"/>
      </w:rPr>
    </w:lvl>
    <w:lvl w:ilvl="5" w:tplc="0C0A0005" w:tentative="1">
      <w:start w:val="1"/>
      <w:numFmt w:val="bullet"/>
      <w:lvlText w:val=""/>
      <w:lvlJc w:val="left"/>
      <w:pPr>
        <w:ind w:left="4318" w:hanging="360"/>
      </w:pPr>
      <w:rPr>
        <w:rFonts w:ascii="Wingdings" w:hAnsi="Wingdings" w:hint="default"/>
      </w:rPr>
    </w:lvl>
    <w:lvl w:ilvl="6" w:tplc="0C0A0001" w:tentative="1">
      <w:start w:val="1"/>
      <w:numFmt w:val="bullet"/>
      <w:lvlText w:val=""/>
      <w:lvlJc w:val="left"/>
      <w:pPr>
        <w:ind w:left="5038" w:hanging="360"/>
      </w:pPr>
      <w:rPr>
        <w:rFonts w:ascii="Symbol" w:hAnsi="Symbol" w:hint="default"/>
      </w:rPr>
    </w:lvl>
    <w:lvl w:ilvl="7" w:tplc="0C0A0003" w:tentative="1">
      <w:start w:val="1"/>
      <w:numFmt w:val="bullet"/>
      <w:lvlText w:val="o"/>
      <w:lvlJc w:val="left"/>
      <w:pPr>
        <w:ind w:left="5758" w:hanging="360"/>
      </w:pPr>
      <w:rPr>
        <w:rFonts w:ascii="Courier New" w:hAnsi="Courier New" w:cs="Courier New" w:hint="default"/>
      </w:rPr>
    </w:lvl>
    <w:lvl w:ilvl="8" w:tplc="0C0A0005" w:tentative="1">
      <w:start w:val="1"/>
      <w:numFmt w:val="bullet"/>
      <w:lvlText w:val=""/>
      <w:lvlJc w:val="left"/>
      <w:pPr>
        <w:ind w:left="6478" w:hanging="360"/>
      </w:pPr>
      <w:rPr>
        <w:rFonts w:ascii="Wingdings" w:hAnsi="Wingdings" w:hint="default"/>
      </w:rPr>
    </w:lvl>
  </w:abstractNum>
  <w:abstractNum w:abstractNumId="18">
    <w:nsid w:val="4DAF6807"/>
    <w:multiLevelType w:val="hybridMultilevel"/>
    <w:tmpl w:val="573C0B1E"/>
    <w:lvl w:ilvl="0" w:tplc="0C0A000F">
      <w:start w:val="1"/>
      <w:numFmt w:val="decimal"/>
      <w:lvlText w:val="%1."/>
      <w:lvlJc w:val="left"/>
      <w:pPr>
        <w:ind w:left="718" w:hanging="360"/>
      </w:pPr>
      <w:rPr>
        <w:rFonts w:hint="default"/>
      </w:rPr>
    </w:lvl>
    <w:lvl w:ilvl="1" w:tplc="0C0A0003" w:tentative="1">
      <w:start w:val="1"/>
      <w:numFmt w:val="bullet"/>
      <w:lvlText w:val="o"/>
      <w:lvlJc w:val="left"/>
      <w:pPr>
        <w:ind w:left="1438" w:hanging="360"/>
      </w:pPr>
      <w:rPr>
        <w:rFonts w:ascii="Courier New" w:hAnsi="Courier New" w:cs="Courier New" w:hint="default"/>
      </w:rPr>
    </w:lvl>
    <w:lvl w:ilvl="2" w:tplc="0C0A0005" w:tentative="1">
      <w:start w:val="1"/>
      <w:numFmt w:val="bullet"/>
      <w:lvlText w:val=""/>
      <w:lvlJc w:val="left"/>
      <w:pPr>
        <w:ind w:left="2158" w:hanging="360"/>
      </w:pPr>
      <w:rPr>
        <w:rFonts w:ascii="Wingdings" w:hAnsi="Wingdings" w:hint="default"/>
      </w:rPr>
    </w:lvl>
    <w:lvl w:ilvl="3" w:tplc="0C0A0001" w:tentative="1">
      <w:start w:val="1"/>
      <w:numFmt w:val="bullet"/>
      <w:lvlText w:val=""/>
      <w:lvlJc w:val="left"/>
      <w:pPr>
        <w:ind w:left="2878" w:hanging="360"/>
      </w:pPr>
      <w:rPr>
        <w:rFonts w:ascii="Symbol" w:hAnsi="Symbol" w:hint="default"/>
      </w:rPr>
    </w:lvl>
    <w:lvl w:ilvl="4" w:tplc="0C0A0003" w:tentative="1">
      <w:start w:val="1"/>
      <w:numFmt w:val="bullet"/>
      <w:lvlText w:val="o"/>
      <w:lvlJc w:val="left"/>
      <w:pPr>
        <w:ind w:left="3598" w:hanging="360"/>
      </w:pPr>
      <w:rPr>
        <w:rFonts w:ascii="Courier New" w:hAnsi="Courier New" w:cs="Courier New" w:hint="default"/>
      </w:rPr>
    </w:lvl>
    <w:lvl w:ilvl="5" w:tplc="0C0A0005" w:tentative="1">
      <w:start w:val="1"/>
      <w:numFmt w:val="bullet"/>
      <w:lvlText w:val=""/>
      <w:lvlJc w:val="left"/>
      <w:pPr>
        <w:ind w:left="4318" w:hanging="360"/>
      </w:pPr>
      <w:rPr>
        <w:rFonts w:ascii="Wingdings" w:hAnsi="Wingdings" w:hint="default"/>
      </w:rPr>
    </w:lvl>
    <w:lvl w:ilvl="6" w:tplc="0C0A0001" w:tentative="1">
      <w:start w:val="1"/>
      <w:numFmt w:val="bullet"/>
      <w:lvlText w:val=""/>
      <w:lvlJc w:val="left"/>
      <w:pPr>
        <w:ind w:left="5038" w:hanging="360"/>
      </w:pPr>
      <w:rPr>
        <w:rFonts w:ascii="Symbol" w:hAnsi="Symbol" w:hint="default"/>
      </w:rPr>
    </w:lvl>
    <w:lvl w:ilvl="7" w:tplc="0C0A0003" w:tentative="1">
      <w:start w:val="1"/>
      <w:numFmt w:val="bullet"/>
      <w:lvlText w:val="o"/>
      <w:lvlJc w:val="left"/>
      <w:pPr>
        <w:ind w:left="5758" w:hanging="360"/>
      </w:pPr>
      <w:rPr>
        <w:rFonts w:ascii="Courier New" w:hAnsi="Courier New" w:cs="Courier New" w:hint="default"/>
      </w:rPr>
    </w:lvl>
    <w:lvl w:ilvl="8" w:tplc="0C0A0005" w:tentative="1">
      <w:start w:val="1"/>
      <w:numFmt w:val="bullet"/>
      <w:lvlText w:val=""/>
      <w:lvlJc w:val="left"/>
      <w:pPr>
        <w:ind w:left="6478" w:hanging="360"/>
      </w:pPr>
      <w:rPr>
        <w:rFonts w:ascii="Wingdings" w:hAnsi="Wingdings" w:hint="default"/>
      </w:rPr>
    </w:lvl>
  </w:abstractNum>
  <w:abstractNum w:abstractNumId="19">
    <w:nsid w:val="4FEA011F"/>
    <w:multiLevelType w:val="hybridMultilevel"/>
    <w:tmpl w:val="715C5596"/>
    <w:lvl w:ilvl="0" w:tplc="0C0A0005">
      <w:start w:val="1"/>
      <w:numFmt w:val="bullet"/>
      <w:lvlText w:val=""/>
      <w:lvlJc w:val="left"/>
      <w:pPr>
        <w:ind w:left="718" w:hanging="360"/>
      </w:pPr>
      <w:rPr>
        <w:rFonts w:ascii="Wingdings" w:hAnsi="Wingdings" w:hint="default"/>
      </w:rPr>
    </w:lvl>
    <w:lvl w:ilvl="1" w:tplc="0C0A0003" w:tentative="1">
      <w:start w:val="1"/>
      <w:numFmt w:val="bullet"/>
      <w:lvlText w:val="o"/>
      <w:lvlJc w:val="left"/>
      <w:pPr>
        <w:ind w:left="1438" w:hanging="360"/>
      </w:pPr>
      <w:rPr>
        <w:rFonts w:ascii="Courier New" w:hAnsi="Courier New" w:cs="Courier New" w:hint="default"/>
      </w:rPr>
    </w:lvl>
    <w:lvl w:ilvl="2" w:tplc="0C0A0005" w:tentative="1">
      <w:start w:val="1"/>
      <w:numFmt w:val="bullet"/>
      <w:lvlText w:val=""/>
      <w:lvlJc w:val="left"/>
      <w:pPr>
        <w:ind w:left="2158" w:hanging="360"/>
      </w:pPr>
      <w:rPr>
        <w:rFonts w:ascii="Wingdings" w:hAnsi="Wingdings" w:hint="default"/>
      </w:rPr>
    </w:lvl>
    <w:lvl w:ilvl="3" w:tplc="0C0A0001" w:tentative="1">
      <w:start w:val="1"/>
      <w:numFmt w:val="bullet"/>
      <w:lvlText w:val=""/>
      <w:lvlJc w:val="left"/>
      <w:pPr>
        <w:ind w:left="2878" w:hanging="360"/>
      </w:pPr>
      <w:rPr>
        <w:rFonts w:ascii="Symbol" w:hAnsi="Symbol" w:hint="default"/>
      </w:rPr>
    </w:lvl>
    <w:lvl w:ilvl="4" w:tplc="0C0A0003" w:tentative="1">
      <w:start w:val="1"/>
      <w:numFmt w:val="bullet"/>
      <w:lvlText w:val="o"/>
      <w:lvlJc w:val="left"/>
      <w:pPr>
        <w:ind w:left="3598" w:hanging="360"/>
      </w:pPr>
      <w:rPr>
        <w:rFonts w:ascii="Courier New" w:hAnsi="Courier New" w:cs="Courier New" w:hint="default"/>
      </w:rPr>
    </w:lvl>
    <w:lvl w:ilvl="5" w:tplc="0C0A0005" w:tentative="1">
      <w:start w:val="1"/>
      <w:numFmt w:val="bullet"/>
      <w:lvlText w:val=""/>
      <w:lvlJc w:val="left"/>
      <w:pPr>
        <w:ind w:left="4318" w:hanging="360"/>
      </w:pPr>
      <w:rPr>
        <w:rFonts w:ascii="Wingdings" w:hAnsi="Wingdings" w:hint="default"/>
      </w:rPr>
    </w:lvl>
    <w:lvl w:ilvl="6" w:tplc="0C0A0001" w:tentative="1">
      <w:start w:val="1"/>
      <w:numFmt w:val="bullet"/>
      <w:lvlText w:val=""/>
      <w:lvlJc w:val="left"/>
      <w:pPr>
        <w:ind w:left="5038" w:hanging="360"/>
      </w:pPr>
      <w:rPr>
        <w:rFonts w:ascii="Symbol" w:hAnsi="Symbol" w:hint="default"/>
      </w:rPr>
    </w:lvl>
    <w:lvl w:ilvl="7" w:tplc="0C0A0003" w:tentative="1">
      <w:start w:val="1"/>
      <w:numFmt w:val="bullet"/>
      <w:lvlText w:val="o"/>
      <w:lvlJc w:val="left"/>
      <w:pPr>
        <w:ind w:left="5758" w:hanging="360"/>
      </w:pPr>
      <w:rPr>
        <w:rFonts w:ascii="Courier New" w:hAnsi="Courier New" w:cs="Courier New" w:hint="default"/>
      </w:rPr>
    </w:lvl>
    <w:lvl w:ilvl="8" w:tplc="0C0A0005" w:tentative="1">
      <w:start w:val="1"/>
      <w:numFmt w:val="bullet"/>
      <w:lvlText w:val=""/>
      <w:lvlJc w:val="left"/>
      <w:pPr>
        <w:ind w:left="6478" w:hanging="360"/>
      </w:pPr>
      <w:rPr>
        <w:rFonts w:ascii="Wingdings" w:hAnsi="Wingdings" w:hint="default"/>
      </w:rPr>
    </w:lvl>
  </w:abstractNum>
  <w:abstractNum w:abstractNumId="20">
    <w:nsid w:val="5403373D"/>
    <w:multiLevelType w:val="multilevel"/>
    <w:tmpl w:val="9D0072B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nsid w:val="56664C26"/>
    <w:multiLevelType w:val="hybridMultilevel"/>
    <w:tmpl w:val="1E4473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727303C"/>
    <w:multiLevelType w:val="hybridMultilevel"/>
    <w:tmpl w:val="94367194"/>
    <w:lvl w:ilvl="0" w:tplc="2200DB9C">
      <w:start w:val="4"/>
      <w:numFmt w:val="bullet"/>
      <w:lvlText w:val=""/>
      <w:lvlJc w:val="left"/>
      <w:pPr>
        <w:ind w:left="358" w:hanging="360"/>
      </w:pPr>
      <w:rPr>
        <w:rFonts w:ascii="Symbol" w:eastAsia="Arial" w:hAnsi="Symbol" w:cs="Arial" w:hint="default"/>
      </w:rPr>
    </w:lvl>
    <w:lvl w:ilvl="1" w:tplc="0C0A0003" w:tentative="1">
      <w:start w:val="1"/>
      <w:numFmt w:val="bullet"/>
      <w:lvlText w:val="o"/>
      <w:lvlJc w:val="left"/>
      <w:pPr>
        <w:ind w:left="1078" w:hanging="360"/>
      </w:pPr>
      <w:rPr>
        <w:rFonts w:ascii="Courier New" w:hAnsi="Courier New" w:cs="Courier New" w:hint="default"/>
      </w:rPr>
    </w:lvl>
    <w:lvl w:ilvl="2" w:tplc="0C0A0005" w:tentative="1">
      <w:start w:val="1"/>
      <w:numFmt w:val="bullet"/>
      <w:lvlText w:val=""/>
      <w:lvlJc w:val="left"/>
      <w:pPr>
        <w:ind w:left="1798" w:hanging="360"/>
      </w:pPr>
      <w:rPr>
        <w:rFonts w:ascii="Wingdings" w:hAnsi="Wingdings" w:hint="default"/>
      </w:rPr>
    </w:lvl>
    <w:lvl w:ilvl="3" w:tplc="0C0A0001" w:tentative="1">
      <w:start w:val="1"/>
      <w:numFmt w:val="bullet"/>
      <w:lvlText w:val=""/>
      <w:lvlJc w:val="left"/>
      <w:pPr>
        <w:ind w:left="2518" w:hanging="360"/>
      </w:pPr>
      <w:rPr>
        <w:rFonts w:ascii="Symbol" w:hAnsi="Symbol" w:hint="default"/>
      </w:rPr>
    </w:lvl>
    <w:lvl w:ilvl="4" w:tplc="0C0A0003" w:tentative="1">
      <w:start w:val="1"/>
      <w:numFmt w:val="bullet"/>
      <w:lvlText w:val="o"/>
      <w:lvlJc w:val="left"/>
      <w:pPr>
        <w:ind w:left="3238" w:hanging="360"/>
      </w:pPr>
      <w:rPr>
        <w:rFonts w:ascii="Courier New" w:hAnsi="Courier New" w:cs="Courier New" w:hint="default"/>
      </w:rPr>
    </w:lvl>
    <w:lvl w:ilvl="5" w:tplc="0C0A0005" w:tentative="1">
      <w:start w:val="1"/>
      <w:numFmt w:val="bullet"/>
      <w:lvlText w:val=""/>
      <w:lvlJc w:val="left"/>
      <w:pPr>
        <w:ind w:left="3958" w:hanging="360"/>
      </w:pPr>
      <w:rPr>
        <w:rFonts w:ascii="Wingdings" w:hAnsi="Wingdings" w:hint="default"/>
      </w:rPr>
    </w:lvl>
    <w:lvl w:ilvl="6" w:tplc="0C0A0001" w:tentative="1">
      <w:start w:val="1"/>
      <w:numFmt w:val="bullet"/>
      <w:lvlText w:val=""/>
      <w:lvlJc w:val="left"/>
      <w:pPr>
        <w:ind w:left="4678" w:hanging="360"/>
      </w:pPr>
      <w:rPr>
        <w:rFonts w:ascii="Symbol" w:hAnsi="Symbol" w:hint="default"/>
      </w:rPr>
    </w:lvl>
    <w:lvl w:ilvl="7" w:tplc="0C0A0003" w:tentative="1">
      <w:start w:val="1"/>
      <w:numFmt w:val="bullet"/>
      <w:lvlText w:val="o"/>
      <w:lvlJc w:val="left"/>
      <w:pPr>
        <w:ind w:left="5398" w:hanging="360"/>
      </w:pPr>
      <w:rPr>
        <w:rFonts w:ascii="Courier New" w:hAnsi="Courier New" w:cs="Courier New" w:hint="default"/>
      </w:rPr>
    </w:lvl>
    <w:lvl w:ilvl="8" w:tplc="0C0A0005" w:tentative="1">
      <w:start w:val="1"/>
      <w:numFmt w:val="bullet"/>
      <w:lvlText w:val=""/>
      <w:lvlJc w:val="left"/>
      <w:pPr>
        <w:ind w:left="6118" w:hanging="360"/>
      </w:pPr>
      <w:rPr>
        <w:rFonts w:ascii="Wingdings" w:hAnsi="Wingdings" w:hint="default"/>
      </w:rPr>
    </w:lvl>
  </w:abstractNum>
  <w:abstractNum w:abstractNumId="23">
    <w:nsid w:val="61A420C2"/>
    <w:multiLevelType w:val="hybridMultilevel"/>
    <w:tmpl w:val="CECCDC76"/>
    <w:lvl w:ilvl="0" w:tplc="0C0A000F">
      <w:start w:val="1"/>
      <w:numFmt w:val="decimal"/>
      <w:lvlText w:val="%1."/>
      <w:lvlJc w:val="left"/>
      <w:pPr>
        <w:ind w:left="718" w:hanging="360"/>
      </w:pPr>
      <w:rPr>
        <w:rFonts w:hint="default"/>
      </w:rPr>
    </w:lvl>
    <w:lvl w:ilvl="1" w:tplc="0C0A0003" w:tentative="1">
      <w:start w:val="1"/>
      <w:numFmt w:val="bullet"/>
      <w:lvlText w:val="o"/>
      <w:lvlJc w:val="left"/>
      <w:pPr>
        <w:ind w:left="1438" w:hanging="360"/>
      </w:pPr>
      <w:rPr>
        <w:rFonts w:ascii="Courier New" w:hAnsi="Courier New" w:cs="Courier New" w:hint="default"/>
      </w:rPr>
    </w:lvl>
    <w:lvl w:ilvl="2" w:tplc="0C0A0005" w:tentative="1">
      <w:start w:val="1"/>
      <w:numFmt w:val="bullet"/>
      <w:lvlText w:val=""/>
      <w:lvlJc w:val="left"/>
      <w:pPr>
        <w:ind w:left="2158" w:hanging="360"/>
      </w:pPr>
      <w:rPr>
        <w:rFonts w:ascii="Wingdings" w:hAnsi="Wingdings" w:hint="default"/>
      </w:rPr>
    </w:lvl>
    <w:lvl w:ilvl="3" w:tplc="0C0A0001" w:tentative="1">
      <w:start w:val="1"/>
      <w:numFmt w:val="bullet"/>
      <w:lvlText w:val=""/>
      <w:lvlJc w:val="left"/>
      <w:pPr>
        <w:ind w:left="2878" w:hanging="360"/>
      </w:pPr>
      <w:rPr>
        <w:rFonts w:ascii="Symbol" w:hAnsi="Symbol" w:hint="default"/>
      </w:rPr>
    </w:lvl>
    <w:lvl w:ilvl="4" w:tplc="0C0A0003" w:tentative="1">
      <w:start w:val="1"/>
      <w:numFmt w:val="bullet"/>
      <w:lvlText w:val="o"/>
      <w:lvlJc w:val="left"/>
      <w:pPr>
        <w:ind w:left="3598" w:hanging="360"/>
      </w:pPr>
      <w:rPr>
        <w:rFonts w:ascii="Courier New" w:hAnsi="Courier New" w:cs="Courier New" w:hint="default"/>
      </w:rPr>
    </w:lvl>
    <w:lvl w:ilvl="5" w:tplc="0C0A0005" w:tentative="1">
      <w:start w:val="1"/>
      <w:numFmt w:val="bullet"/>
      <w:lvlText w:val=""/>
      <w:lvlJc w:val="left"/>
      <w:pPr>
        <w:ind w:left="4318" w:hanging="360"/>
      </w:pPr>
      <w:rPr>
        <w:rFonts w:ascii="Wingdings" w:hAnsi="Wingdings" w:hint="default"/>
      </w:rPr>
    </w:lvl>
    <w:lvl w:ilvl="6" w:tplc="0C0A0001" w:tentative="1">
      <w:start w:val="1"/>
      <w:numFmt w:val="bullet"/>
      <w:lvlText w:val=""/>
      <w:lvlJc w:val="left"/>
      <w:pPr>
        <w:ind w:left="5038" w:hanging="360"/>
      </w:pPr>
      <w:rPr>
        <w:rFonts w:ascii="Symbol" w:hAnsi="Symbol" w:hint="default"/>
      </w:rPr>
    </w:lvl>
    <w:lvl w:ilvl="7" w:tplc="0C0A0003" w:tentative="1">
      <w:start w:val="1"/>
      <w:numFmt w:val="bullet"/>
      <w:lvlText w:val="o"/>
      <w:lvlJc w:val="left"/>
      <w:pPr>
        <w:ind w:left="5758" w:hanging="360"/>
      </w:pPr>
      <w:rPr>
        <w:rFonts w:ascii="Courier New" w:hAnsi="Courier New" w:cs="Courier New" w:hint="default"/>
      </w:rPr>
    </w:lvl>
    <w:lvl w:ilvl="8" w:tplc="0C0A0005" w:tentative="1">
      <w:start w:val="1"/>
      <w:numFmt w:val="bullet"/>
      <w:lvlText w:val=""/>
      <w:lvlJc w:val="left"/>
      <w:pPr>
        <w:ind w:left="6478" w:hanging="360"/>
      </w:pPr>
      <w:rPr>
        <w:rFonts w:ascii="Wingdings" w:hAnsi="Wingdings" w:hint="default"/>
      </w:rPr>
    </w:lvl>
  </w:abstractNum>
  <w:abstractNum w:abstractNumId="24">
    <w:nsid w:val="62360771"/>
    <w:multiLevelType w:val="multilevel"/>
    <w:tmpl w:val="FE76B2A6"/>
    <w:lvl w:ilvl="0">
      <w:start w:val="1"/>
      <w:numFmt w:val="bullet"/>
      <w:lvlText w:val=""/>
      <w:lvlJc w:val="left"/>
      <w:pPr>
        <w:ind w:left="360" w:hanging="360"/>
      </w:pPr>
      <w:rPr>
        <w:rFonts w:ascii="Symbol" w:hAnsi="Symbol" w:hint="default"/>
      </w:rPr>
    </w:lvl>
    <w:lvl w:ilvl="1">
      <w:start w:val="1"/>
      <w:numFmt w:val="decimal"/>
      <w:lvlText w:val="%1.%2"/>
      <w:lvlJc w:val="left"/>
      <w:pPr>
        <w:ind w:left="358" w:hanging="360"/>
      </w:pPr>
      <w:rPr>
        <w:rFonts w:hint="default"/>
      </w:rPr>
    </w:lvl>
    <w:lvl w:ilvl="2">
      <w:start w:val="1"/>
      <w:numFmt w:val="lowerLetter"/>
      <w:lvlText w:val="%1.%2.%3"/>
      <w:lvlJc w:val="left"/>
      <w:pPr>
        <w:ind w:left="716" w:hanging="720"/>
      </w:pPr>
      <w:rPr>
        <w:rFonts w:hint="default"/>
      </w:rPr>
    </w:lvl>
    <w:lvl w:ilvl="3">
      <w:start w:val="1"/>
      <w:numFmt w:val="decimal"/>
      <w:lvlText w:val="%1.%2.%3.%4"/>
      <w:lvlJc w:val="left"/>
      <w:pPr>
        <w:ind w:left="714" w:hanging="720"/>
      </w:pPr>
      <w:rPr>
        <w:rFonts w:hint="default"/>
      </w:rPr>
    </w:lvl>
    <w:lvl w:ilvl="4">
      <w:start w:val="1"/>
      <w:numFmt w:val="decimal"/>
      <w:lvlText w:val="%1.%2.%3.%4.%5"/>
      <w:lvlJc w:val="left"/>
      <w:pPr>
        <w:ind w:left="712" w:hanging="720"/>
      </w:pPr>
      <w:rPr>
        <w:rFonts w:hint="default"/>
      </w:rPr>
    </w:lvl>
    <w:lvl w:ilvl="5">
      <w:start w:val="1"/>
      <w:numFmt w:val="decimal"/>
      <w:lvlText w:val="%1.%2.%3.%4.%5.%6"/>
      <w:lvlJc w:val="left"/>
      <w:pPr>
        <w:ind w:left="1070" w:hanging="1080"/>
      </w:pPr>
      <w:rPr>
        <w:rFonts w:hint="default"/>
      </w:rPr>
    </w:lvl>
    <w:lvl w:ilvl="6">
      <w:start w:val="1"/>
      <w:numFmt w:val="decimal"/>
      <w:lvlText w:val="%1.%2.%3.%4.%5.%6.%7"/>
      <w:lvlJc w:val="left"/>
      <w:pPr>
        <w:ind w:left="1068" w:hanging="1080"/>
      </w:pPr>
      <w:rPr>
        <w:rFonts w:hint="default"/>
      </w:rPr>
    </w:lvl>
    <w:lvl w:ilvl="7">
      <w:start w:val="1"/>
      <w:numFmt w:val="decimal"/>
      <w:lvlText w:val="%1.%2.%3.%4.%5.%6.%7.%8"/>
      <w:lvlJc w:val="left"/>
      <w:pPr>
        <w:ind w:left="1426" w:hanging="1440"/>
      </w:pPr>
      <w:rPr>
        <w:rFonts w:hint="default"/>
      </w:rPr>
    </w:lvl>
    <w:lvl w:ilvl="8">
      <w:start w:val="1"/>
      <w:numFmt w:val="decimal"/>
      <w:lvlText w:val="%1.%2.%3.%4.%5.%6.%7.%8.%9"/>
      <w:lvlJc w:val="left"/>
      <w:pPr>
        <w:ind w:left="1424" w:hanging="1440"/>
      </w:pPr>
      <w:rPr>
        <w:rFonts w:hint="default"/>
      </w:rPr>
    </w:lvl>
  </w:abstractNum>
  <w:abstractNum w:abstractNumId="25">
    <w:nsid w:val="6AA627B1"/>
    <w:multiLevelType w:val="multilevel"/>
    <w:tmpl w:val="DD92C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1790E06"/>
    <w:multiLevelType w:val="multilevel"/>
    <w:tmpl w:val="489AC7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7974282B"/>
    <w:multiLevelType w:val="multilevel"/>
    <w:tmpl w:val="DD92C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D475AF1"/>
    <w:multiLevelType w:val="hybridMultilevel"/>
    <w:tmpl w:val="2048E78E"/>
    <w:lvl w:ilvl="0" w:tplc="190C4E6A">
      <w:start w:val="6"/>
      <w:numFmt w:val="bullet"/>
      <w:lvlText w:val="-"/>
      <w:lvlJc w:val="left"/>
      <w:pPr>
        <w:ind w:left="718" w:hanging="360"/>
      </w:pPr>
      <w:rPr>
        <w:rFonts w:ascii="Arial" w:eastAsia="Arial" w:hAnsi="Arial" w:cs="Arial" w:hint="default"/>
      </w:rPr>
    </w:lvl>
    <w:lvl w:ilvl="1" w:tplc="0C0A0003" w:tentative="1">
      <w:start w:val="1"/>
      <w:numFmt w:val="bullet"/>
      <w:lvlText w:val="o"/>
      <w:lvlJc w:val="left"/>
      <w:pPr>
        <w:ind w:left="1438" w:hanging="360"/>
      </w:pPr>
      <w:rPr>
        <w:rFonts w:ascii="Courier New" w:hAnsi="Courier New" w:cs="Courier New" w:hint="default"/>
      </w:rPr>
    </w:lvl>
    <w:lvl w:ilvl="2" w:tplc="0C0A0005" w:tentative="1">
      <w:start w:val="1"/>
      <w:numFmt w:val="bullet"/>
      <w:lvlText w:val=""/>
      <w:lvlJc w:val="left"/>
      <w:pPr>
        <w:ind w:left="2158" w:hanging="360"/>
      </w:pPr>
      <w:rPr>
        <w:rFonts w:ascii="Wingdings" w:hAnsi="Wingdings" w:hint="default"/>
      </w:rPr>
    </w:lvl>
    <w:lvl w:ilvl="3" w:tplc="0C0A0001" w:tentative="1">
      <w:start w:val="1"/>
      <w:numFmt w:val="bullet"/>
      <w:lvlText w:val=""/>
      <w:lvlJc w:val="left"/>
      <w:pPr>
        <w:ind w:left="2878" w:hanging="360"/>
      </w:pPr>
      <w:rPr>
        <w:rFonts w:ascii="Symbol" w:hAnsi="Symbol" w:hint="default"/>
      </w:rPr>
    </w:lvl>
    <w:lvl w:ilvl="4" w:tplc="0C0A0003" w:tentative="1">
      <w:start w:val="1"/>
      <w:numFmt w:val="bullet"/>
      <w:lvlText w:val="o"/>
      <w:lvlJc w:val="left"/>
      <w:pPr>
        <w:ind w:left="3598" w:hanging="360"/>
      </w:pPr>
      <w:rPr>
        <w:rFonts w:ascii="Courier New" w:hAnsi="Courier New" w:cs="Courier New" w:hint="default"/>
      </w:rPr>
    </w:lvl>
    <w:lvl w:ilvl="5" w:tplc="0C0A0005" w:tentative="1">
      <w:start w:val="1"/>
      <w:numFmt w:val="bullet"/>
      <w:lvlText w:val=""/>
      <w:lvlJc w:val="left"/>
      <w:pPr>
        <w:ind w:left="4318" w:hanging="360"/>
      </w:pPr>
      <w:rPr>
        <w:rFonts w:ascii="Wingdings" w:hAnsi="Wingdings" w:hint="default"/>
      </w:rPr>
    </w:lvl>
    <w:lvl w:ilvl="6" w:tplc="0C0A0001" w:tentative="1">
      <w:start w:val="1"/>
      <w:numFmt w:val="bullet"/>
      <w:lvlText w:val=""/>
      <w:lvlJc w:val="left"/>
      <w:pPr>
        <w:ind w:left="5038" w:hanging="360"/>
      </w:pPr>
      <w:rPr>
        <w:rFonts w:ascii="Symbol" w:hAnsi="Symbol" w:hint="default"/>
      </w:rPr>
    </w:lvl>
    <w:lvl w:ilvl="7" w:tplc="0C0A0003" w:tentative="1">
      <w:start w:val="1"/>
      <w:numFmt w:val="bullet"/>
      <w:lvlText w:val="o"/>
      <w:lvlJc w:val="left"/>
      <w:pPr>
        <w:ind w:left="5758" w:hanging="360"/>
      </w:pPr>
      <w:rPr>
        <w:rFonts w:ascii="Courier New" w:hAnsi="Courier New" w:cs="Courier New" w:hint="default"/>
      </w:rPr>
    </w:lvl>
    <w:lvl w:ilvl="8" w:tplc="0C0A0005" w:tentative="1">
      <w:start w:val="1"/>
      <w:numFmt w:val="bullet"/>
      <w:lvlText w:val=""/>
      <w:lvlJc w:val="left"/>
      <w:pPr>
        <w:ind w:left="6478" w:hanging="360"/>
      </w:pPr>
      <w:rPr>
        <w:rFonts w:ascii="Wingdings" w:hAnsi="Wingdings" w:hint="default"/>
      </w:rPr>
    </w:lvl>
  </w:abstractNum>
  <w:num w:numId="1">
    <w:abstractNumId w:val="1"/>
  </w:num>
  <w:num w:numId="2">
    <w:abstractNumId w:val="20"/>
  </w:num>
  <w:num w:numId="3">
    <w:abstractNumId w:val="6"/>
  </w:num>
  <w:num w:numId="4">
    <w:abstractNumId w:val="9"/>
  </w:num>
  <w:num w:numId="5">
    <w:abstractNumId w:val="2"/>
  </w:num>
  <w:num w:numId="6">
    <w:abstractNumId w:val="0"/>
  </w:num>
  <w:num w:numId="7">
    <w:abstractNumId w:val="8"/>
  </w:num>
  <w:num w:numId="8">
    <w:abstractNumId w:val="26"/>
  </w:num>
  <w:num w:numId="9">
    <w:abstractNumId w:val="22"/>
  </w:num>
  <w:num w:numId="10">
    <w:abstractNumId w:val="15"/>
  </w:num>
  <w:num w:numId="11">
    <w:abstractNumId w:val="19"/>
  </w:num>
  <w:num w:numId="12">
    <w:abstractNumId w:val="10"/>
  </w:num>
  <w:num w:numId="13">
    <w:abstractNumId w:val="28"/>
  </w:num>
  <w:num w:numId="14">
    <w:abstractNumId w:val="11"/>
  </w:num>
  <w:num w:numId="15">
    <w:abstractNumId w:val="17"/>
  </w:num>
  <w:num w:numId="16">
    <w:abstractNumId w:val="16"/>
  </w:num>
  <w:num w:numId="17">
    <w:abstractNumId w:val="5"/>
  </w:num>
  <w:num w:numId="18">
    <w:abstractNumId w:val="4"/>
    <w:lvlOverride w:ilvl="0">
      <w:lvl w:ilvl="0">
        <w:numFmt w:val="lowerLetter"/>
        <w:lvlText w:val="%1."/>
        <w:lvlJc w:val="left"/>
      </w:lvl>
    </w:lvlOverride>
  </w:num>
  <w:num w:numId="19">
    <w:abstractNumId w:val="25"/>
    <w:lvlOverride w:ilvl="0">
      <w:lvl w:ilvl="0">
        <w:numFmt w:val="lowerLetter"/>
        <w:lvlText w:val="%1."/>
        <w:lvlJc w:val="left"/>
      </w:lvl>
    </w:lvlOverride>
  </w:num>
  <w:num w:numId="20">
    <w:abstractNumId w:val="27"/>
  </w:num>
  <w:num w:numId="21">
    <w:abstractNumId w:val="24"/>
  </w:num>
  <w:num w:numId="22">
    <w:abstractNumId w:val="12"/>
  </w:num>
  <w:num w:numId="23">
    <w:abstractNumId w:val="7"/>
  </w:num>
  <w:num w:numId="24">
    <w:abstractNumId w:val="13"/>
  </w:num>
  <w:num w:numId="25">
    <w:abstractNumId w:val="21"/>
  </w:num>
  <w:num w:numId="26">
    <w:abstractNumId w:val="23"/>
  </w:num>
  <w:num w:numId="27">
    <w:abstractNumId w:val="18"/>
  </w:num>
  <w:num w:numId="28">
    <w:abstractNumId w:val="3"/>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284"/>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B74082"/>
    <w:rsid w:val="00027F14"/>
    <w:rsid w:val="00032BFD"/>
    <w:rsid w:val="00067522"/>
    <w:rsid w:val="0008624F"/>
    <w:rsid w:val="00091DAD"/>
    <w:rsid w:val="000A063D"/>
    <w:rsid w:val="000A74C8"/>
    <w:rsid w:val="000C2FC8"/>
    <w:rsid w:val="000C31FA"/>
    <w:rsid w:val="00100BC2"/>
    <w:rsid w:val="00105466"/>
    <w:rsid w:val="00115A29"/>
    <w:rsid w:val="00125CBB"/>
    <w:rsid w:val="0013037B"/>
    <w:rsid w:val="00131665"/>
    <w:rsid w:val="001335B8"/>
    <w:rsid w:val="0013636B"/>
    <w:rsid w:val="00140029"/>
    <w:rsid w:val="00150165"/>
    <w:rsid w:val="00151E9B"/>
    <w:rsid w:val="00155E6D"/>
    <w:rsid w:val="00171121"/>
    <w:rsid w:val="00181699"/>
    <w:rsid w:val="0018293D"/>
    <w:rsid w:val="001836A6"/>
    <w:rsid w:val="001921D7"/>
    <w:rsid w:val="001E29C5"/>
    <w:rsid w:val="001F7EE7"/>
    <w:rsid w:val="00204C4E"/>
    <w:rsid w:val="002324E2"/>
    <w:rsid w:val="002404D9"/>
    <w:rsid w:val="00244D42"/>
    <w:rsid w:val="0024541A"/>
    <w:rsid w:val="00257E51"/>
    <w:rsid w:val="00274B6E"/>
    <w:rsid w:val="00285C01"/>
    <w:rsid w:val="00287F58"/>
    <w:rsid w:val="0029131F"/>
    <w:rsid w:val="002A2B50"/>
    <w:rsid w:val="002C01F8"/>
    <w:rsid w:val="002C601D"/>
    <w:rsid w:val="002C6FEA"/>
    <w:rsid w:val="002F419F"/>
    <w:rsid w:val="00324D74"/>
    <w:rsid w:val="003302E5"/>
    <w:rsid w:val="00344934"/>
    <w:rsid w:val="00345320"/>
    <w:rsid w:val="00345539"/>
    <w:rsid w:val="00356911"/>
    <w:rsid w:val="0035725C"/>
    <w:rsid w:val="003628E0"/>
    <w:rsid w:val="00381035"/>
    <w:rsid w:val="003872B0"/>
    <w:rsid w:val="00387772"/>
    <w:rsid w:val="003A6FCC"/>
    <w:rsid w:val="003C3939"/>
    <w:rsid w:val="003E7DBC"/>
    <w:rsid w:val="003F34F0"/>
    <w:rsid w:val="003F42B5"/>
    <w:rsid w:val="0040174B"/>
    <w:rsid w:val="00412330"/>
    <w:rsid w:val="00413528"/>
    <w:rsid w:val="0042331C"/>
    <w:rsid w:val="00437177"/>
    <w:rsid w:val="00455BC5"/>
    <w:rsid w:val="0046044D"/>
    <w:rsid w:val="00472F9C"/>
    <w:rsid w:val="004845E9"/>
    <w:rsid w:val="004868D6"/>
    <w:rsid w:val="004934D6"/>
    <w:rsid w:val="0049444B"/>
    <w:rsid w:val="004A27D8"/>
    <w:rsid w:val="004A5B3E"/>
    <w:rsid w:val="004B68CD"/>
    <w:rsid w:val="004D1953"/>
    <w:rsid w:val="004D5F7D"/>
    <w:rsid w:val="004E1686"/>
    <w:rsid w:val="004E416C"/>
    <w:rsid w:val="004F620C"/>
    <w:rsid w:val="00502CC8"/>
    <w:rsid w:val="0053069C"/>
    <w:rsid w:val="00554C2A"/>
    <w:rsid w:val="005844FF"/>
    <w:rsid w:val="005A6E83"/>
    <w:rsid w:val="005C652A"/>
    <w:rsid w:val="005D7A1B"/>
    <w:rsid w:val="005E0F82"/>
    <w:rsid w:val="005E5D37"/>
    <w:rsid w:val="006321B5"/>
    <w:rsid w:val="00634980"/>
    <w:rsid w:val="00642940"/>
    <w:rsid w:val="00645EF0"/>
    <w:rsid w:val="00647144"/>
    <w:rsid w:val="00647D21"/>
    <w:rsid w:val="0065057D"/>
    <w:rsid w:val="00654C7D"/>
    <w:rsid w:val="00677F41"/>
    <w:rsid w:val="00686005"/>
    <w:rsid w:val="0069289D"/>
    <w:rsid w:val="0069409F"/>
    <w:rsid w:val="00697205"/>
    <w:rsid w:val="006B1E86"/>
    <w:rsid w:val="006D2FEB"/>
    <w:rsid w:val="006D6988"/>
    <w:rsid w:val="006E5F07"/>
    <w:rsid w:val="006F2328"/>
    <w:rsid w:val="006F2AA4"/>
    <w:rsid w:val="00702882"/>
    <w:rsid w:val="00702E95"/>
    <w:rsid w:val="00717178"/>
    <w:rsid w:val="00743E44"/>
    <w:rsid w:val="0076410D"/>
    <w:rsid w:val="00772933"/>
    <w:rsid w:val="007751AE"/>
    <w:rsid w:val="007A180E"/>
    <w:rsid w:val="007A2122"/>
    <w:rsid w:val="007B79DD"/>
    <w:rsid w:val="007D751F"/>
    <w:rsid w:val="007D7664"/>
    <w:rsid w:val="00822033"/>
    <w:rsid w:val="00833DFD"/>
    <w:rsid w:val="00862A9C"/>
    <w:rsid w:val="00862AF4"/>
    <w:rsid w:val="00867F9F"/>
    <w:rsid w:val="00874292"/>
    <w:rsid w:val="008838A6"/>
    <w:rsid w:val="008B1964"/>
    <w:rsid w:val="008B2211"/>
    <w:rsid w:val="008D2276"/>
    <w:rsid w:val="008D791C"/>
    <w:rsid w:val="008E1F23"/>
    <w:rsid w:val="008E4FCC"/>
    <w:rsid w:val="0091462B"/>
    <w:rsid w:val="00914796"/>
    <w:rsid w:val="00924731"/>
    <w:rsid w:val="009320BC"/>
    <w:rsid w:val="00944BBD"/>
    <w:rsid w:val="009456BB"/>
    <w:rsid w:val="00966D25"/>
    <w:rsid w:val="00972E40"/>
    <w:rsid w:val="009757FE"/>
    <w:rsid w:val="00984A24"/>
    <w:rsid w:val="009929D0"/>
    <w:rsid w:val="009C79AE"/>
    <w:rsid w:val="009C7A61"/>
    <w:rsid w:val="009D18C1"/>
    <w:rsid w:val="009E0ECD"/>
    <w:rsid w:val="009E5594"/>
    <w:rsid w:val="009E77D1"/>
    <w:rsid w:val="009F147D"/>
    <w:rsid w:val="009F4E08"/>
    <w:rsid w:val="009F6C83"/>
    <w:rsid w:val="00A15DE1"/>
    <w:rsid w:val="00A25581"/>
    <w:rsid w:val="00A264C6"/>
    <w:rsid w:val="00A3401E"/>
    <w:rsid w:val="00A35DDA"/>
    <w:rsid w:val="00A50948"/>
    <w:rsid w:val="00A97F14"/>
    <w:rsid w:val="00AA08A2"/>
    <w:rsid w:val="00AA2245"/>
    <w:rsid w:val="00AB5750"/>
    <w:rsid w:val="00AC64A4"/>
    <w:rsid w:val="00AF3407"/>
    <w:rsid w:val="00B032A8"/>
    <w:rsid w:val="00B03410"/>
    <w:rsid w:val="00B173DD"/>
    <w:rsid w:val="00B30369"/>
    <w:rsid w:val="00B36557"/>
    <w:rsid w:val="00B37D4D"/>
    <w:rsid w:val="00B40616"/>
    <w:rsid w:val="00B55C53"/>
    <w:rsid w:val="00B65088"/>
    <w:rsid w:val="00B70A68"/>
    <w:rsid w:val="00B73812"/>
    <w:rsid w:val="00B74082"/>
    <w:rsid w:val="00B8239D"/>
    <w:rsid w:val="00B86D55"/>
    <w:rsid w:val="00B93201"/>
    <w:rsid w:val="00BA445A"/>
    <w:rsid w:val="00BA6EEB"/>
    <w:rsid w:val="00BC09DD"/>
    <w:rsid w:val="00BD2712"/>
    <w:rsid w:val="00BE3BDC"/>
    <w:rsid w:val="00BE4D5B"/>
    <w:rsid w:val="00BF5EDE"/>
    <w:rsid w:val="00C016EB"/>
    <w:rsid w:val="00C05404"/>
    <w:rsid w:val="00C056A1"/>
    <w:rsid w:val="00C20AE2"/>
    <w:rsid w:val="00C26695"/>
    <w:rsid w:val="00C311D9"/>
    <w:rsid w:val="00C338D5"/>
    <w:rsid w:val="00C35D5D"/>
    <w:rsid w:val="00C4592D"/>
    <w:rsid w:val="00C463B0"/>
    <w:rsid w:val="00C538F0"/>
    <w:rsid w:val="00C560F5"/>
    <w:rsid w:val="00C72459"/>
    <w:rsid w:val="00C82EE4"/>
    <w:rsid w:val="00CA4175"/>
    <w:rsid w:val="00CA660A"/>
    <w:rsid w:val="00CB0292"/>
    <w:rsid w:val="00CD1A73"/>
    <w:rsid w:val="00CD26F6"/>
    <w:rsid w:val="00D01D29"/>
    <w:rsid w:val="00D348F2"/>
    <w:rsid w:val="00D36B93"/>
    <w:rsid w:val="00D47015"/>
    <w:rsid w:val="00D81CBA"/>
    <w:rsid w:val="00D84773"/>
    <w:rsid w:val="00D8772B"/>
    <w:rsid w:val="00D9293C"/>
    <w:rsid w:val="00D97F8C"/>
    <w:rsid w:val="00DA20C8"/>
    <w:rsid w:val="00DB55B9"/>
    <w:rsid w:val="00DC543E"/>
    <w:rsid w:val="00DC75BF"/>
    <w:rsid w:val="00DD0913"/>
    <w:rsid w:val="00DD1306"/>
    <w:rsid w:val="00DD1F88"/>
    <w:rsid w:val="00DD3A6E"/>
    <w:rsid w:val="00DD74F8"/>
    <w:rsid w:val="00DE4DB2"/>
    <w:rsid w:val="00E37817"/>
    <w:rsid w:val="00E415DE"/>
    <w:rsid w:val="00E564BB"/>
    <w:rsid w:val="00E576C4"/>
    <w:rsid w:val="00E75D33"/>
    <w:rsid w:val="00E77619"/>
    <w:rsid w:val="00E81DF4"/>
    <w:rsid w:val="00E85D3F"/>
    <w:rsid w:val="00E90104"/>
    <w:rsid w:val="00EB04C3"/>
    <w:rsid w:val="00EB34D5"/>
    <w:rsid w:val="00EC646D"/>
    <w:rsid w:val="00ED6FC6"/>
    <w:rsid w:val="00EF205E"/>
    <w:rsid w:val="00EF6511"/>
    <w:rsid w:val="00F022E0"/>
    <w:rsid w:val="00F15281"/>
    <w:rsid w:val="00F17AB9"/>
    <w:rsid w:val="00F20FBE"/>
    <w:rsid w:val="00F32149"/>
    <w:rsid w:val="00F36ED1"/>
    <w:rsid w:val="00F3788E"/>
    <w:rsid w:val="00F40290"/>
    <w:rsid w:val="00F41FBB"/>
    <w:rsid w:val="00F4612D"/>
    <w:rsid w:val="00F50338"/>
    <w:rsid w:val="00F567D7"/>
    <w:rsid w:val="00F6056E"/>
    <w:rsid w:val="00F67B2A"/>
    <w:rsid w:val="00F71E0C"/>
    <w:rsid w:val="00F90DB2"/>
    <w:rsid w:val="00FA0125"/>
    <w:rsid w:val="00FE2330"/>
    <w:rsid w:val="00FE544C"/>
    <w:rsid w:val="00FF46B2"/>
    <w:rsid w:val="00FF6A6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104"/>
    <w:pPr>
      <w:suppressAutoHyphens/>
      <w:spacing w:line="1" w:lineRule="atLeast"/>
      <w:ind w:leftChars="-1" w:left="-1" w:hangingChars="1" w:hanging="1"/>
      <w:textDirection w:val="btLr"/>
      <w:textAlignment w:val="top"/>
      <w:outlineLvl w:val="0"/>
    </w:pPr>
    <w:rPr>
      <w:position w:val="-1"/>
    </w:rPr>
  </w:style>
  <w:style w:type="paragraph" w:styleId="Ttulo1">
    <w:name w:val="heading 1"/>
    <w:basedOn w:val="Normal"/>
    <w:next w:val="Normal"/>
    <w:uiPriority w:val="9"/>
    <w:qFormat/>
    <w:rsid w:val="00E90104"/>
    <w:pPr>
      <w:keepNext/>
      <w:autoSpaceDE w:val="0"/>
      <w:autoSpaceDN w:val="0"/>
      <w:adjustRightInd w:val="0"/>
    </w:pPr>
    <w:rPr>
      <w:rFonts w:ascii="Cambria" w:hAnsi="Cambria"/>
      <w:b/>
      <w:bCs/>
      <w:kern w:val="32"/>
      <w:sz w:val="32"/>
      <w:szCs w:val="32"/>
    </w:rPr>
  </w:style>
  <w:style w:type="paragraph" w:styleId="Ttulo2">
    <w:name w:val="heading 2"/>
    <w:basedOn w:val="Normal"/>
    <w:next w:val="Normal"/>
    <w:uiPriority w:val="9"/>
    <w:semiHidden/>
    <w:unhideWhenUsed/>
    <w:qFormat/>
    <w:rsid w:val="00E90104"/>
    <w:pPr>
      <w:keepNext/>
      <w:shd w:val="clear" w:color="auto" w:fill="FFFFFF"/>
      <w:jc w:val="both"/>
      <w:outlineLvl w:val="1"/>
    </w:pPr>
    <w:rPr>
      <w:rFonts w:ascii="Cambria" w:hAnsi="Cambria"/>
      <w:b/>
      <w:bCs/>
      <w:i/>
      <w:iCs/>
      <w:sz w:val="28"/>
      <w:szCs w:val="28"/>
    </w:rPr>
  </w:style>
  <w:style w:type="paragraph" w:styleId="Ttulo3">
    <w:name w:val="heading 3"/>
    <w:basedOn w:val="Normal"/>
    <w:next w:val="Normal"/>
    <w:uiPriority w:val="9"/>
    <w:semiHidden/>
    <w:unhideWhenUsed/>
    <w:qFormat/>
    <w:rsid w:val="00E90104"/>
    <w:pPr>
      <w:keepNext/>
      <w:jc w:val="center"/>
      <w:outlineLvl w:val="2"/>
    </w:pPr>
    <w:rPr>
      <w:rFonts w:ascii="Cambria" w:hAnsi="Cambria"/>
      <w:b/>
      <w:bCs/>
      <w:sz w:val="26"/>
      <w:szCs w:val="26"/>
    </w:rPr>
  </w:style>
  <w:style w:type="paragraph" w:styleId="Ttulo4">
    <w:name w:val="heading 4"/>
    <w:basedOn w:val="Normal"/>
    <w:next w:val="Normal"/>
    <w:uiPriority w:val="9"/>
    <w:semiHidden/>
    <w:unhideWhenUsed/>
    <w:qFormat/>
    <w:rsid w:val="00E90104"/>
    <w:pPr>
      <w:keepNext/>
      <w:jc w:val="both"/>
      <w:outlineLvl w:val="3"/>
    </w:pPr>
    <w:rPr>
      <w:rFonts w:ascii="Calibri" w:hAnsi="Calibri"/>
      <w:b/>
      <w:bCs/>
      <w:sz w:val="28"/>
      <w:szCs w:val="28"/>
    </w:rPr>
  </w:style>
  <w:style w:type="paragraph" w:styleId="Ttulo5">
    <w:name w:val="heading 5"/>
    <w:basedOn w:val="Normal"/>
    <w:next w:val="Normal"/>
    <w:uiPriority w:val="9"/>
    <w:semiHidden/>
    <w:unhideWhenUsed/>
    <w:qFormat/>
    <w:rsid w:val="00E90104"/>
    <w:pPr>
      <w:keepNext/>
      <w:shd w:val="clear" w:color="auto" w:fill="FFCC99"/>
      <w:outlineLvl w:val="4"/>
    </w:pPr>
    <w:rPr>
      <w:rFonts w:ascii="Calibri" w:hAnsi="Calibri"/>
      <w:b/>
      <w:bCs/>
      <w:i/>
      <w:iCs/>
      <w:sz w:val="26"/>
      <w:szCs w:val="26"/>
    </w:rPr>
  </w:style>
  <w:style w:type="paragraph" w:styleId="Ttulo6">
    <w:name w:val="heading 6"/>
    <w:basedOn w:val="Normal"/>
    <w:next w:val="Normal"/>
    <w:uiPriority w:val="9"/>
    <w:semiHidden/>
    <w:unhideWhenUsed/>
    <w:qFormat/>
    <w:rsid w:val="00E90104"/>
    <w:pPr>
      <w:keepNext/>
      <w:autoSpaceDE w:val="0"/>
      <w:autoSpaceDN w:val="0"/>
      <w:adjustRightInd w:val="0"/>
      <w:outlineLvl w:val="5"/>
    </w:pPr>
    <w:rPr>
      <w:rFonts w:ascii="Calibri" w:hAnsi="Calibri"/>
      <w:b/>
      <w:bCs/>
      <w:sz w:val="22"/>
      <w:szCs w:val="22"/>
    </w:rPr>
  </w:style>
  <w:style w:type="paragraph" w:styleId="Ttulo7">
    <w:name w:val="heading 7"/>
    <w:basedOn w:val="Normal"/>
    <w:next w:val="Normal"/>
    <w:rsid w:val="00E90104"/>
    <w:pPr>
      <w:keepNext/>
      <w:tabs>
        <w:tab w:val="left" w:pos="1673"/>
      </w:tabs>
      <w:jc w:val="center"/>
      <w:outlineLvl w:val="6"/>
    </w:pPr>
    <w:rPr>
      <w:rFonts w:ascii="Calibri" w:hAnsi="Calibri"/>
    </w:rPr>
  </w:style>
  <w:style w:type="paragraph" w:styleId="Ttulo8">
    <w:name w:val="heading 8"/>
    <w:basedOn w:val="Normal"/>
    <w:next w:val="Normal"/>
    <w:rsid w:val="00E90104"/>
    <w:pPr>
      <w:keepNext/>
      <w:jc w:val="both"/>
      <w:outlineLvl w:val="7"/>
    </w:pPr>
    <w:rPr>
      <w:rFonts w:ascii="Calibri" w:hAnsi="Calibri"/>
      <w:i/>
      <w:iCs/>
    </w:rPr>
  </w:style>
  <w:style w:type="paragraph" w:styleId="Ttulo9">
    <w:name w:val="heading 9"/>
    <w:basedOn w:val="Normal"/>
    <w:next w:val="Normal"/>
    <w:rsid w:val="00E90104"/>
    <w:pPr>
      <w:keepNext/>
      <w:jc w:val="both"/>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E90104"/>
    <w:tblPr>
      <w:tblCellMar>
        <w:top w:w="0" w:type="dxa"/>
        <w:left w:w="0" w:type="dxa"/>
        <w:bottom w:w="0" w:type="dxa"/>
        <w:right w:w="0" w:type="dxa"/>
      </w:tblCellMar>
    </w:tblPr>
  </w:style>
  <w:style w:type="paragraph" w:styleId="Ttulo">
    <w:name w:val="Title"/>
    <w:basedOn w:val="Normal"/>
    <w:uiPriority w:val="10"/>
    <w:qFormat/>
    <w:rsid w:val="00E90104"/>
    <w:pPr>
      <w:autoSpaceDE w:val="0"/>
      <w:autoSpaceDN w:val="0"/>
      <w:adjustRightInd w:val="0"/>
      <w:jc w:val="center"/>
    </w:pPr>
    <w:rPr>
      <w:rFonts w:ascii="Cambria" w:hAnsi="Cambria"/>
      <w:b/>
      <w:bCs/>
      <w:kern w:val="28"/>
      <w:sz w:val="32"/>
      <w:szCs w:val="32"/>
    </w:rPr>
  </w:style>
  <w:style w:type="character" w:customStyle="1" w:styleId="Ttulo1Car">
    <w:name w:val="Título 1 Car"/>
    <w:uiPriority w:val="9"/>
    <w:rsid w:val="00E90104"/>
    <w:rPr>
      <w:rFonts w:ascii="Cambria" w:hAnsi="Cambria" w:cs="Times New Roman"/>
      <w:b/>
      <w:bCs/>
      <w:w w:val="100"/>
      <w:kern w:val="32"/>
      <w:position w:val="-1"/>
      <w:sz w:val="32"/>
      <w:szCs w:val="32"/>
      <w:effect w:val="none"/>
      <w:vertAlign w:val="baseline"/>
      <w:cs w:val="0"/>
      <w:em w:val="none"/>
    </w:rPr>
  </w:style>
  <w:style w:type="character" w:customStyle="1" w:styleId="Ttulo2Car">
    <w:name w:val="Título 2 Car"/>
    <w:rsid w:val="00E90104"/>
    <w:rPr>
      <w:rFonts w:ascii="Cambria" w:hAnsi="Cambria" w:cs="Times New Roman"/>
      <w:b/>
      <w:bCs/>
      <w:i/>
      <w:iCs/>
      <w:w w:val="100"/>
      <w:position w:val="-1"/>
      <w:sz w:val="28"/>
      <w:szCs w:val="28"/>
      <w:effect w:val="none"/>
      <w:vertAlign w:val="baseline"/>
      <w:cs w:val="0"/>
      <w:em w:val="none"/>
    </w:rPr>
  </w:style>
  <w:style w:type="character" w:customStyle="1" w:styleId="Ttulo3Car">
    <w:name w:val="Título 3 Car"/>
    <w:rsid w:val="00E90104"/>
    <w:rPr>
      <w:rFonts w:ascii="Cambria" w:hAnsi="Cambria" w:cs="Times New Roman"/>
      <w:b/>
      <w:bCs/>
      <w:w w:val="100"/>
      <w:position w:val="-1"/>
      <w:sz w:val="26"/>
      <w:szCs w:val="26"/>
      <w:effect w:val="none"/>
      <w:vertAlign w:val="baseline"/>
      <w:cs w:val="0"/>
      <w:em w:val="none"/>
    </w:rPr>
  </w:style>
  <w:style w:type="character" w:customStyle="1" w:styleId="Ttulo4Car">
    <w:name w:val="Título 4 Car"/>
    <w:rsid w:val="00E90104"/>
    <w:rPr>
      <w:rFonts w:ascii="Calibri" w:hAnsi="Calibri" w:cs="Times New Roman"/>
      <w:b/>
      <w:bCs/>
      <w:w w:val="100"/>
      <w:position w:val="-1"/>
      <w:sz w:val="28"/>
      <w:szCs w:val="28"/>
      <w:effect w:val="none"/>
      <w:vertAlign w:val="baseline"/>
      <w:cs w:val="0"/>
      <w:em w:val="none"/>
    </w:rPr>
  </w:style>
  <w:style w:type="character" w:customStyle="1" w:styleId="Ttulo5Car">
    <w:name w:val="Título 5 Car"/>
    <w:rsid w:val="00E90104"/>
    <w:rPr>
      <w:rFonts w:ascii="Calibri" w:hAnsi="Calibri" w:cs="Times New Roman"/>
      <w:b/>
      <w:bCs/>
      <w:i/>
      <w:iCs/>
      <w:w w:val="100"/>
      <w:position w:val="-1"/>
      <w:sz w:val="26"/>
      <w:szCs w:val="26"/>
      <w:effect w:val="none"/>
      <w:vertAlign w:val="baseline"/>
      <w:cs w:val="0"/>
      <w:em w:val="none"/>
    </w:rPr>
  </w:style>
  <w:style w:type="character" w:customStyle="1" w:styleId="Ttulo6Car">
    <w:name w:val="Título 6 Car"/>
    <w:rsid w:val="00E90104"/>
    <w:rPr>
      <w:rFonts w:ascii="Calibri" w:hAnsi="Calibri" w:cs="Times New Roman"/>
      <w:b/>
      <w:bCs/>
      <w:w w:val="100"/>
      <w:position w:val="-1"/>
      <w:sz w:val="22"/>
      <w:szCs w:val="22"/>
      <w:effect w:val="none"/>
      <w:vertAlign w:val="baseline"/>
      <w:cs w:val="0"/>
      <w:em w:val="none"/>
    </w:rPr>
  </w:style>
  <w:style w:type="character" w:customStyle="1" w:styleId="Ttulo7Car">
    <w:name w:val="Título 7 Car"/>
    <w:rsid w:val="00E90104"/>
    <w:rPr>
      <w:rFonts w:ascii="Calibri" w:hAnsi="Calibri" w:cs="Times New Roman"/>
      <w:w w:val="100"/>
      <w:position w:val="-1"/>
      <w:sz w:val="24"/>
      <w:szCs w:val="24"/>
      <w:effect w:val="none"/>
      <w:vertAlign w:val="baseline"/>
      <w:cs w:val="0"/>
      <w:em w:val="none"/>
    </w:rPr>
  </w:style>
  <w:style w:type="character" w:customStyle="1" w:styleId="Ttulo8Car">
    <w:name w:val="Título 8 Car"/>
    <w:rsid w:val="00E90104"/>
    <w:rPr>
      <w:rFonts w:ascii="Calibri" w:hAnsi="Calibri" w:cs="Times New Roman"/>
      <w:i/>
      <w:iCs/>
      <w:w w:val="100"/>
      <w:position w:val="-1"/>
      <w:sz w:val="24"/>
      <w:szCs w:val="24"/>
      <w:effect w:val="none"/>
      <w:vertAlign w:val="baseline"/>
      <w:cs w:val="0"/>
      <w:em w:val="none"/>
    </w:rPr>
  </w:style>
  <w:style w:type="character" w:customStyle="1" w:styleId="Ttulo9Car">
    <w:name w:val="Título 9 Car"/>
    <w:rsid w:val="00E90104"/>
    <w:rPr>
      <w:rFonts w:ascii="Cambria" w:hAnsi="Cambria" w:cs="Times New Roman"/>
      <w:w w:val="100"/>
      <w:position w:val="-1"/>
      <w:sz w:val="22"/>
      <w:szCs w:val="22"/>
      <w:effect w:val="none"/>
      <w:vertAlign w:val="baseline"/>
      <w:cs w:val="0"/>
      <w:em w:val="none"/>
    </w:rPr>
  </w:style>
  <w:style w:type="paragraph" w:styleId="Textodeglobo">
    <w:name w:val="Balloon Text"/>
    <w:basedOn w:val="Normal"/>
    <w:rsid w:val="00E90104"/>
    <w:rPr>
      <w:sz w:val="2"/>
      <w:szCs w:val="20"/>
    </w:rPr>
  </w:style>
  <w:style w:type="character" w:customStyle="1" w:styleId="TextodegloboCar">
    <w:name w:val="Texto de globo Car"/>
    <w:rsid w:val="00E90104"/>
    <w:rPr>
      <w:w w:val="100"/>
      <w:position w:val="-1"/>
      <w:sz w:val="2"/>
      <w:effect w:val="none"/>
      <w:vertAlign w:val="baseline"/>
      <w:cs w:val="0"/>
      <w:em w:val="none"/>
    </w:rPr>
  </w:style>
  <w:style w:type="character" w:styleId="Hipervnculo">
    <w:name w:val="Hyperlink"/>
    <w:rsid w:val="00E90104"/>
    <w:rPr>
      <w:color w:val="0000FF"/>
      <w:w w:val="100"/>
      <w:position w:val="-1"/>
      <w:u w:val="single"/>
      <w:effect w:val="none"/>
      <w:vertAlign w:val="baseline"/>
      <w:cs w:val="0"/>
      <w:em w:val="none"/>
    </w:rPr>
  </w:style>
  <w:style w:type="character" w:customStyle="1" w:styleId="TtuloCar">
    <w:name w:val="Título Car"/>
    <w:rsid w:val="00E90104"/>
    <w:rPr>
      <w:rFonts w:ascii="Cambria" w:hAnsi="Cambria" w:cs="Times New Roman"/>
      <w:b/>
      <w:bCs/>
      <w:w w:val="100"/>
      <w:kern w:val="28"/>
      <w:position w:val="-1"/>
      <w:sz w:val="32"/>
      <w:szCs w:val="32"/>
      <w:effect w:val="none"/>
      <w:vertAlign w:val="baseline"/>
      <w:cs w:val="0"/>
      <w:em w:val="none"/>
    </w:rPr>
  </w:style>
  <w:style w:type="paragraph" w:styleId="Sangradetextonormal">
    <w:name w:val="Body Text Indent"/>
    <w:basedOn w:val="Normal"/>
    <w:rsid w:val="00E90104"/>
    <w:pPr>
      <w:shd w:val="clear" w:color="auto" w:fill="FFFFFF"/>
      <w:ind w:left="708"/>
      <w:jc w:val="both"/>
    </w:pPr>
  </w:style>
  <w:style w:type="character" w:customStyle="1" w:styleId="SangradetextonormalCar">
    <w:name w:val="Sangría de texto normal Car"/>
    <w:rsid w:val="00E90104"/>
    <w:rPr>
      <w:w w:val="100"/>
      <w:position w:val="-1"/>
      <w:sz w:val="24"/>
      <w:szCs w:val="24"/>
      <w:effect w:val="none"/>
      <w:vertAlign w:val="baseline"/>
      <w:cs w:val="0"/>
      <w:em w:val="none"/>
    </w:rPr>
  </w:style>
  <w:style w:type="paragraph" w:styleId="Textoindependiente">
    <w:name w:val="Body Text"/>
    <w:basedOn w:val="Normal"/>
    <w:rsid w:val="00E90104"/>
  </w:style>
  <w:style w:type="character" w:customStyle="1" w:styleId="TextoindependienteCar">
    <w:name w:val="Texto independiente Car"/>
    <w:rsid w:val="00E90104"/>
    <w:rPr>
      <w:w w:val="100"/>
      <w:position w:val="-1"/>
      <w:sz w:val="24"/>
      <w:szCs w:val="24"/>
      <w:effect w:val="none"/>
      <w:vertAlign w:val="baseline"/>
      <w:cs w:val="0"/>
      <w:em w:val="none"/>
    </w:rPr>
  </w:style>
  <w:style w:type="paragraph" w:styleId="Encabezado">
    <w:name w:val="header"/>
    <w:basedOn w:val="Normal"/>
    <w:rsid w:val="00E90104"/>
    <w:pPr>
      <w:tabs>
        <w:tab w:val="center" w:pos="4252"/>
        <w:tab w:val="right" w:pos="8504"/>
      </w:tabs>
    </w:pPr>
  </w:style>
  <w:style w:type="character" w:customStyle="1" w:styleId="EncabezadoCar">
    <w:name w:val="Encabezado Car"/>
    <w:rsid w:val="00E90104"/>
    <w:rPr>
      <w:w w:val="100"/>
      <w:position w:val="-1"/>
      <w:sz w:val="24"/>
      <w:szCs w:val="24"/>
      <w:effect w:val="none"/>
      <w:vertAlign w:val="baseline"/>
      <w:cs w:val="0"/>
      <w:em w:val="none"/>
    </w:rPr>
  </w:style>
  <w:style w:type="paragraph" w:styleId="Piedepgina">
    <w:name w:val="footer"/>
    <w:basedOn w:val="Normal"/>
    <w:rsid w:val="00E90104"/>
    <w:pPr>
      <w:tabs>
        <w:tab w:val="center" w:pos="4252"/>
        <w:tab w:val="right" w:pos="8504"/>
      </w:tabs>
    </w:pPr>
  </w:style>
  <w:style w:type="character" w:customStyle="1" w:styleId="PiedepginaCar">
    <w:name w:val="Pie de página Car"/>
    <w:rsid w:val="00E90104"/>
    <w:rPr>
      <w:w w:val="100"/>
      <w:position w:val="-1"/>
      <w:sz w:val="24"/>
      <w:szCs w:val="24"/>
      <w:effect w:val="none"/>
      <w:vertAlign w:val="baseline"/>
      <w:cs w:val="0"/>
      <w:em w:val="none"/>
    </w:rPr>
  </w:style>
  <w:style w:type="character" w:styleId="Nmerodepgina">
    <w:name w:val="page number"/>
    <w:rsid w:val="00E90104"/>
    <w:rPr>
      <w:w w:val="100"/>
      <w:position w:val="-1"/>
      <w:effect w:val="none"/>
      <w:vertAlign w:val="baseline"/>
      <w:cs w:val="0"/>
      <w:em w:val="none"/>
    </w:rPr>
  </w:style>
  <w:style w:type="paragraph" w:styleId="Textoindependiente2">
    <w:name w:val="Body Text 2"/>
    <w:basedOn w:val="Normal"/>
    <w:rsid w:val="00E90104"/>
    <w:pPr>
      <w:autoSpaceDE w:val="0"/>
      <w:autoSpaceDN w:val="0"/>
      <w:adjustRightInd w:val="0"/>
      <w:jc w:val="center"/>
    </w:pPr>
  </w:style>
  <w:style w:type="character" w:customStyle="1" w:styleId="Textoindependiente2Car">
    <w:name w:val="Texto independiente 2 Car"/>
    <w:rsid w:val="00E90104"/>
    <w:rPr>
      <w:w w:val="100"/>
      <w:position w:val="-1"/>
      <w:sz w:val="24"/>
      <w:szCs w:val="24"/>
      <w:effect w:val="none"/>
      <w:vertAlign w:val="baseline"/>
      <w:cs w:val="0"/>
      <w:em w:val="none"/>
    </w:rPr>
  </w:style>
  <w:style w:type="paragraph" w:customStyle="1" w:styleId="Authors">
    <w:name w:val="Authors"/>
    <w:basedOn w:val="Normal"/>
    <w:rsid w:val="00E90104"/>
    <w:pPr>
      <w:keepNext/>
      <w:spacing w:before="240"/>
    </w:pPr>
    <w:rPr>
      <w:rFonts w:ascii="Arial" w:hAnsi="Arial"/>
      <w:color w:val="000000"/>
      <w:sz w:val="22"/>
      <w:szCs w:val="20"/>
      <w:lang w:val="en-US" w:eastAsia="en-US"/>
    </w:rPr>
  </w:style>
  <w:style w:type="paragraph" w:customStyle="1" w:styleId="Encabezadobase">
    <w:name w:val="Encabezado base"/>
    <w:basedOn w:val="Normal"/>
    <w:rsid w:val="00E90104"/>
    <w:pPr>
      <w:keepLines/>
      <w:tabs>
        <w:tab w:val="center" w:pos="4320"/>
        <w:tab w:val="right" w:pos="8640"/>
      </w:tabs>
      <w:spacing w:after="240"/>
      <w:ind w:firstLine="709"/>
      <w:jc w:val="both"/>
    </w:pPr>
    <w:rPr>
      <w:rFonts w:ascii="Arial" w:hAnsi="Arial"/>
      <w:spacing w:val="-4"/>
      <w:szCs w:val="20"/>
    </w:rPr>
  </w:style>
  <w:style w:type="character" w:styleId="Hipervnculovisitado">
    <w:name w:val="FollowedHyperlink"/>
    <w:rsid w:val="00E90104"/>
    <w:rPr>
      <w:color w:val="800080"/>
      <w:w w:val="100"/>
      <w:position w:val="-1"/>
      <w:u w:val="single"/>
      <w:effect w:val="none"/>
      <w:vertAlign w:val="baseline"/>
      <w:cs w:val="0"/>
      <w:em w:val="none"/>
    </w:rPr>
  </w:style>
  <w:style w:type="paragraph" w:styleId="NormalWeb">
    <w:name w:val="Normal (Web)"/>
    <w:basedOn w:val="Normal"/>
    <w:uiPriority w:val="99"/>
    <w:rsid w:val="00E90104"/>
    <w:pPr>
      <w:spacing w:before="100" w:beforeAutospacing="1" w:after="100" w:afterAutospacing="1"/>
    </w:pPr>
  </w:style>
  <w:style w:type="paragraph" w:styleId="Textoindependiente3">
    <w:name w:val="Body Text 3"/>
    <w:basedOn w:val="Normal"/>
    <w:rsid w:val="00E90104"/>
    <w:rPr>
      <w:sz w:val="16"/>
      <w:szCs w:val="16"/>
    </w:rPr>
  </w:style>
  <w:style w:type="character" w:customStyle="1" w:styleId="Textoindependiente3Car">
    <w:name w:val="Texto independiente 3 Car"/>
    <w:rsid w:val="00E90104"/>
    <w:rPr>
      <w:w w:val="100"/>
      <w:position w:val="-1"/>
      <w:sz w:val="16"/>
      <w:szCs w:val="16"/>
      <w:effect w:val="none"/>
      <w:vertAlign w:val="baseline"/>
      <w:cs w:val="0"/>
      <w:em w:val="none"/>
    </w:rPr>
  </w:style>
  <w:style w:type="character" w:customStyle="1" w:styleId="t101">
    <w:name w:val="t101"/>
    <w:rsid w:val="00E90104"/>
    <w:rPr>
      <w:rFonts w:ascii="Arial" w:hAnsi="Arial" w:cs="Arial"/>
      <w:w w:val="100"/>
      <w:position w:val="-1"/>
      <w:sz w:val="24"/>
      <w:szCs w:val="24"/>
      <w:effect w:val="none"/>
      <w:vertAlign w:val="baseline"/>
      <w:cs w:val="0"/>
      <w:em w:val="none"/>
    </w:rPr>
  </w:style>
  <w:style w:type="character" w:styleId="Textoennegrita">
    <w:name w:val="Strong"/>
    <w:uiPriority w:val="22"/>
    <w:qFormat/>
    <w:rsid w:val="00E90104"/>
    <w:rPr>
      <w:b/>
      <w:bCs/>
      <w:w w:val="100"/>
      <w:position w:val="-1"/>
      <w:effect w:val="none"/>
      <w:vertAlign w:val="baseline"/>
      <w:cs w:val="0"/>
      <w:em w:val="none"/>
    </w:rPr>
  </w:style>
  <w:style w:type="character" w:customStyle="1" w:styleId="para1">
    <w:name w:val="para1"/>
    <w:rsid w:val="00E90104"/>
    <w:rPr>
      <w:rFonts w:ascii="Arial" w:hAnsi="Arial" w:cs="Arial"/>
      <w:w w:val="100"/>
      <w:position w:val="-1"/>
      <w:sz w:val="19"/>
      <w:szCs w:val="19"/>
      <w:effect w:val="none"/>
      <w:vertAlign w:val="baseline"/>
      <w:cs w:val="0"/>
      <w:em w:val="none"/>
    </w:rPr>
  </w:style>
  <w:style w:type="paragraph" w:styleId="z-Principiodelformulario">
    <w:name w:val="HTML Top of Form"/>
    <w:basedOn w:val="Normal"/>
    <w:next w:val="Normal"/>
    <w:rsid w:val="00E90104"/>
    <w:pPr>
      <w:pBdr>
        <w:bottom w:val="single" w:sz="6" w:space="1" w:color="auto"/>
      </w:pBdr>
      <w:jc w:val="center"/>
    </w:pPr>
    <w:rPr>
      <w:rFonts w:ascii="Arial" w:hAnsi="Arial"/>
      <w:vanish/>
      <w:sz w:val="16"/>
      <w:szCs w:val="16"/>
    </w:rPr>
  </w:style>
  <w:style w:type="character" w:customStyle="1" w:styleId="z-PrincipiodelformularioCar">
    <w:name w:val="z-Principio del formulario Car"/>
    <w:rsid w:val="00E90104"/>
    <w:rPr>
      <w:rFonts w:ascii="Arial" w:hAnsi="Arial" w:cs="Arial"/>
      <w:vanish/>
      <w:w w:val="100"/>
      <w:position w:val="-1"/>
      <w:sz w:val="16"/>
      <w:szCs w:val="16"/>
      <w:effect w:val="none"/>
      <w:vertAlign w:val="baseline"/>
      <w:cs w:val="0"/>
      <w:em w:val="none"/>
    </w:rPr>
  </w:style>
  <w:style w:type="paragraph" w:styleId="Sangra3detindependiente">
    <w:name w:val="Body Text Indent 3"/>
    <w:basedOn w:val="Normal"/>
    <w:rsid w:val="00E90104"/>
    <w:pPr>
      <w:ind w:left="708"/>
      <w:jc w:val="both"/>
    </w:pPr>
    <w:rPr>
      <w:sz w:val="16"/>
      <w:szCs w:val="16"/>
    </w:rPr>
  </w:style>
  <w:style w:type="character" w:customStyle="1" w:styleId="Sangra3detindependienteCar">
    <w:name w:val="Sangría 3 de t. independiente Car"/>
    <w:rsid w:val="00E90104"/>
    <w:rPr>
      <w:w w:val="100"/>
      <w:position w:val="-1"/>
      <w:sz w:val="16"/>
      <w:szCs w:val="16"/>
      <w:effect w:val="none"/>
      <w:vertAlign w:val="baseline"/>
      <w:cs w:val="0"/>
      <w:em w:val="none"/>
    </w:rPr>
  </w:style>
  <w:style w:type="paragraph" w:styleId="Textosinformato">
    <w:name w:val="Plain Text"/>
    <w:basedOn w:val="Normal"/>
    <w:rsid w:val="00E90104"/>
    <w:rPr>
      <w:rFonts w:ascii="Courier New" w:hAnsi="Courier New"/>
      <w:sz w:val="20"/>
      <w:szCs w:val="20"/>
    </w:rPr>
  </w:style>
  <w:style w:type="character" w:customStyle="1" w:styleId="TextosinformatoCar">
    <w:name w:val="Texto sin formato Car"/>
    <w:rsid w:val="00E90104"/>
    <w:rPr>
      <w:rFonts w:ascii="Courier New" w:hAnsi="Courier New" w:cs="Courier New"/>
      <w:w w:val="100"/>
      <w:position w:val="-1"/>
      <w:effect w:val="none"/>
      <w:vertAlign w:val="baseline"/>
      <w:cs w:val="0"/>
      <w:em w:val="none"/>
    </w:rPr>
  </w:style>
  <w:style w:type="paragraph" w:customStyle="1" w:styleId="Textoindependiente31">
    <w:name w:val="Texto independiente 31"/>
    <w:basedOn w:val="Normal"/>
    <w:rsid w:val="00E90104"/>
    <w:pPr>
      <w:widowControl w:val="0"/>
      <w:suppressAutoHyphens w:val="0"/>
    </w:pPr>
    <w:rPr>
      <w:color w:val="0000FF"/>
      <w:kern w:val="1"/>
      <w:sz w:val="48"/>
    </w:rPr>
  </w:style>
  <w:style w:type="table" w:styleId="Tablaconcuadrcula">
    <w:name w:val="Table Grid"/>
    <w:basedOn w:val="Tablanormal"/>
    <w:rsid w:val="00E90104"/>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rsid w:val="00E90104"/>
    <w:rPr>
      <w:rFonts w:ascii="Arial" w:hAnsi="Arial"/>
      <w:snapToGrid w:val="0"/>
      <w:sz w:val="20"/>
      <w:szCs w:val="20"/>
    </w:rPr>
  </w:style>
  <w:style w:type="paragraph" w:styleId="Textocomentario">
    <w:name w:val="annotation text"/>
    <w:basedOn w:val="Normal"/>
    <w:rsid w:val="00E90104"/>
    <w:rPr>
      <w:sz w:val="20"/>
      <w:szCs w:val="20"/>
    </w:rPr>
  </w:style>
  <w:style w:type="paragraph" w:customStyle="1" w:styleId="Default">
    <w:name w:val="Default"/>
    <w:rsid w:val="00E90104"/>
    <w:pPr>
      <w:suppressAutoHyphens/>
      <w:autoSpaceDE w:val="0"/>
      <w:autoSpaceDN w:val="0"/>
      <w:adjustRightInd w:val="0"/>
      <w:spacing w:line="1" w:lineRule="atLeast"/>
      <w:ind w:leftChars="-1" w:left="-1" w:hangingChars="1" w:hanging="1"/>
      <w:textDirection w:val="btLr"/>
      <w:textAlignment w:val="top"/>
      <w:outlineLvl w:val="0"/>
    </w:pPr>
    <w:rPr>
      <w:rFonts w:ascii="ZYYKLI+TimesTen-Roman" w:eastAsia="MS Mincho" w:hAnsi="ZYYKLI+TimesTen-Roman" w:cs="ZYYKLI+TimesTen-Roman"/>
      <w:color w:val="000000"/>
      <w:position w:val="-1"/>
      <w:lang w:eastAsia="ja-JP"/>
    </w:rPr>
  </w:style>
  <w:style w:type="paragraph" w:customStyle="1" w:styleId="Pa17">
    <w:name w:val="Pa17"/>
    <w:basedOn w:val="Default"/>
    <w:next w:val="Default"/>
    <w:rsid w:val="00E90104"/>
    <w:pPr>
      <w:spacing w:line="240" w:lineRule="atLeast"/>
    </w:pPr>
    <w:rPr>
      <w:rFonts w:cs="Times New Roman"/>
      <w:color w:val="auto"/>
    </w:rPr>
  </w:style>
  <w:style w:type="paragraph" w:customStyle="1" w:styleId="Pa50">
    <w:name w:val="Pa50"/>
    <w:basedOn w:val="Default"/>
    <w:next w:val="Default"/>
    <w:rsid w:val="00E90104"/>
    <w:pPr>
      <w:spacing w:line="240" w:lineRule="atLeast"/>
    </w:pPr>
    <w:rPr>
      <w:rFonts w:cs="Times New Roman"/>
      <w:color w:val="auto"/>
    </w:rPr>
  </w:style>
  <w:style w:type="paragraph" w:customStyle="1" w:styleId="Pa51">
    <w:name w:val="Pa51"/>
    <w:basedOn w:val="Default"/>
    <w:next w:val="Default"/>
    <w:rsid w:val="00E90104"/>
    <w:pPr>
      <w:spacing w:line="240" w:lineRule="atLeast"/>
    </w:pPr>
    <w:rPr>
      <w:rFonts w:cs="Times New Roman"/>
      <w:color w:val="auto"/>
    </w:rPr>
  </w:style>
  <w:style w:type="paragraph" w:customStyle="1" w:styleId="Pa53">
    <w:name w:val="Pa53"/>
    <w:basedOn w:val="Default"/>
    <w:next w:val="Default"/>
    <w:rsid w:val="00E90104"/>
    <w:pPr>
      <w:spacing w:line="240" w:lineRule="atLeast"/>
    </w:pPr>
    <w:rPr>
      <w:rFonts w:cs="Times New Roman"/>
      <w:color w:val="auto"/>
    </w:rPr>
  </w:style>
  <w:style w:type="paragraph" w:customStyle="1" w:styleId="Pa14">
    <w:name w:val="Pa14"/>
    <w:basedOn w:val="Default"/>
    <w:next w:val="Default"/>
    <w:rsid w:val="00E90104"/>
    <w:pPr>
      <w:spacing w:line="240" w:lineRule="atLeast"/>
    </w:pPr>
    <w:rPr>
      <w:rFonts w:cs="Times New Roman"/>
      <w:color w:val="auto"/>
    </w:rPr>
  </w:style>
  <w:style w:type="character" w:styleId="nfasis">
    <w:name w:val="Emphasis"/>
    <w:rsid w:val="00E90104"/>
    <w:rPr>
      <w:i/>
      <w:iCs/>
      <w:w w:val="100"/>
      <w:position w:val="-1"/>
      <w:effect w:val="none"/>
      <w:vertAlign w:val="baseline"/>
      <w:cs w:val="0"/>
      <w:em w:val="none"/>
    </w:rPr>
  </w:style>
  <w:style w:type="paragraph" w:styleId="Citadestacada">
    <w:name w:val="Intense Quote"/>
    <w:basedOn w:val="Normal"/>
    <w:next w:val="Normal"/>
    <w:rsid w:val="00E90104"/>
    <w:pPr>
      <w:pBdr>
        <w:bottom w:val="single" w:sz="4" w:space="4" w:color="4F81BD"/>
      </w:pBdr>
      <w:spacing w:before="200" w:after="280"/>
      <w:ind w:left="936" w:right="936"/>
    </w:pPr>
    <w:rPr>
      <w:b/>
      <w:bCs/>
      <w:i/>
      <w:iCs/>
      <w:color w:val="4F81BD"/>
    </w:rPr>
  </w:style>
  <w:style w:type="character" w:customStyle="1" w:styleId="CitadestacadaCar">
    <w:name w:val="Cita destacada Car"/>
    <w:rsid w:val="00E90104"/>
    <w:rPr>
      <w:b/>
      <w:bCs/>
      <w:i/>
      <w:iCs/>
      <w:color w:val="4F81BD"/>
      <w:w w:val="100"/>
      <w:position w:val="-1"/>
      <w:sz w:val="24"/>
      <w:szCs w:val="24"/>
      <w:effect w:val="none"/>
      <w:vertAlign w:val="baseline"/>
      <w:cs w:val="0"/>
      <w:em w:val="none"/>
      <w:lang w:val="es-ES" w:eastAsia="es-ES" w:bidi="ar-SA"/>
    </w:rPr>
  </w:style>
  <w:style w:type="character" w:customStyle="1" w:styleId="st1">
    <w:name w:val="st1"/>
    <w:basedOn w:val="Fuentedeprrafopredeter"/>
    <w:rsid w:val="00E90104"/>
    <w:rPr>
      <w:w w:val="100"/>
      <w:position w:val="-1"/>
      <w:effect w:val="none"/>
      <w:vertAlign w:val="baseline"/>
      <w:cs w:val="0"/>
      <w:em w:val="none"/>
    </w:rPr>
  </w:style>
  <w:style w:type="paragraph" w:styleId="HTMLconformatoprevio">
    <w:name w:val="HTML Preformatted"/>
    <w:basedOn w:val="Normal"/>
    <w:qFormat/>
    <w:rsid w:val="00E901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Pa54">
    <w:name w:val="Pa54"/>
    <w:basedOn w:val="Normal"/>
    <w:next w:val="Normal"/>
    <w:rsid w:val="00E90104"/>
    <w:pPr>
      <w:autoSpaceDE w:val="0"/>
      <w:autoSpaceDN w:val="0"/>
      <w:adjustRightInd w:val="0"/>
      <w:spacing w:line="240" w:lineRule="atLeast"/>
    </w:pPr>
    <w:rPr>
      <w:rFonts w:ascii="NBIQZG+HelveticaNeue-Light" w:hAnsi="NBIQZG+HelveticaNeue-Light"/>
    </w:rPr>
  </w:style>
  <w:style w:type="character" w:customStyle="1" w:styleId="A6">
    <w:name w:val="A6"/>
    <w:rsid w:val="00E90104"/>
    <w:rPr>
      <w:color w:val="000000"/>
      <w:w w:val="100"/>
      <w:position w:val="-1"/>
      <w:sz w:val="18"/>
      <w:szCs w:val="18"/>
      <w:effect w:val="none"/>
      <w:vertAlign w:val="baseline"/>
      <w:cs w:val="0"/>
      <w:em w:val="none"/>
    </w:rPr>
  </w:style>
  <w:style w:type="paragraph" w:styleId="Sangra2detindependiente">
    <w:name w:val="Body Text Indent 2"/>
    <w:basedOn w:val="Normal"/>
    <w:rsid w:val="00E90104"/>
    <w:pPr>
      <w:spacing w:after="120" w:line="480" w:lineRule="auto"/>
      <w:ind w:left="283"/>
    </w:pPr>
    <w:rPr>
      <w:sz w:val="20"/>
      <w:szCs w:val="20"/>
    </w:rPr>
  </w:style>
  <w:style w:type="paragraph" w:styleId="Textonotaalfinal">
    <w:name w:val="endnote text"/>
    <w:basedOn w:val="Normal"/>
    <w:rsid w:val="00E90104"/>
    <w:rPr>
      <w:sz w:val="20"/>
      <w:szCs w:val="20"/>
    </w:rPr>
  </w:style>
  <w:style w:type="character" w:styleId="Refdenotaalfinal">
    <w:name w:val="endnote reference"/>
    <w:rsid w:val="00E90104"/>
    <w:rPr>
      <w:w w:val="100"/>
      <w:position w:val="-1"/>
      <w:effect w:val="none"/>
      <w:vertAlign w:val="superscript"/>
      <w:cs w:val="0"/>
      <w:em w:val="none"/>
    </w:rPr>
  </w:style>
  <w:style w:type="character" w:customStyle="1" w:styleId="sel1348427992542">
    <w:name w:val="sel_1348427992542"/>
    <w:basedOn w:val="Fuentedeprrafopredeter"/>
    <w:rsid w:val="00E90104"/>
    <w:rPr>
      <w:w w:val="100"/>
      <w:position w:val="-1"/>
      <w:effect w:val="none"/>
      <w:vertAlign w:val="baseline"/>
      <w:cs w:val="0"/>
      <w:em w:val="none"/>
    </w:rPr>
  </w:style>
  <w:style w:type="character" w:styleId="Refdecomentario">
    <w:name w:val="annotation reference"/>
    <w:rsid w:val="00E90104"/>
    <w:rPr>
      <w:w w:val="100"/>
      <w:position w:val="-1"/>
      <w:sz w:val="16"/>
      <w:szCs w:val="16"/>
      <w:effect w:val="none"/>
      <w:vertAlign w:val="baseline"/>
      <w:cs w:val="0"/>
      <w:em w:val="none"/>
    </w:rPr>
  </w:style>
  <w:style w:type="paragraph" w:styleId="Asuntodelcomentario">
    <w:name w:val="annotation subject"/>
    <w:basedOn w:val="Textocomentario"/>
    <w:next w:val="Textocomentario"/>
    <w:rsid w:val="00E90104"/>
    <w:rPr>
      <w:b/>
      <w:bCs/>
    </w:rPr>
  </w:style>
  <w:style w:type="character" w:customStyle="1" w:styleId="HeaderChar">
    <w:name w:val="Header Char"/>
    <w:rsid w:val="00E90104"/>
    <w:rPr>
      <w:w w:val="100"/>
      <w:position w:val="-1"/>
      <w:sz w:val="24"/>
      <w:szCs w:val="24"/>
      <w:effect w:val="none"/>
      <w:vertAlign w:val="baseline"/>
      <w:cs w:val="0"/>
      <w:em w:val="none"/>
    </w:rPr>
  </w:style>
  <w:style w:type="character" w:styleId="CitaHTML">
    <w:name w:val="HTML Cite"/>
    <w:rsid w:val="00E90104"/>
    <w:rPr>
      <w:color w:val="009933"/>
      <w:w w:val="100"/>
      <w:position w:val="-1"/>
      <w:effect w:val="none"/>
      <w:vertAlign w:val="baseline"/>
      <w:cs w:val="0"/>
      <w:em w:val="none"/>
    </w:rPr>
  </w:style>
  <w:style w:type="character" w:customStyle="1" w:styleId="yiv1702884738149114909-15062012">
    <w:name w:val="yiv1702884738149114909-15062012"/>
    <w:basedOn w:val="Fuentedeprrafopredeter"/>
    <w:rsid w:val="00E90104"/>
    <w:rPr>
      <w:w w:val="100"/>
      <w:position w:val="-1"/>
      <w:effect w:val="none"/>
      <w:vertAlign w:val="baseline"/>
      <w:cs w:val="0"/>
      <w:em w:val="none"/>
    </w:rPr>
  </w:style>
  <w:style w:type="paragraph" w:customStyle="1" w:styleId="yiv1702884738msonormal">
    <w:name w:val="yiv1702884738msonormal"/>
    <w:basedOn w:val="Normal"/>
    <w:rsid w:val="00E90104"/>
    <w:pPr>
      <w:spacing w:before="100" w:beforeAutospacing="1" w:after="100" w:afterAutospacing="1"/>
    </w:pPr>
  </w:style>
  <w:style w:type="paragraph" w:styleId="Prrafodelista">
    <w:name w:val="List Paragraph"/>
    <w:basedOn w:val="Normal"/>
    <w:rsid w:val="00E90104"/>
    <w:pPr>
      <w:ind w:left="708"/>
    </w:pPr>
  </w:style>
  <w:style w:type="character" w:customStyle="1" w:styleId="highlight">
    <w:name w:val="highlight"/>
    <w:basedOn w:val="Fuentedeprrafopredeter"/>
    <w:rsid w:val="00E90104"/>
    <w:rPr>
      <w:w w:val="100"/>
      <w:position w:val="-1"/>
      <w:effect w:val="none"/>
      <w:vertAlign w:val="baseline"/>
      <w:cs w:val="0"/>
      <w:em w:val="none"/>
    </w:rPr>
  </w:style>
  <w:style w:type="paragraph" w:styleId="TDC1">
    <w:name w:val="toc 1"/>
    <w:basedOn w:val="Normal"/>
    <w:next w:val="Normal"/>
    <w:rsid w:val="00E90104"/>
  </w:style>
  <w:style w:type="paragraph" w:styleId="TDC2">
    <w:name w:val="toc 2"/>
    <w:basedOn w:val="Normal"/>
    <w:next w:val="Normal"/>
    <w:rsid w:val="00E90104"/>
    <w:pPr>
      <w:ind w:left="240"/>
    </w:pPr>
  </w:style>
  <w:style w:type="paragraph" w:styleId="TDC3">
    <w:name w:val="toc 3"/>
    <w:basedOn w:val="Normal"/>
    <w:next w:val="Normal"/>
    <w:rsid w:val="00E90104"/>
    <w:pPr>
      <w:ind w:left="480"/>
    </w:pPr>
  </w:style>
  <w:style w:type="paragraph" w:customStyle="1" w:styleId="Pa7">
    <w:name w:val="Pa7"/>
    <w:basedOn w:val="Default"/>
    <w:next w:val="Default"/>
    <w:rsid w:val="00E90104"/>
    <w:pPr>
      <w:spacing w:line="240" w:lineRule="atLeast"/>
    </w:pPr>
    <w:rPr>
      <w:rFonts w:ascii="GNQAFU+HelveticaNeue-Black" w:eastAsia="Times New Roman" w:hAnsi="GNQAFU+HelveticaNeue-Black" w:cs="Times New Roman"/>
      <w:color w:val="auto"/>
    </w:rPr>
  </w:style>
  <w:style w:type="paragraph" w:customStyle="1" w:styleId="Pa24">
    <w:name w:val="Pa24"/>
    <w:basedOn w:val="Default"/>
    <w:next w:val="Default"/>
    <w:rsid w:val="00E90104"/>
    <w:pPr>
      <w:spacing w:line="240" w:lineRule="atLeast"/>
    </w:pPr>
    <w:rPr>
      <w:rFonts w:ascii="GNQAFU+HelveticaNeue-Black" w:eastAsia="Times New Roman" w:hAnsi="GNQAFU+HelveticaNeue-Black" w:cs="Times New Roman"/>
      <w:color w:val="auto"/>
    </w:rPr>
  </w:style>
  <w:style w:type="paragraph" w:customStyle="1" w:styleId="Pa4">
    <w:name w:val="Pa4"/>
    <w:basedOn w:val="Default"/>
    <w:next w:val="Default"/>
    <w:rsid w:val="00E90104"/>
    <w:pPr>
      <w:spacing w:line="240" w:lineRule="atLeast"/>
    </w:pPr>
    <w:rPr>
      <w:rFonts w:ascii="GNQAFU+HelveticaNeue-Black" w:eastAsia="Times New Roman" w:hAnsi="GNQAFU+HelveticaNeue-Black" w:cs="Times New Roman"/>
      <w:color w:val="auto"/>
    </w:rPr>
  </w:style>
  <w:style w:type="paragraph" w:customStyle="1" w:styleId="Pa1">
    <w:name w:val="Pa1"/>
    <w:basedOn w:val="Default"/>
    <w:next w:val="Default"/>
    <w:rsid w:val="00E90104"/>
    <w:pPr>
      <w:spacing w:line="240" w:lineRule="atLeast"/>
    </w:pPr>
    <w:rPr>
      <w:rFonts w:ascii="GNQAFU+HelveticaNeue-Black" w:eastAsia="Times New Roman" w:hAnsi="GNQAFU+HelveticaNeue-Black" w:cs="Times New Roman"/>
      <w:color w:val="auto"/>
    </w:rPr>
  </w:style>
  <w:style w:type="character" w:customStyle="1" w:styleId="CarCar22">
    <w:name w:val="Car Car22"/>
    <w:rsid w:val="00E90104"/>
    <w:rPr>
      <w:rFonts w:ascii="Cambria" w:hAnsi="Cambria" w:cs="Times New Roman"/>
      <w:b/>
      <w:bCs/>
      <w:w w:val="100"/>
      <w:kern w:val="32"/>
      <w:position w:val="-1"/>
      <w:sz w:val="32"/>
      <w:szCs w:val="32"/>
      <w:effect w:val="none"/>
      <w:vertAlign w:val="baseline"/>
      <w:cs w:val="0"/>
      <w:em w:val="none"/>
    </w:rPr>
  </w:style>
  <w:style w:type="character" w:customStyle="1" w:styleId="A2">
    <w:name w:val="A2"/>
    <w:rsid w:val="00E90104"/>
    <w:rPr>
      <w:rFonts w:ascii="DZMIPA+HelveticaNeue-Medium" w:hAnsi="DZMIPA+HelveticaNeue-Medium" w:cs="DZMIPA+HelveticaNeue-Medium"/>
      <w:color w:val="000000"/>
      <w:w w:val="100"/>
      <w:position w:val="-1"/>
      <w:sz w:val="16"/>
      <w:szCs w:val="16"/>
      <w:effect w:val="none"/>
      <w:vertAlign w:val="baseline"/>
      <w:cs w:val="0"/>
      <w:em w:val="none"/>
    </w:rPr>
  </w:style>
  <w:style w:type="character" w:customStyle="1" w:styleId="longtext">
    <w:name w:val="long_text"/>
    <w:basedOn w:val="Fuentedeprrafopredeter"/>
    <w:rsid w:val="00E90104"/>
    <w:rPr>
      <w:w w:val="100"/>
      <w:position w:val="-1"/>
      <w:effect w:val="none"/>
      <w:vertAlign w:val="baseline"/>
      <w:cs w:val="0"/>
      <w:em w:val="none"/>
    </w:rPr>
  </w:style>
  <w:style w:type="character" w:customStyle="1" w:styleId="hps">
    <w:name w:val="hps"/>
    <w:basedOn w:val="Fuentedeprrafopredeter"/>
    <w:rsid w:val="00E90104"/>
    <w:rPr>
      <w:w w:val="100"/>
      <w:position w:val="-1"/>
      <w:effect w:val="none"/>
      <w:vertAlign w:val="baseline"/>
      <w:cs w:val="0"/>
      <w:em w:val="none"/>
    </w:rPr>
  </w:style>
  <w:style w:type="character" w:customStyle="1" w:styleId="hpsatn">
    <w:name w:val="hps atn"/>
    <w:basedOn w:val="Fuentedeprrafopredeter"/>
    <w:rsid w:val="00E90104"/>
    <w:rPr>
      <w:w w:val="100"/>
      <w:position w:val="-1"/>
      <w:effect w:val="none"/>
      <w:vertAlign w:val="baseline"/>
      <w:cs w:val="0"/>
      <w:em w:val="none"/>
    </w:rPr>
  </w:style>
  <w:style w:type="character" w:styleId="Refdenotaalpie">
    <w:name w:val="footnote reference"/>
    <w:qFormat/>
    <w:rsid w:val="00E90104"/>
    <w:rPr>
      <w:w w:val="100"/>
      <w:position w:val="-1"/>
      <w:effect w:val="none"/>
      <w:vertAlign w:val="superscript"/>
      <w:cs w:val="0"/>
      <w:em w:val="none"/>
    </w:rPr>
  </w:style>
  <w:style w:type="character" w:customStyle="1" w:styleId="A7">
    <w:name w:val="A7"/>
    <w:rsid w:val="00E90104"/>
    <w:rPr>
      <w:color w:val="211D1E"/>
      <w:w w:val="100"/>
      <w:position w:val="-1"/>
      <w:sz w:val="16"/>
      <w:szCs w:val="16"/>
      <w:effect w:val="none"/>
      <w:vertAlign w:val="baseline"/>
      <w:cs w:val="0"/>
      <w:em w:val="none"/>
    </w:rPr>
  </w:style>
  <w:style w:type="paragraph" w:styleId="Subttulo">
    <w:name w:val="Subtitle"/>
    <w:basedOn w:val="Normal"/>
    <w:next w:val="Normal"/>
    <w:uiPriority w:val="11"/>
    <w:qFormat/>
    <w:rsid w:val="00E90104"/>
    <w:pPr>
      <w:keepNext/>
      <w:keepLines/>
      <w:spacing w:before="360" w:after="80"/>
    </w:pPr>
    <w:rPr>
      <w:rFonts w:ascii="Georgia" w:eastAsia="Georgia" w:hAnsi="Georgia" w:cs="Georgia"/>
      <w:i/>
      <w:color w:val="666666"/>
      <w:sz w:val="48"/>
      <w:szCs w:val="48"/>
    </w:rPr>
  </w:style>
  <w:style w:type="table" w:customStyle="1" w:styleId="40">
    <w:name w:val="40"/>
    <w:basedOn w:val="TableNormal"/>
    <w:rsid w:val="00E90104"/>
    <w:tblPr>
      <w:tblStyleRowBandSize w:val="1"/>
      <w:tblStyleColBandSize w:val="1"/>
      <w:tblCellMar>
        <w:left w:w="70" w:type="dxa"/>
        <w:right w:w="70" w:type="dxa"/>
      </w:tblCellMar>
    </w:tblPr>
  </w:style>
  <w:style w:type="table" w:customStyle="1" w:styleId="39">
    <w:name w:val="39"/>
    <w:basedOn w:val="TableNormal"/>
    <w:rsid w:val="00E90104"/>
    <w:tblPr>
      <w:tblStyleRowBandSize w:val="1"/>
      <w:tblStyleColBandSize w:val="1"/>
      <w:tblCellMar>
        <w:left w:w="70" w:type="dxa"/>
        <w:right w:w="70" w:type="dxa"/>
      </w:tblCellMar>
    </w:tblPr>
  </w:style>
  <w:style w:type="table" w:customStyle="1" w:styleId="38">
    <w:name w:val="38"/>
    <w:basedOn w:val="TableNormal"/>
    <w:rsid w:val="00E90104"/>
    <w:tblPr>
      <w:tblStyleRowBandSize w:val="1"/>
      <w:tblStyleColBandSize w:val="1"/>
      <w:tblCellMar>
        <w:left w:w="70" w:type="dxa"/>
        <w:right w:w="70" w:type="dxa"/>
      </w:tblCellMar>
    </w:tblPr>
  </w:style>
  <w:style w:type="table" w:customStyle="1" w:styleId="37">
    <w:name w:val="37"/>
    <w:basedOn w:val="TableNormal"/>
    <w:rsid w:val="00E90104"/>
    <w:tblPr>
      <w:tblStyleRowBandSize w:val="1"/>
      <w:tblStyleColBandSize w:val="1"/>
      <w:tblCellMar>
        <w:left w:w="70" w:type="dxa"/>
        <w:right w:w="70" w:type="dxa"/>
      </w:tblCellMar>
    </w:tblPr>
  </w:style>
  <w:style w:type="table" w:customStyle="1" w:styleId="36">
    <w:name w:val="36"/>
    <w:basedOn w:val="TableNormal"/>
    <w:rsid w:val="00E90104"/>
    <w:tblPr>
      <w:tblStyleRowBandSize w:val="1"/>
      <w:tblStyleColBandSize w:val="1"/>
      <w:tblCellMar>
        <w:left w:w="70" w:type="dxa"/>
        <w:right w:w="70" w:type="dxa"/>
      </w:tblCellMar>
    </w:tblPr>
  </w:style>
  <w:style w:type="table" w:customStyle="1" w:styleId="35">
    <w:name w:val="35"/>
    <w:basedOn w:val="TableNormal"/>
    <w:rsid w:val="00E90104"/>
    <w:tblPr>
      <w:tblStyleRowBandSize w:val="1"/>
      <w:tblStyleColBandSize w:val="1"/>
      <w:tblCellMar>
        <w:left w:w="70" w:type="dxa"/>
        <w:right w:w="70" w:type="dxa"/>
      </w:tblCellMar>
    </w:tblPr>
  </w:style>
  <w:style w:type="table" w:customStyle="1" w:styleId="34">
    <w:name w:val="34"/>
    <w:basedOn w:val="TableNormal"/>
    <w:rsid w:val="00E90104"/>
    <w:tblPr>
      <w:tblStyleRowBandSize w:val="1"/>
      <w:tblStyleColBandSize w:val="1"/>
      <w:tblCellMar>
        <w:left w:w="70" w:type="dxa"/>
        <w:right w:w="70" w:type="dxa"/>
      </w:tblCellMar>
    </w:tblPr>
  </w:style>
  <w:style w:type="table" w:customStyle="1" w:styleId="33">
    <w:name w:val="33"/>
    <w:basedOn w:val="TableNormal"/>
    <w:rsid w:val="00E90104"/>
    <w:tblPr>
      <w:tblStyleRowBandSize w:val="1"/>
      <w:tblStyleColBandSize w:val="1"/>
      <w:tblCellMar>
        <w:left w:w="70" w:type="dxa"/>
        <w:right w:w="70" w:type="dxa"/>
      </w:tblCellMar>
    </w:tblPr>
  </w:style>
  <w:style w:type="table" w:customStyle="1" w:styleId="32">
    <w:name w:val="32"/>
    <w:basedOn w:val="TableNormal"/>
    <w:rsid w:val="00E90104"/>
    <w:tblPr>
      <w:tblStyleRowBandSize w:val="1"/>
      <w:tblStyleColBandSize w:val="1"/>
      <w:tblCellMar>
        <w:left w:w="70" w:type="dxa"/>
        <w:right w:w="70" w:type="dxa"/>
      </w:tblCellMar>
    </w:tblPr>
  </w:style>
  <w:style w:type="table" w:customStyle="1" w:styleId="31">
    <w:name w:val="31"/>
    <w:basedOn w:val="TableNormal"/>
    <w:rsid w:val="00E90104"/>
    <w:tblPr>
      <w:tblStyleRowBandSize w:val="1"/>
      <w:tblStyleColBandSize w:val="1"/>
      <w:tblCellMar>
        <w:left w:w="70" w:type="dxa"/>
        <w:right w:w="70" w:type="dxa"/>
      </w:tblCellMar>
    </w:tblPr>
  </w:style>
  <w:style w:type="table" w:customStyle="1" w:styleId="30">
    <w:name w:val="30"/>
    <w:basedOn w:val="TableNormal"/>
    <w:rsid w:val="00E90104"/>
    <w:tblPr>
      <w:tblStyleRowBandSize w:val="1"/>
      <w:tblStyleColBandSize w:val="1"/>
      <w:tblCellMar>
        <w:left w:w="70" w:type="dxa"/>
        <w:right w:w="70" w:type="dxa"/>
      </w:tblCellMar>
    </w:tblPr>
  </w:style>
  <w:style w:type="table" w:customStyle="1" w:styleId="29">
    <w:name w:val="29"/>
    <w:basedOn w:val="TableNormal"/>
    <w:rsid w:val="00E90104"/>
    <w:tblPr>
      <w:tblStyleRowBandSize w:val="1"/>
      <w:tblStyleColBandSize w:val="1"/>
      <w:tblCellMar>
        <w:left w:w="108" w:type="dxa"/>
        <w:right w:w="108" w:type="dxa"/>
      </w:tblCellMar>
    </w:tblPr>
  </w:style>
  <w:style w:type="table" w:customStyle="1" w:styleId="28">
    <w:name w:val="28"/>
    <w:basedOn w:val="TableNormal"/>
    <w:rsid w:val="00E90104"/>
    <w:tblPr>
      <w:tblStyleRowBandSize w:val="1"/>
      <w:tblStyleColBandSize w:val="1"/>
      <w:tblCellMar>
        <w:left w:w="70" w:type="dxa"/>
        <w:right w:w="70" w:type="dxa"/>
      </w:tblCellMar>
    </w:tblPr>
  </w:style>
  <w:style w:type="table" w:customStyle="1" w:styleId="27">
    <w:name w:val="27"/>
    <w:basedOn w:val="TableNormal"/>
    <w:rsid w:val="00E90104"/>
    <w:tblPr>
      <w:tblStyleRowBandSize w:val="1"/>
      <w:tblStyleColBandSize w:val="1"/>
      <w:tblCellMar>
        <w:left w:w="70" w:type="dxa"/>
        <w:right w:w="70" w:type="dxa"/>
      </w:tblCellMar>
    </w:tblPr>
  </w:style>
  <w:style w:type="table" w:customStyle="1" w:styleId="26">
    <w:name w:val="26"/>
    <w:basedOn w:val="TableNormal"/>
    <w:rsid w:val="00E90104"/>
    <w:tblPr>
      <w:tblStyleRowBandSize w:val="1"/>
      <w:tblStyleColBandSize w:val="1"/>
      <w:tblCellMar>
        <w:left w:w="70" w:type="dxa"/>
        <w:right w:w="70" w:type="dxa"/>
      </w:tblCellMar>
    </w:tblPr>
  </w:style>
  <w:style w:type="table" w:customStyle="1" w:styleId="25">
    <w:name w:val="25"/>
    <w:basedOn w:val="TableNormal"/>
    <w:rsid w:val="00E90104"/>
    <w:tblPr>
      <w:tblStyleRowBandSize w:val="1"/>
      <w:tblStyleColBandSize w:val="1"/>
      <w:tblCellMar>
        <w:left w:w="70" w:type="dxa"/>
        <w:right w:w="70" w:type="dxa"/>
      </w:tblCellMar>
    </w:tblPr>
  </w:style>
  <w:style w:type="table" w:customStyle="1" w:styleId="24">
    <w:name w:val="24"/>
    <w:basedOn w:val="TableNormal"/>
    <w:rsid w:val="00E90104"/>
    <w:tblPr>
      <w:tblStyleRowBandSize w:val="1"/>
      <w:tblStyleColBandSize w:val="1"/>
      <w:tblCellMar>
        <w:left w:w="70" w:type="dxa"/>
        <w:right w:w="70" w:type="dxa"/>
      </w:tblCellMar>
    </w:tblPr>
  </w:style>
  <w:style w:type="table" w:customStyle="1" w:styleId="23">
    <w:name w:val="23"/>
    <w:basedOn w:val="TableNormal"/>
    <w:rsid w:val="00E90104"/>
    <w:tblPr>
      <w:tblStyleRowBandSize w:val="1"/>
      <w:tblStyleColBandSize w:val="1"/>
      <w:tblCellMar>
        <w:left w:w="108" w:type="dxa"/>
        <w:right w:w="108" w:type="dxa"/>
      </w:tblCellMar>
    </w:tblPr>
  </w:style>
  <w:style w:type="table" w:customStyle="1" w:styleId="22">
    <w:name w:val="22"/>
    <w:basedOn w:val="TableNormal"/>
    <w:rsid w:val="00E90104"/>
    <w:tblPr>
      <w:tblStyleRowBandSize w:val="1"/>
      <w:tblStyleColBandSize w:val="1"/>
      <w:tblCellMar>
        <w:left w:w="70" w:type="dxa"/>
        <w:right w:w="70" w:type="dxa"/>
      </w:tblCellMar>
    </w:tblPr>
  </w:style>
  <w:style w:type="table" w:customStyle="1" w:styleId="21">
    <w:name w:val="21"/>
    <w:basedOn w:val="TableNormal"/>
    <w:rsid w:val="00E90104"/>
    <w:tblPr>
      <w:tblStyleRowBandSize w:val="1"/>
      <w:tblStyleColBandSize w:val="1"/>
      <w:tblCellMar>
        <w:left w:w="108" w:type="dxa"/>
        <w:right w:w="108" w:type="dxa"/>
      </w:tblCellMar>
    </w:tblPr>
  </w:style>
  <w:style w:type="table" w:customStyle="1" w:styleId="20">
    <w:name w:val="20"/>
    <w:basedOn w:val="TableNormal"/>
    <w:rsid w:val="00E90104"/>
    <w:tblPr>
      <w:tblStyleRowBandSize w:val="1"/>
      <w:tblStyleColBandSize w:val="1"/>
      <w:tblCellMar>
        <w:left w:w="70" w:type="dxa"/>
        <w:right w:w="70" w:type="dxa"/>
      </w:tblCellMar>
    </w:tblPr>
  </w:style>
  <w:style w:type="table" w:customStyle="1" w:styleId="19">
    <w:name w:val="19"/>
    <w:basedOn w:val="TableNormal"/>
    <w:rsid w:val="00E90104"/>
    <w:tblPr>
      <w:tblStyleRowBandSize w:val="1"/>
      <w:tblStyleColBandSize w:val="1"/>
      <w:tblCellMar>
        <w:left w:w="70" w:type="dxa"/>
        <w:right w:w="70" w:type="dxa"/>
      </w:tblCellMar>
    </w:tblPr>
  </w:style>
  <w:style w:type="table" w:customStyle="1" w:styleId="18">
    <w:name w:val="18"/>
    <w:basedOn w:val="TableNormal"/>
    <w:rsid w:val="00E90104"/>
    <w:tblPr>
      <w:tblStyleRowBandSize w:val="1"/>
      <w:tblStyleColBandSize w:val="1"/>
      <w:tblCellMar>
        <w:left w:w="70" w:type="dxa"/>
        <w:right w:w="70" w:type="dxa"/>
      </w:tblCellMar>
    </w:tblPr>
  </w:style>
  <w:style w:type="table" w:customStyle="1" w:styleId="17">
    <w:name w:val="17"/>
    <w:basedOn w:val="TableNormal"/>
    <w:rsid w:val="00E90104"/>
    <w:tblPr>
      <w:tblStyleRowBandSize w:val="1"/>
      <w:tblStyleColBandSize w:val="1"/>
      <w:tblCellMar>
        <w:left w:w="70" w:type="dxa"/>
        <w:right w:w="70" w:type="dxa"/>
      </w:tblCellMar>
    </w:tblPr>
  </w:style>
  <w:style w:type="table" w:customStyle="1" w:styleId="16">
    <w:name w:val="16"/>
    <w:basedOn w:val="TableNormal"/>
    <w:rsid w:val="00E90104"/>
    <w:tblPr>
      <w:tblStyleRowBandSize w:val="1"/>
      <w:tblStyleColBandSize w:val="1"/>
      <w:tblCellMar>
        <w:left w:w="108" w:type="dxa"/>
        <w:right w:w="108" w:type="dxa"/>
      </w:tblCellMar>
    </w:tblPr>
  </w:style>
  <w:style w:type="table" w:customStyle="1" w:styleId="15">
    <w:name w:val="15"/>
    <w:basedOn w:val="TableNormal"/>
    <w:rsid w:val="00E90104"/>
    <w:tblPr>
      <w:tblStyleRowBandSize w:val="1"/>
      <w:tblStyleColBandSize w:val="1"/>
      <w:tblCellMar>
        <w:left w:w="70" w:type="dxa"/>
        <w:right w:w="70" w:type="dxa"/>
      </w:tblCellMar>
    </w:tblPr>
  </w:style>
  <w:style w:type="table" w:customStyle="1" w:styleId="14">
    <w:name w:val="14"/>
    <w:basedOn w:val="TableNormal"/>
    <w:rsid w:val="00E90104"/>
    <w:tblPr>
      <w:tblStyleRowBandSize w:val="1"/>
      <w:tblStyleColBandSize w:val="1"/>
      <w:tblCellMar>
        <w:left w:w="108" w:type="dxa"/>
        <w:right w:w="108" w:type="dxa"/>
      </w:tblCellMar>
    </w:tblPr>
  </w:style>
  <w:style w:type="table" w:customStyle="1" w:styleId="13">
    <w:name w:val="13"/>
    <w:basedOn w:val="TableNormal"/>
    <w:rsid w:val="00E90104"/>
    <w:tblPr>
      <w:tblStyleRowBandSize w:val="1"/>
      <w:tblStyleColBandSize w:val="1"/>
      <w:tblCellMar>
        <w:left w:w="70" w:type="dxa"/>
        <w:right w:w="70" w:type="dxa"/>
      </w:tblCellMar>
    </w:tblPr>
  </w:style>
  <w:style w:type="table" w:customStyle="1" w:styleId="12">
    <w:name w:val="12"/>
    <w:basedOn w:val="TableNormal"/>
    <w:rsid w:val="00E90104"/>
    <w:tblPr>
      <w:tblStyleRowBandSize w:val="1"/>
      <w:tblStyleColBandSize w:val="1"/>
      <w:tblCellMar>
        <w:left w:w="70" w:type="dxa"/>
        <w:right w:w="70" w:type="dxa"/>
      </w:tblCellMar>
    </w:tblPr>
  </w:style>
  <w:style w:type="table" w:customStyle="1" w:styleId="11">
    <w:name w:val="11"/>
    <w:basedOn w:val="TableNormal"/>
    <w:rsid w:val="00E90104"/>
    <w:tblPr>
      <w:tblStyleRowBandSize w:val="1"/>
      <w:tblStyleColBandSize w:val="1"/>
      <w:tblCellMar>
        <w:left w:w="108" w:type="dxa"/>
        <w:right w:w="108" w:type="dxa"/>
      </w:tblCellMar>
    </w:tblPr>
  </w:style>
  <w:style w:type="table" w:customStyle="1" w:styleId="10">
    <w:name w:val="10"/>
    <w:basedOn w:val="TableNormal"/>
    <w:rsid w:val="00E90104"/>
    <w:tblPr>
      <w:tblStyleRowBandSize w:val="1"/>
      <w:tblStyleColBandSize w:val="1"/>
      <w:tblCellMar>
        <w:left w:w="108" w:type="dxa"/>
        <w:right w:w="108" w:type="dxa"/>
      </w:tblCellMar>
    </w:tblPr>
  </w:style>
  <w:style w:type="table" w:customStyle="1" w:styleId="9">
    <w:name w:val="9"/>
    <w:basedOn w:val="TableNormal"/>
    <w:rsid w:val="00E90104"/>
    <w:tblPr>
      <w:tblStyleRowBandSize w:val="1"/>
      <w:tblStyleColBandSize w:val="1"/>
      <w:tblCellMar>
        <w:left w:w="70" w:type="dxa"/>
        <w:right w:w="70" w:type="dxa"/>
      </w:tblCellMar>
    </w:tblPr>
  </w:style>
  <w:style w:type="table" w:customStyle="1" w:styleId="8">
    <w:name w:val="8"/>
    <w:basedOn w:val="TableNormal"/>
    <w:rsid w:val="00E90104"/>
    <w:tblPr>
      <w:tblStyleRowBandSize w:val="1"/>
      <w:tblStyleColBandSize w:val="1"/>
      <w:tblCellMar>
        <w:left w:w="108" w:type="dxa"/>
        <w:right w:w="108" w:type="dxa"/>
      </w:tblCellMar>
    </w:tblPr>
  </w:style>
  <w:style w:type="table" w:customStyle="1" w:styleId="7">
    <w:name w:val="7"/>
    <w:basedOn w:val="TableNormal"/>
    <w:rsid w:val="00E90104"/>
    <w:tblPr>
      <w:tblStyleRowBandSize w:val="1"/>
      <w:tblStyleColBandSize w:val="1"/>
      <w:tblCellMar>
        <w:left w:w="70" w:type="dxa"/>
        <w:right w:w="70" w:type="dxa"/>
      </w:tblCellMar>
    </w:tblPr>
  </w:style>
  <w:style w:type="table" w:customStyle="1" w:styleId="6">
    <w:name w:val="6"/>
    <w:basedOn w:val="TableNormal"/>
    <w:rsid w:val="00E90104"/>
    <w:tblPr>
      <w:tblStyleRowBandSize w:val="1"/>
      <w:tblStyleColBandSize w:val="1"/>
      <w:tblCellMar>
        <w:left w:w="70" w:type="dxa"/>
        <w:right w:w="70" w:type="dxa"/>
      </w:tblCellMar>
    </w:tblPr>
  </w:style>
  <w:style w:type="table" w:customStyle="1" w:styleId="5">
    <w:name w:val="5"/>
    <w:basedOn w:val="TableNormal"/>
    <w:rsid w:val="00E90104"/>
    <w:tblPr>
      <w:tblStyleRowBandSize w:val="1"/>
      <w:tblStyleColBandSize w:val="1"/>
      <w:tblCellMar>
        <w:left w:w="70" w:type="dxa"/>
        <w:right w:w="70" w:type="dxa"/>
      </w:tblCellMar>
    </w:tblPr>
  </w:style>
  <w:style w:type="table" w:customStyle="1" w:styleId="4">
    <w:name w:val="4"/>
    <w:basedOn w:val="TableNormal"/>
    <w:rsid w:val="00E90104"/>
    <w:tblPr>
      <w:tblStyleRowBandSize w:val="1"/>
      <w:tblStyleColBandSize w:val="1"/>
      <w:tblCellMar>
        <w:left w:w="108" w:type="dxa"/>
        <w:right w:w="108" w:type="dxa"/>
      </w:tblCellMar>
    </w:tblPr>
  </w:style>
  <w:style w:type="table" w:customStyle="1" w:styleId="3">
    <w:name w:val="3"/>
    <w:basedOn w:val="TableNormal"/>
    <w:rsid w:val="00E90104"/>
    <w:tblPr>
      <w:tblStyleRowBandSize w:val="1"/>
      <w:tblStyleColBandSize w:val="1"/>
      <w:tblCellMar>
        <w:left w:w="108" w:type="dxa"/>
        <w:right w:w="108" w:type="dxa"/>
      </w:tblCellMar>
    </w:tblPr>
  </w:style>
  <w:style w:type="table" w:customStyle="1" w:styleId="2">
    <w:name w:val="2"/>
    <w:basedOn w:val="TableNormal"/>
    <w:rsid w:val="00E90104"/>
    <w:tblPr>
      <w:tblStyleRowBandSize w:val="1"/>
      <w:tblStyleColBandSize w:val="1"/>
      <w:tblCellMar>
        <w:left w:w="108" w:type="dxa"/>
        <w:right w:w="108" w:type="dxa"/>
      </w:tblCellMar>
    </w:tblPr>
  </w:style>
  <w:style w:type="table" w:customStyle="1" w:styleId="1">
    <w:name w:val="1"/>
    <w:basedOn w:val="TableNormal"/>
    <w:rsid w:val="00E90104"/>
    <w:tblPr>
      <w:tblStyleRowBandSize w:val="1"/>
      <w:tblStyleColBandSize w:val="1"/>
      <w:tblCellMar>
        <w:left w:w="70" w:type="dxa"/>
        <w:right w:w="70" w:type="dxa"/>
      </w:tblCellMar>
    </w:tblPr>
  </w:style>
  <w:style w:type="paragraph" w:styleId="Bibliografa">
    <w:name w:val="Bibliography"/>
    <w:basedOn w:val="Normal"/>
    <w:next w:val="Normal"/>
    <w:uiPriority w:val="37"/>
    <w:unhideWhenUsed/>
    <w:rsid w:val="00E415D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5225">
      <w:bodyDiv w:val="1"/>
      <w:marLeft w:val="0"/>
      <w:marRight w:val="0"/>
      <w:marTop w:val="0"/>
      <w:marBottom w:val="0"/>
      <w:divBdr>
        <w:top w:val="none" w:sz="0" w:space="0" w:color="auto"/>
        <w:left w:val="none" w:sz="0" w:space="0" w:color="auto"/>
        <w:bottom w:val="none" w:sz="0" w:space="0" w:color="auto"/>
        <w:right w:val="none" w:sz="0" w:space="0" w:color="auto"/>
      </w:divBdr>
    </w:div>
    <w:div w:id="15087689">
      <w:bodyDiv w:val="1"/>
      <w:marLeft w:val="0"/>
      <w:marRight w:val="0"/>
      <w:marTop w:val="0"/>
      <w:marBottom w:val="0"/>
      <w:divBdr>
        <w:top w:val="none" w:sz="0" w:space="0" w:color="auto"/>
        <w:left w:val="none" w:sz="0" w:space="0" w:color="auto"/>
        <w:bottom w:val="none" w:sz="0" w:space="0" w:color="auto"/>
        <w:right w:val="none" w:sz="0" w:space="0" w:color="auto"/>
      </w:divBdr>
    </w:div>
    <w:div w:id="17394146">
      <w:bodyDiv w:val="1"/>
      <w:marLeft w:val="0"/>
      <w:marRight w:val="0"/>
      <w:marTop w:val="0"/>
      <w:marBottom w:val="0"/>
      <w:divBdr>
        <w:top w:val="none" w:sz="0" w:space="0" w:color="auto"/>
        <w:left w:val="none" w:sz="0" w:space="0" w:color="auto"/>
        <w:bottom w:val="none" w:sz="0" w:space="0" w:color="auto"/>
        <w:right w:val="none" w:sz="0" w:space="0" w:color="auto"/>
      </w:divBdr>
    </w:div>
    <w:div w:id="20250899">
      <w:bodyDiv w:val="1"/>
      <w:marLeft w:val="0"/>
      <w:marRight w:val="0"/>
      <w:marTop w:val="0"/>
      <w:marBottom w:val="0"/>
      <w:divBdr>
        <w:top w:val="none" w:sz="0" w:space="0" w:color="auto"/>
        <w:left w:val="none" w:sz="0" w:space="0" w:color="auto"/>
        <w:bottom w:val="none" w:sz="0" w:space="0" w:color="auto"/>
        <w:right w:val="none" w:sz="0" w:space="0" w:color="auto"/>
      </w:divBdr>
    </w:div>
    <w:div w:id="25260355">
      <w:bodyDiv w:val="1"/>
      <w:marLeft w:val="0"/>
      <w:marRight w:val="0"/>
      <w:marTop w:val="0"/>
      <w:marBottom w:val="0"/>
      <w:divBdr>
        <w:top w:val="none" w:sz="0" w:space="0" w:color="auto"/>
        <w:left w:val="none" w:sz="0" w:space="0" w:color="auto"/>
        <w:bottom w:val="none" w:sz="0" w:space="0" w:color="auto"/>
        <w:right w:val="none" w:sz="0" w:space="0" w:color="auto"/>
      </w:divBdr>
    </w:div>
    <w:div w:id="26756952">
      <w:bodyDiv w:val="1"/>
      <w:marLeft w:val="0"/>
      <w:marRight w:val="0"/>
      <w:marTop w:val="0"/>
      <w:marBottom w:val="0"/>
      <w:divBdr>
        <w:top w:val="none" w:sz="0" w:space="0" w:color="auto"/>
        <w:left w:val="none" w:sz="0" w:space="0" w:color="auto"/>
        <w:bottom w:val="none" w:sz="0" w:space="0" w:color="auto"/>
        <w:right w:val="none" w:sz="0" w:space="0" w:color="auto"/>
      </w:divBdr>
    </w:div>
    <w:div w:id="33505399">
      <w:bodyDiv w:val="1"/>
      <w:marLeft w:val="0"/>
      <w:marRight w:val="0"/>
      <w:marTop w:val="0"/>
      <w:marBottom w:val="0"/>
      <w:divBdr>
        <w:top w:val="none" w:sz="0" w:space="0" w:color="auto"/>
        <w:left w:val="none" w:sz="0" w:space="0" w:color="auto"/>
        <w:bottom w:val="none" w:sz="0" w:space="0" w:color="auto"/>
        <w:right w:val="none" w:sz="0" w:space="0" w:color="auto"/>
      </w:divBdr>
    </w:div>
    <w:div w:id="34237223">
      <w:bodyDiv w:val="1"/>
      <w:marLeft w:val="0"/>
      <w:marRight w:val="0"/>
      <w:marTop w:val="0"/>
      <w:marBottom w:val="0"/>
      <w:divBdr>
        <w:top w:val="none" w:sz="0" w:space="0" w:color="auto"/>
        <w:left w:val="none" w:sz="0" w:space="0" w:color="auto"/>
        <w:bottom w:val="none" w:sz="0" w:space="0" w:color="auto"/>
        <w:right w:val="none" w:sz="0" w:space="0" w:color="auto"/>
      </w:divBdr>
    </w:div>
    <w:div w:id="37827176">
      <w:bodyDiv w:val="1"/>
      <w:marLeft w:val="0"/>
      <w:marRight w:val="0"/>
      <w:marTop w:val="0"/>
      <w:marBottom w:val="0"/>
      <w:divBdr>
        <w:top w:val="none" w:sz="0" w:space="0" w:color="auto"/>
        <w:left w:val="none" w:sz="0" w:space="0" w:color="auto"/>
        <w:bottom w:val="none" w:sz="0" w:space="0" w:color="auto"/>
        <w:right w:val="none" w:sz="0" w:space="0" w:color="auto"/>
      </w:divBdr>
    </w:div>
    <w:div w:id="41753387">
      <w:bodyDiv w:val="1"/>
      <w:marLeft w:val="0"/>
      <w:marRight w:val="0"/>
      <w:marTop w:val="0"/>
      <w:marBottom w:val="0"/>
      <w:divBdr>
        <w:top w:val="none" w:sz="0" w:space="0" w:color="auto"/>
        <w:left w:val="none" w:sz="0" w:space="0" w:color="auto"/>
        <w:bottom w:val="none" w:sz="0" w:space="0" w:color="auto"/>
        <w:right w:val="none" w:sz="0" w:space="0" w:color="auto"/>
      </w:divBdr>
    </w:div>
    <w:div w:id="41756699">
      <w:bodyDiv w:val="1"/>
      <w:marLeft w:val="0"/>
      <w:marRight w:val="0"/>
      <w:marTop w:val="0"/>
      <w:marBottom w:val="0"/>
      <w:divBdr>
        <w:top w:val="none" w:sz="0" w:space="0" w:color="auto"/>
        <w:left w:val="none" w:sz="0" w:space="0" w:color="auto"/>
        <w:bottom w:val="none" w:sz="0" w:space="0" w:color="auto"/>
        <w:right w:val="none" w:sz="0" w:space="0" w:color="auto"/>
      </w:divBdr>
    </w:div>
    <w:div w:id="44531511">
      <w:bodyDiv w:val="1"/>
      <w:marLeft w:val="0"/>
      <w:marRight w:val="0"/>
      <w:marTop w:val="0"/>
      <w:marBottom w:val="0"/>
      <w:divBdr>
        <w:top w:val="none" w:sz="0" w:space="0" w:color="auto"/>
        <w:left w:val="none" w:sz="0" w:space="0" w:color="auto"/>
        <w:bottom w:val="none" w:sz="0" w:space="0" w:color="auto"/>
        <w:right w:val="none" w:sz="0" w:space="0" w:color="auto"/>
      </w:divBdr>
    </w:div>
    <w:div w:id="44915204">
      <w:bodyDiv w:val="1"/>
      <w:marLeft w:val="0"/>
      <w:marRight w:val="0"/>
      <w:marTop w:val="0"/>
      <w:marBottom w:val="0"/>
      <w:divBdr>
        <w:top w:val="none" w:sz="0" w:space="0" w:color="auto"/>
        <w:left w:val="none" w:sz="0" w:space="0" w:color="auto"/>
        <w:bottom w:val="none" w:sz="0" w:space="0" w:color="auto"/>
        <w:right w:val="none" w:sz="0" w:space="0" w:color="auto"/>
      </w:divBdr>
    </w:div>
    <w:div w:id="59866950">
      <w:bodyDiv w:val="1"/>
      <w:marLeft w:val="0"/>
      <w:marRight w:val="0"/>
      <w:marTop w:val="0"/>
      <w:marBottom w:val="0"/>
      <w:divBdr>
        <w:top w:val="none" w:sz="0" w:space="0" w:color="auto"/>
        <w:left w:val="none" w:sz="0" w:space="0" w:color="auto"/>
        <w:bottom w:val="none" w:sz="0" w:space="0" w:color="auto"/>
        <w:right w:val="none" w:sz="0" w:space="0" w:color="auto"/>
      </w:divBdr>
    </w:div>
    <w:div w:id="77336582">
      <w:bodyDiv w:val="1"/>
      <w:marLeft w:val="0"/>
      <w:marRight w:val="0"/>
      <w:marTop w:val="0"/>
      <w:marBottom w:val="0"/>
      <w:divBdr>
        <w:top w:val="none" w:sz="0" w:space="0" w:color="auto"/>
        <w:left w:val="none" w:sz="0" w:space="0" w:color="auto"/>
        <w:bottom w:val="none" w:sz="0" w:space="0" w:color="auto"/>
        <w:right w:val="none" w:sz="0" w:space="0" w:color="auto"/>
      </w:divBdr>
    </w:div>
    <w:div w:id="82531536">
      <w:bodyDiv w:val="1"/>
      <w:marLeft w:val="0"/>
      <w:marRight w:val="0"/>
      <w:marTop w:val="0"/>
      <w:marBottom w:val="0"/>
      <w:divBdr>
        <w:top w:val="none" w:sz="0" w:space="0" w:color="auto"/>
        <w:left w:val="none" w:sz="0" w:space="0" w:color="auto"/>
        <w:bottom w:val="none" w:sz="0" w:space="0" w:color="auto"/>
        <w:right w:val="none" w:sz="0" w:space="0" w:color="auto"/>
      </w:divBdr>
    </w:div>
    <w:div w:id="84500938">
      <w:bodyDiv w:val="1"/>
      <w:marLeft w:val="0"/>
      <w:marRight w:val="0"/>
      <w:marTop w:val="0"/>
      <w:marBottom w:val="0"/>
      <w:divBdr>
        <w:top w:val="none" w:sz="0" w:space="0" w:color="auto"/>
        <w:left w:val="none" w:sz="0" w:space="0" w:color="auto"/>
        <w:bottom w:val="none" w:sz="0" w:space="0" w:color="auto"/>
        <w:right w:val="none" w:sz="0" w:space="0" w:color="auto"/>
      </w:divBdr>
    </w:div>
    <w:div w:id="86312272">
      <w:bodyDiv w:val="1"/>
      <w:marLeft w:val="0"/>
      <w:marRight w:val="0"/>
      <w:marTop w:val="0"/>
      <w:marBottom w:val="0"/>
      <w:divBdr>
        <w:top w:val="none" w:sz="0" w:space="0" w:color="auto"/>
        <w:left w:val="none" w:sz="0" w:space="0" w:color="auto"/>
        <w:bottom w:val="none" w:sz="0" w:space="0" w:color="auto"/>
        <w:right w:val="none" w:sz="0" w:space="0" w:color="auto"/>
      </w:divBdr>
    </w:div>
    <w:div w:id="89859971">
      <w:bodyDiv w:val="1"/>
      <w:marLeft w:val="0"/>
      <w:marRight w:val="0"/>
      <w:marTop w:val="0"/>
      <w:marBottom w:val="0"/>
      <w:divBdr>
        <w:top w:val="none" w:sz="0" w:space="0" w:color="auto"/>
        <w:left w:val="none" w:sz="0" w:space="0" w:color="auto"/>
        <w:bottom w:val="none" w:sz="0" w:space="0" w:color="auto"/>
        <w:right w:val="none" w:sz="0" w:space="0" w:color="auto"/>
      </w:divBdr>
    </w:div>
    <w:div w:id="91509601">
      <w:bodyDiv w:val="1"/>
      <w:marLeft w:val="0"/>
      <w:marRight w:val="0"/>
      <w:marTop w:val="0"/>
      <w:marBottom w:val="0"/>
      <w:divBdr>
        <w:top w:val="none" w:sz="0" w:space="0" w:color="auto"/>
        <w:left w:val="none" w:sz="0" w:space="0" w:color="auto"/>
        <w:bottom w:val="none" w:sz="0" w:space="0" w:color="auto"/>
        <w:right w:val="none" w:sz="0" w:space="0" w:color="auto"/>
      </w:divBdr>
    </w:div>
    <w:div w:id="102312118">
      <w:bodyDiv w:val="1"/>
      <w:marLeft w:val="0"/>
      <w:marRight w:val="0"/>
      <w:marTop w:val="0"/>
      <w:marBottom w:val="0"/>
      <w:divBdr>
        <w:top w:val="none" w:sz="0" w:space="0" w:color="auto"/>
        <w:left w:val="none" w:sz="0" w:space="0" w:color="auto"/>
        <w:bottom w:val="none" w:sz="0" w:space="0" w:color="auto"/>
        <w:right w:val="none" w:sz="0" w:space="0" w:color="auto"/>
      </w:divBdr>
    </w:div>
    <w:div w:id="115486978">
      <w:bodyDiv w:val="1"/>
      <w:marLeft w:val="0"/>
      <w:marRight w:val="0"/>
      <w:marTop w:val="0"/>
      <w:marBottom w:val="0"/>
      <w:divBdr>
        <w:top w:val="none" w:sz="0" w:space="0" w:color="auto"/>
        <w:left w:val="none" w:sz="0" w:space="0" w:color="auto"/>
        <w:bottom w:val="none" w:sz="0" w:space="0" w:color="auto"/>
        <w:right w:val="none" w:sz="0" w:space="0" w:color="auto"/>
      </w:divBdr>
    </w:div>
    <w:div w:id="119036947">
      <w:bodyDiv w:val="1"/>
      <w:marLeft w:val="0"/>
      <w:marRight w:val="0"/>
      <w:marTop w:val="0"/>
      <w:marBottom w:val="0"/>
      <w:divBdr>
        <w:top w:val="none" w:sz="0" w:space="0" w:color="auto"/>
        <w:left w:val="none" w:sz="0" w:space="0" w:color="auto"/>
        <w:bottom w:val="none" w:sz="0" w:space="0" w:color="auto"/>
        <w:right w:val="none" w:sz="0" w:space="0" w:color="auto"/>
      </w:divBdr>
    </w:div>
    <w:div w:id="124352938">
      <w:bodyDiv w:val="1"/>
      <w:marLeft w:val="0"/>
      <w:marRight w:val="0"/>
      <w:marTop w:val="0"/>
      <w:marBottom w:val="0"/>
      <w:divBdr>
        <w:top w:val="none" w:sz="0" w:space="0" w:color="auto"/>
        <w:left w:val="none" w:sz="0" w:space="0" w:color="auto"/>
        <w:bottom w:val="none" w:sz="0" w:space="0" w:color="auto"/>
        <w:right w:val="none" w:sz="0" w:space="0" w:color="auto"/>
      </w:divBdr>
    </w:div>
    <w:div w:id="131140019">
      <w:bodyDiv w:val="1"/>
      <w:marLeft w:val="0"/>
      <w:marRight w:val="0"/>
      <w:marTop w:val="0"/>
      <w:marBottom w:val="0"/>
      <w:divBdr>
        <w:top w:val="none" w:sz="0" w:space="0" w:color="auto"/>
        <w:left w:val="none" w:sz="0" w:space="0" w:color="auto"/>
        <w:bottom w:val="none" w:sz="0" w:space="0" w:color="auto"/>
        <w:right w:val="none" w:sz="0" w:space="0" w:color="auto"/>
      </w:divBdr>
    </w:div>
    <w:div w:id="135413050">
      <w:bodyDiv w:val="1"/>
      <w:marLeft w:val="0"/>
      <w:marRight w:val="0"/>
      <w:marTop w:val="0"/>
      <w:marBottom w:val="0"/>
      <w:divBdr>
        <w:top w:val="none" w:sz="0" w:space="0" w:color="auto"/>
        <w:left w:val="none" w:sz="0" w:space="0" w:color="auto"/>
        <w:bottom w:val="none" w:sz="0" w:space="0" w:color="auto"/>
        <w:right w:val="none" w:sz="0" w:space="0" w:color="auto"/>
      </w:divBdr>
    </w:div>
    <w:div w:id="138305990">
      <w:bodyDiv w:val="1"/>
      <w:marLeft w:val="0"/>
      <w:marRight w:val="0"/>
      <w:marTop w:val="0"/>
      <w:marBottom w:val="0"/>
      <w:divBdr>
        <w:top w:val="none" w:sz="0" w:space="0" w:color="auto"/>
        <w:left w:val="none" w:sz="0" w:space="0" w:color="auto"/>
        <w:bottom w:val="none" w:sz="0" w:space="0" w:color="auto"/>
        <w:right w:val="none" w:sz="0" w:space="0" w:color="auto"/>
      </w:divBdr>
    </w:div>
    <w:div w:id="138890231">
      <w:bodyDiv w:val="1"/>
      <w:marLeft w:val="0"/>
      <w:marRight w:val="0"/>
      <w:marTop w:val="0"/>
      <w:marBottom w:val="0"/>
      <w:divBdr>
        <w:top w:val="none" w:sz="0" w:space="0" w:color="auto"/>
        <w:left w:val="none" w:sz="0" w:space="0" w:color="auto"/>
        <w:bottom w:val="none" w:sz="0" w:space="0" w:color="auto"/>
        <w:right w:val="none" w:sz="0" w:space="0" w:color="auto"/>
      </w:divBdr>
    </w:div>
    <w:div w:id="139663190">
      <w:bodyDiv w:val="1"/>
      <w:marLeft w:val="0"/>
      <w:marRight w:val="0"/>
      <w:marTop w:val="0"/>
      <w:marBottom w:val="0"/>
      <w:divBdr>
        <w:top w:val="none" w:sz="0" w:space="0" w:color="auto"/>
        <w:left w:val="none" w:sz="0" w:space="0" w:color="auto"/>
        <w:bottom w:val="none" w:sz="0" w:space="0" w:color="auto"/>
        <w:right w:val="none" w:sz="0" w:space="0" w:color="auto"/>
      </w:divBdr>
    </w:div>
    <w:div w:id="157700448">
      <w:bodyDiv w:val="1"/>
      <w:marLeft w:val="0"/>
      <w:marRight w:val="0"/>
      <w:marTop w:val="0"/>
      <w:marBottom w:val="0"/>
      <w:divBdr>
        <w:top w:val="none" w:sz="0" w:space="0" w:color="auto"/>
        <w:left w:val="none" w:sz="0" w:space="0" w:color="auto"/>
        <w:bottom w:val="none" w:sz="0" w:space="0" w:color="auto"/>
        <w:right w:val="none" w:sz="0" w:space="0" w:color="auto"/>
      </w:divBdr>
    </w:div>
    <w:div w:id="166870468">
      <w:bodyDiv w:val="1"/>
      <w:marLeft w:val="0"/>
      <w:marRight w:val="0"/>
      <w:marTop w:val="0"/>
      <w:marBottom w:val="0"/>
      <w:divBdr>
        <w:top w:val="none" w:sz="0" w:space="0" w:color="auto"/>
        <w:left w:val="none" w:sz="0" w:space="0" w:color="auto"/>
        <w:bottom w:val="none" w:sz="0" w:space="0" w:color="auto"/>
        <w:right w:val="none" w:sz="0" w:space="0" w:color="auto"/>
      </w:divBdr>
    </w:div>
    <w:div w:id="169612845">
      <w:bodyDiv w:val="1"/>
      <w:marLeft w:val="0"/>
      <w:marRight w:val="0"/>
      <w:marTop w:val="0"/>
      <w:marBottom w:val="0"/>
      <w:divBdr>
        <w:top w:val="none" w:sz="0" w:space="0" w:color="auto"/>
        <w:left w:val="none" w:sz="0" w:space="0" w:color="auto"/>
        <w:bottom w:val="none" w:sz="0" w:space="0" w:color="auto"/>
        <w:right w:val="none" w:sz="0" w:space="0" w:color="auto"/>
      </w:divBdr>
    </w:div>
    <w:div w:id="170803047">
      <w:bodyDiv w:val="1"/>
      <w:marLeft w:val="0"/>
      <w:marRight w:val="0"/>
      <w:marTop w:val="0"/>
      <w:marBottom w:val="0"/>
      <w:divBdr>
        <w:top w:val="none" w:sz="0" w:space="0" w:color="auto"/>
        <w:left w:val="none" w:sz="0" w:space="0" w:color="auto"/>
        <w:bottom w:val="none" w:sz="0" w:space="0" w:color="auto"/>
        <w:right w:val="none" w:sz="0" w:space="0" w:color="auto"/>
      </w:divBdr>
    </w:div>
    <w:div w:id="183982003">
      <w:bodyDiv w:val="1"/>
      <w:marLeft w:val="0"/>
      <w:marRight w:val="0"/>
      <w:marTop w:val="0"/>
      <w:marBottom w:val="0"/>
      <w:divBdr>
        <w:top w:val="none" w:sz="0" w:space="0" w:color="auto"/>
        <w:left w:val="none" w:sz="0" w:space="0" w:color="auto"/>
        <w:bottom w:val="none" w:sz="0" w:space="0" w:color="auto"/>
        <w:right w:val="none" w:sz="0" w:space="0" w:color="auto"/>
      </w:divBdr>
    </w:div>
    <w:div w:id="184369032">
      <w:bodyDiv w:val="1"/>
      <w:marLeft w:val="0"/>
      <w:marRight w:val="0"/>
      <w:marTop w:val="0"/>
      <w:marBottom w:val="0"/>
      <w:divBdr>
        <w:top w:val="none" w:sz="0" w:space="0" w:color="auto"/>
        <w:left w:val="none" w:sz="0" w:space="0" w:color="auto"/>
        <w:bottom w:val="none" w:sz="0" w:space="0" w:color="auto"/>
        <w:right w:val="none" w:sz="0" w:space="0" w:color="auto"/>
      </w:divBdr>
    </w:div>
    <w:div w:id="195124701">
      <w:bodyDiv w:val="1"/>
      <w:marLeft w:val="0"/>
      <w:marRight w:val="0"/>
      <w:marTop w:val="0"/>
      <w:marBottom w:val="0"/>
      <w:divBdr>
        <w:top w:val="none" w:sz="0" w:space="0" w:color="auto"/>
        <w:left w:val="none" w:sz="0" w:space="0" w:color="auto"/>
        <w:bottom w:val="none" w:sz="0" w:space="0" w:color="auto"/>
        <w:right w:val="none" w:sz="0" w:space="0" w:color="auto"/>
      </w:divBdr>
    </w:div>
    <w:div w:id="197813679">
      <w:bodyDiv w:val="1"/>
      <w:marLeft w:val="0"/>
      <w:marRight w:val="0"/>
      <w:marTop w:val="0"/>
      <w:marBottom w:val="0"/>
      <w:divBdr>
        <w:top w:val="none" w:sz="0" w:space="0" w:color="auto"/>
        <w:left w:val="none" w:sz="0" w:space="0" w:color="auto"/>
        <w:bottom w:val="none" w:sz="0" w:space="0" w:color="auto"/>
        <w:right w:val="none" w:sz="0" w:space="0" w:color="auto"/>
      </w:divBdr>
    </w:div>
    <w:div w:id="204879410">
      <w:bodyDiv w:val="1"/>
      <w:marLeft w:val="0"/>
      <w:marRight w:val="0"/>
      <w:marTop w:val="0"/>
      <w:marBottom w:val="0"/>
      <w:divBdr>
        <w:top w:val="none" w:sz="0" w:space="0" w:color="auto"/>
        <w:left w:val="none" w:sz="0" w:space="0" w:color="auto"/>
        <w:bottom w:val="none" w:sz="0" w:space="0" w:color="auto"/>
        <w:right w:val="none" w:sz="0" w:space="0" w:color="auto"/>
      </w:divBdr>
    </w:div>
    <w:div w:id="205679730">
      <w:bodyDiv w:val="1"/>
      <w:marLeft w:val="0"/>
      <w:marRight w:val="0"/>
      <w:marTop w:val="0"/>
      <w:marBottom w:val="0"/>
      <w:divBdr>
        <w:top w:val="none" w:sz="0" w:space="0" w:color="auto"/>
        <w:left w:val="none" w:sz="0" w:space="0" w:color="auto"/>
        <w:bottom w:val="none" w:sz="0" w:space="0" w:color="auto"/>
        <w:right w:val="none" w:sz="0" w:space="0" w:color="auto"/>
      </w:divBdr>
    </w:div>
    <w:div w:id="206643372">
      <w:bodyDiv w:val="1"/>
      <w:marLeft w:val="0"/>
      <w:marRight w:val="0"/>
      <w:marTop w:val="0"/>
      <w:marBottom w:val="0"/>
      <w:divBdr>
        <w:top w:val="none" w:sz="0" w:space="0" w:color="auto"/>
        <w:left w:val="none" w:sz="0" w:space="0" w:color="auto"/>
        <w:bottom w:val="none" w:sz="0" w:space="0" w:color="auto"/>
        <w:right w:val="none" w:sz="0" w:space="0" w:color="auto"/>
      </w:divBdr>
    </w:div>
    <w:div w:id="209460587">
      <w:bodyDiv w:val="1"/>
      <w:marLeft w:val="0"/>
      <w:marRight w:val="0"/>
      <w:marTop w:val="0"/>
      <w:marBottom w:val="0"/>
      <w:divBdr>
        <w:top w:val="none" w:sz="0" w:space="0" w:color="auto"/>
        <w:left w:val="none" w:sz="0" w:space="0" w:color="auto"/>
        <w:bottom w:val="none" w:sz="0" w:space="0" w:color="auto"/>
        <w:right w:val="none" w:sz="0" w:space="0" w:color="auto"/>
      </w:divBdr>
    </w:div>
    <w:div w:id="212354944">
      <w:bodyDiv w:val="1"/>
      <w:marLeft w:val="0"/>
      <w:marRight w:val="0"/>
      <w:marTop w:val="0"/>
      <w:marBottom w:val="0"/>
      <w:divBdr>
        <w:top w:val="none" w:sz="0" w:space="0" w:color="auto"/>
        <w:left w:val="none" w:sz="0" w:space="0" w:color="auto"/>
        <w:bottom w:val="none" w:sz="0" w:space="0" w:color="auto"/>
        <w:right w:val="none" w:sz="0" w:space="0" w:color="auto"/>
      </w:divBdr>
    </w:div>
    <w:div w:id="219291834">
      <w:bodyDiv w:val="1"/>
      <w:marLeft w:val="0"/>
      <w:marRight w:val="0"/>
      <w:marTop w:val="0"/>
      <w:marBottom w:val="0"/>
      <w:divBdr>
        <w:top w:val="none" w:sz="0" w:space="0" w:color="auto"/>
        <w:left w:val="none" w:sz="0" w:space="0" w:color="auto"/>
        <w:bottom w:val="none" w:sz="0" w:space="0" w:color="auto"/>
        <w:right w:val="none" w:sz="0" w:space="0" w:color="auto"/>
      </w:divBdr>
    </w:div>
    <w:div w:id="223294758">
      <w:bodyDiv w:val="1"/>
      <w:marLeft w:val="0"/>
      <w:marRight w:val="0"/>
      <w:marTop w:val="0"/>
      <w:marBottom w:val="0"/>
      <w:divBdr>
        <w:top w:val="none" w:sz="0" w:space="0" w:color="auto"/>
        <w:left w:val="none" w:sz="0" w:space="0" w:color="auto"/>
        <w:bottom w:val="none" w:sz="0" w:space="0" w:color="auto"/>
        <w:right w:val="none" w:sz="0" w:space="0" w:color="auto"/>
      </w:divBdr>
    </w:div>
    <w:div w:id="223298058">
      <w:bodyDiv w:val="1"/>
      <w:marLeft w:val="0"/>
      <w:marRight w:val="0"/>
      <w:marTop w:val="0"/>
      <w:marBottom w:val="0"/>
      <w:divBdr>
        <w:top w:val="none" w:sz="0" w:space="0" w:color="auto"/>
        <w:left w:val="none" w:sz="0" w:space="0" w:color="auto"/>
        <w:bottom w:val="none" w:sz="0" w:space="0" w:color="auto"/>
        <w:right w:val="none" w:sz="0" w:space="0" w:color="auto"/>
      </w:divBdr>
    </w:div>
    <w:div w:id="226914417">
      <w:bodyDiv w:val="1"/>
      <w:marLeft w:val="0"/>
      <w:marRight w:val="0"/>
      <w:marTop w:val="0"/>
      <w:marBottom w:val="0"/>
      <w:divBdr>
        <w:top w:val="none" w:sz="0" w:space="0" w:color="auto"/>
        <w:left w:val="none" w:sz="0" w:space="0" w:color="auto"/>
        <w:bottom w:val="none" w:sz="0" w:space="0" w:color="auto"/>
        <w:right w:val="none" w:sz="0" w:space="0" w:color="auto"/>
      </w:divBdr>
    </w:div>
    <w:div w:id="226965782">
      <w:bodyDiv w:val="1"/>
      <w:marLeft w:val="0"/>
      <w:marRight w:val="0"/>
      <w:marTop w:val="0"/>
      <w:marBottom w:val="0"/>
      <w:divBdr>
        <w:top w:val="none" w:sz="0" w:space="0" w:color="auto"/>
        <w:left w:val="none" w:sz="0" w:space="0" w:color="auto"/>
        <w:bottom w:val="none" w:sz="0" w:space="0" w:color="auto"/>
        <w:right w:val="none" w:sz="0" w:space="0" w:color="auto"/>
      </w:divBdr>
    </w:div>
    <w:div w:id="241961343">
      <w:bodyDiv w:val="1"/>
      <w:marLeft w:val="0"/>
      <w:marRight w:val="0"/>
      <w:marTop w:val="0"/>
      <w:marBottom w:val="0"/>
      <w:divBdr>
        <w:top w:val="none" w:sz="0" w:space="0" w:color="auto"/>
        <w:left w:val="none" w:sz="0" w:space="0" w:color="auto"/>
        <w:bottom w:val="none" w:sz="0" w:space="0" w:color="auto"/>
        <w:right w:val="none" w:sz="0" w:space="0" w:color="auto"/>
      </w:divBdr>
    </w:div>
    <w:div w:id="244649433">
      <w:bodyDiv w:val="1"/>
      <w:marLeft w:val="0"/>
      <w:marRight w:val="0"/>
      <w:marTop w:val="0"/>
      <w:marBottom w:val="0"/>
      <w:divBdr>
        <w:top w:val="none" w:sz="0" w:space="0" w:color="auto"/>
        <w:left w:val="none" w:sz="0" w:space="0" w:color="auto"/>
        <w:bottom w:val="none" w:sz="0" w:space="0" w:color="auto"/>
        <w:right w:val="none" w:sz="0" w:space="0" w:color="auto"/>
      </w:divBdr>
    </w:div>
    <w:div w:id="253629128">
      <w:bodyDiv w:val="1"/>
      <w:marLeft w:val="0"/>
      <w:marRight w:val="0"/>
      <w:marTop w:val="0"/>
      <w:marBottom w:val="0"/>
      <w:divBdr>
        <w:top w:val="none" w:sz="0" w:space="0" w:color="auto"/>
        <w:left w:val="none" w:sz="0" w:space="0" w:color="auto"/>
        <w:bottom w:val="none" w:sz="0" w:space="0" w:color="auto"/>
        <w:right w:val="none" w:sz="0" w:space="0" w:color="auto"/>
      </w:divBdr>
    </w:div>
    <w:div w:id="259802019">
      <w:bodyDiv w:val="1"/>
      <w:marLeft w:val="0"/>
      <w:marRight w:val="0"/>
      <w:marTop w:val="0"/>
      <w:marBottom w:val="0"/>
      <w:divBdr>
        <w:top w:val="none" w:sz="0" w:space="0" w:color="auto"/>
        <w:left w:val="none" w:sz="0" w:space="0" w:color="auto"/>
        <w:bottom w:val="none" w:sz="0" w:space="0" w:color="auto"/>
        <w:right w:val="none" w:sz="0" w:space="0" w:color="auto"/>
      </w:divBdr>
    </w:div>
    <w:div w:id="273053857">
      <w:bodyDiv w:val="1"/>
      <w:marLeft w:val="0"/>
      <w:marRight w:val="0"/>
      <w:marTop w:val="0"/>
      <w:marBottom w:val="0"/>
      <w:divBdr>
        <w:top w:val="none" w:sz="0" w:space="0" w:color="auto"/>
        <w:left w:val="none" w:sz="0" w:space="0" w:color="auto"/>
        <w:bottom w:val="none" w:sz="0" w:space="0" w:color="auto"/>
        <w:right w:val="none" w:sz="0" w:space="0" w:color="auto"/>
      </w:divBdr>
    </w:div>
    <w:div w:id="276181347">
      <w:bodyDiv w:val="1"/>
      <w:marLeft w:val="0"/>
      <w:marRight w:val="0"/>
      <w:marTop w:val="0"/>
      <w:marBottom w:val="0"/>
      <w:divBdr>
        <w:top w:val="none" w:sz="0" w:space="0" w:color="auto"/>
        <w:left w:val="none" w:sz="0" w:space="0" w:color="auto"/>
        <w:bottom w:val="none" w:sz="0" w:space="0" w:color="auto"/>
        <w:right w:val="none" w:sz="0" w:space="0" w:color="auto"/>
      </w:divBdr>
    </w:div>
    <w:div w:id="282275334">
      <w:bodyDiv w:val="1"/>
      <w:marLeft w:val="0"/>
      <w:marRight w:val="0"/>
      <w:marTop w:val="0"/>
      <w:marBottom w:val="0"/>
      <w:divBdr>
        <w:top w:val="none" w:sz="0" w:space="0" w:color="auto"/>
        <w:left w:val="none" w:sz="0" w:space="0" w:color="auto"/>
        <w:bottom w:val="none" w:sz="0" w:space="0" w:color="auto"/>
        <w:right w:val="none" w:sz="0" w:space="0" w:color="auto"/>
      </w:divBdr>
    </w:div>
    <w:div w:id="284388461">
      <w:bodyDiv w:val="1"/>
      <w:marLeft w:val="0"/>
      <w:marRight w:val="0"/>
      <w:marTop w:val="0"/>
      <w:marBottom w:val="0"/>
      <w:divBdr>
        <w:top w:val="none" w:sz="0" w:space="0" w:color="auto"/>
        <w:left w:val="none" w:sz="0" w:space="0" w:color="auto"/>
        <w:bottom w:val="none" w:sz="0" w:space="0" w:color="auto"/>
        <w:right w:val="none" w:sz="0" w:space="0" w:color="auto"/>
      </w:divBdr>
    </w:div>
    <w:div w:id="290133831">
      <w:bodyDiv w:val="1"/>
      <w:marLeft w:val="0"/>
      <w:marRight w:val="0"/>
      <w:marTop w:val="0"/>
      <w:marBottom w:val="0"/>
      <w:divBdr>
        <w:top w:val="none" w:sz="0" w:space="0" w:color="auto"/>
        <w:left w:val="none" w:sz="0" w:space="0" w:color="auto"/>
        <w:bottom w:val="none" w:sz="0" w:space="0" w:color="auto"/>
        <w:right w:val="none" w:sz="0" w:space="0" w:color="auto"/>
      </w:divBdr>
    </w:div>
    <w:div w:id="290945813">
      <w:bodyDiv w:val="1"/>
      <w:marLeft w:val="0"/>
      <w:marRight w:val="0"/>
      <w:marTop w:val="0"/>
      <w:marBottom w:val="0"/>
      <w:divBdr>
        <w:top w:val="none" w:sz="0" w:space="0" w:color="auto"/>
        <w:left w:val="none" w:sz="0" w:space="0" w:color="auto"/>
        <w:bottom w:val="none" w:sz="0" w:space="0" w:color="auto"/>
        <w:right w:val="none" w:sz="0" w:space="0" w:color="auto"/>
      </w:divBdr>
    </w:div>
    <w:div w:id="291710813">
      <w:bodyDiv w:val="1"/>
      <w:marLeft w:val="0"/>
      <w:marRight w:val="0"/>
      <w:marTop w:val="0"/>
      <w:marBottom w:val="0"/>
      <w:divBdr>
        <w:top w:val="none" w:sz="0" w:space="0" w:color="auto"/>
        <w:left w:val="none" w:sz="0" w:space="0" w:color="auto"/>
        <w:bottom w:val="none" w:sz="0" w:space="0" w:color="auto"/>
        <w:right w:val="none" w:sz="0" w:space="0" w:color="auto"/>
      </w:divBdr>
    </w:div>
    <w:div w:id="297104280">
      <w:bodyDiv w:val="1"/>
      <w:marLeft w:val="0"/>
      <w:marRight w:val="0"/>
      <w:marTop w:val="0"/>
      <w:marBottom w:val="0"/>
      <w:divBdr>
        <w:top w:val="none" w:sz="0" w:space="0" w:color="auto"/>
        <w:left w:val="none" w:sz="0" w:space="0" w:color="auto"/>
        <w:bottom w:val="none" w:sz="0" w:space="0" w:color="auto"/>
        <w:right w:val="none" w:sz="0" w:space="0" w:color="auto"/>
      </w:divBdr>
    </w:div>
    <w:div w:id="302465466">
      <w:bodyDiv w:val="1"/>
      <w:marLeft w:val="0"/>
      <w:marRight w:val="0"/>
      <w:marTop w:val="0"/>
      <w:marBottom w:val="0"/>
      <w:divBdr>
        <w:top w:val="none" w:sz="0" w:space="0" w:color="auto"/>
        <w:left w:val="none" w:sz="0" w:space="0" w:color="auto"/>
        <w:bottom w:val="none" w:sz="0" w:space="0" w:color="auto"/>
        <w:right w:val="none" w:sz="0" w:space="0" w:color="auto"/>
      </w:divBdr>
    </w:div>
    <w:div w:id="320694226">
      <w:bodyDiv w:val="1"/>
      <w:marLeft w:val="0"/>
      <w:marRight w:val="0"/>
      <w:marTop w:val="0"/>
      <w:marBottom w:val="0"/>
      <w:divBdr>
        <w:top w:val="none" w:sz="0" w:space="0" w:color="auto"/>
        <w:left w:val="none" w:sz="0" w:space="0" w:color="auto"/>
        <w:bottom w:val="none" w:sz="0" w:space="0" w:color="auto"/>
        <w:right w:val="none" w:sz="0" w:space="0" w:color="auto"/>
      </w:divBdr>
    </w:div>
    <w:div w:id="326128980">
      <w:bodyDiv w:val="1"/>
      <w:marLeft w:val="0"/>
      <w:marRight w:val="0"/>
      <w:marTop w:val="0"/>
      <w:marBottom w:val="0"/>
      <w:divBdr>
        <w:top w:val="none" w:sz="0" w:space="0" w:color="auto"/>
        <w:left w:val="none" w:sz="0" w:space="0" w:color="auto"/>
        <w:bottom w:val="none" w:sz="0" w:space="0" w:color="auto"/>
        <w:right w:val="none" w:sz="0" w:space="0" w:color="auto"/>
      </w:divBdr>
    </w:div>
    <w:div w:id="328748990">
      <w:bodyDiv w:val="1"/>
      <w:marLeft w:val="0"/>
      <w:marRight w:val="0"/>
      <w:marTop w:val="0"/>
      <w:marBottom w:val="0"/>
      <w:divBdr>
        <w:top w:val="none" w:sz="0" w:space="0" w:color="auto"/>
        <w:left w:val="none" w:sz="0" w:space="0" w:color="auto"/>
        <w:bottom w:val="none" w:sz="0" w:space="0" w:color="auto"/>
        <w:right w:val="none" w:sz="0" w:space="0" w:color="auto"/>
      </w:divBdr>
    </w:div>
    <w:div w:id="331221085">
      <w:bodyDiv w:val="1"/>
      <w:marLeft w:val="0"/>
      <w:marRight w:val="0"/>
      <w:marTop w:val="0"/>
      <w:marBottom w:val="0"/>
      <w:divBdr>
        <w:top w:val="none" w:sz="0" w:space="0" w:color="auto"/>
        <w:left w:val="none" w:sz="0" w:space="0" w:color="auto"/>
        <w:bottom w:val="none" w:sz="0" w:space="0" w:color="auto"/>
        <w:right w:val="none" w:sz="0" w:space="0" w:color="auto"/>
      </w:divBdr>
    </w:div>
    <w:div w:id="345911544">
      <w:bodyDiv w:val="1"/>
      <w:marLeft w:val="0"/>
      <w:marRight w:val="0"/>
      <w:marTop w:val="0"/>
      <w:marBottom w:val="0"/>
      <w:divBdr>
        <w:top w:val="none" w:sz="0" w:space="0" w:color="auto"/>
        <w:left w:val="none" w:sz="0" w:space="0" w:color="auto"/>
        <w:bottom w:val="none" w:sz="0" w:space="0" w:color="auto"/>
        <w:right w:val="none" w:sz="0" w:space="0" w:color="auto"/>
      </w:divBdr>
    </w:div>
    <w:div w:id="361974585">
      <w:bodyDiv w:val="1"/>
      <w:marLeft w:val="0"/>
      <w:marRight w:val="0"/>
      <w:marTop w:val="0"/>
      <w:marBottom w:val="0"/>
      <w:divBdr>
        <w:top w:val="none" w:sz="0" w:space="0" w:color="auto"/>
        <w:left w:val="none" w:sz="0" w:space="0" w:color="auto"/>
        <w:bottom w:val="none" w:sz="0" w:space="0" w:color="auto"/>
        <w:right w:val="none" w:sz="0" w:space="0" w:color="auto"/>
      </w:divBdr>
    </w:div>
    <w:div w:id="370421462">
      <w:bodyDiv w:val="1"/>
      <w:marLeft w:val="0"/>
      <w:marRight w:val="0"/>
      <w:marTop w:val="0"/>
      <w:marBottom w:val="0"/>
      <w:divBdr>
        <w:top w:val="none" w:sz="0" w:space="0" w:color="auto"/>
        <w:left w:val="none" w:sz="0" w:space="0" w:color="auto"/>
        <w:bottom w:val="none" w:sz="0" w:space="0" w:color="auto"/>
        <w:right w:val="none" w:sz="0" w:space="0" w:color="auto"/>
      </w:divBdr>
    </w:div>
    <w:div w:id="378474953">
      <w:bodyDiv w:val="1"/>
      <w:marLeft w:val="0"/>
      <w:marRight w:val="0"/>
      <w:marTop w:val="0"/>
      <w:marBottom w:val="0"/>
      <w:divBdr>
        <w:top w:val="none" w:sz="0" w:space="0" w:color="auto"/>
        <w:left w:val="none" w:sz="0" w:space="0" w:color="auto"/>
        <w:bottom w:val="none" w:sz="0" w:space="0" w:color="auto"/>
        <w:right w:val="none" w:sz="0" w:space="0" w:color="auto"/>
      </w:divBdr>
    </w:div>
    <w:div w:id="378822822">
      <w:bodyDiv w:val="1"/>
      <w:marLeft w:val="0"/>
      <w:marRight w:val="0"/>
      <w:marTop w:val="0"/>
      <w:marBottom w:val="0"/>
      <w:divBdr>
        <w:top w:val="none" w:sz="0" w:space="0" w:color="auto"/>
        <w:left w:val="none" w:sz="0" w:space="0" w:color="auto"/>
        <w:bottom w:val="none" w:sz="0" w:space="0" w:color="auto"/>
        <w:right w:val="none" w:sz="0" w:space="0" w:color="auto"/>
      </w:divBdr>
    </w:div>
    <w:div w:id="417824566">
      <w:bodyDiv w:val="1"/>
      <w:marLeft w:val="0"/>
      <w:marRight w:val="0"/>
      <w:marTop w:val="0"/>
      <w:marBottom w:val="0"/>
      <w:divBdr>
        <w:top w:val="none" w:sz="0" w:space="0" w:color="auto"/>
        <w:left w:val="none" w:sz="0" w:space="0" w:color="auto"/>
        <w:bottom w:val="none" w:sz="0" w:space="0" w:color="auto"/>
        <w:right w:val="none" w:sz="0" w:space="0" w:color="auto"/>
      </w:divBdr>
    </w:div>
    <w:div w:id="420033077">
      <w:bodyDiv w:val="1"/>
      <w:marLeft w:val="0"/>
      <w:marRight w:val="0"/>
      <w:marTop w:val="0"/>
      <w:marBottom w:val="0"/>
      <w:divBdr>
        <w:top w:val="none" w:sz="0" w:space="0" w:color="auto"/>
        <w:left w:val="none" w:sz="0" w:space="0" w:color="auto"/>
        <w:bottom w:val="none" w:sz="0" w:space="0" w:color="auto"/>
        <w:right w:val="none" w:sz="0" w:space="0" w:color="auto"/>
      </w:divBdr>
    </w:div>
    <w:div w:id="421924517">
      <w:bodyDiv w:val="1"/>
      <w:marLeft w:val="0"/>
      <w:marRight w:val="0"/>
      <w:marTop w:val="0"/>
      <w:marBottom w:val="0"/>
      <w:divBdr>
        <w:top w:val="none" w:sz="0" w:space="0" w:color="auto"/>
        <w:left w:val="none" w:sz="0" w:space="0" w:color="auto"/>
        <w:bottom w:val="none" w:sz="0" w:space="0" w:color="auto"/>
        <w:right w:val="none" w:sz="0" w:space="0" w:color="auto"/>
      </w:divBdr>
    </w:div>
    <w:div w:id="422729680">
      <w:bodyDiv w:val="1"/>
      <w:marLeft w:val="0"/>
      <w:marRight w:val="0"/>
      <w:marTop w:val="0"/>
      <w:marBottom w:val="0"/>
      <w:divBdr>
        <w:top w:val="none" w:sz="0" w:space="0" w:color="auto"/>
        <w:left w:val="none" w:sz="0" w:space="0" w:color="auto"/>
        <w:bottom w:val="none" w:sz="0" w:space="0" w:color="auto"/>
        <w:right w:val="none" w:sz="0" w:space="0" w:color="auto"/>
      </w:divBdr>
    </w:div>
    <w:div w:id="437915827">
      <w:bodyDiv w:val="1"/>
      <w:marLeft w:val="0"/>
      <w:marRight w:val="0"/>
      <w:marTop w:val="0"/>
      <w:marBottom w:val="0"/>
      <w:divBdr>
        <w:top w:val="none" w:sz="0" w:space="0" w:color="auto"/>
        <w:left w:val="none" w:sz="0" w:space="0" w:color="auto"/>
        <w:bottom w:val="none" w:sz="0" w:space="0" w:color="auto"/>
        <w:right w:val="none" w:sz="0" w:space="0" w:color="auto"/>
      </w:divBdr>
    </w:div>
    <w:div w:id="438913623">
      <w:bodyDiv w:val="1"/>
      <w:marLeft w:val="0"/>
      <w:marRight w:val="0"/>
      <w:marTop w:val="0"/>
      <w:marBottom w:val="0"/>
      <w:divBdr>
        <w:top w:val="none" w:sz="0" w:space="0" w:color="auto"/>
        <w:left w:val="none" w:sz="0" w:space="0" w:color="auto"/>
        <w:bottom w:val="none" w:sz="0" w:space="0" w:color="auto"/>
        <w:right w:val="none" w:sz="0" w:space="0" w:color="auto"/>
      </w:divBdr>
    </w:div>
    <w:div w:id="449857905">
      <w:bodyDiv w:val="1"/>
      <w:marLeft w:val="0"/>
      <w:marRight w:val="0"/>
      <w:marTop w:val="0"/>
      <w:marBottom w:val="0"/>
      <w:divBdr>
        <w:top w:val="none" w:sz="0" w:space="0" w:color="auto"/>
        <w:left w:val="none" w:sz="0" w:space="0" w:color="auto"/>
        <w:bottom w:val="none" w:sz="0" w:space="0" w:color="auto"/>
        <w:right w:val="none" w:sz="0" w:space="0" w:color="auto"/>
      </w:divBdr>
    </w:div>
    <w:div w:id="450171047">
      <w:bodyDiv w:val="1"/>
      <w:marLeft w:val="0"/>
      <w:marRight w:val="0"/>
      <w:marTop w:val="0"/>
      <w:marBottom w:val="0"/>
      <w:divBdr>
        <w:top w:val="none" w:sz="0" w:space="0" w:color="auto"/>
        <w:left w:val="none" w:sz="0" w:space="0" w:color="auto"/>
        <w:bottom w:val="none" w:sz="0" w:space="0" w:color="auto"/>
        <w:right w:val="none" w:sz="0" w:space="0" w:color="auto"/>
      </w:divBdr>
    </w:div>
    <w:div w:id="465007104">
      <w:bodyDiv w:val="1"/>
      <w:marLeft w:val="0"/>
      <w:marRight w:val="0"/>
      <w:marTop w:val="0"/>
      <w:marBottom w:val="0"/>
      <w:divBdr>
        <w:top w:val="none" w:sz="0" w:space="0" w:color="auto"/>
        <w:left w:val="none" w:sz="0" w:space="0" w:color="auto"/>
        <w:bottom w:val="none" w:sz="0" w:space="0" w:color="auto"/>
        <w:right w:val="none" w:sz="0" w:space="0" w:color="auto"/>
      </w:divBdr>
    </w:div>
    <w:div w:id="468597704">
      <w:bodyDiv w:val="1"/>
      <w:marLeft w:val="0"/>
      <w:marRight w:val="0"/>
      <w:marTop w:val="0"/>
      <w:marBottom w:val="0"/>
      <w:divBdr>
        <w:top w:val="none" w:sz="0" w:space="0" w:color="auto"/>
        <w:left w:val="none" w:sz="0" w:space="0" w:color="auto"/>
        <w:bottom w:val="none" w:sz="0" w:space="0" w:color="auto"/>
        <w:right w:val="none" w:sz="0" w:space="0" w:color="auto"/>
      </w:divBdr>
    </w:div>
    <w:div w:id="470634526">
      <w:bodyDiv w:val="1"/>
      <w:marLeft w:val="0"/>
      <w:marRight w:val="0"/>
      <w:marTop w:val="0"/>
      <w:marBottom w:val="0"/>
      <w:divBdr>
        <w:top w:val="none" w:sz="0" w:space="0" w:color="auto"/>
        <w:left w:val="none" w:sz="0" w:space="0" w:color="auto"/>
        <w:bottom w:val="none" w:sz="0" w:space="0" w:color="auto"/>
        <w:right w:val="none" w:sz="0" w:space="0" w:color="auto"/>
      </w:divBdr>
    </w:div>
    <w:div w:id="471799045">
      <w:bodyDiv w:val="1"/>
      <w:marLeft w:val="0"/>
      <w:marRight w:val="0"/>
      <w:marTop w:val="0"/>
      <w:marBottom w:val="0"/>
      <w:divBdr>
        <w:top w:val="none" w:sz="0" w:space="0" w:color="auto"/>
        <w:left w:val="none" w:sz="0" w:space="0" w:color="auto"/>
        <w:bottom w:val="none" w:sz="0" w:space="0" w:color="auto"/>
        <w:right w:val="none" w:sz="0" w:space="0" w:color="auto"/>
      </w:divBdr>
    </w:div>
    <w:div w:id="472064989">
      <w:bodyDiv w:val="1"/>
      <w:marLeft w:val="0"/>
      <w:marRight w:val="0"/>
      <w:marTop w:val="0"/>
      <w:marBottom w:val="0"/>
      <w:divBdr>
        <w:top w:val="none" w:sz="0" w:space="0" w:color="auto"/>
        <w:left w:val="none" w:sz="0" w:space="0" w:color="auto"/>
        <w:bottom w:val="none" w:sz="0" w:space="0" w:color="auto"/>
        <w:right w:val="none" w:sz="0" w:space="0" w:color="auto"/>
      </w:divBdr>
    </w:div>
    <w:div w:id="482089777">
      <w:bodyDiv w:val="1"/>
      <w:marLeft w:val="0"/>
      <w:marRight w:val="0"/>
      <w:marTop w:val="0"/>
      <w:marBottom w:val="0"/>
      <w:divBdr>
        <w:top w:val="none" w:sz="0" w:space="0" w:color="auto"/>
        <w:left w:val="none" w:sz="0" w:space="0" w:color="auto"/>
        <w:bottom w:val="none" w:sz="0" w:space="0" w:color="auto"/>
        <w:right w:val="none" w:sz="0" w:space="0" w:color="auto"/>
      </w:divBdr>
    </w:div>
    <w:div w:id="487522500">
      <w:bodyDiv w:val="1"/>
      <w:marLeft w:val="0"/>
      <w:marRight w:val="0"/>
      <w:marTop w:val="0"/>
      <w:marBottom w:val="0"/>
      <w:divBdr>
        <w:top w:val="none" w:sz="0" w:space="0" w:color="auto"/>
        <w:left w:val="none" w:sz="0" w:space="0" w:color="auto"/>
        <w:bottom w:val="none" w:sz="0" w:space="0" w:color="auto"/>
        <w:right w:val="none" w:sz="0" w:space="0" w:color="auto"/>
      </w:divBdr>
    </w:div>
    <w:div w:id="489635879">
      <w:bodyDiv w:val="1"/>
      <w:marLeft w:val="0"/>
      <w:marRight w:val="0"/>
      <w:marTop w:val="0"/>
      <w:marBottom w:val="0"/>
      <w:divBdr>
        <w:top w:val="none" w:sz="0" w:space="0" w:color="auto"/>
        <w:left w:val="none" w:sz="0" w:space="0" w:color="auto"/>
        <w:bottom w:val="none" w:sz="0" w:space="0" w:color="auto"/>
        <w:right w:val="none" w:sz="0" w:space="0" w:color="auto"/>
      </w:divBdr>
    </w:div>
    <w:div w:id="492724162">
      <w:bodyDiv w:val="1"/>
      <w:marLeft w:val="0"/>
      <w:marRight w:val="0"/>
      <w:marTop w:val="0"/>
      <w:marBottom w:val="0"/>
      <w:divBdr>
        <w:top w:val="none" w:sz="0" w:space="0" w:color="auto"/>
        <w:left w:val="none" w:sz="0" w:space="0" w:color="auto"/>
        <w:bottom w:val="none" w:sz="0" w:space="0" w:color="auto"/>
        <w:right w:val="none" w:sz="0" w:space="0" w:color="auto"/>
      </w:divBdr>
    </w:div>
    <w:div w:id="494954243">
      <w:bodyDiv w:val="1"/>
      <w:marLeft w:val="0"/>
      <w:marRight w:val="0"/>
      <w:marTop w:val="0"/>
      <w:marBottom w:val="0"/>
      <w:divBdr>
        <w:top w:val="none" w:sz="0" w:space="0" w:color="auto"/>
        <w:left w:val="none" w:sz="0" w:space="0" w:color="auto"/>
        <w:bottom w:val="none" w:sz="0" w:space="0" w:color="auto"/>
        <w:right w:val="none" w:sz="0" w:space="0" w:color="auto"/>
      </w:divBdr>
    </w:div>
    <w:div w:id="510918827">
      <w:bodyDiv w:val="1"/>
      <w:marLeft w:val="0"/>
      <w:marRight w:val="0"/>
      <w:marTop w:val="0"/>
      <w:marBottom w:val="0"/>
      <w:divBdr>
        <w:top w:val="none" w:sz="0" w:space="0" w:color="auto"/>
        <w:left w:val="none" w:sz="0" w:space="0" w:color="auto"/>
        <w:bottom w:val="none" w:sz="0" w:space="0" w:color="auto"/>
        <w:right w:val="none" w:sz="0" w:space="0" w:color="auto"/>
      </w:divBdr>
    </w:div>
    <w:div w:id="514538802">
      <w:bodyDiv w:val="1"/>
      <w:marLeft w:val="0"/>
      <w:marRight w:val="0"/>
      <w:marTop w:val="0"/>
      <w:marBottom w:val="0"/>
      <w:divBdr>
        <w:top w:val="none" w:sz="0" w:space="0" w:color="auto"/>
        <w:left w:val="none" w:sz="0" w:space="0" w:color="auto"/>
        <w:bottom w:val="none" w:sz="0" w:space="0" w:color="auto"/>
        <w:right w:val="none" w:sz="0" w:space="0" w:color="auto"/>
      </w:divBdr>
    </w:div>
    <w:div w:id="516430809">
      <w:bodyDiv w:val="1"/>
      <w:marLeft w:val="0"/>
      <w:marRight w:val="0"/>
      <w:marTop w:val="0"/>
      <w:marBottom w:val="0"/>
      <w:divBdr>
        <w:top w:val="none" w:sz="0" w:space="0" w:color="auto"/>
        <w:left w:val="none" w:sz="0" w:space="0" w:color="auto"/>
        <w:bottom w:val="none" w:sz="0" w:space="0" w:color="auto"/>
        <w:right w:val="none" w:sz="0" w:space="0" w:color="auto"/>
      </w:divBdr>
      <w:divsChild>
        <w:div w:id="331026964">
          <w:marLeft w:val="-70"/>
          <w:marRight w:val="0"/>
          <w:marTop w:val="0"/>
          <w:marBottom w:val="0"/>
          <w:divBdr>
            <w:top w:val="none" w:sz="0" w:space="0" w:color="auto"/>
            <w:left w:val="none" w:sz="0" w:space="0" w:color="auto"/>
            <w:bottom w:val="none" w:sz="0" w:space="0" w:color="auto"/>
            <w:right w:val="none" w:sz="0" w:space="0" w:color="auto"/>
          </w:divBdr>
        </w:div>
      </w:divsChild>
    </w:div>
    <w:div w:id="521936637">
      <w:bodyDiv w:val="1"/>
      <w:marLeft w:val="0"/>
      <w:marRight w:val="0"/>
      <w:marTop w:val="0"/>
      <w:marBottom w:val="0"/>
      <w:divBdr>
        <w:top w:val="none" w:sz="0" w:space="0" w:color="auto"/>
        <w:left w:val="none" w:sz="0" w:space="0" w:color="auto"/>
        <w:bottom w:val="none" w:sz="0" w:space="0" w:color="auto"/>
        <w:right w:val="none" w:sz="0" w:space="0" w:color="auto"/>
      </w:divBdr>
    </w:div>
    <w:div w:id="525751946">
      <w:bodyDiv w:val="1"/>
      <w:marLeft w:val="0"/>
      <w:marRight w:val="0"/>
      <w:marTop w:val="0"/>
      <w:marBottom w:val="0"/>
      <w:divBdr>
        <w:top w:val="none" w:sz="0" w:space="0" w:color="auto"/>
        <w:left w:val="none" w:sz="0" w:space="0" w:color="auto"/>
        <w:bottom w:val="none" w:sz="0" w:space="0" w:color="auto"/>
        <w:right w:val="none" w:sz="0" w:space="0" w:color="auto"/>
      </w:divBdr>
    </w:div>
    <w:div w:id="526601905">
      <w:bodyDiv w:val="1"/>
      <w:marLeft w:val="0"/>
      <w:marRight w:val="0"/>
      <w:marTop w:val="0"/>
      <w:marBottom w:val="0"/>
      <w:divBdr>
        <w:top w:val="none" w:sz="0" w:space="0" w:color="auto"/>
        <w:left w:val="none" w:sz="0" w:space="0" w:color="auto"/>
        <w:bottom w:val="none" w:sz="0" w:space="0" w:color="auto"/>
        <w:right w:val="none" w:sz="0" w:space="0" w:color="auto"/>
      </w:divBdr>
    </w:div>
    <w:div w:id="529228097">
      <w:bodyDiv w:val="1"/>
      <w:marLeft w:val="0"/>
      <w:marRight w:val="0"/>
      <w:marTop w:val="0"/>
      <w:marBottom w:val="0"/>
      <w:divBdr>
        <w:top w:val="none" w:sz="0" w:space="0" w:color="auto"/>
        <w:left w:val="none" w:sz="0" w:space="0" w:color="auto"/>
        <w:bottom w:val="none" w:sz="0" w:space="0" w:color="auto"/>
        <w:right w:val="none" w:sz="0" w:space="0" w:color="auto"/>
      </w:divBdr>
    </w:div>
    <w:div w:id="529612502">
      <w:bodyDiv w:val="1"/>
      <w:marLeft w:val="0"/>
      <w:marRight w:val="0"/>
      <w:marTop w:val="0"/>
      <w:marBottom w:val="0"/>
      <w:divBdr>
        <w:top w:val="none" w:sz="0" w:space="0" w:color="auto"/>
        <w:left w:val="none" w:sz="0" w:space="0" w:color="auto"/>
        <w:bottom w:val="none" w:sz="0" w:space="0" w:color="auto"/>
        <w:right w:val="none" w:sz="0" w:space="0" w:color="auto"/>
      </w:divBdr>
    </w:div>
    <w:div w:id="529994498">
      <w:bodyDiv w:val="1"/>
      <w:marLeft w:val="0"/>
      <w:marRight w:val="0"/>
      <w:marTop w:val="0"/>
      <w:marBottom w:val="0"/>
      <w:divBdr>
        <w:top w:val="none" w:sz="0" w:space="0" w:color="auto"/>
        <w:left w:val="none" w:sz="0" w:space="0" w:color="auto"/>
        <w:bottom w:val="none" w:sz="0" w:space="0" w:color="auto"/>
        <w:right w:val="none" w:sz="0" w:space="0" w:color="auto"/>
      </w:divBdr>
    </w:div>
    <w:div w:id="544223941">
      <w:bodyDiv w:val="1"/>
      <w:marLeft w:val="0"/>
      <w:marRight w:val="0"/>
      <w:marTop w:val="0"/>
      <w:marBottom w:val="0"/>
      <w:divBdr>
        <w:top w:val="none" w:sz="0" w:space="0" w:color="auto"/>
        <w:left w:val="none" w:sz="0" w:space="0" w:color="auto"/>
        <w:bottom w:val="none" w:sz="0" w:space="0" w:color="auto"/>
        <w:right w:val="none" w:sz="0" w:space="0" w:color="auto"/>
      </w:divBdr>
    </w:div>
    <w:div w:id="546256637">
      <w:bodyDiv w:val="1"/>
      <w:marLeft w:val="0"/>
      <w:marRight w:val="0"/>
      <w:marTop w:val="0"/>
      <w:marBottom w:val="0"/>
      <w:divBdr>
        <w:top w:val="none" w:sz="0" w:space="0" w:color="auto"/>
        <w:left w:val="none" w:sz="0" w:space="0" w:color="auto"/>
        <w:bottom w:val="none" w:sz="0" w:space="0" w:color="auto"/>
        <w:right w:val="none" w:sz="0" w:space="0" w:color="auto"/>
      </w:divBdr>
    </w:div>
    <w:div w:id="562106268">
      <w:bodyDiv w:val="1"/>
      <w:marLeft w:val="0"/>
      <w:marRight w:val="0"/>
      <w:marTop w:val="0"/>
      <w:marBottom w:val="0"/>
      <w:divBdr>
        <w:top w:val="none" w:sz="0" w:space="0" w:color="auto"/>
        <w:left w:val="none" w:sz="0" w:space="0" w:color="auto"/>
        <w:bottom w:val="none" w:sz="0" w:space="0" w:color="auto"/>
        <w:right w:val="none" w:sz="0" w:space="0" w:color="auto"/>
      </w:divBdr>
    </w:div>
    <w:div w:id="566191226">
      <w:bodyDiv w:val="1"/>
      <w:marLeft w:val="0"/>
      <w:marRight w:val="0"/>
      <w:marTop w:val="0"/>
      <w:marBottom w:val="0"/>
      <w:divBdr>
        <w:top w:val="none" w:sz="0" w:space="0" w:color="auto"/>
        <w:left w:val="none" w:sz="0" w:space="0" w:color="auto"/>
        <w:bottom w:val="none" w:sz="0" w:space="0" w:color="auto"/>
        <w:right w:val="none" w:sz="0" w:space="0" w:color="auto"/>
      </w:divBdr>
    </w:div>
    <w:div w:id="570241283">
      <w:bodyDiv w:val="1"/>
      <w:marLeft w:val="0"/>
      <w:marRight w:val="0"/>
      <w:marTop w:val="0"/>
      <w:marBottom w:val="0"/>
      <w:divBdr>
        <w:top w:val="none" w:sz="0" w:space="0" w:color="auto"/>
        <w:left w:val="none" w:sz="0" w:space="0" w:color="auto"/>
        <w:bottom w:val="none" w:sz="0" w:space="0" w:color="auto"/>
        <w:right w:val="none" w:sz="0" w:space="0" w:color="auto"/>
      </w:divBdr>
    </w:div>
    <w:div w:id="580650231">
      <w:bodyDiv w:val="1"/>
      <w:marLeft w:val="0"/>
      <w:marRight w:val="0"/>
      <w:marTop w:val="0"/>
      <w:marBottom w:val="0"/>
      <w:divBdr>
        <w:top w:val="none" w:sz="0" w:space="0" w:color="auto"/>
        <w:left w:val="none" w:sz="0" w:space="0" w:color="auto"/>
        <w:bottom w:val="none" w:sz="0" w:space="0" w:color="auto"/>
        <w:right w:val="none" w:sz="0" w:space="0" w:color="auto"/>
      </w:divBdr>
    </w:div>
    <w:div w:id="582884126">
      <w:bodyDiv w:val="1"/>
      <w:marLeft w:val="0"/>
      <w:marRight w:val="0"/>
      <w:marTop w:val="0"/>
      <w:marBottom w:val="0"/>
      <w:divBdr>
        <w:top w:val="none" w:sz="0" w:space="0" w:color="auto"/>
        <w:left w:val="none" w:sz="0" w:space="0" w:color="auto"/>
        <w:bottom w:val="none" w:sz="0" w:space="0" w:color="auto"/>
        <w:right w:val="none" w:sz="0" w:space="0" w:color="auto"/>
      </w:divBdr>
    </w:div>
    <w:div w:id="590161786">
      <w:bodyDiv w:val="1"/>
      <w:marLeft w:val="0"/>
      <w:marRight w:val="0"/>
      <w:marTop w:val="0"/>
      <w:marBottom w:val="0"/>
      <w:divBdr>
        <w:top w:val="none" w:sz="0" w:space="0" w:color="auto"/>
        <w:left w:val="none" w:sz="0" w:space="0" w:color="auto"/>
        <w:bottom w:val="none" w:sz="0" w:space="0" w:color="auto"/>
        <w:right w:val="none" w:sz="0" w:space="0" w:color="auto"/>
      </w:divBdr>
    </w:div>
    <w:div w:id="602805747">
      <w:bodyDiv w:val="1"/>
      <w:marLeft w:val="0"/>
      <w:marRight w:val="0"/>
      <w:marTop w:val="0"/>
      <w:marBottom w:val="0"/>
      <w:divBdr>
        <w:top w:val="none" w:sz="0" w:space="0" w:color="auto"/>
        <w:left w:val="none" w:sz="0" w:space="0" w:color="auto"/>
        <w:bottom w:val="none" w:sz="0" w:space="0" w:color="auto"/>
        <w:right w:val="none" w:sz="0" w:space="0" w:color="auto"/>
      </w:divBdr>
    </w:div>
    <w:div w:id="604535921">
      <w:bodyDiv w:val="1"/>
      <w:marLeft w:val="0"/>
      <w:marRight w:val="0"/>
      <w:marTop w:val="0"/>
      <w:marBottom w:val="0"/>
      <w:divBdr>
        <w:top w:val="none" w:sz="0" w:space="0" w:color="auto"/>
        <w:left w:val="none" w:sz="0" w:space="0" w:color="auto"/>
        <w:bottom w:val="none" w:sz="0" w:space="0" w:color="auto"/>
        <w:right w:val="none" w:sz="0" w:space="0" w:color="auto"/>
      </w:divBdr>
    </w:div>
    <w:div w:id="620575596">
      <w:bodyDiv w:val="1"/>
      <w:marLeft w:val="0"/>
      <w:marRight w:val="0"/>
      <w:marTop w:val="0"/>
      <w:marBottom w:val="0"/>
      <w:divBdr>
        <w:top w:val="none" w:sz="0" w:space="0" w:color="auto"/>
        <w:left w:val="none" w:sz="0" w:space="0" w:color="auto"/>
        <w:bottom w:val="none" w:sz="0" w:space="0" w:color="auto"/>
        <w:right w:val="none" w:sz="0" w:space="0" w:color="auto"/>
      </w:divBdr>
    </w:div>
    <w:div w:id="622227518">
      <w:bodyDiv w:val="1"/>
      <w:marLeft w:val="0"/>
      <w:marRight w:val="0"/>
      <w:marTop w:val="0"/>
      <w:marBottom w:val="0"/>
      <w:divBdr>
        <w:top w:val="none" w:sz="0" w:space="0" w:color="auto"/>
        <w:left w:val="none" w:sz="0" w:space="0" w:color="auto"/>
        <w:bottom w:val="none" w:sz="0" w:space="0" w:color="auto"/>
        <w:right w:val="none" w:sz="0" w:space="0" w:color="auto"/>
      </w:divBdr>
    </w:div>
    <w:div w:id="626276643">
      <w:bodyDiv w:val="1"/>
      <w:marLeft w:val="0"/>
      <w:marRight w:val="0"/>
      <w:marTop w:val="0"/>
      <w:marBottom w:val="0"/>
      <w:divBdr>
        <w:top w:val="none" w:sz="0" w:space="0" w:color="auto"/>
        <w:left w:val="none" w:sz="0" w:space="0" w:color="auto"/>
        <w:bottom w:val="none" w:sz="0" w:space="0" w:color="auto"/>
        <w:right w:val="none" w:sz="0" w:space="0" w:color="auto"/>
      </w:divBdr>
    </w:div>
    <w:div w:id="627245498">
      <w:bodyDiv w:val="1"/>
      <w:marLeft w:val="0"/>
      <w:marRight w:val="0"/>
      <w:marTop w:val="0"/>
      <w:marBottom w:val="0"/>
      <w:divBdr>
        <w:top w:val="none" w:sz="0" w:space="0" w:color="auto"/>
        <w:left w:val="none" w:sz="0" w:space="0" w:color="auto"/>
        <w:bottom w:val="none" w:sz="0" w:space="0" w:color="auto"/>
        <w:right w:val="none" w:sz="0" w:space="0" w:color="auto"/>
      </w:divBdr>
    </w:div>
    <w:div w:id="646280949">
      <w:bodyDiv w:val="1"/>
      <w:marLeft w:val="0"/>
      <w:marRight w:val="0"/>
      <w:marTop w:val="0"/>
      <w:marBottom w:val="0"/>
      <w:divBdr>
        <w:top w:val="none" w:sz="0" w:space="0" w:color="auto"/>
        <w:left w:val="none" w:sz="0" w:space="0" w:color="auto"/>
        <w:bottom w:val="none" w:sz="0" w:space="0" w:color="auto"/>
        <w:right w:val="none" w:sz="0" w:space="0" w:color="auto"/>
      </w:divBdr>
    </w:div>
    <w:div w:id="647708982">
      <w:bodyDiv w:val="1"/>
      <w:marLeft w:val="0"/>
      <w:marRight w:val="0"/>
      <w:marTop w:val="0"/>
      <w:marBottom w:val="0"/>
      <w:divBdr>
        <w:top w:val="none" w:sz="0" w:space="0" w:color="auto"/>
        <w:left w:val="none" w:sz="0" w:space="0" w:color="auto"/>
        <w:bottom w:val="none" w:sz="0" w:space="0" w:color="auto"/>
        <w:right w:val="none" w:sz="0" w:space="0" w:color="auto"/>
      </w:divBdr>
    </w:div>
    <w:div w:id="660423768">
      <w:bodyDiv w:val="1"/>
      <w:marLeft w:val="0"/>
      <w:marRight w:val="0"/>
      <w:marTop w:val="0"/>
      <w:marBottom w:val="0"/>
      <w:divBdr>
        <w:top w:val="none" w:sz="0" w:space="0" w:color="auto"/>
        <w:left w:val="none" w:sz="0" w:space="0" w:color="auto"/>
        <w:bottom w:val="none" w:sz="0" w:space="0" w:color="auto"/>
        <w:right w:val="none" w:sz="0" w:space="0" w:color="auto"/>
      </w:divBdr>
    </w:div>
    <w:div w:id="669791752">
      <w:bodyDiv w:val="1"/>
      <w:marLeft w:val="0"/>
      <w:marRight w:val="0"/>
      <w:marTop w:val="0"/>
      <w:marBottom w:val="0"/>
      <w:divBdr>
        <w:top w:val="none" w:sz="0" w:space="0" w:color="auto"/>
        <w:left w:val="none" w:sz="0" w:space="0" w:color="auto"/>
        <w:bottom w:val="none" w:sz="0" w:space="0" w:color="auto"/>
        <w:right w:val="none" w:sz="0" w:space="0" w:color="auto"/>
      </w:divBdr>
    </w:div>
    <w:div w:id="672604995">
      <w:bodyDiv w:val="1"/>
      <w:marLeft w:val="0"/>
      <w:marRight w:val="0"/>
      <w:marTop w:val="0"/>
      <w:marBottom w:val="0"/>
      <w:divBdr>
        <w:top w:val="none" w:sz="0" w:space="0" w:color="auto"/>
        <w:left w:val="none" w:sz="0" w:space="0" w:color="auto"/>
        <w:bottom w:val="none" w:sz="0" w:space="0" w:color="auto"/>
        <w:right w:val="none" w:sz="0" w:space="0" w:color="auto"/>
      </w:divBdr>
    </w:div>
    <w:div w:id="681706801">
      <w:bodyDiv w:val="1"/>
      <w:marLeft w:val="0"/>
      <w:marRight w:val="0"/>
      <w:marTop w:val="0"/>
      <w:marBottom w:val="0"/>
      <w:divBdr>
        <w:top w:val="none" w:sz="0" w:space="0" w:color="auto"/>
        <w:left w:val="none" w:sz="0" w:space="0" w:color="auto"/>
        <w:bottom w:val="none" w:sz="0" w:space="0" w:color="auto"/>
        <w:right w:val="none" w:sz="0" w:space="0" w:color="auto"/>
      </w:divBdr>
    </w:div>
    <w:div w:id="690180367">
      <w:bodyDiv w:val="1"/>
      <w:marLeft w:val="0"/>
      <w:marRight w:val="0"/>
      <w:marTop w:val="0"/>
      <w:marBottom w:val="0"/>
      <w:divBdr>
        <w:top w:val="none" w:sz="0" w:space="0" w:color="auto"/>
        <w:left w:val="none" w:sz="0" w:space="0" w:color="auto"/>
        <w:bottom w:val="none" w:sz="0" w:space="0" w:color="auto"/>
        <w:right w:val="none" w:sz="0" w:space="0" w:color="auto"/>
      </w:divBdr>
    </w:div>
    <w:div w:id="690302828">
      <w:bodyDiv w:val="1"/>
      <w:marLeft w:val="0"/>
      <w:marRight w:val="0"/>
      <w:marTop w:val="0"/>
      <w:marBottom w:val="0"/>
      <w:divBdr>
        <w:top w:val="none" w:sz="0" w:space="0" w:color="auto"/>
        <w:left w:val="none" w:sz="0" w:space="0" w:color="auto"/>
        <w:bottom w:val="none" w:sz="0" w:space="0" w:color="auto"/>
        <w:right w:val="none" w:sz="0" w:space="0" w:color="auto"/>
      </w:divBdr>
    </w:div>
    <w:div w:id="706565262">
      <w:bodyDiv w:val="1"/>
      <w:marLeft w:val="0"/>
      <w:marRight w:val="0"/>
      <w:marTop w:val="0"/>
      <w:marBottom w:val="0"/>
      <w:divBdr>
        <w:top w:val="none" w:sz="0" w:space="0" w:color="auto"/>
        <w:left w:val="none" w:sz="0" w:space="0" w:color="auto"/>
        <w:bottom w:val="none" w:sz="0" w:space="0" w:color="auto"/>
        <w:right w:val="none" w:sz="0" w:space="0" w:color="auto"/>
      </w:divBdr>
    </w:div>
    <w:div w:id="716125498">
      <w:bodyDiv w:val="1"/>
      <w:marLeft w:val="0"/>
      <w:marRight w:val="0"/>
      <w:marTop w:val="0"/>
      <w:marBottom w:val="0"/>
      <w:divBdr>
        <w:top w:val="none" w:sz="0" w:space="0" w:color="auto"/>
        <w:left w:val="none" w:sz="0" w:space="0" w:color="auto"/>
        <w:bottom w:val="none" w:sz="0" w:space="0" w:color="auto"/>
        <w:right w:val="none" w:sz="0" w:space="0" w:color="auto"/>
      </w:divBdr>
    </w:div>
    <w:div w:id="727194140">
      <w:bodyDiv w:val="1"/>
      <w:marLeft w:val="0"/>
      <w:marRight w:val="0"/>
      <w:marTop w:val="0"/>
      <w:marBottom w:val="0"/>
      <w:divBdr>
        <w:top w:val="none" w:sz="0" w:space="0" w:color="auto"/>
        <w:left w:val="none" w:sz="0" w:space="0" w:color="auto"/>
        <w:bottom w:val="none" w:sz="0" w:space="0" w:color="auto"/>
        <w:right w:val="none" w:sz="0" w:space="0" w:color="auto"/>
      </w:divBdr>
    </w:div>
    <w:div w:id="733285007">
      <w:bodyDiv w:val="1"/>
      <w:marLeft w:val="0"/>
      <w:marRight w:val="0"/>
      <w:marTop w:val="0"/>
      <w:marBottom w:val="0"/>
      <w:divBdr>
        <w:top w:val="none" w:sz="0" w:space="0" w:color="auto"/>
        <w:left w:val="none" w:sz="0" w:space="0" w:color="auto"/>
        <w:bottom w:val="none" w:sz="0" w:space="0" w:color="auto"/>
        <w:right w:val="none" w:sz="0" w:space="0" w:color="auto"/>
      </w:divBdr>
    </w:div>
    <w:div w:id="740761235">
      <w:bodyDiv w:val="1"/>
      <w:marLeft w:val="0"/>
      <w:marRight w:val="0"/>
      <w:marTop w:val="0"/>
      <w:marBottom w:val="0"/>
      <w:divBdr>
        <w:top w:val="none" w:sz="0" w:space="0" w:color="auto"/>
        <w:left w:val="none" w:sz="0" w:space="0" w:color="auto"/>
        <w:bottom w:val="none" w:sz="0" w:space="0" w:color="auto"/>
        <w:right w:val="none" w:sz="0" w:space="0" w:color="auto"/>
      </w:divBdr>
    </w:div>
    <w:div w:id="745346439">
      <w:bodyDiv w:val="1"/>
      <w:marLeft w:val="0"/>
      <w:marRight w:val="0"/>
      <w:marTop w:val="0"/>
      <w:marBottom w:val="0"/>
      <w:divBdr>
        <w:top w:val="none" w:sz="0" w:space="0" w:color="auto"/>
        <w:left w:val="none" w:sz="0" w:space="0" w:color="auto"/>
        <w:bottom w:val="none" w:sz="0" w:space="0" w:color="auto"/>
        <w:right w:val="none" w:sz="0" w:space="0" w:color="auto"/>
      </w:divBdr>
    </w:div>
    <w:div w:id="748426763">
      <w:bodyDiv w:val="1"/>
      <w:marLeft w:val="0"/>
      <w:marRight w:val="0"/>
      <w:marTop w:val="0"/>
      <w:marBottom w:val="0"/>
      <w:divBdr>
        <w:top w:val="none" w:sz="0" w:space="0" w:color="auto"/>
        <w:left w:val="none" w:sz="0" w:space="0" w:color="auto"/>
        <w:bottom w:val="none" w:sz="0" w:space="0" w:color="auto"/>
        <w:right w:val="none" w:sz="0" w:space="0" w:color="auto"/>
      </w:divBdr>
    </w:div>
    <w:div w:id="752239317">
      <w:bodyDiv w:val="1"/>
      <w:marLeft w:val="0"/>
      <w:marRight w:val="0"/>
      <w:marTop w:val="0"/>
      <w:marBottom w:val="0"/>
      <w:divBdr>
        <w:top w:val="none" w:sz="0" w:space="0" w:color="auto"/>
        <w:left w:val="none" w:sz="0" w:space="0" w:color="auto"/>
        <w:bottom w:val="none" w:sz="0" w:space="0" w:color="auto"/>
        <w:right w:val="none" w:sz="0" w:space="0" w:color="auto"/>
      </w:divBdr>
    </w:div>
    <w:div w:id="752506970">
      <w:bodyDiv w:val="1"/>
      <w:marLeft w:val="0"/>
      <w:marRight w:val="0"/>
      <w:marTop w:val="0"/>
      <w:marBottom w:val="0"/>
      <w:divBdr>
        <w:top w:val="none" w:sz="0" w:space="0" w:color="auto"/>
        <w:left w:val="none" w:sz="0" w:space="0" w:color="auto"/>
        <w:bottom w:val="none" w:sz="0" w:space="0" w:color="auto"/>
        <w:right w:val="none" w:sz="0" w:space="0" w:color="auto"/>
      </w:divBdr>
    </w:div>
    <w:div w:id="761221825">
      <w:bodyDiv w:val="1"/>
      <w:marLeft w:val="0"/>
      <w:marRight w:val="0"/>
      <w:marTop w:val="0"/>
      <w:marBottom w:val="0"/>
      <w:divBdr>
        <w:top w:val="none" w:sz="0" w:space="0" w:color="auto"/>
        <w:left w:val="none" w:sz="0" w:space="0" w:color="auto"/>
        <w:bottom w:val="none" w:sz="0" w:space="0" w:color="auto"/>
        <w:right w:val="none" w:sz="0" w:space="0" w:color="auto"/>
      </w:divBdr>
    </w:div>
    <w:div w:id="762654833">
      <w:bodyDiv w:val="1"/>
      <w:marLeft w:val="0"/>
      <w:marRight w:val="0"/>
      <w:marTop w:val="0"/>
      <w:marBottom w:val="0"/>
      <w:divBdr>
        <w:top w:val="none" w:sz="0" w:space="0" w:color="auto"/>
        <w:left w:val="none" w:sz="0" w:space="0" w:color="auto"/>
        <w:bottom w:val="none" w:sz="0" w:space="0" w:color="auto"/>
        <w:right w:val="none" w:sz="0" w:space="0" w:color="auto"/>
      </w:divBdr>
    </w:div>
    <w:div w:id="763067883">
      <w:bodyDiv w:val="1"/>
      <w:marLeft w:val="0"/>
      <w:marRight w:val="0"/>
      <w:marTop w:val="0"/>
      <w:marBottom w:val="0"/>
      <w:divBdr>
        <w:top w:val="none" w:sz="0" w:space="0" w:color="auto"/>
        <w:left w:val="none" w:sz="0" w:space="0" w:color="auto"/>
        <w:bottom w:val="none" w:sz="0" w:space="0" w:color="auto"/>
        <w:right w:val="none" w:sz="0" w:space="0" w:color="auto"/>
      </w:divBdr>
    </w:div>
    <w:div w:id="767386489">
      <w:bodyDiv w:val="1"/>
      <w:marLeft w:val="0"/>
      <w:marRight w:val="0"/>
      <w:marTop w:val="0"/>
      <w:marBottom w:val="0"/>
      <w:divBdr>
        <w:top w:val="none" w:sz="0" w:space="0" w:color="auto"/>
        <w:left w:val="none" w:sz="0" w:space="0" w:color="auto"/>
        <w:bottom w:val="none" w:sz="0" w:space="0" w:color="auto"/>
        <w:right w:val="none" w:sz="0" w:space="0" w:color="auto"/>
      </w:divBdr>
    </w:div>
    <w:div w:id="768963604">
      <w:bodyDiv w:val="1"/>
      <w:marLeft w:val="0"/>
      <w:marRight w:val="0"/>
      <w:marTop w:val="0"/>
      <w:marBottom w:val="0"/>
      <w:divBdr>
        <w:top w:val="none" w:sz="0" w:space="0" w:color="auto"/>
        <w:left w:val="none" w:sz="0" w:space="0" w:color="auto"/>
        <w:bottom w:val="none" w:sz="0" w:space="0" w:color="auto"/>
        <w:right w:val="none" w:sz="0" w:space="0" w:color="auto"/>
      </w:divBdr>
    </w:div>
    <w:div w:id="770321660">
      <w:bodyDiv w:val="1"/>
      <w:marLeft w:val="0"/>
      <w:marRight w:val="0"/>
      <w:marTop w:val="0"/>
      <w:marBottom w:val="0"/>
      <w:divBdr>
        <w:top w:val="none" w:sz="0" w:space="0" w:color="auto"/>
        <w:left w:val="none" w:sz="0" w:space="0" w:color="auto"/>
        <w:bottom w:val="none" w:sz="0" w:space="0" w:color="auto"/>
        <w:right w:val="none" w:sz="0" w:space="0" w:color="auto"/>
      </w:divBdr>
    </w:div>
    <w:div w:id="770904458">
      <w:bodyDiv w:val="1"/>
      <w:marLeft w:val="0"/>
      <w:marRight w:val="0"/>
      <w:marTop w:val="0"/>
      <w:marBottom w:val="0"/>
      <w:divBdr>
        <w:top w:val="none" w:sz="0" w:space="0" w:color="auto"/>
        <w:left w:val="none" w:sz="0" w:space="0" w:color="auto"/>
        <w:bottom w:val="none" w:sz="0" w:space="0" w:color="auto"/>
        <w:right w:val="none" w:sz="0" w:space="0" w:color="auto"/>
      </w:divBdr>
    </w:div>
    <w:div w:id="773327378">
      <w:bodyDiv w:val="1"/>
      <w:marLeft w:val="0"/>
      <w:marRight w:val="0"/>
      <w:marTop w:val="0"/>
      <w:marBottom w:val="0"/>
      <w:divBdr>
        <w:top w:val="none" w:sz="0" w:space="0" w:color="auto"/>
        <w:left w:val="none" w:sz="0" w:space="0" w:color="auto"/>
        <w:bottom w:val="none" w:sz="0" w:space="0" w:color="auto"/>
        <w:right w:val="none" w:sz="0" w:space="0" w:color="auto"/>
      </w:divBdr>
      <w:divsChild>
        <w:div w:id="1450779211">
          <w:marLeft w:val="-70"/>
          <w:marRight w:val="0"/>
          <w:marTop w:val="0"/>
          <w:marBottom w:val="0"/>
          <w:divBdr>
            <w:top w:val="none" w:sz="0" w:space="0" w:color="auto"/>
            <w:left w:val="none" w:sz="0" w:space="0" w:color="auto"/>
            <w:bottom w:val="none" w:sz="0" w:space="0" w:color="auto"/>
            <w:right w:val="none" w:sz="0" w:space="0" w:color="auto"/>
          </w:divBdr>
        </w:div>
      </w:divsChild>
    </w:div>
    <w:div w:id="788166304">
      <w:bodyDiv w:val="1"/>
      <w:marLeft w:val="0"/>
      <w:marRight w:val="0"/>
      <w:marTop w:val="0"/>
      <w:marBottom w:val="0"/>
      <w:divBdr>
        <w:top w:val="none" w:sz="0" w:space="0" w:color="auto"/>
        <w:left w:val="none" w:sz="0" w:space="0" w:color="auto"/>
        <w:bottom w:val="none" w:sz="0" w:space="0" w:color="auto"/>
        <w:right w:val="none" w:sz="0" w:space="0" w:color="auto"/>
      </w:divBdr>
    </w:div>
    <w:div w:id="794374746">
      <w:bodyDiv w:val="1"/>
      <w:marLeft w:val="0"/>
      <w:marRight w:val="0"/>
      <w:marTop w:val="0"/>
      <w:marBottom w:val="0"/>
      <w:divBdr>
        <w:top w:val="none" w:sz="0" w:space="0" w:color="auto"/>
        <w:left w:val="none" w:sz="0" w:space="0" w:color="auto"/>
        <w:bottom w:val="none" w:sz="0" w:space="0" w:color="auto"/>
        <w:right w:val="none" w:sz="0" w:space="0" w:color="auto"/>
      </w:divBdr>
    </w:div>
    <w:div w:id="797331748">
      <w:bodyDiv w:val="1"/>
      <w:marLeft w:val="0"/>
      <w:marRight w:val="0"/>
      <w:marTop w:val="0"/>
      <w:marBottom w:val="0"/>
      <w:divBdr>
        <w:top w:val="none" w:sz="0" w:space="0" w:color="auto"/>
        <w:left w:val="none" w:sz="0" w:space="0" w:color="auto"/>
        <w:bottom w:val="none" w:sz="0" w:space="0" w:color="auto"/>
        <w:right w:val="none" w:sz="0" w:space="0" w:color="auto"/>
      </w:divBdr>
    </w:div>
    <w:div w:id="812601907">
      <w:bodyDiv w:val="1"/>
      <w:marLeft w:val="0"/>
      <w:marRight w:val="0"/>
      <w:marTop w:val="0"/>
      <w:marBottom w:val="0"/>
      <w:divBdr>
        <w:top w:val="none" w:sz="0" w:space="0" w:color="auto"/>
        <w:left w:val="none" w:sz="0" w:space="0" w:color="auto"/>
        <w:bottom w:val="none" w:sz="0" w:space="0" w:color="auto"/>
        <w:right w:val="none" w:sz="0" w:space="0" w:color="auto"/>
      </w:divBdr>
    </w:div>
    <w:div w:id="816337356">
      <w:bodyDiv w:val="1"/>
      <w:marLeft w:val="0"/>
      <w:marRight w:val="0"/>
      <w:marTop w:val="0"/>
      <w:marBottom w:val="0"/>
      <w:divBdr>
        <w:top w:val="none" w:sz="0" w:space="0" w:color="auto"/>
        <w:left w:val="none" w:sz="0" w:space="0" w:color="auto"/>
        <w:bottom w:val="none" w:sz="0" w:space="0" w:color="auto"/>
        <w:right w:val="none" w:sz="0" w:space="0" w:color="auto"/>
      </w:divBdr>
    </w:div>
    <w:div w:id="827481034">
      <w:bodyDiv w:val="1"/>
      <w:marLeft w:val="0"/>
      <w:marRight w:val="0"/>
      <w:marTop w:val="0"/>
      <w:marBottom w:val="0"/>
      <w:divBdr>
        <w:top w:val="none" w:sz="0" w:space="0" w:color="auto"/>
        <w:left w:val="none" w:sz="0" w:space="0" w:color="auto"/>
        <w:bottom w:val="none" w:sz="0" w:space="0" w:color="auto"/>
        <w:right w:val="none" w:sz="0" w:space="0" w:color="auto"/>
      </w:divBdr>
    </w:div>
    <w:div w:id="830365374">
      <w:bodyDiv w:val="1"/>
      <w:marLeft w:val="0"/>
      <w:marRight w:val="0"/>
      <w:marTop w:val="0"/>
      <w:marBottom w:val="0"/>
      <w:divBdr>
        <w:top w:val="none" w:sz="0" w:space="0" w:color="auto"/>
        <w:left w:val="none" w:sz="0" w:space="0" w:color="auto"/>
        <w:bottom w:val="none" w:sz="0" w:space="0" w:color="auto"/>
        <w:right w:val="none" w:sz="0" w:space="0" w:color="auto"/>
      </w:divBdr>
    </w:div>
    <w:div w:id="832795855">
      <w:bodyDiv w:val="1"/>
      <w:marLeft w:val="0"/>
      <w:marRight w:val="0"/>
      <w:marTop w:val="0"/>
      <w:marBottom w:val="0"/>
      <w:divBdr>
        <w:top w:val="none" w:sz="0" w:space="0" w:color="auto"/>
        <w:left w:val="none" w:sz="0" w:space="0" w:color="auto"/>
        <w:bottom w:val="none" w:sz="0" w:space="0" w:color="auto"/>
        <w:right w:val="none" w:sz="0" w:space="0" w:color="auto"/>
      </w:divBdr>
    </w:div>
    <w:div w:id="849414079">
      <w:bodyDiv w:val="1"/>
      <w:marLeft w:val="0"/>
      <w:marRight w:val="0"/>
      <w:marTop w:val="0"/>
      <w:marBottom w:val="0"/>
      <w:divBdr>
        <w:top w:val="none" w:sz="0" w:space="0" w:color="auto"/>
        <w:left w:val="none" w:sz="0" w:space="0" w:color="auto"/>
        <w:bottom w:val="none" w:sz="0" w:space="0" w:color="auto"/>
        <w:right w:val="none" w:sz="0" w:space="0" w:color="auto"/>
      </w:divBdr>
    </w:div>
    <w:div w:id="850484064">
      <w:bodyDiv w:val="1"/>
      <w:marLeft w:val="0"/>
      <w:marRight w:val="0"/>
      <w:marTop w:val="0"/>
      <w:marBottom w:val="0"/>
      <w:divBdr>
        <w:top w:val="none" w:sz="0" w:space="0" w:color="auto"/>
        <w:left w:val="none" w:sz="0" w:space="0" w:color="auto"/>
        <w:bottom w:val="none" w:sz="0" w:space="0" w:color="auto"/>
        <w:right w:val="none" w:sz="0" w:space="0" w:color="auto"/>
      </w:divBdr>
    </w:div>
    <w:div w:id="860511620">
      <w:bodyDiv w:val="1"/>
      <w:marLeft w:val="0"/>
      <w:marRight w:val="0"/>
      <w:marTop w:val="0"/>
      <w:marBottom w:val="0"/>
      <w:divBdr>
        <w:top w:val="none" w:sz="0" w:space="0" w:color="auto"/>
        <w:left w:val="none" w:sz="0" w:space="0" w:color="auto"/>
        <w:bottom w:val="none" w:sz="0" w:space="0" w:color="auto"/>
        <w:right w:val="none" w:sz="0" w:space="0" w:color="auto"/>
      </w:divBdr>
    </w:div>
    <w:div w:id="861209162">
      <w:bodyDiv w:val="1"/>
      <w:marLeft w:val="0"/>
      <w:marRight w:val="0"/>
      <w:marTop w:val="0"/>
      <w:marBottom w:val="0"/>
      <w:divBdr>
        <w:top w:val="none" w:sz="0" w:space="0" w:color="auto"/>
        <w:left w:val="none" w:sz="0" w:space="0" w:color="auto"/>
        <w:bottom w:val="none" w:sz="0" w:space="0" w:color="auto"/>
        <w:right w:val="none" w:sz="0" w:space="0" w:color="auto"/>
      </w:divBdr>
    </w:div>
    <w:div w:id="861479820">
      <w:bodyDiv w:val="1"/>
      <w:marLeft w:val="0"/>
      <w:marRight w:val="0"/>
      <w:marTop w:val="0"/>
      <w:marBottom w:val="0"/>
      <w:divBdr>
        <w:top w:val="none" w:sz="0" w:space="0" w:color="auto"/>
        <w:left w:val="none" w:sz="0" w:space="0" w:color="auto"/>
        <w:bottom w:val="none" w:sz="0" w:space="0" w:color="auto"/>
        <w:right w:val="none" w:sz="0" w:space="0" w:color="auto"/>
      </w:divBdr>
    </w:div>
    <w:div w:id="865024205">
      <w:bodyDiv w:val="1"/>
      <w:marLeft w:val="0"/>
      <w:marRight w:val="0"/>
      <w:marTop w:val="0"/>
      <w:marBottom w:val="0"/>
      <w:divBdr>
        <w:top w:val="none" w:sz="0" w:space="0" w:color="auto"/>
        <w:left w:val="none" w:sz="0" w:space="0" w:color="auto"/>
        <w:bottom w:val="none" w:sz="0" w:space="0" w:color="auto"/>
        <w:right w:val="none" w:sz="0" w:space="0" w:color="auto"/>
      </w:divBdr>
    </w:div>
    <w:div w:id="890457552">
      <w:bodyDiv w:val="1"/>
      <w:marLeft w:val="0"/>
      <w:marRight w:val="0"/>
      <w:marTop w:val="0"/>
      <w:marBottom w:val="0"/>
      <w:divBdr>
        <w:top w:val="none" w:sz="0" w:space="0" w:color="auto"/>
        <w:left w:val="none" w:sz="0" w:space="0" w:color="auto"/>
        <w:bottom w:val="none" w:sz="0" w:space="0" w:color="auto"/>
        <w:right w:val="none" w:sz="0" w:space="0" w:color="auto"/>
      </w:divBdr>
    </w:div>
    <w:div w:id="916094038">
      <w:bodyDiv w:val="1"/>
      <w:marLeft w:val="0"/>
      <w:marRight w:val="0"/>
      <w:marTop w:val="0"/>
      <w:marBottom w:val="0"/>
      <w:divBdr>
        <w:top w:val="none" w:sz="0" w:space="0" w:color="auto"/>
        <w:left w:val="none" w:sz="0" w:space="0" w:color="auto"/>
        <w:bottom w:val="none" w:sz="0" w:space="0" w:color="auto"/>
        <w:right w:val="none" w:sz="0" w:space="0" w:color="auto"/>
      </w:divBdr>
    </w:div>
    <w:div w:id="922956387">
      <w:bodyDiv w:val="1"/>
      <w:marLeft w:val="0"/>
      <w:marRight w:val="0"/>
      <w:marTop w:val="0"/>
      <w:marBottom w:val="0"/>
      <w:divBdr>
        <w:top w:val="none" w:sz="0" w:space="0" w:color="auto"/>
        <w:left w:val="none" w:sz="0" w:space="0" w:color="auto"/>
        <w:bottom w:val="none" w:sz="0" w:space="0" w:color="auto"/>
        <w:right w:val="none" w:sz="0" w:space="0" w:color="auto"/>
      </w:divBdr>
    </w:div>
    <w:div w:id="927428369">
      <w:bodyDiv w:val="1"/>
      <w:marLeft w:val="0"/>
      <w:marRight w:val="0"/>
      <w:marTop w:val="0"/>
      <w:marBottom w:val="0"/>
      <w:divBdr>
        <w:top w:val="none" w:sz="0" w:space="0" w:color="auto"/>
        <w:left w:val="none" w:sz="0" w:space="0" w:color="auto"/>
        <w:bottom w:val="none" w:sz="0" w:space="0" w:color="auto"/>
        <w:right w:val="none" w:sz="0" w:space="0" w:color="auto"/>
      </w:divBdr>
    </w:div>
    <w:div w:id="931233511">
      <w:bodyDiv w:val="1"/>
      <w:marLeft w:val="0"/>
      <w:marRight w:val="0"/>
      <w:marTop w:val="0"/>
      <w:marBottom w:val="0"/>
      <w:divBdr>
        <w:top w:val="none" w:sz="0" w:space="0" w:color="auto"/>
        <w:left w:val="none" w:sz="0" w:space="0" w:color="auto"/>
        <w:bottom w:val="none" w:sz="0" w:space="0" w:color="auto"/>
        <w:right w:val="none" w:sz="0" w:space="0" w:color="auto"/>
      </w:divBdr>
    </w:div>
    <w:div w:id="943463433">
      <w:bodyDiv w:val="1"/>
      <w:marLeft w:val="0"/>
      <w:marRight w:val="0"/>
      <w:marTop w:val="0"/>
      <w:marBottom w:val="0"/>
      <w:divBdr>
        <w:top w:val="none" w:sz="0" w:space="0" w:color="auto"/>
        <w:left w:val="none" w:sz="0" w:space="0" w:color="auto"/>
        <w:bottom w:val="none" w:sz="0" w:space="0" w:color="auto"/>
        <w:right w:val="none" w:sz="0" w:space="0" w:color="auto"/>
      </w:divBdr>
    </w:div>
    <w:div w:id="947390326">
      <w:bodyDiv w:val="1"/>
      <w:marLeft w:val="0"/>
      <w:marRight w:val="0"/>
      <w:marTop w:val="0"/>
      <w:marBottom w:val="0"/>
      <w:divBdr>
        <w:top w:val="none" w:sz="0" w:space="0" w:color="auto"/>
        <w:left w:val="none" w:sz="0" w:space="0" w:color="auto"/>
        <w:bottom w:val="none" w:sz="0" w:space="0" w:color="auto"/>
        <w:right w:val="none" w:sz="0" w:space="0" w:color="auto"/>
      </w:divBdr>
    </w:div>
    <w:div w:id="967316800">
      <w:bodyDiv w:val="1"/>
      <w:marLeft w:val="0"/>
      <w:marRight w:val="0"/>
      <w:marTop w:val="0"/>
      <w:marBottom w:val="0"/>
      <w:divBdr>
        <w:top w:val="none" w:sz="0" w:space="0" w:color="auto"/>
        <w:left w:val="none" w:sz="0" w:space="0" w:color="auto"/>
        <w:bottom w:val="none" w:sz="0" w:space="0" w:color="auto"/>
        <w:right w:val="none" w:sz="0" w:space="0" w:color="auto"/>
      </w:divBdr>
    </w:div>
    <w:div w:id="970211670">
      <w:bodyDiv w:val="1"/>
      <w:marLeft w:val="0"/>
      <w:marRight w:val="0"/>
      <w:marTop w:val="0"/>
      <w:marBottom w:val="0"/>
      <w:divBdr>
        <w:top w:val="none" w:sz="0" w:space="0" w:color="auto"/>
        <w:left w:val="none" w:sz="0" w:space="0" w:color="auto"/>
        <w:bottom w:val="none" w:sz="0" w:space="0" w:color="auto"/>
        <w:right w:val="none" w:sz="0" w:space="0" w:color="auto"/>
      </w:divBdr>
    </w:div>
    <w:div w:id="977032549">
      <w:bodyDiv w:val="1"/>
      <w:marLeft w:val="0"/>
      <w:marRight w:val="0"/>
      <w:marTop w:val="0"/>
      <w:marBottom w:val="0"/>
      <w:divBdr>
        <w:top w:val="none" w:sz="0" w:space="0" w:color="auto"/>
        <w:left w:val="none" w:sz="0" w:space="0" w:color="auto"/>
        <w:bottom w:val="none" w:sz="0" w:space="0" w:color="auto"/>
        <w:right w:val="none" w:sz="0" w:space="0" w:color="auto"/>
      </w:divBdr>
    </w:div>
    <w:div w:id="977565952">
      <w:bodyDiv w:val="1"/>
      <w:marLeft w:val="0"/>
      <w:marRight w:val="0"/>
      <w:marTop w:val="0"/>
      <w:marBottom w:val="0"/>
      <w:divBdr>
        <w:top w:val="none" w:sz="0" w:space="0" w:color="auto"/>
        <w:left w:val="none" w:sz="0" w:space="0" w:color="auto"/>
        <w:bottom w:val="none" w:sz="0" w:space="0" w:color="auto"/>
        <w:right w:val="none" w:sz="0" w:space="0" w:color="auto"/>
      </w:divBdr>
    </w:div>
    <w:div w:id="998113902">
      <w:bodyDiv w:val="1"/>
      <w:marLeft w:val="0"/>
      <w:marRight w:val="0"/>
      <w:marTop w:val="0"/>
      <w:marBottom w:val="0"/>
      <w:divBdr>
        <w:top w:val="none" w:sz="0" w:space="0" w:color="auto"/>
        <w:left w:val="none" w:sz="0" w:space="0" w:color="auto"/>
        <w:bottom w:val="none" w:sz="0" w:space="0" w:color="auto"/>
        <w:right w:val="none" w:sz="0" w:space="0" w:color="auto"/>
      </w:divBdr>
    </w:div>
    <w:div w:id="999767501">
      <w:bodyDiv w:val="1"/>
      <w:marLeft w:val="0"/>
      <w:marRight w:val="0"/>
      <w:marTop w:val="0"/>
      <w:marBottom w:val="0"/>
      <w:divBdr>
        <w:top w:val="none" w:sz="0" w:space="0" w:color="auto"/>
        <w:left w:val="none" w:sz="0" w:space="0" w:color="auto"/>
        <w:bottom w:val="none" w:sz="0" w:space="0" w:color="auto"/>
        <w:right w:val="none" w:sz="0" w:space="0" w:color="auto"/>
      </w:divBdr>
    </w:div>
    <w:div w:id="1006711214">
      <w:bodyDiv w:val="1"/>
      <w:marLeft w:val="0"/>
      <w:marRight w:val="0"/>
      <w:marTop w:val="0"/>
      <w:marBottom w:val="0"/>
      <w:divBdr>
        <w:top w:val="none" w:sz="0" w:space="0" w:color="auto"/>
        <w:left w:val="none" w:sz="0" w:space="0" w:color="auto"/>
        <w:bottom w:val="none" w:sz="0" w:space="0" w:color="auto"/>
        <w:right w:val="none" w:sz="0" w:space="0" w:color="auto"/>
      </w:divBdr>
    </w:div>
    <w:div w:id="1007558159">
      <w:bodyDiv w:val="1"/>
      <w:marLeft w:val="0"/>
      <w:marRight w:val="0"/>
      <w:marTop w:val="0"/>
      <w:marBottom w:val="0"/>
      <w:divBdr>
        <w:top w:val="none" w:sz="0" w:space="0" w:color="auto"/>
        <w:left w:val="none" w:sz="0" w:space="0" w:color="auto"/>
        <w:bottom w:val="none" w:sz="0" w:space="0" w:color="auto"/>
        <w:right w:val="none" w:sz="0" w:space="0" w:color="auto"/>
      </w:divBdr>
    </w:div>
    <w:div w:id="1007950646">
      <w:bodyDiv w:val="1"/>
      <w:marLeft w:val="0"/>
      <w:marRight w:val="0"/>
      <w:marTop w:val="0"/>
      <w:marBottom w:val="0"/>
      <w:divBdr>
        <w:top w:val="none" w:sz="0" w:space="0" w:color="auto"/>
        <w:left w:val="none" w:sz="0" w:space="0" w:color="auto"/>
        <w:bottom w:val="none" w:sz="0" w:space="0" w:color="auto"/>
        <w:right w:val="none" w:sz="0" w:space="0" w:color="auto"/>
      </w:divBdr>
    </w:div>
    <w:div w:id="1008294867">
      <w:bodyDiv w:val="1"/>
      <w:marLeft w:val="0"/>
      <w:marRight w:val="0"/>
      <w:marTop w:val="0"/>
      <w:marBottom w:val="0"/>
      <w:divBdr>
        <w:top w:val="none" w:sz="0" w:space="0" w:color="auto"/>
        <w:left w:val="none" w:sz="0" w:space="0" w:color="auto"/>
        <w:bottom w:val="none" w:sz="0" w:space="0" w:color="auto"/>
        <w:right w:val="none" w:sz="0" w:space="0" w:color="auto"/>
      </w:divBdr>
    </w:div>
    <w:div w:id="1010446994">
      <w:bodyDiv w:val="1"/>
      <w:marLeft w:val="0"/>
      <w:marRight w:val="0"/>
      <w:marTop w:val="0"/>
      <w:marBottom w:val="0"/>
      <w:divBdr>
        <w:top w:val="none" w:sz="0" w:space="0" w:color="auto"/>
        <w:left w:val="none" w:sz="0" w:space="0" w:color="auto"/>
        <w:bottom w:val="none" w:sz="0" w:space="0" w:color="auto"/>
        <w:right w:val="none" w:sz="0" w:space="0" w:color="auto"/>
      </w:divBdr>
    </w:div>
    <w:div w:id="1018774114">
      <w:bodyDiv w:val="1"/>
      <w:marLeft w:val="0"/>
      <w:marRight w:val="0"/>
      <w:marTop w:val="0"/>
      <w:marBottom w:val="0"/>
      <w:divBdr>
        <w:top w:val="none" w:sz="0" w:space="0" w:color="auto"/>
        <w:left w:val="none" w:sz="0" w:space="0" w:color="auto"/>
        <w:bottom w:val="none" w:sz="0" w:space="0" w:color="auto"/>
        <w:right w:val="none" w:sz="0" w:space="0" w:color="auto"/>
      </w:divBdr>
    </w:div>
    <w:div w:id="1029262974">
      <w:bodyDiv w:val="1"/>
      <w:marLeft w:val="0"/>
      <w:marRight w:val="0"/>
      <w:marTop w:val="0"/>
      <w:marBottom w:val="0"/>
      <w:divBdr>
        <w:top w:val="none" w:sz="0" w:space="0" w:color="auto"/>
        <w:left w:val="none" w:sz="0" w:space="0" w:color="auto"/>
        <w:bottom w:val="none" w:sz="0" w:space="0" w:color="auto"/>
        <w:right w:val="none" w:sz="0" w:space="0" w:color="auto"/>
      </w:divBdr>
    </w:div>
    <w:div w:id="1033535149">
      <w:bodyDiv w:val="1"/>
      <w:marLeft w:val="0"/>
      <w:marRight w:val="0"/>
      <w:marTop w:val="0"/>
      <w:marBottom w:val="0"/>
      <w:divBdr>
        <w:top w:val="none" w:sz="0" w:space="0" w:color="auto"/>
        <w:left w:val="none" w:sz="0" w:space="0" w:color="auto"/>
        <w:bottom w:val="none" w:sz="0" w:space="0" w:color="auto"/>
        <w:right w:val="none" w:sz="0" w:space="0" w:color="auto"/>
      </w:divBdr>
    </w:div>
    <w:div w:id="1035501016">
      <w:bodyDiv w:val="1"/>
      <w:marLeft w:val="0"/>
      <w:marRight w:val="0"/>
      <w:marTop w:val="0"/>
      <w:marBottom w:val="0"/>
      <w:divBdr>
        <w:top w:val="none" w:sz="0" w:space="0" w:color="auto"/>
        <w:left w:val="none" w:sz="0" w:space="0" w:color="auto"/>
        <w:bottom w:val="none" w:sz="0" w:space="0" w:color="auto"/>
        <w:right w:val="none" w:sz="0" w:space="0" w:color="auto"/>
      </w:divBdr>
    </w:div>
    <w:div w:id="1050347349">
      <w:bodyDiv w:val="1"/>
      <w:marLeft w:val="0"/>
      <w:marRight w:val="0"/>
      <w:marTop w:val="0"/>
      <w:marBottom w:val="0"/>
      <w:divBdr>
        <w:top w:val="none" w:sz="0" w:space="0" w:color="auto"/>
        <w:left w:val="none" w:sz="0" w:space="0" w:color="auto"/>
        <w:bottom w:val="none" w:sz="0" w:space="0" w:color="auto"/>
        <w:right w:val="none" w:sz="0" w:space="0" w:color="auto"/>
      </w:divBdr>
    </w:div>
    <w:div w:id="1052655111">
      <w:bodyDiv w:val="1"/>
      <w:marLeft w:val="0"/>
      <w:marRight w:val="0"/>
      <w:marTop w:val="0"/>
      <w:marBottom w:val="0"/>
      <w:divBdr>
        <w:top w:val="none" w:sz="0" w:space="0" w:color="auto"/>
        <w:left w:val="none" w:sz="0" w:space="0" w:color="auto"/>
        <w:bottom w:val="none" w:sz="0" w:space="0" w:color="auto"/>
        <w:right w:val="none" w:sz="0" w:space="0" w:color="auto"/>
      </w:divBdr>
    </w:div>
    <w:div w:id="1052803048">
      <w:bodyDiv w:val="1"/>
      <w:marLeft w:val="0"/>
      <w:marRight w:val="0"/>
      <w:marTop w:val="0"/>
      <w:marBottom w:val="0"/>
      <w:divBdr>
        <w:top w:val="none" w:sz="0" w:space="0" w:color="auto"/>
        <w:left w:val="none" w:sz="0" w:space="0" w:color="auto"/>
        <w:bottom w:val="none" w:sz="0" w:space="0" w:color="auto"/>
        <w:right w:val="none" w:sz="0" w:space="0" w:color="auto"/>
      </w:divBdr>
    </w:div>
    <w:div w:id="1055277561">
      <w:bodyDiv w:val="1"/>
      <w:marLeft w:val="0"/>
      <w:marRight w:val="0"/>
      <w:marTop w:val="0"/>
      <w:marBottom w:val="0"/>
      <w:divBdr>
        <w:top w:val="none" w:sz="0" w:space="0" w:color="auto"/>
        <w:left w:val="none" w:sz="0" w:space="0" w:color="auto"/>
        <w:bottom w:val="none" w:sz="0" w:space="0" w:color="auto"/>
        <w:right w:val="none" w:sz="0" w:space="0" w:color="auto"/>
      </w:divBdr>
    </w:div>
    <w:div w:id="1057509873">
      <w:bodyDiv w:val="1"/>
      <w:marLeft w:val="0"/>
      <w:marRight w:val="0"/>
      <w:marTop w:val="0"/>
      <w:marBottom w:val="0"/>
      <w:divBdr>
        <w:top w:val="none" w:sz="0" w:space="0" w:color="auto"/>
        <w:left w:val="none" w:sz="0" w:space="0" w:color="auto"/>
        <w:bottom w:val="none" w:sz="0" w:space="0" w:color="auto"/>
        <w:right w:val="none" w:sz="0" w:space="0" w:color="auto"/>
      </w:divBdr>
    </w:div>
    <w:div w:id="1062412417">
      <w:bodyDiv w:val="1"/>
      <w:marLeft w:val="0"/>
      <w:marRight w:val="0"/>
      <w:marTop w:val="0"/>
      <w:marBottom w:val="0"/>
      <w:divBdr>
        <w:top w:val="none" w:sz="0" w:space="0" w:color="auto"/>
        <w:left w:val="none" w:sz="0" w:space="0" w:color="auto"/>
        <w:bottom w:val="none" w:sz="0" w:space="0" w:color="auto"/>
        <w:right w:val="none" w:sz="0" w:space="0" w:color="auto"/>
      </w:divBdr>
    </w:div>
    <w:div w:id="1064642083">
      <w:bodyDiv w:val="1"/>
      <w:marLeft w:val="0"/>
      <w:marRight w:val="0"/>
      <w:marTop w:val="0"/>
      <w:marBottom w:val="0"/>
      <w:divBdr>
        <w:top w:val="none" w:sz="0" w:space="0" w:color="auto"/>
        <w:left w:val="none" w:sz="0" w:space="0" w:color="auto"/>
        <w:bottom w:val="none" w:sz="0" w:space="0" w:color="auto"/>
        <w:right w:val="none" w:sz="0" w:space="0" w:color="auto"/>
      </w:divBdr>
    </w:div>
    <w:div w:id="1064720134">
      <w:bodyDiv w:val="1"/>
      <w:marLeft w:val="0"/>
      <w:marRight w:val="0"/>
      <w:marTop w:val="0"/>
      <w:marBottom w:val="0"/>
      <w:divBdr>
        <w:top w:val="none" w:sz="0" w:space="0" w:color="auto"/>
        <w:left w:val="none" w:sz="0" w:space="0" w:color="auto"/>
        <w:bottom w:val="none" w:sz="0" w:space="0" w:color="auto"/>
        <w:right w:val="none" w:sz="0" w:space="0" w:color="auto"/>
      </w:divBdr>
    </w:div>
    <w:div w:id="1074818238">
      <w:bodyDiv w:val="1"/>
      <w:marLeft w:val="0"/>
      <w:marRight w:val="0"/>
      <w:marTop w:val="0"/>
      <w:marBottom w:val="0"/>
      <w:divBdr>
        <w:top w:val="none" w:sz="0" w:space="0" w:color="auto"/>
        <w:left w:val="none" w:sz="0" w:space="0" w:color="auto"/>
        <w:bottom w:val="none" w:sz="0" w:space="0" w:color="auto"/>
        <w:right w:val="none" w:sz="0" w:space="0" w:color="auto"/>
      </w:divBdr>
    </w:div>
    <w:div w:id="1075861081">
      <w:bodyDiv w:val="1"/>
      <w:marLeft w:val="0"/>
      <w:marRight w:val="0"/>
      <w:marTop w:val="0"/>
      <w:marBottom w:val="0"/>
      <w:divBdr>
        <w:top w:val="none" w:sz="0" w:space="0" w:color="auto"/>
        <w:left w:val="none" w:sz="0" w:space="0" w:color="auto"/>
        <w:bottom w:val="none" w:sz="0" w:space="0" w:color="auto"/>
        <w:right w:val="none" w:sz="0" w:space="0" w:color="auto"/>
      </w:divBdr>
    </w:div>
    <w:div w:id="1083141266">
      <w:bodyDiv w:val="1"/>
      <w:marLeft w:val="0"/>
      <w:marRight w:val="0"/>
      <w:marTop w:val="0"/>
      <w:marBottom w:val="0"/>
      <w:divBdr>
        <w:top w:val="none" w:sz="0" w:space="0" w:color="auto"/>
        <w:left w:val="none" w:sz="0" w:space="0" w:color="auto"/>
        <w:bottom w:val="none" w:sz="0" w:space="0" w:color="auto"/>
        <w:right w:val="none" w:sz="0" w:space="0" w:color="auto"/>
      </w:divBdr>
    </w:div>
    <w:div w:id="1088386402">
      <w:bodyDiv w:val="1"/>
      <w:marLeft w:val="0"/>
      <w:marRight w:val="0"/>
      <w:marTop w:val="0"/>
      <w:marBottom w:val="0"/>
      <w:divBdr>
        <w:top w:val="none" w:sz="0" w:space="0" w:color="auto"/>
        <w:left w:val="none" w:sz="0" w:space="0" w:color="auto"/>
        <w:bottom w:val="none" w:sz="0" w:space="0" w:color="auto"/>
        <w:right w:val="none" w:sz="0" w:space="0" w:color="auto"/>
      </w:divBdr>
    </w:div>
    <w:div w:id="1093017403">
      <w:bodyDiv w:val="1"/>
      <w:marLeft w:val="0"/>
      <w:marRight w:val="0"/>
      <w:marTop w:val="0"/>
      <w:marBottom w:val="0"/>
      <w:divBdr>
        <w:top w:val="none" w:sz="0" w:space="0" w:color="auto"/>
        <w:left w:val="none" w:sz="0" w:space="0" w:color="auto"/>
        <w:bottom w:val="none" w:sz="0" w:space="0" w:color="auto"/>
        <w:right w:val="none" w:sz="0" w:space="0" w:color="auto"/>
      </w:divBdr>
    </w:div>
    <w:div w:id="1096947836">
      <w:bodyDiv w:val="1"/>
      <w:marLeft w:val="0"/>
      <w:marRight w:val="0"/>
      <w:marTop w:val="0"/>
      <w:marBottom w:val="0"/>
      <w:divBdr>
        <w:top w:val="none" w:sz="0" w:space="0" w:color="auto"/>
        <w:left w:val="none" w:sz="0" w:space="0" w:color="auto"/>
        <w:bottom w:val="none" w:sz="0" w:space="0" w:color="auto"/>
        <w:right w:val="none" w:sz="0" w:space="0" w:color="auto"/>
      </w:divBdr>
    </w:div>
    <w:div w:id="1097334922">
      <w:bodyDiv w:val="1"/>
      <w:marLeft w:val="0"/>
      <w:marRight w:val="0"/>
      <w:marTop w:val="0"/>
      <w:marBottom w:val="0"/>
      <w:divBdr>
        <w:top w:val="none" w:sz="0" w:space="0" w:color="auto"/>
        <w:left w:val="none" w:sz="0" w:space="0" w:color="auto"/>
        <w:bottom w:val="none" w:sz="0" w:space="0" w:color="auto"/>
        <w:right w:val="none" w:sz="0" w:space="0" w:color="auto"/>
      </w:divBdr>
    </w:div>
    <w:div w:id="1111587473">
      <w:bodyDiv w:val="1"/>
      <w:marLeft w:val="0"/>
      <w:marRight w:val="0"/>
      <w:marTop w:val="0"/>
      <w:marBottom w:val="0"/>
      <w:divBdr>
        <w:top w:val="none" w:sz="0" w:space="0" w:color="auto"/>
        <w:left w:val="none" w:sz="0" w:space="0" w:color="auto"/>
        <w:bottom w:val="none" w:sz="0" w:space="0" w:color="auto"/>
        <w:right w:val="none" w:sz="0" w:space="0" w:color="auto"/>
      </w:divBdr>
    </w:div>
    <w:div w:id="1117262594">
      <w:bodyDiv w:val="1"/>
      <w:marLeft w:val="0"/>
      <w:marRight w:val="0"/>
      <w:marTop w:val="0"/>
      <w:marBottom w:val="0"/>
      <w:divBdr>
        <w:top w:val="none" w:sz="0" w:space="0" w:color="auto"/>
        <w:left w:val="none" w:sz="0" w:space="0" w:color="auto"/>
        <w:bottom w:val="none" w:sz="0" w:space="0" w:color="auto"/>
        <w:right w:val="none" w:sz="0" w:space="0" w:color="auto"/>
      </w:divBdr>
    </w:div>
    <w:div w:id="1117793862">
      <w:bodyDiv w:val="1"/>
      <w:marLeft w:val="0"/>
      <w:marRight w:val="0"/>
      <w:marTop w:val="0"/>
      <w:marBottom w:val="0"/>
      <w:divBdr>
        <w:top w:val="none" w:sz="0" w:space="0" w:color="auto"/>
        <w:left w:val="none" w:sz="0" w:space="0" w:color="auto"/>
        <w:bottom w:val="none" w:sz="0" w:space="0" w:color="auto"/>
        <w:right w:val="none" w:sz="0" w:space="0" w:color="auto"/>
      </w:divBdr>
    </w:div>
    <w:div w:id="1117794506">
      <w:bodyDiv w:val="1"/>
      <w:marLeft w:val="0"/>
      <w:marRight w:val="0"/>
      <w:marTop w:val="0"/>
      <w:marBottom w:val="0"/>
      <w:divBdr>
        <w:top w:val="none" w:sz="0" w:space="0" w:color="auto"/>
        <w:left w:val="none" w:sz="0" w:space="0" w:color="auto"/>
        <w:bottom w:val="none" w:sz="0" w:space="0" w:color="auto"/>
        <w:right w:val="none" w:sz="0" w:space="0" w:color="auto"/>
      </w:divBdr>
    </w:div>
    <w:div w:id="1126463229">
      <w:bodyDiv w:val="1"/>
      <w:marLeft w:val="0"/>
      <w:marRight w:val="0"/>
      <w:marTop w:val="0"/>
      <w:marBottom w:val="0"/>
      <w:divBdr>
        <w:top w:val="none" w:sz="0" w:space="0" w:color="auto"/>
        <w:left w:val="none" w:sz="0" w:space="0" w:color="auto"/>
        <w:bottom w:val="none" w:sz="0" w:space="0" w:color="auto"/>
        <w:right w:val="none" w:sz="0" w:space="0" w:color="auto"/>
      </w:divBdr>
    </w:div>
    <w:div w:id="1129125002">
      <w:bodyDiv w:val="1"/>
      <w:marLeft w:val="0"/>
      <w:marRight w:val="0"/>
      <w:marTop w:val="0"/>
      <w:marBottom w:val="0"/>
      <w:divBdr>
        <w:top w:val="none" w:sz="0" w:space="0" w:color="auto"/>
        <w:left w:val="none" w:sz="0" w:space="0" w:color="auto"/>
        <w:bottom w:val="none" w:sz="0" w:space="0" w:color="auto"/>
        <w:right w:val="none" w:sz="0" w:space="0" w:color="auto"/>
      </w:divBdr>
    </w:div>
    <w:div w:id="1133475148">
      <w:bodyDiv w:val="1"/>
      <w:marLeft w:val="0"/>
      <w:marRight w:val="0"/>
      <w:marTop w:val="0"/>
      <w:marBottom w:val="0"/>
      <w:divBdr>
        <w:top w:val="none" w:sz="0" w:space="0" w:color="auto"/>
        <w:left w:val="none" w:sz="0" w:space="0" w:color="auto"/>
        <w:bottom w:val="none" w:sz="0" w:space="0" w:color="auto"/>
        <w:right w:val="none" w:sz="0" w:space="0" w:color="auto"/>
      </w:divBdr>
    </w:div>
    <w:div w:id="1138110176">
      <w:bodyDiv w:val="1"/>
      <w:marLeft w:val="0"/>
      <w:marRight w:val="0"/>
      <w:marTop w:val="0"/>
      <w:marBottom w:val="0"/>
      <w:divBdr>
        <w:top w:val="none" w:sz="0" w:space="0" w:color="auto"/>
        <w:left w:val="none" w:sz="0" w:space="0" w:color="auto"/>
        <w:bottom w:val="none" w:sz="0" w:space="0" w:color="auto"/>
        <w:right w:val="none" w:sz="0" w:space="0" w:color="auto"/>
      </w:divBdr>
    </w:div>
    <w:div w:id="1142038692">
      <w:bodyDiv w:val="1"/>
      <w:marLeft w:val="0"/>
      <w:marRight w:val="0"/>
      <w:marTop w:val="0"/>
      <w:marBottom w:val="0"/>
      <w:divBdr>
        <w:top w:val="none" w:sz="0" w:space="0" w:color="auto"/>
        <w:left w:val="none" w:sz="0" w:space="0" w:color="auto"/>
        <w:bottom w:val="none" w:sz="0" w:space="0" w:color="auto"/>
        <w:right w:val="none" w:sz="0" w:space="0" w:color="auto"/>
      </w:divBdr>
    </w:div>
    <w:div w:id="1159422818">
      <w:bodyDiv w:val="1"/>
      <w:marLeft w:val="0"/>
      <w:marRight w:val="0"/>
      <w:marTop w:val="0"/>
      <w:marBottom w:val="0"/>
      <w:divBdr>
        <w:top w:val="none" w:sz="0" w:space="0" w:color="auto"/>
        <w:left w:val="none" w:sz="0" w:space="0" w:color="auto"/>
        <w:bottom w:val="none" w:sz="0" w:space="0" w:color="auto"/>
        <w:right w:val="none" w:sz="0" w:space="0" w:color="auto"/>
      </w:divBdr>
      <w:divsChild>
        <w:div w:id="816259606">
          <w:marLeft w:val="-70"/>
          <w:marRight w:val="0"/>
          <w:marTop w:val="0"/>
          <w:marBottom w:val="0"/>
          <w:divBdr>
            <w:top w:val="none" w:sz="0" w:space="0" w:color="auto"/>
            <w:left w:val="none" w:sz="0" w:space="0" w:color="auto"/>
            <w:bottom w:val="none" w:sz="0" w:space="0" w:color="auto"/>
            <w:right w:val="none" w:sz="0" w:space="0" w:color="auto"/>
          </w:divBdr>
        </w:div>
      </w:divsChild>
    </w:div>
    <w:div w:id="1159734662">
      <w:bodyDiv w:val="1"/>
      <w:marLeft w:val="0"/>
      <w:marRight w:val="0"/>
      <w:marTop w:val="0"/>
      <w:marBottom w:val="0"/>
      <w:divBdr>
        <w:top w:val="none" w:sz="0" w:space="0" w:color="auto"/>
        <w:left w:val="none" w:sz="0" w:space="0" w:color="auto"/>
        <w:bottom w:val="none" w:sz="0" w:space="0" w:color="auto"/>
        <w:right w:val="none" w:sz="0" w:space="0" w:color="auto"/>
      </w:divBdr>
    </w:div>
    <w:div w:id="1164321487">
      <w:bodyDiv w:val="1"/>
      <w:marLeft w:val="0"/>
      <w:marRight w:val="0"/>
      <w:marTop w:val="0"/>
      <w:marBottom w:val="0"/>
      <w:divBdr>
        <w:top w:val="none" w:sz="0" w:space="0" w:color="auto"/>
        <w:left w:val="none" w:sz="0" w:space="0" w:color="auto"/>
        <w:bottom w:val="none" w:sz="0" w:space="0" w:color="auto"/>
        <w:right w:val="none" w:sz="0" w:space="0" w:color="auto"/>
      </w:divBdr>
    </w:div>
    <w:div w:id="1164474838">
      <w:bodyDiv w:val="1"/>
      <w:marLeft w:val="0"/>
      <w:marRight w:val="0"/>
      <w:marTop w:val="0"/>
      <w:marBottom w:val="0"/>
      <w:divBdr>
        <w:top w:val="none" w:sz="0" w:space="0" w:color="auto"/>
        <w:left w:val="none" w:sz="0" w:space="0" w:color="auto"/>
        <w:bottom w:val="none" w:sz="0" w:space="0" w:color="auto"/>
        <w:right w:val="none" w:sz="0" w:space="0" w:color="auto"/>
      </w:divBdr>
    </w:div>
    <w:div w:id="1167554195">
      <w:bodyDiv w:val="1"/>
      <w:marLeft w:val="0"/>
      <w:marRight w:val="0"/>
      <w:marTop w:val="0"/>
      <w:marBottom w:val="0"/>
      <w:divBdr>
        <w:top w:val="none" w:sz="0" w:space="0" w:color="auto"/>
        <w:left w:val="none" w:sz="0" w:space="0" w:color="auto"/>
        <w:bottom w:val="none" w:sz="0" w:space="0" w:color="auto"/>
        <w:right w:val="none" w:sz="0" w:space="0" w:color="auto"/>
      </w:divBdr>
    </w:div>
    <w:div w:id="1177577170">
      <w:bodyDiv w:val="1"/>
      <w:marLeft w:val="0"/>
      <w:marRight w:val="0"/>
      <w:marTop w:val="0"/>
      <w:marBottom w:val="0"/>
      <w:divBdr>
        <w:top w:val="none" w:sz="0" w:space="0" w:color="auto"/>
        <w:left w:val="none" w:sz="0" w:space="0" w:color="auto"/>
        <w:bottom w:val="none" w:sz="0" w:space="0" w:color="auto"/>
        <w:right w:val="none" w:sz="0" w:space="0" w:color="auto"/>
      </w:divBdr>
    </w:div>
    <w:div w:id="1181550040">
      <w:bodyDiv w:val="1"/>
      <w:marLeft w:val="0"/>
      <w:marRight w:val="0"/>
      <w:marTop w:val="0"/>
      <w:marBottom w:val="0"/>
      <w:divBdr>
        <w:top w:val="none" w:sz="0" w:space="0" w:color="auto"/>
        <w:left w:val="none" w:sz="0" w:space="0" w:color="auto"/>
        <w:bottom w:val="none" w:sz="0" w:space="0" w:color="auto"/>
        <w:right w:val="none" w:sz="0" w:space="0" w:color="auto"/>
      </w:divBdr>
    </w:div>
    <w:div w:id="1182158469">
      <w:bodyDiv w:val="1"/>
      <w:marLeft w:val="0"/>
      <w:marRight w:val="0"/>
      <w:marTop w:val="0"/>
      <w:marBottom w:val="0"/>
      <w:divBdr>
        <w:top w:val="none" w:sz="0" w:space="0" w:color="auto"/>
        <w:left w:val="none" w:sz="0" w:space="0" w:color="auto"/>
        <w:bottom w:val="none" w:sz="0" w:space="0" w:color="auto"/>
        <w:right w:val="none" w:sz="0" w:space="0" w:color="auto"/>
      </w:divBdr>
    </w:div>
    <w:div w:id="1185485906">
      <w:bodyDiv w:val="1"/>
      <w:marLeft w:val="0"/>
      <w:marRight w:val="0"/>
      <w:marTop w:val="0"/>
      <w:marBottom w:val="0"/>
      <w:divBdr>
        <w:top w:val="none" w:sz="0" w:space="0" w:color="auto"/>
        <w:left w:val="none" w:sz="0" w:space="0" w:color="auto"/>
        <w:bottom w:val="none" w:sz="0" w:space="0" w:color="auto"/>
        <w:right w:val="none" w:sz="0" w:space="0" w:color="auto"/>
      </w:divBdr>
    </w:div>
    <w:div w:id="1189560486">
      <w:bodyDiv w:val="1"/>
      <w:marLeft w:val="0"/>
      <w:marRight w:val="0"/>
      <w:marTop w:val="0"/>
      <w:marBottom w:val="0"/>
      <w:divBdr>
        <w:top w:val="none" w:sz="0" w:space="0" w:color="auto"/>
        <w:left w:val="none" w:sz="0" w:space="0" w:color="auto"/>
        <w:bottom w:val="none" w:sz="0" w:space="0" w:color="auto"/>
        <w:right w:val="none" w:sz="0" w:space="0" w:color="auto"/>
      </w:divBdr>
    </w:div>
    <w:div w:id="1199204339">
      <w:bodyDiv w:val="1"/>
      <w:marLeft w:val="0"/>
      <w:marRight w:val="0"/>
      <w:marTop w:val="0"/>
      <w:marBottom w:val="0"/>
      <w:divBdr>
        <w:top w:val="none" w:sz="0" w:space="0" w:color="auto"/>
        <w:left w:val="none" w:sz="0" w:space="0" w:color="auto"/>
        <w:bottom w:val="none" w:sz="0" w:space="0" w:color="auto"/>
        <w:right w:val="none" w:sz="0" w:space="0" w:color="auto"/>
      </w:divBdr>
    </w:div>
    <w:div w:id="1203177710">
      <w:bodyDiv w:val="1"/>
      <w:marLeft w:val="0"/>
      <w:marRight w:val="0"/>
      <w:marTop w:val="0"/>
      <w:marBottom w:val="0"/>
      <w:divBdr>
        <w:top w:val="none" w:sz="0" w:space="0" w:color="auto"/>
        <w:left w:val="none" w:sz="0" w:space="0" w:color="auto"/>
        <w:bottom w:val="none" w:sz="0" w:space="0" w:color="auto"/>
        <w:right w:val="none" w:sz="0" w:space="0" w:color="auto"/>
      </w:divBdr>
    </w:div>
    <w:div w:id="1207793765">
      <w:bodyDiv w:val="1"/>
      <w:marLeft w:val="0"/>
      <w:marRight w:val="0"/>
      <w:marTop w:val="0"/>
      <w:marBottom w:val="0"/>
      <w:divBdr>
        <w:top w:val="none" w:sz="0" w:space="0" w:color="auto"/>
        <w:left w:val="none" w:sz="0" w:space="0" w:color="auto"/>
        <w:bottom w:val="none" w:sz="0" w:space="0" w:color="auto"/>
        <w:right w:val="none" w:sz="0" w:space="0" w:color="auto"/>
      </w:divBdr>
    </w:div>
    <w:div w:id="1208762979">
      <w:bodyDiv w:val="1"/>
      <w:marLeft w:val="0"/>
      <w:marRight w:val="0"/>
      <w:marTop w:val="0"/>
      <w:marBottom w:val="0"/>
      <w:divBdr>
        <w:top w:val="none" w:sz="0" w:space="0" w:color="auto"/>
        <w:left w:val="none" w:sz="0" w:space="0" w:color="auto"/>
        <w:bottom w:val="none" w:sz="0" w:space="0" w:color="auto"/>
        <w:right w:val="none" w:sz="0" w:space="0" w:color="auto"/>
      </w:divBdr>
    </w:div>
    <w:div w:id="1219048134">
      <w:bodyDiv w:val="1"/>
      <w:marLeft w:val="0"/>
      <w:marRight w:val="0"/>
      <w:marTop w:val="0"/>
      <w:marBottom w:val="0"/>
      <w:divBdr>
        <w:top w:val="none" w:sz="0" w:space="0" w:color="auto"/>
        <w:left w:val="none" w:sz="0" w:space="0" w:color="auto"/>
        <w:bottom w:val="none" w:sz="0" w:space="0" w:color="auto"/>
        <w:right w:val="none" w:sz="0" w:space="0" w:color="auto"/>
      </w:divBdr>
    </w:div>
    <w:div w:id="1222247450">
      <w:bodyDiv w:val="1"/>
      <w:marLeft w:val="0"/>
      <w:marRight w:val="0"/>
      <w:marTop w:val="0"/>
      <w:marBottom w:val="0"/>
      <w:divBdr>
        <w:top w:val="none" w:sz="0" w:space="0" w:color="auto"/>
        <w:left w:val="none" w:sz="0" w:space="0" w:color="auto"/>
        <w:bottom w:val="none" w:sz="0" w:space="0" w:color="auto"/>
        <w:right w:val="none" w:sz="0" w:space="0" w:color="auto"/>
      </w:divBdr>
    </w:div>
    <w:div w:id="1224289978">
      <w:bodyDiv w:val="1"/>
      <w:marLeft w:val="0"/>
      <w:marRight w:val="0"/>
      <w:marTop w:val="0"/>
      <w:marBottom w:val="0"/>
      <w:divBdr>
        <w:top w:val="none" w:sz="0" w:space="0" w:color="auto"/>
        <w:left w:val="none" w:sz="0" w:space="0" w:color="auto"/>
        <w:bottom w:val="none" w:sz="0" w:space="0" w:color="auto"/>
        <w:right w:val="none" w:sz="0" w:space="0" w:color="auto"/>
      </w:divBdr>
    </w:div>
    <w:div w:id="1225145179">
      <w:bodyDiv w:val="1"/>
      <w:marLeft w:val="0"/>
      <w:marRight w:val="0"/>
      <w:marTop w:val="0"/>
      <w:marBottom w:val="0"/>
      <w:divBdr>
        <w:top w:val="none" w:sz="0" w:space="0" w:color="auto"/>
        <w:left w:val="none" w:sz="0" w:space="0" w:color="auto"/>
        <w:bottom w:val="none" w:sz="0" w:space="0" w:color="auto"/>
        <w:right w:val="none" w:sz="0" w:space="0" w:color="auto"/>
      </w:divBdr>
    </w:div>
    <w:div w:id="1236210781">
      <w:bodyDiv w:val="1"/>
      <w:marLeft w:val="0"/>
      <w:marRight w:val="0"/>
      <w:marTop w:val="0"/>
      <w:marBottom w:val="0"/>
      <w:divBdr>
        <w:top w:val="none" w:sz="0" w:space="0" w:color="auto"/>
        <w:left w:val="none" w:sz="0" w:space="0" w:color="auto"/>
        <w:bottom w:val="none" w:sz="0" w:space="0" w:color="auto"/>
        <w:right w:val="none" w:sz="0" w:space="0" w:color="auto"/>
      </w:divBdr>
    </w:div>
    <w:div w:id="1241601716">
      <w:bodyDiv w:val="1"/>
      <w:marLeft w:val="0"/>
      <w:marRight w:val="0"/>
      <w:marTop w:val="0"/>
      <w:marBottom w:val="0"/>
      <w:divBdr>
        <w:top w:val="none" w:sz="0" w:space="0" w:color="auto"/>
        <w:left w:val="none" w:sz="0" w:space="0" w:color="auto"/>
        <w:bottom w:val="none" w:sz="0" w:space="0" w:color="auto"/>
        <w:right w:val="none" w:sz="0" w:space="0" w:color="auto"/>
      </w:divBdr>
    </w:div>
    <w:div w:id="1247613970">
      <w:bodyDiv w:val="1"/>
      <w:marLeft w:val="0"/>
      <w:marRight w:val="0"/>
      <w:marTop w:val="0"/>
      <w:marBottom w:val="0"/>
      <w:divBdr>
        <w:top w:val="none" w:sz="0" w:space="0" w:color="auto"/>
        <w:left w:val="none" w:sz="0" w:space="0" w:color="auto"/>
        <w:bottom w:val="none" w:sz="0" w:space="0" w:color="auto"/>
        <w:right w:val="none" w:sz="0" w:space="0" w:color="auto"/>
      </w:divBdr>
    </w:div>
    <w:div w:id="1261451208">
      <w:bodyDiv w:val="1"/>
      <w:marLeft w:val="0"/>
      <w:marRight w:val="0"/>
      <w:marTop w:val="0"/>
      <w:marBottom w:val="0"/>
      <w:divBdr>
        <w:top w:val="none" w:sz="0" w:space="0" w:color="auto"/>
        <w:left w:val="none" w:sz="0" w:space="0" w:color="auto"/>
        <w:bottom w:val="none" w:sz="0" w:space="0" w:color="auto"/>
        <w:right w:val="none" w:sz="0" w:space="0" w:color="auto"/>
      </w:divBdr>
    </w:div>
    <w:div w:id="1271158778">
      <w:bodyDiv w:val="1"/>
      <w:marLeft w:val="0"/>
      <w:marRight w:val="0"/>
      <w:marTop w:val="0"/>
      <w:marBottom w:val="0"/>
      <w:divBdr>
        <w:top w:val="none" w:sz="0" w:space="0" w:color="auto"/>
        <w:left w:val="none" w:sz="0" w:space="0" w:color="auto"/>
        <w:bottom w:val="none" w:sz="0" w:space="0" w:color="auto"/>
        <w:right w:val="none" w:sz="0" w:space="0" w:color="auto"/>
      </w:divBdr>
    </w:div>
    <w:div w:id="1273633337">
      <w:bodyDiv w:val="1"/>
      <w:marLeft w:val="0"/>
      <w:marRight w:val="0"/>
      <w:marTop w:val="0"/>
      <w:marBottom w:val="0"/>
      <w:divBdr>
        <w:top w:val="none" w:sz="0" w:space="0" w:color="auto"/>
        <w:left w:val="none" w:sz="0" w:space="0" w:color="auto"/>
        <w:bottom w:val="none" w:sz="0" w:space="0" w:color="auto"/>
        <w:right w:val="none" w:sz="0" w:space="0" w:color="auto"/>
      </w:divBdr>
    </w:div>
    <w:div w:id="1284538229">
      <w:bodyDiv w:val="1"/>
      <w:marLeft w:val="0"/>
      <w:marRight w:val="0"/>
      <w:marTop w:val="0"/>
      <w:marBottom w:val="0"/>
      <w:divBdr>
        <w:top w:val="none" w:sz="0" w:space="0" w:color="auto"/>
        <w:left w:val="none" w:sz="0" w:space="0" w:color="auto"/>
        <w:bottom w:val="none" w:sz="0" w:space="0" w:color="auto"/>
        <w:right w:val="none" w:sz="0" w:space="0" w:color="auto"/>
      </w:divBdr>
    </w:div>
    <w:div w:id="1286278084">
      <w:bodyDiv w:val="1"/>
      <w:marLeft w:val="0"/>
      <w:marRight w:val="0"/>
      <w:marTop w:val="0"/>
      <w:marBottom w:val="0"/>
      <w:divBdr>
        <w:top w:val="none" w:sz="0" w:space="0" w:color="auto"/>
        <w:left w:val="none" w:sz="0" w:space="0" w:color="auto"/>
        <w:bottom w:val="none" w:sz="0" w:space="0" w:color="auto"/>
        <w:right w:val="none" w:sz="0" w:space="0" w:color="auto"/>
      </w:divBdr>
    </w:div>
    <w:div w:id="1316059865">
      <w:bodyDiv w:val="1"/>
      <w:marLeft w:val="0"/>
      <w:marRight w:val="0"/>
      <w:marTop w:val="0"/>
      <w:marBottom w:val="0"/>
      <w:divBdr>
        <w:top w:val="none" w:sz="0" w:space="0" w:color="auto"/>
        <w:left w:val="none" w:sz="0" w:space="0" w:color="auto"/>
        <w:bottom w:val="none" w:sz="0" w:space="0" w:color="auto"/>
        <w:right w:val="none" w:sz="0" w:space="0" w:color="auto"/>
      </w:divBdr>
    </w:div>
    <w:div w:id="1320646985">
      <w:bodyDiv w:val="1"/>
      <w:marLeft w:val="0"/>
      <w:marRight w:val="0"/>
      <w:marTop w:val="0"/>
      <w:marBottom w:val="0"/>
      <w:divBdr>
        <w:top w:val="none" w:sz="0" w:space="0" w:color="auto"/>
        <w:left w:val="none" w:sz="0" w:space="0" w:color="auto"/>
        <w:bottom w:val="none" w:sz="0" w:space="0" w:color="auto"/>
        <w:right w:val="none" w:sz="0" w:space="0" w:color="auto"/>
      </w:divBdr>
    </w:div>
    <w:div w:id="1323657544">
      <w:bodyDiv w:val="1"/>
      <w:marLeft w:val="0"/>
      <w:marRight w:val="0"/>
      <w:marTop w:val="0"/>
      <w:marBottom w:val="0"/>
      <w:divBdr>
        <w:top w:val="none" w:sz="0" w:space="0" w:color="auto"/>
        <w:left w:val="none" w:sz="0" w:space="0" w:color="auto"/>
        <w:bottom w:val="none" w:sz="0" w:space="0" w:color="auto"/>
        <w:right w:val="none" w:sz="0" w:space="0" w:color="auto"/>
      </w:divBdr>
    </w:div>
    <w:div w:id="1324969104">
      <w:bodyDiv w:val="1"/>
      <w:marLeft w:val="0"/>
      <w:marRight w:val="0"/>
      <w:marTop w:val="0"/>
      <w:marBottom w:val="0"/>
      <w:divBdr>
        <w:top w:val="none" w:sz="0" w:space="0" w:color="auto"/>
        <w:left w:val="none" w:sz="0" w:space="0" w:color="auto"/>
        <w:bottom w:val="none" w:sz="0" w:space="0" w:color="auto"/>
        <w:right w:val="none" w:sz="0" w:space="0" w:color="auto"/>
      </w:divBdr>
    </w:div>
    <w:div w:id="1332101056">
      <w:bodyDiv w:val="1"/>
      <w:marLeft w:val="0"/>
      <w:marRight w:val="0"/>
      <w:marTop w:val="0"/>
      <w:marBottom w:val="0"/>
      <w:divBdr>
        <w:top w:val="none" w:sz="0" w:space="0" w:color="auto"/>
        <w:left w:val="none" w:sz="0" w:space="0" w:color="auto"/>
        <w:bottom w:val="none" w:sz="0" w:space="0" w:color="auto"/>
        <w:right w:val="none" w:sz="0" w:space="0" w:color="auto"/>
      </w:divBdr>
    </w:div>
    <w:div w:id="1351445988">
      <w:bodyDiv w:val="1"/>
      <w:marLeft w:val="0"/>
      <w:marRight w:val="0"/>
      <w:marTop w:val="0"/>
      <w:marBottom w:val="0"/>
      <w:divBdr>
        <w:top w:val="none" w:sz="0" w:space="0" w:color="auto"/>
        <w:left w:val="none" w:sz="0" w:space="0" w:color="auto"/>
        <w:bottom w:val="none" w:sz="0" w:space="0" w:color="auto"/>
        <w:right w:val="none" w:sz="0" w:space="0" w:color="auto"/>
      </w:divBdr>
    </w:div>
    <w:div w:id="1359043548">
      <w:bodyDiv w:val="1"/>
      <w:marLeft w:val="0"/>
      <w:marRight w:val="0"/>
      <w:marTop w:val="0"/>
      <w:marBottom w:val="0"/>
      <w:divBdr>
        <w:top w:val="none" w:sz="0" w:space="0" w:color="auto"/>
        <w:left w:val="none" w:sz="0" w:space="0" w:color="auto"/>
        <w:bottom w:val="none" w:sz="0" w:space="0" w:color="auto"/>
        <w:right w:val="none" w:sz="0" w:space="0" w:color="auto"/>
      </w:divBdr>
    </w:div>
    <w:div w:id="1368987348">
      <w:bodyDiv w:val="1"/>
      <w:marLeft w:val="0"/>
      <w:marRight w:val="0"/>
      <w:marTop w:val="0"/>
      <w:marBottom w:val="0"/>
      <w:divBdr>
        <w:top w:val="none" w:sz="0" w:space="0" w:color="auto"/>
        <w:left w:val="none" w:sz="0" w:space="0" w:color="auto"/>
        <w:bottom w:val="none" w:sz="0" w:space="0" w:color="auto"/>
        <w:right w:val="none" w:sz="0" w:space="0" w:color="auto"/>
      </w:divBdr>
    </w:div>
    <w:div w:id="1369988029">
      <w:bodyDiv w:val="1"/>
      <w:marLeft w:val="0"/>
      <w:marRight w:val="0"/>
      <w:marTop w:val="0"/>
      <w:marBottom w:val="0"/>
      <w:divBdr>
        <w:top w:val="none" w:sz="0" w:space="0" w:color="auto"/>
        <w:left w:val="none" w:sz="0" w:space="0" w:color="auto"/>
        <w:bottom w:val="none" w:sz="0" w:space="0" w:color="auto"/>
        <w:right w:val="none" w:sz="0" w:space="0" w:color="auto"/>
      </w:divBdr>
    </w:div>
    <w:div w:id="1374236852">
      <w:bodyDiv w:val="1"/>
      <w:marLeft w:val="0"/>
      <w:marRight w:val="0"/>
      <w:marTop w:val="0"/>
      <w:marBottom w:val="0"/>
      <w:divBdr>
        <w:top w:val="none" w:sz="0" w:space="0" w:color="auto"/>
        <w:left w:val="none" w:sz="0" w:space="0" w:color="auto"/>
        <w:bottom w:val="none" w:sz="0" w:space="0" w:color="auto"/>
        <w:right w:val="none" w:sz="0" w:space="0" w:color="auto"/>
      </w:divBdr>
    </w:div>
    <w:div w:id="1388647513">
      <w:bodyDiv w:val="1"/>
      <w:marLeft w:val="0"/>
      <w:marRight w:val="0"/>
      <w:marTop w:val="0"/>
      <w:marBottom w:val="0"/>
      <w:divBdr>
        <w:top w:val="none" w:sz="0" w:space="0" w:color="auto"/>
        <w:left w:val="none" w:sz="0" w:space="0" w:color="auto"/>
        <w:bottom w:val="none" w:sz="0" w:space="0" w:color="auto"/>
        <w:right w:val="none" w:sz="0" w:space="0" w:color="auto"/>
      </w:divBdr>
    </w:div>
    <w:div w:id="1389839870">
      <w:bodyDiv w:val="1"/>
      <w:marLeft w:val="0"/>
      <w:marRight w:val="0"/>
      <w:marTop w:val="0"/>
      <w:marBottom w:val="0"/>
      <w:divBdr>
        <w:top w:val="none" w:sz="0" w:space="0" w:color="auto"/>
        <w:left w:val="none" w:sz="0" w:space="0" w:color="auto"/>
        <w:bottom w:val="none" w:sz="0" w:space="0" w:color="auto"/>
        <w:right w:val="none" w:sz="0" w:space="0" w:color="auto"/>
      </w:divBdr>
    </w:div>
    <w:div w:id="1395543815">
      <w:bodyDiv w:val="1"/>
      <w:marLeft w:val="0"/>
      <w:marRight w:val="0"/>
      <w:marTop w:val="0"/>
      <w:marBottom w:val="0"/>
      <w:divBdr>
        <w:top w:val="none" w:sz="0" w:space="0" w:color="auto"/>
        <w:left w:val="none" w:sz="0" w:space="0" w:color="auto"/>
        <w:bottom w:val="none" w:sz="0" w:space="0" w:color="auto"/>
        <w:right w:val="none" w:sz="0" w:space="0" w:color="auto"/>
      </w:divBdr>
    </w:div>
    <w:div w:id="1399864014">
      <w:bodyDiv w:val="1"/>
      <w:marLeft w:val="0"/>
      <w:marRight w:val="0"/>
      <w:marTop w:val="0"/>
      <w:marBottom w:val="0"/>
      <w:divBdr>
        <w:top w:val="none" w:sz="0" w:space="0" w:color="auto"/>
        <w:left w:val="none" w:sz="0" w:space="0" w:color="auto"/>
        <w:bottom w:val="none" w:sz="0" w:space="0" w:color="auto"/>
        <w:right w:val="none" w:sz="0" w:space="0" w:color="auto"/>
      </w:divBdr>
    </w:div>
    <w:div w:id="1400323017">
      <w:bodyDiv w:val="1"/>
      <w:marLeft w:val="0"/>
      <w:marRight w:val="0"/>
      <w:marTop w:val="0"/>
      <w:marBottom w:val="0"/>
      <w:divBdr>
        <w:top w:val="none" w:sz="0" w:space="0" w:color="auto"/>
        <w:left w:val="none" w:sz="0" w:space="0" w:color="auto"/>
        <w:bottom w:val="none" w:sz="0" w:space="0" w:color="auto"/>
        <w:right w:val="none" w:sz="0" w:space="0" w:color="auto"/>
      </w:divBdr>
    </w:div>
    <w:div w:id="1405758830">
      <w:bodyDiv w:val="1"/>
      <w:marLeft w:val="0"/>
      <w:marRight w:val="0"/>
      <w:marTop w:val="0"/>
      <w:marBottom w:val="0"/>
      <w:divBdr>
        <w:top w:val="none" w:sz="0" w:space="0" w:color="auto"/>
        <w:left w:val="none" w:sz="0" w:space="0" w:color="auto"/>
        <w:bottom w:val="none" w:sz="0" w:space="0" w:color="auto"/>
        <w:right w:val="none" w:sz="0" w:space="0" w:color="auto"/>
      </w:divBdr>
    </w:div>
    <w:div w:id="1408766171">
      <w:bodyDiv w:val="1"/>
      <w:marLeft w:val="0"/>
      <w:marRight w:val="0"/>
      <w:marTop w:val="0"/>
      <w:marBottom w:val="0"/>
      <w:divBdr>
        <w:top w:val="none" w:sz="0" w:space="0" w:color="auto"/>
        <w:left w:val="none" w:sz="0" w:space="0" w:color="auto"/>
        <w:bottom w:val="none" w:sz="0" w:space="0" w:color="auto"/>
        <w:right w:val="none" w:sz="0" w:space="0" w:color="auto"/>
      </w:divBdr>
    </w:div>
    <w:div w:id="1410272527">
      <w:bodyDiv w:val="1"/>
      <w:marLeft w:val="0"/>
      <w:marRight w:val="0"/>
      <w:marTop w:val="0"/>
      <w:marBottom w:val="0"/>
      <w:divBdr>
        <w:top w:val="none" w:sz="0" w:space="0" w:color="auto"/>
        <w:left w:val="none" w:sz="0" w:space="0" w:color="auto"/>
        <w:bottom w:val="none" w:sz="0" w:space="0" w:color="auto"/>
        <w:right w:val="none" w:sz="0" w:space="0" w:color="auto"/>
      </w:divBdr>
    </w:div>
    <w:div w:id="1426612985">
      <w:bodyDiv w:val="1"/>
      <w:marLeft w:val="0"/>
      <w:marRight w:val="0"/>
      <w:marTop w:val="0"/>
      <w:marBottom w:val="0"/>
      <w:divBdr>
        <w:top w:val="none" w:sz="0" w:space="0" w:color="auto"/>
        <w:left w:val="none" w:sz="0" w:space="0" w:color="auto"/>
        <w:bottom w:val="none" w:sz="0" w:space="0" w:color="auto"/>
        <w:right w:val="none" w:sz="0" w:space="0" w:color="auto"/>
      </w:divBdr>
    </w:div>
    <w:div w:id="1430546761">
      <w:bodyDiv w:val="1"/>
      <w:marLeft w:val="0"/>
      <w:marRight w:val="0"/>
      <w:marTop w:val="0"/>
      <w:marBottom w:val="0"/>
      <w:divBdr>
        <w:top w:val="none" w:sz="0" w:space="0" w:color="auto"/>
        <w:left w:val="none" w:sz="0" w:space="0" w:color="auto"/>
        <w:bottom w:val="none" w:sz="0" w:space="0" w:color="auto"/>
        <w:right w:val="none" w:sz="0" w:space="0" w:color="auto"/>
      </w:divBdr>
    </w:div>
    <w:div w:id="1431702129">
      <w:bodyDiv w:val="1"/>
      <w:marLeft w:val="0"/>
      <w:marRight w:val="0"/>
      <w:marTop w:val="0"/>
      <w:marBottom w:val="0"/>
      <w:divBdr>
        <w:top w:val="none" w:sz="0" w:space="0" w:color="auto"/>
        <w:left w:val="none" w:sz="0" w:space="0" w:color="auto"/>
        <w:bottom w:val="none" w:sz="0" w:space="0" w:color="auto"/>
        <w:right w:val="none" w:sz="0" w:space="0" w:color="auto"/>
      </w:divBdr>
    </w:div>
    <w:div w:id="1432356400">
      <w:bodyDiv w:val="1"/>
      <w:marLeft w:val="0"/>
      <w:marRight w:val="0"/>
      <w:marTop w:val="0"/>
      <w:marBottom w:val="0"/>
      <w:divBdr>
        <w:top w:val="none" w:sz="0" w:space="0" w:color="auto"/>
        <w:left w:val="none" w:sz="0" w:space="0" w:color="auto"/>
        <w:bottom w:val="none" w:sz="0" w:space="0" w:color="auto"/>
        <w:right w:val="none" w:sz="0" w:space="0" w:color="auto"/>
      </w:divBdr>
    </w:div>
    <w:div w:id="1432748174">
      <w:bodyDiv w:val="1"/>
      <w:marLeft w:val="0"/>
      <w:marRight w:val="0"/>
      <w:marTop w:val="0"/>
      <w:marBottom w:val="0"/>
      <w:divBdr>
        <w:top w:val="none" w:sz="0" w:space="0" w:color="auto"/>
        <w:left w:val="none" w:sz="0" w:space="0" w:color="auto"/>
        <w:bottom w:val="none" w:sz="0" w:space="0" w:color="auto"/>
        <w:right w:val="none" w:sz="0" w:space="0" w:color="auto"/>
      </w:divBdr>
    </w:div>
    <w:div w:id="1442719948">
      <w:bodyDiv w:val="1"/>
      <w:marLeft w:val="0"/>
      <w:marRight w:val="0"/>
      <w:marTop w:val="0"/>
      <w:marBottom w:val="0"/>
      <w:divBdr>
        <w:top w:val="none" w:sz="0" w:space="0" w:color="auto"/>
        <w:left w:val="none" w:sz="0" w:space="0" w:color="auto"/>
        <w:bottom w:val="none" w:sz="0" w:space="0" w:color="auto"/>
        <w:right w:val="none" w:sz="0" w:space="0" w:color="auto"/>
      </w:divBdr>
    </w:div>
    <w:div w:id="1452213531">
      <w:bodyDiv w:val="1"/>
      <w:marLeft w:val="0"/>
      <w:marRight w:val="0"/>
      <w:marTop w:val="0"/>
      <w:marBottom w:val="0"/>
      <w:divBdr>
        <w:top w:val="none" w:sz="0" w:space="0" w:color="auto"/>
        <w:left w:val="none" w:sz="0" w:space="0" w:color="auto"/>
        <w:bottom w:val="none" w:sz="0" w:space="0" w:color="auto"/>
        <w:right w:val="none" w:sz="0" w:space="0" w:color="auto"/>
      </w:divBdr>
    </w:div>
    <w:div w:id="1456406910">
      <w:bodyDiv w:val="1"/>
      <w:marLeft w:val="0"/>
      <w:marRight w:val="0"/>
      <w:marTop w:val="0"/>
      <w:marBottom w:val="0"/>
      <w:divBdr>
        <w:top w:val="none" w:sz="0" w:space="0" w:color="auto"/>
        <w:left w:val="none" w:sz="0" w:space="0" w:color="auto"/>
        <w:bottom w:val="none" w:sz="0" w:space="0" w:color="auto"/>
        <w:right w:val="none" w:sz="0" w:space="0" w:color="auto"/>
      </w:divBdr>
    </w:div>
    <w:div w:id="1461067346">
      <w:bodyDiv w:val="1"/>
      <w:marLeft w:val="0"/>
      <w:marRight w:val="0"/>
      <w:marTop w:val="0"/>
      <w:marBottom w:val="0"/>
      <w:divBdr>
        <w:top w:val="none" w:sz="0" w:space="0" w:color="auto"/>
        <w:left w:val="none" w:sz="0" w:space="0" w:color="auto"/>
        <w:bottom w:val="none" w:sz="0" w:space="0" w:color="auto"/>
        <w:right w:val="none" w:sz="0" w:space="0" w:color="auto"/>
      </w:divBdr>
    </w:div>
    <w:div w:id="1464302224">
      <w:bodyDiv w:val="1"/>
      <w:marLeft w:val="0"/>
      <w:marRight w:val="0"/>
      <w:marTop w:val="0"/>
      <w:marBottom w:val="0"/>
      <w:divBdr>
        <w:top w:val="none" w:sz="0" w:space="0" w:color="auto"/>
        <w:left w:val="none" w:sz="0" w:space="0" w:color="auto"/>
        <w:bottom w:val="none" w:sz="0" w:space="0" w:color="auto"/>
        <w:right w:val="none" w:sz="0" w:space="0" w:color="auto"/>
      </w:divBdr>
    </w:div>
    <w:div w:id="1466268594">
      <w:bodyDiv w:val="1"/>
      <w:marLeft w:val="0"/>
      <w:marRight w:val="0"/>
      <w:marTop w:val="0"/>
      <w:marBottom w:val="0"/>
      <w:divBdr>
        <w:top w:val="none" w:sz="0" w:space="0" w:color="auto"/>
        <w:left w:val="none" w:sz="0" w:space="0" w:color="auto"/>
        <w:bottom w:val="none" w:sz="0" w:space="0" w:color="auto"/>
        <w:right w:val="none" w:sz="0" w:space="0" w:color="auto"/>
      </w:divBdr>
    </w:div>
    <w:div w:id="1481532885">
      <w:bodyDiv w:val="1"/>
      <w:marLeft w:val="0"/>
      <w:marRight w:val="0"/>
      <w:marTop w:val="0"/>
      <w:marBottom w:val="0"/>
      <w:divBdr>
        <w:top w:val="none" w:sz="0" w:space="0" w:color="auto"/>
        <w:left w:val="none" w:sz="0" w:space="0" w:color="auto"/>
        <w:bottom w:val="none" w:sz="0" w:space="0" w:color="auto"/>
        <w:right w:val="none" w:sz="0" w:space="0" w:color="auto"/>
      </w:divBdr>
    </w:div>
    <w:div w:id="1483741353">
      <w:bodyDiv w:val="1"/>
      <w:marLeft w:val="0"/>
      <w:marRight w:val="0"/>
      <w:marTop w:val="0"/>
      <w:marBottom w:val="0"/>
      <w:divBdr>
        <w:top w:val="none" w:sz="0" w:space="0" w:color="auto"/>
        <w:left w:val="none" w:sz="0" w:space="0" w:color="auto"/>
        <w:bottom w:val="none" w:sz="0" w:space="0" w:color="auto"/>
        <w:right w:val="none" w:sz="0" w:space="0" w:color="auto"/>
      </w:divBdr>
    </w:div>
    <w:div w:id="1487283771">
      <w:bodyDiv w:val="1"/>
      <w:marLeft w:val="0"/>
      <w:marRight w:val="0"/>
      <w:marTop w:val="0"/>
      <w:marBottom w:val="0"/>
      <w:divBdr>
        <w:top w:val="none" w:sz="0" w:space="0" w:color="auto"/>
        <w:left w:val="none" w:sz="0" w:space="0" w:color="auto"/>
        <w:bottom w:val="none" w:sz="0" w:space="0" w:color="auto"/>
        <w:right w:val="none" w:sz="0" w:space="0" w:color="auto"/>
      </w:divBdr>
    </w:div>
    <w:div w:id="1488782430">
      <w:bodyDiv w:val="1"/>
      <w:marLeft w:val="0"/>
      <w:marRight w:val="0"/>
      <w:marTop w:val="0"/>
      <w:marBottom w:val="0"/>
      <w:divBdr>
        <w:top w:val="none" w:sz="0" w:space="0" w:color="auto"/>
        <w:left w:val="none" w:sz="0" w:space="0" w:color="auto"/>
        <w:bottom w:val="none" w:sz="0" w:space="0" w:color="auto"/>
        <w:right w:val="none" w:sz="0" w:space="0" w:color="auto"/>
      </w:divBdr>
    </w:div>
    <w:div w:id="1489399222">
      <w:bodyDiv w:val="1"/>
      <w:marLeft w:val="0"/>
      <w:marRight w:val="0"/>
      <w:marTop w:val="0"/>
      <w:marBottom w:val="0"/>
      <w:divBdr>
        <w:top w:val="none" w:sz="0" w:space="0" w:color="auto"/>
        <w:left w:val="none" w:sz="0" w:space="0" w:color="auto"/>
        <w:bottom w:val="none" w:sz="0" w:space="0" w:color="auto"/>
        <w:right w:val="none" w:sz="0" w:space="0" w:color="auto"/>
      </w:divBdr>
    </w:div>
    <w:div w:id="1504976633">
      <w:bodyDiv w:val="1"/>
      <w:marLeft w:val="0"/>
      <w:marRight w:val="0"/>
      <w:marTop w:val="0"/>
      <w:marBottom w:val="0"/>
      <w:divBdr>
        <w:top w:val="none" w:sz="0" w:space="0" w:color="auto"/>
        <w:left w:val="none" w:sz="0" w:space="0" w:color="auto"/>
        <w:bottom w:val="none" w:sz="0" w:space="0" w:color="auto"/>
        <w:right w:val="none" w:sz="0" w:space="0" w:color="auto"/>
      </w:divBdr>
    </w:div>
    <w:div w:id="1507288967">
      <w:bodyDiv w:val="1"/>
      <w:marLeft w:val="0"/>
      <w:marRight w:val="0"/>
      <w:marTop w:val="0"/>
      <w:marBottom w:val="0"/>
      <w:divBdr>
        <w:top w:val="none" w:sz="0" w:space="0" w:color="auto"/>
        <w:left w:val="none" w:sz="0" w:space="0" w:color="auto"/>
        <w:bottom w:val="none" w:sz="0" w:space="0" w:color="auto"/>
        <w:right w:val="none" w:sz="0" w:space="0" w:color="auto"/>
      </w:divBdr>
    </w:div>
    <w:div w:id="1515000220">
      <w:bodyDiv w:val="1"/>
      <w:marLeft w:val="0"/>
      <w:marRight w:val="0"/>
      <w:marTop w:val="0"/>
      <w:marBottom w:val="0"/>
      <w:divBdr>
        <w:top w:val="none" w:sz="0" w:space="0" w:color="auto"/>
        <w:left w:val="none" w:sz="0" w:space="0" w:color="auto"/>
        <w:bottom w:val="none" w:sz="0" w:space="0" w:color="auto"/>
        <w:right w:val="none" w:sz="0" w:space="0" w:color="auto"/>
      </w:divBdr>
    </w:div>
    <w:div w:id="1517646869">
      <w:bodyDiv w:val="1"/>
      <w:marLeft w:val="0"/>
      <w:marRight w:val="0"/>
      <w:marTop w:val="0"/>
      <w:marBottom w:val="0"/>
      <w:divBdr>
        <w:top w:val="none" w:sz="0" w:space="0" w:color="auto"/>
        <w:left w:val="none" w:sz="0" w:space="0" w:color="auto"/>
        <w:bottom w:val="none" w:sz="0" w:space="0" w:color="auto"/>
        <w:right w:val="none" w:sz="0" w:space="0" w:color="auto"/>
      </w:divBdr>
    </w:div>
    <w:div w:id="1518496429">
      <w:bodyDiv w:val="1"/>
      <w:marLeft w:val="0"/>
      <w:marRight w:val="0"/>
      <w:marTop w:val="0"/>
      <w:marBottom w:val="0"/>
      <w:divBdr>
        <w:top w:val="none" w:sz="0" w:space="0" w:color="auto"/>
        <w:left w:val="none" w:sz="0" w:space="0" w:color="auto"/>
        <w:bottom w:val="none" w:sz="0" w:space="0" w:color="auto"/>
        <w:right w:val="none" w:sz="0" w:space="0" w:color="auto"/>
      </w:divBdr>
    </w:div>
    <w:div w:id="1533613270">
      <w:bodyDiv w:val="1"/>
      <w:marLeft w:val="0"/>
      <w:marRight w:val="0"/>
      <w:marTop w:val="0"/>
      <w:marBottom w:val="0"/>
      <w:divBdr>
        <w:top w:val="none" w:sz="0" w:space="0" w:color="auto"/>
        <w:left w:val="none" w:sz="0" w:space="0" w:color="auto"/>
        <w:bottom w:val="none" w:sz="0" w:space="0" w:color="auto"/>
        <w:right w:val="none" w:sz="0" w:space="0" w:color="auto"/>
      </w:divBdr>
    </w:div>
    <w:div w:id="1553078606">
      <w:bodyDiv w:val="1"/>
      <w:marLeft w:val="0"/>
      <w:marRight w:val="0"/>
      <w:marTop w:val="0"/>
      <w:marBottom w:val="0"/>
      <w:divBdr>
        <w:top w:val="none" w:sz="0" w:space="0" w:color="auto"/>
        <w:left w:val="none" w:sz="0" w:space="0" w:color="auto"/>
        <w:bottom w:val="none" w:sz="0" w:space="0" w:color="auto"/>
        <w:right w:val="none" w:sz="0" w:space="0" w:color="auto"/>
      </w:divBdr>
    </w:div>
    <w:div w:id="1557466973">
      <w:bodyDiv w:val="1"/>
      <w:marLeft w:val="0"/>
      <w:marRight w:val="0"/>
      <w:marTop w:val="0"/>
      <w:marBottom w:val="0"/>
      <w:divBdr>
        <w:top w:val="none" w:sz="0" w:space="0" w:color="auto"/>
        <w:left w:val="none" w:sz="0" w:space="0" w:color="auto"/>
        <w:bottom w:val="none" w:sz="0" w:space="0" w:color="auto"/>
        <w:right w:val="none" w:sz="0" w:space="0" w:color="auto"/>
      </w:divBdr>
    </w:div>
    <w:div w:id="1562980507">
      <w:bodyDiv w:val="1"/>
      <w:marLeft w:val="0"/>
      <w:marRight w:val="0"/>
      <w:marTop w:val="0"/>
      <w:marBottom w:val="0"/>
      <w:divBdr>
        <w:top w:val="none" w:sz="0" w:space="0" w:color="auto"/>
        <w:left w:val="none" w:sz="0" w:space="0" w:color="auto"/>
        <w:bottom w:val="none" w:sz="0" w:space="0" w:color="auto"/>
        <w:right w:val="none" w:sz="0" w:space="0" w:color="auto"/>
      </w:divBdr>
    </w:div>
    <w:div w:id="1563176994">
      <w:bodyDiv w:val="1"/>
      <w:marLeft w:val="0"/>
      <w:marRight w:val="0"/>
      <w:marTop w:val="0"/>
      <w:marBottom w:val="0"/>
      <w:divBdr>
        <w:top w:val="none" w:sz="0" w:space="0" w:color="auto"/>
        <w:left w:val="none" w:sz="0" w:space="0" w:color="auto"/>
        <w:bottom w:val="none" w:sz="0" w:space="0" w:color="auto"/>
        <w:right w:val="none" w:sz="0" w:space="0" w:color="auto"/>
      </w:divBdr>
    </w:div>
    <w:div w:id="1563952952">
      <w:bodyDiv w:val="1"/>
      <w:marLeft w:val="0"/>
      <w:marRight w:val="0"/>
      <w:marTop w:val="0"/>
      <w:marBottom w:val="0"/>
      <w:divBdr>
        <w:top w:val="none" w:sz="0" w:space="0" w:color="auto"/>
        <w:left w:val="none" w:sz="0" w:space="0" w:color="auto"/>
        <w:bottom w:val="none" w:sz="0" w:space="0" w:color="auto"/>
        <w:right w:val="none" w:sz="0" w:space="0" w:color="auto"/>
      </w:divBdr>
    </w:div>
    <w:div w:id="1563983526">
      <w:bodyDiv w:val="1"/>
      <w:marLeft w:val="0"/>
      <w:marRight w:val="0"/>
      <w:marTop w:val="0"/>
      <w:marBottom w:val="0"/>
      <w:divBdr>
        <w:top w:val="none" w:sz="0" w:space="0" w:color="auto"/>
        <w:left w:val="none" w:sz="0" w:space="0" w:color="auto"/>
        <w:bottom w:val="none" w:sz="0" w:space="0" w:color="auto"/>
        <w:right w:val="none" w:sz="0" w:space="0" w:color="auto"/>
      </w:divBdr>
    </w:div>
    <w:div w:id="1565138727">
      <w:bodyDiv w:val="1"/>
      <w:marLeft w:val="0"/>
      <w:marRight w:val="0"/>
      <w:marTop w:val="0"/>
      <w:marBottom w:val="0"/>
      <w:divBdr>
        <w:top w:val="none" w:sz="0" w:space="0" w:color="auto"/>
        <w:left w:val="none" w:sz="0" w:space="0" w:color="auto"/>
        <w:bottom w:val="none" w:sz="0" w:space="0" w:color="auto"/>
        <w:right w:val="none" w:sz="0" w:space="0" w:color="auto"/>
      </w:divBdr>
    </w:div>
    <w:div w:id="1566329536">
      <w:bodyDiv w:val="1"/>
      <w:marLeft w:val="0"/>
      <w:marRight w:val="0"/>
      <w:marTop w:val="0"/>
      <w:marBottom w:val="0"/>
      <w:divBdr>
        <w:top w:val="none" w:sz="0" w:space="0" w:color="auto"/>
        <w:left w:val="none" w:sz="0" w:space="0" w:color="auto"/>
        <w:bottom w:val="none" w:sz="0" w:space="0" w:color="auto"/>
        <w:right w:val="none" w:sz="0" w:space="0" w:color="auto"/>
      </w:divBdr>
    </w:div>
    <w:div w:id="1566911716">
      <w:bodyDiv w:val="1"/>
      <w:marLeft w:val="0"/>
      <w:marRight w:val="0"/>
      <w:marTop w:val="0"/>
      <w:marBottom w:val="0"/>
      <w:divBdr>
        <w:top w:val="none" w:sz="0" w:space="0" w:color="auto"/>
        <w:left w:val="none" w:sz="0" w:space="0" w:color="auto"/>
        <w:bottom w:val="none" w:sz="0" w:space="0" w:color="auto"/>
        <w:right w:val="none" w:sz="0" w:space="0" w:color="auto"/>
      </w:divBdr>
    </w:div>
    <w:div w:id="1569071523">
      <w:bodyDiv w:val="1"/>
      <w:marLeft w:val="0"/>
      <w:marRight w:val="0"/>
      <w:marTop w:val="0"/>
      <w:marBottom w:val="0"/>
      <w:divBdr>
        <w:top w:val="none" w:sz="0" w:space="0" w:color="auto"/>
        <w:left w:val="none" w:sz="0" w:space="0" w:color="auto"/>
        <w:bottom w:val="none" w:sz="0" w:space="0" w:color="auto"/>
        <w:right w:val="none" w:sz="0" w:space="0" w:color="auto"/>
      </w:divBdr>
    </w:div>
    <w:div w:id="1581519079">
      <w:bodyDiv w:val="1"/>
      <w:marLeft w:val="0"/>
      <w:marRight w:val="0"/>
      <w:marTop w:val="0"/>
      <w:marBottom w:val="0"/>
      <w:divBdr>
        <w:top w:val="none" w:sz="0" w:space="0" w:color="auto"/>
        <w:left w:val="none" w:sz="0" w:space="0" w:color="auto"/>
        <w:bottom w:val="none" w:sz="0" w:space="0" w:color="auto"/>
        <w:right w:val="none" w:sz="0" w:space="0" w:color="auto"/>
      </w:divBdr>
    </w:div>
    <w:div w:id="1581982019">
      <w:bodyDiv w:val="1"/>
      <w:marLeft w:val="0"/>
      <w:marRight w:val="0"/>
      <w:marTop w:val="0"/>
      <w:marBottom w:val="0"/>
      <w:divBdr>
        <w:top w:val="none" w:sz="0" w:space="0" w:color="auto"/>
        <w:left w:val="none" w:sz="0" w:space="0" w:color="auto"/>
        <w:bottom w:val="none" w:sz="0" w:space="0" w:color="auto"/>
        <w:right w:val="none" w:sz="0" w:space="0" w:color="auto"/>
      </w:divBdr>
    </w:div>
    <w:div w:id="1589001806">
      <w:bodyDiv w:val="1"/>
      <w:marLeft w:val="0"/>
      <w:marRight w:val="0"/>
      <w:marTop w:val="0"/>
      <w:marBottom w:val="0"/>
      <w:divBdr>
        <w:top w:val="none" w:sz="0" w:space="0" w:color="auto"/>
        <w:left w:val="none" w:sz="0" w:space="0" w:color="auto"/>
        <w:bottom w:val="none" w:sz="0" w:space="0" w:color="auto"/>
        <w:right w:val="none" w:sz="0" w:space="0" w:color="auto"/>
      </w:divBdr>
    </w:div>
    <w:div w:id="1601067407">
      <w:bodyDiv w:val="1"/>
      <w:marLeft w:val="0"/>
      <w:marRight w:val="0"/>
      <w:marTop w:val="0"/>
      <w:marBottom w:val="0"/>
      <w:divBdr>
        <w:top w:val="none" w:sz="0" w:space="0" w:color="auto"/>
        <w:left w:val="none" w:sz="0" w:space="0" w:color="auto"/>
        <w:bottom w:val="none" w:sz="0" w:space="0" w:color="auto"/>
        <w:right w:val="none" w:sz="0" w:space="0" w:color="auto"/>
      </w:divBdr>
    </w:div>
    <w:div w:id="1607537332">
      <w:bodyDiv w:val="1"/>
      <w:marLeft w:val="0"/>
      <w:marRight w:val="0"/>
      <w:marTop w:val="0"/>
      <w:marBottom w:val="0"/>
      <w:divBdr>
        <w:top w:val="none" w:sz="0" w:space="0" w:color="auto"/>
        <w:left w:val="none" w:sz="0" w:space="0" w:color="auto"/>
        <w:bottom w:val="none" w:sz="0" w:space="0" w:color="auto"/>
        <w:right w:val="none" w:sz="0" w:space="0" w:color="auto"/>
      </w:divBdr>
    </w:div>
    <w:div w:id="1615163909">
      <w:bodyDiv w:val="1"/>
      <w:marLeft w:val="0"/>
      <w:marRight w:val="0"/>
      <w:marTop w:val="0"/>
      <w:marBottom w:val="0"/>
      <w:divBdr>
        <w:top w:val="none" w:sz="0" w:space="0" w:color="auto"/>
        <w:left w:val="none" w:sz="0" w:space="0" w:color="auto"/>
        <w:bottom w:val="none" w:sz="0" w:space="0" w:color="auto"/>
        <w:right w:val="none" w:sz="0" w:space="0" w:color="auto"/>
      </w:divBdr>
    </w:div>
    <w:div w:id="1621299076">
      <w:bodyDiv w:val="1"/>
      <w:marLeft w:val="0"/>
      <w:marRight w:val="0"/>
      <w:marTop w:val="0"/>
      <w:marBottom w:val="0"/>
      <w:divBdr>
        <w:top w:val="none" w:sz="0" w:space="0" w:color="auto"/>
        <w:left w:val="none" w:sz="0" w:space="0" w:color="auto"/>
        <w:bottom w:val="none" w:sz="0" w:space="0" w:color="auto"/>
        <w:right w:val="none" w:sz="0" w:space="0" w:color="auto"/>
      </w:divBdr>
    </w:div>
    <w:div w:id="1624996952">
      <w:bodyDiv w:val="1"/>
      <w:marLeft w:val="0"/>
      <w:marRight w:val="0"/>
      <w:marTop w:val="0"/>
      <w:marBottom w:val="0"/>
      <w:divBdr>
        <w:top w:val="none" w:sz="0" w:space="0" w:color="auto"/>
        <w:left w:val="none" w:sz="0" w:space="0" w:color="auto"/>
        <w:bottom w:val="none" w:sz="0" w:space="0" w:color="auto"/>
        <w:right w:val="none" w:sz="0" w:space="0" w:color="auto"/>
      </w:divBdr>
    </w:div>
    <w:div w:id="1627810209">
      <w:bodyDiv w:val="1"/>
      <w:marLeft w:val="0"/>
      <w:marRight w:val="0"/>
      <w:marTop w:val="0"/>
      <w:marBottom w:val="0"/>
      <w:divBdr>
        <w:top w:val="none" w:sz="0" w:space="0" w:color="auto"/>
        <w:left w:val="none" w:sz="0" w:space="0" w:color="auto"/>
        <w:bottom w:val="none" w:sz="0" w:space="0" w:color="auto"/>
        <w:right w:val="none" w:sz="0" w:space="0" w:color="auto"/>
      </w:divBdr>
    </w:div>
    <w:div w:id="1639991300">
      <w:bodyDiv w:val="1"/>
      <w:marLeft w:val="0"/>
      <w:marRight w:val="0"/>
      <w:marTop w:val="0"/>
      <w:marBottom w:val="0"/>
      <w:divBdr>
        <w:top w:val="none" w:sz="0" w:space="0" w:color="auto"/>
        <w:left w:val="none" w:sz="0" w:space="0" w:color="auto"/>
        <w:bottom w:val="none" w:sz="0" w:space="0" w:color="auto"/>
        <w:right w:val="none" w:sz="0" w:space="0" w:color="auto"/>
      </w:divBdr>
    </w:div>
    <w:div w:id="1640647909">
      <w:bodyDiv w:val="1"/>
      <w:marLeft w:val="0"/>
      <w:marRight w:val="0"/>
      <w:marTop w:val="0"/>
      <w:marBottom w:val="0"/>
      <w:divBdr>
        <w:top w:val="none" w:sz="0" w:space="0" w:color="auto"/>
        <w:left w:val="none" w:sz="0" w:space="0" w:color="auto"/>
        <w:bottom w:val="none" w:sz="0" w:space="0" w:color="auto"/>
        <w:right w:val="none" w:sz="0" w:space="0" w:color="auto"/>
      </w:divBdr>
    </w:div>
    <w:div w:id="1641380155">
      <w:bodyDiv w:val="1"/>
      <w:marLeft w:val="0"/>
      <w:marRight w:val="0"/>
      <w:marTop w:val="0"/>
      <w:marBottom w:val="0"/>
      <w:divBdr>
        <w:top w:val="none" w:sz="0" w:space="0" w:color="auto"/>
        <w:left w:val="none" w:sz="0" w:space="0" w:color="auto"/>
        <w:bottom w:val="none" w:sz="0" w:space="0" w:color="auto"/>
        <w:right w:val="none" w:sz="0" w:space="0" w:color="auto"/>
      </w:divBdr>
    </w:div>
    <w:div w:id="1658872950">
      <w:bodyDiv w:val="1"/>
      <w:marLeft w:val="0"/>
      <w:marRight w:val="0"/>
      <w:marTop w:val="0"/>
      <w:marBottom w:val="0"/>
      <w:divBdr>
        <w:top w:val="none" w:sz="0" w:space="0" w:color="auto"/>
        <w:left w:val="none" w:sz="0" w:space="0" w:color="auto"/>
        <w:bottom w:val="none" w:sz="0" w:space="0" w:color="auto"/>
        <w:right w:val="none" w:sz="0" w:space="0" w:color="auto"/>
      </w:divBdr>
    </w:div>
    <w:div w:id="1676422656">
      <w:bodyDiv w:val="1"/>
      <w:marLeft w:val="0"/>
      <w:marRight w:val="0"/>
      <w:marTop w:val="0"/>
      <w:marBottom w:val="0"/>
      <w:divBdr>
        <w:top w:val="none" w:sz="0" w:space="0" w:color="auto"/>
        <w:left w:val="none" w:sz="0" w:space="0" w:color="auto"/>
        <w:bottom w:val="none" w:sz="0" w:space="0" w:color="auto"/>
        <w:right w:val="none" w:sz="0" w:space="0" w:color="auto"/>
      </w:divBdr>
    </w:div>
    <w:div w:id="1676566233">
      <w:bodyDiv w:val="1"/>
      <w:marLeft w:val="0"/>
      <w:marRight w:val="0"/>
      <w:marTop w:val="0"/>
      <w:marBottom w:val="0"/>
      <w:divBdr>
        <w:top w:val="none" w:sz="0" w:space="0" w:color="auto"/>
        <w:left w:val="none" w:sz="0" w:space="0" w:color="auto"/>
        <w:bottom w:val="none" w:sz="0" w:space="0" w:color="auto"/>
        <w:right w:val="none" w:sz="0" w:space="0" w:color="auto"/>
      </w:divBdr>
    </w:div>
    <w:div w:id="1681155286">
      <w:bodyDiv w:val="1"/>
      <w:marLeft w:val="0"/>
      <w:marRight w:val="0"/>
      <w:marTop w:val="0"/>
      <w:marBottom w:val="0"/>
      <w:divBdr>
        <w:top w:val="none" w:sz="0" w:space="0" w:color="auto"/>
        <w:left w:val="none" w:sz="0" w:space="0" w:color="auto"/>
        <w:bottom w:val="none" w:sz="0" w:space="0" w:color="auto"/>
        <w:right w:val="none" w:sz="0" w:space="0" w:color="auto"/>
      </w:divBdr>
    </w:div>
    <w:div w:id="1681657044">
      <w:bodyDiv w:val="1"/>
      <w:marLeft w:val="0"/>
      <w:marRight w:val="0"/>
      <w:marTop w:val="0"/>
      <w:marBottom w:val="0"/>
      <w:divBdr>
        <w:top w:val="none" w:sz="0" w:space="0" w:color="auto"/>
        <w:left w:val="none" w:sz="0" w:space="0" w:color="auto"/>
        <w:bottom w:val="none" w:sz="0" w:space="0" w:color="auto"/>
        <w:right w:val="none" w:sz="0" w:space="0" w:color="auto"/>
      </w:divBdr>
    </w:div>
    <w:div w:id="1692800272">
      <w:bodyDiv w:val="1"/>
      <w:marLeft w:val="0"/>
      <w:marRight w:val="0"/>
      <w:marTop w:val="0"/>
      <w:marBottom w:val="0"/>
      <w:divBdr>
        <w:top w:val="none" w:sz="0" w:space="0" w:color="auto"/>
        <w:left w:val="none" w:sz="0" w:space="0" w:color="auto"/>
        <w:bottom w:val="none" w:sz="0" w:space="0" w:color="auto"/>
        <w:right w:val="none" w:sz="0" w:space="0" w:color="auto"/>
      </w:divBdr>
    </w:div>
    <w:div w:id="1706982747">
      <w:bodyDiv w:val="1"/>
      <w:marLeft w:val="0"/>
      <w:marRight w:val="0"/>
      <w:marTop w:val="0"/>
      <w:marBottom w:val="0"/>
      <w:divBdr>
        <w:top w:val="none" w:sz="0" w:space="0" w:color="auto"/>
        <w:left w:val="none" w:sz="0" w:space="0" w:color="auto"/>
        <w:bottom w:val="none" w:sz="0" w:space="0" w:color="auto"/>
        <w:right w:val="none" w:sz="0" w:space="0" w:color="auto"/>
      </w:divBdr>
    </w:div>
    <w:div w:id="1708410001">
      <w:bodyDiv w:val="1"/>
      <w:marLeft w:val="0"/>
      <w:marRight w:val="0"/>
      <w:marTop w:val="0"/>
      <w:marBottom w:val="0"/>
      <w:divBdr>
        <w:top w:val="none" w:sz="0" w:space="0" w:color="auto"/>
        <w:left w:val="none" w:sz="0" w:space="0" w:color="auto"/>
        <w:bottom w:val="none" w:sz="0" w:space="0" w:color="auto"/>
        <w:right w:val="none" w:sz="0" w:space="0" w:color="auto"/>
      </w:divBdr>
    </w:div>
    <w:div w:id="1709721163">
      <w:bodyDiv w:val="1"/>
      <w:marLeft w:val="0"/>
      <w:marRight w:val="0"/>
      <w:marTop w:val="0"/>
      <w:marBottom w:val="0"/>
      <w:divBdr>
        <w:top w:val="none" w:sz="0" w:space="0" w:color="auto"/>
        <w:left w:val="none" w:sz="0" w:space="0" w:color="auto"/>
        <w:bottom w:val="none" w:sz="0" w:space="0" w:color="auto"/>
        <w:right w:val="none" w:sz="0" w:space="0" w:color="auto"/>
      </w:divBdr>
    </w:div>
    <w:div w:id="1724284675">
      <w:bodyDiv w:val="1"/>
      <w:marLeft w:val="0"/>
      <w:marRight w:val="0"/>
      <w:marTop w:val="0"/>
      <w:marBottom w:val="0"/>
      <w:divBdr>
        <w:top w:val="none" w:sz="0" w:space="0" w:color="auto"/>
        <w:left w:val="none" w:sz="0" w:space="0" w:color="auto"/>
        <w:bottom w:val="none" w:sz="0" w:space="0" w:color="auto"/>
        <w:right w:val="none" w:sz="0" w:space="0" w:color="auto"/>
      </w:divBdr>
    </w:div>
    <w:div w:id="1725107389">
      <w:bodyDiv w:val="1"/>
      <w:marLeft w:val="0"/>
      <w:marRight w:val="0"/>
      <w:marTop w:val="0"/>
      <w:marBottom w:val="0"/>
      <w:divBdr>
        <w:top w:val="none" w:sz="0" w:space="0" w:color="auto"/>
        <w:left w:val="none" w:sz="0" w:space="0" w:color="auto"/>
        <w:bottom w:val="none" w:sz="0" w:space="0" w:color="auto"/>
        <w:right w:val="none" w:sz="0" w:space="0" w:color="auto"/>
      </w:divBdr>
    </w:div>
    <w:div w:id="1737779252">
      <w:bodyDiv w:val="1"/>
      <w:marLeft w:val="0"/>
      <w:marRight w:val="0"/>
      <w:marTop w:val="0"/>
      <w:marBottom w:val="0"/>
      <w:divBdr>
        <w:top w:val="none" w:sz="0" w:space="0" w:color="auto"/>
        <w:left w:val="none" w:sz="0" w:space="0" w:color="auto"/>
        <w:bottom w:val="none" w:sz="0" w:space="0" w:color="auto"/>
        <w:right w:val="none" w:sz="0" w:space="0" w:color="auto"/>
      </w:divBdr>
    </w:div>
    <w:div w:id="1745687658">
      <w:bodyDiv w:val="1"/>
      <w:marLeft w:val="0"/>
      <w:marRight w:val="0"/>
      <w:marTop w:val="0"/>
      <w:marBottom w:val="0"/>
      <w:divBdr>
        <w:top w:val="none" w:sz="0" w:space="0" w:color="auto"/>
        <w:left w:val="none" w:sz="0" w:space="0" w:color="auto"/>
        <w:bottom w:val="none" w:sz="0" w:space="0" w:color="auto"/>
        <w:right w:val="none" w:sz="0" w:space="0" w:color="auto"/>
      </w:divBdr>
    </w:div>
    <w:div w:id="1750686929">
      <w:bodyDiv w:val="1"/>
      <w:marLeft w:val="0"/>
      <w:marRight w:val="0"/>
      <w:marTop w:val="0"/>
      <w:marBottom w:val="0"/>
      <w:divBdr>
        <w:top w:val="none" w:sz="0" w:space="0" w:color="auto"/>
        <w:left w:val="none" w:sz="0" w:space="0" w:color="auto"/>
        <w:bottom w:val="none" w:sz="0" w:space="0" w:color="auto"/>
        <w:right w:val="none" w:sz="0" w:space="0" w:color="auto"/>
      </w:divBdr>
    </w:div>
    <w:div w:id="1751467255">
      <w:bodyDiv w:val="1"/>
      <w:marLeft w:val="0"/>
      <w:marRight w:val="0"/>
      <w:marTop w:val="0"/>
      <w:marBottom w:val="0"/>
      <w:divBdr>
        <w:top w:val="none" w:sz="0" w:space="0" w:color="auto"/>
        <w:left w:val="none" w:sz="0" w:space="0" w:color="auto"/>
        <w:bottom w:val="none" w:sz="0" w:space="0" w:color="auto"/>
        <w:right w:val="none" w:sz="0" w:space="0" w:color="auto"/>
      </w:divBdr>
    </w:div>
    <w:div w:id="1753817164">
      <w:bodyDiv w:val="1"/>
      <w:marLeft w:val="0"/>
      <w:marRight w:val="0"/>
      <w:marTop w:val="0"/>
      <w:marBottom w:val="0"/>
      <w:divBdr>
        <w:top w:val="none" w:sz="0" w:space="0" w:color="auto"/>
        <w:left w:val="none" w:sz="0" w:space="0" w:color="auto"/>
        <w:bottom w:val="none" w:sz="0" w:space="0" w:color="auto"/>
        <w:right w:val="none" w:sz="0" w:space="0" w:color="auto"/>
      </w:divBdr>
    </w:div>
    <w:div w:id="1755544975">
      <w:bodyDiv w:val="1"/>
      <w:marLeft w:val="0"/>
      <w:marRight w:val="0"/>
      <w:marTop w:val="0"/>
      <w:marBottom w:val="0"/>
      <w:divBdr>
        <w:top w:val="none" w:sz="0" w:space="0" w:color="auto"/>
        <w:left w:val="none" w:sz="0" w:space="0" w:color="auto"/>
        <w:bottom w:val="none" w:sz="0" w:space="0" w:color="auto"/>
        <w:right w:val="none" w:sz="0" w:space="0" w:color="auto"/>
      </w:divBdr>
    </w:div>
    <w:div w:id="1769957600">
      <w:bodyDiv w:val="1"/>
      <w:marLeft w:val="0"/>
      <w:marRight w:val="0"/>
      <w:marTop w:val="0"/>
      <w:marBottom w:val="0"/>
      <w:divBdr>
        <w:top w:val="none" w:sz="0" w:space="0" w:color="auto"/>
        <w:left w:val="none" w:sz="0" w:space="0" w:color="auto"/>
        <w:bottom w:val="none" w:sz="0" w:space="0" w:color="auto"/>
        <w:right w:val="none" w:sz="0" w:space="0" w:color="auto"/>
      </w:divBdr>
    </w:div>
    <w:div w:id="1776898619">
      <w:bodyDiv w:val="1"/>
      <w:marLeft w:val="0"/>
      <w:marRight w:val="0"/>
      <w:marTop w:val="0"/>
      <w:marBottom w:val="0"/>
      <w:divBdr>
        <w:top w:val="none" w:sz="0" w:space="0" w:color="auto"/>
        <w:left w:val="none" w:sz="0" w:space="0" w:color="auto"/>
        <w:bottom w:val="none" w:sz="0" w:space="0" w:color="auto"/>
        <w:right w:val="none" w:sz="0" w:space="0" w:color="auto"/>
      </w:divBdr>
    </w:div>
    <w:div w:id="1783571011">
      <w:bodyDiv w:val="1"/>
      <w:marLeft w:val="0"/>
      <w:marRight w:val="0"/>
      <w:marTop w:val="0"/>
      <w:marBottom w:val="0"/>
      <w:divBdr>
        <w:top w:val="none" w:sz="0" w:space="0" w:color="auto"/>
        <w:left w:val="none" w:sz="0" w:space="0" w:color="auto"/>
        <w:bottom w:val="none" w:sz="0" w:space="0" w:color="auto"/>
        <w:right w:val="none" w:sz="0" w:space="0" w:color="auto"/>
      </w:divBdr>
    </w:div>
    <w:div w:id="1785612995">
      <w:bodyDiv w:val="1"/>
      <w:marLeft w:val="0"/>
      <w:marRight w:val="0"/>
      <w:marTop w:val="0"/>
      <w:marBottom w:val="0"/>
      <w:divBdr>
        <w:top w:val="none" w:sz="0" w:space="0" w:color="auto"/>
        <w:left w:val="none" w:sz="0" w:space="0" w:color="auto"/>
        <w:bottom w:val="none" w:sz="0" w:space="0" w:color="auto"/>
        <w:right w:val="none" w:sz="0" w:space="0" w:color="auto"/>
      </w:divBdr>
    </w:div>
    <w:div w:id="1793589943">
      <w:bodyDiv w:val="1"/>
      <w:marLeft w:val="0"/>
      <w:marRight w:val="0"/>
      <w:marTop w:val="0"/>
      <w:marBottom w:val="0"/>
      <w:divBdr>
        <w:top w:val="none" w:sz="0" w:space="0" w:color="auto"/>
        <w:left w:val="none" w:sz="0" w:space="0" w:color="auto"/>
        <w:bottom w:val="none" w:sz="0" w:space="0" w:color="auto"/>
        <w:right w:val="none" w:sz="0" w:space="0" w:color="auto"/>
      </w:divBdr>
    </w:div>
    <w:div w:id="1793862777">
      <w:bodyDiv w:val="1"/>
      <w:marLeft w:val="0"/>
      <w:marRight w:val="0"/>
      <w:marTop w:val="0"/>
      <w:marBottom w:val="0"/>
      <w:divBdr>
        <w:top w:val="none" w:sz="0" w:space="0" w:color="auto"/>
        <w:left w:val="none" w:sz="0" w:space="0" w:color="auto"/>
        <w:bottom w:val="none" w:sz="0" w:space="0" w:color="auto"/>
        <w:right w:val="none" w:sz="0" w:space="0" w:color="auto"/>
      </w:divBdr>
    </w:div>
    <w:div w:id="1802646772">
      <w:bodyDiv w:val="1"/>
      <w:marLeft w:val="0"/>
      <w:marRight w:val="0"/>
      <w:marTop w:val="0"/>
      <w:marBottom w:val="0"/>
      <w:divBdr>
        <w:top w:val="none" w:sz="0" w:space="0" w:color="auto"/>
        <w:left w:val="none" w:sz="0" w:space="0" w:color="auto"/>
        <w:bottom w:val="none" w:sz="0" w:space="0" w:color="auto"/>
        <w:right w:val="none" w:sz="0" w:space="0" w:color="auto"/>
      </w:divBdr>
    </w:div>
    <w:div w:id="1815487769">
      <w:bodyDiv w:val="1"/>
      <w:marLeft w:val="0"/>
      <w:marRight w:val="0"/>
      <w:marTop w:val="0"/>
      <w:marBottom w:val="0"/>
      <w:divBdr>
        <w:top w:val="none" w:sz="0" w:space="0" w:color="auto"/>
        <w:left w:val="none" w:sz="0" w:space="0" w:color="auto"/>
        <w:bottom w:val="none" w:sz="0" w:space="0" w:color="auto"/>
        <w:right w:val="none" w:sz="0" w:space="0" w:color="auto"/>
      </w:divBdr>
    </w:div>
    <w:div w:id="1822774842">
      <w:bodyDiv w:val="1"/>
      <w:marLeft w:val="0"/>
      <w:marRight w:val="0"/>
      <w:marTop w:val="0"/>
      <w:marBottom w:val="0"/>
      <w:divBdr>
        <w:top w:val="none" w:sz="0" w:space="0" w:color="auto"/>
        <w:left w:val="none" w:sz="0" w:space="0" w:color="auto"/>
        <w:bottom w:val="none" w:sz="0" w:space="0" w:color="auto"/>
        <w:right w:val="none" w:sz="0" w:space="0" w:color="auto"/>
      </w:divBdr>
    </w:div>
    <w:div w:id="1826051041">
      <w:bodyDiv w:val="1"/>
      <w:marLeft w:val="0"/>
      <w:marRight w:val="0"/>
      <w:marTop w:val="0"/>
      <w:marBottom w:val="0"/>
      <w:divBdr>
        <w:top w:val="none" w:sz="0" w:space="0" w:color="auto"/>
        <w:left w:val="none" w:sz="0" w:space="0" w:color="auto"/>
        <w:bottom w:val="none" w:sz="0" w:space="0" w:color="auto"/>
        <w:right w:val="none" w:sz="0" w:space="0" w:color="auto"/>
      </w:divBdr>
    </w:div>
    <w:div w:id="1828663191">
      <w:bodyDiv w:val="1"/>
      <w:marLeft w:val="0"/>
      <w:marRight w:val="0"/>
      <w:marTop w:val="0"/>
      <w:marBottom w:val="0"/>
      <w:divBdr>
        <w:top w:val="none" w:sz="0" w:space="0" w:color="auto"/>
        <w:left w:val="none" w:sz="0" w:space="0" w:color="auto"/>
        <w:bottom w:val="none" w:sz="0" w:space="0" w:color="auto"/>
        <w:right w:val="none" w:sz="0" w:space="0" w:color="auto"/>
      </w:divBdr>
    </w:div>
    <w:div w:id="1837843207">
      <w:bodyDiv w:val="1"/>
      <w:marLeft w:val="0"/>
      <w:marRight w:val="0"/>
      <w:marTop w:val="0"/>
      <w:marBottom w:val="0"/>
      <w:divBdr>
        <w:top w:val="none" w:sz="0" w:space="0" w:color="auto"/>
        <w:left w:val="none" w:sz="0" w:space="0" w:color="auto"/>
        <w:bottom w:val="none" w:sz="0" w:space="0" w:color="auto"/>
        <w:right w:val="none" w:sz="0" w:space="0" w:color="auto"/>
      </w:divBdr>
    </w:div>
    <w:div w:id="1839882714">
      <w:bodyDiv w:val="1"/>
      <w:marLeft w:val="0"/>
      <w:marRight w:val="0"/>
      <w:marTop w:val="0"/>
      <w:marBottom w:val="0"/>
      <w:divBdr>
        <w:top w:val="none" w:sz="0" w:space="0" w:color="auto"/>
        <w:left w:val="none" w:sz="0" w:space="0" w:color="auto"/>
        <w:bottom w:val="none" w:sz="0" w:space="0" w:color="auto"/>
        <w:right w:val="none" w:sz="0" w:space="0" w:color="auto"/>
      </w:divBdr>
    </w:div>
    <w:div w:id="1845316849">
      <w:bodyDiv w:val="1"/>
      <w:marLeft w:val="0"/>
      <w:marRight w:val="0"/>
      <w:marTop w:val="0"/>
      <w:marBottom w:val="0"/>
      <w:divBdr>
        <w:top w:val="none" w:sz="0" w:space="0" w:color="auto"/>
        <w:left w:val="none" w:sz="0" w:space="0" w:color="auto"/>
        <w:bottom w:val="none" w:sz="0" w:space="0" w:color="auto"/>
        <w:right w:val="none" w:sz="0" w:space="0" w:color="auto"/>
      </w:divBdr>
    </w:div>
    <w:div w:id="1870990047">
      <w:bodyDiv w:val="1"/>
      <w:marLeft w:val="0"/>
      <w:marRight w:val="0"/>
      <w:marTop w:val="0"/>
      <w:marBottom w:val="0"/>
      <w:divBdr>
        <w:top w:val="none" w:sz="0" w:space="0" w:color="auto"/>
        <w:left w:val="none" w:sz="0" w:space="0" w:color="auto"/>
        <w:bottom w:val="none" w:sz="0" w:space="0" w:color="auto"/>
        <w:right w:val="none" w:sz="0" w:space="0" w:color="auto"/>
      </w:divBdr>
    </w:div>
    <w:div w:id="1875844298">
      <w:bodyDiv w:val="1"/>
      <w:marLeft w:val="0"/>
      <w:marRight w:val="0"/>
      <w:marTop w:val="0"/>
      <w:marBottom w:val="0"/>
      <w:divBdr>
        <w:top w:val="none" w:sz="0" w:space="0" w:color="auto"/>
        <w:left w:val="none" w:sz="0" w:space="0" w:color="auto"/>
        <w:bottom w:val="none" w:sz="0" w:space="0" w:color="auto"/>
        <w:right w:val="none" w:sz="0" w:space="0" w:color="auto"/>
      </w:divBdr>
    </w:div>
    <w:div w:id="1879196135">
      <w:bodyDiv w:val="1"/>
      <w:marLeft w:val="0"/>
      <w:marRight w:val="0"/>
      <w:marTop w:val="0"/>
      <w:marBottom w:val="0"/>
      <w:divBdr>
        <w:top w:val="none" w:sz="0" w:space="0" w:color="auto"/>
        <w:left w:val="none" w:sz="0" w:space="0" w:color="auto"/>
        <w:bottom w:val="none" w:sz="0" w:space="0" w:color="auto"/>
        <w:right w:val="none" w:sz="0" w:space="0" w:color="auto"/>
      </w:divBdr>
    </w:div>
    <w:div w:id="1890218037">
      <w:bodyDiv w:val="1"/>
      <w:marLeft w:val="0"/>
      <w:marRight w:val="0"/>
      <w:marTop w:val="0"/>
      <w:marBottom w:val="0"/>
      <w:divBdr>
        <w:top w:val="none" w:sz="0" w:space="0" w:color="auto"/>
        <w:left w:val="none" w:sz="0" w:space="0" w:color="auto"/>
        <w:bottom w:val="none" w:sz="0" w:space="0" w:color="auto"/>
        <w:right w:val="none" w:sz="0" w:space="0" w:color="auto"/>
      </w:divBdr>
    </w:div>
    <w:div w:id="1900898030">
      <w:bodyDiv w:val="1"/>
      <w:marLeft w:val="0"/>
      <w:marRight w:val="0"/>
      <w:marTop w:val="0"/>
      <w:marBottom w:val="0"/>
      <w:divBdr>
        <w:top w:val="none" w:sz="0" w:space="0" w:color="auto"/>
        <w:left w:val="none" w:sz="0" w:space="0" w:color="auto"/>
        <w:bottom w:val="none" w:sz="0" w:space="0" w:color="auto"/>
        <w:right w:val="none" w:sz="0" w:space="0" w:color="auto"/>
      </w:divBdr>
    </w:div>
    <w:div w:id="1901865335">
      <w:bodyDiv w:val="1"/>
      <w:marLeft w:val="0"/>
      <w:marRight w:val="0"/>
      <w:marTop w:val="0"/>
      <w:marBottom w:val="0"/>
      <w:divBdr>
        <w:top w:val="none" w:sz="0" w:space="0" w:color="auto"/>
        <w:left w:val="none" w:sz="0" w:space="0" w:color="auto"/>
        <w:bottom w:val="none" w:sz="0" w:space="0" w:color="auto"/>
        <w:right w:val="none" w:sz="0" w:space="0" w:color="auto"/>
      </w:divBdr>
    </w:div>
    <w:div w:id="1906138151">
      <w:bodyDiv w:val="1"/>
      <w:marLeft w:val="0"/>
      <w:marRight w:val="0"/>
      <w:marTop w:val="0"/>
      <w:marBottom w:val="0"/>
      <w:divBdr>
        <w:top w:val="none" w:sz="0" w:space="0" w:color="auto"/>
        <w:left w:val="none" w:sz="0" w:space="0" w:color="auto"/>
        <w:bottom w:val="none" w:sz="0" w:space="0" w:color="auto"/>
        <w:right w:val="none" w:sz="0" w:space="0" w:color="auto"/>
      </w:divBdr>
    </w:div>
    <w:div w:id="1914461799">
      <w:bodyDiv w:val="1"/>
      <w:marLeft w:val="0"/>
      <w:marRight w:val="0"/>
      <w:marTop w:val="0"/>
      <w:marBottom w:val="0"/>
      <w:divBdr>
        <w:top w:val="none" w:sz="0" w:space="0" w:color="auto"/>
        <w:left w:val="none" w:sz="0" w:space="0" w:color="auto"/>
        <w:bottom w:val="none" w:sz="0" w:space="0" w:color="auto"/>
        <w:right w:val="none" w:sz="0" w:space="0" w:color="auto"/>
      </w:divBdr>
    </w:div>
    <w:div w:id="1927229660">
      <w:bodyDiv w:val="1"/>
      <w:marLeft w:val="0"/>
      <w:marRight w:val="0"/>
      <w:marTop w:val="0"/>
      <w:marBottom w:val="0"/>
      <w:divBdr>
        <w:top w:val="none" w:sz="0" w:space="0" w:color="auto"/>
        <w:left w:val="none" w:sz="0" w:space="0" w:color="auto"/>
        <w:bottom w:val="none" w:sz="0" w:space="0" w:color="auto"/>
        <w:right w:val="none" w:sz="0" w:space="0" w:color="auto"/>
      </w:divBdr>
    </w:div>
    <w:div w:id="1936983849">
      <w:bodyDiv w:val="1"/>
      <w:marLeft w:val="0"/>
      <w:marRight w:val="0"/>
      <w:marTop w:val="0"/>
      <w:marBottom w:val="0"/>
      <w:divBdr>
        <w:top w:val="none" w:sz="0" w:space="0" w:color="auto"/>
        <w:left w:val="none" w:sz="0" w:space="0" w:color="auto"/>
        <w:bottom w:val="none" w:sz="0" w:space="0" w:color="auto"/>
        <w:right w:val="none" w:sz="0" w:space="0" w:color="auto"/>
      </w:divBdr>
    </w:div>
    <w:div w:id="1939293335">
      <w:bodyDiv w:val="1"/>
      <w:marLeft w:val="0"/>
      <w:marRight w:val="0"/>
      <w:marTop w:val="0"/>
      <w:marBottom w:val="0"/>
      <w:divBdr>
        <w:top w:val="none" w:sz="0" w:space="0" w:color="auto"/>
        <w:left w:val="none" w:sz="0" w:space="0" w:color="auto"/>
        <w:bottom w:val="none" w:sz="0" w:space="0" w:color="auto"/>
        <w:right w:val="none" w:sz="0" w:space="0" w:color="auto"/>
      </w:divBdr>
    </w:div>
    <w:div w:id="1949966466">
      <w:bodyDiv w:val="1"/>
      <w:marLeft w:val="0"/>
      <w:marRight w:val="0"/>
      <w:marTop w:val="0"/>
      <w:marBottom w:val="0"/>
      <w:divBdr>
        <w:top w:val="none" w:sz="0" w:space="0" w:color="auto"/>
        <w:left w:val="none" w:sz="0" w:space="0" w:color="auto"/>
        <w:bottom w:val="none" w:sz="0" w:space="0" w:color="auto"/>
        <w:right w:val="none" w:sz="0" w:space="0" w:color="auto"/>
      </w:divBdr>
    </w:div>
    <w:div w:id="1955089776">
      <w:bodyDiv w:val="1"/>
      <w:marLeft w:val="0"/>
      <w:marRight w:val="0"/>
      <w:marTop w:val="0"/>
      <w:marBottom w:val="0"/>
      <w:divBdr>
        <w:top w:val="none" w:sz="0" w:space="0" w:color="auto"/>
        <w:left w:val="none" w:sz="0" w:space="0" w:color="auto"/>
        <w:bottom w:val="none" w:sz="0" w:space="0" w:color="auto"/>
        <w:right w:val="none" w:sz="0" w:space="0" w:color="auto"/>
      </w:divBdr>
    </w:div>
    <w:div w:id="1966543487">
      <w:bodyDiv w:val="1"/>
      <w:marLeft w:val="0"/>
      <w:marRight w:val="0"/>
      <w:marTop w:val="0"/>
      <w:marBottom w:val="0"/>
      <w:divBdr>
        <w:top w:val="none" w:sz="0" w:space="0" w:color="auto"/>
        <w:left w:val="none" w:sz="0" w:space="0" w:color="auto"/>
        <w:bottom w:val="none" w:sz="0" w:space="0" w:color="auto"/>
        <w:right w:val="none" w:sz="0" w:space="0" w:color="auto"/>
      </w:divBdr>
    </w:div>
    <w:div w:id="1979526119">
      <w:bodyDiv w:val="1"/>
      <w:marLeft w:val="0"/>
      <w:marRight w:val="0"/>
      <w:marTop w:val="0"/>
      <w:marBottom w:val="0"/>
      <w:divBdr>
        <w:top w:val="none" w:sz="0" w:space="0" w:color="auto"/>
        <w:left w:val="none" w:sz="0" w:space="0" w:color="auto"/>
        <w:bottom w:val="none" w:sz="0" w:space="0" w:color="auto"/>
        <w:right w:val="none" w:sz="0" w:space="0" w:color="auto"/>
      </w:divBdr>
    </w:div>
    <w:div w:id="1980648055">
      <w:bodyDiv w:val="1"/>
      <w:marLeft w:val="0"/>
      <w:marRight w:val="0"/>
      <w:marTop w:val="0"/>
      <w:marBottom w:val="0"/>
      <w:divBdr>
        <w:top w:val="none" w:sz="0" w:space="0" w:color="auto"/>
        <w:left w:val="none" w:sz="0" w:space="0" w:color="auto"/>
        <w:bottom w:val="none" w:sz="0" w:space="0" w:color="auto"/>
        <w:right w:val="none" w:sz="0" w:space="0" w:color="auto"/>
      </w:divBdr>
    </w:div>
    <w:div w:id="1983654822">
      <w:bodyDiv w:val="1"/>
      <w:marLeft w:val="0"/>
      <w:marRight w:val="0"/>
      <w:marTop w:val="0"/>
      <w:marBottom w:val="0"/>
      <w:divBdr>
        <w:top w:val="none" w:sz="0" w:space="0" w:color="auto"/>
        <w:left w:val="none" w:sz="0" w:space="0" w:color="auto"/>
        <w:bottom w:val="none" w:sz="0" w:space="0" w:color="auto"/>
        <w:right w:val="none" w:sz="0" w:space="0" w:color="auto"/>
      </w:divBdr>
    </w:div>
    <w:div w:id="1988510776">
      <w:bodyDiv w:val="1"/>
      <w:marLeft w:val="0"/>
      <w:marRight w:val="0"/>
      <w:marTop w:val="0"/>
      <w:marBottom w:val="0"/>
      <w:divBdr>
        <w:top w:val="none" w:sz="0" w:space="0" w:color="auto"/>
        <w:left w:val="none" w:sz="0" w:space="0" w:color="auto"/>
        <w:bottom w:val="none" w:sz="0" w:space="0" w:color="auto"/>
        <w:right w:val="none" w:sz="0" w:space="0" w:color="auto"/>
      </w:divBdr>
    </w:div>
    <w:div w:id="2001301118">
      <w:bodyDiv w:val="1"/>
      <w:marLeft w:val="0"/>
      <w:marRight w:val="0"/>
      <w:marTop w:val="0"/>
      <w:marBottom w:val="0"/>
      <w:divBdr>
        <w:top w:val="none" w:sz="0" w:space="0" w:color="auto"/>
        <w:left w:val="none" w:sz="0" w:space="0" w:color="auto"/>
        <w:bottom w:val="none" w:sz="0" w:space="0" w:color="auto"/>
        <w:right w:val="none" w:sz="0" w:space="0" w:color="auto"/>
      </w:divBdr>
    </w:div>
    <w:div w:id="2004812720">
      <w:bodyDiv w:val="1"/>
      <w:marLeft w:val="0"/>
      <w:marRight w:val="0"/>
      <w:marTop w:val="0"/>
      <w:marBottom w:val="0"/>
      <w:divBdr>
        <w:top w:val="none" w:sz="0" w:space="0" w:color="auto"/>
        <w:left w:val="none" w:sz="0" w:space="0" w:color="auto"/>
        <w:bottom w:val="none" w:sz="0" w:space="0" w:color="auto"/>
        <w:right w:val="none" w:sz="0" w:space="0" w:color="auto"/>
      </w:divBdr>
    </w:div>
    <w:div w:id="2005693745">
      <w:bodyDiv w:val="1"/>
      <w:marLeft w:val="0"/>
      <w:marRight w:val="0"/>
      <w:marTop w:val="0"/>
      <w:marBottom w:val="0"/>
      <w:divBdr>
        <w:top w:val="none" w:sz="0" w:space="0" w:color="auto"/>
        <w:left w:val="none" w:sz="0" w:space="0" w:color="auto"/>
        <w:bottom w:val="none" w:sz="0" w:space="0" w:color="auto"/>
        <w:right w:val="none" w:sz="0" w:space="0" w:color="auto"/>
      </w:divBdr>
    </w:div>
    <w:div w:id="2024820040">
      <w:bodyDiv w:val="1"/>
      <w:marLeft w:val="0"/>
      <w:marRight w:val="0"/>
      <w:marTop w:val="0"/>
      <w:marBottom w:val="0"/>
      <w:divBdr>
        <w:top w:val="none" w:sz="0" w:space="0" w:color="auto"/>
        <w:left w:val="none" w:sz="0" w:space="0" w:color="auto"/>
        <w:bottom w:val="none" w:sz="0" w:space="0" w:color="auto"/>
        <w:right w:val="none" w:sz="0" w:space="0" w:color="auto"/>
      </w:divBdr>
    </w:div>
    <w:div w:id="2028866284">
      <w:bodyDiv w:val="1"/>
      <w:marLeft w:val="0"/>
      <w:marRight w:val="0"/>
      <w:marTop w:val="0"/>
      <w:marBottom w:val="0"/>
      <w:divBdr>
        <w:top w:val="none" w:sz="0" w:space="0" w:color="auto"/>
        <w:left w:val="none" w:sz="0" w:space="0" w:color="auto"/>
        <w:bottom w:val="none" w:sz="0" w:space="0" w:color="auto"/>
        <w:right w:val="none" w:sz="0" w:space="0" w:color="auto"/>
      </w:divBdr>
    </w:div>
    <w:div w:id="2032416067">
      <w:bodyDiv w:val="1"/>
      <w:marLeft w:val="0"/>
      <w:marRight w:val="0"/>
      <w:marTop w:val="0"/>
      <w:marBottom w:val="0"/>
      <w:divBdr>
        <w:top w:val="none" w:sz="0" w:space="0" w:color="auto"/>
        <w:left w:val="none" w:sz="0" w:space="0" w:color="auto"/>
        <w:bottom w:val="none" w:sz="0" w:space="0" w:color="auto"/>
        <w:right w:val="none" w:sz="0" w:space="0" w:color="auto"/>
      </w:divBdr>
    </w:div>
    <w:div w:id="2035375856">
      <w:bodyDiv w:val="1"/>
      <w:marLeft w:val="0"/>
      <w:marRight w:val="0"/>
      <w:marTop w:val="0"/>
      <w:marBottom w:val="0"/>
      <w:divBdr>
        <w:top w:val="none" w:sz="0" w:space="0" w:color="auto"/>
        <w:left w:val="none" w:sz="0" w:space="0" w:color="auto"/>
        <w:bottom w:val="none" w:sz="0" w:space="0" w:color="auto"/>
        <w:right w:val="none" w:sz="0" w:space="0" w:color="auto"/>
      </w:divBdr>
    </w:div>
    <w:div w:id="2037660277">
      <w:bodyDiv w:val="1"/>
      <w:marLeft w:val="0"/>
      <w:marRight w:val="0"/>
      <w:marTop w:val="0"/>
      <w:marBottom w:val="0"/>
      <w:divBdr>
        <w:top w:val="none" w:sz="0" w:space="0" w:color="auto"/>
        <w:left w:val="none" w:sz="0" w:space="0" w:color="auto"/>
        <w:bottom w:val="none" w:sz="0" w:space="0" w:color="auto"/>
        <w:right w:val="none" w:sz="0" w:space="0" w:color="auto"/>
      </w:divBdr>
    </w:div>
    <w:div w:id="2038463302">
      <w:bodyDiv w:val="1"/>
      <w:marLeft w:val="0"/>
      <w:marRight w:val="0"/>
      <w:marTop w:val="0"/>
      <w:marBottom w:val="0"/>
      <w:divBdr>
        <w:top w:val="none" w:sz="0" w:space="0" w:color="auto"/>
        <w:left w:val="none" w:sz="0" w:space="0" w:color="auto"/>
        <w:bottom w:val="none" w:sz="0" w:space="0" w:color="auto"/>
        <w:right w:val="none" w:sz="0" w:space="0" w:color="auto"/>
      </w:divBdr>
    </w:div>
    <w:div w:id="2039233471">
      <w:bodyDiv w:val="1"/>
      <w:marLeft w:val="0"/>
      <w:marRight w:val="0"/>
      <w:marTop w:val="0"/>
      <w:marBottom w:val="0"/>
      <w:divBdr>
        <w:top w:val="none" w:sz="0" w:space="0" w:color="auto"/>
        <w:left w:val="none" w:sz="0" w:space="0" w:color="auto"/>
        <w:bottom w:val="none" w:sz="0" w:space="0" w:color="auto"/>
        <w:right w:val="none" w:sz="0" w:space="0" w:color="auto"/>
      </w:divBdr>
    </w:div>
    <w:div w:id="2046179027">
      <w:bodyDiv w:val="1"/>
      <w:marLeft w:val="0"/>
      <w:marRight w:val="0"/>
      <w:marTop w:val="0"/>
      <w:marBottom w:val="0"/>
      <w:divBdr>
        <w:top w:val="none" w:sz="0" w:space="0" w:color="auto"/>
        <w:left w:val="none" w:sz="0" w:space="0" w:color="auto"/>
        <w:bottom w:val="none" w:sz="0" w:space="0" w:color="auto"/>
        <w:right w:val="none" w:sz="0" w:space="0" w:color="auto"/>
      </w:divBdr>
    </w:div>
    <w:div w:id="2062901292">
      <w:bodyDiv w:val="1"/>
      <w:marLeft w:val="0"/>
      <w:marRight w:val="0"/>
      <w:marTop w:val="0"/>
      <w:marBottom w:val="0"/>
      <w:divBdr>
        <w:top w:val="none" w:sz="0" w:space="0" w:color="auto"/>
        <w:left w:val="none" w:sz="0" w:space="0" w:color="auto"/>
        <w:bottom w:val="none" w:sz="0" w:space="0" w:color="auto"/>
        <w:right w:val="none" w:sz="0" w:space="0" w:color="auto"/>
      </w:divBdr>
    </w:div>
    <w:div w:id="2076009703">
      <w:bodyDiv w:val="1"/>
      <w:marLeft w:val="0"/>
      <w:marRight w:val="0"/>
      <w:marTop w:val="0"/>
      <w:marBottom w:val="0"/>
      <w:divBdr>
        <w:top w:val="none" w:sz="0" w:space="0" w:color="auto"/>
        <w:left w:val="none" w:sz="0" w:space="0" w:color="auto"/>
        <w:bottom w:val="none" w:sz="0" w:space="0" w:color="auto"/>
        <w:right w:val="none" w:sz="0" w:space="0" w:color="auto"/>
      </w:divBdr>
    </w:div>
    <w:div w:id="2080514998">
      <w:bodyDiv w:val="1"/>
      <w:marLeft w:val="0"/>
      <w:marRight w:val="0"/>
      <w:marTop w:val="0"/>
      <w:marBottom w:val="0"/>
      <w:divBdr>
        <w:top w:val="none" w:sz="0" w:space="0" w:color="auto"/>
        <w:left w:val="none" w:sz="0" w:space="0" w:color="auto"/>
        <w:bottom w:val="none" w:sz="0" w:space="0" w:color="auto"/>
        <w:right w:val="none" w:sz="0" w:space="0" w:color="auto"/>
      </w:divBdr>
    </w:div>
    <w:div w:id="2082285052">
      <w:bodyDiv w:val="1"/>
      <w:marLeft w:val="0"/>
      <w:marRight w:val="0"/>
      <w:marTop w:val="0"/>
      <w:marBottom w:val="0"/>
      <w:divBdr>
        <w:top w:val="none" w:sz="0" w:space="0" w:color="auto"/>
        <w:left w:val="none" w:sz="0" w:space="0" w:color="auto"/>
        <w:bottom w:val="none" w:sz="0" w:space="0" w:color="auto"/>
        <w:right w:val="none" w:sz="0" w:space="0" w:color="auto"/>
      </w:divBdr>
    </w:div>
    <w:div w:id="2089040266">
      <w:bodyDiv w:val="1"/>
      <w:marLeft w:val="0"/>
      <w:marRight w:val="0"/>
      <w:marTop w:val="0"/>
      <w:marBottom w:val="0"/>
      <w:divBdr>
        <w:top w:val="none" w:sz="0" w:space="0" w:color="auto"/>
        <w:left w:val="none" w:sz="0" w:space="0" w:color="auto"/>
        <w:bottom w:val="none" w:sz="0" w:space="0" w:color="auto"/>
        <w:right w:val="none" w:sz="0" w:space="0" w:color="auto"/>
      </w:divBdr>
    </w:div>
    <w:div w:id="2091728521">
      <w:bodyDiv w:val="1"/>
      <w:marLeft w:val="0"/>
      <w:marRight w:val="0"/>
      <w:marTop w:val="0"/>
      <w:marBottom w:val="0"/>
      <w:divBdr>
        <w:top w:val="none" w:sz="0" w:space="0" w:color="auto"/>
        <w:left w:val="none" w:sz="0" w:space="0" w:color="auto"/>
        <w:bottom w:val="none" w:sz="0" w:space="0" w:color="auto"/>
        <w:right w:val="none" w:sz="0" w:space="0" w:color="auto"/>
      </w:divBdr>
    </w:div>
    <w:div w:id="2096246153">
      <w:bodyDiv w:val="1"/>
      <w:marLeft w:val="0"/>
      <w:marRight w:val="0"/>
      <w:marTop w:val="0"/>
      <w:marBottom w:val="0"/>
      <w:divBdr>
        <w:top w:val="none" w:sz="0" w:space="0" w:color="auto"/>
        <w:left w:val="none" w:sz="0" w:space="0" w:color="auto"/>
        <w:bottom w:val="none" w:sz="0" w:space="0" w:color="auto"/>
        <w:right w:val="none" w:sz="0" w:space="0" w:color="auto"/>
      </w:divBdr>
    </w:div>
    <w:div w:id="2096784377">
      <w:bodyDiv w:val="1"/>
      <w:marLeft w:val="0"/>
      <w:marRight w:val="0"/>
      <w:marTop w:val="0"/>
      <w:marBottom w:val="0"/>
      <w:divBdr>
        <w:top w:val="none" w:sz="0" w:space="0" w:color="auto"/>
        <w:left w:val="none" w:sz="0" w:space="0" w:color="auto"/>
        <w:bottom w:val="none" w:sz="0" w:space="0" w:color="auto"/>
        <w:right w:val="none" w:sz="0" w:space="0" w:color="auto"/>
      </w:divBdr>
    </w:div>
    <w:div w:id="2097364018">
      <w:bodyDiv w:val="1"/>
      <w:marLeft w:val="0"/>
      <w:marRight w:val="0"/>
      <w:marTop w:val="0"/>
      <w:marBottom w:val="0"/>
      <w:divBdr>
        <w:top w:val="none" w:sz="0" w:space="0" w:color="auto"/>
        <w:left w:val="none" w:sz="0" w:space="0" w:color="auto"/>
        <w:bottom w:val="none" w:sz="0" w:space="0" w:color="auto"/>
        <w:right w:val="none" w:sz="0" w:space="0" w:color="auto"/>
      </w:divBdr>
    </w:div>
    <w:div w:id="2099250894">
      <w:bodyDiv w:val="1"/>
      <w:marLeft w:val="0"/>
      <w:marRight w:val="0"/>
      <w:marTop w:val="0"/>
      <w:marBottom w:val="0"/>
      <w:divBdr>
        <w:top w:val="none" w:sz="0" w:space="0" w:color="auto"/>
        <w:left w:val="none" w:sz="0" w:space="0" w:color="auto"/>
        <w:bottom w:val="none" w:sz="0" w:space="0" w:color="auto"/>
        <w:right w:val="none" w:sz="0" w:space="0" w:color="auto"/>
      </w:divBdr>
    </w:div>
    <w:div w:id="2102723137">
      <w:bodyDiv w:val="1"/>
      <w:marLeft w:val="0"/>
      <w:marRight w:val="0"/>
      <w:marTop w:val="0"/>
      <w:marBottom w:val="0"/>
      <w:divBdr>
        <w:top w:val="none" w:sz="0" w:space="0" w:color="auto"/>
        <w:left w:val="none" w:sz="0" w:space="0" w:color="auto"/>
        <w:bottom w:val="none" w:sz="0" w:space="0" w:color="auto"/>
        <w:right w:val="none" w:sz="0" w:space="0" w:color="auto"/>
      </w:divBdr>
    </w:div>
    <w:div w:id="2108117708">
      <w:bodyDiv w:val="1"/>
      <w:marLeft w:val="0"/>
      <w:marRight w:val="0"/>
      <w:marTop w:val="0"/>
      <w:marBottom w:val="0"/>
      <w:divBdr>
        <w:top w:val="none" w:sz="0" w:space="0" w:color="auto"/>
        <w:left w:val="none" w:sz="0" w:space="0" w:color="auto"/>
        <w:bottom w:val="none" w:sz="0" w:space="0" w:color="auto"/>
        <w:right w:val="none" w:sz="0" w:space="0" w:color="auto"/>
      </w:divBdr>
    </w:div>
    <w:div w:id="2109276661">
      <w:bodyDiv w:val="1"/>
      <w:marLeft w:val="0"/>
      <w:marRight w:val="0"/>
      <w:marTop w:val="0"/>
      <w:marBottom w:val="0"/>
      <w:divBdr>
        <w:top w:val="none" w:sz="0" w:space="0" w:color="auto"/>
        <w:left w:val="none" w:sz="0" w:space="0" w:color="auto"/>
        <w:bottom w:val="none" w:sz="0" w:space="0" w:color="auto"/>
        <w:right w:val="none" w:sz="0" w:space="0" w:color="auto"/>
      </w:divBdr>
    </w:div>
    <w:div w:id="2113890782">
      <w:bodyDiv w:val="1"/>
      <w:marLeft w:val="0"/>
      <w:marRight w:val="0"/>
      <w:marTop w:val="0"/>
      <w:marBottom w:val="0"/>
      <w:divBdr>
        <w:top w:val="none" w:sz="0" w:space="0" w:color="auto"/>
        <w:left w:val="none" w:sz="0" w:space="0" w:color="auto"/>
        <w:bottom w:val="none" w:sz="0" w:space="0" w:color="auto"/>
        <w:right w:val="none" w:sz="0" w:space="0" w:color="auto"/>
      </w:divBdr>
    </w:div>
    <w:div w:id="2114395496">
      <w:bodyDiv w:val="1"/>
      <w:marLeft w:val="0"/>
      <w:marRight w:val="0"/>
      <w:marTop w:val="0"/>
      <w:marBottom w:val="0"/>
      <w:divBdr>
        <w:top w:val="none" w:sz="0" w:space="0" w:color="auto"/>
        <w:left w:val="none" w:sz="0" w:space="0" w:color="auto"/>
        <w:bottom w:val="none" w:sz="0" w:space="0" w:color="auto"/>
        <w:right w:val="none" w:sz="0" w:space="0" w:color="auto"/>
      </w:divBdr>
    </w:div>
    <w:div w:id="2127769771">
      <w:bodyDiv w:val="1"/>
      <w:marLeft w:val="0"/>
      <w:marRight w:val="0"/>
      <w:marTop w:val="0"/>
      <w:marBottom w:val="0"/>
      <w:divBdr>
        <w:top w:val="none" w:sz="0" w:space="0" w:color="auto"/>
        <w:left w:val="none" w:sz="0" w:space="0" w:color="auto"/>
        <w:bottom w:val="none" w:sz="0" w:space="0" w:color="auto"/>
        <w:right w:val="none" w:sz="0" w:space="0" w:color="auto"/>
      </w:divBdr>
    </w:div>
    <w:div w:id="2130858984">
      <w:bodyDiv w:val="1"/>
      <w:marLeft w:val="0"/>
      <w:marRight w:val="0"/>
      <w:marTop w:val="0"/>
      <w:marBottom w:val="0"/>
      <w:divBdr>
        <w:top w:val="none" w:sz="0" w:space="0" w:color="auto"/>
        <w:left w:val="none" w:sz="0" w:space="0" w:color="auto"/>
        <w:bottom w:val="none" w:sz="0" w:space="0" w:color="auto"/>
        <w:right w:val="none" w:sz="0" w:space="0" w:color="auto"/>
      </w:divBdr>
    </w:div>
    <w:div w:id="2134595121">
      <w:bodyDiv w:val="1"/>
      <w:marLeft w:val="0"/>
      <w:marRight w:val="0"/>
      <w:marTop w:val="0"/>
      <w:marBottom w:val="0"/>
      <w:divBdr>
        <w:top w:val="none" w:sz="0" w:space="0" w:color="auto"/>
        <w:left w:val="none" w:sz="0" w:space="0" w:color="auto"/>
        <w:bottom w:val="none" w:sz="0" w:space="0" w:color="auto"/>
        <w:right w:val="none" w:sz="0" w:space="0" w:color="auto"/>
      </w:divBdr>
    </w:div>
    <w:div w:id="21387174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3.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9biIpe5kEQeZfe7stpBTtCgcPA==">AMUW2mU2NMtFkOPb1qKeCqgveTFE87Ub8tZpbD+cuX4bMNslhbbZr5kkH/xV0++IXnLcZtaPYHHcaNjKs/rjtiTmKLDHGCNmRGMIJ9DmlZy62FiOa2TcOaRbHJDp44HaS/x7ttHLhf4c0gvuoiZYtgFKgAxLoHjOVIiPgCFQPzFSaDeC1+VlKJPs37ycqgRxrNVB9OAmMo7xFj3d8zzatytdpom/B3dCqb0vekNNceld/JPPE3OqnGs7G4D9oTiip1OYdOeu0j87ij5yi9ClSENCV/LCf3s1t5MR2mY1GP+I11g3kKvS3alfV1UpOz0I6BMv8lxJhhouwYxPd59jpwmWYhUy9DaCdTiS9gf3UWJFVAn9k8IJxXdGvVGVrYzs6nEvc/4M3n0FZ6UbE3KQrGBpd4fiE8SjwkbKynXpuAjKVpjgk8PLDKNah3WfCZki4ZPXz4yFD4K5R4Y6PJAVmUGlcgT8jzjq5/fRk/Gvrroy9NgFuIu+GEPQWTxLT6yBr24xeAU9Zbd2xcl7YLDV841pjmcU7xmhnRsH1mduDtL2E9odNJUQ6ju7Fo7ylbyuYxKrxKO5Y7sxHoY5hW1p4cl7XbpGuxuQM9z5yGqW0+gms3nCxm5B4FV04+NftE2ygSdeQPEHOTc0PvP3lNFNAGCD15He0ujQbyyDt8uujkebIMihyvFivE52FX+Hp+h/Obx4J6AsU6DPjGOK9tKCthS9DarJJXsoq0vejQohYpAT6ioSWaqqF6Noq8ANKTMcZ77YJx0/EyE2T6L5IN8uEwEL8EaeSYOGTIWrBnQk7GF1ss6uuf38SbhBsl7lLohwJbMQtpyBcxpkAct47NX3Rn6I6xIt8TwXiQwUoxV3MQcOlFXWVU9I1loEPqI2B1t4fI0xHO2T8HP5ZmTiU5MV2QrmvfkSmXwWKHkVfYpPBHSSC1bFVFuyU6GWPcWfr/PPRaM+78Q+I2QP29TcndF9NiEYI5xwPeELsPqrWKMK3X3ecEKsOQEE3VfSISEI+RnjxtOu8NYQjr+sQMhGrjMbukI3lUrbnHFHHRBgrEgHv/TgJaQrWwK9oXrLs/3E5KtKAbuLXZZNZ1MNlbW60RMvf07rbDfgchOu4Q+D7gnhnCs4nAutSK8oFVWNaHdQZhT0qgv/xASo9ciiErw7e78/3iK1QcfX2I6hvw8gtCTCx0/EGVta8azvKj252XqEuRkytGWcMzA5XtuWcfzzDubMyDjK63oKDpcJhksZhWrnLsdWLrGayBFHC9iWygDrzpBdWrSvdPWYubEZVgTCLgeu9D9WyuL/4/w3pxWRB6nidp6ZJL/z30pPVr0HdKac8iUEprFwhxw7aRixi5AJ5yUiVfLjCrUlt1+sCnvZLJhmM6I3jRvrbAsXxzuBrn5GqJtMjz7ph4MBfT1IdcCtn51gHxTXoWl5QYUO1ycPAmeN87Q9J6Lo6YDINfIAbxsQ/WV/gtuwgwZusOz5zUH5NHaih+wa3uxARUFf3dZUkXDNZCWNnOMWQSsyB74aXlQn74HfWEx+4VW3PIdY69hpnG6rB6vi3l8c2so7Ir07MNtq17zyJj/5UA6zb2ZzWDcy7RbnoO3YgbvGwqgJ1qNHCzaQXcQcwA6iLSMwYbxS0eMy2Q5JBrNVadArlqD+qgjt2IbtrV8c0zt0nm3YDzHwa2aagO52pyzNFOSysQ3CJAtDd29mmpoWr8ge5MITZJzmfycWqNZriZUTpew9OSnoe5bTC1PUBRm7wj233QKonWVsAOw5rrmvFAXApCZAnHZIM6BRgOaj/lo6oAoJNocRO4ktGAW6n0osV85YDhSqNVabznmlPSEZAoFpbSG7MKMJ6iGNCSbpmFCWDsYQYS7Rtsted380Qx7H7LStTaS10wGD02XIrpsXeQRTY5pLb+P5t+j7oeIcgQaKcddm3fB+zooMJQtNnQZhbZycQg==</go:docsCustomData>
</go:gDocsCustomXmlDataStorage>
</file>

<file path=customXml/item2.xml><?xml version="1.0" encoding="utf-8"?>
<b:Sources xmlns:b="http://schemas.openxmlformats.org/officeDocument/2006/bibliography" xmlns="http://schemas.openxmlformats.org/officeDocument/2006/bibliography" SelectedStyle="\ISO690Nmerical.XSL" StyleName="ISO 690 - Referencia numérica" Version="1987">
  <b:Source>
    <b:Tag>Orp22</b:Tag>
    <b:SourceType>InternetSite</b:SourceType>
    <b:Guid>{7DF42226-7927-4127-8450-C30132840CC0}</b:Guid>
    <b:Title>Orphanet</b:Title>
    <b:YearAccessed>2022</b:YearAccessed>
    <b:MonthAccessed>Mayo</b:MonthAccessed>
    <b:URL>https://www.orpha.net/consor/cgi-bin/OC_Exp.php?lng=ES&amp;Expert=2467#:~:text=Es%20un%20grupo%20heterog%C3%A9neo%20de,asociada%20frecuentemente%20a%20afectaci%C3%B3n%20cut%C3%A1nea.</b:URL>
    <b:RefOrder>3</b:RefOrder>
  </b:Source>
  <b:Source>
    <b:Tag>Hor08</b:Tag>
    <b:SourceType>JournalArticle</b:SourceType>
    <b:Guid>{FB4706CD-30EA-4144-AFCE-7983787C4887}</b:Guid>
    <b:Title>WHO Classification of Tumours of Haematopoietic and Lymphoid Tissues, revised 4th edition</b:Title>
    <b:Year>2018</b:Year>
    <b:Author>
      <b:Author>
        <b:NameList>
          <b:Person>
            <b:Last>Swerdlow SH</b:Last>
            <b:First>Campo</b:First>
            <b:Middle>E, Harris NL, et al. (Eds)</b:Middle>
          </b:Person>
        </b:NameList>
      </b:Author>
    </b:Author>
    <b:JournalName>International Agency for Research and Cancer</b:JournalName>
    <b:Pages>54-63</b:Pages>
    <b:City>Lyon</b:City>
    <b:Publisher>International Agency for Research on Cancer (IARC)</b:Publisher>
    <b:RefOrder>4</b:RefOrder>
  </b:Source>
  <b:Source>
    <b:Tag>EPAR</b:Tag>
    <b:SourceType>JournalArticle</b:SourceType>
    <b:Guid>{D3F88534-5C3A-4F20-9A7E-1F5A1A2E629F}</b:Guid>
    <b:Title>EPAR Avapritinib (CHMP assessment report on group of an extension of marketing authorisation and an extension of indication variation</b:Title>
    <b:Year>2022</b:Year>
    <b:Publisher>European Medicines Agency</b:Publisher>
    <b:RefOrder>2</b:RefOrder>
  </b:Source>
  <b:Source>
    <b:Tag>Par21</b:Tag>
    <b:SourceType>JournalArticle</b:SourceType>
    <b:Guid>{71495030-5811-4DD3-88BA-EF258AB1701A}</b:Guid>
    <b:Author>
      <b:Author>
        <b:NameList>
          <b:Person>
            <b:Last>Pardanani</b:Last>
            <b:First>A.</b:First>
          </b:Person>
        </b:NameList>
      </b:Author>
    </b:Author>
    <b:Title>Systemic mastocytosis in adults: 2021 Update on diagnosis,</b:Title>
    <b:Year>2021</b:Year>
    <b:Publisher>American Journal of haematology</b:Publisher>
    <b:Issue>96</b:Issue>
    <b:RefOrder>1</b:RefOrder>
  </b:Source>
  <b:Source>
    <b:Tag>Coh14</b:Tag>
    <b:SourceType>JournalArticle</b:SourceType>
    <b:Guid>{551DE201-418C-4CC0-B515-AE1158489599}</b:Guid>
    <b:Author>
      <b:Author>
        <b:NameList>
          <b:Person>
            <b:Last>Cohen SS</b:Last>
            <b:First>Skovbo</b:First>
            <b:Middle>S, Vestergaard H, Kristensen T, Møller M,</b:Middle>
          </b:Person>
        </b:NameList>
      </b:Author>
    </b:Author>
    <b:Title>Epidemiology of systemic mastocytosis in Denmark</b:Title>
    <b:Year>2014</b:Year>
    <b:Publisher>Br J Haematol</b:Publisher>
    <b:Issue>166</b:Issue>
    <b:RefOrder>5</b:RefOrder>
  </b:Source>
  <b:Source>
    <b:Tag>Góm19</b:Tag>
    <b:SourceType>JournalArticle</b:SourceType>
    <b:Guid>{C52B7F4A-1C0A-41C4-B763-7D28D98D30F7}</b:Guid>
    <b:Author>
      <b:Author>
        <b:NameList>
          <b:Person>
            <b:Last>Gómez-García-Soria</b:Last>
            <b:First>V.</b:First>
          </b:Person>
        </b:NameList>
      </b:Author>
    </b:Author>
    <b:Title>Informe de Posicionamiento Terapéutico de midostaurina (Rydapt®) en mastocitosis</b:Title>
    <b:Year>2019</b:Year>
    <b:Publisher>AEMPS</b:Publisher>
    <b:RefOrder>7</b:RefOrder>
  </b:Source>
  <b:Source>
    <b:Tag>Sys22</b:Tag>
    <b:SourceType>JournalArticle</b:SourceType>
    <b:Guid>{39C80291-9B63-4CAF-B18C-0EAB63AE687D}</b:Guid>
    <b:Title>Systemic mastocytosis NCCN Evidence Blocks</b:Title>
    <b:Year>2022</b:Year>
    <b:Publisher>NCCN</b:Publisher>
    <b:RefOrder>8</b:RefOrder>
  </b:Source>
  <b:Source>
    <b:Tag>Jas21</b:Tag>
    <b:SourceType>JournalArticle</b:SourceType>
    <b:Guid>{886DC7CA-EB0C-4610-BE65-472F7D8A681F}</b:Guid>
    <b:Author>
      <b:Author>
        <b:NameList>
          <b:Person>
            <b:Last>Gotlib</b:Last>
            <b:First>Jason</b:First>
          </b:Person>
        </b:NameList>
      </b:Author>
    </b:Author>
    <b:Title>Efficacy and safety of avapritinib in advanced systemic mastocytosis: interim analysis of the phase II Pathfinder trial</b:Title>
    <b:Year>2021</b:Year>
    <b:Publisher>Nature medicine</b:Publisher>
    <b:Volume>27</b:Volume>
    <b:RefOrder>9</b:RefOrder>
  </b:Source>
  <b:Source>
    <b:Tag>Got21</b:Tag>
    <b:SourceType>JournalArticle</b:SourceType>
    <b:Guid>{C1079F8D-EF38-40B7-9C77-30BFE840834E}</b:Guid>
    <b:Author>
      <b:Author>
        <b:NameList>
          <b:Person>
            <b:Last>J</b:Last>
            <b:First>Gotlib</b:First>
          </b:Person>
        </b:NameList>
      </b:Author>
    </b:Author>
    <b:Title>Efficacy and Safety of Avapritinib in Advanced Systemic Mastocytosis: Interim analysis of the phase II Pathfinder trial. Suplemmentary Information</b:Title>
    <b:Year>2021</b:Year>
    <b:Publisher>Nature Medicine</b:Publisher>
    <b:RefOrder>11</b:RefOrder>
  </b:Source>
  <b:Source>
    <b:Tag>Hol22</b:Tag>
    <b:SourceType>JournalArticle</b:SourceType>
    <b:Guid>{323790C4-2A1C-421B-9A26-8A8A3AF6179C}</b:Guid>
    <b:Author>
      <b:Author>
        <b:NameList>
          <b:Person>
            <b:Last>Pilkington</b:Last>
            <b:First>Hollie</b:First>
          </b:Person>
        </b:NameList>
      </b:Author>
    </b:Author>
    <b:Title>Indirect treatment comparisons of avapritinib versus midostaurin for patients with advanced systemic mastocytosis</b:Title>
    <b:Year>2022</b:Year>
    <b:Publisher>Future Oncology</b:Publisher>
    <b:Issue>18</b:Issue>
    <b:RefOrder>12</b:RefOrder>
  </b:Source>
  <b:Source>
    <b:Tag>SEO21</b:Tag>
    <b:SourceType>InternetSite</b:SourceType>
    <b:Guid>{6D8EFE8C-3DE8-4F57-93C3-1219F93394D0}</b:Guid>
    <b:Author>
      <b:Author>
        <b:NameList>
          <b:Person>
            <b:Last>SEOM</b:Last>
          </b:Person>
        </b:NameList>
      </b:Author>
    </b:Author>
    <b:Title>Informe SEOM de Avapritinib en TEGI</b:Title>
    <b:Year>2021</b:Year>
    <b:YearAccessed>2022</b:YearAccessed>
    <b:MonthAccessed>Julio</b:MonthAccessed>
    <b:DayAccessed>11</b:DayAccessed>
    <b:URL>https://seom.org/seomcms/images/stories/Informes_SEOM/IEV_Avapritinib_monoterapia_GIST_metastasico.pdf</b:URL>
    <b:RefOrder>14</b:RefOrder>
  </b:Source>
  <b:Source>
    <b:Tag>Dru22</b:Tag>
    <b:SourceType>InternetSite</b:SourceType>
    <b:Guid>{2DBCD274-F91C-43E6-9000-101F8882AB73}</b:Guid>
    <b:Title>Drugs.com. Ayvakit prices.</b:Title>
    <b:YearAccessed>2022</b:YearAccessed>
    <b:MonthAccessed>Julio</b:MonthAccessed>
    <b:DayAccessed>11</b:DayAccessed>
    <b:URL>https://www.drugs.com/price-guide/ayvakit</b:URL>
    <b:RefOrder>15</b:RefOrder>
  </b:Source>
  <b:Source>
    <b:Tag>Dav20</b:Tag>
    <b:SourceType>JournalArticle</b:SourceType>
    <b:Guid>{B11C5283-DBA0-455A-979A-779F863C2BE7}</b:Guid>
    <b:Title>Financial Implications of Avapritinib for Treatment of Unresectable Gastrointestinal Stromal Tumors in Patients With a PDGFRA Exon 18 Variant or After 3 Previous Therapies in a Hypothetical US Health Plan</b:Title>
    <b:Year>2020</b:Year>
    <b:Author>
      <b:Author>
        <b:NameList>
          <b:Person>
            <b:Last>Proudman</b:Last>
            <b:First>David</b:First>
          </b:Person>
        </b:NameList>
      </b:Author>
    </b:Author>
    <b:Publisher>JAMA</b:Publisher>
    <b:Volume>3</b:Volume>
    <b:Issue>11</b:Issue>
    <b:RefOrder>16</b:RefOrder>
  </b:Source>
  <b:Source>
    <b:Tag>Dan21</b:Tag>
    <b:SourceType>JournalArticle</b:SourceType>
    <b:Guid>{2A540B6B-B02A-4A0B-8E75-8A2DB8754796}</b:Guid>
    <b:Author>
      <b:Author>
        <b:NameList>
          <b:Person>
            <b:Last>DeAngelo</b:Last>
            <b:First>Daniel</b:First>
            <b:Middle>J</b:Middle>
          </b:Person>
        </b:NameList>
      </b:Author>
    </b:Author>
    <b:Title>Safety and efficacy of avapritinib in advanced systemic mastocytosis: the phase 1 EXPLORER trial</b:Title>
    <b:Year>2021</b:Year>
    <b:Publisher>Nat. Med.</b:Publisher>
    <b:Issue>12</b:Issue>
    <b:RefOrder>10</b:RefOrder>
  </b:Source>
  <b:Source>
    <b:Tag>Sch20</b:Tag>
    <b:SourceType>JournalArticle</b:SourceType>
    <b:Guid>{03638674-FBED-469B-B27E-4C90ECDF141F}</b:Guid>
    <b:Author>
      <b:Author>
        <b:NameList>
          <b:Person>
            <b:Last>J</b:Last>
            <b:First>Schwabb</b:First>
          </b:Person>
        </b:NameList>
      </b:Author>
    </b:Author>
    <b:Title>Importance of Adequate Diagnostic Workup for Correct Diagnosis of Advanced Systemic Mastocytosis</b:Title>
    <b:Year>2020</b:Year>
    <b:Publisher>J Allergy Clin Immunol Pract</b:Publisher>
    <b:Volume>8</b:Volume>
    <b:Issue>9</b:Issue>
    <b:RefOrder>6</b:RefOrder>
  </b:Source>
  <b:Source>
    <b:Tag>Pro20</b:Tag>
    <b:SourceType>InternetSite</b:SourceType>
    <b:Guid>{AE54EE7C-4087-4DDA-B4B1-1D0F6A833F8C}</b:Guid>
    <b:Author>
      <b:Author>
        <b:NameList>
          <b:Person>
            <b:Last>D.</b:Last>
            <b:First>Proudman</b:First>
          </b:Person>
        </b:NameList>
      </b:Author>
    </b:Author>
    <b:Title>BUDGET IMPACT ANALYSIS OF AYVAKIT (AVAPRITINIB) IN PATIENTS WITH GASTROINTESTINAL STROMAL TUMORS AND A PDGFRA EXON 18 MUTATION</b:Title>
    <b:Year>2020</b:Year>
    <b:Volume>23</b:Volume>
    <b:YearAccessed>2022</b:YearAccessed>
    <b:MonthAccessed>Ocubre</b:MonthAccessed>
    <b:DayAccessed>30</b:DayAccessed>
    <b:URL>https://www.valueinhealthjournal.com/article/S1098-3015(20)31810-6/fulltext</b:URL>
    <b:RefOrder>17</b:RefOrder>
  </b:Source>
  <b:Source>
    <b:Tag>And22</b:Tag>
    <b:SourceType>JournalArticle</b:SourceType>
    <b:Guid>{64264ED0-19BD-4F23-BF03-F0E3F0CD175C}</b:Guid>
    <b:Title>Efficacy of avapritinib versus best available therapy in the treatment of advanced systemic mastocytosis</b:Title>
    <b:Year>2022</b:Year>
    <b:Author>
      <b:Author>
        <b:NameList>
          <b:Person>
            <b:Last>Reiter</b:Last>
            <b:First>Andreas</b:First>
          </b:Person>
        </b:NameList>
      </b:Author>
    </b:Author>
    <b:Publisher>Leukemia</b:Publisher>
    <b:Volume>36</b:Volume>
    <b:RefOrder>13</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D3C0729-8004-4D3C-8A88-DDCDEB794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12700</Words>
  <Characters>69856</Characters>
  <Application>Microsoft Office Word</Application>
  <DocSecurity>0</DocSecurity>
  <Lines>582</Lines>
  <Paragraphs>164</Paragraphs>
  <ScaleCrop>false</ScaleCrop>
  <HeadingPairs>
    <vt:vector size="2" baseType="variant">
      <vt:variant>
        <vt:lpstr>Título</vt:lpstr>
      </vt:variant>
      <vt:variant>
        <vt:i4>1</vt:i4>
      </vt:variant>
    </vt:vector>
  </HeadingPairs>
  <TitlesOfParts>
    <vt:vector size="1" baseType="lpstr">
      <vt:lpstr/>
    </vt:vector>
  </TitlesOfParts>
  <Company>IB-SALUT</Company>
  <LinksUpToDate>false</LinksUpToDate>
  <CharactersWithSpaces>82392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Manuel Francisco Perez Almagro</cp:lastModifiedBy>
  <cp:revision>4</cp:revision>
  <dcterms:created xsi:type="dcterms:W3CDTF">2023-01-22T20:51:00Z</dcterms:created>
  <dcterms:modified xsi:type="dcterms:W3CDTF">2023-01-24T07:52:00Z</dcterms:modified>
</cp:coreProperties>
</file>