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FF" w:rsidRPr="00BB0C02" w:rsidRDefault="00556DFF" w:rsidP="00BB0C02">
      <w:bookmarkStart w:id="0" w:name="_Hlk486364645"/>
    </w:p>
    <w:tbl>
      <w:tblPr>
        <w:tblW w:w="0" w:type="auto"/>
        <w:tblBorders>
          <w:top w:val="single" w:sz="24" w:space="0" w:color="9BBB59"/>
          <w:left w:val="single" w:sz="4" w:space="0" w:color="9BBB59"/>
          <w:bottom w:val="single" w:sz="24" w:space="0" w:color="9BBB59"/>
          <w:right w:val="single" w:sz="4" w:space="0" w:color="9BBB59"/>
        </w:tblBorders>
        <w:tblLayout w:type="fixed"/>
        <w:tblLook w:val="0000"/>
      </w:tblPr>
      <w:tblGrid>
        <w:gridCol w:w="8644"/>
      </w:tblGrid>
      <w:tr w:rsidR="00556DFF">
        <w:tc>
          <w:tcPr>
            <w:tcW w:w="8644" w:type="dxa"/>
            <w:tcBorders>
              <w:top w:val="single" w:sz="24" w:space="0" w:color="9BBB59"/>
            </w:tcBorders>
            <w:shd w:val="clear" w:color="auto" w:fill="D6E3BC"/>
          </w:tcPr>
          <w:p w:rsidR="00556DFF" w:rsidRPr="00417F5B" w:rsidRDefault="00556DFF" w:rsidP="00877A56">
            <w:pPr>
              <w:jc w:val="center"/>
              <w:rPr>
                <w:rFonts w:ascii="Arial" w:hAnsi="Arial"/>
                <w:b/>
                <w:color w:val="000000"/>
                <w:sz w:val="40"/>
              </w:rPr>
            </w:pPr>
          </w:p>
          <w:p w:rsidR="00556DFF" w:rsidRDefault="00556DFF" w:rsidP="00877A56">
            <w:pPr>
              <w:jc w:val="center"/>
              <w:rPr>
                <w:rFonts w:ascii="Arial" w:hAnsi="Arial"/>
                <w:b/>
                <w:color w:val="396228"/>
                <w:sz w:val="40"/>
              </w:rPr>
            </w:pPr>
            <w:r>
              <w:rPr>
                <w:rFonts w:ascii="Arial" w:hAnsi="Arial"/>
                <w:b/>
                <w:color w:val="396228"/>
                <w:sz w:val="40"/>
              </w:rPr>
              <w:t xml:space="preserve">ECULIZUMAB </w:t>
            </w:r>
          </w:p>
          <w:p w:rsidR="00556DFF" w:rsidRPr="00417F5B" w:rsidRDefault="00556DFF" w:rsidP="00877A56">
            <w:pPr>
              <w:jc w:val="center"/>
              <w:rPr>
                <w:rFonts w:ascii="Arial" w:hAnsi="Arial"/>
                <w:b/>
                <w:color w:val="396228"/>
                <w:sz w:val="40"/>
              </w:rPr>
            </w:pPr>
            <w:r>
              <w:rPr>
                <w:rFonts w:ascii="Arial" w:hAnsi="Arial"/>
                <w:b/>
                <w:color w:val="396228"/>
                <w:sz w:val="40"/>
              </w:rPr>
              <w:t xml:space="preserve">En </w:t>
            </w:r>
            <w:r w:rsidRPr="00CA404B">
              <w:rPr>
                <w:rFonts w:ascii="Arial" w:hAnsi="Arial"/>
                <w:b/>
                <w:color w:val="396228"/>
                <w:sz w:val="40"/>
              </w:rPr>
              <w:t xml:space="preserve">miastenia </w:t>
            </w:r>
            <w:proofErr w:type="spellStart"/>
            <w:r w:rsidRPr="00CA404B">
              <w:rPr>
                <w:rFonts w:ascii="Arial" w:hAnsi="Arial"/>
                <w:b/>
                <w:color w:val="396228"/>
                <w:sz w:val="40"/>
              </w:rPr>
              <w:t>gravis</w:t>
            </w:r>
            <w:proofErr w:type="spellEnd"/>
            <w:r w:rsidRPr="00CA404B">
              <w:rPr>
                <w:rFonts w:ascii="Arial" w:hAnsi="Arial"/>
                <w:b/>
                <w:color w:val="396228"/>
                <w:sz w:val="40"/>
              </w:rPr>
              <w:t xml:space="preserve"> refractaria y generalizada con anticuerpos anti-</w:t>
            </w:r>
            <w:proofErr w:type="spellStart"/>
            <w:r w:rsidRPr="00CA404B">
              <w:rPr>
                <w:rFonts w:ascii="Arial" w:hAnsi="Arial"/>
                <w:b/>
                <w:color w:val="396228"/>
                <w:sz w:val="40"/>
              </w:rPr>
              <w:t>AchR</w:t>
            </w:r>
            <w:proofErr w:type="spellEnd"/>
          </w:p>
          <w:p w:rsidR="00556DFF" w:rsidRDefault="00556DFF" w:rsidP="00877A56">
            <w:pPr>
              <w:jc w:val="center"/>
              <w:rPr>
                <w:rFonts w:ascii="Arial" w:hAnsi="Arial" w:cs="Arial"/>
                <w:color w:val="000000"/>
              </w:rPr>
            </w:pPr>
          </w:p>
          <w:p w:rsidR="00556DFF" w:rsidRPr="00417F5B" w:rsidRDefault="00556DFF" w:rsidP="00877A56">
            <w:pPr>
              <w:jc w:val="center"/>
              <w:rPr>
                <w:rFonts w:ascii="Arial" w:hAnsi="Arial" w:cs="Arial"/>
                <w:color w:val="000000"/>
              </w:rPr>
            </w:pPr>
            <w:r w:rsidRPr="00417F5B">
              <w:rPr>
                <w:rFonts w:ascii="Arial" w:hAnsi="Arial" w:cs="Arial"/>
                <w:color w:val="000000"/>
              </w:rPr>
              <w:t xml:space="preserve"> Informe para </w:t>
            </w:r>
            <w:smartTag w:uri="urn:schemas-microsoft-com:office:smarttags" w:element="PersonName">
              <w:smartTagPr>
                <w:attr w:name="ProductID" w:val="la Guía Farmacoterapéutica"/>
              </w:smartTagPr>
              <w:r w:rsidRPr="00417F5B">
                <w:rPr>
                  <w:rFonts w:ascii="Arial" w:hAnsi="Arial" w:cs="Arial"/>
                  <w:color w:val="000000"/>
                </w:rPr>
                <w:t>la Guía Farmacoterapéutica</w:t>
              </w:r>
            </w:smartTag>
            <w:r w:rsidRPr="00417F5B">
              <w:rPr>
                <w:rFonts w:ascii="Arial" w:hAnsi="Arial" w:cs="Arial"/>
                <w:color w:val="000000"/>
              </w:rPr>
              <w:t xml:space="preserve"> de Hospitales de Andalucía</w:t>
            </w:r>
          </w:p>
          <w:p w:rsidR="00556DFF" w:rsidRDefault="00556DFF" w:rsidP="0050200A">
            <w:pPr>
              <w:jc w:val="right"/>
              <w:rPr>
                <w:rFonts w:ascii="Arial" w:hAnsi="Arial" w:cs="Arial"/>
                <w:i/>
                <w:sz w:val="18"/>
                <w:szCs w:val="20"/>
              </w:rPr>
            </w:pPr>
          </w:p>
          <w:p w:rsidR="00556DFF" w:rsidRPr="00A53D3E" w:rsidRDefault="00556DFF" w:rsidP="00DC7FAE">
            <w:pPr>
              <w:jc w:val="center"/>
              <w:rPr>
                <w:rFonts w:ascii="Arial" w:hAnsi="Arial"/>
                <w:i/>
              </w:rPr>
            </w:pPr>
            <w:r>
              <w:rPr>
                <w:rFonts w:ascii="Arial" w:hAnsi="Arial"/>
                <w:i/>
              </w:rPr>
              <w:t>Junio 2018</w:t>
            </w:r>
          </w:p>
        </w:tc>
      </w:tr>
      <w:tr w:rsidR="00556DFF">
        <w:tc>
          <w:tcPr>
            <w:tcW w:w="8644" w:type="dxa"/>
            <w:tcBorders>
              <w:bottom w:val="single" w:sz="24" w:space="0" w:color="9BBB59"/>
            </w:tcBorders>
            <w:shd w:val="clear" w:color="auto" w:fill="D6E3BC"/>
          </w:tcPr>
          <w:p w:rsidR="00556DFF" w:rsidRPr="0099218D" w:rsidRDefault="00556DFF" w:rsidP="00877A56">
            <w:pPr>
              <w:jc w:val="center"/>
              <w:rPr>
                <w:rFonts w:ascii="Arial" w:hAnsi="Arial" w:cs="Arial"/>
                <w:i/>
                <w:color w:val="000000"/>
              </w:rPr>
            </w:pPr>
          </w:p>
        </w:tc>
      </w:tr>
    </w:tbl>
    <w:p w:rsidR="00556DFF" w:rsidRDefault="00556DFF" w:rsidP="00635E77">
      <w:pPr>
        <w:pStyle w:val="TtulodeTDC1"/>
        <w:spacing w:before="120"/>
        <w:rPr>
          <w:rFonts w:ascii="Calibri" w:hAnsi="Calibri" w:cs="Calibri"/>
          <w:color w:val="396228"/>
        </w:rPr>
      </w:pPr>
      <w:bookmarkStart w:id="1" w:name="_Hlk486364688"/>
      <w:bookmarkEnd w:id="0"/>
    </w:p>
    <w:p w:rsidR="00556DFF" w:rsidRDefault="00556DFF" w:rsidP="005F7A0F">
      <w:pPr>
        <w:pStyle w:val="TtulodeTDC1"/>
        <w:spacing w:before="120"/>
        <w:rPr>
          <w:rFonts w:ascii="Arial" w:hAnsi="Arial"/>
          <w:b w:val="0"/>
          <w:bCs/>
          <w:color w:val="FF0000"/>
          <w:sz w:val="20"/>
          <w:szCs w:val="24"/>
          <w:lang w:eastAsia="es-ES"/>
        </w:rPr>
      </w:pPr>
      <w:r w:rsidRPr="001E0409">
        <w:rPr>
          <w:rFonts w:ascii="Calibri" w:hAnsi="Calibri" w:cs="Calibri"/>
          <w:color w:val="396228"/>
        </w:rPr>
        <w:t>Tabla de contenido</w:t>
      </w:r>
      <w:r>
        <w:rPr>
          <w:rFonts w:ascii="Calibri" w:hAnsi="Calibri" w:cs="Calibri"/>
          <w:color w:val="396228"/>
        </w:rPr>
        <w:t xml:space="preserve"> </w:t>
      </w:r>
      <w:r w:rsidRPr="00A617BE">
        <w:rPr>
          <w:rFonts w:ascii="Calibri" w:hAnsi="Calibri" w:cs="Calibri"/>
          <w:color w:val="396228"/>
          <w:sz w:val="24"/>
        </w:rPr>
        <w:t>(control + clic para seguir hipervínculo)</w:t>
      </w:r>
      <w:r>
        <w:rPr>
          <w:rFonts w:ascii="Calibri" w:hAnsi="Calibri" w:cs="Calibri"/>
          <w:color w:val="396228"/>
        </w:rPr>
        <w:br/>
      </w:r>
    </w:p>
    <w:p w:rsidR="00556DFF" w:rsidRPr="00640B3D" w:rsidRDefault="00C471CC" w:rsidP="00C6454D">
      <w:pPr>
        <w:pStyle w:val="TDC1"/>
        <w:tabs>
          <w:tab w:val="right" w:leader="dot" w:pos="8729"/>
        </w:tabs>
        <w:rPr>
          <w:rStyle w:val="Hipervnculo"/>
          <w:rFonts w:ascii="Calibri" w:hAnsi="Calibri" w:cs="Calibri"/>
          <w:sz w:val="18"/>
          <w:szCs w:val="18"/>
        </w:rPr>
      </w:pPr>
      <w:r w:rsidRPr="00640B3D">
        <w:rPr>
          <w:rFonts w:ascii="Calibri" w:hAnsi="Calibri" w:cs="Calibri"/>
          <w:sz w:val="18"/>
          <w:szCs w:val="18"/>
        </w:rPr>
        <w:fldChar w:fldCharType="begin"/>
      </w:r>
      <w:r w:rsidR="00556DFF" w:rsidRPr="00640B3D">
        <w:rPr>
          <w:rFonts w:ascii="Calibri" w:hAnsi="Calibri" w:cs="Calibri"/>
          <w:sz w:val="18"/>
          <w:szCs w:val="18"/>
        </w:rPr>
        <w:instrText xml:space="preserve"> TOC \o "1-3" \h \z \u </w:instrText>
      </w:r>
      <w:r w:rsidRPr="00640B3D">
        <w:rPr>
          <w:rFonts w:ascii="Calibri" w:hAnsi="Calibri" w:cs="Calibri"/>
          <w:sz w:val="18"/>
          <w:szCs w:val="18"/>
        </w:rPr>
        <w:fldChar w:fldCharType="separate"/>
      </w:r>
      <w:hyperlink w:anchor="_Toc517462746" w:history="1">
        <w:r w:rsidR="00556DFF" w:rsidRPr="00640B3D">
          <w:rPr>
            <w:rStyle w:val="Hipervnculo"/>
            <w:rFonts w:ascii="Calibri" w:hAnsi="Calibri" w:cs="Calibri"/>
            <w:noProof/>
            <w:sz w:val="18"/>
            <w:szCs w:val="18"/>
          </w:rPr>
          <w:t>1.- IDENTIFICACIÓN DEL FÁRMACO Y AUTORES DEL INFORME</w:t>
        </w:r>
        <w:r w:rsidR="00556DFF" w:rsidRPr="00640B3D">
          <w:rPr>
            <w:rStyle w:val="Hipervnculo"/>
            <w:rFonts w:ascii="Calibri" w:hAnsi="Calibri" w:cs="Calibri"/>
            <w:webHidden/>
            <w:sz w:val="18"/>
            <w:szCs w:val="18"/>
          </w:rPr>
          <w:tab/>
        </w:r>
        <w:r w:rsidRPr="00640B3D">
          <w:rPr>
            <w:rStyle w:val="Hipervnculo"/>
            <w:rFonts w:ascii="Calibri" w:hAnsi="Calibri" w:cs="Calibri"/>
            <w:webHidden/>
            <w:sz w:val="18"/>
            <w:szCs w:val="18"/>
          </w:rPr>
          <w:fldChar w:fldCharType="begin"/>
        </w:r>
        <w:r w:rsidR="00556DFF" w:rsidRPr="00640B3D">
          <w:rPr>
            <w:rStyle w:val="Hipervnculo"/>
            <w:rFonts w:ascii="Calibri" w:hAnsi="Calibri" w:cs="Calibri"/>
            <w:webHidden/>
            <w:sz w:val="18"/>
            <w:szCs w:val="18"/>
          </w:rPr>
          <w:instrText xml:space="preserve"> PAGEREF _Toc517462746 \h </w:instrText>
        </w:r>
        <w:r w:rsidRPr="00640B3D">
          <w:rPr>
            <w:rStyle w:val="Hipervnculo"/>
            <w:rFonts w:ascii="Calibri" w:hAnsi="Calibri" w:cs="Calibri"/>
            <w:webHidden/>
            <w:sz w:val="18"/>
            <w:szCs w:val="18"/>
          </w:rPr>
        </w:r>
        <w:r w:rsidRPr="00640B3D">
          <w:rPr>
            <w:rStyle w:val="Hipervnculo"/>
            <w:rFonts w:ascii="Calibri" w:hAnsi="Calibri" w:cs="Calibri"/>
            <w:webHidden/>
            <w:sz w:val="18"/>
            <w:szCs w:val="18"/>
          </w:rPr>
          <w:fldChar w:fldCharType="separate"/>
        </w:r>
        <w:r w:rsidR="00426B77">
          <w:rPr>
            <w:rStyle w:val="Hipervnculo"/>
            <w:rFonts w:ascii="Calibri" w:hAnsi="Calibri" w:cs="Calibri"/>
            <w:noProof/>
            <w:webHidden/>
            <w:sz w:val="18"/>
            <w:szCs w:val="18"/>
          </w:rPr>
          <w:t>2</w:t>
        </w:r>
        <w:r w:rsidRPr="00640B3D">
          <w:rPr>
            <w:rStyle w:val="Hipervnculo"/>
            <w:rFonts w:ascii="Calibri" w:hAnsi="Calibri" w:cs="Calibri"/>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47" w:history="1">
        <w:r w:rsidR="00556DFF" w:rsidRPr="00640B3D">
          <w:rPr>
            <w:rStyle w:val="Hipervnculo"/>
            <w:rFonts w:ascii="Calibri" w:hAnsi="Calibri" w:cs="Calibri"/>
            <w:noProof/>
            <w:sz w:val="18"/>
            <w:szCs w:val="18"/>
          </w:rPr>
          <w:t>2.- SOLICITUD Y DATOS DEL PROCESO DE EVALUACIÓN</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_Toc517462747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3</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48" w:history="1">
        <w:r w:rsidR="00556DFF" w:rsidRPr="00640B3D">
          <w:rPr>
            <w:rStyle w:val="Hipervnculo"/>
            <w:rFonts w:ascii="Calibri" w:hAnsi="Calibri" w:cs="Calibri"/>
            <w:noProof/>
            <w:sz w:val="18"/>
            <w:szCs w:val="18"/>
          </w:rPr>
          <w:t>3.- AREA DESCRIPTIVA DEL MEDICAMENTO Y DEL PROBLEMA DE SALUD</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_Toc517462748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49" w:history="1">
        <w:r w:rsidR="00556DFF" w:rsidRPr="00640B3D">
          <w:rPr>
            <w:rStyle w:val="Hipervnculo"/>
            <w:rFonts w:ascii="Calibri" w:hAnsi="Calibri" w:cs="Calibri"/>
            <w:noProof/>
            <w:sz w:val="18"/>
            <w:szCs w:val="18"/>
          </w:rPr>
          <w:t>3.1 Área descriptiva del medicamento</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_Toc517462749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0" w:history="1">
        <w:r w:rsidR="00556DFF" w:rsidRPr="00640B3D">
          <w:rPr>
            <w:rStyle w:val="Hipervnculo"/>
            <w:rFonts w:ascii="Calibri" w:hAnsi="Calibri" w:cs="Calibri"/>
            <w:noProof/>
            <w:sz w:val="18"/>
            <w:szCs w:val="18"/>
          </w:rPr>
          <w:t>3.2 Área descriptiva del problema de salud</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_Toc517462750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1" w:history="1">
        <w:r w:rsidR="00556DFF" w:rsidRPr="00640B3D">
          <w:rPr>
            <w:rStyle w:val="Hipervnculo"/>
            <w:rFonts w:ascii="Calibri" w:hAnsi="Calibri" w:cs="Calibri"/>
            <w:noProof/>
            <w:sz w:val="18"/>
            <w:szCs w:val="18"/>
          </w:rPr>
          <w:t>3.2.a Descripción estructurada del problema de salud</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2" w:history="1">
        <w:r w:rsidR="00556DFF" w:rsidRPr="00640B3D">
          <w:rPr>
            <w:rStyle w:val="Hipervnculo"/>
            <w:rFonts w:ascii="Calibri" w:hAnsi="Calibri" w:cs="Calibri"/>
            <w:noProof/>
            <w:sz w:val="18"/>
            <w:szCs w:val="18"/>
          </w:rPr>
          <w:t>3.2.b Tratamiento actual de la enfermedad: evidencias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4</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3" w:history="1">
        <w:r w:rsidR="00556DFF" w:rsidRPr="00640B3D">
          <w:rPr>
            <w:rStyle w:val="Hipervnculo"/>
            <w:rFonts w:ascii="Calibri" w:hAnsi="Calibri" w:cs="Calibri"/>
            <w:noProof/>
            <w:sz w:val="18"/>
            <w:szCs w:val="18"/>
          </w:rPr>
          <w:t>3.3 Características comparadas con otras alternativas similares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54" w:history="1">
        <w:r w:rsidR="00556DFF" w:rsidRPr="00640B3D">
          <w:rPr>
            <w:rStyle w:val="Hipervnculo"/>
            <w:rFonts w:ascii="Calibri" w:hAnsi="Calibri" w:cs="Calibri"/>
            <w:noProof/>
            <w:sz w:val="18"/>
            <w:szCs w:val="18"/>
          </w:rPr>
          <w:t>4.- AREA DE ACCIÓN FARMACOLÓGICA.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5" w:history="1">
        <w:r w:rsidR="00556DFF" w:rsidRPr="00640B3D">
          <w:rPr>
            <w:rStyle w:val="Hipervnculo"/>
            <w:rFonts w:ascii="Calibri" w:hAnsi="Calibri" w:cs="Calibri"/>
            <w:noProof/>
            <w:sz w:val="18"/>
            <w:szCs w:val="18"/>
          </w:rPr>
          <w:t>4.1 Mecanismo de acción.</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_Toc517462755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6" w:history="1">
        <w:r w:rsidR="00556DFF" w:rsidRPr="00640B3D">
          <w:rPr>
            <w:rStyle w:val="Hipervnculo"/>
            <w:rFonts w:ascii="Calibri" w:hAnsi="Calibri" w:cs="Calibri"/>
            <w:noProof/>
            <w:sz w:val="18"/>
            <w:szCs w:val="18"/>
          </w:rPr>
          <w:t>4.2 Indicaciones clínicas formalmente aprobadas y fecha de aprobación.</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_Toc517462756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7" w:history="1">
        <w:r w:rsidR="00556DFF" w:rsidRPr="00640B3D">
          <w:rPr>
            <w:rStyle w:val="Hipervnculo"/>
            <w:rFonts w:ascii="Calibri" w:hAnsi="Calibri" w:cs="Calibri"/>
            <w:noProof/>
            <w:sz w:val="18"/>
            <w:szCs w:val="18"/>
          </w:rPr>
          <w:t>4.3 Posología, forma de preparación y administración.</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8" w:history="1">
        <w:r w:rsidR="00556DFF" w:rsidRPr="00640B3D">
          <w:rPr>
            <w:rStyle w:val="Hipervnculo"/>
            <w:rFonts w:ascii="Calibri" w:hAnsi="Calibri" w:cs="Calibri"/>
            <w:noProof/>
            <w:sz w:val="18"/>
            <w:szCs w:val="18"/>
          </w:rPr>
          <w:t>4.4 Utilización en poblaciones especiales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_Toc517462758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59" w:history="1">
        <w:r w:rsidR="00556DFF" w:rsidRPr="00640B3D">
          <w:rPr>
            <w:rStyle w:val="Hipervnculo"/>
            <w:rFonts w:ascii="Calibri" w:hAnsi="Calibri" w:cs="Calibri"/>
            <w:noProof/>
            <w:sz w:val="18"/>
            <w:szCs w:val="18"/>
          </w:rPr>
          <w:t>4.5 Farmacocinética.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_Toc517462759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7</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60" w:history="1">
        <w:r w:rsidR="00556DFF" w:rsidRPr="00640B3D">
          <w:rPr>
            <w:rStyle w:val="Hipervnculo"/>
            <w:rFonts w:ascii="Calibri" w:hAnsi="Calibri" w:cs="Calibri"/>
            <w:noProof/>
            <w:sz w:val="18"/>
            <w:szCs w:val="18"/>
          </w:rPr>
          <w:t>5.- EVALUACIÓN DE LA EFICACIA.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_Toc517462760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8</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61" w:history="1">
        <w:r w:rsidR="00556DFF" w:rsidRPr="00640B3D">
          <w:rPr>
            <w:rStyle w:val="Hipervnculo"/>
            <w:rFonts w:ascii="Calibri" w:hAnsi="Calibri" w:cs="Calibri"/>
            <w:noProof/>
            <w:sz w:val="18"/>
            <w:szCs w:val="18"/>
          </w:rPr>
          <w:t>5.1.a Ensayos clínicos disponibles para la indicación clínica evaluada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8</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62" w:history="1">
        <w:r w:rsidR="00556DFF" w:rsidRPr="00640B3D">
          <w:rPr>
            <w:rStyle w:val="Hipervnculo"/>
            <w:rFonts w:ascii="Calibri" w:hAnsi="Calibri" w:cs="Calibri"/>
            <w:noProof/>
            <w:sz w:val="18"/>
            <w:szCs w:val="18"/>
          </w:rPr>
          <w:t>5.1.b Variables utilizadas en los ensayos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8</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63" w:history="1">
        <w:r w:rsidR="00556DFF" w:rsidRPr="00640B3D">
          <w:rPr>
            <w:rStyle w:val="Hipervnculo"/>
            <w:rFonts w:ascii="Calibri" w:hAnsi="Calibri" w:cs="Calibri"/>
            <w:noProof/>
            <w:sz w:val="18"/>
            <w:szCs w:val="18"/>
          </w:rPr>
          <w:t>5.2.a Resultados de los ensayos clínicos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9</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64" w:history="1">
        <w:r w:rsidR="00556DFF" w:rsidRPr="00640B3D">
          <w:rPr>
            <w:rStyle w:val="Hipervnculo"/>
            <w:rFonts w:ascii="Calibri" w:hAnsi="Calibri" w:cs="Calibri"/>
            <w:noProof/>
            <w:sz w:val="18"/>
            <w:szCs w:val="18"/>
          </w:rPr>
          <w:t>5.2.b Evaluación de la validez y de la utilidad práctica de los resultados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11</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765" w:history="1">
        <w:r w:rsidR="00556DFF" w:rsidRPr="00640B3D">
          <w:rPr>
            <w:rStyle w:val="Hipervnculo"/>
            <w:rFonts w:ascii="Calibri" w:hAnsi="Calibri" w:cs="Calibri"/>
            <w:bCs/>
            <w:noProof/>
            <w:sz w:val="18"/>
            <w:szCs w:val="18"/>
          </w:rPr>
          <w:t>A. Validez interna. Limitaciones de diseño y/o comentarios: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_Toc517462765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11</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766" w:history="1">
        <w:r w:rsidR="00556DFF" w:rsidRPr="00640B3D">
          <w:rPr>
            <w:rStyle w:val="Hipervnculo"/>
            <w:rFonts w:ascii="Calibri" w:hAnsi="Calibri" w:cs="Calibri"/>
            <w:bCs/>
            <w:noProof/>
            <w:sz w:val="18"/>
            <w:szCs w:val="18"/>
          </w:rPr>
          <w:t>B. Aplicabilidad del ensayo a la práctica del hospital</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_Toc517462766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12</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767" w:history="1">
        <w:r w:rsidR="00556DFF" w:rsidRPr="00640B3D">
          <w:rPr>
            <w:rStyle w:val="Hipervnculo"/>
            <w:rFonts w:ascii="Calibri" w:hAnsi="Calibri" w:cs="Calibri"/>
            <w:bCs/>
            <w:noProof/>
            <w:sz w:val="18"/>
            <w:szCs w:val="18"/>
          </w:rPr>
          <w:t>C. Relevancia clínica de los resultados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12</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768" w:history="1">
        <w:r w:rsidR="00556DFF" w:rsidRPr="00640B3D">
          <w:rPr>
            <w:rStyle w:val="Hipervnculo"/>
            <w:rFonts w:ascii="Calibri" w:hAnsi="Calibri" w:cs="Calibri"/>
            <w:noProof/>
            <w:sz w:val="18"/>
            <w:szCs w:val="18"/>
          </w:rPr>
          <w:t>C.1 Valorar si la magnitud del efecto del tratamiento es de relevancia clínica.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_Toc517462768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12</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69" w:history="1">
        <w:r w:rsidR="00556DFF" w:rsidRPr="00640B3D">
          <w:rPr>
            <w:rStyle w:val="Hipervnculo"/>
            <w:rFonts w:ascii="Calibri" w:hAnsi="Calibri" w:cs="Calibri"/>
            <w:noProof/>
            <w:sz w:val="18"/>
            <w:szCs w:val="18"/>
          </w:rPr>
          <w:t>5.2.c Evaluación de las pruebas de cribado utilizadas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_Toc517462769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12</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0" w:history="1">
        <w:r w:rsidR="00556DFF" w:rsidRPr="00640B3D">
          <w:rPr>
            <w:rStyle w:val="Hipervnculo"/>
            <w:rFonts w:ascii="Calibri" w:hAnsi="Calibri" w:cs="Calibri"/>
            <w:noProof/>
            <w:sz w:val="18"/>
            <w:szCs w:val="18"/>
          </w:rPr>
          <w:t>5.3 Revisiones sistemáticas publicadas, comparaciones indirectas y sus conclusiones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_Toc517462770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1" w:history="1">
        <w:r w:rsidR="00556DFF" w:rsidRPr="00640B3D">
          <w:rPr>
            <w:rStyle w:val="Hipervnculo"/>
            <w:rFonts w:ascii="Calibri" w:hAnsi="Calibri" w:cs="Calibri"/>
            <w:noProof/>
            <w:sz w:val="18"/>
            <w:szCs w:val="18"/>
          </w:rPr>
          <w:t>5.3.a Revisiones sistemáticas publicadas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2" w:history="1">
        <w:r w:rsidR="00556DFF" w:rsidRPr="00640B3D">
          <w:rPr>
            <w:rStyle w:val="Hipervnculo"/>
            <w:rFonts w:ascii="Calibri" w:hAnsi="Calibri" w:cs="Calibri"/>
            <w:noProof/>
            <w:sz w:val="18"/>
            <w:szCs w:val="18"/>
          </w:rPr>
          <w:t>5.3.b Comparaciones indirectas (CCII)</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3" w:history="1">
        <w:r w:rsidR="00556DFF" w:rsidRPr="00640B3D">
          <w:rPr>
            <w:rStyle w:val="Hipervnculo"/>
            <w:rFonts w:ascii="Calibri" w:hAnsi="Calibri" w:cs="Calibri"/>
            <w:noProof/>
            <w:sz w:val="18"/>
            <w:szCs w:val="18"/>
          </w:rPr>
          <w:t>5.4 Evaluación de fuentes secundarias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4" w:history="1">
        <w:r w:rsidR="00556DFF" w:rsidRPr="00640B3D">
          <w:rPr>
            <w:rStyle w:val="Hipervnculo"/>
            <w:rFonts w:ascii="Calibri" w:hAnsi="Calibri" w:cs="Calibri"/>
            <w:noProof/>
            <w:sz w:val="18"/>
            <w:szCs w:val="18"/>
          </w:rPr>
          <w:t>5.4.1 Guías de Práctica clínica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5" w:history="1">
        <w:r w:rsidR="00556DFF" w:rsidRPr="00640B3D">
          <w:rPr>
            <w:rStyle w:val="Hipervnculo"/>
            <w:rFonts w:ascii="Calibri" w:hAnsi="Calibri" w:cs="Calibri"/>
            <w:noProof/>
            <w:sz w:val="18"/>
            <w:szCs w:val="18"/>
          </w:rPr>
          <w:t>5.4.2 Evaluaciones previas por organismos independientes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_Toc517462775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6" w:history="1">
        <w:r w:rsidR="00556DFF" w:rsidRPr="00640B3D">
          <w:rPr>
            <w:rStyle w:val="Hipervnculo"/>
            <w:rFonts w:ascii="Calibri" w:hAnsi="Calibri" w:cs="Calibri"/>
            <w:noProof/>
            <w:sz w:val="18"/>
            <w:szCs w:val="18"/>
          </w:rPr>
          <w:t>5.4.3 Opiniones de expertos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_Toc517462776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13</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7" w:history="1">
        <w:r w:rsidR="00556DFF" w:rsidRPr="00640B3D">
          <w:rPr>
            <w:rStyle w:val="Hipervnculo"/>
            <w:rFonts w:ascii="Calibri" w:hAnsi="Calibri" w:cs="Calibri"/>
            <w:noProof/>
            <w:sz w:val="18"/>
            <w:szCs w:val="18"/>
          </w:rPr>
          <w:t>5.4.4 Otras fuentes.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14</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78" w:history="1">
        <w:r w:rsidR="00556DFF" w:rsidRPr="00640B3D">
          <w:rPr>
            <w:rStyle w:val="Hipervnculo"/>
            <w:rFonts w:ascii="Calibri" w:hAnsi="Calibri" w:cs="Calibri"/>
            <w:noProof/>
            <w:sz w:val="18"/>
            <w:szCs w:val="18"/>
          </w:rPr>
          <w:t>6. EVALUACIÓN DE LA SEGURIDAD.</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_Toc517462778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14</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79" w:history="1">
        <w:r w:rsidR="00556DFF" w:rsidRPr="00640B3D">
          <w:rPr>
            <w:rStyle w:val="Hipervnculo"/>
            <w:rFonts w:ascii="Calibri" w:hAnsi="Calibri" w:cs="Calibri"/>
            <w:noProof/>
            <w:sz w:val="18"/>
            <w:szCs w:val="18"/>
          </w:rPr>
          <w:t>6.1.a Descripción de la búsqueda bibliográfica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_Toc517462779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14</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0" w:history="1">
        <w:r w:rsidR="00556DFF" w:rsidRPr="00640B3D">
          <w:rPr>
            <w:rStyle w:val="Hipervnculo"/>
            <w:rFonts w:ascii="Calibri" w:hAnsi="Calibri" w:cs="Calibri"/>
            <w:noProof/>
            <w:sz w:val="18"/>
            <w:szCs w:val="18"/>
          </w:rPr>
          <w:t>6.1.b Descripción de los efectos adversos más significativos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_Toc517462780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14</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1" w:history="1">
        <w:r w:rsidR="00556DFF" w:rsidRPr="00640B3D">
          <w:rPr>
            <w:rStyle w:val="Hipervnculo"/>
            <w:rFonts w:ascii="Calibri" w:hAnsi="Calibri" w:cs="Calibri"/>
            <w:noProof/>
            <w:sz w:val="18"/>
            <w:szCs w:val="18"/>
          </w:rPr>
          <w:t>6.3 Fuentes secundarias sobre seguridad</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15</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2" w:history="1">
        <w:r w:rsidR="00556DFF" w:rsidRPr="00640B3D">
          <w:rPr>
            <w:rStyle w:val="Hipervnculo"/>
            <w:rFonts w:ascii="Calibri" w:hAnsi="Calibri" w:cs="Calibri"/>
            <w:noProof/>
            <w:sz w:val="18"/>
            <w:szCs w:val="18"/>
          </w:rPr>
          <w:t>6.4 Precauciones de empleo en casos especiales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15</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83" w:history="1">
        <w:r w:rsidR="00556DFF" w:rsidRPr="00640B3D">
          <w:rPr>
            <w:rStyle w:val="Hipervnculo"/>
            <w:rFonts w:ascii="Calibri" w:hAnsi="Calibri" w:cs="Calibri"/>
            <w:noProof/>
            <w:sz w:val="18"/>
            <w:szCs w:val="18"/>
          </w:rPr>
          <w:t>7. AREA ECONÓMICA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4" w:history="1">
        <w:r w:rsidR="00556DFF" w:rsidRPr="00640B3D">
          <w:rPr>
            <w:rStyle w:val="Hipervnculo"/>
            <w:rFonts w:ascii="Calibri" w:hAnsi="Calibri" w:cs="Calibri"/>
            <w:noProof/>
            <w:sz w:val="18"/>
            <w:szCs w:val="18"/>
          </w:rPr>
          <w:t>7.1 Coste tratamiento. Coste incremental</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5" w:history="1">
        <w:r w:rsidR="00556DFF" w:rsidRPr="00640B3D">
          <w:rPr>
            <w:rStyle w:val="Hipervnculo"/>
            <w:rFonts w:ascii="Calibri" w:hAnsi="Calibri" w:cs="Calibri"/>
            <w:noProof/>
            <w:sz w:val="18"/>
            <w:szCs w:val="18"/>
          </w:rPr>
          <w:t>7.2.a Coste eficacia incremental. Estudios publicados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_Toc517462785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86" w:history="1">
        <w:r w:rsidR="00556DFF" w:rsidRPr="00640B3D">
          <w:rPr>
            <w:rStyle w:val="Hipervnculo"/>
            <w:rFonts w:ascii="Calibri" w:hAnsi="Calibri" w:cs="Calibri"/>
            <w:noProof/>
            <w:sz w:val="18"/>
            <w:szCs w:val="18"/>
          </w:rPr>
          <w:t>7.2.b Coste eficacia incremental (CEI). Datos propios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_Toc517462786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16</w:t>
        </w:r>
        <w:r w:rsidRPr="00640B3D">
          <w:rPr>
            <w:rFonts w:ascii="Calibri" w:hAnsi="Calibri" w:cs="Calibri"/>
            <w:noProof/>
            <w:webHidden/>
            <w:sz w:val="18"/>
            <w:szCs w:val="18"/>
          </w:rPr>
          <w:fldChar w:fldCharType="end"/>
        </w:r>
      </w:hyperlink>
    </w:p>
    <w:p w:rsidR="00556DFF" w:rsidRPr="00640B3D" w:rsidRDefault="00C471CC" w:rsidP="00603A28">
      <w:pPr>
        <w:pStyle w:val="TDC2"/>
        <w:tabs>
          <w:tab w:val="right" w:leader="dot" w:pos="8729"/>
        </w:tabs>
        <w:rPr>
          <w:rFonts w:ascii="Calibri" w:hAnsi="Calibri" w:cs="Calibri"/>
          <w:noProof/>
          <w:sz w:val="18"/>
          <w:szCs w:val="18"/>
        </w:rPr>
      </w:pPr>
      <w:hyperlink w:anchor="_Toc517462787" w:history="1">
        <w:r w:rsidR="00556DFF" w:rsidRPr="00640B3D">
          <w:rPr>
            <w:rStyle w:val="Hipervnculo"/>
            <w:rFonts w:ascii="Calibri" w:hAnsi="Calibri" w:cs="Calibri"/>
            <w:noProof/>
            <w:sz w:val="18"/>
            <w:szCs w:val="18"/>
          </w:rPr>
          <w:t>7.3 Estimación del número de pacientes candidatos al tratamiento en el hospital</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_Toc517462787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16</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1" w:history="1">
        <w:r w:rsidR="00556DFF" w:rsidRPr="00640B3D">
          <w:rPr>
            <w:rStyle w:val="Hipervnculo"/>
            <w:rFonts w:ascii="Calibri" w:hAnsi="Calibri" w:cs="Calibri"/>
            <w:noProof/>
            <w:sz w:val="18"/>
            <w:szCs w:val="18"/>
          </w:rPr>
          <w:t>7.4 Estimación del impacto económico sobre la prescripción de Atención Primaria.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2" w:history="1">
        <w:r w:rsidR="00556DFF" w:rsidRPr="00640B3D">
          <w:rPr>
            <w:rStyle w:val="Hipervnculo"/>
            <w:rFonts w:ascii="Calibri" w:hAnsi="Calibri" w:cs="Calibri"/>
            <w:noProof/>
            <w:sz w:val="18"/>
            <w:szCs w:val="18"/>
          </w:rPr>
          <w:t>7.5 Estimación del impacto económico global a nivel autonómico/estatal</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93" w:history="1">
        <w:r w:rsidR="00556DFF" w:rsidRPr="00640B3D">
          <w:rPr>
            <w:rStyle w:val="Hipervnculo"/>
            <w:rFonts w:ascii="Calibri" w:hAnsi="Calibri" w:cs="Calibri"/>
            <w:noProof/>
            <w:sz w:val="18"/>
            <w:szCs w:val="18"/>
          </w:rPr>
          <w:t>8. EVALUACIÓN DE LA CONVENIENCIA.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4" w:history="1">
        <w:r w:rsidR="00556DFF" w:rsidRPr="00640B3D">
          <w:rPr>
            <w:rStyle w:val="Hipervnculo"/>
            <w:rFonts w:ascii="Calibri" w:hAnsi="Calibri" w:cs="Calibri"/>
            <w:noProof/>
            <w:sz w:val="18"/>
            <w:szCs w:val="18"/>
          </w:rPr>
          <w:t>8.1 Descripción de la conveniencia</w:t>
        </w:r>
        <w:r w:rsidR="00556DFF" w:rsidRPr="00640B3D">
          <w:rPr>
            <w:rStyle w:val="Hipervnculo"/>
            <w:rFonts w:ascii="Calibri" w:hAnsi="Calibri" w:cs="Calibri"/>
            <w:noProof/>
            <w:sz w:val="18"/>
            <w:szCs w:val="18"/>
            <w:vertAlign w:val="superscript"/>
          </w:rPr>
          <w:t>12</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5" w:history="1">
        <w:r w:rsidR="00556DFF" w:rsidRPr="00640B3D">
          <w:rPr>
            <w:rStyle w:val="Hipervnculo"/>
            <w:rFonts w:ascii="Calibri" w:hAnsi="Calibri" w:cs="Calibri"/>
            <w:noProof/>
            <w:sz w:val="18"/>
            <w:szCs w:val="18"/>
          </w:rPr>
          <w:t>8.2 Influencia de la conveniencia en la efectividad del tratamiento</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_Toc517462795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796" w:history="1">
        <w:r w:rsidR="00556DFF" w:rsidRPr="00640B3D">
          <w:rPr>
            <w:rStyle w:val="Hipervnculo"/>
            <w:rFonts w:ascii="Calibri" w:hAnsi="Calibri" w:cs="Calibri"/>
            <w:noProof/>
            <w:sz w:val="18"/>
            <w:szCs w:val="18"/>
          </w:rPr>
          <w:t>9. AREA DE CONCLUSIONES.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_Toc517462796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7" w:history="1">
        <w:r w:rsidR="00556DFF" w:rsidRPr="00640B3D">
          <w:rPr>
            <w:rStyle w:val="Hipervnculo"/>
            <w:rFonts w:ascii="Calibri" w:hAnsi="Calibri" w:cs="Calibri"/>
            <w:noProof/>
            <w:sz w:val="18"/>
            <w:szCs w:val="18"/>
          </w:rPr>
          <w:t>9.1 Resumen de los aspectos más significativos respecto a la alternativa y propuestas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_Toc517462797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17</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8" w:history="1">
        <w:r w:rsidR="00556DFF" w:rsidRPr="00640B3D">
          <w:rPr>
            <w:rStyle w:val="Hipervnculo"/>
            <w:rFonts w:ascii="Calibri" w:hAnsi="Calibri" w:cs="Calibri"/>
            <w:noProof/>
            <w:sz w:val="18"/>
            <w:szCs w:val="18"/>
          </w:rPr>
          <w:t>9.2 Decisión</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_Toc517462798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19</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799" w:history="1">
        <w:r w:rsidR="00556DFF" w:rsidRPr="00640B3D">
          <w:rPr>
            <w:rStyle w:val="Hipervnculo"/>
            <w:rFonts w:ascii="Calibri" w:hAnsi="Calibri" w:cs="Calibri"/>
            <w:noProof/>
            <w:sz w:val="18"/>
            <w:szCs w:val="18"/>
          </w:rPr>
          <w:t>9.3 Condiciones de uso (Solo en caso de clasificación D-E de la guía GINF)</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_Toc517462799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19</w:t>
        </w:r>
        <w:r w:rsidRPr="00640B3D">
          <w:rPr>
            <w:rFonts w:ascii="Calibri" w:hAnsi="Calibri" w:cs="Calibri"/>
            <w:noProof/>
            <w:webHidden/>
            <w:sz w:val="18"/>
            <w:szCs w:val="18"/>
          </w:rPr>
          <w:fldChar w:fldCharType="end"/>
        </w:r>
      </w:hyperlink>
    </w:p>
    <w:p w:rsidR="00556DFF" w:rsidRPr="00640B3D" w:rsidRDefault="00C471CC">
      <w:pPr>
        <w:pStyle w:val="TDC2"/>
        <w:tabs>
          <w:tab w:val="right" w:leader="dot" w:pos="8729"/>
        </w:tabs>
        <w:rPr>
          <w:rFonts w:ascii="Calibri" w:hAnsi="Calibri" w:cs="Calibri"/>
          <w:noProof/>
          <w:sz w:val="18"/>
          <w:szCs w:val="18"/>
        </w:rPr>
      </w:pPr>
      <w:hyperlink w:anchor="_Toc517462800" w:history="1">
        <w:r w:rsidR="00556DFF" w:rsidRPr="00640B3D">
          <w:rPr>
            <w:rStyle w:val="Hipervnculo"/>
            <w:rFonts w:ascii="Calibri" w:hAnsi="Calibri" w:cs="Calibri"/>
            <w:noProof/>
            <w:sz w:val="18"/>
            <w:szCs w:val="18"/>
          </w:rPr>
          <w:t>9.4 Plan de seguimiento</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_Toc517462800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19</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801" w:history="1">
        <w:r w:rsidR="00556DFF" w:rsidRPr="00640B3D">
          <w:rPr>
            <w:rStyle w:val="Hipervnculo"/>
            <w:rFonts w:ascii="Calibri" w:hAnsi="Calibri" w:cs="Calibri"/>
            <w:i/>
            <w:iCs/>
            <w:noProof/>
            <w:sz w:val="18"/>
            <w:szCs w:val="18"/>
          </w:rPr>
          <w:t>10. BIBLIOGRAFÍA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_Toc517462801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20</w:t>
        </w:r>
        <w:r w:rsidRPr="00640B3D">
          <w:rPr>
            <w:rFonts w:ascii="Calibri" w:hAnsi="Calibri" w:cs="Calibri"/>
            <w:noProof/>
            <w:webHidden/>
            <w:sz w:val="18"/>
            <w:szCs w:val="18"/>
          </w:rPr>
          <w:fldChar w:fldCharType="end"/>
        </w:r>
      </w:hyperlink>
    </w:p>
    <w:p w:rsidR="00556DFF" w:rsidRPr="00640B3D" w:rsidRDefault="00C471CC">
      <w:pPr>
        <w:pStyle w:val="TDC1"/>
        <w:tabs>
          <w:tab w:val="right" w:leader="dot" w:pos="8729"/>
        </w:tabs>
        <w:rPr>
          <w:rFonts w:ascii="Calibri" w:hAnsi="Calibri" w:cs="Calibri"/>
          <w:noProof/>
          <w:sz w:val="18"/>
          <w:szCs w:val="18"/>
        </w:rPr>
      </w:pPr>
      <w:hyperlink w:anchor="_Toc517462802" w:history="1">
        <w:r w:rsidR="00556DFF" w:rsidRPr="00640B3D">
          <w:rPr>
            <w:rStyle w:val="Hipervnculo"/>
            <w:rFonts w:ascii="Calibri" w:hAnsi="Calibri" w:cs="Calibri"/>
            <w:noProof/>
            <w:sz w:val="18"/>
            <w:szCs w:val="18"/>
            <w:lang w:val="pt-BR"/>
          </w:rPr>
          <w:t>11. ANEXOS</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_Toc517462802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21</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803" w:history="1">
        <w:r w:rsidR="00556DFF" w:rsidRPr="00640B3D">
          <w:rPr>
            <w:rStyle w:val="Hipervnculo"/>
            <w:rFonts w:ascii="Calibri" w:hAnsi="Calibri" w:cs="Calibri"/>
            <w:noProof/>
            <w:sz w:val="18"/>
            <w:szCs w:val="18"/>
            <w:lang w:val="pt-BR"/>
          </w:rPr>
          <w:t>APARTADO 5.2.b.A. Validez interna.</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_Toc517462803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21</w:t>
        </w:r>
        <w:r w:rsidRPr="00640B3D">
          <w:rPr>
            <w:rFonts w:ascii="Calibri" w:hAnsi="Calibri" w:cs="Calibri"/>
            <w:noProof/>
            <w:webHidden/>
            <w:sz w:val="18"/>
            <w:szCs w:val="18"/>
          </w:rPr>
          <w:fldChar w:fldCharType="end"/>
        </w:r>
      </w:hyperlink>
    </w:p>
    <w:p w:rsidR="00556DFF" w:rsidRPr="00640B3D" w:rsidRDefault="00C471CC">
      <w:pPr>
        <w:pStyle w:val="TDC3"/>
        <w:tabs>
          <w:tab w:val="right" w:leader="dot" w:pos="8729"/>
        </w:tabs>
        <w:rPr>
          <w:rFonts w:ascii="Calibri" w:hAnsi="Calibri" w:cs="Calibri"/>
          <w:noProof/>
          <w:sz w:val="18"/>
          <w:szCs w:val="18"/>
        </w:rPr>
      </w:pPr>
      <w:hyperlink w:anchor="_Toc517462804" w:history="1">
        <w:r w:rsidR="00556DFF" w:rsidRPr="00640B3D">
          <w:rPr>
            <w:rStyle w:val="Hipervnculo"/>
            <w:rFonts w:ascii="Calibri" w:hAnsi="Calibri" w:cs="Calibri"/>
            <w:noProof/>
            <w:sz w:val="18"/>
            <w:szCs w:val="18"/>
          </w:rPr>
          <w:t>APARTADO 5.2.b.B. Aplicabilidad del ensayo a la práctica del hospital</w:t>
        </w:r>
        <w:r w:rsidR="00556DFF" w:rsidRPr="00640B3D">
          <w:rPr>
            <w:rFonts w:ascii="Calibri" w:hAnsi="Calibri" w:cs="Calibri"/>
            <w:noProof/>
            <w:webHidden/>
            <w:sz w:val="18"/>
            <w:szCs w:val="18"/>
          </w:rPr>
          <w:tab/>
        </w:r>
        <w:r w:rsidRPr="00640B3D">
          <w:rPr>
            <w:rFonts w:ascii="Calibri" w:hAnsi="Calibri" w:cs="Calibri"/>
            <w:noProof/>
            <w:webHidden/>
            <w:sz w:val="18"/>
            <w:szCs w:val="18"/>
          </w:rPr>
          <w:fldChar w:fldCharType="begin"/>
        </w:r>
        <w:r w:rsidR="00556DFF" w:rsidRPr="00640B3D">
          <w:rPr>
            <w:rFonts w:ascii="Calibri" w:hAnsi="Calibri" w:cs="Calibri"/>
            <w:noProof/>
            <w:webHidden/>
            <w:sz w:val="18"/>
            <w:szCs w:val="18"/>
          </w:rPr>
          <w:instrText xml:space="preserve"> PAGEREF _Toc517462804 \h </w:instrText>
        </w:r>
        <w:r w:rsidRPr="00640B3D">
          <w:rPr>
            <w:rFonts w:ascii="Calibri" w:hAnsi="Calibri" w:cs="Calibri"/>
            <w:noProof/>
            <w:webHidden/>
            <w:sz w:val="18"/>
            <w:szCs w:val="18"/>
          </w:rPr>
        </w:r>
        <w:r w:rsidRPr="00640B3D">
          <w:rPr>
            <w:rFonts w:ascii="Calibri" w:hAnsi="Calibri" w:cs="Calibri"/>
            <w:noProof/>
            <w:webHidden/>
            <w:sz w:val="18"/>
            <w:szCs w:val="18"/>
          </w:rPr>
          <w:fldChar w:fldCharType="separate"/>
        </w:r>
        <w:r w:rsidR="00426B77">
          <w:rPr>
            <w:rFonts w:ascii="Calibri" w:hAnsi="Calibri" w:cs="Calibri"/>
            <w:noProof/>
            <w:webHidden/>
            <w:sz w:val="18"/>
            <w:szCs w:val="18"/>
          </w:rPr>
          <w:t>21</w:t>
        </w:r>
        <w:r w:rsidRPr="00640B3D">
          <w:rPr>
            <w:rFonts w:ascii="Calibri" w:hAnsi="Calibri" w:cs="Calibri"/>
            <w:noProof/>
            <w:webHidden/>
            <w:sz w:val="18"/>
            <w:szCs w:val="18"/>
          </w:rPr>
          <w:fldChar w:fldCharType="end"/>
        </w:r>
      </w:hyperlink>
    </w:p>
    <w:p w:rsidR="00556DFF" w:rsidRPr="00640B3D" w:rsidRDefault="00C471CC" w:rsidP="00877A56">
      <w:pPr>
        <w:rPr>
          <w:rFonts w:ascii="Calibri" w:hAnsi="Calibri" w:cs="Calibri"/>
          <w:sz w:val="18"/>
          <w:szCs w:val="18"/>
        </w:rPr>
      </w:pPr>
      <w:r w:rsidRPr="00640B3D">
        <w:rPr>
          <w:rFonts w:ascii="Calibri" w:hAnsi="Calibri" w:cs="Calibri"/>
          <w:sz w:val="18"/>
          <w:szCs w:val="18"/>
        </w:rPr>
        <w:fldChar w:fldCharType="end"/>
      </w:r>
      <w:bookmarkEnd w:id="1"/>
    </w:p>
    <w:p w:rsidR="00556DFF" w:rsidRPr="00A53D3E" w:rsidRDefault="00556DFF" w:rsidP="00877A56">
      <w:pPr>
        <w:rPr>
          <w:rFonts w:ascii="Calibri" w:hAnsi="Calibri" w:cs="Calibri"/>
          <w:sz w:val="18"/>
          <w:szCs w:val="18"/>
        </w:rPr>
      </w:pPr>
    </w:p>
    <w:p w:rsidR="00556DFF" w:rsidRDefault="00556DFF" w:rsidP="00877A5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Glosario: </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proofErr w:type="spellStart"/>
      <w:r>
        <w:rPr>
          <w:rFonts w:ascii="Arial" w:hAnsi="Arial" w:cs="Arial"/>
          <w:b/>
          <w:sz w:val="20"/>
          <w:szCs w:val="20"/>
        </w:rPr>
        <w:t>AchR</w:t>
      </w:r>
      <w:proofErr w:type="spellEnd"/>
      <w:r>
        <w:rPr>
          <w:rFonts w:ascii="Arial" w:hAnsi="Arial" w:cs="Arial"/>
          <w:b/>
          <w:sz w:val="20"/>
          <w:szCs w:val="20"/>
        </w:rPr>
        <w:t xml:space="preserve">: receptor de </w:t>
      </w:r>
      <w:proofErr w:type="spellStart"/>
      <w:r>
        <w:rPr>
          <w:rFonts w:ascii="Arial" w:hAnsi="Arial" w:cs="Arial"/>
          <w:b/>
          <w:sz w:val="20"/>
          <w:szCs w:val="20"/>
        </w:rPr>
        <w:t>acetilcolina</w:t>
      </w:r>
      <w:proofErr w:type="spellEnd"/>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AZA: Azatioprina</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CYC: Ciclosporina</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HPN: H</w:t>
      </w:r>
      <w:r w:rsidRPr="00806649">
        <w:rPr>
          <w:rFonts w:ascii="Arial" w:hAnsi="Arial" w:cs="Arial"/>
          <w:b/>
          <w:sz w:val="20"/>
          <w:szCs w:val="20"/>
        </w:rPr>
        <w:t>emoglobina paroxística nocturna</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MGFA: Fundación Americana de Miastenia </w:t>
      </w:r>
      <w:proofErr w:type="spellStart"/>
      <w:r>
        <w:rPr>
          <w:rFonts w:ascii="Arial" w:hAnsi="Arial" w:cs="Arial"/>
          <w:b/>
          <w:sz w:val="20"/>
          <w:szCs w:val="20"/>
        </w:rPr>
        <w:t>Gravis</w:t>
      </w:r>
      <w:proofErr w:type="spellEnd"/>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MTX: Metotrexato</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MMF: </w:t>
      </w:r>
      <w:proofErr w:type="spellStart"/>
      <w:r>
        <w:rPr>
          <w:rFonts w:ascii="Arial" w:hAnsi="Arial" w:cs="Arial"/>
          <w:b/>
          <w:sz w:val="20"/>
          <w:szCs w:val="20"/>
        </w:rPr>
        <w:t>Micofenolato</w:t>
      </w:r>
      <w:proofErr w:type="spellEnd"/>
      <w:r>
        <w:rPr>
          <w:rFonts w:ascii="Arial" w:hAnsi="Arial" w:cs="Arial"/>
          <w:b/>
          <w:sz w:val="20"/>
          <w:szCs w:val="20"/>
        </w:rPr>
        <w:t xml:space="preserve"> </w:t>
      </w:r>
      <w:proofErr w:type="spellStart"/>
      <w:r>
        <w:rPr>
          <w:rFonts w:ascii="Arial" w:hAnsi="Arial" w:cs="Arial"/>
          <w:b/>
          <w:sz w:val="20"/>
          <w:szCs w:val="20"/>
        </w:rPr>
        <w:t>mofetilo</w:t>
      </w:r>
      <w:proofErr w:type="spellEnd"/>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MG: Miastenia </w:t>
      </w:r>
      <w:proofErr w:type="spellStart"/>
      <w:r>
        <w:rPr>
          <w:rFonts w:ascii="Arial" w:hAnsi="Arial" w:cs="Arial"/>
          <w:b/>
          <w:sz w:val="20"/>
          <w:szCs w:val="20"/>
        </w:rPr>
        <w:t>gravis</w:t>
      </w:r>
      <w:proofErr w:type="spellEnd"/>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proofErr w:type="spellStart"/>
      <w:r>
        <w:rPr>
          <w:rFonts w:ascii="Arial" w:hAnsi="Arial" w:cs="Arial"/>
          <w:b/>
          <w:sz w:val="20"/>
          <w:szCs w:val="20"/>
        </w:rPr>
        <w:t>MGg</w:t>
      </w:r>
      <w:proofErr w:type="spellEnd"/>
      <w:r>
        <w:rPr>
          <w:rFonts w:ascii="Arial" w:hAnsi="Arial" w:cs="Arial"/>
          <w:b/>
          <w:sz w:val="20"/>
          <w:szCs w:val="20"/>
        </w:rPr>
        <w:t xml:space="preserve">: Miastenia </w:t>
      </w:r>
      <w:proofErr w:type="spellStart"/>
      <w:r>
        <w:rPr>
          <w:rFonts w:ascii="Arial" w:hAnsi="Arial" w:cs="Arial"/>
          <w:b/>
          <w:sz w:val="20"/>
          <w:szCs w:val="20"/>
        </w:rPr>
        <w:t>gravis</w:t>
      </w:r>
      <w:proofErr w:type="spellEnd"/>
      <w:r>
        <w:rPr>
          <w:rFonts w:ascii="Arial" w:hAnsi="Arial" w:cs="Arial"/>
          <w:b/>
          <w:sz w:val="20"/>
          <w:szCs w:val="20"/>
        </w:rPr>
        <w:t xml:space="preserve"> generalizada</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proofErr w:type="spellStart"/>
      <w:r>
        <w:rPr>
          <w:rFonts w:ascii="Arial" w:hAnsi="Arial" w:cs="Arial"/>
          <w:b/>
          <w:sz w:val="20"/>
          <w:szCs w:val="20"/>
        </w:rPr>
        <w:t>SHUa</w:t>
      </w:r>
      <w:proofErr w:type="spellEnd"/>
      <w:r>
        <w:rPr>
          <w:rFonts w:ascii="Arial" w:hAnsi="Arial" w:cs="Arial"/>
          <w:b/>
          <w:sz w:val="20"/>
          <w:szCs w:val="20"/>
        </w:rPr>
        <w:t xml:space="preserve">: </w:t>
      </w:r>
      <w:r w:rsidRPr="00806649">
        <w:rPr>
          <w:rFonts w:ascii="Arial" w:hAnsi="Arial" w:cs="Arial"/>
          <w:b/>
          <w:sz w:val="20"/>
          <w:szCs w:val="20"/>
        </w:rPr>
        <w:t>Síndrome hemolítico urémico atípico</w:t>
      </w:r>
    </w:p>
    <w:p w:rsidR="00556DFF" w:rsidRDefault="00556DFF" w:rsidP="00B029D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TAC: </w:t>
      </w:r>
      <w:proofErr w:type="spellStart"/>
      <w:r>
        <w:rPr>
          <w:rFonts w:ascii="Arial" w:hAnsi="Arial" w:cs="Arial"/>
          <w:b/>
          <w:sz w:val="20"/>
          <w:szCs w:val="20"/>
        </w:rPr>
        <w:t>Tacrolimus</w:t>
      </w:r>
      <w:proofErr w:type="spellEnd"/>
    </w:p>
    <w:p w:rsidR="00556DFF" w:rsidRDefault="00556DFF" w:rsidP="00877A5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TIS: Terapia inmunosupresora</w:t>
      </w:r>
    </w:p>
    <w:p w:rsidR="00556DFF" w:rsidRDefault="00556DFF" w:rsidP="00877A56">
      <w:pPr>
        <w:rPr>
          <w:rFonts w:ascii="Arial" w:hAnsi="Arial" w:cs="Arial"/>
          <w:b/>
          <w:sz w:val="20"/>
          <w:szCs w:val="20"/>
        </w:rPr>
      </w:pPr>
    </w:p>
    <w:p w:rsidR="00556DFF" w:rsidRDefault="00556DFF" w:rsidP="00877A56">
      <w:pPr>
        <w:jc w:val="both"/>
        <w:rPr>
          <w:rFonts w:ascii="Arial" w:hAnsi="Arial"/>
          <w:sz w:val="20"/>
        </w:rPr>
      </w:pPr>
      <w:bookmarkStart w:id="2" w:name="_Hlk486365441"/>
      <w:bookmarkStart w:id="3" w:name="_Hlk486364760"/>
      <w:r>
        <w:rPr>
          <w:rFonts w:ascii="Arial" w:hAnsi="Arial"/>
          <w:sz w:val="20"/>
        </w:rPr>
        <w:t xml:space="preserve">Informe revisado por el Grupo Hospitalario de Evaluación de Medicamentos de Andalucía (GHEMA). </w:t>
      </w:r>
    </w:p>
    <w:bookmarkEnd w:id="2"/>
    <w:p w:rsidR="00556DFF" w:rsidRDefault="00556DFF" w:rsidP="00877A56">
      <w:pPr>
        <w:jc w:val="both"/>
        <w:rPr>
          <w:rFonts w:ascii="Arial" w:hAnsi="Arial" w:cs="Arial"/>
          <w:bCs/>
          <w:sz w:val="20"/>
        </w:rPr>
      </w:pPr>
    </w:p>
    <w:p w:rsidR="00556DFF" w:rsidRPr="006977DA" w:rsidRDefault="00556DFF" w:rsidP="00877A56">
      <w:pPr>
        <w:jc w:val="both"/>
        <w:rPr>
          <w:rFonts w:ascii="Arial" w:hAnsi="Arial" w:cs="Arial"/>
          <w:bCs/>
          <w:sz w:val="20"/>
        </w:rPr>
      </w:pPr>
      <w:r w:rsidRPr="006977DA">
        <w:rPr>
          <w:rFonts w:ascii="Arial" w:hAnsi="Arial" w:cs="Arial"/>
          <w:bCs/>
          <w:sz w:val="20"/>
        </w:rPr>
        <w:t>Un borrador de este informe fue expuesto públicament</w:t>
      </w:r>
      <w:r>
        <w:rPr>
          <w:rFonts w:ascii="Arial" w:hAnsi="Arial" w:cs="Arial"/>
          <w:bCs/>
          <w:sz w:val="20"/>
        </w:rPr>
        <w:t>e para propuestas y alegaciones</w:t>
      </w:r>
      <w:r w:rsidRPr="006977DA">
        <w:rPr>
          <w:rFonts w:ascii="Arial" w:hAnsi="Arial" w:cs="Arial"/>
          <w:bCs/>
          <w:sz w:val="20"/>
        </w:rPr>
        <w:t xml:space="preserve">. </w:t>
      </w:r>
      <w:r>
        <w:rPr>
          <w:rFonts w:ascii="Arial" w:hAnsi="Arial" w:cs="Arial"/>
          <w:bCs/>
          <w:sz w:val="20"/>
        </w:rPr>
        <w:t>Durante el plazo establecido, no se recibieron alegaciones/propuestas de modificación del informe.</w:t>
      </w:r>
      <w:r w:rsidRPr="006977DA">
        <w:rPr>
          <w:rFonts w:ascii="Arial" w:hAnsi="Arial" w:cs="Arial"/>
          <w:bCs/>
          <w:sz w:val="20"/>
        </w:rPr>
        <w:t xml:space="preserve"> </w:t>
      </w:r>
    </w:p>
    <w:p w:rsidR="00556DFF" w:rsidRDefault="00556DFF" w:rsidP="00877A56">
      <w:pPr>
        <w:rPr>
          <w:rFonts w:ascii="Arial" w:hAnsi="Arial" w:cs="Arial"/>
          <w:b/>
          <w:sz w:val="20"/>
          <w:szCs w:val="20"/>
        </w:rPr>
      </w:pPr>
    </w:p>
    <w:p w:rsidR="00556DFF" w:rsidRDefault="00556DFF" w:rsidP="00877A56">
      <w:pPr>
        <w:rPr>
          <w:rFonts w:ascii="Arial" w:hAnsi="Arial" w:cs="Arial"/>
          <w:b/>
          <w:sz w:val="20"/>
          <w:szCs w:val="20"/>
        </w:rPr>
      </w:pPr>
      <w:bookmarkStart w:id="4" w:name="_Hlk486364840"/>
      <w:r w:rsidRPr="006977DA">
        <w:rPr>
          <w:rFonts w:ascii="Arial" w:hAnsi="Arial" w:cs="Arial"/>
          <w:b/>
          <w:sz w:val="20"/>
          <w:szCs w:val="20"/>
        </w:rPr>
        <w:t>Citar este informe como:</w:t>
      </w:r>
    </w:p>
    <w:bookmarkEnd w:id="4"/>
    <w:p w:rsidR="00556DFF" w:rsidRPr="006977DA" w:rsidRDefault="00556DFF" w:rsidP="00877A56">
      <w:pPr>
        <w:rPr>
          <w:rFonts w:ascii="Arial" w:hAnsi="Arial" w:cs="Arial"/>
          <w:b/>
          <w:sz w:val="20"/>
          <w:szCs w:val="20"/>
        </w:rPr>
      </w:pPr>
    </w:p>
    <w:p w:rsidR="00556DFF" w:rsidRPr="00925216" w:rsidRDefault="00556DFF" w:rsidP="00925216">
      <w:pPr>
        <w:jc w:val="both"/>
        <w:rPr>
          <w:rFonts w:ascii="Arial" w:hAnsi="Arial" w:cs="Arial"/>
          <w:sz w:val="20"/>
          <w:szCs w:val="20"/>
        </w:rPr>
      </w:pPr>
      <w:r>
        <w:rPr>
          <w:rFonts w:ascii="Arial" w:hAnsi="Arial" w:cs="Arial"/>
          <w:sz w:val="20"/>
          <w:szCs w:val="20"/>
        </w:rPr>
        <w:t>M</w:t>
      </w:r>
      <w:r w:rsidRPr="00925216">
        <w:rPr>
          <w:rFonts w:ascii="Arial" w:hAnsi="Arial" w:cs="Arial"/>
          <w:sz w:val="20"/>
          <w:szCs w:val="20"/>
        </w:rPr>
        <w:t>a</w:t>
      </w:r>
      <w:r>
        <w:rPr>
          <w:rFonts w:ascii="Arial" w:hAnsi="Arial" w:cs="Arial"/>
          <w:sz w:val="20"/>
          <w:szCs w:val="20"/>
        </w:rPr>
        <w:t>n</w:t>
      </w:r>
      <w:r w:rsidRPr="00925216">
        <w:rPr>
          <w:rFonts w:ascii="Arial" w:hAnsi="Arial" w:cs="Arial"/>
          <w:sz w:val="20"/>
          <w:szCs w:val="20"/>
        </w:rPr>
        <w:t>zano-García M</w:t>
      </w:r>
      <w:r>
        <w:rPr>
          <w:rFonts w:ascii="Arial" w:hAnsi="Arial" w:cs="Arial"/>
          <w:sz w:val="20"/>
          <w:szCs w:val="20"/>
        </w:rPr>
        <w:t xml:space="preserve">. </w:t>
      </w:r>
      <w:r w:rsidRPr="00925216">
        <w:rPr>
          <w:rFonts w:ascii="Arial" w:hAnsi="Arial" w:cs="Arial"/>
          <w:sz w:val="20"/>
          <w:szCs w:val="20"/>
        </w:rPr>
        <w:t xml:space="preserve">Mercedes; Borrego-Izquierdo Yolanda. </w:t>
      </w:r>
      <w:bookmarkStart w:id="5" w:name="_Hlk525192873"/>
      <w:proofErr w:type="spellStart"/>
      <w:r w:rsidRPr="00925216">
        <w:rPr>
          <w:rFonts w:ascii="Arial" w:hAnsi="Arial" w:cs="Arial"/>
          <w:sz w:val="20"/>
          <w:szCs w:val="20"/>
        </w:rPr>
        <w:t>Eculizumab</w:t>
      </w:r>
      <w:proofErr w:type="spellEnd"/>
      <w:r w:rsidRPr="00925216">
        <w:rPr>
          <w:rFonts w:ascii="Arial" w:hAnsi="Arial" w:cs="Arial"/>
          <w:sz w:val="20"/>
          <w:szCs w:val="20"/>
        </w:rPr>
        <w:t xml:space="preserve"> en miastenia </w:t>
      </w:r>
      <w:proofErr w:type="spellStart"/>
      <w:r w:rsidRPr="00925216">
        <w:rPr>
          <w:rFonts w:ascii="Arial" w:hAnsi="Arial" w:cs="Arial"/>
          <w:sz w:val="20"/>
          <w:szCs w:val="20"/>
        </w:rPr>
        <w:t>gravis</w:t>
      </w:r>
      <w:proofErr w:type="spellEnd"/>
      <w:r w:rsidRPr="00925216">
        <w:rPr>
          <w:rFonts w:ascii="Arial" w:hAnsi="Arial" w:cs="Arial"/>
          <w:sz w:val="20"/>
          <w:szCs w:val="20"/>
        </w:rPr>
        <w:t xml:space="preserve"> refractaria y generalizada con anticuerpos anti-</w:t>
      </w:r>
      <w:proofErr w:type="spellStart"/>
      <w:r w:rsidRPr="00925216">
        <w:rPr>
          <w:rFonts w:ascii="Arial" w:hAnsi="Arial" w:cs="Arial"/>
          <w:sz w:val="20"/>
          <w:szCs w:val="20"/>
        </w:rPr>
        <w:t>Ach</w:t>
      </w:r>
      <w:bookmarkEnd w:id="5"/>
      <w:r w:rsidRPr="00925216">
        <w:rPr>
          <w:rFonts w:ascii="Arial" w:hAnsi="Arial" w:cs="Arial"/>
          <w:sz w:val="20"/>
          <w:szCs w:val="20"/>
        </w:rPr>
        <w:t>R</w:t>
      </w:r>
      <w:proofErr w:type="spellEnd"/>
      <w:r w:rsidRPr="00925216">
        <w:rPr>
          <w:rFonts w:ascii="Arial" w:hAnsi="Arial" w:cs="Arial"/>
          <w:sz w:val="20"/>
          <w:szCs w:val="20"/>
        </w:rPr>
        <w:t xml:space="preserve">. </w:t>
      </w:r>
      <w:r w:rsidRPr="006977DA">
        <w:rPr>
          <w:rFonts w:ascii="Arial" w:hAnsi="Arial" w:cs="Arial"/>
          <w:sz w:val="20"/>
          <w:szCs w:val="20"/>
        </w:rPr>
        <w:t xml:space="preserve">Informe para </w:t>
      </w:r>
      <w:smartTag w:uri="urn:schemas-microsoft-com:office:smarttags" w:element="PersonName">
        <w:smartTagPr>
          <w:attr w:name="ProductID" w:val="la Guía Farmacoterapéutica"/>
        </w:smartTagPr>
        <w:r w:rsidRPr="006977DA">
          <w:rPr>
            <w:rFonts w:ascii="Arial" w:hAnsi="Arial" w:cs="Arial"/>
            <w:sz w:val="20"/>
            <w:szCs w:val="20"/>
          </w:rPr>
          <w:t>la Guía Farmacoterapéutica</w:t>
        </w:r>
      </w:smartTag>
      <w:r w:rsidRPr="006977DA">
        <w:rPr>
          <w:rFonts w:ascii="Arial" w:hAnsi="Arial" w:cs="Arial"/>
          <w:sz w:val="20"/>
          <w:szCs w:val="20"/>
        </w:rPr>
        <w:t xml:space="preserve"> de Hospitales de Andalucía. </w:t>
      </w:r>
      <w:r>
        <w:rPr>
          <w:rFonts w:ascii="Arial" w:hAnsi="Arial" w:cs="Arial"/>
          <w:sz w:val="20"/>
          <w:szCs w:val="20"/>
        </w:rPr>
        <w:t>Junio 2018.</w:t>
      </w:r>
    </w:p>
    <w:p w:rsidR="00556DFF" w:rsidRDefault="00556DFF" w:rsidP="00877A56">
      <w:pPr>
        <w:jc w:val="both"/>
        <w:rPr>
          <w:rFonts w:ascii="Arial" w:hAnsi="Arial" w:cs="Arial"/>
          <w:bCs/>
          <w:sz w:val="20"/>
          <w:szCs w:val="20"/>
        </w:rPr>
      </w:pPr>
    </w:p>
    <w:p w:rsidR="00556DFF" w:rsidRPr="006977DA" w:rsidRDefault="00556DFF" w:rsidP="00877A56">
      <w:pPr>
        <w:jc w:val="both"/>
        <w:rPr>
          <w:rFonts w:ascii="Arial" w:hAnsi="Arial" w:cs="Arial"/>
          <w:sz w:val="20"/>
          <w:szCs w:val="20"/>
        </w:rPr>
      </w:pPr>
      <w:r w:rsidRPr="006977DA">
        <w:rPr>
          <w:rFonts w:ascii="Arial" w:hAnsi="Arial" w:cs="Arial"/>
          <w:sz w:val="20"/>
          <w:szCs w:val="20"/>
        </w:rPr>
        <w:t xml:space="preserve">Disponible en: </w:t>
      </w:r>
      <w:hyperlink r:id="rId7" w:history="1">
        <w:r w:rsidRPr="006977DA">
          <w:rPr>
            <w:rStyle w:val="Hipervnculo"/>
            <w:rFonts w:ascii="Arial" w:hAnsi="Arial" w:cs="Arial"/>
            <w:sz w:val="20"/>
            <w:szCs w:val="20"/>
          </w:rPr>
          <w:t>http://safh.org/historico-de-informes/</w:t>
        </w:r>
      </w:hyperlink>
      <w:r w:rsidRPr="006977DA">
        <w:rPr>
          <w:rFonts w:ascii="Arial" w:hAnsi="Arial" w:cs="Arial"/>
          <w:sz w:val="20"/>
          <w:szCs w:val="20"/>
        </w:rPr>
        <w:t xml:space="preserve"> </w:t>
      </w:r>
    </w:p>
    <w:p w:rsidR="00556DFF" w:rsidRPr="006977DA" w:rsidRDefault="00556DFF" w:rsidP="00877A56">
      <w:pPr>
        <w:jc w:val="both"/>
        <w:rPr>
          <w:rFonts w:ascii="Arial" w:hAnsi="Arial" w:cs="Arial"/>
          <w:sz w:val="20"/>
          <w:szCs w:val="20"/>
        </w:rPr>
      </w:pPr>
      <w:r w:rsidRPr="006977DA">
        <w:rPr>
          <w:rFonts w:ascii="Arial" w:hAnsi="Arial" w:cs="Arial"/>
          <w:sz w:val="20"/>
          <w:szCs w:val="20"/>
        </w:rPr>
        <w:t xml:space="preserve">También en: </w:t>
      </w:r>
      <w:hyperlink r:id="rId8" w:history="1">
        <w:r w:rsidRPr="006977DA">
          <w:rPr>
            <w:rStyle w:val="Hipervnculo"/>
            <w:rFonts w:ascii="Arial" w:hAnsi="Arial" w:cs="Arial"/>
            <w:sz w:val="20"/>
            <w:szCs w:val="20"/>
          </w:rPr>
          <w:t>http://gruposdetrabajo.sefh.es/genesis/</w:t>
        </w:r>
      </w:hyperlink>
    </w:p>
    <w:p w:rsidR="00556DFF" w:rsidRPr="006977DA" w:rsidRDefault="00556DFF" w:rsidP="00877A56">
      <w:pPr>
        <w:jc w:val="both"/>
        <w:rPr>
          <w:rFonts w:ascii="Arial" w:hAnsi="Arial" w:cs="Arial"/>
          <w:sz w:val="20"/>
          <w:szCs w:val="20"/>
        </w:rPr>
      </w:pPr>
    </w:p>
    <w:p w:rsidR="00556DFF" w:rsidRPr="007E235D" w:rsidRDefault="00556DFF" w:rsidP="00877A56">
      <w:pPr>
        <w:jc w:val="both"/>
        <w:rPr>
          <w:rFonts w:ascii="Arial" w:hAnsi="Arial" w:cs="Arial"/>
          <w:sz w:val="20"/>
          <w:szCs w:val="20"/>
        </w:rPr>
      </w:pPr>
      <w:r w:rsidRPr="007E235D">
        <w:rPr>
          <w:rFonts w:ascii="Arial" w:hAnsi="Arial" w:cs="Arial"/>
          <w:sz w:val="20"/>
          <w:szCs w:val="20"/>
        </w:rPr>
        <w:t xml:space="preserve">Este informe utiliza como base para su elaboración el </w:t>
      </w:r>
      <w:r w:rsidRPr="007E235D">
        <w:rPr>
          <w:rFonts w:ascii="Arial" w:hAnsi="Arial" w:cs="Arial"/>
          <w:b/>
          <w:sz w:val="20"/>
          <w:szCs w:val="20"/>
        </w:rPr>
        <w:t>Programa MADRE 4.0 (GENESIS-SEFH).</w:t>
      </w:r>
    </w:p>
    <w:bookmarkEnd w:id="3"/>
    <w:p w:rsidR="00556DFF" w:rsidRDefault="00556DFF" w:rsidP="00BC3E8E">
      <w:pPr>
        <w:rPr>
          <w:rFonts w:ascii="Arial" w:hAnsi="Arial" w:cs="Arial"/>
          <w:b/>
          <w:sz w:val="20"/>
          <w:szCs w:val="20"/>
        </w:rPr>
      </w:pPr>
    </w:p>
    <w:p w:rsidR="00556DFF" w:rsidRPr="006F6ABB" w:rsidRDefault="00556DFF" w:rsidP="00BC3E8E">
      <w:pPr>
        <w:rPr>
          <w:rFonts w:ascii="Arial" w:hAnsi="Arial" w:cs="Arial"/>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6F6ABB">
        <w:trPr>
          <w:trHeight w:val="131"/>
        </w:trPr>
        <w:tc>
          <w:tcPr>
            <w:tcW w:w="8890" w:type="dxa"/>
            <w:shd w:val="clear" w:color="auto" w:fill="BFBFBF"/>
          </w:tcPr>
          <w:p w:rsidR="00556DFF" w:rsidRPr="00506DFA" w:rsidRDefault="00556DFF" w:rsidP="00BC3E8E">
            <w:pPr>
              <w:pStyle w:val="Ttulo1"/>
              <w:shd w:val="clear" w:color="auto" w:fill="A6A6A6"/>
              <w:rPr>
                <w:rFonts w:ascii="Arial" w:hAnsi="Arial" w:cs="Arial"/>
                <w:kern w:val="0"/>
                <w:sz w:val="20"/>
              </w:rPr>
            </w:pPr>
            <w:bookmarkStart w:id="6" w:name="_Toc344399618"/>
            <w:bookmarkStart w:id="7" w:name="_Toc348931345"/>
            <w:bookmarkStart w:id="8" w:name="_Toc517462746"/>
            <w:r w:rsidRPr="00506DFA">
              <w:rPr>
                <w:rFonts w:ascii="Arial" w:hAnsi="Arial" w:cs="Arial"/>
                <w:kern w:val="0"/>
                <w:sz w:val="20"/>
              </w:rPr>
              <w:t>1.- IDENTIFICACIÓN DEL FÁRMACO Y AUTORES DEL INFORME</w:t>
            </w:r>
            <w:bookmarkEnd w:id="6"/>
            <w:bookmarkEnd w:id="7"/>
            <w:bookmarkEnd w:id="8"/>
          </w:p>
        </w:tc>
      </w:tr>
    </w:tbl>
    <w:p w:rsidR="00556DFF" w:rsidRPr="006F6ABB" w:rsidRDefault="00556DFF" w:rsidP="00BC3E8E">
      <w:pPr>
        <w:jc w:val="both"/>
        <w:rPr>
          <w:rFonts w:ascii="Arial" w:hAnsi="Arial" w:cs="Arial"/>
          <w:sz w:val="20"/>
          <w:szCs w:val="20"/>
        </w:rPr>
      </w:pPr>
    </w:p>
    <w:p w:rsidR="00556DFF" w:rsidRPr="006F6ABB" w:rsidRDefault="00556DFF" w:rsidP="00877A56">
      <w:pPr>
        <w:jc w:val="both"/>
        <w:rPr>
          <w:rFonts w:ascii="Arial" w:hAnsi="Arial" w:cs="Arial"/>
          <w:sz w:val="20"/>
          <w:szCs w:val="20"/>
        </w:rPr>
      </w:pPr>
      <w:r>
        <w:rPr>
          <w:rFonts w:ascii="Arial" w:hAnsi="Arial"/>
          <w:b/>
          <w:sz w:val="20"/>
        </w:rPr>
        <w:t>Fármaco:</w:t>
      </w:r>
      <w:r w:rsidRPr="00B16EB2">
        <w:rPr>
          <w:rFonts w:ascii="Arial" w:hAnsi="Arial" w:cs="Arial"/>
          <w:color w:val="000080"/>
          <w:sz w:val="20"/>
          <w:szCs w:val="20"/>
        </w:rPr>
        <w:t xml:space="preserve"> </w:t>
      </w:r>
      <w:proofErr w:type="spellStart"/>
      <w:r w:rsidRPr="00925216">
        <w:rPr>
          <w:rFonts w:ascii="Arial" w:hAnsi="Arial" w:cs="Arial"/>
          <w:sz w:val="20"/>
          <w:szCs w:val="20"/>
        </w:rPr>
        <w:t>Eculizumab</w:t>
      </w:r>
      <w:proofErr w:type="spellEnd"/>
    </w:p>
    <w:p w:rsidR="00556DFF" w:rsidRPr="00925216" w:rsidRDefault="00556DFF" w:rsidP="00877A56">
      <w:pPr>
        <w:jc w:val="both"/>
        <w:rPr>
          <w:rFonts w:ascii="Arial" w:hAnsi="Arial" w:cs="Arial"/>
          <w:sz w:val="20"/>
          <w:szCs w:val="20"/>
        </w:rPr>
      </w:pPr>
      <w:r w:rsidRPr="00925216">
        <w:rPr>
          <w:rFonts w:ascii="Arial" w:hAnsi="Arial" w:cs="Arial"/>
          <w:b/>
          <w:sz w:val="20"/>
          <w:szCs w:val="20"/>
        </w:rPr>
        <w:t>Indicación clínica</w:t>
      </w:r>
      <w:r w:rsidRPr="00925216">
        <w:rPr>
          <w:rFonts w:ascii="Arial" w:hAnsi="Arial" w:cs="Arial"/>
          <w:sz w:val="20"/>
          <w:szCs w:val="20"/>
        </w:rPr>
        <w:t>:</w:t>
      </w:r>
      <w:r>
        <w:rPr>
          <w:rFonts w:ascii="Arial" w:hAnsi="Arial" w:cs="Arial"/>
          <w:sz w:val="20"/>
          <w:szCs w:val="20"/>
        </w:rPr>
        <w:t xml:space="preserve"> </w:t>
      </w:r>
      <w:r w:rsidRPr="00925216">
        <w:rPr>
          <w:rFonts w:ascii="Arial" w:hAnsi="Arial" w:cs="Arial"/>
          <w:sz w:val="20"/>
          <w:szCs w:val="20"/>
        </w:rPr>
        <w:t xml:space="preserve">Miastenia </w:t>
      </w:r>
      <w:proofErr w:type="spellStart"/>
      <w:r w:rsidRPr="00925216">
        <w:rPr>
          <w:rFonts w:ascii="Arial" w:hAnsi="Arial" w:cs="Arial"/>
          <w:sz w:val="20"/>
          <w:szCs w:val="20"/>
        </w:rPr>
        <w:t>gravis</w:t>
      </w:r>
      <w:proofErr w:type="spellEnd"/>
      <w:r w:rsidRPr="00925216">
        <w:rPr>
          <w:rFonts w:ascii="Arial" w:hAnsi="Arial" w:cs="Arial"/>
          <w:sz w:val="20"/>
          <w:szCs w:val="20"/>
        </w:rPr>
        <w:t xml:space="preserve"> refractaria y generalizada con anticuerpos anti-</w:t>
      </w:r>
      <w:proofErr w:type="spellStart"/>
      <w:r w:rsidRPr="00925216">
        <w:rPr>
          <w:rFonts w:ascii="Arial" w:hAnsi="Arial" w:cs="Arial"/>
          <w:sz w:val="20"/>
          <w:szCs w:val="20"/>
        </w:rPr>
        <w:t>AchR</w:t>
      </w:r>
      <w:proofErr w:type="spellEnd"/>
    </w:p>
    <w:p w:rsidR="00556DFF" w:rsidRPr="00925216" w:rsidRDefault="00556DFF" w:rsidP="00877A56">
      <w:pPr>
        <w:jc w:val="both"/>
        <w:rPr>
          <w:rFonts w:ascii="Arial" w:hAnsi="Arial" w:cs="Arial"/>
          <w:sz w:val="20"/>
          <w:szCs w:val="20"/>
        </w:rPr>
      </w:pPr>
      <w:r w:rsidRPr="00925216">
        <w:rPr>
          <w:rFonts w:ascii="Arial" w:hAnsi="Arial" w:cs="Arial"/>
          <w:b/>
          <w:sz w:val="20"/>
          <w:szCs w:val="20"/>
        </w:rPr>
        <w:t>Autores / Revisores:</w:t>
      </w:r>
      <w:r w:rsidRPr="00925216">
        <w:rPr>
          <w:rFonts w:ascii="Arial" w:hAnsi="Arial" w:cs="Arial"/>
          <w:sz w:val="20"/>
          <w:szCs w:val="20"/>
        </w:rPr>
        <w:t xml:space="preserve"> Mercedes Manzano García</w:t>
      </w:r>
      <w:r>
        <w:rPr>
          <w:rFonts w:ascii="Arial" w:hAnsi="Arial" w:cs="Arial"/>
          <w:sz w:val="20"/>
          <w:szCs w:val="20"/>
        </w:rPr>
        <w:t xml:space="preserve">, </w:t>
      </w:r>
      <w:r w:rsidRPr="00925216">
        <w:rPr>
          <w:rFonts w:ascii="Arial" w:hAnsi="Arial" w:cs="Arial"/>
          <w:sz w:val="20"/>
          <w:szCs w:val="20"/>
        </w:rPr>
        <w:t xml:space="preserve">Yolanda Borrego Izquierdo </w:t>
      </w:r>
    </w:p>
    <w:p w:rsidR="00556DFF" w:rsidRPr="00925216" w:rsidRDefault="00556DFF" w:rsidP="00877A56">
      <w:pPr>
        <w:jc w:val="both"/>
        <w:rPr>
          <w:rFonts w:ascii="Arial" w:hAnsi="Arial" w:cs="Arial"/>
          <w:sz w:val="20"/>
          <w:szCs w:val="20"/>
        </w:rPr>
      </w:pPr>
      <w:r w:rsidRPr="00925216">
        <w:rPr>
          <w:rFonts w:ascii="Arial" w:hAnsi="Arial" w:cs="Arial"/>
          <w:b/>
          <w:sz w:val="20"/>
          <w:szCs w:val="20"/>
        </w:rPr>
        <w:t>Tipo de informe:</w:t>
      </w:r>
      <w:r w:rsidRPr="00925216">
        <w:rPr>
          <w:rFonts w:ascii="Arial" w:hAnsi="Arial" w:cs="Arial"/>
          <w:sz w:val="20"/>
          <w:szCs w:val="20"/>
        </w:rPr>
        <w:t xml:space="preserve"> Original</w:t>
      </w:r>
    </w:p>
    <w:p w:rsidR="00556DFF" w:rsidRDefault="00556DFF" w:rsidP="00877A56">
      <w:pPr>
        <w:jc w:val="both"/>
        <w:rPr>
          <w:rFonts w:ascii="Arial" w:hAnsi="Arial"/>
          <w:sz w:val="20"/>
        </w:rPr>
      </w:pPr>
      <w:r w:rsidRPr="006F6ABB">
        <w:rPr>
          <w:rFonts w:ascii="Arial" w:hAnsi="Arial" w:cs="Arial"/>
          <w:b/>
          <w:sz w:val="20"/>
          <w:szCs w:val="20"/>
        </w:rPr>
        <w:t>Declaración de conflicto de Intereses de los autores</w:t>
      </w:r>
      <w:r>
        <w:rPr>
          <w:rFonts w:ascii="Arial" w:hAnsi="Arial" w:cs="Arial"/>
          <w:b/>
          <w:bCs/>
          <w:sz w:val="20"/>
          <w:szCs w:val="20"/>
        </w:rPr>
        <w:t xml:space="preserve">: </w:t>
      </w:r>
      <w:r>
        <w:rPr>
          <w:rFonts w:ascii="Arial" w:hAnsi="Arial"/>
          <w:sz w:val="20"/>
        </w:rPr>
        <w:t>No existe conflicto de intereses.</w:t>
      </w:r>
    </w:p>
    <w:p w:rsidR="00556DFF" w:rsidRDefault="00556DFF" w:rsidP="00877A56">
      <w:pPr>
        <w:jc w:val="both"/>
        <w:rPr>
          <w:rFonts w:ascii="Arial" w:hAnsi="Arial"/>
          <w:sz w:val="20"/>
        </w:rPr>
      </w:pPr>
    </w:p>
    <w:p w:rsidR="00556DFF" w:rsidRDefault="00556DFF" w:rsidP="00877A56">
      <w:pPr>
        <w:jc w:val="both"/>
        <w:rPr>
          <w:rFonts w:ascii="Arial" w:hAnsi="Arial"/>
          <w:sz w:val="20"/>
        </w:rPr>
      </w:pPr>
    </w:p>
    <w:p w:rsidR="00556DFF" w:rsidRPr="006F6ABB" w:rsidRDefault="00556DFF" w:rsidP="00BC3E8E">
      <w:pPr>
        <w:rPr>
          <w:rFonts w:ascii="Arial" w:hAnsi="Arial" w:cs="Arial"/>
          <w:b/>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DA38F3">
        <w:trPr>
          <w:trHeight w:val="90"/>
        </w:trPr>
        <w:tc>
          <w:tcPr>
            <w:tcW w:w="8890"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9" w:name="_Toc344399619"/>
            <w:bookmarkStart w:id="10" w:name="_Toc348931346"/>
            <w:bookmarkStart w:id="11" w:name="_Toc517462747"/>
            <w:r w:rsidRPr="00506DFA">
              <w:rPr>
                <w:rFonts w:ascii="Arial" w:hAnsi="Arial" w:cs="Arial"/>
                <w:kern w:val="0"/>
                <w:sz w:val="20"/>
              </w:rPr>
              <w:t>2.- SOLICITUD Y DATOS DEL PROCESO DE EVALUACIÓN</w:t>
            </w:r>
            <w:bookmarkEnd w:id="9"/>
            <w:bookmarkEnd w:id="10"/>
            <w:bookmarkEnd w:id="11"/>
          </w:p>
        </w:tc>
      </w:tr>
    </w:tbl>
    <w:p w:rsidR="00556DFF" w:rsidRPr="006F6ABB" w:rsidRDefault="00556DFF" w:rsidP="00BC3E8E">
      <w:pPr>
        <w:jc w:val="both"/>
        <w:rPr>
          <w:rFonts w:ascii="Arial" w:hAnsi="Arial" w:cs="Arial"/>
          <w:b/>
          <w:sz w:val="20"/>
          <w:szCs w:val="20"/>
        </w:rPr>
      </w:pPr>
    </w:p>
    <w:p w:rsidR="00556DFF" w:rsidRPr="00227803" w:rsidRDefault="00556DFF" w:rsidP="00877A56">
      <w:pPr>
        <w:rPr>
          <w:rFonts w:ascii="Arial" w:hAnsi="Arial" w:cs="Arial"/>
          <w:bCs/>
          <w:sz w:val="20"/>
          <w:szCs w:val="20"/>
        </w:rPr>
      </w:pPr>
      <w:bookmarkStart w:id="12" w:name="_Hlk486364790"/>
      <w:r w:rsidRPr="00227803">
        <w:rPr>
          <w:rFonts w:ascii="Arial" w:hAnsi="Arial" w:cs="Arial"/>
          <w:b/>
          <w:bCs/>
          <w:sz w:val="20"/>
          <w:szCs w:val="20"/>
        </w:rPr>
        <w:t>Justificación de la solicitud</w:t>
      </w:r>
      <w:r w:rsidRPr="00227803">
        <w:rPr>
          <w:rFonts w:ascii="Arial" w:hAnsi="Arial" w:cs="Arial"/>
          <w:bCs/>
          <w:sz w:val="20"/>
          <w:szCs w:val="20"/>
        </w:rPr>
        <w:t>: Revisión a demanda del grupo GHEMA, por tratarse de un fármaco novedoso cuyo lugar en terapéutica precisa de la evaluación en el entorno hospitalario.</w:t>
      </w:r>
    </w:p>
    <w:p w:rsidR="00556DFF" w:rsidRDefault="00556DFF" w:rsidP="00BC3E8E">
      <w:pPr>
        <w:rPr>
          <w:rFonts w:ascii="Arial" w:hAnsi="Arial" w:cs="Arial"/>
          <w:sz w:val="20"/>
          <w:szCs w:val="20"/>
        </w:rPr>
      </w:pPr>
    </w:p>
    <w:bookmarkEnd w:id="12"/>
    <w:p w:rsidR="00556DFF" w:rsidRPr="006F6ABB" w:rsidRDefault="00556DFF" w:rsidP="00BC3E8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556DFF" w:rsidRPr="00DA38F3">
        <w:tc>
          <w:tcPr>
            <w:tcW w:w="8859"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13" w:name="_Toc344399620"/>
            <w:bookmarkStart w:id="14" w:name="_Toc348931347"/>
            <w:bookmarkStart w:id="15" w:name="_Toc517462748"/>
            <w:r w:rsidRPr="00506DFA">
              <w:rPr>
                <w:rFonts w:ascii="Arial" w:hAnsi="Arial" w:cs="Arial"/>
                <w:kern w:val="0"/>
                <w:sz w:val="20"/>
              </w:rPr>
              <w:t>3.- AREA DESCRIPTIVA DEL MEDICAMENTO Y DEL PROBLEMA DE SALUD</w:t>
            </w:r>
            <w:bookmarkEnd w:id="13"/>
            <w:bookmarkEnd w:id="14"/>
            <w:bookmarkEnd w:id="15"/>
          </w:p>
        </w:tc>
      </w:tr>
    </w:tbl>
    <w:p w:rsidR="00556DFF" w:rsidRPr="006F6ABB" w:rsidRDefault="00556DFF" w:rsidP="00BC3E8E">
      <w:pPr>
        <w:rPr>
          <w:rFonts w:ascii="Arial" w:hAnsi="Arial" w:cs="Arial"/>
          <w:b/>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2" w:color="auto"/>
        </w:pBdr>
        <w:shd w:val="clear" w:color="auto" w:fill="D9D9D9"/>
        <w:rPr>
          <w:rFonts w:cs="Arial"/>
          <w:sz w:val="20"/>
        </w:rPr>
      </w:pPr>
      <w:bookmarkStart w:id="16" w:name="_Toc344399621"/>
      <w:bookmarkStart w:id="17" w:name="_Toc348931348"/>
      <w:bookmarkStart w:id="18" w:name="_Toc517462749"/>
      <w:r w:rsidRPr="00E3472F">
        <w:rPr>
          <w:rFonts w:cs="Arial"/>
          <w:sz w:val="20"/>
        </w:rPr>
        <w:t>3.1 Área descriptiva del medicamento</w:t>
      </w:r>
      <w:bookmarkEnd w:id="16"/>
      <w:bookmarkEnd w:id="17"/>
      <w:bookmarkEnd w:id="18"/>
    </w:p>
    <w:p w:rsidR="00556DFF" w:rsidRPr="006F6ABB" w:rsidRDefault="00556DFF" w:rsidP="00BC3E8E">
      <w:pPr>
        <w:rPr>
          <w:rFonts w:ascii="Arial" w:hAnsi="Arial" w:cs="Arial"/>
          <w:b/>
          <w:sz w:val="20"/>
          <w:szCs w:val="20"/>
        </w:rPr>
      </w:pPr>
    </w:p>
    <w:p w:rsidR="00556DFF" w:rsidRPr="006F6ABB" w:rsidRDefault="00556DFF" w:rsidP="00BC3E8E">
      <w:pPr>
        <w:rPr>
          <w:rFonts w:ascii="Arial" w:hAnsi="Arial" w:cs="Arial"/>
          <w:sz w:val="20"/>
          <w:szCs w:val="20"/>
        </w:rPr>
      </w:pPr>
      <w:r w:rsidRPr="006F6ABB">
        <w:rPr>
          <w:rFonts w:ascii="Arial" w:hAnsi="Arial" w:cs="Arial"/>
          <w:b/>
          <w:bCs/>
          <w:sz w:val="20"/>
          <w:szCs w:val="20"/>
        </w:rPr>
        <w:t>Nombre genérico</w:t>
      </w:r>
      <w:r w:rsidRPr="006F6AB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Eculizumab</w:t>
      </w:r>
      <w:proofErr w:type="spellEnd"/>
      <w:r>
        <w:rPr>
          <w:rFonts w:ascii="Arial" w:hAnsi="Arial" w:cs="Arial"/>
          <w:sz w:val="20"/>
          <w:szCs w:val="20"/>
        </w:rPr>
        <w:t>.</w:t>
      </w:r>
      <w:r>
        <w:rPr>
          <w:rFonts w:ascii="Arial" w:hAnsi="Arial" w:cs="Arial"/>
          <w:sz w:val="20"/>
          <w:szCs w:val="20"/>
        </w:rPr>
        <w:tab/>
      </w:r>
    </w:p>
    <w:p w:rsidR="00556DFF" w:rsidRPr="006F6ABB" w:rsidRDefault="00556DFF" w:rsidP="00BC3E8E">
      <w:pPr>
        <w:rPr>
          <w:rFonts w:ascii="Arial" w:hAnsi="Arial" w:cs="Arial"/>
          <w:sz w:val="20"/>
          <w:szCs w:val="20"/>
        </w:rPr>
      </w:pPr>
      <w:r w:rsidRPr="006F6ABB">
        <w:rPr>
          <w:rFonts w:ascii="Arial" w:hAnsi="Arial" w:cs="Arial"/>
          <w:b/>
          <w:bCs/>
          <w:sz w:val="20"/>
          <w:szCs w:val="20"/>
        </w:rPr>
        <w:t>Nombre comercial</w:t>
      </w:r>
      <w:r w:rsidRPr="006F6ABB">
        <w:rPr>
          <w:rFonts w:ascii="Arial" w:hAnsi="Arial" w:cs="Arial"/>
          <w:sz w:val="20"/>
          <w:szCs w:val="20"/>
        </w:rPr>
        <w:t xml:space="preserve">: </w:t>
      </w:r>
      <w:proofErr w:type="spellStart"/>
      <w:r>
        <w:rPr>
          <w:rFonts w:ascii="Arial" w:hAnsi="Arial" w:cs="Arial"/>
          <w:sz w:val="20"/>
          <w:szCs w:val="20"/>
        </w:rPr>
        <w:t>Eculizumab</w:t>
      </w:r>
      <w:proofErr w:type="spellEnd"/>
      <w:r>
        <w:rPr>
          <w:rFonts w:ascii="Arial" w:hAnsi="Arial" w:cs="Arial"/>
          <w:sz w:val="20"/>
          <w:szCs w:val="20"/>
        </w:rPr>
        <w:t>.</w:t>
      </w:r>
    </w:p>
    <w:p w:rsidR="00556DFF" w:rsidRPr="006F6ABB" w:rsidRDefault="00556DFF" w:rsidP="00BC3E8E">
      <w:pPr>
        <w:rPr>
          <w:rFonts w:ascii="Arial" w:hAnsi="Arial" w:cs="Arial"/>
          <w:sz w:val="20"/>
          <w:szCs w:val="20"/>
        </w:rPr>
      </w:pPr>
      <w:r w:rsidRPr="006F6ABB">
        <w:rPr>
          <w:rFonts w:ascii="Arial" w:hAnsi="Arial" w:cs="Arial"/>
          <w:b/>
          <w:bCs/>
          <w:sz w:val="20"/>
          <w:szCs w:val="20"/>
        </w:rPr>
        <w:t>Laboratorio</w:t>
      </w:r>
      <w:r w:rsidRPr="006F6ABB">
        <w:rPr>
          <w:rFonts w:ascii="Arial" w:hAnsi="Arial" w:cs="Arial"/>
          <w:sz w:val="20"/>
          <w:szCs w:val="20"/>
        </w:rPr>
        <w:t>:</w:t>
      </w:r>
      <w:r>
        <w:rPr>
          <w:rFonts w:ascii="Arial" w:hAnsi="Arial" w:cs="Arial"/>
          <w:sz w:val="20"/>
          <w:szCs w:val="20"/>
        </w:rPr>
        <w:t xml:space="preserve"> </w:t>
      </w:r>
      <w:proofErr w:type="spellStart"/>
      <w:r w:rsidRPr="00925216">
        <w:rPr>
          <w:rFonts w:ascii="Arial" w:hAnsi="Arial" w:cs="Arial"/>
          <w:sz w:val="20"/>
          <w:szCs w:val="20"/>
        </w:rPr>
        <w:t>Alexion</w:t>
      </w:r>
      <w:proofErr w:type="spellEnd"/>
      <w:r w:rsidRPr="00925216">
        <w:rPr>
          <w:rFonts w:ascii="Arial" w:hAnsi="Arial" w:cs="Arial"/>
          <w:sz w:val="20"/>
          <w:szCs w:val="20"/>
        </w:rPr>
        <w:t xml:space="preserve"> </w:t>
      </w:r>
      <w:proofErr w:type="spellStart"/>
      <w:r w:rsidRPr="00925216">
        <w:rPr>
          <w:rFonts w:ascii="Arial" w:hAnsi="Arial" w:cs="Arial"/>
          <w:sz w:val="20"/>
          <w:szCs w:val="20"/>
        </w:rPr>
        <w:t>Europe</w:t>
      </w:r>
      <w:proofErr w:type="spellEnd"/>
      <w:r w:rsidRPr="00925216">
        <w:rPr>
          <w:rFonts w:ascii="Arial" w:hAnsi="Arial" w:cs="Arial"/>
          <w:sz w:val="20"/>
          <w:szCs w:val="20"/>
        </w:rPr>
        <w:t xml:space="preserve"> </w:t>
      </w:r>
      <w:proofErr w:type="spellStart"/>
      <w:r w:rsidRPr="00925216">
        <w:rPr>
          <w:rFonts w:ascii="Arial" w:hAnsi="Arial" w:cs="Arial"/>
          <w:sz w:val="20"/>
          <w:szCs w:val="20"/>
        </w:rPr>
        <w:t>Sas</w:t>
      </w:r>
      <w:proofErr w:type="spellEnd"/>
      <w:r>
        <w:rPr>
          <w:rFonts w:ascii="Arial" w:hAnsi="Arial" w:cs="Arial"/>
          <w:sz w:val="20"/>
          <w:szCs w:val="20"/>
        </w:rPr>
        <w:t>.</w:t>
      </w:r>
    </w:p>
    <w:p w:rsidR="00556DFF" w:rsidRDefault="00556DFF" w:rsidP="00BC3E8E">
      <w:pPr>
        <w:rPr>
          <w:rFonts w:ascii="Arial" w:hAnsi="Arial" w:cs="Arial"/>
          <w:sz w:val="20"/>
          <w:szCs w:val="20"/>
        </w:rPr>
      </w:pPr>
      <w:r w:rsidRPr="006F6ABB">
        <w:rPr>
          <w:rFonts w:ascii="Arial" w:hAnsi="Arial" w:cs="Arial"/>
          <w:b/>
          <w:bCs/>
          <w:sz w:val="20"/>
          <w:szCs w:val="20"/>
        </w:rPr>
        <w:t>Grupo terapéutico</w:t>
      </w:r>
      <w:r w:rsidRPr="006F6ABB">
        <w:rPr>
          <w:rFonts w:ascii="Arial" w:hAnsi="Arial" w:cs="Arial"/>
          <w:sz w:val="20"/>
          <w:szCs w:val="20"/>
        </w:rPr>
        <w:t xml:space="preserve">. </w:t>
      </w:r>
      <w:r w:rsidRPr="00615D63">
        <w:rPr>
          <w:rFonts w:ascii="Arial" w:hAnsi="Arial" w:cs="Arial"/>
          <w:sz w:val="20"/>
          <w:szCs w:val="20"/>
        </w:rPr>
        <w:t>Agen</w:t>
      </w:r>
      <w:r>
        <w:rPr>
          <w:rFonts w:ascii="Arial" w:hAnsi="Arial" w:cs="Arial"/>
          <w:sz w:val="20"/>
          <w:szCs w:val="20"/>
        </w:rPr>
        <w:t>tes inmunosupresores selectivos.</w:t>
      </w:r>
    </w:p>
    <w:p w:rsidR="00556DFF" w:rsidRPr="006F6ABB" w:rsidRDefault="00556DFF" w:rsidP="00877A56">
      <w:pPr>
        <w:rPr>
          <w:rFonts w:ascii="Arial" w:hAnsi="Arial" w:cs="Arial"/>
          <w:sz w:val="20"/>
          <w:szCs w:val="20"/>
        </w:rPr>
      </w:pPr>
      <w:r w:rsidRPr="00877A56">
        <w:rPr>
          <w:rFonts w:ascii="Arial" w:hAnsi="Arial" w:cs="Arial"/>
          <w:b/>
          <w:sz w:val="20"/>
          <w:szCs w:val="20"/>
        </w:rPr>
        <w:t>Código ATC:</w:t>
      </w:r>
      <w:r>
        <w:rPr>
          <w:rFonts w:ascii="Arial" w:hAnsi="Arial" w:cs="Arial"/>
          <w:b/>
          <w:sz w:val="20"/>
          <w:szCs w:val="20"/>
        </w:rPr>
        <w:t xml:space="preserve"> </w:t>
      </w:r>
      <w:r w:rsidRPr="00615D63">
        <w:rPr>
          <w:rFonts w:ascii="Arial" w:hAnsi="Arial" w:cs="Arial"/>
          <w:sz w:val="20"/>
          <w:szCs w:val="20"/>
        </w:rPr>
        <w:t xml:space="preserve">L04AA25  </w:t>
      </w:r>
    </w:p>
    <w:p w:rsidR="00556DFF" w:rsidRPr="006F6ABB" w:rsidRDefault="00556DFF" w:rsidP="00BC3E8E">
      <w:pPr>
        <w:rPr>
          <w:rFonts w:ascii="Arial" w:hAnsi="Arial" w:cs="Arial"/>
          <w:sz w:val="20"/>
          <w:szCs w:val="20"/>
        </w:rPr>
      </w:pPr>
      <w:r w:rsidRPr="006F6ABB">
        <w:rPr>
          <w:rFonts w:ascii="Arial" w:hAnsi="Arial" w:cs="Arial"/>
          <w:b/>
          <w:bCs/>
          <w:sz w:val="20"/>
          <w:szCs w:val="20"/>
        </w:rPr>
        <w:t>Vía de administración</w:t>
      </w:r>
      <w:r w:rsidRPr="006F6ABB">
        <w:rPr>
          <w:rFonts w:ascii="Arial" w:hAnsi="Arial" w:cs="Arial"/>
          <w:sz w:val="20"/>
          <w:szCs w:val="20"/>
        </w:rPr>
        <w:t xml:space="preserve">: </w:t>
      </w:r>
      <w:r>
        <w:rPr>
          <w:rFonts w:ascii="Arial" w:hAnsi="Arial" w:cs="Arial"/>
          <w:sz w:val="20"/>
          <w:szCs w:val="20"/>
        </w:rPr>
        <w:t>IV.</w:t>
      </w:r>
    </w:p>
    <w:p w:rsidR="00556DFF" w:rsidRPr="006F6ABB" w:rsidRDefault="00556DFF" w:rsidP="00BC3E8E">
      <w:pPr>
        <w:jc w:val="both"/>
        <w:rPr>
          <w:rFonts w:ascii="Arial" w:hAnsi="Arial" w:cs="Arial"/>
          <w:bCs/>
          <w:sz w:val="20"/>
          <w:szCs w:val="20"/>
        </w:rPr>
      </w:pPr>
      <w:r w:rsidRPr="006F6ABB">
        <w:rPr>
          <w:rFonts w:ascii="Arial" w:hAnsi="Arial" w:cs="Arial"/>
          <w:b/>
          <w:sz w:val="20"/>
          <w:szCs w:val="20"/>
        </w:rPr>
        <w:t>Tipo de dispensación</w:t>
      </w:r>
      <w:r w:rsidRPr="006F6ABB">
        <w:rPr>
          <w:rFonts w:ascii="Arial" w:hAnsi="Arial" w:cs="Arial"/>
          <w:bCs/>
          <w:sz w:val="20"/>
          <w:szCs w:val="20"/>
        </w:rPr>
        <w:t xml:space="preserve">: </w:t>
      </w:r>
      <w:r>
        <w:rPr>
          <w:rFonts w:ascii="Arial" w:hAnsi="Arial" w:cs="Arial"/>
          <w:bCs/>
          <w:sz w:val="20"/>
          <w:szCs w:val="20"/>
        </w:rPr>
        <w:t>Dispensación Hospitalaria.</w:t>
      </w:r>
      <w:r>
        <w:rPr>
          <w:rFonts w:ascii="Arial" w:hAnsi="Arial" w:cs="Arial"/>
          <w:bCs/>
          <w:sz w:val="20"/>
          <w:szCs w:val="20"/>
        </w:rPr>
        <w:tab/>
      </w:r>
    </w:p>
    <w:p w:rsidR="00556DFF" w:rsidRPr="006F6ABB" w:rsidRDefault="00556DFF" w:rsidP="00BC3E8E">
      <w:pPr>
        <w:pStyle w:val="Encabezado"/>
        <w:tabs>
          <w:tab w:val="clear" w:pos="4252"/>
          <w:tab w:val="clear" w:pos="8504"/>
        </w:tabs>
        <w:jc w:val="both"/>
        <w:rPr>
          <w:rFonts w:ascii="Arial" w:hAnsi="Arial" w:cs="Arial"/>
        </w:rPr>
      </w:pPr>
      <w:r w:rsidRPr="006F6ABB">
        <w:rPr>
          <w:rFonts w:ascii="Arial" w:hAnsi="Arial" w:cs="Arial"/>
          <w:b/>
          <w:bCs/>
        </w:rPr>
        <w:t>Información de registro</w:t>
      </w:r>
      <w:r w:rsidRPr="006F6ABB">
        <w:rPr>
          <w:rFonts w:ascii="Arial" w:hAnsi="Arial" w:cs="Arial"/>
        </w:rPr>
        <w:t xml:space="preserve">: </w:t>
      </w:r>
    </w:p>
    <w:p w:rsidR="00556DFF" w:rsidRPr="006F6ABB" w:rsidRDefault="00556DFF" w:rsidP="00BC3E8E">
      <w:pPr>
        <w:pStyle w:val="Encabezado"/>
        <w:tabs>
          <w:tab w:val="clear" w:pos="4252"/>
          <w:tab w:val="clear" w:pos="8504"/>
        </w:tabs>
        <w:rPr>
          <w:rFonts w:ascii="Arial" w:hAnsi="Arial" w:cs="Arial"/>
        </w:rPr>
      </w:pPr>
    </w:p>
    <w:tbl>
      <w:tblPr>
        <w:tblW w:w="8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4"/>
        <w:gridCol w:w="1238"/>
        <w:gridCol w:w="965"/>
        <w:gridCol w:w="2007"/>
        <w:gridCol w:w="2188"/>
      </w:tblGrid>
      <w:tr w:rsidR="00556DFF" w:rsidRPr="006F6ABB">
        <w:trPr>
          <w:cantSplit/>
        </w:trPr>
        <w:tc>
          <w:tcPr>
            <w:tcW w:w="8962" w:type="dxa"/>
            <w:gridSpan w:val="5"/>
            <w:shd w:val="clear" w:color="auto" w:fill="CCFFCC"/>
          </w:tcPr>
          <w:p w:rsidR="00556DFF" w:rsidRPr="006F6ABB" w:rsidRDefault="00556DFF" w:rsidP="00BC3E8E">
            <w:pPr>
              <w:jc w:val="both"/>
              <w:rPr>
                <w:rFonts w:ascii="Arial" w:hAnsi="Arial" w:cs="Arial"/>
                <w:b/>
                <w:sz w:val="16"/>
              </w:rPr>
            </w:pPr>
            <w:r w:rsidRPr="006F6ABB">
              <w:rPr>
                <w:rFonts w:ascii="Arial" w:hAnsi="Arial" w:cs="Arial"/>
                <w:b/>
                <w:sz w:val="16"/>
              </w:rPr>
              <w:t xml:space="preserve">Presentaciones y precio </w:t>
            </w:r>
            <w:r w:rsidRPr="006F6ABB">
              <w:rPr>
                <w:rFonts w:ascii="Arial" w:hAnsi="Arial" w:cs="Arial"/>
                <w:bCs/>
                <w:sz w:val="16"/>
              </w:rPr>
              <w:t xml:space="preserve"> </w:t>
            </w:r>
          </w:p>
        </w:tc>
      </w:tr>
      <w:tr w:rsidR="00556DFF" w:rsidRPr="006F6ABB">
        <w:trPr>
          <w:cantSplit/>
        </w:trPr>
        <w:tc>
          <w:tcPr>
            <w:tcW w:w="2564" w:type="dxa"/>
          </w:tcPr>
          <w:p w:rsidR="00556DFF" w:rsidRPr="006F6ABB" w:rsidRDefault="00556DFF" w:rsidP="00BC3E8E">
            <w:pPr>
              <w:jc w:val="both"/>
              <w:rPr>
                <w:rFonts w:ascii="Arial" w:hAnsi="Arial" w:cs="Arial"/>
                <w:bCs/>
                <w:sz w:val="16"/>
              </w:rPr>
            </w:pPr>
            <w:r w:rsidRPr="006F6ABB">
              <w:rPr>
                <w:rFonts w:ascii="Arial" w:hAnsi="Arial" w:cs="Arial"/>
                <w:bCs/>
                <w:sz w:val="16"/>
              </w:rPr>
              <w:t>Forma farmacéutica y dosis</w:t>
            </w:r>
          </w:p>
        </w:tc>
        <w:tc>
          <w:tcPr>
            <w:tcW w:w="1238" w:type="dxa"/>
          </w:tcPr>
          <w:p w:rsidR="00556DFF" w:rsidRPr="006F6ABB" w:rsidRDefault="00556DFF" w:rsidP="00BC3E8E">
            <w:pPr>
              <w:jc w:val="both"/>
              <w:rPr>
                <w:rFonts w:ascii="Arial" w:hAnsi="Arial" w:cs="Arial"/>
                <w:bCs/>
                <w:sz w:val="16"/>
                <w:lang w:val="pt-BR"/>
              </w:rPr>
            </w:pPr>
            <w:r w:rsidRPr="006F6ABB">
              <w:rPr>
                <w:rFonts w:ascii="Arial" w:hAnsi="Arial" w:cs="Arial"/>
                <w:bCs/>
                <w:sz w:val="16"/>
                <w:lang w:val="pt-BR"/>
              </w:rPr>
              <w:t>Nº de unidades por envase</w:t>
            </w:r>
          </w:p>
        </w:tc>
        <w:tc>
          <w:tcPr>
            <w:tcW w:w="965" w:type="dxa"/>
          </w:tcPr>
          <w:p w:rsidR="00556DFF" w:rsidRPr="006F6ABB" w:rsidRDefault="00556DFF" w:rsidP="00BC3E8E">
            <w:pPr>
              <w:jc w:val="both"/>
              <w:rPr>
                <w:rFonts w:ascii="Arial" w:hAnsi="Arial" w:cs="Arial"/>
                <w:bCs/>
                <w:sz w:val="16"/>
              </w:rPr>
            </w:pPr>
            <w:r w:rsidRPr="006F6ABB">
              <w:rPr>
                <w:rFonts w:ascii="Arial" w:hAnsi="Arial" w:cs="Arial"/>
                <w:bCs/>
                <w:sz w:val="16"/>
              </w:rPr>
              <w:t>Código</w:t>
            </w:r>
            <w:r>
              <w:rPr>
                <w:rFonts w:ascii="Arial" w:hAnsi="Arial" w:cs="Arial"/>
                <w:bCs/>
                <w:sz w:val="16"/>
              </w:rPr>
              <w:t xml:space="preserve"> Nacional</w:t>
            </w:r>
          </w:p>
        </w:tc>
        <w:tc>
          <w:tcPr>
            <w:tcW w:w="2007" w:type="dxa"/>
          </w:tcPr>
          <w:p w:rsidR="00556DFF" w:rsidRPr="006F6ABB" w:rsidRDefault="00556DFF" w:rsidP="00BC3E8E">
            <w:pPr>
              <w:jc w:val="both"/>
              <w:rPr>
                <w:rFonts w:ascii="Arial" w:hAnsi="Arial" w:cs="Arial"/>
                <w:bCs/>
                <w:sz w:val="16"/>
              </w:rPr>
            </w:pPr>
            <w:r>
              <w:rPr>
                <w:rFonts w:ascii="Arial" w:hAnsi="Arial" w:cs="Arial"/>
                <w:bCs/>
                <w:sz w:val="16"/>
              </w:rPr>
              <w:t>Coste por unidad PVP + IVA</w:t>
            </w:r>
            <w:r w:rsidRPr="006F6ABB">
              <w:rPr>
                <w:rFonts w:ascii="Arial" w:hAnsi="Arial" w:cs="Arial"/>
                <w:bCs/>
                <w:sz w:val="16"/>
              </w:rPr>
              <w:t xml:space="preserve"> </w:t>
            </w:r>
            <w:r>
              <w:rPr>
                <w:rFonts w:ascii="Arial" w:hAnsi="Arial" w:cs="Arial"/>
                <w:bCs/>
                <w:sz w:val="16"/>
              </w:rPr>
              <w:t>(1) (2)</w:t>
            </w:r>
          </w:p>
        </w:tc>
        <w:tc>
          <w:tcPr>
            <w:tcW w:w="2188" w:type="dxa"/>
          </w:tcPr>
          <w:p w:rsidR="00556DFF" w:rsidRPr="006F6ABB" w:rsidRDefault="00556DFF" w:rsidP="00BC3E8E">
            <w:pPr>
              <w:jc w:val="both"/>
              <w:rPr>
                <w:rFonts w:ascii="Arial" w:hAnsi="Arial" w:cs="Arial"/>
                <w:bCs/>
                <w:sz w:val="16"/>
              </w:rPr>
            </w:pPr>
            <w:r w:rsidRPr="006F6ABB">
              <w:rPr>
                <w:rFonts w:ascii="Arial" w:hAnsi="Arial" w:cs="Arial"/>
                <w:bCs/>
                <w:sz w:val="16"/>
              </w:rPr>
              <w:t>Coste por unidad PVL + IVA</w:t>
            </w:r>
            <w:r>
              <w:rPr>
                <w:rFonts w:ascii="Arial" w:hAnsi="Arial" w:cs="Arial"/>
                <w:bCs/>
                <w:sz w:val="16"/>
              </w:rPr>
              <w:t xml:space="preserve"> (2)</w:t>
            </w:r>
            <w:r w:rsidRPr="006F6ABB">
              <w:rPr>
                <w:rFonts w:ascii="Arial" w:hAnsi="Arial" w:cs="Arial"/>
                <w:bCs/>
                <w:sz w:val="16"/>
              </w:rPr>
              <w:t xml:space="preserve"> </w:t>
            </w:r>
          </w:p>
        </w:tc>
      </w:tr>
      <w:tr w:rsidR="00556DFF" w:rsidRPr="006F6ABB">
        <w:trPr>
          <w:cantSplit/>
        </w:trPr>
        <w:tc>
          <w:tcPr>
            <w:tcW w:w="2564" w:type="dxa"/>
          </w:tcPr>
          <w:p w:rsidR="00556DFF" w:rsidRPr="006F6ABB" w:rsidRDefault="00556DFF" w:rsidP="00800210">
            <w:pPr>
              <w:jc w:val="both"/>
              <w:rPr>
                <w:rFonts w:ascii="Arial" w:hAnsi="Arial" w:cs="Arial"/>
                <w:bCs/>
                <w:sz w:val="16"/>
              </w:rPr>
            </w:pPr>
            <w:proofErr w:type="spellStart"/>
            <w:r>
              <w:rPr>
                <w:rFonts w:ascii="Arial" w:hAnsi="Arial" w:cs="Arial"/>
                <w:bCs/>
                <w:sz w:val="16"/>
              </w:rPr>
              <w:t>Eculizumab</w:t>
            </w:r>
            <w:proofErr w:type="spellEnd"/>
            <w:r>
              <w:rPr>
                <w:rFonts w:ascii="Arial" w:hAnsi="Arial" w:cs="Arial"/>
                <w:bCs/>
                <w:sz w:val="16"/>
              </w:rPr>
              <w:t xml:space="preserve"> 300 mg solución para perfusión (vial 30 mL)</w:t>
            </w:r>
          </w:p>
        </w:tc>
        <w:tc>
          <w:tcPr>
            <w:tcW w:w="1238" w:type="dxa"/>
          </w:tcPr>
          <w:p w:rsidR="00556DFF" w:rsidRPr="006F6ABB" w:rsidRDefault="00556DFF" w:rsidP="00BC3E8E">
            <w:pPr>
              <w:jc w:val="both"/>
              <w:rPr>
                <w:rFonts w:ascii="Arial" w:hAnsi="Arial" w:cs="Arial"/>
                <w:bCs/>
                <w:sz w:val="16"/>
              </w:rPr>
            </w:pPr>
            <w:r>
              <w:rPr>
                <w:rFonts w:ascii="Arial" w:hAnsi="Arial" w:cs="Arial"/>
                <w:bCs/>
                <w:sz w:val="16"/>
              </w:rPr>
              <w:t>1 vial</w:t>
            </w:r>
          </w:p>
        </w:tc>
        <w:tc>
          <w:tcPr>
            <w:tcW w:w="965" w:type="dxa"/>
          </w:tcPr>
          <w:p w:rsidR="00556DFF" w:rsidRPr="006F6ABB" w:rsidRDefault="00556DFF" w:rsidP="00BC3E8E">
            <w:pPr>
              <w:jc w:val="both"/>
              <w:rPr>
                <w:rFonts w:ascii="Arial" w:hAnsi="Arial" w:cs="Arial"/>
                <w:bCs/>
                <w:sz w:val="16"/>
              </w:rPr>
            </w:pPr>
            <w:r>
              <w:rPr>
                <w:rFonts w:ascii="Arial" w:hAnsi="Arial" w:cs="Arial"/>
                <w:bCs/>
                <w:sz w:val="16"/>
              </w:rPr>
              <w:t>659702</w:t>
            </w:r>
          </w:p>
        </w:tc>
        <w:tc>
          <w:tcPr>
            <w:tcW w:w="2007" w:type="dxa"/>
          </w:tcPr>
          <w:p w:rsidR="00556DFF" w:rsidRPr="006F6ABB" w:rsidRDefault="00556DFF" w:rsidP="00BC3E8E">
            <w:pPr>
              <w:jc w:val="both"/>
              <w:rPr>
                <w:rFonts w:ascii="Arial" w:hAnsi="Arial" w:cs="Arial"/>
                <w:bCs/>
                <w:sz w:val="16"/>
              </w:rPr>
            </w:pPr>
          </w:p>
        </w:tc>
        <w:tc>
          <w:tcPr>
            <w:tcW w:w="2188" w:type="dxa"/>
          </w:tcPr>
          <w:p w:rsidR="00556DFF" w:rsidRPr="006F6ABB" w:rsidRDefault="00556DFF" w:rsidP="00800210">
            <w:pPr>
              <w:jc w:val="both"/>
              <w:rPr>
                <w:rFonts w:ascii="Arial" w:hAnsi="Arial" w:cs="Arial"/>
                <w:bCs/>
                <w:sz w:val="16"/>
              </w:rPr>
            </w:pPr>
            <w:r>
              <w:rPr>
                <w:rFonts w:ascii="Arial" w:hAnsi="Arial" w:cs="Arial"/>
                <w:bCs/>
                <w:sz w:val="16"/>
              </w:rPr>
              <w:t>4.450 euros + IVA</w:t>
            </w:r>
          </w:p>
        </w:tc>
      </w:tr>
    </w:tbl>
    <w:p w:rsidR="00556DFF" w:rsidRDefault="00556DFF" w:rsidP="00BC3E8E">
      <w:pPr>
        <w:jc w:val="right"/>
        <w:rPr>
          <w:rFonts w:ascii="Arial" w:hAnsi="Arial" w:cs="Arial"/>
          <w:color w:val="0000FF"/>
          <w:sz w:val="20"/>
          <w:szCs w:val="20"/>
          <w:u w:val="single"/>
        </w:rPr>
      </w:pPr>
    </w:p>
    <w:p w:rsidR="00556DFF" w:rsidRPr="006F6ABB" w:rsidRDefault="00556DFF" w:rsidP="00BC3E8E">
      <w:pPr>
        <w:jc w:val="right"/>
        <w:rPr>
          <w:rFonts w:ascii="Arial" w:hAnsi="Arial" w:cs="Arial"/>
          <w:color w:val="0000FF"/>
          <w:sz w:val="20"/>
          <w:szCs w:val="20"/>
          <w:u w:val="single"/>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9" w:name="_Toc344399622"/>
      <w:bookmarkStart w:id="20" w:name="_Toc348931349"/>
      <w:bookmarkStart w:id="21" w:name="_Toc517462750"/>
      <w:r w:rsidRPr="00E3472F">
        <w:rPr>
          <w:rFonts w:cs="Arial"/>
          <w:sz w:val="20"/>
        </w:rPr>
        <w:t>3.2 Área descriptiva del problema de salud</w:t>
      </w:r>
      <w:bookmarkEnd w:id="19"/>
      <w:bookmarkEnd w:id="20"/>
      <w:bookmarkEnd w:id="21"/>
    </w:p>
    <w:p w:rsidR="00556DFF" w:rsidRPr="006F6ABB" w:rsidRDefault="00556DFF" w:rsidP="00BC3E8E">
      <w:pPr>
        <w:jc w:val="both"/>
        <w:rPr>
          <w:rFonts w:ascii="Arial" w:hAnsi="Arial" w:cs="Arial"/>
          <w:bCs/>
          <w:color w:val="000080"/>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22" w:name="_Toc344399623"/>
      <w:bookmarkStart w:id="23" w:name="_Toc348931350"/>
      <w:bookmarkStart w:id="24" w:name="_Toc517462751"/>
      <w:r w:rsidRPr="00E3472F">
        <w:rPr>
          <w:rFonts w:cs="Arial"/>
          <w:sz w:val="20"/>
        </w:rPr>
        <w:t>3.2.a Descripción estructurada del problema de salud</w:t>
      </w:r>
      <w:bookmarkEnd w:id="22"/>
      <w:bookmarkEnd w:id="23"/>
      <w:bookmarkEnd w:id="24"/>
    </w:p>
    <w:p w:rsidR="00556DFF" w:rsidRPr="006F6ABB" w:rsidRDefault="00556DFF" w:rsidP="00BC3E8E">
      <w:pPr>
        <w:jc w:val="both"/>
        <w:rPr>
          <w:rFonts w:ascii="Arial" w:hAnsi="Arial" w:cs="Arial"/>
          <w:b/>
          <w:bCs/>
          <w:color w:val="FF0000"/>
          <w:sz w:val="20"/>
          <w:szCs w:val="20"/>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9"/>
        <w:gridCol w:w="5598"/>
      </w:tblGrid>
      <w:tr w:rsidR="00556DFF" w:rsidRPr="006F6ABB">
        <w:trPr>
          <w:cantSplit/>
        </w:trPr>
        <w:tc>
          <w:tcPr>
            <w:tcW w:w="8647" w:type="dxa"/>
            <w:gridSpan w:val="2"/>
            <w:shd w:val="clear" w:color="auto" w:fill="CCFFCC"/>
          </w:tcPr>
          <w:p w:rsidR="00556DFF" w:rsidRPr="006F6ABB" w:rsidRDefault="00556DFF" w:rsidP="00BC3E8E">
            <w:pPr>
              <w:rPr>
                <w:rFonts w:ascii="Arial" w:hAnsi="Arial" w:cs="Arial"/>
                <w:b/>
                <w:sz w:val="20"/>
                <w:szCs w:val="20"/>
              </w:rPr>
            </w:pPr>
            <w:r w:rsidRPr="006F6ABB">
              <w:rPr>
                <w:rFonts w:ascii="Arial" w:hAnsi="Arial" w:cs="Arial"/>
                <w:b/>
                <w:sz w:val="20"/>
                <w:szCs w:val="20"/>
              </w:rPr>
              <w:t>Descripción del problema de salud</w:t>
            </w:r>
          </w:p>
          <w:p w:rsidR="00556DFF" w:rsidRPr="006F6ABB" w:rsidRDefault="00556DFF" w:rsidP="00BC3E8E">
            <w:pPr>
              <w:rPr>
                <w:rFonts w:ascii="Arial" w:hAnsi="Arial" w:cs="Arial"/>
                <w:b/>
                <w:sz w:val="20"/>
                <w:szCs w:val="20"/>
              </w:rPr>
            </w:pPr>
          </w:p>
        </w:tc>
      </w:tr>
      <w:tr w:rsidR="00556DFF" w:rsidRPr="006F6ABB">
        <w:trPr>
          <w:cantSplit/>
        </w:trPr>
        <w:tc>
          <w:tcPr>
            <w:tcW w:w="3403" w:type="dxa"/>
            <w:shd w:val="clear" w:color="auto" w:fill="E6E6E6"/>
          </w:tcPr>
          <w:p w:rsidR="00556DFF" w:rsidRPr="006F6ABB" w:rsidRDefault="00556DFF" w:rsidP="00BC3E8E">
            <w:pPr>
              <w:rPr>
                <w:rFonts w:ascii="Arial" w:hAnsi="Arial" w:cs="Arial"/>
                <w:bCs/>
                <w:sz w:val="20"/>
                <w:szCs w:val="20"/>
              </w:rPr>
            </w:pPr>
            <w:r w:rsidRPr="006F6ABB">
              <w:rPr>
                <w:rFonts w:ascii="Arial" w:hAnsi="Arial" w:cs="Arial"/>
                <w:bCs/>
                <w:sz w:val="20"/>
                <w:szCs w:val="20"/>
              </w:rPr>
              <w:t>Definición</w:t>
            </w:r>
          </w:p>
        </w:tc>
        <w:tc>
          <w:tcPr>
            <w:tcW w:w="5244" w:type="dxa"/>
          </w:tcPr>
          <w:p w:rsidR="00556DFF" w:rsidRPr="005E10DD" w:rsidRDefault="00556DFF" w:rsidP="005C44CF">
            <w:pPr>
              <w:pStyle w:val="NormalWeb"/>
              <w:shd w:val="clear" w:color="auto" w:fill="FFFFFF"/>
              <w:spacing w:before="0" w:beforeAutospacing="0" w:after="131" w:afterAutospacing="0" w:line="249" w:lineRule="atLeast"/>
              <w:jc w:val="both"/>
              <w:rPr>
                <w:rFonts w:ascii="Arial" w:hAnsi="Arial" w:cs="Arial"/>
                <w:bCs/>
                <w:sz w:val="20"/>
                <w:szCs w:val="20"/>
              </w:rPr>
            </w:pPr>
            <w:r>
              <w:rPr>
                <w:rFonts w:ascii="Arial" w:hAnsi="Arial" w:cs="Arial"/>
                <w:sz w:val="20"/>
                <w:szCs w:val="20"/>
              </w:rPr>
              <w:t xml:space="preserve">La </w:t>
            </w:r>
            <w:r w:rsidRPr="005E10DD">
              <w:rPr>
                <w:rFonts w:ascii="Arial" w:hAnsi="Arial" w:cs="Arial"/>
                <w:sz w:val="20"/>
                <w:szCs w:val="20"/>
              </w:rPr>
              <w:t>MG es una enfermedad autoinmune de la unión neuromuscular mediada por anticuerpos frente a proteínas localizadas en la membrana post-sináptica de la placa motora. Se caracteriza por fatigabilidad y debilidad de la musculatura voluntaria. Es una enfermedad poco frecuente</w:t>
            </w:r>
            <w:r w:rsidRPr="003605D6">
              <w:rPr>
                <w:rFonts w:ascii="Arial" w:hAnsi="Arial" w:cs="Arial"/>
                <w:sz w:val="20"/>
                <w:szCs w:val="20"/>
                <w:vertAlign w:val="superscript"/>
              </w:rPr>
              <w:t>1</w:t>
            </w:r>
            <w:r w:rsidRPr="005E10DD">
              <w:rPr>
                <w:rFonts w:ascii="Arial" w:hAnsi="Arial" w:cs="Arial"/>
                <w:sz w:val="20"/>
                <w:szCs w:val="20"/>
              </w:rPr>
              <w:t xml:space="preserve">. </w:t>
            </w:r>
          </w:p>
        </w:tc>
      </w:tr>
      <w:tr w:rsidR="00556DFF" w:rsidRPr="006F6ABB">
        <w:trPr>
          <w:cantSplit/>
        </w:trPr>
        <w:tc>
          <w:tcPr>
            <w:tcW w:w="3403" w:type="dxa"/>
            <w:shd w:val="clear" w:color="auto" w:fill="E6E6E6"/>
          </w:tcPr>
          <w:p w:rsidR="00556DFF" w:rsidRPr="006F6ABB" w:rsidRDefault="00556DFF" w:rsidP="00BC3E8E">
            <w:pPr>
              <w:rPr>
                <w:rFonts w:ascii="Arial" w:hAnsi="Arial" w:cs="Arial"/>
                <w:bCs/>
                <w:sz w:val="20"/>
                <w:szCs w:val="20"/>
              </w:rPr>
            </w:pPr>
            <w:r w:rsidRPr="006F6ABB">
              <w:rPr>
                <w:rFonts w:ascii="Arial" w:hAnsi="Arial" w:cs="Arial"/>
                <w:bCs/>
                <w:sz w:val="20"/>
                <w:szCs w:val="20"/>
              </w:rPr>
              <w:t>Principales manifestaciones clínicas</w:t>
            </w:r>
          </w:p>
        </w:tc>
        <w:tc>
          <w:tcPr>
            <w:tcW w:w="5244" w:type="dxa"/>
          </w:tcPr>
          <w:p w:rsidR="00556DFF" w:rsidRDefault="00556DFF" w:rsidP="00830F67">
            <w:pPr>
              <w:shd w:val="clear" w:color="auto" w:fill="FFFFFF"/>
              <w:spacing w:after="131" w:line="249" w:lineRule="atLeast"/>
              <w:jc w:val="both"/>
              <w:rPr>
                <w:rFonts w:ascii="Arial" w:hAnsi="Arial" w:cs="Arial"/>
                <w:sz w:val="20"/>
                <w:szCs w:val="20"/>
              </w:rPr>
            </w:pPr>
            <w:r w:rsidRPr="005E10DD">
              <w:rPr>
                <w:rFonts w:ascii="Arial" w:hAnsi="Arial" w:cs="Arial"/>
                <w:sz w:val="20"/>
                <w:szCs w:val="20"/>
              </w:rPr>
              <w:t>La principal manifestación clínica en la MG es la fatiga muscular fluctuante que suele acompañarse de debilidad muscular. Los síntomas y signos de la miastenia dependen en todo momento de la musculatura implicada que incluye:</w:t>
            </w:r>
          </w:p>
          <w:p w:rsidR="00556DFF" w:rsidRDefault="00556DFF" w:rsidP="009760A5">
            <w:pPr>
              <w:shd w:val="clear" w:color="auto" w:fill="FFFFFF"/>
              <w:spacing w:after="131" w:line="249" w:lineRule="atLeast"/>
              <w:jc w:val="both"/>
              <w:rPr>
                <w:rFonts w:ascii="Arial" w:hAnsi="Arial" w:cs="Arial"/>
                <w:sz w:val="20"/>
                <w:szCs w:val="20"/>
              </w:rPr>
            </w:pPr>
            <w:r w:rsidRPr="005E10DD">
              <w:rPr>
                <w:rStyle w:val="Textoennegrita"/>
                <w:rFonts w:ascii="Arial" w:hAnsi="Arial" w:cs="Arial"/>
                <w:bCs/>
                <w:sz w:val="20"/>
                <w:szCs w:val="20"/>
              </w:rPr>
              <w:t>1)</w:t>
            </w:r>
            <w:r w:rsidRPr="005E10DD">
              <w:rPr>
                <w:rFonts w:ascii="Arial" w:hAnsi="Arial" w:cs="Arial"/>
                <w:sz w:val="20"/>
                <w:szCs w:val="20"/>
              </w:rPr>
              <w:t xml:space="preserve"> Diplopía y </w:t>
            </w:r>
            <w:proofErr w:type="spellStart"/>
            <w:r w:rsidRPr="005E10DD">
              <w:rPr>
                <w:rFonts w:ascii="Arial" w:hAnsi="Arial" w:cs="Arial"/>
                <w:sz w:val="20"/>
                <w:szCs w:val="20"/>
              </w:rPr>
              <w:t>ptosis</w:t>
            </w:r>
            <w:proofErr w:type="spellEnd"/>
            <w:r w:rsidRPr="005E10DD">
              <w:rPr>
                <w:rFonts w:ascii="Arial" w:hAnsi="Arial" w:cs="Arial"/>
                <w:sz w:val="20"/>
                <w:szCs w:val="20"/>
              </w:rPr>
              <w:t xml:space="preserve"> palpebral</w:t>
            </w:r>
            <w:r>
              <w:rPr>
                <w:rFonts w:ascii="Arial" w:hAnsi="Arial" w:cs="Arial"/>
                <w:sz w:val="20"/>
                <w:szCs w:val="20"/>
              </w:rPr>
              <w:t>.</w:t>
            </w:r>
          </w:p>
          <w:p w:rsidR="00556DFF" w:rsidRDefault="00556DFF" w:rsidP="009760A5">
            <w:pPr>
              <w:shd w:val="clear" w:color="auto" w:fill="FFFFFF"/>
              <w:spacing w:after="131" w:line="249" w:lineRule="atLeast"/>
              <w:jc w:val="both"/>
              <w:rPr>
                <w:rFonts w:ascii="Arial" w:hAnsi="Arial" w:cs="Arial"/>
                <w:sz w:val="20"/>
                <w:szCs w:val="20"/>
              </w:rPr>
            </w:pPr>
            <w:r w:rsidRPr="005E10DD">
              <w:rPr>
                <w:rStyle w:val="Textoennegrita"/>
                <w:rFonts w:ascii="Arial" w:hAnsi="Arial" w:cs="Arial"/>
                <w:bCs/>
                <w:sz w:val="20"/>
                <w:szCs w:val="20"/>
              </w:rPr>
              <w:t>2)</w:t>
            </w:r>
            <w:r w:rsidRPr="005E10DD">
              <w:rPr>
                <w:rFonts w:ascii="Arial" w:hAnsi="Arial" w:cs="Arial"/>
                <w:sz w:val="20"/>
                <w:szCs w:val="20"/>
              </w:rPr>
              <w:t> Debilidad de la musculatura facial</w:t>
            </w:r>
            <w:r>
              <w:rPr>
                <w:rFonts w:ascii="Arial" w:hAnsi="Arial" w:cs="Arial"/>
                <w:sz w:val="20"/>
                <w:szCs w:val="20"/>
              </w:rPr>
              <w:t>.</w:t>
            </w:r>
          </w:p>
          <w:p w:rsidR="00556DFF" w:rsidRDefault="00556DFF" w:rsidP="009760A5">
            <w:pPr>
              <w:shd w:val="clear" w:color="auto" w:fill="FFFFFF"/>
              <w:spacing w:after="131" w:line="249" w:lineRule="atLeast"/>
              <w:jc w:val="both"/>
              <w:rPr>
                <w:rFonts w:ascii="Arial" w:hAnsi="Arial" w:cs="Arial"/>
                <w:sz w:val="20"/>
                <w:szCs w:val="20"/>
              </w:rPr>
            </w:pPr>
            <w:r w:rsidRPr="005E10DD">
              <w:rPr>
                <w:rStyle w:val="Textoennegrita"/>
                <w:rFonts w:ascii="Arial" w:hAnsi="Arial" w:cs="Arial"/>
                <w:bCs/>
                <w:sz w:val="20"/>
                <w:szCs w:val="20"/>
              </w:rPr>
              <w:t>3)</w:t>
            </w:r>
            <w:r w:rsidRPr="005E10DD">
              <w:rPr>
                <w:rFonts w:ascii="Arial" w:hAnsi="Arial" w:cs="Arial"/>
                <w:sz w:val="20"/>
                <w:szCs w:val="20"/>
              </w:rPr>
              <w:t> Fatigabilidad de la musculatura cervical y en numerosas ocasiones de los maseteros, con claudicación mandibular</w:t>
            </w:r>
            <w:r>
              <w:rPr>
                <w:rFonts w:ascii="Arial" w:hAnsi="Arial" w:cs="Arial"/>
                <w:sz w:val="20"/>
                <w:szCs w:val="20"/>
              </w:rPr>
              <w:t>.</w:t>
            </w:r>
          </w:p>
          <w:p w:rsidR="00556DFF" w:rsidRDefault="00556DFF" w:rsidP="009760A5">
            <w:pPr>
              <w:shd w:val="clear" w:color="auto" w:fill="FFFFFF"/>
              <w:spacing w:after="131" w:line="249" w:lineRule="atLeast"/>
              <w:jc w:val="both"/>
              <w:rPr>
                <w:rFonts w:ascii="Arial" w:hAnsi="Arial" w:cs="Arial"/>
                <w:sz w:val="20"/>
                <w:szCs w:val="20"/>
              </w:rPr>
            </w:pPr>
            <w:r w:rsidRPr="005E10DD">
              <w:rPr>
                <w:rStyle w:val="Textoennegrita"/>
                <w:rFonts w:ascii="Arial" w:hAnsi="Arial" w:cs="Arial"/>
                <w:bCs/>
                <w:sz w:val="20"/>
                <w:szCs w:val="20"/>
              </w:rPr>
              <w:t>4)</w:t>
            </w:r>
            <w:r w:rsidRPr="005E10DD">
              <w:rPr>
                <w:rFonts w:ascii="Arial" w:hAnsi="Arial" w:cs="Arial"/>
                <w:sz w:val="20"/>
                <w:szCs w:val="20"/>
              </w:rPr>
              <w:t> Afectación de la musculatura bulbar que produce disfagia, disfonía, disartria y disnea.</w:t>
            </w:r>
          </w:p>
          <w:p w:rsidR="00556DFF" w:rsidRPr="005E10DD" w:rsidRDefault="00556DFF" w:rsidP="009760A5">
            <w:pPr>
              <w:shd w:val="clear" w:color="auto" w:fill="FFFFFF"/>
              <w:spacing w:after="131" w:line="249" w:lineRule="atLeast"/>
              <w:jc w:val="both"/>
              <w:rPr>
                <w:rFonts w:ascii="Arial" w:hAnsi="Arial" w:cs="Arial"/>
                <w:sz w:val="20"/>
                <w:szCs w:val="20"/>
              </w:rPr>
            </w:pPr>
            <w:r w:rsidRPr="005E10DD">
              <w:rPr>
                <w:rStyle w:val="Textoennegrita"/>
                <w:rFonts w:ascii="Arial" w:hAnsi="Arial" w:cs="Arial"/>
                <w:bCs/>
                <w:sz w:val="20"/>
                <w:szCs w:val="20"/>
              </w:rPr>
              <w:t>5)</w:t>
            </w:r>
            <w:r w:rsidRPr="005E10DD">
              <w:rPr>
                <w:rFonts w:ascii="Arial" w:hAnsi="Arial" w:cs="Arial"/>
                <w:sz w:val="20"/>
                <w:szCs w:val="20"/>
              </w:rPr>
              <w:t> Debilidad y fatigabilidad de los músculos de las extremidades superiores e inferiores</w:t>
            </w:r>
            <w:r w:rsidRPr="003605D6">
              <w:rPr>
                <w:rFonts w:ascii="Arial" w:hAnsi="Arial" w:cs="Arial"/>
                <w:sz w:val="20"/>
                <w:szCs w:val="20"/>
                <w:vertAlign w:val="superscript"/>
              </w:rPr>
              <w:t>2-3</w:t>
            </w:r>
            <w:r w:rsidRPr="005E10DD">
              <w:rPr>
                <w:rFonts w:ascii="Arial" w:hAnsi="Arial" w:cs="Arial"/>
                <w:sz w:val="20"/>
                <w:szCs w:val="20"/>
              </w:rPr>
              <w:t>.</w:t>
            </w:r>
          </w:p>
        </w:tc>
      </w:tr>
      <w:tr w:rsidR="00556DFF" w:rsidRPr="006F6ABB">
        <w:trPr>
          <w:cantSplit/>
        </w:trPr>
        <w:tc>
          <w:tcPr>
            <w:tcW w:w="3403" w:type="dxa"/>
            <w:shd w:val="clear" w:color="auto" w:fill="E6E6E6"/>
          </w:tcPr>
          <w:p w:rsidR="00556DFF" w:rsidRPr="006F6ABB" w:rsidRDefault="00556DFF" w:rsidP="00BC3E8E">
            <w:pPr>
              <w:rPr>
                <w:rFonts w:ascii="Arial" w:hAnsi="Arial" w:cs="Arial"/>
                <w:bCs/>
                <w:sz w:val="20"/>
                <w:szCs w:val="20"/>
              </w:rPr>
            </w:pPr>
            <w:r w:rsidRPr="006F6ABB">
              <w:rPr>
                <w:rFonts w:ascii="Arial" w:hAnsi="Arial" w:cs="Arial"/>
                <w:bCs/>
                <w:sz w:val="20"/>
                <w:szCs w:val="20"/>
              </w:rPr>
              <w:t>Incidencia y prevalencia</w:t>
            </w:r>
          </w:p>
        </w:tc>
        <w:tc>
          <w:tcPr>
            <w:tcW w:w="5244" w:type="dxa"/>
          </w:tcPr>
          <w:p w:rsidR="00556DFF" w:rsidRPr="003605D6" w:rsidRDefault="00556DFF" w:rsidP="003605D6">
            <w:pPr>
              <w:pStyle w:val="NormalWeb"/>
              <w:shd w:val="clear" w:color="auto" w:fill="FFFFFF"/>
              <w:spacing w:before="0" w:beforeAutospacing="0" w:after="131" w:afterAutospacing="0" w:line="249" w:lineRule="atLeast"/>
              <w:jc w:val="both"/>
              <w:rPr>
                <w:rFonts w:ascii="Arial" w:hAnsi="Arial" w:cs="Arial"/>
                <w:bCs/>
                <w:sz w:val="20"/>
                <w:szCs w:val="20"/>
              </w:rPr>
            </w:pPr>
            <w:r w:rsidRPr="005E10DD">
              <w:rPr>
                <w:rFonts w:ascii="Arial" w:hAnsi="Arial" w:cs="Arial"/>
                <w:bCs/>
                <w:sz w:val="20"/>
                <w:szCs w:val="20"/>
              </w:rPr>
              <w:t>La MG es una enfermedad rara que tiene una prevalencia de un caso por cada 5000 habitantes.</w:t>
            </w:r>
            <w:r w:rsidRPr="005E10DD">
              <w:rPr>
                <w:rFonts w:ascii="Arial" w:hAnsi="Arial" w:cs="Arial"/>
                <w:sz w:val="20"/>
                <w:szCs w:val="20"/>
              </w:rPr>
              <w:t xml:space="preserve"> Tiene una presentación bimodal, con un primer pico entre los 15-35 años y predominio en mujeres y un segundo pico en pacientes mayores de 60 años</w:t>
            </w:r>
            <w:r w:rsidRPr="003605D6">
              <w:rPr>
                <w:rFonts w:ascii="Arial" w:hAnsi="Arial" w:cs="Arial"/>
                <w:sz w:val="20"/>
                <w:szCs w:val="20"/>
                <w:vertAlign w:val="superscript"/>
              </w:rPr>
              <w:t>3-4</w:t>
            </w:r>
            <w:r>
              <w:rPr>
                <w:rFonts w:ascii="Arial" w:hAnsi="Arial" w:cs="Arial"/>
                <w:sz w:val="20"/>
                <w:szCs w:val="20"/>
              </w:rPr>
              <w:t>.</w:t>
            </w:r>
          </w:p>
        </w:tc>
      </w:tr>
      <w:tr w:rsidR="00556DFF" w:rsidRPr="006F6ABB">
        <w:trPr>
          <w:cantSplit/>
        </w:trPr>
        <w:tc>
          <w:tcPr>
            <w:tcW w:w="3403" w:type="dxa"/>
            <w:shd w:val="clear" w:color="auto" w:fill="E6E6E6"/>
          </w:tcPr>
          <w:p w:rsidR="00556DFF" w:rsidRPr="006F6ABB" w:rsidRDefault="00556DFF" w:rsidP="00BC3E8E">
            <w:pPr>
              <w:rPr>
                <w:rFonts w:ascii="Arial" w:hAnsi="Arial" w:cs="Arial"/>
                <w:bCs/>
                <w:sz w:val="20"/>
                <w:szCs w:val="20"/>
              </w:rPr>
            </w:pPr>
            <w:r w:rsidRPr="006F6ABB">
              <w:rPr>
                <w:rFonts w:ascii="Arial" w:hAnsi="Arial" w:cs="Arial"/>
                <w:bCs/>
                <w:sz w:val="20"/>
                <w:szCs w:val="20"/>
              </w:rPr>
              <w:t>Evolución / Pronóstico</w:t>
            </w:r>
          </w:p>
        </w:tc>
        <w:tc>
          <w:tcPr>
            <w:tcW w:w="5244" w:type="dxa"/>
          </w:tcPr>
          <w:p w:rsidR="00556DFF" w:rsidRPr="003A00CB" w:rsidRDefault="00556DFF" w:rsidP="003A00CB">
            <w:pPr>
              <w:pStyle w:val="NormalWeb"/>
              <w:shd w:val="clear" w:color="auto" w:fill="FFFFFF"/>
              <w:spacing w:before="0" w:beforeAutospacing="0" w:after="131" w:afterAutospacing="0" w:line="249" w:lineRule="atLeast"/>
              <w:jc w:val="both"/>
              <w:rPr>
                <w:rFonts w:ascii="Arial" w:hAnsi="Arial" w:cs="Arial"/>
                <w:sz w:val="20"/>
                <w:szCs w:val="20"/>
              </w:rPr>
            </w:pPr>
            <w:r w:rsidRPr="003A00CB">
              <w:rPr>
                <w:rFonts w:ascii="Arial" w:hAnsi="Arial" w:cs="Arial"/>
                <w:sz w:val="20"/>
                <w:szCs w:val="20"/>
              </w:rPr>
              <w:t>La </w:t>
            </w:r>
            <w:r>
              <w:rPr>
                <w:rFonts w:ascii="Arial" w:hAnsi="Arial" w:cs="Arial"/>
                <w:sz w:val="20"/>
                <w:szCs w:val="20"/>
              </w:rPr>
              <w:t>MG</w:t>
            </w:r>
            <w:r w:rsidRPr="003A00CB">
              <w:rPr>
                <w:rFonts w:ascii="Arial" w:hAnsi="Arial" w:cs="Arial"/>
                <w:sz w:val="20"/>
                <w:szCs w:val="20"/>
              </w:rPr>
              <w:t> muestra por lo general un curso lento. Si se administra un tratamiento adecuado, el pronóstico es favorable: la </w:t>
            </w:r>
            <w:hyperlink r:id="rId9" w:history="1">
              <w:r w:rsidRPr="003A00CB">
                <w:rPr>
                  <w:rFonts w:ascii="Arial" w:hAnsi="Arial" w:cs="Arial"/>
                  <w:sz w:val="20"/>
                  <w:szCs w:val="20"/>
                </w:rPr>
                <w:t>debilidad muscular</w:t>
              </w:r>
            </w:hyperlink>
            <w:r w:rsidRPr="003A00CB">
              <w:rPr>
                <w:rFonts w:ascii="Arial" w:hAnsi="Arial" w:cs="Arial"/>
                <w:sz w:val="20"/>
                <w:szCs w:val="20"/>
              </w:rPr>
              <w:t xml:space="preserve"> patológica (miastenia) no influye negativamente sobre la esperanza de vida. </w:t>
            </w:r>
            <w:r>
              <w:rPr>
                <w:rFonts w:ascii="Arial" w:hAnsi="Arial" w:cs="Arial"/>
                <w:sz w:val="20"/>
                <w:szCs w:val="20"/>
              </w:rPr>
              <w:t>L</w:t>
            </w:r>
            <w:r w:rsidRPr="003A00CB">
              <w:rPr>
                <w:rFonts w:ascii="Arial" w:hAnsi="Arial" w:cs="Arial"/>
                <w:sz w:val="20"/>
                <w:szCs w:val="20"/>
              </w:rPr>
              <w:t>a tasa de supervivencia de la </w:t>
            </w:r>
            <w:r>
              <w:rPr>
                <w:rFonts w:ascii="Arial" w:hAnsi="Arial" w:cs="Arial"/>
                <w:sz w:val="20"/>
                <w:szCs w:val="20"/>
              </w:rPr>
              <w:t>MG</w:t>
            </w:r>
            <w:r w:rsidRPr="003A00CB">
              <w:rPr>
                <w:rFonts w:ascii="Arial" w:hAnsi="Arial" w:cs="Arial"/>
                <w:sz w:val="20"/>
                <w:szCs w:val="20"/>
              </w:rPr>
              <w:t> se sitúa muy por encima del 95%</w:t>
            </w:r>
            <w:r>
              <w:rPr>
                <w:rFonts w:ascii="Arial" w:hAnsi="Arial" w:cs="Arial"/>
                <w:sz w:val="20"/>
                <w:szCs w:val="20"/>
              </w:rPr>
              <w:t>.</w:t>
            </w:r>
          </w:p>
          <w:p w:rsidR="00556DFF" w:rsidRPr="006F6ABB" w:rsidRDefault="00556DFF" w:rsidP="00BC3E8E">
            <w:pPr>
              <w:rPr>
                <w:rFonts w:ascii="Arial" w:hAnsi="Arial" w:cs="Arial"/>
                <w:bCs/>
                <w:sz w:val="20"/>
                <w:szCs w:val="20"/>
              </w:rPr>
            </w:pPr>
          </w:p>
        </w:tc>
      </w:tr>
      <w:tr w:rsidR="00556DFF" w:rsidRPr="006F6ABB">
        <w:trPr>
          <w:cantSplit/>
        </w:trPr>
        <w:tc>
          <w:tcPr>
            <w:tcW w:w="3403" w:type="dxa"/>
            <w:shd w:val="clear" w:color="auto" w:fill="E6E6E6"/>
          </w:tcPr>
          <w:p w:rsidR="00556DFF" w:rsidRPr="006F6ABB" w:rsidRDefault="00556DFF" w:rsidP="00BC3E8E">
            <w:pPr>
              <w:rPr>
                <w:rFonts w:ascii="Arial" w:hAnsi="Arial" w:cs="Arial"/>
                <w:bCs/>
                <w:sz w:val="20"/>
                <w:szCs w:val="20"/>
              </w:rPr>
            </w:pPr>
            <w:r>
              <w:rPr>
                <w:rFonts w:ascii="Arial" w:hAnsi="Arial" w:cs="Arial"/>
                <w:bCs/>
                <w:sz w:val="20"/>
                <w:szCs w:val="20"/>
              </w:rPr>
              <w:t>Estadiaje</w:t>
            </w:r>
          </w:p>
        </w:tc>
        <w:tc>
          <w:tcPr>
            <w:tcW w:w="5244" w:type="dxa"/>
          </w:tcPr>
          <w:p w:rsidR="00556DFF" w:rsidRPr="003A00CB" w:rsidRDefault="00DF3F54" w:rsidP="003A00CB">
            <w:pPr>
              <w:pStyle w:val="NormalWeb"/>
              <w:shd w:val="clear" w:color="auto" w:fill="FFFFFF"/>
              <w:spacing w:before="0" w:beforeAutospacing="0" w:after="131" w:afterAutospacing="0" w:line="249" w:lineRule="atLeast"/>
              <w:jc w:val="both"/>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13774" style="width:273pt;height:153.75pt;visibility:visible">
                  <v:imagedata r:id="rId10" o:title=""/>
                </v:shape>
              </w:pict>
            </w:r>
          </w:p>
        </w:tc>
      </w:tr>
    </w:tbl>
    <w:p w:rsidR="00556DFF" w:rsidRDefault="00556DFF" w:rsidP="00BC3E8E">
      <w:pPr>
        <w:jc w:val="both"/>
        <w:rPr>
          <w:rFonts w:ascii="Arial" w:hAnsi="Arial" w:cs="Arial"/>
          <w:b/>
          <w:bCs/>
          <w:color w:val="FF0000"/>
          <w:sz w:val="20"/>
          <w:szCs w:val="20"/>
        </w:rPr>
      </w:pPr>
    </w:p>
    <w:p w:rsidR="00556DFF" w:rsidRPr="006F6ABB" w:rsidRDefault="00556DFF" w:rsidP="00BC3E8E">
      <w:pPr>
        <w:jc w:val="both"/>
        <w:rPr>
          <w:rFonts w:ascii="Arial" w:hAnsi="Arial" w:cs="Arial"/>
          <w:b/>
          <w:bCs/>
          <w:color w:val="000080"/>
          <w:sz w:val="20"/>
          <w:szCs w:val="20"/>
        </w:rPr>
      </w:pPr>
    </w:p>
    <w:p w:rsidR="00556DFF" w:rsidRPr="00EC69B7"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25" w:name="_Toc344399624"/>
      <w:bookmarkStart w:id="26" w:name="_Toc348931351"/>
      <w:bookmarkStart w:id="27" w:name="_Toc517462752"/>
      <w:r w:rsidRPr="00EC69B7">
        <w:rPr>
          <w:rFonts w:cs="Arial"/>
          <w:sz w:val="20"/>
        </w:rPr>
        <w:t>3.2.b Tratamiento actual de la enfermedad: evidencias</w:t>
      </w:r>
      <w:bookmarkEnd w:id="25"/>
      <w:bookmarkEnd w:id="26"/>
      <w:bookmarkEnd w:id="27"/>
      <w:r w:rsidRPr="00EC69B7">
        <w:rPr>
          <w:rFonts w:cs="Arial"/>
          <w:sz w:val="20"/>
        </w:rPr>
        <w:t xml:space="preserve"> </w:t>
      </w:r>
    </w:p>
    <w:p w:rsidR="00556DFF" w:rsidRPr="006F6ABB" w:rsidRDefault="00556DFF" w:rsidP="00BC3E8E">
      <w:pPr>
        <w:rPr>
          <w:rFonts w:ascii="Arial" w:hAnsi="Arial" w:cs="Arial"/>
          <w:color w:val="FF0000"/>
          <w:sz w:val="20"/>
          <w:szCs w:val="20"/>
        </w:rPr>
      </w:pPr>
    </w:p>
    <w:p w:rsidR="00556DFF" w:rsidRDefault="00556DFF" w:rsidP="009964AC">
      <w:pPr>
        <w:jc w:val="both"/>
        <w:rPr>
          <w:rFonts w:ascii="Arial" w:hAnsi="Arial" w:cs="Arial"/>
          <w:sz w:val="20"/>
          <w:szCs w:val="20"/>
        </w:rPr>
      </w:pPr>
      <w:r>
        <w:rPr>
          <w:rFonts w:ascii="Arial" w:hAnsi="Arial" w:cs="Arial"/>
          <w:sz w:val="20"/>
          <w:szCs w:val="20"/>
        </w:rPr>
        <w:t>El tratamiento actual de la MG generalizada, se escinde en cuatro partes</w:t>
      </w:r>
      <w:r>
        <w:rPr>
          <w:rFonts w:ascii="Arial" w:hAnsi="Arial" w:cs="Arial"/>
          <w:sz w:val="20"/>
          <w:szCs w:val="20"/>
          <w:vertAlign w:val="superscript"/>
        </w:rPr>
        <w:t>7-8</w:t>
      </w:r>
      <w:r>
        <w:rPr>
          <w:rFonts w:ascii="Arial" w:hAnsi="Arial" w:cs="Arial"/>
          <w:sz w:val="20"/>
          <w:szCs w:val="20"/>
        </w:rPr>
        <w:t>:</w:t>
      </w:r>
    </w:p>
    <w:p w:rsidR="00556DFF" w:rsidRDefault="00556DFF" w:rsidP="009964AC">
      <w:pPr>
        <w:jc w:val="both"/>
        <w:rPr>
          <w:rFonts w:ascii="Arial" w:hAnsi="Arial" w:cs="Arial"/>
          <w:sz w:val="20"/>
          <w:szCs w:val="20"/>
        </w:rPr>
      </w:pPr>
    </w:p>
    <w:p w:rsidR="00556DFF" w:rsidRDefault="00556DFF" w:rsidP="005F63C6">
      <w:pPr>
        <w:numPr>
          <w:ilvl w:val="0"/>
          <w:numId w:val="4"/>
        </w:numPr>
        <w:jc w:val="both"/>
        <w:rPr>
          <w:rFonts w:ascii="Arial" w:hAnsi="Arial" w:cs="Arial"/>
          <w:sz w:val="20"/>
          <w:szCs w:val="20"/>
        </w:rPr>
      </w:pPr>
      <w:r>
        <w:rPr>
          <w:rFonts w:ascii="Arial" w:hAnsi="Arial" w:cs="Arial"/>
          <w:sz w:val="20"/>
          <w:szCs w:val="20"/>
        </w:rPr>
        <w:t xml:space="preserve">Medidas generales: </w:t>
      </w:r>
    </w:p>
    <w:p w:rsidR="00556DFF" w:rsidRDefault="00556DFF" w:rsidP="009964AC">
      <w:pPr>
        <w:ind w:left="720"/>
        <w:jc w:val="both"/>
        <w:rPr>
          <w:rFonts w:ascii="Arial" w:hAnsi="Arial" w:cs="Arial"/>
          <w:sz w:val="20"/>
          <w:szCs w:val="20"/>
        </w:rPr>
      </w:pPr>
      <w:r>
        <w:rPr>
          <w:rFonts w:ascii="Arial" w:hAnsi="Arial" w:cs="Arial"/>
          <w:sz w:val="20"/>
          <w:szCs w:val="20"/>
        </w:rPr>
        <w:t xml:space="preserve">Evitar </w:t>
      </w:r>
      <w:proofErr w:type="spellStart"/>
      <w:r>
        <w:rPr>
          <w:rFonts w:ascii="Arial" w:hAnsi="Arial" w:cs="Arial"/>
          <w:sz w:val="20"/>
          <w:szCs w:val="20"/>
        </w:rPr>
        <w:t>desencadentantes</w:t>
      </w:r>
      <w:proofErr w:type="spellEnd"/>
      <w:r>
        <w:rPr>
          <w:rFonts w:ascii="Arial" w:hAnsi="Arial" w:cs="Arial"/>
          <w:sz w:val="20"/>
          <w:szCs w:val="20"/>
        </w:rPr>
        <w:t xml:space="preserve"> como fármacos, realizar descansos intermitentes, conocer los propios límites y evitar la inactividad.</w:t>
      </w:r>
    </w:p>
    <w:p w:rsidR="00556DFF" w:rsidRPr="00DE3781" w:rsidRDefault="00556DFF" w:rsidP="009964AC">
      <w:pPr>
        <w:ind w:left="720"/>
        <w:jc w:val="both"/>
        <w:rPr>
          <w:rFonts w:ascii="Arial" w:hAnsi="Arial" w:cs="Arial"/>
          <w:sz w:val="20"/>
          <w:szCs w:val="20"/>
        </w:rPr>
      </w:pPr>
    </w:p>
    <w:p w:rsidR="00556DFF" w:rsidRDefault="00556DFF" w:rsidP="005F63C6">
      <w:pPr>
        <w:numPr>
          <w:ilvl w:val="0"/>
          <w:numId w:val="4"/>
        </w:numPr>
        <w:jc w:val="both"/>
        <w:rPr>
          <w:rFonts w:ascii="Arial" w:hAnsi="Arial" w:cs="Arial"/>
          <w:sz w:val="20"/>
          <w:szCs w:val="20"/>
        </w:rPr>
      </w:pPr>
      <w:r>
        <w:rPr>
          <w:rFonts w:ascii="Arial" w:hAnsi="Arial" w:cs="Arial"/>
          <w:sz w:val="20"/>
          <w:szCs w:val="20"/>
        </w:rPr>
        <w:t>Tratamiento frente a los síntomas:</w:t>
      </w:r>
    </w:p>
    <w:p w:rsidR="00556DFF" w:rsidRDefault="00556DFF" w:rsidP="009964AC">
      <w:pPr>
        <w:ind w:left="708"/>
        <w:jc w:val="both"/>
        <w:rPr>
          <w:rFonts w:ascii="Arial" w:hAnsi="Arial" w:cs="Arial"/>
          <w:sz w:val="20"/>
          <w:szCs w:val="20"/>
        </w:rPr>
      </w:pPr>
      <w:r>
        <w:rPr>
          <w:rFonts w:ascii="Arial" w:hAnsi="Arial" w:cs="Arial"/>
          <w:sz w:val="20"/>
          <w:szCs w:val="20"/>
        </w:rPr>
        <w:t>No modifica la actividad de la enfermedad, además, es el  tratamiento único en muchos casos. En general, el tratamiento de la MG debe hacerse a la medida de cada paciente.</w:t>
      </w:r>
    </w:p>
    <w:p w:rsidR="00556DFF" w:rsidRDefault="00556DFF" w:rsidP="009964AC">
      <w:pPr>
        <w:ind w:left="708"/>
        <w:jc w:val="both"/>
        <w:rPr>
          <w:rFonts w:ascii="Arial" w:hAnsi="Arial" w:cs="Arial"/>
          <w:sz w:val="20"/>
          <w:szCs w:val="20"/>
        </w:rPr>
      </w:pPr>
      <w:r>
        <w:rPr>
          <w:rFonts w:ascii="Arial" w:hAnsi="Arial" w:cs="Arial"/>
          <w:sz w:val="20"/>
          <w:szCs w:val="20"/>
        </w:rPr>
        <w:t xml:space="preserve">En el tratamiento sintomático, son los inhibidores de la colinesterasa los fármacos de elección. La </w:t>
      </w:r>
      <w:proofErr w:type="spellStart"/>
      <w:r>
        <w:rPr>
          <w:rFonts w:ascii="Arial" w:hAnsi="Arial" w:cs="Arial"/>
          <w:sz w:val="20"/>
          <w:szCs w:val="20"/>
        </w:rPr>
        <w:t>piridostigmina</w:t>
      </w:r>
      <w:proofErr w:type="spellEnd"/>
      <w:r>
        <w:rPr>
          <w:rFonts w:ascii="Arial" w:hAnsi="Arial" w:cs="Arial"/>
          <w:sz w:val="20"/>
          <w:szCs w:val="20"/>
        </w:rPr>
        <w:t xml:space="preserve"> es el único fármaco que los representa. Tiene un efecto rápido pero poco duradero, con algunos efectos secundarios leves.</w:t>
      </w:r>
    </w:p>
    <w:p w:rsidR="00556DFF" w:rsidRDefault="00556DFF" w:rsidP="009964AC">
      <w:pPr>
        <w:ind w:left="708"/>
        <w:jc w:val="both"/>
        <w:rPr>
          <w:rFonts w:ascii="Arial" w:hAnsi="Arial" w:cs="Arial"/>
          <w:sz w:val="20"/>
          <w:szCs w:val="20"/>
        </w:rPr>
      </w:pPr>
      <w:r>
        <w:rPr>
          <w:rFonts w:ascii="Arial" w:hAnsi="Arial" w:cs="Arial"/>
          <w:sz w:val="20"/>
          <w:szCs w:val="20"/>
        </w:rPr>
        <w:t xml:space="preserve">En caso de crisis colinérgica, debe administrarse lentamente 0,6 mg de sulfato de atropina </w:t>
      </w:r>
      <w:proofErr w:type="spellStart"/>
      <w:r>
        <w:rPr>
          <w:rFonts w:ascii="Arial" w:hAnsi="Arial" w:cs="Arial"/>
          <w:sz w:val="20"/>
          <w:szCs w:val="20"/>
        </w:rPr>
        <w:t>via</w:t>
      </w:r>
      <w:proofErr w:type="spellEnd"/>
      <w:r>
        <w:rPr>
          <w:rFonts w:ascii="Arial" w:hAnsi="Arial" w:cs="Arial"/>
          <w:sz w:val="20"/>
          <w:szCs w:val="20"/>
        </w:rPr>
        <w:t xml:space="preserve"> IV.</w:t>
      </w:r>
    </w:p>
    <w:p w:rsidR="00556DFF" w:rsidRDefault="00556DFF" w:rsidP="009964AC">
      <w:pPr>
        <w:ind w:left="720"/>
        <w:jc w:val="both"/>
        <w:rPr>
          <w:rFonts w:ascii="Arial" w:hAnsi="Arial" w:cs="Arial"/>
          <w:sz w:val="20"/>
          <w:szCs w:val="20"/>
        </w:rPr>
      </w:pPr>
    </w:p>
    <w:p w:rsidR="00556DFF" w:rsidRDefault="00556DFF" w:rsidP="005F63C6">
      <w:pPr>
        <w:numPr>
          <w:ilvl w:val="0"/>
          <w:numId w:val="4"/>
        </w:numPr>
        <w:jc w:val="both"/>
        <w:rPr>
          <w:rFonts w:ascii="Arial" w:hAnsi="Arial" w:cs="Arial"/>
          <w:sz w:val="20"/>
          <w:szCs w:val="20"/>
        </w:rPr>
      </w:pPr>
      <w:r>
        <w:rPr>
          <w:rFonts w:ascii="Arial" w:hAnsi="Arial" w:cs="Arial"/>
          <w:sz w:val="20"/>
          <w:szCs w:val="20"/>
        </w:rPr>
        <w:t>Tratamientos de la base de la enfermedad: Entre ellos destaca:</w:t>
      </w:r>
    </w:p>
    <w:p w:rsidR="00556DFF" w:rsidRDefault="00556DFF" w:rsidP="009964AC">
      <w:pPr>
        <w:ind w:left="720"/>
        <w:jc w:val="both"/>
        <w:rPr>
          <w:rFonts w:ascii="Arial" w:hAnsi="Arial" w:cs="Arial"/>
          <w:sz w:val="20"/>
          <w:szCs w:val="20"/>
        </w:rPr>
      </w:pPr>
    </w:p>
    <w:p w:rsidR="00556DFF" w:rsidRDefault="00556DFF" w:rsidP="009964AC">
      <w:pPr>
        <w:ind w:left="708"/>
        <w:jc w:val="both"/>
        <w:rPr>
          <w:rFonts w:ascii="Arial" w:hAnsi="Arial" w:cs="Arial"/>
          <w:sz w:val="20"/>
          <w:szCs w:val="20"/>
        </w:rPr>
      </w:pPr>
      <w:proofErr w:type="spellStart"/>
      <w:r>
        <w:rPr>
          <w:rFonts w:ascii="Arial" w:hAnsi="Arial" w:cs="Arial"/>
          <w:sz w:val="20"/>
          <w:szCs w:val="20"/>
        </w:rPr>
        <w:t>Timectomía</w:t>
      </w:r>
      <w:proofErr w:type="spellEnd"/>
      <w:r>
        <w:rPr>
          <w:rFonts w:ascii="Arial" w:hAnsi="Arial" w:cs="Arial"/>
          <w:sz w:val="20"/>
          <w:szCs w:val="20"/>
        </w:rPr>
        <w:t xml:space="preserve">: Es una intervención especial opcional que se aplica a personas jóvenes con la idea de evitar tratamiento farmacológico. Si no hay </w:t>
      </w:r>
      <w:proofErr w:type="spellStart"/>
      <w:r>
        <w:rPr>
          <w:rFonts w:ascii="Arial" w:hAnsi="Arial" w:cs="Arial"/>
          <w:sz w:val="20"/>
          <w:szCs w:val="20"/>
        </w:rPr>
        <w:t>timoma</w:t>
      </w:r>
      <w:proofErr w:type="spellEnd"/>
      <w:r>
        <w:rPr>
          <w:rFonts w:ascii="Arial" w:hAnsi="Arial" w:cs="Arial"/>
          <w:sz w:val="20"/>
          <w:szCs w:val="20"/>
        </w:rPr>
        <w:t xml:space="preserve">, es recomendada a menores de 60 años, para aumentar la probabilidad de remisión. Si hay </w:t>
      </w:r>
      <w:proofErr w:type="spellStart"/>
      <w:r>
        <w:rPr>
          <w:rFonts w:ascii="Arial" w:hAnsi="Arial" w:cs="Arial"/>
          <w:sz w:val="20"/>
          <w:szCs w:val="20"/>
        </w:rPr>
        <w:t>timoma</w:t>
      </w:r>
      <w:proofErr w:type="spellEnd"/>
      <w:r>
        <w:rPr>
          <w:rFonts w:ascii="Arial" w:hAnsi="Arial" w:cs="Arial"/>
          <w:sz w:val="20"/>
          <w:szCs w:val="20"/>
        </w:rPr>
        <w:t>, estaría indicada independientemente de la gravedad de la MG.</w:t>
      </w:r>
    </w:p>
    <w:p w:rsidR="00556DFF" w:rsidRPr="00925216" w:rsidRDefault="00556DFF" w:rsidP="00AF165B">
      <w:pPr>
        <w:pStyle w:val="NormalWeb"/>
        <w:shd w:val="clear" w:color="auto" w:fill="FFFFFF"/>
        <w:spacing w:before="0" w:beforeAutospacing="0" w:after="131" w:afterAutospacing="0" w:line="249" w:lineRule="atLeast"/>
        <w:ind w:left="709"/>
        <w:jc w:val="both"/>
        <w:rPr>
          <w:rFonts w:ascii="Arial" w:hAnsi="Arial" w:cs="Arial"/>
          <w:sz w:val="20"/>
          <w:szCs w:val="20"/>
        </w:rPr>
      </w:pPr>
      <w:r>
        <w:rPr>
          <w:rFonts w:ascii="Arial" w:hAnsi="Arial" w:cs="Arial"/>
          <w:sz w:val="20"/>
          <w:szCs w:val="20"/>
        </w:rPr>
        <w:t xml:space="preserve">Corticoides: </w:t>
      </w:r>
      <w:r w:rsidRPr="00925216">
        <w:rPr>
          <w:rFonts w:ascii="Arial" w:hAnsi="Arial" w:cs="Arial"/>
          <w:sz w:val="20"/>
          <w:szCs w:val="20"/>
        </w:rPr>
        <w:t>En primer lugar se administra normalmente prednisona. La mayoría de los autores recomiendan iniciar el tratamiento a dosis de 1 mg/kg de peso y día. Es recomendable ingresar a los pacientes cuando inician el tratamiento ya que es posible que se produzca un empeoramiento de los síntomas miasténicos en los primeros 7-10 días del inicio del fármaco. Esta norma es especialmente importante en aquellos pacientes con un predominio de clínica bulbar y afectación respiratoria basal. La pauta de inicio es dosis de 1mg/Kg peso/diario y reducir después cambiando el tratamiento a días alternos. Hasta el 85% de los pacientes tratados responden al tratamiento esteroideo general</w:t>
      </w:r>
      <w:r>
        <w:rPr>
          <w:rFonts w:ascii="Arial" w:hAnsi="Arial" w:cs="Arial"/>
          <w:sz w:val="20"/>
          <w:szCs w:val="20"/>
        </w:rPr>
        <w:t>mente en los 1-3 primeros meses.</w:t>
      </w:r>
      <w:r w:rsidRPr="00925216">
        <w:rPr>
          <w:rFonts w:ascii="Arial" w:hAnsi="Arial" w:cs="Arial"/>
          <w:sz w:val="20"/>
          <w:szCs w:val="20"/>
        </w:rPr>
        <w:t xml:space="preserve"> Si al cabo de varios meses de tratamiento no es posible reb</w:t>
      </w:r>
      <w:r>
        <w:rPr>
          <w:rFonts w:ascii="Arial" w:hAnsi="Arial" w:cs="Arial"/>
          <w:sz w:val="20"/>
          <w:szCs w:val="20"/>
        </w:rPr>
        <w:t>ajar las dosis de los 40 mg a dí</w:t>
      </w:r>
      <w:r w:rsidRPr="00925216">
        <w:rPr>
          <w:rFonts w:ascii="Arial" w:hAnsi="Arial" w:cs="Arial"/>
          <w:sz w:val="20"/>
          <w:szCs w:val="20"/>
        </w:rPr>
        <w:t>as alternos, por la aparición repetida de síntomas miasténicos, es recomendable asociar un segundo fármaco inmunosupresor.</w:t>
      </w:r>
    </w:p>
    <w:p w:rsidR="00556DFF" w:rsidRPr="00925216" w:rsidRDefault="00556DFF" w:rsidP="00AF165B">
      <w:pPr>
        <w:pStyle w:val="NormalWeb"/>
        <w:shd w:val="clear" w:color="auto" w:fill="FFFFFF"/>
        <w:spacing w:before="0" w:beforeAutospacing="0" w:after="131" w:afterAutospacing="0" w:line="249" w:lineRule="atLeast"/>
        <w:ind w:left="709"/>
        <w:jc w:val="both"/>
        <w:rPr>
          <w:rFonts w:ascii="Arial" w:hAnsi="Arial" w:cs="Arial"/>
          <w:sz w:val="20"/>
          <w:szCs w:val="20"/>
        </w:rPr>
      </w:pPr>
      <w:r w:rsidRPr="00925216">
        <w:rPr>
          <w:rFonts w:ascii="Arial" w:hAnsi="Arial" w:cs="Arial"/>
          <w:sz w:val="20"/>
          <w:szCs w:val="20"/>
        </w:rPr>
        <w:t>Los efectos secundarios de los corticoides son ampliamente conocidos y deben tratarse para evitar problemas a largo plazo.</w:t>
      </w:r>
    </w:p>
    <w:p w:rsidR="00556DFF" w:rsidRPr="001406A4" w:rsidRDefault="00556DFF" w:rsidP="009964AC">
      <w:pPr>
        <w:ind w:left="708"/>
        <w:jc w:val="both"/>
        <w:rPr>
          <w:rFonts w:ascii="Arial" w:hAnsi="Arial" w:cs="Arial"/>
          <w:sz w:val="20"/>
          <w:szCs w:val="20"/>
        </w:rPr>
      </w:pPr>
      <w:r>
        <w:rPr>
          <w:rFonts w:ascii="Arial" w:hAnsi="Arial" w:cs="Arial"/>
          <w:sz w:val="20"/>
          <w:szCs w:val="20"/>
        </w:rPr>
        <w:t xml:space="preserve">Inmunosupresores. Destacan AZA, MMF, MTX y CYC. </w:t>
      </w:r>
      <w:r w:rsidRPr="00AB7B58">
        <w:rPr>
          <w:rFonts w:ascii="Arial" w:hAnsi="Arial" w:cs="Arial"/>
          <w:sz w:val="20"/>
          <w:szCs w:val="20"/>
        </w:rPr>
        <w:t xml:space="preserve">Estudios retrospectivos indican que la </w:t>
      </w:r>
      <w:r>
        <w:rPr>
          <w:rFonts w:ascii="Arial" w:hAnsi="Arial" w:cs="Arial"/>
          <w:sz w:val="20"/>
          <w:szCs w:val="20"/>
        </w:rPr>
        <w:t>AZA</w:t>
      </w:r>
      <w:r w:rsidRPr="00AB7B58">
        <w:rPr>
          <w:rFonts w:ascii="Arial" w:hAnsi="Arial" w:cs="Arial"/>
          <w:sz w:val="20"/>
          <w:szCs w:val="20"/>
        </w:rPr>
        <w:t xml:space="preserve"> es efectiva en un 70 a 90% de los pacientes,</w:t>
      </w:r>
      <w:r>
        <w:rPr>
          <w:rFonts w:ascii="Arial" w:hAnsi="Arial" w:cs="Arial"/>
          <w:sz w:val="20"/>
          <w:szCs w:val="20"/>
        </w:rPr>
        <w:t xml:space="preserve"> además, sus</w:t>
      </w:r>
      <w:r w:rsidRPr="00AB7B58">
        <w:rPr>
          <w:rFonts w:ascii="Arial" w:hAnsi="Arial" w:cs="Arial"/>
          <w:sz w:val="20"/>
          <w:szCs w:val="20"/>
        </w:rPr>
        <w:t xml:space="preserve"> beneficios suelen observarse hasta 12 meses des</w:t>
      </w:r>
      <w:r>
        <w:rPr>
          <w:rFonts w:ascii="Arial" w:hAnsi="Arial" w:cs="Arial"/>
          <w:sz w:val="20"/>
          <w:szCs w:val="20"/>
        </w:rPr>
        <w:t>pués de iniciado el tratamiento.</w:t>
      </w:r>
      <w:r w:rsidRPr="00AB7B58">
        <w:rPr>
          <w:rFonts w:ascii="Arial" w:hAnsi="Arial" w:cs="Arial"/>
          <w:sz w:val="20"/>
          <w:szCs w:val="20"/>
        </w:rPr>
        <w:t xml:space="preserve"> </w:t>
      </w:r>
      <w:r>
        <w:rPr>
          <w:rFonts w:ascii="Arial" w:hAnsi="Arial" w:cs="Arial"/>
          <w:sz w:val="20"/>
          <w:szCs w:val="20"/>
        </w:rPr>
        <w:t>P</w:t>
      </w:r>
      <w:r w:rsidRPr="00AB7B58">
        <w:rPr>
          <w:rFonts w:ascii="Arial" w:hAnsi="Arial" w:cs="Arial"/>
          <w:sz w:val="20"/>
          <w:szCs w:val="20"/>
        </w:rPr>
        <w:t xml:space="preserve">uede utilizarse </w:t>
      </w:r>
      <w:r>
        <w:rPr>
          <w:rFonts w:ascii="Arial" w:hAnsi="Arial" w:cs="Arial"/>
          <w:sz w:val="20"/>
          <w:szCs w:val="20"/>
        </w:rPr>
        <w:t>solo o combinado con esteroides.</w:t>
      </w:r>
    </w:p>
    <w:p w:rsidR="00556DFF" w:rsidRPr="00AB7B58" w:rsidRDefault="00556DFF" w:rsidP="009964AC">
      <w:pPr>
        <w:ind w:left="708"/>
        <w:jc w:val="both"/>
        <w:rPr>
          <w:rFonts w:ascii="Arial" w:hAnsi="Arial" w:cs="Arial"/>
          <w:sz w:val="20"/>
          <w:szCs w:val="20"/>
        </w:rPr>
      </w:pPr>
      <w:r w:rsidRPr="00AB7B58">
        <w:rPr>
          <w:rFonts w:ascii="Arial" w:hAnsi="Arial" w:cs="Arial"/>
          <w:sz w:val="20"/>
          <w:szCs w:val="20"/>
        </w:rPr>
        <w:t xml:space="preserve">No existen ensayos clínicos que evalúen la eficacia clínica de </w:t>
      </w:r>
      <w:r>
        <w:rPr>
          <w:rFonts w:ascii="Arial" w:hAnsi="Arial" w:cs="Arial"/>
          <w:sz w:val="20"/>
          <w:szCs w:val="20"/>
        </w:rPr>
        <w:t>MTX</w:t>
      </w:r>
      <w:r w:rsidRPr="00AB7B58">
        <w:rPr>
          <w:rFonts w:ascii="Arial" w:hAnsi="Arial" w:cs="Arial"/>
          <w:sz w:val="20"/>
          <w:szCs w:val="20"/>
        </w:rPr>
        <w:t xml:space="preserve"> en el tratamiento de la </w:t>
      </w:r>
      <w:r>
        <w:rPr>
          <w:rFonts w:ascii="Arial" w:hAnsi="Arial" w:cs="Arial"/>
          <w:sz w:val="20"/>
          <w:szCs w:val="20"/>
        </w:rPr>
        <w:t>MG</w:t>
      </w:r>
      <w:r w:rsidRPr="00AB7B58">
        <w:rPr>
          <w:rFonts w:ascii="Arial" w:hAnsi="Arial" w:cs="Arial"/>
          <w:sz w:val="20"/>
          <w:szCs w:val="20"/>
        </w:rPr>
        <w:t xml:space="preserve">. El </w:t>
      </w:r>
      <w:r>
        <w:rPr>
          <w:rFonts w:ascii="Arial" w:hAnsi="Arial" w:cs="Arial"/>
          <w:sz w:val="20"/>
          <w:szCs w:val="20"/>
        </w:rPr>
        <w:t>MTX</w:t>
      </w:r>
      <w:r w:rsidRPr="00AB7B58">
        <w:rPr>
          <w:rFonts w:ascii="Arial" w:hAnsi="Arial" w:cs="Arial"/>
          <w:sz w:val="20"/>
          <w:szCs w:val="20"/>
        </w:rPr>
        <w:t xml:space="preserve"> debe emplearse en casos seleccionados con </w:t>
      </w:r>
      <w:r>
        <w:rPr>
          <w:rFonts w:ascii="Arial" w:hAnsi="Arial" w:cs="Arial"/>
          <w:sz w:val="20"/>
          <w:szCs w:val="20"/>
        </w:rPr>
        <w:t>MG</w:t>
      </w:r>
      <w:r w:rsidRPr="00AB7B58">
        <w:rPr>
          <w:rFonts w:ascii="Arial" w:hAnsi="Arial" w:cs="Arial"/>
          <w:sz w:val="20"/>
          <w:szCs w:val="20"/>
        </w:rPr>
        <w:t xml:space="preserve"> que no responden a inmunosupresores de primera elección</w:t>
      </w:r>
      <w:r>
        <w:rPr>
          <w:rFonts w:ascii="Arial" w:hAnsi="Arial" w:cs="Arial"/>
          <w:sz w:val="20"/>
          <w:szCs w:val="20"/>
        </w:rPr>
        <w:t>.</w:t>
      </w:r>
    </w:p>
    <w:p w:rsidR="00556DFF" w:rsidRPr="00AB7B58" w:rsidRDefault="00556DFF" w:rsidP="009964AC">
      <w:pPr>
        <w:ind w:left="708"/>
        <w:jc w:val="both"/>
        <w:rPr>
          <w:rFonts w:ascii="Arial" w:hAnsi="Arial" w:cs="Arial"/>
          <w:sz w:val="20"/>
          <w:szCs w:val="20"/>
        </w:rPr>
      </w:pPr>
      <w:r w:rsidRPr="00AB7B58">
        <w:rPr>
          <w:rFonts w:ascii="Arial" w:hAnsi="Arial" w:cs="Arial"/>
          <w:sz w:val="20"/>
          <w:szCs w:val="20"/>
        </w:rPr>
        <w:t xml:space="preserve">Existe evidencia de que la </w:t>
      </w:r>
      <w:r>
        <w:rPr>
          <w:rFonts w:ascii="Arial" w:hAnsi="Arial" w:cs="Arial"/>
          <w:sz w:val="20"/>
          <w:szCs w:val="20"/>
        </w:rPr>
        <w:t>CYC</w:t>
      </w:r>
      <w:r w:rsidRPr="00AB7B58">
        <w:rPr>
          <w:rFonts w:ascii="Arial" w:hAnsi="Arial" w:cs="Arial"/>
          <w:sz w:val="20"/>
          <w:szCs w:val="20"/>
        </w:rPr>
        <w:t xml:space="preserve"> como monoterapia o con corticoesteroides y la ciclofosfamida con corticoesteroides mejoran significativamente la </w:t>
      </w:r>
      <w:r>
        <w:rPr>
          <w:rFonts w:ascii="Arial" w:hAnsi="Arial" w:cs="Arial"/>
          <w:sz w:val="20"/>
          <w:szCs w:val="20"/>
        </w:rPr>
        <w:t>MG.</w:t>
      </w:r>
      <w:r w:rsidRPr="00AB7B58">
        <w:rPr>
          <w:rFonts w:ascii="Arial" w:hAnsi="Arial" w:cs="Arial"/>
          <w:sz w:val="20"/>
          <w:szCs w:val="20"/>
        </w:rPr>
        <w:t xml:space="preserve"> </w:t>
      </w:r>
    </w:p>
    <w:p w:rsidR="00556DFF" w:rsidRPr="00AB7B58" w:rsidRDefault="00556DFF" w:rsidP="009964AC">
      <w:pPr>
        <w:ind w:left="708"/>
        <w:jc w:val="both"/>
        <w:rPr>
          <w:rFonts w:ascii="Arial" w:hAnsi="Arial" w:cs="Arial"/>
          <w:sz w:val="20"/>
          <w:szCs w:val="20"/>
        </w:rPr>
      </w:pPr>
      <w:r>
        <w:rPr>
          <w:rFonts w:ascii="Arial" w:hAnsi="Arial" w:cs="Arial"/>
          <w:sz w:val="20"/>
          <w:szCs w:val="20"/>
        </w:rPr>
        <w:t>La CYC</w:t>
      </w:r>
      <w:r w:rsidRPr="00AB7B58">
        <w:rPr>
          <w:rFonts w:ascii="Arial" w:hAnsi="Arial" w:cs="Arial"/>
          <w:sz w:val="20"/>
          <w:szCs w:val="20"/>
        </w:rPr>
        <w:t xml:space="preserve"> tiene efectos secundarios significativos (hipertensión y nefrotoxicidad). Debe ser considerada únicamente en pacientes intolerantes o</w:t>
      </w:r>
      <w:r>
        <w:rPr>
          <w:rFonts w:ascii="Arial" w:hAnsi="Arial" w:cs="Arial"/>
          <w:sz w:val="20"/>
          <w:szCs w:val="20"/>
        </w:rPr>
        <w:t xml:space="preserve"> que no responden a AZA.</w:t>
      </w:r>
    </w:p>
    <w:p w:rsidR="00556DFF" w:rsidRPr="00AB7B58" w:rsidRDefault="00556DFF" w:rsidP="009964AC">
      <w:pPr>
        <w:ind w:left="708"/>
        <w:jc w:val="both"/>
        <w:rPr>
          <w:rFonts w:ascii="Arial" w:hAnsi="Arial" w:cs="Arial"/>
          <w:sz w:val="20"/>
          <w:szCs w:val="20"/>
        </w:rPr>
      </w:pPr>
      <w:r w:rsidRPr="00AB7B58">
        <w:rPr>
          <w:rFonts w:ascii="Arial" w:hAnsi="Arial" w:cs="Arial"/>
          <w:sz w:val="20"/>
          <w:szCs w:val="20"/>
        </w:rPr>
        <w:t>La administración de ciclofosfamida intravenosa en bolo en pacientes con</w:t>
      </w:r>
      <w:r>
        <w:rPr>
          <w:rFonts w:ascii="Arial" w:hAnsi="Arial" w:cs="Arial"/>
          <w:sz w:val="20"/>
          <w:szCs w:val="20"/>
        </w:rPr>
        <w:t xml:space="preserve"> MG</w:t>
      </w:r>
      <w:r w:rsidRPr="00AB7B58">
        <w:rPr>
          <w:rFonts w:ascii="Arial" w:hAnsi="Arial" w:cs="Arial"/>
          <w:sz w:val="20"/>
          <w:szCs w:val="20"/>
        </w:rPr>
        <w:t xml:space="preserve"> generalizada severa produce mejoría en la fuerza muscular y reducción de la dosis de esteroide a los 3 y 6 meses. Sin embargo, l</w:t>
      </w:r>
      <w:r>
        <w:rPr>
          <w:rFonts w:ascii="Arial" w:hAnsi="Arial" w:cs="Arial"/>
          <w:sz w:val="20"/>
          <w:szCs w:val="20"/>
        </w:rPr>
        <w:t xml:space="preserve">a mejoría fue estadísticamente </w:t>
      </w:r>
      <w:r w:rsidRPr="00AB7B58">
        <w:rPr>
          <w:rFonts w:ascii="Arial" w:hAnsi="Arial" w:cs="Arial"/>
          <w:sz w:val="20"/>
          <w:szCs w:val="20"/>
        </w:rPr>
        <w:t>significativa a los 12 meses comparado con placebo particularmente en músculos extraoculare</w:t>
      </w:r>
      <w:r>
        <w:rPr>
          <w:rFonts w:ascii="Arial" w:hAnsi="Arial" w:cs="Arial"/>
          <w:sz w:val="20"/>
          <w:szCs w:val="20"/>
        </w:rPr>
        <w:t>s, de la masticación y bulbares.</w:t>
      </w:r>
    </w:p>
    <w:p w:rsidR="00556DFF" w:rsidRPr="00AB7B58" w:rsidRDefault="00556DFF" w:rsidP="009964AC">
      <w:pPr>
        <w:ind w:left="708"/>
        <w:jc w:val="both"/>
        <w:rPr>
          <w:rFonts w:ascii="Arial" w:hAnsi="Arial" w:cs="Arial"/>
          <w:sz w:val="20"/>
          <w:szCs w:val="20"/>
        </w:rPr>
      </w:pPr>
      <w:r w:rsidRPr="00AB7B58">
        <w:rPr>
          <w:rFonts w:ascii="Arial" w:hAnsi="Arial" w:cs="Arial"/>
          <w:sz w:val="20"/>
          <w:szCs w:val="20"/>
        </w:rPr>
        <w:t>Debido al riesgo de toxicidad elevado de la ciclofosfamida (supresi</w:t>
      </w:r>
      <w:r>
        <w:rPr>
          <w:rFonts w:ascii="Arial" w:hAnsi="Arial" w:cs="Arial"/>
          <w:sz w:val="20"/>
          <w:szCs w:val="20"/>
        </w:rPr>
        <w:t xml:space="preserve">ón de médula ósea, infecciones </w:t>
      </w:r>
      <w:r w:rsidRPr="00AB7B58">
        <w:rPr>
          <w:rFonts w:ascii="Arial" w:hAnsi="Arial" w:cs="Arial"/>
          <w:sz w:val="20"/>
          <w:szCs w:val="20"/>
        </w:rPr>
        <w:t xml:space="preserve">oportunistas, neoplasia, cistitis hemorrágica) se recomienda limitar su uso en pacientes intolerantes o que no responden a esteroides asociados con </w:t>
      </w:r>
      <w:r>
        <w:rPr>
          <w:rFonts w:ascii="Arial" w:hAnsi="Arial" w:cs="Arial"/>
          <w:sz w:val="20"/>
          <w:szCs w:val="20"/>
        </w:rPr>
        <w:t>AZA</w:t>
      </w:r>
      <w:r w:rsidRPr="00AB7B58">
        <w:rPr>
          <w:rFonts w:ascii="Arial" w:hAnsi="Arial" w:cs="Arial"/>
          <w:sz w:val="20"/>
          <w:szCs w:val="20"/>
        </w:rPr>
        <w:t xml:space="preserve">, </w:t>
      </w:r>
      <w:r>
        <w:rPr>
          <w:rFonts w:ascii="Arial" w:hAnsi="Arial" w:cs="Arial"/>
          <w:sz w:val="20"/>
          <w:szCs w:val="20"/>
        </w:rPr>
        <w:t>CYC</w:t>
      </w:r>
      <w:r w:rsidRPr="00AB7B58">
        <w:rPr>
          <w:rFonts w:ascii="Arial" w:hAnsi="Arial" w:cs="Arial"/>
          <w:sz w:val="20"/>
          <w:szCs w:val="20"/>
        </w:rPr>
        <w:t xml:space="preserve">, </w:t>
      </w:r>
      <w:r>
        <w:rPr>
          <w:rFonts w:ascii="Arial" w:hAnsi="Arial" w:cs="Arial"/>
          <w:sz w:val="20"/>
          <w:szCs w:val="20"/>
        </w:rPr>
        <w:t>MTX</w:t>
      </w:r>
      <w:r w:rsidRPr="00AB7B58">
        <w:rPr>
          <w:rFonts w:ascii="Arial" w:hAnsi="Arial" w:cs="Arial"/>
          <w:sz w:val="20"/>
          <w:szCs w:val="20"/>
        </w:rPr>
        <w:t xml:space="preserve"> o </w:t>
      </w:r>
      <w:r>
        <w:rPr>
          <w:rFonts w:ascii="Arial" w:hAnsi="Arial" w:cs="Arial"/>
          <w:sz w:val="20"/>
          <w:szCs w:val="20"/>
        </w:rPr>
        <w:t>MMF.</w:t>
      </w:r>
      <w:r w:rsidRPr="00AB7B58">
        <w:rPr>
          <w:rFonts w:ascii="Arial" w:hAnsi="Arial" w:cs="Arial"/>
          <w:sz w:val="20"/>
          <w:szCs w:val="20"/>
        </w:rPr>
        <w:t xml:space="preserve"> </w:t>
      </w:r>
    </w:p>
    <w:p w:rsidR="00556DFF" w:rsidRDefault="00556DFF" w:rsidP="009964AC">
      <w:pPr>
        <w:ind w:left="708"/>
        <w:jc w:val="both"/>
        <w:rPr>
          <w:rFonts w:ascii="Arial" w:hAnsi="Arial" w:cs="Arial"/>
          <w:sz w:val="20"/>
          <w:szCs w:val="20"/>
        </w:rPr>
      </w:pPr>
      <w:r>
        <w:rPr>
          <w:rFonts w:ascii="Arial" w:hAnsi="Arial" w:cs="Arial"/>
          <w:sz w:val="20"/>
          <w:szCs w:val="20"/>
        </w:rPr>
        <w:t>El uso de TAC</w:t>
      </w:r>
      <w:r w:rsidRPr="00AB7B58">
        <w:rPr>
          <w:rFonts w:ascii="Arial" w:hAnsi="Arial" w:cs="Arial"/>
          <w:sz w:val="20"/>
          <w:szCs w:val="20"/>
        </w:rPr>
        <w:t>, durante dos años en dosis bajas (2 a 4</w:t>
      </w:r>
      <w:r>
        <w:rPr>
          <w:rFonts w:ascii="Arial" w:hAnsi="Arial" w:cs="Arial"/>
          <w:sz w:val="20"/>
          <w:szCs w:val="20"/>
        </w:rPr>
        <w:t>,</w:t>
      </w:r>
      <w:r w:rsidRPr="00AB7B58">
        <w:rPr>
          <w:rFonts w:ascii="Arial" w:hAnsi="Arial" w:cs="Arial"/>
          <w:sz w:val="20"/>
          <w:szCs w:val="20"/>
        </w:rPr>
        <w:t xml:space="preserve">5 mg/día) fue seguro y efectivo en el tratamiento de 12 pacientes con </w:t>
      </w:r>
      <w:r>
        <w:rPr>
          <w:rFonts w:ascii="Arial" w:hAnsi="Arial" w:cs="Arial"/>
          <w:sz w:val="20"/>
          <w:szCs w:val="20"/>
        </w:rPr>
        <w:t>MG</w:t>
      </w:r>
      <w:r w:rsidRPr="00AB7B58">
        <w:rPr>
          <w:rFonts w:ascii="Arial" w:hAnsi="Arial" w:cs="Arial"/>
          <w:sz w:val="20"/>
          <w:szCs w:val="20"/>
        </w:rPr>
        <w:t xml:space="preserve"> generalizada. Se observó mejoría en el 67% de los casos y reducción de en la dosis de prednisolona en el 58% de los casos. El </w:t>
      </w:r>
      <w:r>
        <w:rPr>
          <w:rFonts w:ascii="Arial" w:hAnsi="Arial" w:cs="Arial"/>
          <w:sz w:val="20"/>
          <w:szCs w:val="20"/>
        </w:rPr>
        <w:t xml:space="preserve">TAC </w:t>
      </w:r>
      <w:r w:rsidRPr="00AB7B58">
        <w:rPr>
          <w:rFonts w:ascii="Arial" w:hAnsi="Arial" w:cs="Arial"/>
          <w:sz w:val="20"/>
          <w:szCs w:val="20"/>
        </w:rPr>
        <w:t xml:space="preserve">se recomienda como fármaco de segunda línea en aquellos pacientes que no toleran o no responden a la </w:t>
      </w:r>
      <w:r>
        <w:rPr>
          <w:rFonts w:ascii="Arial" w:hAnsi="Arial" w:cs="Arial"/>
          <w:sz w:val="20"/>
          <w:szCs w:val="20"/>
        </w:rPr>
        <w:t>AZA</w:t>
      </w:r>
      <w:r w:rsidRPr="00AB7B58">
        <w:rPr>
          <w:rFonts w:ascii="Arial" w:hAnsi="Arial" w:cs="Arial"/>
          <w:sz w:val="20"/>
          <w:szCs w:val="20"/>
        </w:rPr>
        <w:t xml:space="preserve">. La administración de </w:t>
      </w:r>
      <w:r>
        <w:rPr>
          <w:rFonts w:ascii="Arial" w:hAnsi="Arial" w:cs="Arial"/>
          <w:sz w:val="20"/>
          <w:szCs w:val="20"/>
        </w:rPr>
        <w:t>TAC</w:t>
      </w:r>
      <w:r w:rsidRPr="00AB7B58">
        <w:rPr>
          <w:rFonts w:ascii="Arial" w:hAnsi="Arial" w:cs="Arial"/>
          <w:sz w:val="20"/>
          <w:szCs w:val="20"/>
        </w:rPr>
        <w:t xml:space="preserve"> en pacientes con </w:t>
      </w:r>
      <w:r>
        <w:rPr>
          <w:rFonts w:ascii="Arial" w:hAnsi="Arial" w:cs="Arial"/>
          <w:sz w:val="20"/>
          <w:szCs w:val="20"/>
        </w:rPr>
        <w:t>MG</w:t>
      </w:r>
      <w:r w:rsidRPr="00AB7B58">
        <w:rPr>
          <w:rFonts w:ascii="Arial" w:hAnsi="Arial" w:cs="Arial"/>
          <w:sz w:val="20"/>
          <w:szCs w:val="20"/>
        </w:rPr>
        <w:t xml:space="preserve"> dependientes de prednisona y </w:t>
      </w:r>
      <w:r>
        <w:rPr>
          <w:rFonts w:ascii="Arial" w:hAnsi="Arial" w:cs="Arial"/>
          <w:sz w:val="20"/>
          <w:szCs w:val="20"/>
        </w:rPr>
        <w:t>CYC</w:t>
      </w:r>
      <w:r w:rsidRPr="00AB7B58">
        <w:rPr>
          <w:rFonts w:ascii="Arial" w:hAnsi="Arial" w:cs="Arial"/>
          <w:sz w:val="20"/>
          <w:szCs w:val="20"/>
        </w:rPr>
        <w:t>, permite reducir la dosis de esteroide hasta</w:t>
      </w:r>
      <w:r>
        <w:rPr>
          <w:rFonts w:ascii="Arial" w:hAnsi="Arial" w:cs="Arial"/>
          <w:sz w:val="20"/>
          <w:szCs w:val="20"/>
        </w:rPr>
        <w:t xml:space="preserve"> en el 98% de los casos, mejorando</w:t>
      </w:r>
      <w:r w:rsidRPr="00AB7B58">
        <w:rPr>
          <w:rFonts w:ascii="Arial" w:hAnsi="Arial" w:cs="Arial"/>
          <w:sz w:val="20"/>
          <w:szCs w:val="20"/>
        </w:rPr>
        <w:t xml:space="preserve"> la fuerza muscular en el 39% y </w:t>
      </w:r>
      <w:r>
        <w:rPr>
          <w:rFonts w:ascii="Arial" w:hAnsi="Arial" w:cs="Arial"/>
          <w:sz w:val="20"/>
          <w:szCs w:val="20"/>
        </w:rPr>
        <w:t xml:space="preserve">produciendo una </w:t>
      </w:r>
      <w:r w:rsidRPr="00AB7B58">
        <w:rPr>
          <w:rFonts w:ascii="Arial" w:hAnsi="Arial" w:cs="Arial"/>
          <w:sz w:val="20"/>
          <w:szCs w:val="20"/>
        </w:rPr>
        <w:t xml:space="preserve">disminución en el título de anticuerpos </w:t>
      </w:r>
      <w:proofErr w:type="spellStart"/>
      <w:r w:rsidRPr="00AB7B58">
        <w:rPr>
          <w:rFonts w:ascii="Arial" w:hAnsi="Arial" w:cs="Arial"/>
          <w:sz w:val="20"/>
          <w:szCs w:val="20"/>
        </w:rPr>
        <w:t>antiacetilcolina</w:t>
      </w:r>
      <w:proofErr w:type="spellEnd"/>
      <w:r>
        <w:rPr>
          <w:rFonts w:ascii="Arial" w:hAnsi="Arial" w:cs="Arial"/>
          <w:sz w:val="20"/>
          <w:szCs w:val="20"/>
        </w:rPr>
        <w:t>.</w:t>
      </w:r>
    </w:p>
    <w:p w:rsidR="00556DFF" w:rsidRPr="00D44044" w:rsidRDefault="00556DFF" w:rsidP="009964AC">
      <w:pPr>
        <w:jc w:val="both"/>
        <w:rPr>
          <w:rFonts w:ascii="Arial" w:hAnsi="Arial" w:cs="Arial"/>
          <w:sz w:val="20"/>
          <w:szCs w:val="20"/>
        </w:rPr>
      </w:pPr>
    </w:p>
    <w:p w:rsidR="00556DFF" w:rsidRDefault="00556DFF" w:rsidP="005F63C6">
      <w:pPr>
        <w:numPr>
          <w:ilvl w:val="0"/>
          <w:numId w:val="4"/>
        </w:numPr>
        <w:jc w:val="both"/>
        <w:rPr>
          <w:rFonts w:ascii="Arial" w:hAnsi="Arial" w:cs="Arial"/>
          <w:sz w:val="20"/>
          <w:szCs w:val="20"/>
        </w:rPr>
      </w:pPr>
      <w:r>
        <w:rPr>
          <w:rFonts w:ascii="Arial" w:hAnsi="Arial" w:cs="Arial"/>
          <w:sz w:val="20"/>
          <w:szCs w:val="20"/>
        </w:rPr>
        <w:t>Tratamientos especiales:</w:t>
      </w:r>
    </w:p>
    <w:p w:rsidR="00556DFF" w:rsidRPr="00FD6C7E" w:rsidRDefault="00556DFF" w:rsidP="009964AC">
      <w:pPr>
        <w:ind w:left="709"/>
        <w:jc w:val="both"/>
        <w:rPr>
          <w:rFonts w:ascii="Arial" w:hAnsi="Arial" w:cs="Arial"/>
          <w:sz w:val="20"/>
          <w:szCs w:val="20"/>
        </w:rPr>
      </w:pPr>
      <w:r>
        <w:rPr>
          <w:rFonts w:ascii="Arial" w:hAnsi="Arial" w:cs="Arial"/>
          <w:sz w:val="20"/>
          <w:szCs w:val="20"/>
        </w:rPr>
        <w:t xml:space="preserve">Uno de los tratamientos especiales de los pacientes con MG generalizada son las </w:t>
      </w:r>
      <w:r w:rsidRPr="00FD6C7E">
        <w:rPr>
          <w:rFonts w:ascii="Arial" w:hAnsi="Arial" w:cs="Arial"/>
          <w:sz w:val="20"/>
          <w:szCs w:val="20"/>
        </w:rPr>
        <w:t>inmunoglobulinas IV y la plasmaféresis o recambio plasmático. Tanto las inmunoglobulinas como la plasmaféresis se utilizan en empeoramiento agudo de la MG.</w:t>
      </w:r>
    </w:p>
    <w:p w:rsidR="00556DFF" w:rsidRPr="00FD6C7E" w:rsidRDefault="00556DFF" w:rsidP="009964AC">
      <w:pPr>
        <w:ind w:left="709"/>
        <w:jc w:val="both"/>
        <w:rPr>
          <w:rFonts w:ascii="Arial" w:hAnsi="Arial" w:cs="Arial"/>
          <w:sz w:val="20"/>
          <w:szCs w:val="20"/>
        </w:rPr>
      </w:pPr>
      <w:r w:rsidRPr="00FD6C7E">
        <w:rPr>
          <w:rFonts w:ascii="Arial" w:hAnsi="Arial" w:cs="Arial"/>
          <w:sz w:val="20"/>
          <w:szCs w:val="20"/>
        </w:rPr>
        <w:t xml:space="preserve">Otras opciones de tratamiento nuevas son el uso de anticuerpos monoclonales como </w:t>
      </w:r>
      <w:proofErr w:type="spellStart"/>
      <w:r w:rsidRPr="00FD6C7E">
        <w:rPr>
          <w:rFonts w:ascii="Arial" w:hAnsi="Arial" w:cs="Arial"/>
          <w:sz w:val="20"/>
          <w:szCs w:val="20"/>
        </w:rPr>
        <w:t>rituximab</w:t>
      </w:r>
      <w:proofErr w:type="spellEnd"/>
      <w:r w:rsidRPr="00FD6C7E">
        <w:rPr>
          <w:rFonts w:ascii="Arial" w:hAnsi="Arial" w:cs="Arial"/>
          <w:sz w:val="20"/>
          <w:szCs w:val="20"/>
        </w:rPr>
        <w:t xml:space="preserve"> o </w:t>
      </w:r>
      <w:proofErr w:type="spellStart"/>
      <w:r w:rsidRPr="00FD6C7E">
        <w:rPr>
          <w:rFonts w:ascii="Arial" w:hAnsi="Arial" w:cs="Arial"/>
          <w:sz w:val="20"/>
          <w:szCs w:val="20"/>
        </w:rPr>
        <w:t>eculizumab</w:t>
      </w:r>
      <w:proofErr w:type="spellEnd"/>
      <w:r w:rsidRPr="00FD6C7E">
        <w:rPr>
          <w:rFonts w:ascii="Arial" w:hAnsi="Arial" w:cs="Arial"/>
          <w:sz w:val="20"/>
          <w:szCs w:val="20"/>
        </w:rPr>
        <w:t xml:space="preserve"> o la administración de </w:t>
      </w:r>
      <w:proofErr w:type="spellStart"/>
      <w:r w:rsidRPr="00FD6C7E">
        <w:rPr>
          <w:rFonts w:ascii="Arial" w:hAnsi="Arial" w:cs="Arial"/>
          <w:sz w:val="20"/>
          <w:szCs w:val="20"/>
        </w:rPr>
        <w:t>etanercept</w:t>
      </w:r>
      <w:proofErr w:type="spellEnd"/>
      <w:r w:rsidRPr="00FD6C7E">
        <w:rPr>
          <w:rFonts w:ascii="Arial" w:hAnsi="Arial" w:cs="Arial"/>
          <w:sz w:val="20"/>
          <w:szCs w:val="20"/>
        </w:rPr>
        <w:t>.</w:t>
      </w:r>
    </w:p>
    <w:p w:rsidR="00556DFF" w:rsidRPr="00FD6C7E" w:rsidRDefault="00556DFF" w:rsidP="008D1FDA">
      <w:pPr>
        <w:ind w:left="709"/>
        <w:jc w:val="both"/>
        <w:rPr>
          <w:rFonts w:ascii="Arial" w:hAnsi="Arial" w:cs="Arial"/>
          <w:sz w:val="20"/>
          <w:szCs w:val="20"/>
        </w:rPr>
      </w:pPr>
      <w:r w:rsidRPr="00FD6C7E">
        <w:rPr>
          <w:rFonts w:ascii="Arial" w:hAnsi="Arial" w:cs="Arial"/>
          <w:sz w:val="20"/>
          <w:szCs w:val="20"/>
        </w:rPr>
        <w:t>En un metanálisis de estudios observacionales</w:t>
      </w:r>
      <w:r w:rsidRPr="00FD6C7E">
        <w:rPr>
          <w:rFonts w:ascii="Arial" w:hAnsi="Arial" w:cs="Arial"/>
          <w:sz w:val="20"/>
          <w:szCs w:val="20"/>
          <w:vertAlign w:val="superscript"/>
        </w:rPr>
        <w:t>9</w:t>
      </w:r>
      <w:r w:rsidRPr="00FD6C7E">
        <w:rPr>
          <w:rFonts w:ascii="Arial" w:hAnsi="Arial" w:cs="Arial"/>
          <w:sz w:val="20"/>
          <w:szCs w:val="20"/>
        </w:rPr>
        <w:t xml:space="preserve">, se observó que en 91 pacientes con </w:t>
      </w:r>
      <w:proofErr w:type="spellStart"/>
      <w:r w:rsidRPr="00FD6C7E">
        <w:rPr>
          <w:rFonts w:ascii="Arial" w:hAnsi="Arial" w:cs="Arial"/>
          <w:sz w:val="20"/>
          <w:szCs w:val="20"/>
        </w:rPr>
        <w:t>AchR</w:t>
      </w:r>
      <w:proofErr w:type="spellEnd"/>
      <w:r w:rsidRPr="00FD6C7E">
        <w:rPr>
          <w:rFonts w:ascii="Arial" w:hAnsi="Arial" w:cs="Arial"/>
          <w:sz w:val="20"/>
          <w:szCs w:val="20"/>
        </w:rPr>
        <w:t xml:space="preserve"> (89% refractarios y 78% graves IIIB a V) </w:t>
      </w:r>
      <w:proofErr w:type="spellStart"/>
      <w:r w:rsidRPr="00FD6C7E">
        <w:rPr>
          <w:rFonts w:ascii="Arial" w:hAnsi="Arial" w:cs="Arial"/>
          <w:sz w:val="20"/>
          <w:szCs w:val="20"/>
        </w:rPr>
        <w:t>rituximab</w:t>
      </w:r>
      <w:proofErr w:type="spellEnd"/>
      <w:r w:rsidRPr="00FD6C7E">
        <w:rPr>
          <w:rFonts w:ascii="Arial" w:hAnsi="Arial" w:cs="Arial"/>
          <w:sz w:val="20"/>
          <w:szCs w:val="20"/>
        </w:rPr>
        <w:t xml:space="preserve"> obtuvo respuestas del 80.4% en la escala </w:t>
      </w:r>
      <w:proofErr w:type="spellStart"/>
      <w:r w:rsidRPr="00FD6C7E">
        <w:rPr>
          <w:rFonts w:ascii="Arial" w:hAnsi="Arial" w:cs="Arial"/>
          <w:sz w:val="20"/>
          <w:szCs w:val="20"/>
        </w:rPr>
        <w:t>Myasthenia</w:t>
      </w:r>
      <w:proofErr w:type="spellEnd"/>
      <w:r w:rsidRPr="00FD6C7E">
        <w:rPr>
          <w:rFonts w:ascii="Arial" w:hAnsi="Arial" w:cs="Arial"/>
          <w:sz w:val="20"/>
          <w:szCs w:val="20"/>
        </w:rPr>
        <w:t xml:space="preserve"> </w:t>
      </w:r>
      <w:proofErr w:type="spellStart"/>
      <w:r w:rsidRPr="00FD6C7E">
        <w:rPr>
          <w:rFonts w:ascii="Arial" w:hAnsi="Arial" w:cs="Arial"/>
          <w:sz w:val="20"/>
          <w:szCs w:val="20"/>
        </w:rPr>
        <w:t>Gravis</w:t>
      </w:r>
      <w:proofErr w:type="spellEnd"/>
      <w:r w:rsidRPr="00FD6C7E">
        <w:rPr>
          <w:rFonts w:ascii="Arial" w:hAnsi="Arial" w:cs="Arial"/>
          <w:sz w:val="20"/>
          <w:szCs w:val="20"/>
        </w:rPr>
        <w:t xml:space="preserve"> </w:t>
      </w:r>
      <w:proofErr w:type="spellStart"/>
      <w:r w:rsidRPr="00FD6C7E">
        <w:rPr>
          <w:rFonts w:ascii="Arial" w:hAnsi="Arial" w:cs="Arial"/>
          <w:sz w:val="20"/>
          <w:szCs w:val="20"/>
        </w:rPr>
        <w:t>Foundation</w:t>
      </w:r>
      <w:proofErr w:type="spellEnd"/>
      <w:r w:rsidRPr="00FD6C7E">
        <w:rPr>
          <w:rFonts w:ascii="Arial" w:hAnsi="Arial" w:cs="Arial"/>
          <w:sz w:val="20"/>
          <w:szCs w:val="20"/>
        </w:rPr>
        <w:t xml:space="preserve"> of </w:t>
      </w:r>
      <w:proofErr w:type="spellStart"/>
      <w:r w:rsidRPr="00FD6C7E">
        <w:rPr>
          <w:rFonts w:ascii="Arial" w:hAnsi="Arial" w:cs="Arial"/>
          <w:sz w:val="20"/>
          <w:szCs w:val="20"/>
        </w:rPr>
        <w:t>America</w:t>
      </w:r>
      <w:proofErr w:type="spellEnd"/>
      <w:r w:rsidRPr="00FD6C7E">
        <w:rPr>
          <w:rFonts w:ascii="Arial" w:hAnsi="Arial" w:cs="Arial"/>
          <w:sz w:val="20"/>
          <w:szCs w:val="20"/>
        </w:rPr>
        <w:t xml:space="preserve"> (MGFA) post-</w:t>
      </w:r>
      <w:proofErr w:type="spellStart"/>
      <w:r w:rsidRPr="00FD6C7E">
        <w:rPr>
          <w:rFonts w:ascii="Arial" w:hAnsi="Arial" w:cs="Arial"/>
          <w:sz w:val="20"/>
          <w:szCs w:val="20"/>
        </w:rPr>
        <w:t>intervention</w:t>
      </w:r>
      <w:proofErr w:type="spellEnd"/>
      <w:r w:rsidRPr="00FD6C7E">
        <w:rPr>
          <w:rFonts w:ascii="Arial" w:hAnsi="Arial" w:cs="Arial"/>
          <w:sz w:val="20"/>
          <w:szCs w:val="20"/>
        </w:rPr>
        <w:t xml:space="preserve"> status (PIS). Al tratarse de un metanálisis de estudios observacionales, debemos tener en cuenta los sesgos propios del tipo de estudios incluidos en el metanálisis y la validez de los resultados.</w:t>
      </w:r>
    </w:p>
    <w:p w:rsidR="00556DFF" w:rsidRPr="00FD6C7E" w:rsidRDefault="00556DFF" w:rsidP="009964AC">
      <w:pPr>
        <w:ind w:left="709"/>
        <w:jc w:val="both"/>
        <w:rPr>
          <w:rFonts w:ascii="Arial" w:hAnsi="Arial" w:cs="Arial"/>
          <w:sz w:val="20"/>
          <w:szCs w:val="20"/>
        </w:rPr>
      </w:pPr>
      <w:r w:rsidRPr="00FD6C7E">
        <w:rPr>
          <w:rFonts w:ascii="Arial" w:hAnsi="Arial" w:cs="Arial"/>
          <w:sz w:val="20"/>
          <w:szCs w:val="20"/>
        </w:rPr>
        <w:t xml:space="preserve">En un ensayo piloto del uso de </w:t>
      </w:r>
      <w:proofErr w:type="spellStart"/>
      <w:r w:rsidRPr="00FD6C7E">
        <w:rPr>
          <w:rFonts w:ascii="Arial" w:hAnsi="Arial" w:cs="Arial"/>
          <w:sz w:val="20"/>
          <w:szCs w:val="20"/>
        </w:rPr>
        <w:t>etanercept</w:t>
      </w:r>
      <w:proofErr w:type="spellEnd"/>
      <w:r w:rsidRPr="00FD6C7E">
        <w:rPr>
          <w:rFonts w:ascii="Arial" w:hAnsi="Arial" w:cs="Arial"/>
          <w:sz w:val="20"/>
          <w:szCs w:val="20"/>
        </w:rPr>
        <w:t xml:space="preserve"> en pacientes con MG, donde se incluyeron 11 pacientes, se analizó la variación del </w:t>
      </w:r>
      <w:proofErr w:type="spellStart"/>
      <w:r w:rsidRPr="00FD6C7E">
        <w:rPr>
          <w:rFonts w:ascii="Arial" w:hAnsi="Arial" w:cs="Arial"/>
          <w:sz w:val="20"/>
          <w:szCs w:val="20"/>
        </w:rPr>
        <w:t>Quantitative</w:t>
      </w:r>
      <w:proofErr w:type="spellEnd"/>
      <w:r w:rsidRPr="00FD6C7E">
        <w:rPr>
          <w:rFonts w:ascii="Arial" w:hAnsi="Arial" w:cs="Arial"/>
          <w:sz w:val="20"/>
          <w:szCs w:val="20"/>
        </w:rPr>
        <w:t xml:space="preserve"> </w:t>
      </w:r>
      <w:proofErr w:type="spellStart"/>
      <w:r w:rsidRPr="00FD6C7E">
        <w:rPr>
          <w:rFonts w:ascii="Arial" w:hAnsi="Arial" w:cs="Arial"/>
          <w:sz w:val="20"/>
          <w:szCs w:val="20"/>
        </w:rPr>
        <w:t>Myasthenia</w:t>
      </w:r>
      <w:proofErr w:type="spellEnd"/>
      <w:r w:rsidRPr="00FD6C7E">
        <w:rPr>
          <w:rFonts w:ascii="Arial" w:hAnsi="Arial" w:cs="Arial"/>
          <w:sz w:val="20"/>
          <w:szCs w:val="20"/>
        </w:rPr>
        <w:t xml:space="preserve"> </w:t>
      </w:r>
      <w:proofErr w:type="spellStart"/>
      <w:r w:rsidRPr="00FD6C7E">
        <w:rPr>
          <w:rFonts w:ascii="Arial" w:hAnsi="Arial" w:cs="Arial"/>
          <w:sz w:val="20"/>
          <w:szCs w:val="20"/>
        </w:rPr>
        <w:t>Gravis</w:t>
      </w:r>
      <w:proofErr w:type="spellEnd"/>
      <w:r w:rsidRPr="00FD6C7E">
        <w:rPr>
          <w:rFonts w:ascii="Arial" w:hAnsi="Arial" w:cs="Arial"/>
          <w:sz w:val="20"/>
          <w:szCs w:val="20"/>
        </w:rPr>
        <w:t xml:space="preserve"> Score (</w:t>
      </w:r>
      <w:proofErr w:type="spellStart"/>
      <w:r w:rsidRPr="00FD6C7E">
        <w:rPr>
          <w:rFonts w:ascii="Arial" w:hAnsi="Arial" w:cs="Arial"/>
          <w:sz w:val="20"/>
          <w:szCs w:val="20"/>
        </w:rPr>
        <w:t>QMGscore</w:t>
      </w:r>
      <w:proofErr w:type="spellEnd"/>
      <w:r w:rsidRPr="00FD6C7E">
        <w:rPr>
          <w:rFonts w:ascii="Arial" w:hAnsi="Arial" w:cs="Arial"/>
          <w:sz w:val="20"/>
          <w:szCs w:val="20"/>
        </w:rPr>
        <w:t>) a los 6 meses se obtuvo una variación de 2,6 (SD 2,6) p=0.04.</w:t>
      </w:r>
    </w:p>
    <w:p w:rsidR="00556DFF" w:rsidRDefault="00556DFF" w:rsidP="009964AC">
      <w:pPr>
        <w:ind w:left="709"/>
        <w:jc w:val="both"/>
        <w:rPr>
          <w:rFonts w:ascii="Arial" w:hAnsi="Arial" w:cs="Arial"/>
          <w:sz w:val="20"/>
          <w:szCs w:val="20"/>
        </w:rPr>
      </w:pPr>
      <w:r w:rsidRPr="00FD6C7E">
        <w:rPr>
          <w:rFonts w:ascii="Arial" w:hAnsi="Arial" w:cs="Arial"/>
          <w:sz w:val="20"/>
          <w:szCs w:val="20"/>
        </w:rPr>
        <w:t xml:space="preserve">Estos estudios han descrito una buena respuesta de MG con </w:t>
      </w:r>
      <w:proofErr w:type="spellStart"/>
      <w:r w:rsidRPr="00FD6C7E">
        <w:rPr>
          <w:rFonts w:ascii="Arial" w:hAnsi="Arial" w:cs="Arial"/>
          <w:sz w:val="20"/>
          <w:szCs w:val="20"/>
        </w:rPr>
        <w:t>rituximab</w:t>
      </w:r>
      <w:proofErr w:type="spellEnd"/>
      <w:r w:rsidRPr="00FD6C7E">
        <w:rPr>
          <w:rFonts w:ascii="Arial" w:hAnsi="Arial" w:cs="Arial"/>
          <w:sz w:val="20"/>
          <w:szCs w:val="20"/>
        </w:rPr>
        <w:t xml:space="preserve"> y </w:t>
      </w:r>
      <w:proofErr w:type="spellStart"/>
      <w:r w:rsidRPr="00FD6C7E">
        <w:rPr>
          <w:rFonts w:ascii="Arial" w:hAnsi="Arial" w:cs="Arial"/>
          <w:sz w:val="20"/>
          <w:szCs w:val="20"/>
        </w:rPr>
        <w:t>etanercept</w:t>
      </w:r>
      <w:proofErr w:type="spellEnd"/>
      <w:r w:rsidRPr="00FD6C7E">
        <w:rPr>
          <w:rFonts w:ascii="Arial" w:hAnsi="Arial" w:cs="Arial"/>
          <w:sz w:val="20"/>
          <w:szCs w:val="20"/>
        </w:rPr>
        <w:t xml:space="preserve"> (uso fuera de indicación), pero son necesarios más estudios de más pacientes que aseguren el beneficio sustancial para el estado clínico y buena tolerabilidad</w:t>
      </w:r>
      <w:r w:rsidRPr="00FD6C7E">
        <w:rPr>
          <w:rFonts w:ascii="Arial" w:hAnsi="Arial" w:cs="Arial"/>
          <w:sz w:val="20"/>
          <w:szCs w:val="20"/>
          <w:vertAlign w:val="superscript"/>
        </w:rPr>
        <w:t>10-12</w:t>
      </w:r>
      <w:r w:rsidRPr="00FD6C7E">
        <w:rPr>
          <w:rFonts w:ascii="Arial" w:hAnsi="Arial" w:cs="Arial"/>
          <w:sz w:val="20"/>
          <w:szCs w:val="20"/>
        </w:rPr>
        <w:t>.</w:t>
      </w:r>
    </w:p>
    <w:p w:rsidR="00556DFF" w:rsidRPr="00BD16B7" w:rsidRDefault="00556DFF" w:rsidP="00BC3E8E">
      <w:pPr>
        <w:rPr>
          <w:rFonts w:ascii="Arial" w:hAnsi="Arial" w:cs="Arial"/>
          <w:sz w:val="20"/>
          <w:szCs w:val="20"/>
        </w:rPr>
      </w:pPr>
    </w:p>
    <w:p w:rsidR="00556DFF" w:rsidRPr="006F6ABB" w:rsidRDefault="00556DFF" w:rsidP="00BC3E8E">
      <w:pPr>
        <w:rPr>
          <w:rFonts w:ascii="Arial" w:hAnsi="Arial" w:cs="Arial"/>
          <w:color w:val="000080"/>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28" w:name="_Toc344399625"/>
      <w:bookmarkStart w:id="29" w:name="_Toc348931352"/>
      <w:bookmarkStart w:id="30" w:name="_Toc517462753"/>
      <w:r w:rsidRPr="00E3472F">
        <w:rPr>
          <w:rFonts w:cs="Arial"/>
          <w:sz w:val="20"/>
        </w:rPr>
        <w:t>3.3 Características comparadas con otras alternativas similares</w:t>
      </w:r>
      <w:bookmarkEnd w:id="28"/>
      <w:bookmarkEnd w:id="29"/>
      <w:bookmarkEnd w:id="30"/>
      <w:r w:rsidRPr="00E3472F">
        <w:rPr>
          <w:rFonts w:cs="Arial"/>
          <w:sz w:val="20"/>
        </w:rPr>
        <w:t xml:space="preserve"> </w:t>
      </w:r>
    </w:p>
    <w:p w:rsidR="00556DFF" w:rsidRDefault="00556DFF" w:rsidP="00BC3E8E">
      <w:pPr>
        <w:rPr>
          <w:rFonts w:cs="Arial"/>
          <w:bCs/>
        </w:rPr>
      </w:pPr>
    </w:p>
    <w:p w:rsidR="00556DFF" w:rsidRPr="00BD16B7" w:rsidRDefault="00556DFF" w:rsidP="00BC3E8E">
      <w:pPr>
        <w:rPr>
          <w:rFonts w:ascii="Arial" w:hAnsi="Arial" w:cs="Arial"/>
          <w:bCs/>
          <w:sz w:val="20"/>
          <w:szCs w:val="20"/>
        </w:rPr>
      </w:pPr>
      <w:r>
        <w:rPr>
          <w:rFonts w:ascii="Arial" w:hAnsi="Arial" w:cs="Arial"/>
          <w:bCs/>
          <w:sz w:val="20"/>
          <w:szCs w:val="20"/>
        </w:rPr>
        <w:t xml:space="preserve">No existen alternativas incluidas aprobadas por la agencia reguladora similares con la misma indicación. </w:t>
      </w:r>
    </w:p>
    <w:p w:rsidR="00556DFF" w:rsidRPr="006F6ABB" w:rsidRDefault="00556DFF" w:rsidP="00BC3E8E">
      <w:pPr>
        <w:rPr>
          <w:rFonts w:ascii="Arial" w:hAnsi="Arial" w:cs="Arial"/>
          <w:sz w:val="16"/>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DA38F3">
        <w:trPr>
          <w:trHeight w:val="90"/>
        </w:trPr>
        <w:tc>
          <w:tcPr>
            <w:tcW w:w="8890"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31" w:name="_Toc344399626"/>
            <w:bookmarkStart w:id="32" w:name="_Toc348931353"/>
            <w:bookmarkStart w:id="33" w:name="_Toc517462754"/>
            <w:r w:rsidRPr="00506DFA">
              <w:rPr>
                <w:rFonts w:ascii="Arial" w:hAnsi="Arial" w:cs="Arial"/>
                <w:kern w:val="0"/>
                <w:sz w:val="20"/>
              </w:rPr>
              <w:t>4.- AREA DE ACCIÓN FARMACOLÓGICA.</w:t>
            </w:r>
            <w:bookmarkEnd w:id="31"/>
            <w:bookmarkEnd w:id="32"/>
            <w:bookmarkEnd w:id="33"/>
          </w:p>
        </w:tc>
      </w:tr>
    </w:tbl>
    <w:p w:rsidR="00556DFF" w:rsidRPr="006F6ABB" w:rsidRDefault="00556DFF" w:rsidP="00BC3E8E">
      <w:pPr>
        <w:jc w:val="right"/>
        <w:rPr>
          <w:rFonts w:ascii="Arial" w:hAnsi="Arial" w:cs="Arial"/>
          <w:b/>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34" w:name="_Toc344399627"/>
      <w:bookmarkStart w:id="35" w:name="_Toc348931354"/>
      <w:bookmarkStart w:id="36" w:name="_Toc517462755"/>
      <w:r w:rsidRPr="00E3472F">
        <w:rPr>
          <w:rFonts w:cs="Arial"/>
          <w:sz w:val="20"/>
        </w:rPr>
        <w:t>4.1 Mecanismo de acción</w:t>
      </w:r>
      <w:r w:rsidRPr="00615D63">
        <w:rPr>
          <w:rFonts w:cs="Arial"/>
          <w:sz w:val="20"/>
          <w:vertAlign w:val="superscript"/>
        </w:rPr>
        <w:t>1</w:t>
      </w:r>
      <w:r>
        <w:rPr>
          <w:rFonts w:cs="Arial"/>
          <w:sz w:val="20"/>
          <w:vertAlign w:val="superscript"/>
        </w:rPr>
        <w:t>3</w:t>
      </w:r>
      <w:r w:rsidRPr="00E3472F">
        <w:rPr>
          <w:rFonts w:cs="Arial"/>
          <w:sz w:val="20"/>
        </w:rPr>
        <w:t>.</w:t>
      </w:r>
      <w:bookmarkEnd w:id="34"/>
      <w:bookmarkEnd w:id="35"/>
      <w:bookmarkEnd w:id="36"/>
      <w:r w:rsidRPr="00E3472F">
        <w:rPr>
          <w:rFonts w:cs="Arial"/>
          <w:sz w:val="20"/>
        </w:rPr>
        <w:t xml:space="preserve"> </w:t>
      </w:r>
    </w:p>
    <w:p w:rsidR="00556DFF"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proofErr w:type="spellStart"/>
      <w:r>
        <w:rPr>
          <w:rFonts w:ascii="Arial" w:hAnsi="Arial" w:cs="Arial"/>
          <w:sz w:val="20"/>
          <w:szCs w:val="20"/>
        </w:rPr>
        <w:t>Eculizumab</w:t>
      </w:r>
      <w:proofErr w:type="spellEnd"/>
      <w:r w:rsidRPr="005E10DD">
        <w:rPr>
          <w:rFonts w:ascii="Arial" w:hAnsi="Arial" w:cs="Arial"/>
          <w:sz w:val="20"/>
          <w:szCs w:val="20"/>
        </w:rPr>
        <w:t xml:space="preserve">, es un inhibidor del complemento terminal que se une específicamente a la proteína del complemento C5 con gran afinidad, con lo que inhibe su escisión en C5a y C5b e impide la generación del complejo C5b-9 del complemento terminal. </w:t>
      </w:r>
      <w:proofErr w:type="spellStart"/>
      <w:r>
        <w:rPr>
          <w:rFonts w:ascii="Arial" w:hAnsi="Arial" w:cs="Arial"/>
          <w:sz w:val="20"/>
          <w:szCs w:val="20"/>
        </w:rPr>
        <w:t>Eculizumab</w:t>
      </w:r>
      <w:proofErr w:type="spellEnd"/>
      <w:r w:rsidRPr="005E10DD">
        <w:rPr>
          <w:rFonts w:ascii="Arial" w:hAnsi="Arial" w:cs="Arial"/>
          <w:sz w:val="20"/>
          <w:szCs w:val="20"/>
        </w:rPr>
        <w:t xml:space="preserve"> preserva los primeros componentes de la activación del complemento que son esenciales para la opsonización de los microorganismos y la eliminación de inmunocomplejos</w:t>
      </w:r>
      <w:r>
        <w:rPr>
          <w:rFonts w:ascii="Arial" w:hAnsi="Arial" w:cs="Arial"/>
          <w:sz w:val="20"/>
          <w:szCs w:val="20"/>
        </w:rPr>
        <w:t>.</w:t>
      </w:r>
    </w:p>
    <w:p w:rsidR="00556DFF" w:rsidRPr="006F6ABB" w:rsidRDefault="00556DFF" w:rsidP="00BC3E8E">
      <w:pPr>
        <w:jc w:val="both"/>
        <w:rPr>
          <w:rFonts w:ascii="Arial" w:hAnsi="Arial" w:cs="Arial"/>
          <w:b/>
          <w:bCs/>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37" w:name="_Toc344399628"/>
      <w:bookmarkStart w:id="38" w:name="_Toc348931355"/>
      <w:bookmarkStart w:id="39" w:name="_Toc517462756"/>
      <w:r w:rsidRPr="00E3472F">
        <w:rPr>
          <w:rFonts w:cs="Arial"/>
          <w:sz w:val="20"/>
        </w:rPr>
        <w:t>4.2 Indicaciones clínicas formalmente aprobadas y fecha de aprobación.</w:t>
      </w:r>
      <w:bookmarkEnd w:id="37"/>
      <w:bookmarkEnd w:id="38"/>
      <w:bookmarkEnd w:id="39"/>
    </w:p>
    <w:p w:rsidR="00556DFF" w:rsidRDefault="00556DFF" w:rsidP="00BC3E8E">
      <w:pPr>
        <w:jc w:val="both"/>
        <w:rPr>
          <w:rFonts w:ascii="Arial" w:hAnsi="Arial" w:cs="Arial"/>
          <w:bCs/>
          <w:sz w:val="20"/>
          <w:szCs w:val="20"/>
        </w:rPr>
      </w:pPr>
    </w:p>
    <w:p w:rsidR="00556DFF" w:rsidRDefault="00556DFF" w:rsidP="00BC3E8E">
      <w:pPr>
        <w:jc w:val="both"/>
        <w:rPr>
          <w:rFonts w:ascii="Arial" w:hAnsi="Arial" w:cs="Arial"/>
          <w:bCs/>
          <w:sz w:val="20"/>
          <w:szCs w:val="20"/>
        </w:rPr>
      </w:pPr>
      <w:r w:rsidRPr="005E10DD">
        <w:rPr>
          <w:rFonts w:ascii="Arial" w:hAnsi="Arial" w:cs="Arial"/>
          <w:bCs/>
          <w:sz w:val="20"/>
          <w:szCs w:val="20"/>
        </w:rPr>
        <w:t>Se expresan solamente las indicaciones relacionadas con esta evaluación</w:t>
      </w:r>
      <w:r>
        <w:rPr>
          <w:rFonts w:ascii="Arial" w:hAnsi="Arial" w:cs="Arial"/>
          <w:bCs/>
          <w:sz w:val="20"/>
          <w:szCs w:val="20"/>
        </w:rPr>
        <w:t>:</w:t>
      </w:r>
    </w:p>
    <w:p w:rsidR="00556DFF" w:rsidRPr="005E10DD" w:rsidRDefault="00556DFF" w:rsidP="00BC3E8E">
      <w:pPr>
        <w:jc w:val="both"/>
        <w:rPr>
          <w:rFonts w:ascii="Arial" w:hAnsi="Arial" w:cs="Arial"/>
          <w:bCs/>
          <w:sz w:val="20"/>
          <w:szCs w:val="20"/>
        </w:rPr>
      </w:pPr>
    </w:p>
    <w:p w:rsidR="00556DFF" w:rsidRDefault="00556DFF" w:rsidP="00BC3E8E">
      <w:pPr>
        <w:shd w:val="clear" w:color="auto" w:fill="FFFFFF"/>
        <w:jc w:val="both"/>
        <w:rPr>
          <w:rFonts w:ascii="Arial" w:hAnsi="Arial" w:cs="Arial"/>
          <w:sz w:val="20"/>
          <w:szCs w:val="20"/>
        </w:rPr>
      </w:pPr>
      <w:r>
        <w:rPr>
          <w:rFonts w:ascii="Arial" w:hAnsi="Arial" w:cs="Arial"/>
          <w:sz w:val="20"/>
          <w:szCs w:val="20"/>
        </w:rPr>
        <w:t>AEMPS/EMA:</w:t>
      </w:r>
      <w:r w:rsidRPr="009964AC">
        <w:rPr>
          <w:rFonts w:ascii="Arial" w:hAnsi="Arial" w:cs="Arial"/>
          <w:sz w:val="20"/>
          <w:szCs w:val="20"/>
        </w:rPr>
        <w:t xml:space="preserve"> </w:t>
      </w:r>
      <w:r>
        <w:rPr>
          <w:rFonts w:ascii="Arial" w:hAnsi="Arial" w:cs="Arial"/>
          <w:sz w:val="20"/>
          <w:szCs w:val="20"/>
        </w:rPr>
        <w:t xml:space="preserve">El 14/08/2017 emite la autorización de comercialización para el tratamiento de </w:t>
      </w:r>
      <w:proofErr w:type="spellStart"/>
      <w:r w:rsidRPr="005C4831">
        <w:rPr>
          <w:rFonts w:ascii="Arial" w:hAnsi="Arial" w:cs="Arial"/>
          <w:sz w:val="20"/>
          <w:szCs w:val="20"/>
        </w:rPr>
        <w:t>M</w:t>
      </w:r>
      <w:r>
        <w:rPr>
          <w:rFonts w:ascii="Arial" w:hAnsi="Arial" w:cs="Arial"/>
          <w:sz w:val="20"/>
          <w:szCs w:val="20"/>
        </w:rPr>
        <w:t>Gg</w:t>
      </w:r>
      <w:proofErr w:type="spellEnd"/>
      <w:r>
        <w:rPr>
          <w:rFonts w:ascii="Arial" w:hAnsi="Arial" w:cs="Arial"/>
          <w:sz w:val="20"/>
          <w:szCs w:val="20"/>
        </w:rPr>
        <w:t xml:space="preserve"> </w:t>
      </w:r>
      <w:r w:rsidRPr="005C4831">
        <w:rPr>
          <w:rFonts w:ascii="Arial" w:hAnsi="Arial" w:cs="Arial"/>
          <w:sz w:val="20"/>
          <w:szCs w:val="20"/>
        </w:rPr>
        <w:t>refractaria en pacientes</w:t>
      </w:r>
      <w:r>
        <w:rPr>
          <w:rFonts w:ascii="Arial" w:hAnsi="Arial" w:cs="Arial"/>
          <w:sz w:val="20"/>
          <w:szCs w:val="20"/>
        </w:rPr>
        <w:t xml:space="preserve"> adultos</w:t>
      </w:r>
      <w:r w:rsidRPr="005C4831">
        <w:rPr>
          <w:rFonts w:ascii="Arial" w:hAnsi="Arial" w:cs="Arial"/>
          <w:sz w:val="20"/>
          <w:szCs w:val="20"/>
        </w:rPr>
        <w:t xml:space="preserve"> con anticuerpos positivos frente a </w:t>
      </w:r>
      <w:r>
        <w:rPr>
          <w:rFonts w:ascii="Arial" w:hAnsi="Arial" w:cs="Arial"/>
          <w:sz w:val="20"/>
          <w:szCs w:val="20"/>
        </w:rPr>
        <w:t>AchR</w:t>
      </w:r>
      <w:r>
        <w:rPr>
          <w:rFonts w:ascii="Arial" w:hAnsi="Arial" w:cs="Arial"/>
          <w:sz w:val="20"/>
          <w:szCs w:val="20"/>
          <w:vertAlign w:val="superscript"/>
        </w:rPr>
        <w:t>14</w:t>
      </w:r>
      <w:r>
        <w:rPr>
          <w:rFonts w:ascii="Arial" w:hAnsi="Arial" w:cs="Arial"/>
          <w:sz w:val="20"/>
          <w:szCs w:val="20"/>
        </w:rPr>
        <w:t>.</w:t>
      </w:r>
    </w:p>
    <w:p w:rsidR="00556DFF" w:rsidRDefault="00556DFF" w:rsidP="00BC3E8E">
      <w:pPr>
        <w:shd w:val="clear" w:color="auto" w:fill="FFFFFF"/>
        <w:jc w:val="both"/>
        <w:rPr>
          <w:rFonts w:ascii="Arial" w:hAnsi="Arial" w:cs="Arial"/>
          <w:sz w:val="20"/>
          <w:szCs w:val="20"/>
        </w:rPr>
      </w:pPr>
    </w:p>
    <w:p w:rsidR="00556DFF" w:rsidRPr="009760A5" w:rsidRDefault="00556DFF" w:rsidP="00BC3E8E">
      <w:pPr>
        <w:shd w:val="clear" w:color="auto" w:fill="FFFFFF"/>
        <w:jc w:val="both"/>
        <w:rPr>
          <w:rFonts w:ascii="Arial" w:hAnsi="Arial" w:cs="Arial"/>
          <w:sz w:val="20"/>
          <w:szCs w:val="20"/>
        </w:rPr>
      </w:pPr>
      <w:r>
        <w:rPr>
          <w:rFonts w:ascii="Arial" w:hAnsi="Arial" w:cs="Arial"/>
          <w:sz w:val="20"/>
          <w:szCs w:val="20"/>
        </w:rPr>
        <w:t>F</w:t>
      </w:r>
      <w:r w:rsidRPr="00925216">
        <w:rPr>
          <w:rFonts w:ascii="Arial" w:hAnsi="Arial" w:cs="Arial"/>
          <w:sz w:val="20"/>
          <w:szCs w:val="20"/>
        </w:rPr>
        <w:t>DA: No</w:t>
      </w:r>
      <w:r>
        <w:rPr>
          <w:rFonts w:ascii="Arial" w:hAnsi="Arial" w:cs="Arial"/>
          <w:sz w:val="20"/>
          <w:szCs w:val="20"/>
        </w:rPr>
        <w:t xml:space="preserve"> tiene autorizada la aprobación del uso de </w:t>
      </w:r>
      <w:proofErr w:type="spellStart"/>
      <w:r>
        <w:rPr>
          <w:rFonts w:ascii="Arial" w:hAnsi="Arial" w:cs="Arial"/>
          <w:sz w:val="20"/>
          <w:szCs w:val="20"/>
        </w:rPr>
        <w:t>eculizumab</w:t>
      </w:r>
      <w:proofErr w:type="spellEnd"/>
      <w:r>
        <w:rPr>
          <w:rFonts w:ascii="Arial" w:hAnsi="Arial" w:cs="Arial"/>
          <w:sz w:val="20"/>
          <w:szCs w:val="20"/>
        </w:rPr>
        <w:t xml:space="preserve"> en pacientes con </w:t>
      </w:r>
      <w:proofErr w:type="spellStart"/>
      <w:r>
        <w:rPr>
          <w:rFonts w:ascii="Arial" w:hAnsi="Arial" w:cs="Arial"/>
          <w:sz w:val="20"/>
          <w:szCs w:val="20"/>
        </w:rPr>
        <w:t>MGg</w:t>
      </w:r>
      <w:proofErr w:type="spellEnd"/>
      <w:r>
        <w:rPr>
          <w:rFonts w:ascii="Arial" w:hAnsi="Arial" w:cs="Arial"/>
          <w:sz w:val="20"/>
          <w:szCs w:val="20"/>
        </w:rPr>
        <w:t xml:space="preserve"> refractaria en pacientes con anticuerpos positivos frente a </w:t>
      </w:r>
      <w:proofErr w:type="spellStart"/>
      <w:r>
        <w:rPr>
          <w:rFonts w:ascii="Arial" w:hAnsi="Arial" w:cs="Arial"/>
          <w:sz w:val="20"/>
          <w:szCs w:val="20"/>
        </w:rPr>
        <w:t>AchR</w:t>
      </w:r>
      <w:proofErr w:type="spellEnd"/>
      <w:r>
        <w:rPr>
          <w:rFonts w:ascii="Arial" w:hAnsi="Arial" w:cs="Arial"/>
          <w:sz w:val="20"/>
          <w:szCs w:val="20"/>
        </w:rPr>
        <w:t>.</w:t>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40" w:name="_Toc344399629"/>
      <w:bookmarkStart w:id="41" w:name="_Toc348931356"/>
      <w:bookmarkStart w:id="42" w:name="_Toc517462757"/>
      <w:r w:rsidRPr="00E3472F">
        <w:rPr>
          <w:rFonts w:cs="Arial"/>
          <w:sz w:val="20"/>
        </w:rPr>
        <w:t>4.3 Posología, forma de preparación y administración</w:t>
      </w:r>
      <w:r w:rsidRPr="00610A99">
        <w:rPr>
          <w:rFonts w:cs="Arial"/>
          <w:sz w:val="20"/>
          <w:vertAlign w:val="superscript"/>
        </w:rPr>
        <w:t>1</w:t>
      </w:r>
      <w:r>
        <w:rPr>
          <w:rFonts w:cs="Arial"/>
          <w:sz w:val="20"/>
          <w:vertAlign w:val="superscript"/>
        </w:rPr>
        <w:t>3</w:t>
      </w:r>
      <w:r w:rsidRPr="00E3472F">
        <w:rPr>
          <w:rFonts w:cs="Arial"/>
          <w:sz w:val="20"/>
        </w:rPr>
        <w:t>.</w:t>
      </w:r>
      <w:bookmarkEnd w:id="40"/>
      <w:bookmarkEnd w:id="41"/>
      <w:bookmarkEnd w:id="42"/>
      <w:r w:rsidRPr="00E3472F">
        <w:rPr>
          <w:rFonts w:cs="Arial"/>
          <w:sz w:val="20"/>
        </w:rPr>
        <w:t xml:space="preserve"> </w:t>
      </w:r>
    </w:p>
    <w:p w:rsidR="00556DFF" w:rsidRPr="006F6ABB" w:rsidRDefault="00556DFF" w:rsidP="00BC3E8E">
      <w:pPr>
        <w:jc w:val="both"/>
        <w:rPr>
          <w:rFonts w:ascii="Arial" w:hAnsi="Arial" w:cs="Arial"/>
          <w:b/>
          <w:bCs/>
          <w:sz w:val="20"/>
          <w:szCs w:val="20"/>
        </w:rPr>
      </w:pP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La pauta posológica para pacientes adultos (&gt;18 años de edad) consiste en una fase inicial de 4 semanas seguida de una fase de mantenimiento: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 Fase inicial: durante las primeras 4 semanas se administrarán 900 mg de </w:t>
      </w:r>
      <w:proofErr w:type="spellStart"/>
      <w:r>
        <w:rPr>
          <w:rFonts w:ascii="Arial" w:hAnsi="Arial" w:cs="Arial"/>
          <w:sz w:val="20"/>
          <w:szCs w:val="20"/>
        </w:rPr>
        <w:t>eculizumab</w:t>
      </w:r>
      <w:proofErr w:type="spellEnd"/>
      <w:r w:rsidRPr="00B759D8">
        <w:rPr>
          <w:rFonts w:ascii="Arial" w:hAnsi="Arial" w:cs="Arial"/>
          <w:sz w:val="20"/>
          <w:szCs w:val="20"/>
        </w:rPr>
        <w:t xml:space="preserve"> mediante una perfusión intravenosa semanal de 25-45 minutos de duración. </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 Fase de mantenimiento: en la quinta semana se administrarán 1.200 mg de </w:t>
      </w:r>
      <w:proofErr w:type="spellStart"/>
      <w:r>
        <w:rPr>
          <w:rFonts w:ascii="Arial" w:hAnsi="Arial" w:cs="Arial"/>
          <w:sz w:val="20"/>
          <w:szCs w:val="20"/>
        </w:rPr>
        <w:t>eculizumab</w:t>
      </w:r>
      <w:proofErr w:type="spellEnd"/>
      <w:r w:rsidRPr="00B759D8">
        <w:rPr>
          <w:rFonts w:ascii="Arial" w:hAnsi="Arial" w:cs="Arial"/>
          <w:sz w:val="20"/>
          <w:szCs w:val="20"/>
        </w:rPr>
        <w:t xml:space="preserve"> mediante una perfusión intravenosa de 25-45 minutos, seguida de una administración de 1.200 mg de </w:t>
      </w:r>
      <w:proofErr w:type="spellStart"/>
      <w:r>
        <w:rPr>
          <w:rFonts w:ascii="Arial" w:hAnsi="Arial" w:cs="Arial"/>
          <w:sz w:val="20"/>
          <w:szCs w:val="20"/>
        </w:rPr>
        <w:t>eculizumab</w:t>
      </w:r>
      <w:proofErr w:type="spellEnd"/>
      <w:r w:rsidRPr="00B759D8">
        <w:rPr>
          <w:rFonts w:ascii="Arial" w:hAnsi="Arial" w:cs="Arial"/>
          <w:sz w:val="20"/>
          <w:szCs w:val="20"/>
        </w:rPr>
        <w:t xml:space="preserve"> mediante perfusión intravenosa de 25-45 minutos cada</w:t>
      </w:r>
      <w:r w:rsidRPr="005E10DD">
        <w:rPr>
          <w:rFonts w:ascii="Arial" w:hAnsi="Arial" w:cs="Arial"/>
          <w:sz w:val="20"/>
          <w:szCs w:val="20"/>
        </w:rPr>
        <w:t xml:space="preserve"> 14 ± 2 días.</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 xml:space="preserve">No administrar mediante inyección intravenosa directa en la vía ni mediante inyección en </w:t>
      </w:r>
      <w:proofErr w:type="spellStart"/>
      <w:r w:rsidRPr="005E10DD">
        <w:rPr>
          <w:rFonts w:ascii="Arial" w:hAnsi="Arial" w:cs="Arial"/>
          <w:sz w:val="20"/>
          <w:szCs w:val="20"/>
        </w:rPr>
        <w:t>bolus</w:t>
      </w:r>
      <w:proofErr w:type="spellEnd"/>
      <w:r w:rsidRPr="005E10DD">
        <w:rPr>
          <w:rFonts w:ascii="Arial" w:hAnsi="Arial" w:cs="Arial"/>
          <w:sz w:val="20"/>
          <w:szCs w:val="20"/>
        </w:rPr>
        <w:t xml:space="preserve">. </w:t>
      </w:r>
      <w:proofErr w:type="spellStart"/>
      <w:r>
        <w:rPr>
          <w:rFonts w:ascii="Arial" w:hAnsi="Arial" w:cs="Arial"/>
          <w:sz w:val="20"/>
          <w:szCs w:val="20"/>
        </w:rPr>
        <w:t>Eculizumab</w:t>
      </w:r>
      <w:proofErr w:type="spellEnd"/>
      <w:r w:rsidRPr="005E10DD">
        <w:rPr>
          <w:rFonts w:ascii="Arial" w:hAnsi="Arial" w:cs="Arial"/>
          <w:sz w:val="20"/>
          <w:szCs w:val="20"/>
        </w:rPr>
        <w:t xml:space="preserve"> solo debe administrarse mediante perfusión intravenosa según se describe a continuación.</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La solución diluida de </w:t>
      </w:r>
      <w:proofErr w:type="spellStart"/>
      <w:r>
        <w:rPr>
          <w:rFonts w:ascii="Arial" w:hAnsi="Arial" w:cs="Arial"/>
          <w:sz w:val="20"/>
          <w:szCs w:val="20"/>
        </w:rPr>
        <w:t>eculizumab</w:t>
      </w:r>
      <w:proofErr w:type="spellEnd"/>
      <w:r w:rsidRPr="00B759D8">
        <w:rPr>
          <w:rFonts w:ascii="Arial" w:hAnsi="Arial" w:cs="Arial"/>
          <w:sz w:val="20"/>
          <w:szCs w:val="20"/>
        </w:rPr>
        <w:t xml:space="preserve"> se administrará mediante perfusión intravenosa durante 25-45 minutos en adultos y durante 1-4 horas en pacientes pediátricos mediante goteo por gravedad, una bomba de tipo jeringa o una bomba de perfusión. No es necesario proteger de la luz la solución diluida durante la administración al paciente.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 xml:space="preserve">Los pacientes deben permanecer en observación durante una hora después de la perfusión. Si se produce un acontecimiento adverso durante la administración de </w:t>
      </w:r>
      <w:proofErr w:type="spellStart"/>
      <w:r>
        <w:rPr>
          <w:rFonts w:ascii="Arial" w:hAnsi="Arial" w:cs="Arial"/>
          <w:sz w:val="20"/>
          <w:szCs w:val="20"/>
        </w:rPr>
        <w:t>eculizumab</w:t>
      </w:r>
      <w:proofErr w:type="spellEnd"/>
      <w:r w:rsidRPr="005E10DD">
        <w:rPr>
          <w:rFonts w:ascii="Arial" w:hAnsi="Arial" w:cs="Arial"/>
          <w:sz w:val="20"/>
          <w:szCs w:val="20"/>
        </w:rPr>
        <w:t>, se interrumpirá la perfusión o se reducirá la velocidad, según el criterio del médico. Si se reduce la velocidad, la duración total de la perfusión no podrá superar las dos horas en adultos y adolescentes (de 12 a 18 años de edad) y cuatro horas en niños menores de 12 años de edad.</w:t>
      </w:r>
    </w:p>
    <w:p w:rsidR="00556DFF" w:rsidRPr="006F6ABB" w:rsidRDefault="00556DFF" w:rsidP="00BC3E8E">
      <w:pPr>
        <w:jc w:val="both"/>
        <w:rPr>
          <w:rFonts w:ascii="Arial" w:hAnsi="Arial" w:cs="Arial"/>
          <w:b/>
          <w:bCs/>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43" w:name="_Toc344399630"/>
      <w:bookmarkStart w:id="44" w:name="_Toc348931357"/>
      <w:bookmarkStart w:id="45" w:name="_Toc517462758"/>
      <w:r w:rsidRPr="00E3472F">
        <w:rPr>
          <w:rFonts w:cs="Arial"/>
          <w:sz w:val="20"/>
        </w:rPr>
        <w:t>4.4 Utilización en poblaciones especiales</w:t>
      </w:r>
      <w:r>
        <w:rPr>
          <w:rFonts w:cs="Arial"/>
          <w:sz w:val="20"/>
          <w:vertAlign w:val="superscript"/>
        </w:rPr>
        <w:t>13</w:t>
      </w:r>
      <w:r w:rsidRPr="00E3472F">
        <w:rPr>
          <w:rFonts w:cs="Arial"/>
          <w:sz w:val="20"/>
        </w:rPr>
        <w:t>.</w:t>
      </w:r>
      <w:bookmarkEnd w:id="43"/>
      <w:bookmarkEnd w:id="44"/>
      <w:bookmarkEnd w:id="45"/>
    </w:p>
    <w:p w:rsidR="00556DFF" w:rsidRPr="006F6ABB" w:rsidRDefault="00556DFF" w:rsidP="00BC3E8E">
      <w:pPr>
        <w:jc w:val="both"/>
        <w:rPr>
          <w:rFonts w:ascii="Arial" w:hAnsi="Arial" w:cs="Arial"/>
          <w:b/>
          <w:bCs/>
          <w:sz w:val="20"/>
          <w:szCs w:val="20"/>
        </w:rPr>
      </w:pP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Pediatría: No se ha estudiado en pacientes pediátricos.</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Mayores de 65 años: puede administrarse a pacientes mayores de 65 años. No hay indicios que sugieran la adopción de precauciones especiales en personas ancianas, si bien la experiencia con este fármaco en esta población de pacientes es todavía escasa.</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Insuficiencia renal: No se requiere ajuste en la dosis en pacientes con insuficiencia renal</w:t>
      </w:r>
      <w:r>
        <w:rPr>
          <w:rFonts w:ascii="Arial" w:hAnsi="Arial" w:cs="Arial"/>
          <w:sz w:val="20"/>
          <w:szCs w:val="20"/>
        </w:rPr>
        <w:t>.</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Insuficiencia hepática:</w:t>
      </w:r>
      <w:r>
        <w:rPr>
          <w:rFonts w:ascii="Arial" w:hAnsi="Arial" w:cs="Arial"/>
          <w:sz w:val="20"/>
          <w:szCs w:val="20"/>
        </w:rPr>
        <w:t xml:space="preserve"> No se ha estudiado la insuficiencia hepática en pacientes en tratamiento con </w:t>
      </w:r>
      <w:proofErr w:type="spellStart"/>
      <w:r>
        <w:rPr>
          <w:rFonts w:ascii="Arial" w:hAnsi="Arial" w:cs="Arial"/>
          <w:sz w:val="20"/>
          <w:szCs w:val="20"/>
        </w:rPr>
        <w:t>eculizumab</w:t>
      </w:r>
      <w:proofErr w:type="spellEnd"/>
      <w:r>
        <w:rPr>
          <w:rFonts w:ascii="Arial" w:hAnsi="Arial" w:cs="Arial"/>
          <w:sz w:val="20"/>
          <w:szCs w:val="20"/>
        </w:rPr>
        <w:t>.</w:t>
      </w:r>
    </w:p>
    <w:p w:rsidR="00556DFF" w:rsidRPr="006F6ABB" w:rsidRDefault="00556DFF" w:rsidP="00BC3E8E">
      <w:pPr>
        <w:jc w:val="both"/>
        <w:rPr>
          <w:rFonts w:ascii="Arial" w:hAnsi="Arial" w:cs="Arial"/>
          <w:color w:val="0000FF"/>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46" w:name="_Toc344399631"/>
      <w:bookmarkStart w:id="47" w:name="_Toc348931358"/>
      <w:bookmarkStart w:id="48" w:name="_Toc517462759"/>
      <w:r w:rsidRPr="00E3472F">
        <w:rPr>
          <w:rFonts w:cs="Arial"/>
          <w:sz w:val="20"/>
        </w:rPr>
        <w:t>4.5 Farmacocinética</w:t>
      </w:r>
      <w:r>
        <w:rPr>
          <w:rFonts w:cs="Arial"/>
          <w:sz w:val="20"/>
          <w:vertAlign w:val="superscript"/>
        </w:rPr>
        <w:t>13</w:t>
      </w:r>
      <w:r w:rsidRPr="00E3472F">
        <w:rPr>
          <w:rFonts w:cs="Arial"/>
          <w:sz w:val="20"/>
        </w:rPr>
        <w:t>.</w:t>
      </w:r>
      <w:bookmarkEnd w:id="46"/>
      <w:bookmarkEnd w:id="47"/>
      <w:bookmarkEnd w:id="48"/>
      <w:r w:rsidRPr="00E3472F">
        <w:rPr>
          <w:rFonts w:cs="Arial"/>
          <w:sz w:val="20"/>
        </w:rPr>
        <w:t xml:space="preserve"> </w:t>
      </w:r>
    </w:p>
    <w:p w:rsidR="00556DFF"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Se ha utilizado un modelo </w:t>
      </w:r>
      <w:proofErr w:type="spellStart"/>
      <w:r w:rsidRPr="00B759D8">
        <w:rPr>
          <w:rFonts w:ascii="Arial" w:hAnsi="Arial" w:cs="Arial"/>
          <w:sz w:val="20"/>
          <w:szCs w:val="20"/>
        </w:rPr>
        <w:t>monocompartimental</w:t>
      </w:r>
      <w:proofErr w:type="spellEnd"/>
      <w:r w:rsidRPr="00B759D8">
        <w:rPr>
          <w:rFonts w:ascii="Arial" w:hAnsi="Arial" w:cs="Arial"/>
          <w:sz w:val="20"/>
          <w:szCs w:val="20"/>
        </w:rPr>
        <w:t xml:space="preserve"> para estimar los parámetros farmacocinéticos tras múltiples dosis en 40 pacientes con </w:t>
      </w:r>
      <w:r>
        <w:rPr>
          <w:rFonts w:ascii="Arial" w:hAnsi="Arial" w:cs="Arial"/>
          <w:sz w:val="20"/>
          <w:szCs w:val="20"/>
        </w:rPr>
        <w:t>HPN</w:t>
      </w:r>
      <w:r w:rsidRPr="00B759D8">
        <w:rPr>
          <w:rFonts w:ascii="Arial" w:hAnsi="Arial" w:cs="Arial"/>
          <w:sz w:val="20"/>
          <w:szCs w:val="20"/>
        </w:rPr>
        <w:t xml:space="preserve">. El aclaramiento medio fue de 0,31 ± 0,12 ml/h/kg, el volumen medio de distribución fue de 110,3 ± 17,9 ml/kg, y la semivida media de eliminación fue de 11,3 ± 3,4 días. Basándose en estos valores, el inicio del estado de equilibrio se prevé que se produzca aproximadamente a los 49-56 días. </w:t>
      </w:r>
    </w:p>
    <w:p w:rsidR="00556DFF" w:rsidRPr="00B759D8" w:rsidRDefault="00556DFF" w:rsidP="009964AC">
      <w:pPr>
        <w:pStyle w:val="Default"/>
        <w:jc w:val="both"/>
        <w:rPr>
          <w:rFonts w:ascii="Arial" w:hAnsi="Arial" w:cs="Arial"/>
          <w:color w:val="auto"/>
          <w:sz w:val="20"/>
          <w:szCs w:val="20"/>
        </w:rPr>
      </w:pPr>
      <w:r w:rsidRPr="00B759D8">
        <w:rPr>
          <w:rFonts w:ascii="Arial" w:hAnsi="Arial" w:cs="Arial"/>
          <w:color w:val="auto"/>
          <w:sz w:val="20"/>
          <w:szCs w:val="20"/>
        </w:rPr>
        <w:t xml:space="preserve">Un análisis farmacocinético de la población con un modelo estándar </w:t>
      </w:r>
      <w:proofErr w:type="spellStart"/>
      <w:r w:rsidRPr="00B759D8">
        <w:rPr>
          <w:rFonts w:ascii="Arial" w:hAnsi="Arial" w:cs="Arial"/>
          <w:color w:val="auto"/>
          <w:sz w:val="20"/>
          <w:szCs w:val="20"/>
        </w:rPr>
        <w:t>monocompartimental</w:t>
      </w:r>
      <w:proofErr w:type="spellEnd"/>
      <w:r w:rsidRPr="00B759D8">
        <w:rPr>
          <w:rFonts w:ascii="Arial" w:hAnsi="Arial" w:cs="Arial"/>
          <w:color w:val="auto"/>
          <w:sz w:val="20"/>
          <w:szCs w:val="20"/>
        </w:rPr>
        <w:t xml:space="preserve"> se llevó a cabo en los datos farmacocinéticos de dosis múltiples de 37 pacientes con</w:t>
      </w:r>
      <w:r w:rsidRPr="005E10DD">
        <w:t xml:space="preserve"> </w:t>
      </w:r>
      <w:proofErr w:type="spellStart"/>
      <w:r w:rsidRPr="00B759D8">
        <w:rPr>
          <w:rFonts w:ascii="Arial" w:hAnsi="Arial" w:cs="Arial"/>
          <w:color w:val="auto"/>
          <w:sz w:val="20"/>
          <w:szCs w:val="20"/>
        </w:rPr>
        <w:t>SHUa</w:t>
      </w:r>
      <w:proofErr w:type="spellEnd"/>
      <w:r w:rsidRPr="00B759D8">
        <w:rPr>
          <w:rFonts w:ascii="Arial" w:hAnsi="Arial" w:cs="Arial"/>
          <w:color w:val="auto"/>
          <w:sz w:val="20"/>
          <w:szCs w:val="20"/>
        </w:rPr>
        <w:t xml:space="preserve"> que habían recibido el régimen recomendado de </w:t>
      </w:r>
      <w:proofErr w:type="spellStart"/>
      <w:r>
        <w:rPr>
          <w:rFonts w:ascii="Arial" w:hAnsi="Arial" w:cs="Arial"/>
          <w:color w:val="auto"/>
          <w:sz w:val="20"/>
          <w:szCs w:val="20"/>
        </w:rPr>
        <w:t>eculizumab</w:t>
      </w:r>
      <w:proofErr w:type="spellEnd"/>
      <w:r w:rsidRPr="00B759D8">
        <w:rPr>
          <w:rFonts w:ascii="Arial" w:hAnsi="Arial" w:cs="Arial"/>
          <w:color w:val="auto"/>
          <w:sz w:val="20"/>
          <w:szCs w:val="20"/>
        </w:rPr>
        <w:t xml:space="preserve"> en los ensayos C08-002A / B y C08-003A / B. En este modelo, el </w:t>
      </w:r>
      <w:proofErr w:type="spellStart"/>
      <w:r w:rsidRPr="00B759D8">
        <w:rPr>
          <w:rFonts w:ascii="Arial" w:hAnsi="Arial" w:cs="Arial"/>
          <w:color w:val="auto"/>
          <w:sz w:val="20"/>
          <w:szCs w:val="20"/>
        </w:rPr>
        <w:t>aclaramiento</w:t>
      </w:r>
      <w:proofErr w:type="spellEnd"/>
      <w:r w:rsidRPr="00B759D8">
        <w:rPr>
          <w:rFonts w:ascii="Arial" w:hAnsi="Arial" w:cs="Arial"/>
          <w:color w:val="auto"/>
          <w:sz w:val="20"/>
          <w:szCs w:val="20"/>
        </w:rPr>
        <w:t xml:space="preserve"> de </w:t>
      </w:r>
      <w:proofErr w:type="spellStart"/>
      <w:r>
        <w:rPr>
          <w:rFonts w:ascii="Arial" w:hAnsi="Arial" w:cs="Arial"/>
          <w:color w:val="auto"/>
          <w:sz w:val="20"/>
          <w:szCs w:val="20"/>
        </w:rPr>
        <w:t>eculizumab</w:t>
      </w:r>
      <w:proofErr w:type="spellEnd"/>
      <w:r w:rsidRPr="00B759D8">
        <w:rPr>
          <w:rFonts w:ascii="Arial" w:hAnsi="Arial" w:cs="Arial"/>
          <w:color w:val="auto"/>
          <w:sz w:val="20"/>
          <w:szCs w:val="20"/>
        </w:rPr>
        <w:t xml:space="preserve"> para un paciente típico </w:t>
      </w:r>
      <w:proofErr w:type="spellStart"/>
      <w:r w:rsidRPr="005E10DD">
        <w:rPr>
          <w:rFonts w:ascii="Arial" w:hAnsi="Arial" w:cs="Arial"/>
          <w:color w:val="auto"/>
          <w:sz w:val="20"/>
          <w:szCs w:val="20"/>
        </w:rPr>
        <w:t>SHUa</w:t>
      </w:r>
      <w:proofErr w:type="spellEnd"/>
      <w:r w:rsidRPr="00B759D8">
        <w:rPr>
          <w:rFonts w:ascii="Arial" w:hAnsi="Arial" w:cs="Arial"/>
          <w:color w:val="auto"/>
          <w:sz w:val="20"/>
          <w:szCs w:val="20"/>
        </w:rPr>
        <w:t xml:space="preserve"> de 70 kg de peso fue 0,0139 l/h y el volumen de distribución fue de 5,6 l. La vida media de eliminación fue de 297 h (aproximadamente 12,4 días).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El segu</w:t>
      </w:r>
      <w:r>
        <w:rPr>
          <w:rFonts w:ascii="Arial" w:hAnsi="Arial" w:cs="Arial"/>
          <w:sz w:val="20"/>
          <w:szCs w:val="20"/>
        </w:rPr>
        <w:t xml:space="preserve">ndo modelo farmacocinético </w:t>
      </w:r>
      <w:r w:rsidRPr="00B759D8">
        <w:rPr>
          <w:rFonts w:ascii="Arial" w:hAnsi="Arial" w:cs="Arial"/>
          <w:sz w:val="20"/>
          <w:szCs w:val="20"/>
        </w:rPr>
        <w:t xml:space="preserve">de población se aplicó a los datos PK de dosis múltiple a partir de 22 pacientes pediátricos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que recibían la pauta recomendada de </w:t>
      </w:r>
      <w:proofErr w:type="spellStart"/>
      <w:r>
        <w:rPr>
          <w:rFonts w:ascii="Arial" w:hAnsi="Arial" w:cs="Arial"/>
          <w:sz w:val="20"/>
          <w:szCs w:val="20"/>
        </w:rPr>
        <w:t>eculizumab</w:t>
      </w:r>
      <w:proofErr w:type="spellEnd"/>
      <w:r w:rsidRPr="00B759D8">
        <w:rPr>
          <w:rFonts w:ascii="Arial" w:hAnsi="Arial" w:cs="Arial"/>
          <w:sz w:val="20"/>
          <w:szCs w:val="20"/>
        </w:rPr>
        <w:t xml:space="preserve"> en el estudio </w:t>
      </w:r>
      <w:proofErr w:type="spellStart"/>
      <w:r w:rsidRPr="00B759D8">
        <w:rPr>
          <w:rFonts w:ascii="Arial" w:hAnsi="Arial" w:cs="Arial"/>
          <w:sz w:val="20"/>
          <w:szCs w:val="20"/>
        </w:rPr>
        <w:t>SHUa</w:t>
      </w:r>
      <w:proofErr w:type="spellEnd"/>
      <w:r w:rsidRPr="00B759D8">
        <w:rPr>
          <w:rFonts w:ascii="Arial" w:hAnsi="Arial" w:cs="Arial"/>
          <w:sz w:val="20"/>
          <w:szCs w:val="20"/>
        </w:rPr>
        <w:t xml:space="preserve"> C10-003. El aclaramiento y el volumen de distribución de </w:t>
      </w:r>
      <w:proofErr w:type="spellStart"/>
      <w:r>
        <w:rPr>
          <w:rFonts w:ascii="Arial" w:hAnsi="Arial" w:cs="Arial"/>
          <w:sz w:val="20"/>
          <w:szCs w:val="20"/>
        </w:rPr>
        <w:t>eculizumab</w:t>
      </w:r>
      <w:proofErr w:type="spellEnd"/>
      <w:r w:rsidRPr="00B759D8">
        <w:rPr>
          <w:rFonts w:ascii="Arial" w:hAnsi="Arial" w:cs="Arial"/>
          <w:sz w:val="20"/>
          <w:szCs w:val="20"/>
        </w:rPr>
        <w:t xml:space="preserve"> dependen del peso, que constituye la base en los pacientes pediátricos del régimen de dosificación basado en el peso. Los valores de </w:t>
      </w:r>
      <w:proofErr w:type="spellStart"/>
      <w:r w:rsidRPr="00B759D8">
        <w:rPr>
          <w:rFonts w:ascii="Arial" w:hAnsi="Arial" w:cs="Arial"/>
          <w:sz w:val="20"/>
          <w:szCs w:val="20"/>
        </w:rPr>
        <w:t>aclaramiento</w:t>
      </w:r>
      <w:proofErr w:type="spellEnd"/>
      <w:r w:rsidRPr="00B759D8">
        <w:rPr>
          <w:rFonts w:ascii="Arial" w:hAnsi="Arial" w:cs="Arial"/>
          <w:sz w:val="20"/>
          <w:szCs w:val="20"/>
        </w:rPr>
        <w:t xml:space="preserve"> de </w:t>
      </w:r>
      <w:proofErr w:type="spellStart"/>
      <w:r>
        <w:rPr>
          <w:rFonts w:ascii="Arial" w:hAnsi="Arial" w:cs="Arial"/>
          <w:sz w:val="20"/>
          <w:szCs w:val="20"/>
        </w:rPr>
        <w:t>eculizumab</w:t>
      </w:r>
      <w:proofErr w:type="spellEnd"/>
      <w:r w:rsidRPr="00B759D8">
        <w:rPr>
          <w:rFonts w:ascii="Arial" w:hAnsi="Arial" w:cs="Arial"/>
          <w:sz w:val="20"/>
          <w:szCs w:val="20"/>
        </w:rPr>
        <w:t xml:space="preserve"> en pacientes pediátricos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fueron 10,4; 5,3 y 2,2 ml/h con peso corporal de 70, 30 y 10 kg respectivamente; y los volúmenes de distribución correspondientes fueron 5,23; 2,76 y 1,21 l respectivamente. La correspondiente vida media de eliminación permaneció casi sin variar con un rango de 349 a 378 h (aproximadamente 14,5 a 15,98 días).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El aclaramiento y la vida media de </w:t>
      </w:r>
      <w:proofErr w:type="spellStart"/>
      <w:r w:rsidRPr="00B759D8">
        <w:rPr>
          <w:rFonts w:ascii="Arial" w:hAnsi="Arial" w:cs="Arial"/>
          <w:sz w:val="20"/>
          <w:szCs w:val="20"/>
        </w:rPr>
        <w:t>eculizumab</w:t>
      </w:r>
      <w:proofErr w:type="spellEnd"/>
      <w:r w:rsidRPr="00B759D8">
        <w:rPr>
          <w:rFonts w:ascii="Arial" w:hAnsi="Arial" w:cs="Arial"/>
          <w:sz w:val="20"/>
          <w:szCs w:val="20"/>
        </w:rPr>
        <w:t xml:space="preserve"> también fueron evaluados durante las intervenciones de intercambio plasmático. El intercambio de plasma dio lugar a una disminución de aproximadamente el 50 % de las concentraciones de </w:t>
      </w:r>
      <w:proofErr w:type="spellStart"/>
      <w:r w:rsidRPr="00B759D8">
        <w:rPr>
          <w:rFonts w:ascii="Arial" w:hAnsi="Arial" w:cs="Arial"/>
          <w:sz w:val="20"/>
          <w:szCs w:val="20"/>
        </w:rPr>
        <w:t>eculizumab</w:t>
      </w:r>
      <w:proofErr w:type="spellEnd"/>
      <w:r w:rsidRPr="00B759D8">
        <w:rPr>
          <w:rFonts w:ascii="Arial" w:hAnsi="Arial" w:cs="Arial"/>
          <w:sz w:val="20"/>
          <w:szCs w:val="20"/>
        </w:rPr>
        <w:t xml:space="preserve"> después de una intervención de 1 hora y la vida media de eliminación de </w:t>
      </w:r>
      <w:proofErr w:type="spellStart"/>
      <w:r w:rsidRPr="00B759D8">
        <w:rPr>
          <w:rFonts w:ascii="Arial" w:hAnsi="Arial" w:cs="Arial"/>
          <w:sz w:val="20"/>
          <w:szCs w:val="20"/>
        </w:rPr>
        <w:t>eculizumab</w:t>
      </w:r>
      <w:proofErr w:type="spellEnd"/>
      <w:r w:rsidRPr="00B759D8">
        <w:rPr>
          <w:rFonts w:ascii="Arial" w:hAnsi="Arial" w:cs="Arial"/>
          <w:sz w:val="20"/>
          <w:szCs w:val="20"/>
        </w:rPr>
        <w:t xml:space="preserve"> se redujo a 1,3 horas. Se recomienda una dosis adicional de </w:t>
      </w:r>
      <w:proofErr w:type="spellStart"/>
      <w:r>
        <w:rPr>
          <w:rFonts w:ascii="Arial" w:hAnsi="Arial" w:cs="Arial"/>
          <w:sz w:val="20"/>
          <w:szCs w:val="20"/>
        </w:rPr>
        <w:t>eculizumab</w:t>
      </w:r>
      <w:proofErr w:type="spellEnd"/>
      <w:r w:rsidRPr="00B759D8">
        <w:rPr>
          <w:rFonts w:ascii="Arial" w:hAnsi="Arial" w:cs="Arial"/>
          <w:sz w:val="20"/>
          <w:szCs w:val="20"/>
        </w:rPr>
        <w:t xml:space="preserve"> cuando se administra a pacientes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que reciben una infusión de pla</w:t>
      </w:r>
      <w:r w:rsidRPr="005E10DD">
        <w:rPr>
          <w:rFonts w:ascii="Arial" w:hAnsi="Arial" w:cs="Arial"/>
          <w:sz w:val="20"/>
          <w:szCs w:val="20"/>
        </w:rPr>
        <w:t>sma o de intercambio plasmático.</w:t>
      </w:r>
      <w:r w:rsidRPr="00B759D8">
        <w:rPr>
          <w:rFonts w:ascii="Arial" w:hAnsi="Arial" w:cs="Arial"/>
          <w:sz w:val="20"/>
          <w:szCs w:val="20"/>
        </w:rPr>
        <w:t xml:space="preserve">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Todos los pacientes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que fueron tratados con </w:t>
      </w:r>
      <w:proofErr w:type="spellStart"/>
      <w:r>
        <w:rPr>
          <w:rFonts w:ascii="Arial" w:hAnsi="Arial" w:cs="Arial"/>
          <w:sz w:val="20"/>
          <w:szCs w:val="20"/>
        </w:rPr>
        <w:t>eculizumab</w:t>
      </w:r>
      <w:proofErr w:type="spellEnd"/>
      <w:r w:rsidRPr="00B759D8">
        <w:rPr>
          <w:rFonts w:ascii="Arial" w:hAnsi="Arial" w:cs="Arial"/>
          <w:sz w:val="20"/>
          <w:szCs w:val="20"/>
        </w:rPr>
        <w:t xml:space="preserve"> según la posología recomendada presentaron una reducción rápida y sostenida de la actividad del complemento terminal. En los </w:t>
      </w:r>
      <w:r w:rsidRPr="005E10DD">
        <w:rPr>
          <w:rFonts w:ascii="Arial" w:hAnsi="Arial" w:cs="Arial"/>
          <w:sz w:val="20"/>
          <w:szCs w:val="20"/>
        </w:rPr>
        <w:t>p</w:t>
      </w:r>
      <w:r w:rsidRPr="00B759D8">
        <w:rPr>
          <w:rFonts w:ascii="Arial" w:hAnsi="Arial" w:cs="Arial"/>
          <w:sz w:val="20"/>
          <w:szCs w:val="20"/>
        </w:rPr>
        <w:t xml:space="preserve">acientes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la actividad </w:t>
      </w:r>
      <w:proofErr w:type="spellStart"/>
      <w:r w:rsidRPr="00B759D8">
        <w:rPr>
          <w:rFonts w:ascii="Arial" w:hAnsi="Arial" w:cs="Arial"/>
          <w:sz w:val="20"/>
          <w:szCs w:val="20"/>
        </w:rPr>
        <w:t>farmacodinámica</w:t>
      </w:r>
      <w:proofErr w:type="spellEnd"/>
      <w:r w:rsidRPr="00B759D8">
        <w:rPr>
          <w:rFonts w:ascii="Arial" w:hAnsi="Arial" w:cs="Arial"/>
          <w:sz w:val="20"/>
          <w:szCs w:val="20"/>
        </w:rPr>
        <w:t xml:space="preserve"> se correlaciona directamente con el mantenimiento de niveles de las concentraciones séricas de </w:t>
      </w:r>
      <w:proofErr w:type="spellStart"/>
      <w:r w:rsidRPr="00B759D8">
        <w:rPr>
          <w:rFonts w:ascii="Arial" w:hAnsi="Arial" w:cs="Arial"/>
          <w:sz w:val="20"/>
          <w:szCs w:val="20"/>
        </w:rPr>
        <w:t>eculizumab</w:t>
      </w:r>
      <w:proofErr w:type="spellEnd"/>
      <w:r w:rsidRPr="00B759D8">
        <w:rPr>
          <w:rFonts w:ascii="Arial" w:hAnsi="Arial" w:cs="Arial"/>
          <w:sz w:val="20"/>
          <w:szCs w:val="20"/>
        </w:rPr>
        <w:t xml:space="preserve"> de alrededor de 50-100 microgramos/ml que consigue el bloqueo prácticamente completo de la actividad del complemento terminal en todos los pacientes con </w:t>
      </w:r>
      <w:proofErr w:type="spellStart"/>
      <w:r w:rsidRPr="00B759D8">
        <w:rPr>
          <w:rFonts w:ascii="Arial" w:hAnsi="Arial" w:cs="Arial"/>
          <w:sz w:val="20"/>
          <w:szCs w:val="20"/>
        </w:rPr>
        <w:t>SHUa</w:t>
      </w:r>
      <w:proofErr w:type="spellEnd"/>
      <w:r w:rsidRPr="00B759D8">
        <w:rPr>
          <w:rFonts w:ascii="Arial" w:hAnsi="Arial" w:cs="Arial"/>
          <w:sz w:val="20"/>
          <w:szCs w:val="20"/>
        </w:rPr>
        <w:t xml:space="preserve">. </w:t>
      </w:r>
    </w:p>
    <w:p w:rsidR="00556DFF" w:rsidRPr="00B759D8"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B759D8">
        <w:rPr>
          <w:rFonts w:ascii="Arial" w:hAnsi="Arial" w:cs="Arial"/>
          <w:sz w:val="20"/>
          <w:szCs w:val="20"/>
        </w:rPr>
        <w:t xml:space="preserve">Los parámetros farmacocinéticos observados en la población con </w:t>
      </w:r>
      <w:proofErr w:type="spellStart"/>
      <w:r w:rsidRPr="00B759D8">
        <w:rPr>
          <w:rFonts w:ascii="Arial" w:hAnsi="Arial" w:cs="Arial"/>
          <w:sz w:val="20"/>
          <w:szCs w:val="20"/>
        </w:rPr>
        <w:t>MGg</w:t>
      </w:r>
      <w:proofErr w:type="spellEnd"/>
      <w:r w:rsidRPr="00B759D8">
        <w:rPr>
          <w:rFonts w:ascii="Arial" w:hAnsi="Arial" w:cs="Arial"/>
          <w:sz w:val="20"/>
          <w:szCs w:val="20"/>
        </w:rPr>
        <w:t xml:space="preserve"> refractaria son coherentes con los observados en las poblaciones con HPN y </w:t>
      </w:r>
      <w:proofErr w:type="spellStart"/>
      <w:r w:rsidRPr="00B759D8">
        <w:rPr>
          <w:rFonts w:ascii="Arial" w:hAnsi="Arial" w:cs="Arial"/>
          <w:sz w:val="20"/>
          <w:szCs w:val="20"/>
        </w:rPr>
        <w:t>SHUa</w:t>
      </w:r>
      <w:proofErr w:type="spellEnd"/>
      <w:r w:rsidRPr="00B759D8">
        <w:rPr>
          <w:rFonts w:ascii="Arial" w:hAnsi="Arial" w:cs="Arial"/>
          <w:sz w:val="20"/>
          <w:szCs w:val="20"/>
        </w:rPr>
        <w:t xml:space="preserve">. </w:t>
      </w:r>
    </w:p>
    <w:p w:rsidR="00556DFF" w:rsidRPr="005E10DD" w:rsidRDefault="00556DFF" w:rsidP="005E10DD">
      <w:pPr>
        <w:pStyle w:val="NormalWeb"/>
        <w:shd w:val="clear" w:color="auto" w:fill="FFFFFF"/>
        <w:spacing w:before="0" w:beforeAutospacing="0" w:after="131" w:afterAutospacing="0" w:line="249" w:lineRule="atLeast"/>
        <w:jc w:val="both"/>
        <w:rPr>
          <w:rFonts w:ascii="Arial" w:hAnsi="Arial" w:cs="Arial"/>
          <w:sz w:val="20"/>
          <w:szCs w:val="20"/>
        </w:rPr>
      </w:pPr>
      <w:r w:rsidRPr="005E10DD">
        <w:rPr>
          <w:rFonts w:ascii="Arial" w:hAnsi="Arial" w:cs="Arial"/>
          <w:sz w:val="20"/>
          <w:szCs w:val="20"/>
        </w:rPr>
        <w:t xml:space="preserve">La actividad farmacodinámica medida utilizando concentraciones de C5 libre de &lt;0,5 </w:t>
      </w:r>
      <w:proofErr w:type="spellStart"/>
      <w:r w:rsidRPr="005E10DD">
        <w:rPr>
          <w:rFonts w:ascii="Arial" w:hAnsi="Arial" w:cs="Arial"/>
          <w:sz w:val="20"/>
          <w:szCs w:val="20"/>
        </w:rPr>
        <w:t>ug</w:t>
      </w:r>
      <w:proofErr w:type="spellEnd"/>
      <w:r w:rsidRPr="005E10DD">
        <w:rPr>
          <w:rFonts w:ascii="Arial" w:hAnsi="Arial" w:cs="Arial"/>
          <w:sz w:val="20"/>
          <w:szCs w:val="20"/>
        </w:rPr>
        <w:t xml:space="preserve">/ml se correlaciona con un bloqueo prácticamente completo de la actividad del complemento terminal en los pacientes con HPN, </w:t>
      </w:r>
      <w:proofErr w:type="spellStart"/>
      <w:r w:rsidRPr="005E10DD">
        <w:rPr>
          <w:rFonts w:ascii="Arial" w:hAnsi="Arial" w:cs="Arial"/>
          <w:sz w:val="20"/>
          <w:szCs w:val="20"/>
        </w:rPr>
        <w:t>SHUa</w:t>
      </w:r>
      <w:proofErr w:type="spellEnd"/>
      <w:r w:rsidRPr="005E10DD">
        <w:rPr>
          <w:rFonts w:ascii="Arial" w:hAnsi="Arial" w:cs="Arial"/>
          <w:sz w:val="20"/>
          <w:szCs w:val="20"/>
        </w:rPr>
        <w:t xml:space="preserve"> y </w:t>
      </w:r>
      <w:proofErr w:type="spellStart"/>
      <w:r w:rsidRPr="005E10DD">
        <w:rPr>
          <w:rFonts w:ascii="Arial" w:hAnsi="Arial" w:cs="Arial"/>
          <w:sz w:val="20"/>
          <w:szCs w:val="20"/>
        </w:rPr>
        <w:t>MGg</w:t>
      </w:r>
      <w:proofErr w:type="spellEnd"/>
      <w:r w:rsidRPr="005E10DD">
        <w:rPr>
          <w:rFonts w:ascii="Arial" w:hAnsi="Arial" w:cs="Arial"/>
          <w:sz w:val="20"/>
          <w:szCs w:val="20"/>
        </w:rPr>
        <w:t xml:space="preserve"> refractaria</w:t>
      </w:r>
      <w:r>
        <w:rPr>
          <w:rFonts w:ascii="Arial" w:hAnsi="Arial" w:cs="Arial"/>
          <w:sz w:val="20"/>
          <w:szCs w:val="20"/>
          <w:vertAlign w:val="superscript"/>
        </w:rPr>
        <w:t>7</w:t>
      </w:r>
      <w:r w:rsidRPr="005E10DD">
        <w:rPr>
          <w:rFonts w:ascii="Arial" w:hAnsi="Arial" w:cs="Arial"/>
          <w:sz w:val="20"/>
          <w:szCs w:val="20"/>
        </w:rPr>
        <w:t>.</w:t>
      </w:r>
    </w:p>
    <w:p w:rsidR="00556DFF" w:rsidRDefault="00556DFF" w:rsidP="00BC3E8E">
      <w:pPr>
        <w:jc w:val="right"/>
        <w:rPr>
          <w:rFonts w:ascii="Arial" w:hAnsi="Arial" w:cs="Arial"/>
          <w:b/>
          <w:sz w:val="20"/>
          <w:szCs w:val="20"/>
        </w:rPr>
      </w:pPr>
    </w:p>
    <w:p w:rsidR="00556DFF" w:rsidRDefault="00556DFF" w:rsidP="00BC3E8E">
      <w:pPr>
        <w:jc w:val="right"/>
        <w:rPr>
          <w:rFonts w:ascii="Arial" w:hAnsi="Arial" w:cs="Arial"/>
          <w:b/>
          <w:sz w:val="20"/>
          <w:szCs w:val="20"/>
        </w:rPr>
      </w:pPr>
    </w:p>
    <w:p w:rsidR="00556DFF" w:rsidRPr="006F6ABB" w:rsidRDefault="00556DFF" w:rsidP="00BC3E8E">
      <w:pPr>
        <w:jc w:val="right"/>
        <w:rPr>
          <w:rFonts w:ascii="Arial" w:hAnsi="Arial" w:cs="Arial"/>
          <w:b/>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DA38F3">
        <w:tc>
          <w:tcPr>
            <w:tcW w:w="8890"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49" w:name="_Toc344399632"/>
            <w:bookmarkStart w:id="50" w:name="_Toc348931359"/>
            <w:bookmarkStart w:id="51" w:name="_Toc517462760"/>
            <w:r w:rsidRPr="00506DFA">
              <w:rPr>
                <w:rFonts w:ascii="Arial" w:hAnsi="Arial" w:cs="Arial"/>
                <w:kern w:val="0"/>
                <w:sz w:val="20"/>
              </w:rPr>
              <w:t>5.- EVALUACIÓN DE LA EFICACIA.</w:t>
            </w:r>
            <w:bookmarkEnd w:id="49"/>
            <w:bookmarkEnd w:id="50"/>
            <w:bookmarkEnd w:id="51"/>
          </w:p>
        </w:tc>
      </w:tr>
    </w:tbl>
    <w:p w:rsidR="00556DFF" w:rsidRPr="006F6ABB" w:rsidRDefault="00556DFF" w:rsidP="00BC3E8E">
      <w:pPr>
        <w:rPr>
          <w:rFonts w:ascii="Arial" w:hAnsi="Arial" w:cs="Arial"/>
          <w:sz w:val="20"/>
          <w:szCs w:val="20"/>
        </w:rPr>
      </w:pPr>
    </w:p>
    <w:p w:rsidR="00556DFF" w:rsidRPr="006F6ABB"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2" w:name="_Toc344399633"/>
      <w:bookmarkStart w:id="53" w:name="_Toc348931360"/>
      <w:bookmarkStart w:id="54" w:name="_Toc517462761"/>
      <w:r w:rsidRPr="00E3472F">
        <w:rPr>
          <w:rFonts w:cs="Arial"/>
          <w:sz w:val="20"/>
        </w:rPr>
        <w:t>5.1.a Ensayos clínicos disponibles para la indicación clínica evaluada</w:t>
      </w:r>
      <w:bookmarkEnd w:id="52"/>
      <w:bookmarkEnd w:id="53"/>
      <w:bookmarkEnd w:id="54"/>
    </w:p>
    <w:p w:rsidR="00556DFF" w:rsidRPr="006F6ABB" w:rsidRDefault="00556DFF" w:rsidP="00BC3E8E">
      <w:pPr>
        <w:jc w:val="both"/>
        <w:rPr>
          <w:rFonts w:ascii="Arial" w:hAnsi="Arial" w:cs="Arial"/>
          <w:color w:val="000080"/>
          <w:sz w:val="20"/>
          <w:szCs w:val="20"/>
        </w:rPr>
      </w:pPr>
    </w:p>
    <w:p w:rsidR="00556DFF" w:rsidRDefault="00556DFF" w:rsidP="00BC3E8E">
      <w:pPr>
        <w:jc w:val="both"/>
        <w:rPr>
          <w:rFonts w:ascii="Arial" w:hAnsi="Arial" w:cs="Arial"/>
          <w:sz w:val="20"/>
          <w:szCs w:val="20"/>
        </w:rPr>
      </w:pPr>
      <w:r>
        <w:rPr>
          <w:rFonts w:ascii="Arial" w:hAnsi="Arial" w:cs="Arial"/>
          <w:sz w:val="20"/>
          <w:szCs w:val="20"/>
        </w:rPr>
        <w:t>Se dispone del informe EPAR</w:t>
      </w:r>
      <w:r w:rsidRPr="00610A99">
        <w:rPr>
          <w:rFonts w:ascii="Arial" w:hAnsi="Arial" w:cs="Arial"/>
          <w:sz w:val="20"/>
          <w:szCs w:val="20"/>
          <w:vertAlign w:val="superscript"/>
        </w:rPr>
        <w:t>14</w:t>
      </w:r>
      <w:r>
        <w:rPr>
          <w:rFonts w:ascii="Arial" w:hAnsi="Arial" w:cs="Arial"/>
          <w:sz w:val="20"/>
          <w:szCs w:val="20"/>
        </w:rPr>
        <w:t xml:space="preserve"> de la EMA (2017) en el que se describe tres ensayos clínicos, uno en fase III finalizado, otro fase III con resultados preliminares y otro en fase II. A fecha de 12 de Septiembre se realizó una búsqueda bibliográfica en </w:t>
      </w:r>
      <w:proofErr w:type="spellStart"/>
      <w:r>
        <w:rPr>
          <w:rFonts w:ascii="Arial" w:hAnsi="Arial" w:cs="Arial"/>
          <w:sz w:val="20"/>
          <w:szCs w:val="20"/>
        </w:rPr>
        <w:t>Pubmed</w:t>
      </w:r>
      <w:proofErr w:type="spellEnd"/>
      <w:r>
        <w:rPr>
          <w:rFonts w:ascii="Arial" w:hAnsi="Arial" w:cs="Arial"/>
          <w:sz w:val="20"/>
          <w:szCs w:val="20"/>
        </w:rPr>
        <w:t xml:space="preserve"> con los términos “</w:t>
      </w:r>
      <w:proofErr w:type="spellStart"/>
      <w:r>
        <w:rPr>
          <w:rFonts w:ascii="Arial" w:hAnsi="Arial" w:cs="Arial"/>
          <w:sz w:val="20"/>
          <w:szCs w:val="20"/>
        </w:rPr>
        <w:t>Myasthenia</w:t>
      </w:r>
      <w:proofErr w:type="spellEnd"/>
      <w:r>
        <w:rPr>
          <w:rFonts w:ascii="Arial" w:hAnsi="Arial" w:cs="Arial"/>
          <w:sz w:val="20"/>
          <w:szCs w:val="20"/>
        </w:rPr>
        <w:t xml:space="preserve"> </w:t>
      </w:r>
      <w:proofErr w:type="spellStart"/>
      <w:r>
        <w:rPr>
          <w:rFonts w:ascii="Arial" w:hAnsi="Arial" w:cs="Arial"/>
          <w:sz w:val="20"/>
          <w:szCs w:val="20"/>
        </w:rPr>
        <w:t>Gravis</w:t>
      </w:r>
      <w:proofErr w:type="spellEnd"/>
      <w:r>
        <w:rPr>
          <w:rFonts w:ascii="Arial" w:hAnsi="Arial" w:cs="Arial"/>
          <w:sz w:val="20"/>
          <w:szCs w:val="20"/>
        </w:rPr>
        <w:t>” y “</w:t>
      </w:r>
      <w:proofErr w:type="spellStart"/>
      <w:r>
        <w:rPr>
          <w:rFonts w:ascii="Arial" w:hAnsi="Arial" w:cs="Arial"/>
          <w:sz w:val="20"/>
          <w:szCs w:val="20"/>
        </w:rPr>
        <w:t>eculizumab</w:t>
      </w:r>
      <w:proofErr w:type="spellEnd"/>
      <w:r>
        <w:rPr>
          <w:rFonts w:ascii="Arial" w:hAnsi="Arial" w:cs="Arial"/>
          <w:sz w:val="20"/>
          <w:szCs w:val="20"/>
        </w:rPr>
        <w:t>”, encontrándose un ensayo en fase II.</w:t>
      </w:r>
    </w:p>
    <w:p w:rsidR="00556DFF" w:rsidRDefault="00556DFF" w:rsidP="00BC3E8E">
      <w:pPr>
        <w:jc w:val="both"/>
        <w:rPr>
          <w:rFonts w:ascii="Arial" w:hAnsi="Arial" w:cs="Arial"/>
          <w:sz w:val="20"/>
          <w:szCs w:val="20"/>
        </w:rPr>
      </w:pPr>
    </w:p>
    <w:p w:rsidR="00556DFF" w:rsidRDefault="00556DFF" w:rsidP="00BC3E8E">
      <w:pPr>
        <w:jc w:val="both"/>
        <w:rPr>
          <w:rFonts w:ascii="Arial" w:hAnsi="Arial" w:cs="Arial"/>
          <w:sz w:val="20"/>
          <w:szCs w:val="20"/>
        </w:rPr>
      </w:pPr>
      <w:r>
        <w:rPr>
          <w:rFonts w:ascii="Arial" w:hAnsi="Arial" w:cs="Arial"/>
          <w:sz w:val="20"/>
          <w:szCs w:val="20"/>
        </w:rPr>
        <w:t>En el presente informe, se desarrolla el único EC en fase III con resultados definidos.</w:t>
      </w:r>
    </w:p>
    <w:p w:rsidR="00556DFF" w:rsidRPr="006F6ABB" w:rsidRDefault="00556DFF" w:rsidP="00BC3E8E">
      <w:pPr>
        <w:rPr>
          <w:rFonts w:ascii="Arial" w:hAnsi="Arial" w:cs="Arial"/>
          <w:color w:val="FF0000"/>
          <w:sz w:val="20"/>
          <w:szCs w:val="20"/>
        </w:rPr>
      </w:pPr>
    </w:p>
    <w:p w:rsidR="00556DFF" w:rsidRPr="006F6ABB"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5" w:name="_Toc344399634"/>
      <w:bookmarkStart w:id="56" w:name="_Toc348931361"/>
      <w:bookmarkStart w:id="57" w:name="_Toc517462762"/>
      <w:r w:rsidRPr="00E3472F">
        <w:rPr>
          <w:rFonts w:cs="Arial"/>
          <w:sz w:val="20"/>
        </w:rPr>
        <w:t>5.1.b Variables utilizadas en los ensayos</w:t>
      </w:r>
      <w:bookmarkEnd w:id="55"/>
      <w:bookmarkEnd w:id="56"/>
      <w:bookmarkEnd w:id="57"/>
      <w:r w:rsidRPr="00E3472F">
        <w:rPr>
          <w:rFonts w:cs="Arial"/>
          <w:sz w:val="20"/>
        </w:rPr>
        <w:t xml:space="preserve"> </w:t>
      </w:r>
    </w:p>
    <w:p w:rsidR="00556DFF" w:rsidRPr="006F6ABB" w:rsidRDefault="00556DFF" w:rsidP="00BC3E8E">
      <w:pPr>
        <w:jc w:val="both"/>
        <w:rPr>
          <w:rFonts w:ascii="Arial" w:hAnsi="Arial" w:cs="Arial"/>
          <w:color w:val="00008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2524"/>
        <w:gridCol w:w="2126"/>
        <w:gridCol w:w="1843"/>
      </w:tblGrid>
      <w:tr w:rsidR="00556DFF" w:rsidRPr="00426B77" w:rsidTr="00DB362D">
        <w:tc>
          <w:tcPr>
            <w:tcW w:w="8755" w:type="dxa"/>
            <w:gridSpan w:val="4"/>
            <w:shd w:val="clear" w:color="auto" w:fill="CCFFCC"/>
          </w:tcPr>
          <w:p w:rsidR="00556DFF" w:rsidRPr="00615D63" w:rsidRDefault="00556DFF" w:rsidP="00DB362D">
            <w:pPr>
              <w:tabs>
                <w:tab w:val="left" w:pos="2924"/>
              </w:tabs>
              <w:autoSpaceDE w:val="0"/>
              <w:autoSpaceDN w:val="0"/>
              <w:adjustRightInd w:val="0"/>
              <w:ind w:left="34" w:hanging="34"/>
              <w:rPr>
                <w:rFonts w:ascii="Arial" w:hAnsi="Arial" w:cs="Arial"/>
                <w:b/>
                <w:color w:val="000000"/>
                <w:sz w:val="16"/>
                <w:szCs w:val="16"/>
                <w:lang w:val="en-GB"/>
              </w:rPr>
            </w:pPr>
            <w:proofErr w:type="spellStart"/>
            <w:r w:rsidRPr="00615D63">
              <w:rPr>
                <w:rFonts w:ascii="Arial" w:hAnsi="Arial" w:cs="Arial"/>
                <w:b/>
                <w:color w:val="000000"/>
                <w:sz w:val="16"/>
                <w:szCs w:val="16"/>
                <w:lang w:val="en-GB"/>
              </w:rPr>
              <w:t>Tabla</w:t>
            </w:r>
            <w:proofErr w:type="spellEnd"/>
            <w:r w:rsidRPr="00615D63">
              <w:rPr>
                <w:rFonts w:ascii="Arial" w:hAnsi="Arial" w:cs="Arial"/>
                <w:b/>
                <w:color w:val="000000"/>
                <w:sz w:val="16"/>
                <w:szCs w:val="16"/>
                <w:lang w:val="en-GB"/>
              </w:rPr>
              <w:t xml:space="preserve"> nº 1</w:t>
            </w:r>
          </w:p>
          <w:p w:rsidR="00556DFF" w:rsidRPr="00615D63" w:rsidRDefault="00556DFF" w:rsidP="00DB362D">
            <w:pPr>
              <w:tabs>
                <w:tab w:val="left" w:pos="2924"/>
              </w:tabs>
              <w:autoSpaceDE w:val="0"/>
              <w:autoSpaceDN w:val="0"/>
              <w:adjustRightInd w:val="0"/>
              <w:ind w:left="34" w:hanging="34"/>
              <w:rPr>
                <w:rFonts w:ascii="Arial" w:hAnsi="Arial" w:cs="Arial"/>
                <w:color w:val="000000"/>
                <w:sz w:val="16"/>
                <w:szCs w:val="16"/>
                <w:lang w:val="en-GB"/>
              </w:rPr>
            </w:pPr>
            <w:r w:rsidRPr="00615D63">
              <w:rPr>
                <w:b/>
                <w:bCs/>
                <w:i/>
                <w:iCs/>
                <w:sz w:val="18"/>
                <w:szCs w:val="18"/>
                <w:lang w:val="en-GB"/>
              </w:rPr>
              <w:t>A Randomized, Double-Blind, Placebo-Controlled, Multi-</w:t>
            </w:r>
            <w:proofErr w:type="spellStart"/>
            <w:r w:rsidRPr="00615D63">
              <w:rPr>
                <w:b/>
                <w:bCs/>
                <w:i/>
                <w:iCs/>
                <w:sz w:val="18"/>
                <w:szCs w:val="18"/>
                <w:lang w:val="en-GB"/>
              </w:rPr>
              <w:t>Center</w:t>
            </w:r>
            <w:proofErr w:type="spellEnd"/>
            <w:r w:rsidRPr="00615D63">
              <w:rPr>
                <w:b/>
                <w:bCs/>
                <w:i/>
                <w:iCs/>
                <w:sz w:val="18"/>
                <w:szCs w:val="18"/>
                <w:lang w:val="en-GB"/>
              </w:rPr>
              <w:t xml:space="preserve"> Study to Evaluate the Safety and Efficacy of eculizumab in Subjects with Refractory Generalised Myasthenia Gravis</w:t>
            </w:r>
            <w:r>
              <w:rPr>
                <w:b/>
                <w:bCs/>
                <w:i/>
                <w:iCs/>
                <w:sz w:val="18"/>
                <w:szCs w:val="18"/>
                <w:vertAlign w:val="superscript"/>
                <w:lang w:val="en-GB"/>
              </w:rPr>
              <w:t>14</w:t>
            </w:r>
          </w:p>
        </w:tc>
      </w:tr>
      <w:tr w:rsidR="00556DFF" w:rsidRPr="006F6ABB" w:rsidTr="008E0AF3">
        <w:tc>
          <w:tcPr>
            <w:tcW w:w="2262"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sidRPr="006F6ABB">
              <w:rPr>
                <w:rFonts w:ascii="Arial" w:hAnsi="Arial" w:cs="Arial"/>
                <w:b/>
                <w:bCs/>
                <w:color w:val="000000"/>
                <w:sz w:val="16"/>
                <w:szCs w:val="16"/>
              </w:rPr>
              <w:t>EFICACIA</w:t>
            </w:r>
          </w:p>
        </w:tc>
        <w:tc>
          <w:tcPr>
            <w:tcW w:w="2524"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sidRPr="006F6ABB">
              <w:rPr>
                <w:rFonts w:ascii="Arial" w:hAnsi="Arial" w:cs="Arial"/>
                <w:b/>
                <w:bCs/>
                <w:color w:val="000000"/>
                <w:sz w:val="16"/>
                <w:szCs w:val="16"/>
              </w:rPr>
              <w:t>Enunciado (1)</w:t>
            </w:r>
          </w:p>
        </w:tc>
        <w:tc>
          <w:tcPr>
            <w:tcW w:w="2126"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sidRPr="006F6ABB">
              <w:rPr>
                <w:rFonts w:ascii="Arial" w:hAnsi="Arial" w:cs="Arial"/>
                <w:b/>
                <w:bCs/>
                <w:color w:val="000000"/>
                <w:sz w:val="16"/>
                <w:szCs w:val="16"/>
              </w:rPr>
              <w:t>Descripción (2)</w:t>
            </w:r>
          </w:p>
        </w:tc>
        <w:tc>
          <w:tcPr>
            <w:tcW w:w="1843" w:type="dxa"/>
            <w:shd w:val="clear" w:color="auto" w:fill="D9D9D9"/>
          </w:tcPr>
          <w:p w:rsidR="00556DFF" w:rsidRPr="006F6ABB" w:rsidRDefault="00556DFF" w:rsidP="00DB362D">
            <w:pPr>
              <w:tabs>
                <w:tab w:val="left" w:pos="2924"/>
              </w:tabs>
              <w:autoSpaceDE w:val="0"/>
              <w:autoSpaceDN w:val="0"/>
              <w:adjustRightInd w:val="0"/>
              <w:ind w:left="34" w:hanging="34"/>
              <w:rPr>
                <w:rFonts w:ascii="Arial" w:hAnsi="Arial" w:cs="Arial"/>
                <w:b/>
                <w:bCs/>
                <w:color w:val="000000"/>
                <w:sz w:val="16"/>
                <w:szCs w:val="16"/>
              </w:rPr>
            </w:pPr>
            <w:r w:rsidRPr="006F6ABB">
              <w:rPr>
                <w:rFonts w:ascii="Arial" w:hAnsi="Arial" w:cs="Arial"/>
                <w:b/>
                <w:bCs/>
                <w:color w:val="000000"/>
                <w:sz w:val="16"/>
                <w:szCs w:val="16"/>
              </w:rPr>
              <w:t xml:space="preserve">Variable intermedia o final (3) </w:t>
            </w:r>
          </w:p>
        </w:tc>
      </w:tr>
      <w:tr w:rsidR="00556DFF" w:rsidRPr="006F6ABB" w:rsidTr="008E0AF3">
        <w:tc>
          <w:tcPr>
            <w:tcW w:w="2262" w:type="dxa"/>
          </w:tcPr>
          <w:p w:rsidR="00556DFF" w:rsidRPr="006F6ABB" w:rsidRDefault="00556DFF" w:rsidP="00DB362D">
            <w:pPr>
              <w:autoSpaceDE w:val="0"/>
              <w:autoSpaceDN w:val="0"/>
              <w:adjustRightInd w:val="0"/>
              <w:rPr>
                <w:rFonts w:ascii="Arial" w:hAnsi="Arial" w:cs="Arial"/>
                <w:color w:val="000000"/>
                <w:sz w:val="16"/>
                <w:szCs w:val="16"/>
              </w:rPr>
            </w:pPr>
            <w:r w:rsidRPr="006F6ABB">
              <w:rPr>
                <w:rFonts w:ascii="Arial" w:hAnsi="Arial" w:cs="Arial"/>
                <w:color w:val="000000"/>
                <w:sz w:val="16"/>
                <w:szCs w:val="16"/>
              </w:rPr>
              <w:t>Variable principal</w:t>
            </w:r>
          </w:p>
        </w:tc>
        <w:tc>
          <w:tcPr>
            <w:tcW w:w="2524" w:type="dxa"/>
          </w:tcPr>
          <w:p w:rsidR="00556DFF" w:rsidRPr="006F6ABB" w:rsidRDefault="00556DFF" w:rsidP="00C02992">
            <w:pPr>
              <w:autoSpaceDE w:val="0"/>
              <w:autoSpaceDN w:val="0"/>
              <w:adjustRightInd w:val="0"/>
              <w:rPr>
                <w:rFonts w:ascii="Arial" w:hAnsi="Arial" w:cs="Arial"/>
                <w:color w:val="000000"/>
                <w:sz w:val="16"/>
                <w:szCs w:val="16"/>
              </w:rPr>
            </w:pPr>
            <w:r>
              <w:rPr>
                <w:rFonts w:ascii="Arial" w:hAnsi="Arial" w:cs="Arial"/>
                <w:color w:val="000000"/>
                <w:sz w:val="16"/>
                <w:szCs w:val="16"/>
              </w:rPr>
              <w:t>Cambio de</w:t>
            </w:r>
            <w:r w:rsidRPr="00C02992">
              <w:rPr>
                <w:rFonts w:ascii="Arial" w:hAnsi="Arial" w:cs="Arial"/>
                <w:color w:val="000000"/>
                <w:sz w:val="16"/>
                <w:szCs w:val="16"/>
              </w:rPr>
              <w:t xml:space="preserve"> la puntuación t</w:t>
            </w:r>
            <w:r>
              <w:rPr>
                <w:rFonts w:ascii="Arial" w:hAnsi="Arial" w:cs="Arial"/>
                <w:color w:val="000000"/>
                <w:sz w:val="16"/>
                <w:szCs w:val="16"/>
              </w:rPr>
              <w:t>otal de MG-ADL en la semana 26.</w:t>
            </w:r>
          </w:p>
        </w:tc>
        <w:tc>
          <w:tcPr>
            <w:tcW w:w="2126" w:type="dxa"/>
          </w:tcPr>
          <w:p w:rsidR="00556DFF" w:rsidRPr="006F6ABB" w:rsidRDefault="00556DFF" w:rsidP="00C02992">
            <w:pPr>
              <w:autoSpaceDE w:val="0"/>
              <w:autoSpaceDN w:val="0"/>
              <w:adjustRightInd w:val="0"/>
              <w:rPr>
                <w:rFonts w:ascii="Arial" w:hAnsi="Arial" w:cs="Arial"/>
                <w:color w:val="000000"/>
                <w:sz w:val="16"/>
                <w:szCs w:val="16"/>
              </w:rPr>
            </w:pPr>
            <w:r w:rsidRPr="00C02992">
              <w:rPr>
                <w:rFonts w:ascii="Arial" w:hAnsi="Arial" w:cs="Arial"/>
                <w:color w:val="000000"/>
                <w:sz w:val="16"/>
                <w:szCs w:val="16"/>
              </w:rPr>
              <w:t xml:space="preserve">Perfil de las actividades de la </w:t>
            </w:r>
            <w:r>
              <w:rPr>
                <w:rFonts w:ascii="Arial" w:hAnsi="Arial" w:cs="Arial"/>
                <w:color w:val="000000"/>
                <w:sz w:val="16"/>
                <w:szCs w:val="16"/>
              </w:rPr>
              <w:t>vida diaria de MG</w:t>
            </w:r>
            <w:r w:rsidRPr="00C02992">
              <w:rPr>
                <w:rFonts w:ascii="Arial" w:hAnsi="Arial" w:cs="Arial"/>
                <w:color w:val="000000"/>
                <w:sz w:val="16"/>
                <w:szCs w:val="16"/>
              </w:rPr>
              <w:t>: la escala de MG-ADL es una medida d</w:t>
            </w:r>
            <w:r>
              <w:rPr>
                <w:rFonts w:ascii="Arial" w:hAnsi="Arial" w:cs="Arial"/>
                <w:color w:val="000000"/>
                <w:sz w:val="16"/>
                <w:szCs w:val="16"/>
              </w:rPr>
              <w:t>e resultado validada de 8 ítems. S</w:t>
            </w:r>
            <w:r w:rsidRPr="00C02992">
              <w:rPr>
                <w:rFonts w:ascii="Arial" w:hAnsi="Arial" w:cs="Arial"/>
                <w:color w:val="000000"/>
                <w:sz w:val="16"/>
                <w:szCs w:val="16"/>
              </w:rPr>
              <w:t xml:space="preserve">e gradúan individualmente de 0 (normal) a 3 (más grave), proporcionando una puntuación total de MG-ADL que va de 0 a 24 puntos. </w:t>
            </w:r>
          </w:p>
        </w:tc>
        <w:tc>
          <w:tcPr>
            <w:tcW w:w="1843" w:type="dxa"/>
            <w:shd w:val="clear" w:color="auto" w:fill="CCFFCC"/>
          </w:tcPr>
          <w:p w:rsidR="00556DFF" w:rsidRPr="006F6ABB" w:rsidRDefault="00556DFF" w:rsidP="00DB362D">
            <w:pPr>
              <w:tabs>
                <w:tab w:val="left" w:pos="2924"/>
              </w:tabs>
              <w:autoSpaceDE w:val="0"/>
              <w:autoSpaceDN w:val="0"/>
              <w:adjustRightInd w:val="0"/>
              <w:ind w:left="34"/>
              <w:rPr>
                <w:rFonts w:ascii="Arial" w:hAnsi="Arial" w:cs="Arial"/>
                <w:color w:val="000000"/>
                <w:sz w:val="16"/>
                <w:szCs w:val="16"/>
              </w:rPr>
            </w:pPr>
            <w:r>
              <w:rPr>
                <w:rFonts w:ascii="Arial" w:hAnsi="Arial" w:cs="Arial"/>
                <w:color w:val="000000"/>
                <w:sz w:val="16"/>
                <w:szCs w:val="16"/>
              </w:rPr>
              <w:t>Variable intermedia</w:t>
            </w:r>
          </w:p>
        </w:tc>
      </w:tr>
      <w:tr w:rsidR="00556DFF" w:rsidRPr="006F6ABB" w:rsidTr="008E0AF3">
        <w:tc>
          <w:tcPr>
            <w:tcW w:w="2262" w:type="dxa"/>
          </w:tcPr>
          <w:p w:rsidR="00556DFF" w:rsidRPr="006F6ABB" w:rsidRDefault="00556DFF" w:rsidP="008F57CB">
            <w:pPr>
              <w:autoSpaceDE w:val="0"/>
              <w:autoSpaceDN w:val="0"/>
              <w:adjustRightInd w:val="0"/>
              <w:rPr>
                <w:rFonts w:ascii="Arial" w:hAnsi="Arial" w:cs="Arial"/>
                <w:color w:val="000000"/>
                <w:sz w:val="16"/>
                <w:szCs w:val="16"/>
              </w:rPr>
            </w:pPr>
            <w:r w:rsidRPr="006F6ABB">
              <w:rPr>
                <w:rFonts w:ascii="Arial" w:hAnsi="Arial" w:cs="Arial"/>
                <w:color w:val="000000"/>
                <w:sz w:val="16"/>
                <w:szCs w:val="16"/>
              </w:rPr>
              <w:t>Variable secundaria a</w:t>
            </w:r>
          </w:p>
        </w:tc>
        <w:tc>
          <w:tcPr>
            <w:tcW w:w="2524" w:type="dxa"/>
          </w:tcPr>
          <w:p w:rsidR="00556DFF" w:rsidRPr="006F6ABB" w:rsidRDefault="00556DFF" w:rsidP="008F57CB">
            <w:pPr>
              <w:autoSpaceDE w:val="0"/>
              <w:autoSpaceDN w:val="0"/>
              <w:adjustRightInd w:val="0"/>
              <w:rPr>
                <w:rFonts w:ascii="Arial" w:hAnsi="Arial" w:cs="Arial"/>
                <w:color w:val="000000"/>
                <w:sz w:val="16"/>
                <w:szCs w:val="16"/>
              </w:rPr>
            </w:pPr>
            <w:r>
              <w:rPr>
                <w:rFonts w:ascii="Arial" w:hAnsi="Arial" w:cs="Arial"/>
                <w:color w:val="000000"/>
                <w:sz w:val="16"/>
                <w:szCs w:val="16"/>
              </w:rPr>
              <w:t>Puntuación total del score QMG en la semana 26.</w:t>
            </w:r>
          </w:p>
        </w:tc>
        <w:tc>
          <w:tcPr>
            <w:tcW w:w="2126" w:type="dxa"/>
          </w:tcPr>
          <w:p w:rsidR="00556DFF" w:rsidRPr="006F6ABB" w:rsidRDefault="00556DFF" w:rsidP="008F57CB">
            <w:pPr>
              <w:autoSpaceDE w:val="0"/>
              <w:autoSpaceDN w:val="0"/>
              <w:adjustRightInd w:val="0"/>
              <w:rPr>
                <w:rFonts w:ascii="Arial" w:hAnsi="Arial" w:cs="Arial"/>
                <w:color w:val="000000"/>
                <w:sz w:val="16"/>
                <w:szCs w:val="16"/>
              </w:rPr>
            </w:pPr>
            <w:r w:rsidRPr="00A23964">
              <w:rPr>
                <w:rFonts w:ascii="Arial" w:hAnsi="Arial" w:cs="Arial"/>
                <w:color w:val="000000"/>
                <w:sz w:val="16"/>
                <w:szCs w:val="16"/>
              </w:rPr>
              <w:t>Puntuación cuantitat</w:t>
            </w:r>
            <w:r>
              <w:rPr>
                <w:rFonts w:ascii="Arial" w:hAnsi="Arial" w:cs="Arial"/>
                <w:color w:val="000000"/>
                <w:sz w:val="16"/>
                <w:szCs w:val="16"/>
              </w:rPr>
              <w:t xml:space="preserve">iva de MG sobre la </w:t>
            </w:r>
            <w:r w:rsidRPr="00A23964">
              <w:rPr>
                <w:rFonts w:ascii="Arial" w:hAnsi="Arial" w:cs="Arial"/>
                <w:color w:val="000000"/>
                <w:sz w:val="16"/>
                <w:szCs w:val="16"/>
              </w:rPr>
              <w:t>gravedad de la enfermed</w:t>
            </w:r>
            <w:r>
              <w:rPr>
                <w:rFonts w:ascii="Arial" w:hAnsi="Arial" w:cs="Arial"/>
                <w:color w:val="000000"/>
                <w:sz w:val="16"/>
                <w:szCs w:val="16"/>
              </w:rPr>
              <w:t>ad: (</w:t>
            </w:r>
            <w:r w:rsidRPr="00A23964">
              <w:rPr>
                <w:rFonts w:ascii="Arial" w:hAnsi="Arial" w:cs="Arial"/>
                <w:color w:val="000000"/>
                <w:sz w:val="16"/>
                <w:szCs w:val="16"/>
              </w:rPr>
              <w:t>QMG</w:t>
            </w:r>
            <w:r>
              <w:rPr>
                <w:rFonts w:ascii="Arial" w:hAnsi="Arial" w:cs="Arial"/>
                <w:color w:val="000000"/>
                <w:sz w:val="16"/>
                <w:szCs w:val="16"/>
              </w:rPr>
              <w:t>)</w:t>
            </w:r>
            <w:r w:rsidRPr="00A23964">
              <w:rPr>
                <w:rFonts w:ascii="Arial" w:hAnsi="Arial" w:cs="Arial"/>
                <w:color w:val="000000"/>
                <w:sz w:val="16"/>
                <w:szCs w:val="16"/>
              </w:rPr>
              <w:t xml:space="preserve"> es un sistema validado de evaluación médica dire</w:t>
            </w:r>
            <w:r>
              <w:rPr>
                <w:rFonts w:ascii="Arial" w:hAnsi="Arial" w:cs="Arial"/>
                <w:color w:val="000000"/>
                <w:sz w:val="16"/>
                <w:szCs w:val="16"/>
              </w:rPr>
              <w:t xml:space="preserve">cta que consta de 13 elementos: </w:t>
            </w:r>
            <w:r w:rsidRPr="00A23964">
              <w:rPr>
                <w:rFonts w:ascii="Arial" w:hAnsi="Arial" w:cs="Arial"/>
                <w:color w:val="000000"/>
                <w:sz w:val="16"/>
                <w:szCs w:val="16"/>
              </w:rPr>
              <w:t>Cada ítem se clasifica de 0 (normal) a 3 (más severo), proporcionando una puntuación total de QMG que varía de 0 a 39 puntos</w:t>
            </w:r>
            <w:r>
              <w:rPr>
                <w:rFonts w:ascii="Arial" w:hAnsi="Arial" w:cs="Arial"/>
                <w:color w:val="000000"/>
                <w:sz w:val="16"/>
                <w:szCs w:val="16"/>
              </w:rPr>
              <w:t>.</w:t>
            </w:r>
          </w:p>
        </w:tc>
        <w:tc>
          <w:tcPr>
            <w:tcW w:w="1843" w:type="dxa"/>
            <w:shd w:val="clear" w:color="auto" w:fill="CCFFCC"/>
          </w:tcPr>
          <w:p w:rsidR="00556DFF" w:rsidRDefault="00556DFF" w:rsidP="008F57CB">
            <w:r w:rsidRPr="00445805">
              <w:rPr>
                <w:rFonts w:ascii="Arial" w:hAnsi="Arial" w:cs="Arial"/>
                <w:color w:val="000000"/>
                <w:sz w:val="16"/>
                <w:szCs w:val="16"/>
              </w:rPr>
              <w:t>Variable intermedia</w:t>
            </w:r>
          </w:p>
        </w:tc>
      </w:tr>
      <w:tr w:rsidR="00556DFF" w:rsidRPr="006F6ABB" w:rsidTr="008E0AF3">
        <w:tc>
          <w:tcPr>
            <w:tcW w:w="2262" w:type="dxa"/>
          </w:tcPr>
          <w:p w:rsidR="00556DFF" w:rsidRPr="006F6ABB" w:rsidRDefault="00556DFF" w:rsidP="008F57CB">
            <w:pPr>
              <w:autoSpaceDE w:val="0"/>
              <w:autoSpaceDN w:val="0"/>
              <w:adjustRightInd w:val="0"/>
              <w:rPr>
                <w:rFonts w:ascii="Arial" w:hAnsi="Arial" w:cs="Arial"/>
                <w:color w:val="000000"/>
                <w:sz w:val="16"/>
                <w:szCs w:val="16"/>
              </w:rPr>
            </w:pPr>
            <w:r w:rsidRPr="006F6ABB">
              <w:rPr>
                <w:rFonts w:ascii="Arial" w:hAnsi="Arial" w:cs="Arial"/>
                <w:color w:val="000000"/>
                <w:sz w:val="16"/>
                <w:szCs w:val="16"/>
              </w:rPr>
              <w:t>Variable secundaria b</w:t>
            </w:r>
          </w:p>
        </w:tc>
        <w:tc>
          <w:tcPr>
            <w:tcW w:w="2524" w:type="dxa"/>
          </w:tcPr>
          <w:p w:rsidR="00556DFF" w:rsidRPr="006F6ABB" w:rsidRDefault="00556DFF" w:rsidP="008F57CB">
            <w:pPr>
              <w:autoSpaceDE w:val="0"/>
              <w:autoSpaceDN w:val="0"/>
              <w:adjustRightInd w:val="0"/>
              <w:rPr>
                <w:rFonts w:ascii="Arial" w:hAnsi="Arial" w:cs="Arial"/>
                <w:color w:val="000000"/>
                <w:sz w:val="16"/>
                <w:szCs w:val="16"/>
              </w:rPr>
            </w:pPr>
            <w:r w:rsidRPr="007C7235">
              <w:rPr>
                <w:rFonts w:ascii="Arial" w:hAnsi="Arial" w:cs="Arial"/>
                <w:color w:val="000000"/>
                <w:sz w:val="16"/>
                <w:szCs w:val="16"/>
              </w:rPr>
              <w:t>Proporción de pacientes con una reducción de ≥3 puntos en la puntuación total de MG-ADL desde el inicio hasta la semana 26 y sin terapia de rescate</w:t>
            </w:r>
            <w:r>
              <w:rPr>
                <w:rFonts w:ascii="Arial" w:hAnsi="Arial" w:cs="Arial"/>
                <w:color w:val="000000"/>
                <w:sz w:val="16"/>
                <w:szCs w:val="16"/>
              </w:rPr>
              <w:t>.</w:t>
            </w:r>
          </w:p>
        </w:tc>
        <w:tc>
          <w:tcPr>
            <w:tcW w:w="2126" w:type="dxa"/>
          </w:tcPr>
          <w:p w:rsidR="00556DFF" w:rsidRPr="006F6ABB" w:rsidRDefault="00556DFF" w:rsidP="008F57CB">
            <w:pPr>
              <w:autoSpaceDE w:val="0"/>
              <w:autoSpaceDN w:val="0"/>
              <w:adjustRightInd w:val="0"/>
              <w:rPr>
                <w:rFonts w:ascii="Arial" w:hAnsi="Arial" w:cs="Arial"/>
                <w:color w:val="000000"/>
                <w:sz w:val="16"/>
                <w:szCs w:val="16"/>
              </w:rPr>
            </w:pPr>
            <w:r w:rsidRPr="00C02992">
              <w:rPr>
                <w:rFonts w:ascii="Arial" w:hAnsi="Arial" w:cs="Arial"/>
                <w:color w:val="000000"/>
                <w:sz w:val="16"/>
                <w:szCs w:val="16"/>
              </w:rPr>
              <w:t xml:space="preserve">Se seleccionó una mejora de ≥3 puntos en la puntuación total de MG-ADL desde el inicio </w:t>
            </w:r>
            <w:r>
              <w:rPr>
                <w:rFonts w:ascii="Arial" w:hAnsi="Arial" w:cs="Arial"/>
                <w:color w:val="000000"/>
                <w:sz w:val="16"/>
                <w:szCs w:val="16"/>
              </w:rPr>
              <w:t>hasta</w:t>
            </w:r>
            <w:r w:rsidRPr="00C02992">
              <w:rPr>
                <w:rFonts w:ascii="Arial" w:hAnsi="Arial" w:cs="Arial"/>
                <w:color w:val="000000"/>
                <w:sz w:val="16"/>
                <w:szCs w:val="16"/>
              </w:rPr>
              <w:t xml:space="preserve"> la semana 26 como un umbral clínicamente significativo robusto para el punto final secundario.</w:t>
            </w:r>
          </w:p>
        </w:tc>
        <w:tc>
          <w:tcPr>
            <w:tcW w:w="1843" w:type="dxa"/>
            <w:shd w:val="clear" w:color="auto" w:fill="CCFFCC"/>
          </w:tcPr>
          <w:p w:rsidR="00556DFF" w:rsidRDefault="00556DFF" w:rsidP="008F57CB">
            <w:r w:rsidRPr="00445805">
              <w:rPr>
                <w:rFonts w:ascii="Arial" w:hAnsi="Arial" w:cs="Arial"/>
                <w:color w:val="000000"/>
                <w:sz w:val="16"/>
                <w:szCs w:val="16"/>
              </w:rPr>
              <w:t>Variable intermedia</w:t>
            </w:r>
          </w:p>
        </w:tc>
      </w:tr>
      <w:tr w:rsidR="00556DFF" w:rsidRPr="006F6ABB" w:rsidTr="008E0AF3">
        <w:tc>
          <w:tcPr>
            <w:tcW w:w="2262" w:type="dxa"/>
          </w:tcPr>
          <w:p w:rsidR="00556DFF" w:rsidRPr="006F6ABB" w:rsidRDefault="00556DFF" w:rsidP="008F57CB">
            <w:pPr>
              <w:autoSpaceDE w:val="0"/>
              <w:autoSpaceDN w:val="0"/>
              <w:adjustRightInd w:val="0"/>
              <w:rPr>
                <w:rFonts w:ascii="Arial" w:hAnsi="Arial" w:cs="Arial"/>
                <w:color w:val="000000"/>
                <w:sz w:val="16"/>
                <w:szCs w:val="16"/>
              </w:rPr>
            </w:pPr>
            <w:r>
              <w:rPr>
                <w:rFonts w:ascii="Arial" w:hAnsi="Arial" w:cs="Arial"/>
                <w:color w:val="000000"/>
                <w:sz w:val="16"/>
                <w:szCs w:val="16"/>
              </w:rPr>
              <w:t>Variable secundaria c</w:t>
            </w:r>
          </w:p>
        </w:tc>
        <w:tc>
          <w:tcPr>
            <w:tcW w:w="2524" w:type="dxa"/>
          </w:tcPr>
          <w:p w:rsidR="00556DFF" w:rsidRDefault="00556DFF" w:rsidP="008F57CB">
            <w:pPr>
              <w:autoSpaceDE w:val="0"/>
              <w:autoSpaceDN w:val="0"/>
              <w:adjustRightInd w:val="0"/>
              <w:rPr>
                <w:rFonts w:ascii="Arial" w:hAnsi="Arial" w:cs="Arial"/>
                <w:color w:val="000000"/>
                <w:sz w:val="16"/>
                <w:szCs w:val="16"/>
              </w:rPr>
            </w:pPr>
            <w:r w:rsidRPr="007C7235">
              <w:rPr>
                <w:rFonts w:ascii="Arial" w:hAnsi="Arial" w:cs="Arial"/>
                <w:color w:val="000000"/>
                <w:sz w:val="16"/>
                <w:szCs w:val="16"/>
              </w:rPr>
              <w:t>Proporción de pacientes con una reducción de ≥5 puntos en la puntuación total de QMG desde el inicio hasta la semana 26 y sin terapia de rescate</w:t>
            </w:r>
            <w:r>
              <w:rPr>
                <w:rFonts w:ascii="Arial" w:hAnsi="Arial" w:cs="Arial"/>
                <w:color w:val="000000"/>
                <w:sz w:val="16"/>
                <w:szCs w:val="16"/>
              </w:rPr>
              <w:t>.</w:t>
            </w:r>
          </w:p>
        </w:tc>
        <w:tc>
          <w:tcPr>
            <w:tcW w:w="2126" w:type="dxa"/>
          </w:tcPr>
          <w:p w:rsidR="00556DFF" w:rsidRPr="00C02992" w:rsidRDefault="00556DFF" w:rsidP="00A23964">
            <w:pPr>
              <w:autoSpaceDE w:val="0"/>
              <w:autoSpaceDN w:val="0"/>
              <w:adjustRightInd w:val="0"/>
              <w:rPr>
                <w:rFonts w:ascii="Arial" w:hAnsi="Arial" w:cs="Arial"/>
                <w:color w:val="000000"/>
                <w:sz w:val="16"/>
                <w:szCs w:val="16"/>
              </w:rPr>
            </w:pPr>
            <w:r w:rsidRPr="00A23964">
              <w:rPr>
                <w:rFonts w:ascii="Arial" w:hAnsi="Arial" w:cs="Arial"/>
                <w:color w:val="000000"/>
                <w:sz w:val="16"/>
                <w:szCs w:val="16"/>
              </w:rPr>
              <w:t>Se seleccionó una mejora de ≥5 puntos en la puntuación total de QMG desde el inicio en la semana 26 como un umbral clínicamente significativo robusto para el criterio de valoración secundario.</w:t>
            </w:r>
          </w:p>
        </w:tc>
        <w:tc>
          <w:tcPr>
            <w:tcW w:w="1843" w:type="dxa"/>
            <w:shd w:val="clear" w:color="auto" w:fill="CCFFCC"/>
          </w:tcPr>
          <w:p w:rsidR="00556DFF" w:rsidRPr="00445805" w:rsidRDefault="00556DFF" w:rsidP="008F57CB">
            <w:pPr>
              <w:rPr>
                <w:rFonts w:ascii="Arial" w:hAnsi="Arial" w:cs="Arial"/>
                <w:color w:val="000000"/>
                <w:sz w:val="16"/>
                <w:szCs w:val="16"/>
              </w:rPr>
            </w:pPr>
            <w:r w:rsidRPr="00445805">
              <w:rPr>
                <w:rFonts w:ascii="Arial" w:hAnsi="Arial" w:cs="Arial"/>
                <w:color w:val="000000"/>
                <w:sz w:val="16"/>
                <w:szCs w:val="16"/>
              </w:rPr>
              <w:t>Variable intermedia</w:t>
            </w:r>
          </w:p>
        </w:tc>
      </w:tr>
      <w:tr w:rsidR="00556DFF" w:rsidRPr="006F6ABB" w:rsidTr="008E0AF3">
        <w:tc>
          <w:tcPr>
            <w:tcW w:w="2262" w:type="dxa"/>
          </w:tcPr>
          <w:p w:rsidR="00556DFF" w:rsidRPr="006F6ABB" w:rsidRDefault="00556DFF" w:rsidP="008F57CB">
            <w:pPr>
              <w:autoSpaceDE w:val="0"/>
              <w:autoSpaceDN w:val="0"/>
              <w:adjustRightInd w:val="0"/>
              <w:rPr>
                <w:rFonts w:ascii="Arial" w:hAnsi="Arial" w:cs="Arial"/>
                <w:color w:val="000000"/>
                <w:sz w:val="16"/>
                <w:szCs w:val="16"/>
              </w:rPr>
            </w:pPr>
            <w:r>
              <w:rPr>
                <w:rFonts w:ascii="Arial" w:hAnsi="Arial" w:cs="Arial"/>
                <w:color w:val="000000"/>
                <w:sz w:val="16"/>
                <w:szCs w:val="16"/>
              </w:rPr>
              <w:t>Variable secundaria d</w:t>
            </w:r>
          </w:p>
        </w:tc>
        <w:tc>
          <w:tcPr>
            <w:tcW w:w="2524" w:type="dxa"/>
          </w:tcPr>
          <w:p w:rsidR="00556DFF" w:rsidRDefault="00556DFF" w:rsidP="00A23964">
            <w:pPr>
              <w:autoSpaceDE w:val="0"/>
              <w:autoSpaceDN w:val="0"/>
              <w:adjustRightInd w:val="0"/>
              <w:rPr>
                <w:rFonts w:ascii="Arial" w:hAnsi="Arial" w:cs="Arial"/>
                <w:color w:val="000000"/>
                <w:sz w:val="16"/>
                <w:szCs w:val="16"/>
              </w:rPr>
            </w:pPr>
            <w:r>
              <w:rPr>
                <w:rFonts w:ascii="Arial" w:hAnsi="Arial" w:cs="Arial"/>
                <w:color w:val="000000"/>
                <w:sz w:val="16"/>
                <w:szCs w:val="16"/>
              </w:rPr>
              <w:t>Cambio basal</w:t>
            </w:r>
            <w:r w:rsidRPr="007C7235">
              <w:rPr>
                <w:rFonts w:ascii="Arial" w:hAnsi="Arial" w:cs="Arial"/>
                <w:color w:val="000000"/>
                <w:sz w:val="16"/>
                <w:szCs w:val="16"/>
              </w:rPr>
              <w:t xml:space="preserve"> en la puntuación total de la escala MGC en la semana 26</w:t>
            </w:r>
            <w:r>
              <w:rPr>
                <w:rFonts w:ascii="Arial" w:hAnsi="Arial" w:cs="Arial"/>
                <w:color w:val="000000"/>
                <w:sz w:val="16"/>
                <w:szCs w:val="16"/>
              </w:rPr>
              <w:t>.</w:t>
            </w:r>
          </w:p>
        </w:tc>
        <w:tc>
          <w:tcPr>
            <w:tcW w:w="2126" w:type="dxa"/>
          </w:tcPr>
          <w:p w:rsidR="00556DFF" w:rsidRPr="00C02992" w:rsidRDefault="00556DFF" w:rsidP="00A23964">
            <w:pPr>
              <w:autoSpaceDE w:val="0"/>
              <w:autoSpaceDN w:val="0"/>
              <w:adjustRightInd w:val="0"/>
              <w:rPr>
                <w:rFonts w:ascii="Arial" w:hAnsi="Arial" w:cs="Arial"/>
                <w:color w:val="000000"/>
                <w:sz w:val="16"/>
                <w:szCs w:val="16"/>
              </w:rPr>
            </w:pPr>
            <w:r>
              <w:rPr>
                <w:rFonts w:ascii="Arial" w:hAnsi="Arial" w:cs="Arial"/>
                <w:color w:val="000000"/>
                <w:sz w:val="16"/>
                <w:szCs w:val="16"/>
              </w:rPr>
              <w:t>Puntuación compuesta de MG: (</w:t>
            </w:r>
            <w:r w:rsidRPr="00A23964">
              <w:rPr>
                <w:rFonts w:ascii="Arial" w:hAnsi="Arial" w:cs="Arial"/>
                <w:color w:val="000000"/>
                <w:sz w:val="16"/>
                <w:szCs w:val="16"/>
              </w:rPr>
              <w:t>MGC</w:t>
            </w:r>
            <w:r>
              <w:rPr>
                <w:rFonts w:ascii="Arial" w:hAnsi="Arial" w:cs="Arial"/>
                <w:color w:val="000000"/>
                <w:sz w:val="16"/>
                <w:szCs w:val="16"/>
              </w:rPr>
              <w:t>)</w:t>
            </w:r>
            <w:r w:rsidRPr="00A23964">
              <w:rPr>
                <w:rFonts w:ascii="Arial" w:hAnsi="Arial" w:cs="Arial"/>
                <w:color w:val="000000"/>
                <w:sz w:val="16"/>
                <w:szCs w:val="16"/>
              </w:rPr>
              <w:t xml:space="preserve"> es una medida de resultado validada para eval</w:t>
            </w:r>
            <w:r>
              <w:rPr>
                <w:rFonts w:ascii="Arial" w:hAnsi="Arial" w:cs="Arial"/>
                <w:color w:val="000000"/>
                <w:sz w:val="16"/>
                <w:szCs w:val="16"/>
              </w:rPr>
              <w:t xml:space="preserve">uar los síntomas y signos de MG. </w:t>
            </w:r>
            <w:r w:rsidRPr="00A23964">
              <w:rPr>
                <w:rFonts w:ascii="Arial" w:hAnsi="Arial" w:cs="Arial"/>
                <w:color w:val="000000"/>
                <w:sz w:val="16"/>
                <w:szCs w:val="16"/>
              </w:rPr>
              <w:t xml:space="preserve">Los puntajes acumulativos posibles van de 0 a 50, y los puntajes más altos representan una mayor morbilidad. </w:t>
            </w:r>
          </w:p>
        </w:tc>
        <w:tc>
          <w:tcPr>
            <w:tcW w:w="1843" w:type="dxa"/>
            <w:shd w:val="clear" w:color="auto" w:fill="CCFFCC"/>
          </w:tcPr>
          <w:p w:rsidR="00556DFF" w:rsidRPr="00445805" w:rsidRDefault="00556DFF" w:rsidP="008F57CB">
            <w:pPr>
              <w:rPr>
                <w:rFonts w:ascii="Arial" w:hAnsi="Arial" w:cs="Arial"/>
                <w:color w:val="000000"/>
                <w:sz w:val="16"/>
                <w:szCs w:val="16"/>
              </w:rPr>
            </w:pPr>
            <w:r w:rsidRPr="00445805">
              <w:rPr>
                <w:rFonts w:ascii="Arial" w:hAnsi="Arial" w:cs="Arial"/>
                <w:color w:val="000000"/>
                <w:sz w:val="16"/>
                <w:szCs w:val="16"/>
              </w:rPr>
              <w:t>Variable intermedia</w:t>
            </w:r>
          </w:p>
        </w:tc>
      </w:tr>
      <w:tr w:rsidR="00556DFF" w:rsidRPr="006F6ABB" w:rsidTr="008E0AF3">
        <w:tc>
          <w:tcPr>
            <w:tcW w:w="2262" w:type="dxa"/>
          </w:tcPr>
          <w:p w:rsidR="00556DFF" w:rsidRDefault="00556DFF" w:rsidP="008F57CB">
            <w:pPr>
              <w:autoSpaceDE w:val="0"/>
              <w:autoSpaceDN w:val="0"/>
              <w:adjustRightInd w:val="0"/>
              <w:rPr>
                <w:rFonts w:ascii="Arial" w:hAnsi="Arial" w:cs="Arial"/>
                <w:color w:val="000000"/>
                <w:sz w:val="16"/>
                <w:szCs w:val="16"/>
              </w:rPr>
            </w:pPr>
            <w:r>
              <w:rPr>
                <w:rFonts w:ascii="Arial" w:hAnsi="Arial" w:cs="Arial"/>
                <w:color w:val="000000"/>
                <w:sz w:val="16"/>
                <w:szCs w:val="16"/>
              </w:rPr>
              <w:t>Variable secundaria e</w:t>
            </w:r>
          </w:p>
        </w:tc>
        <w:tc>
          <w:tcPr>
            <w:tcW w:w="2524" w:type="dxa"/>
          </w:tcPr>
          <w:p w:rsidR="00556DFF" w:rsidRDefault="00556DFF" w:rsidP="008F57CB">
            <w:pPr>
              <w:autoSpaceDE w:val="0"/>
              <w:autoSpaceDN w:val="0"/>
              <w:adjustRightInd w:val="0"/>
              <w:rPr>
                <w:rFonts w:ascii="Arial" w:hAnsi="Arial" w:cs="Arial"/>
                <w:color w:val="000000"/>
                <w:sz w:val="16"/>
                <w:szCs w:val="16"/>
              </w:rPr>
            </w:pPr>
            <w:r>
              <w:rPr>
                <w:rFonts w:ascii="Arial" w:hAnsi="Arial" w:cs="Arial"/>
                <w:color w:val="000000"/>
                <w:sz w:val="16"/>
                <w:szCs w:val="16"/>
              </w:rPr>
              <w:t>Cambio basal</w:t>
            </w:r>
            <w:r w:rsidRPr="007C7235">
              <w:rPr>
                <w:rFonts w:ascii="Arial" w:hAnsi="Arial" w:cs="Arial"/>
                <w:color w:val="000000"/>
                <w:sz w:val="16"/>
                <w:szCs w:val="16"/>
              </w:rPr>
              <w:t xml:space="preserve"> en el MG-QoL15 en la semana 26</w:t>
            </w:r>
            <w:r>
              <w:rPr>
                <w:rFonts w:ascii="Arial" w:hAnsi="Arial" w:cs="Arial"/>
                <w:color w:val="000000"/>
                <w:sz w:val="16"/>
                <w:szCs w:val="16"/>
              </w:rPr>
              <w:t>.</w:t>
            </w:r>
          </w:p>
        </w:tc>
        <w:tc>
          <w:tcPr>
            <w:tcW w:w="2126" w:type="dxa"/>
          </w:tcPr>
          <w:p w:rsidR="00556DFF" w:rsidRPr="00C02992" w:rsidRDefault="00556DFF" w:rsidP="00A23964">
            <w:pPr>
              <w:autoSpaceDE w:val="0"/>
              <w:autoSpaceDN w:val="0"/>
              <w:adjustRightInd w:val="0"/>
              <w:rPr>
                <w:rFonts w:ascii="Arial" w:hAnsi="Arial" w:cs="Arial"/>
                <w:color w:val="000000"/>
                <w:sz w:val="16"/>
                <w:szCs w:val="16"/>
              </w:rPr>
            </w:pPr>
            <w:r w:rsidRPr="00A23964">
              <w:rPr>
                <w:rFonts w:ascii="Arial" w:hAnsi="Arial" w:cs="Arial"/>
                <w:color w:val="000000"/>
                <w:sz w:val="16"/>
                <w:szCs w:val="16"/>
              </w:rPr>
              <w:t>Escala</w:t>
            </w:r>
            <w:r>
              <w:rPr>
                <w:rFonts w:ascii="Arial" w:hAnsi="Arial" w:cs="Arial"/>
                <w:color w:val="000000"/>
                <w:sz w:val="16"/>
                <w:szCs w:val="16"/>
              </w:rPr>
              <w:t xml:space="preserve"> de 15 ítems de MG</w:t>
            </w:r>
            <w:r w:rsidRPr="00A23964">
              <w:rPr>
                <w:rFonts w:ascii="Arial" w:hAnsi="Arial" w:cs="Arial"/>
                <w:color w:val="000000"/>
                <w:sz w:val="16"/>
                <w:szCs w:val="16"/>
              </w:rPr>
              <w:t xml:space="preserve"> </w:t>
            </w:r>
            <w:proofErr w:type="spellStart"/>
            <w:r w:rsidRPr="00A23964">
              <w:rPr>
                <w:rFonts w:ascii="Arial" w:hAnsi="Arial" w:cs="Arial"/>
                <w:color w:val="000000"/>
                <w:sz w:val="16"/>
                <w:szCs w:val="16"/>
              </w:rPr>
              <w:t>Quality</w:t>
            </w:r>
            <w:proofErr w:type="spellEnd"/>
            <w:r w:rsidRPr="00A23964">
              <w:rPr>
                <w:rFonts w:ascii="Arial" w:hAnsi="Arial" w:cs="Arial"/>
                <w:color w:val="000000"/>
                <w:sz w:val="16"/>
                <w:szCs w:val="16"/>
              </w:rPr>
              <w:t xml:space="preserve"> of </w:t>
            </w:r>
            <w:proofErr w:type="spellStart"/>
            <w:r w:rsidRPr="00A23964">
              <w:rPr>
                <w:rFonts w:ascii="Arial" w:hAnsi="Arial" w:cs="Arial"/>
                <w:color w:val="000000"/>
                <w:sz w:val="16"/>
                <w:szCs w:val="16"/>
              </w:rPr>
              <w:t>Life</w:t>
            </w:r>
            <w:proofErr w:type="spellEnd"/>
            <w:r w:rsidRPr="00A23964">
              <w:rPr>
                <w:rFonts w:ascii="Arial" w:hAnsi="Arial" w:cs="Arial"/>
                <w:color w:val="000000"/>
                <w:sz w:val="16"/>
                <w:szCs w:val="16"/>
              </w:rPr>
              <w:t xml:space="preserve"> (MG-QoL15</w:t>
            </w:r>
            <w:r>
              <w:rPr>
                <w:rFonts w:ascii="Arial" w:hAnsi="Arial" w:cs="Arial"/>
                <w:color w:val="000000"/>
                <w:sz w:val="16"/>
                <w:szCs w:val="16"/>
              </w:rPr>
              <w:t xml:space="preserve">): Cuestionario validado </w:t>
            </w:r>
            <w:r w:rsidRPr="00A23964">
              <w:rPr>
                <w:rFonts w:ascii="Arial" w:hAnsi="Arial" w:cs="Arial"/>
                <w:color w:val="000000"/>
                <w:sz w:val="16"/>
                <w:szCs w:val="16"/>
              </w:rPr>
              <w:t>que consta de 15 preguntas con respuestas a cada puntuación cuestionada de 0 (nada) a 4 (bastante), y posibles puntajes acumulativos que van de 0 a 60, con puntajes más altos que r</w:t>
            </w:r>
            <w:r>
              <w:rPr>
                <w:rFonts w:ascii="Arial" w:hAnsi="Arial" w:cs="Arial"/>
                <w:color w:val="000000"/>
                <w:sz w:val="16"/>
                <w:szCs w:val="16"/>
              </w:rPr>
              <w:t>epresentan peor calidad de vida.</w:t>
            </w:r>
          </w:p>
        </w:tc>
        <w:tc>
          <w:tcPr>
            <w:tcW w:w="1843" w:type="dxa"/>
            <w:shd w:val="clear" w:color="auto" w:fill="CCFFCC"/>
          </w:tcPr>
          <w:p w:rsidR="00556DFF" w:rsidRPr="00445805" w:rsidRDefault="00556DFF" w:rsidP="008F57CB">
            <w:pPr>
              <w:rPr>
                <w:rFonts w:ascii="Arial" w:hAnsi="Arial" w:cs="Arial"/>
                <w:color w:val="000000"/>
                <w:sz w:val="16"/>
                <w:szCs w:val="16"/>
              </w:rPr>
            </w:pPr>
            <w:r>
              <w:rPr>
                <w:rFonts w:ascii="Arial" w:hAnsi="Arial" w:cs="Arial"/>
                <w:color w:val="000000"/>
                <w:sz w:val="16"/>
                <w:szCs w:val="16"/>
              </w:rPr>
              <w:t xml:space="preserve">Variable </w:t>
            </w:r>
            <w:r w:rsidRPr="00577E45">
              <w:rPr>
                <w:rFonts w:ascii="Arial" w:hAnsi="Arial" w:cs="Arial"/>
                <w:color w:val="000000"/>
                <w:sz w:val="16"/>
                <w:szCs w:val="16"/>
                <w:highlight w:val="yellow"/>
              </w:rPr>
              <w:t>final</w:t>
            </w:r>
          </w:p>
        </w:tc>
      </w:tr>
      <w:tr w:rsidR="00556DFF" w:rsidRPr="006F6ABB" w:rsidTr="008E0AF3">
        <w:tc>
          <w:tcPr>
            <w:tcW w:w="2262"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sidRPr="006F6ABB">
              <w:rPr>
                <w:rFonts w:ascii="Arial" w:hAnsi="Arial" w:cs="Arial"/>
                <w:b/>
                <w:bCs/>
                <w:color w:val="000000"/>
                <w:sz w:val="16"/>
                <w:szCs w:val="16"/>
              </w:rPr>
              <w:t>SEGURIDAD</w:t>
            </w:r>
          </w:p>
        </w:tc>
        <w:tc>
          <w:tcPr>
            <w:tcW w:w="2524"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sidRPr="006F6ABB">
              <w:rPr>
                <w:rFonts w:ascii="Arial" w:hAnsi="Arial" w:cs="Arial"/>
                <w:b/>
                <w:bCs/>
                <w:color w:val="000000"/>
                <w:sz w:val="16"/>
                <w:szCs w:val="16"/>
              </w:rPr>
              <w:t>Enunciado</w:t>
            </w:r>
          </w:p>
        </w:tc>
        <w:tc>
          <w:tcPr>
            <w:tcW w:w="2126" w:type="dxa"/>
            <w:shd w:val="clear" w:color="auto" w:fill="D9D9D9"/>
          </w:tcPr>
          <w:p w:rsidR="00556DFF" w:rsidRPr="006F6ABB" w:rsidRDefault="00556DFF" w:rsidP="00DB36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Descripción </w:t>
            </w:r>
          </w:p>
        </w:tc>
        <w:tc>
          <w:tcPr>
            <w:tcW w:w="1843" w:type="dxa"/>
            <w:shd w:val="clear" w:color="auto" w:fill="D9D9D9"/>
          </w:tcPr>
          <w:p w:rsidR="00556DFF" w:rsidRPr="006F6ABB" w:rsidRDefault="00556DFF" w:rsidP="00DB362D">
            <w:pPr>
              <w:tabs>
                <w:tab w:val="left" w:pos="2924"/>
              </w:tabs>
              <w:autoSpaceDE w:val="0"/>
              <w:autoSpaceDN w:val="0"/>
              <w:adjustRightInd w:val="0"/>
              <w:ind w:left="34"/>
              <w:rPr>
                <w:rFonts w:ascii="Arial" w:hAnsi="Arial" w:cs="Arial"/>
                <w:b/>
                <w:bCs/>
                <w:color w:val="000000"/>
                <w:sz w:val="16"/>
                <w:szCs w:val="16"/>
              </w:rPr>
            </w:pPr>
            <w:r>
              <w:rPr>
                <w:rFonts w:ascii="Arial" w:hAnsi="Arial" w:cs="Arial"/>
                <w:b/>
                <w:bCs/>
                <w:color w:val="000000"/>
                <w:sz w:val="16"/>
                <w:szCs w:val="16"/>
              </w:rPr>
              <w:t>Variable intermedia o final</w:t>
            </w:r>
          </w:p>
        </w:tc>
      </w:tr>
      <w:tr w:rsidR="00556DFF" w:rsidRPr="006F6ABB" w:rsidTr="008E0AF3">
        <w:tc>
          <w:tcPr>
            <w:tcW w:w="2262" w:type="dxa"/>
          </w:tcPr>
          <w:p w:rsidR="00556DFF" w:rsidRPr="006F6ABB" w:rsidRDefault="00556DFF" w:rsidP="00DB362D">
            <w:pPr>
              <w:autoSpaceDE w:val="0"/>
              <w:autoSpaceDN w:val="0"/>
              <w:adjustRightInd w:val="0"/>
              <w:rPr>
                <w:rFonts w:ascii="Arial" w:hAnsi="Arial" w:cs="Arial"/>
                <w:color w:val="000000"/>
                <w:sz w:val="16"/>
                <w:szCs w:val="16"/>
              </w:rPr>
            </w:pPr>
            <w:r w:rsidRPr="006F6ABB">
              <w:rPr>
                <w:rFonts w:ascii="Arial" w:hAnsi="Arial" w:cs="Arial"/>
                <w:color w:val="000000"/>
                <w:sz w:val="16"/>
                <w:szCs w:val="16"/>
              </w:rPr>
              <w:t>Variable principal</w:t>
            </w:r>
          </w:p>
        </w:tc>
        <w:tc>
          <w:tcPr>
            <w:tcW w:w="2524" w:type="dxa"/>
          </w:tcPr>
          <w:p w:rsidR="00556DFF" w:rsidRPr="006F6ABB" w:rsidRDefault="00556DFF" w:rsidP="00DB362D">
            <w:pPr>
              <w:autoSpaceDE w:val="0"/>
              <w:autoSpaceDN w:val="0"/>
              <w:adjustRightInd w:val="0"/>
              <w:rPr>
                <w:rFonts w:ascii="Arial" w:hAnsi="Arial" w:cs="Arial"/>
                <w:color w:val="000000"/>
                <w:sz w:val="16"/>
                <w:szCs w:val="16"/>
              </w:rPr>
            </w:pPr>
            <w:r>
              <w:rPr>
                <w:rFonts w:ascii="Arial" w:hAnsi="Arial" w:cs="Arial"/>
                <w:color w:val="000000"/>
                <w:sz w:val="16"/>
                <w:szCs w:val="16"/>
              </w:rPr>
              <w:t>Frecuencia de efectos adversos</w:t>
            </w:r>
          </w:p>
        </w:tc>
        <w:tc>
          <w:tcPr>
            <w:tcW w:w="2126" w:type="dxa"/>
          </w:tcPr>
          <w:p w:rsidR="00556DFF" w:rsidRPr="006F6ABB" w:rsidRDefault="00556DFF" w:rsidP="00DB362D">
            <w:pPr>
              <w:autoSpaceDE w:val="0"/>
              <w:autoSpaceDN w:val="0"/>
              <w:adjustRightInd w:val="0"/>
              <w:rPr>
                <w:rFonts w:ascii="Arial" w:hAnsi="Arial" w:cs="Arial"/>
                <w:color w:val="000000"/>
                <w:sz w:val="16"/>
                <w:szCs w:val="16"/>
              </w:rPr>
            </w:pPr>
          </w:p>
        </w:tc>
        <w:tc>
          <w:tcPr>
            <w:tcW w:w="1843" w:type="dxa"/>
            <w:shd w:val="clear" w:color="auto" w:fill="CCFFCC"/>
          </w:tcPr>
          <w:p w:rsidR="00556DFF" w:rsidRPr="006F6ABB" w:rsidRDefault="00556DFF" w:rsidP="00DB362D">
            <w:pPr>
              <w:autoSpaceDE w:val="0"/>
              <w:autoSpaceDN w:val="0"/>
              <w:adjustRightInd w:val="0"/>
              <w:rPr>
                <w:rFonts w:ascii="Arial" w:hAnsi="Arial" w:cs="Arial"/>
                <w:color w:val="000000"/>
                <w:sz w:val="16"/>
                <w:szCs w:val="16"/>
              </w:rPr>
            </w:pPr>
            <w:r>
              <w:rPr>
                <w:rFonts w:ascii="Arial" w:hAnsi="Arial" w:cs="Arial"/>
                <w:color w:val="000000"/>
                <w:sz w:val="16"/>
                <w:szCs w:val="16"/>
              </w:rPr>
              <w:t>Variable final</w:t>
            </w:r>
          </w:p>
        </w:tc>
      </w:tr>
      <w:tr w:rsidR="00556DFF" w:rsidRPr="006F6ABB" w:rsidTr="008E0AF3">
        <w:tc>
          <w:tcPr>
            <w:tcW w:w="2262" w:type="dxa"/>
          </w:tcPr>
          <w:p w:rsidR="00556DFF" w:rsidRPr="006F6ABB" w:rsidRDefault="00556DFF" w:rsidP="00DB362D">
            <w:pPr>
              <w:autoSpaceDE w:val="0"/>
              <w:autoSpaceDN w:val="0"/>
              <w:adjustRightInd w:val="0"/>
              <w:rPr>
                <w:rFonts w:ascii="Arial" w:hAnsi="Arial" w:cs="Arial"/>
                <w:color w:val="000000"/>
                <w:sz w:val="16"/>
                <w:szCs w:val="16"/>
              </w:rPr>
            </w:pPr>
            <w:r w:rsidRPr="006F6ABB">
              <w:rPr>
                <w:rFonts w:ascii="Arial" w:hAnsi="Arial" w:cs="Arial"/>
                <w:color w:val="000000"/>
                <w:sz w:val="16"/>
                <w:szCs w:val="16"/>
              </w:rPr>
              <w:t>Variable secundaria</w:t>
            </w:r>
            <w:r>
              <w:rPr>
                <w:rFonts w:ascii="Arial" w:hAnsi="Arial" w:cs="Arial"/>
                <w:color w:val="000000"/>
                <w:sz w:val="16"/>
                <w:szCs w:val="16"/>
              </w:rPr>
              <w:t xml:space="preserve"> </w:t>
            </w:r>
          </w:p>
        </w:tc>
        <w:tc>
          <w:tcPr>
            <w:tcW w:w="2524" w:type="dxa"/>
          </w:tcPr>
          <w:p w:rsidR="00556DFF" w:rsidRPr="006F6ABB" w:rsidRDefault="00556DFF" w:rsidP="00DB362D">
            <w:pPr>
              <w:autoSpaceDE w:val="0"/>
              <w:autoSpaceDN w:val="0"/>
              <w:adjustRightInd w:val="0"/>
              <w:rPr>
                <w:rFonts w:ascii="Arial" w:hAnsi="Arial" w:cs="Arial"/>
                <w:color w:val="000000"/>
                <w:sz w:val="16"/>
                <w:szCs w:val="16"/>
              </w:rPr>
            </w:pPr>
            <w:r>
              <w:rPr>
                <w:rFonts w:ascii="Arial" w:hAnsi="Arial" w:cs="Arial"/>
                <w:color w:val="000000"/>
                <w:sz w:val="16"/>
                <w:szCs w:val="16"/>
              </w:rPr>
              <w:t>Fallecimientos</w:t>
            </w:r>
          </w:p>
        </w:tc>
        <w:tc>
          <w:tcPr>
            <w:tcW w:w="2126" w:type="dxa"/>
          </w:tcPr>
          <w:p w:rsidR="00556DFF" w:rsidRPr="006F6ABB" w:rsidRDefault="00556DFF" w:rsidP="00DB362D">
            <w:pPr>
              <w:autoSpaceDE w:val="0"/>
              <w:autoSpaceDN w:val="0"/>
              <w:adjustRightInd w:val="0"/>
              <w:rPr>
                <w:rFonts w:ascii="Arial" w:hAnsi="Arial" w:cs="Arial"/>
                <w:color w:val="000000"/>
                <w:sz w:val="16"/>
                <w:szCs w:val="16"/>
              </w:rPr>
            </w:pPr>
          </w:p>
        </w:tc>
        <w:tc>
          <w:tcPr>
            <w:tcW w:w="1843" w:type="dxa"/>
            <w:shd w:val="clear" w:color="auto" w:fill="CCFFCC"/>
          </w:tcPr>
          <w:p w:rsidR="00556DFF" w:rsidRPr="006F6ABB" w:rsidRDefault="00556DFF" w:rsidP="00DB362D">
            <w:pPr>
              <w:autoSpaceDE w:val="0"/>
              <w:autoSpaceDN w:val="0"/>
              <w:adjustRightInd w:val="0"/>
              <w:rPr>
                <w:rFonts w:ascii="Arial" w:hAnsi="Arial" w:cs="Arial"/>
                <w:color w:val="000000"/>
                <w:sz w:val="16"/>
                <w:szCs w:val="16"/>
              </w:rPr>
            </w:pPr>
            <w:r>
              <w:rPr>
                <w:rFonts w:ascii="Arial" w:hAnsi="Arial" w:cs="Arial"/>
                <w:color w:val="000000"/>
                <w:sz w:val="16"/>
                <w:szCs w:val="16"/>
              </w:rPr>
              <w:t>Variable final</w:t>
            </w:r>
          </w:p>
        </w:tc>
      </w:tr>
    </w:tbl>
    <w:p w:rsidR="00556DFF" w:rsidRDefault="00556DFF" w:rsidP="00BC3E8E">
      <w:pPr>
        <w:autoSpaceDE w:val="0"/>
        <w:autoSpaceDN w:val="0"/>
        <w:adjustRightInd w:val="0"/>
        <w:rPr>
          <w:rFonts w:ascii="Arial" w:hAnsi="Arial" w:cs="Arial"/>
          <w:color w:val="000080"/>
          <w:sz w:val="20"/>
          <w:szCs w:val="20"/>
        </w:rPr>
      </w:pPr>
    </w:p>
    <w:p w:rsidR="00556DFF" w:rsidRPr="006F6ABB" w:rsidRDefault="00556DFF" w:rsidP="00BC3E8E">
      <w:pPr>
        <w:jc w:val="right"/>
        <w:rPr>
          <w:rFonts w:ascii="Arial" w:hAnsi="Arial" w:cs="Arial"/>
          <w:color w:val="0000FF"/>
          <w:sz w:val="20"/>
          <w:szCs w:val="20"/>
          <w:u w:val="single"/>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8" w:name="_Toc344399635"/>
      <w:bookmarkStart w:id="59" w:name="_Toc348931362"/>
      <w:bookmarkStart w:id="60" w:name="_Toc517462763"/>
      <w:r w:rsidRPr="00E3472F">
        <w:rPr>
          <w:rFonts w:cs="Arial"/>
          <w:sz w:val="20"/>
        </w:rPr>
        <w:t>5.2.a Resultados de los ensayos clínicos</w:t>
      </w:r>
      <w:bookmarkEnd w:id="58"/>
      <w:bookmarkEnd w:id="59"/>
      <w:bookmarkEnd w:id="60"/>
      <w:r w:rsidRPr="00E3472F">
        <w:rPr>
          <w:rFonts w:cs="Arial"/>
          <w:sz w:val="20"/>
        </w:rPr>
        <w:t xml:space="preserve"> </w:t>
      </w:r>
    </w:p>
    <w:p w:rsidR="00556DFF" w:rsidRPr="006F6ABB" w:rsidRDefault="00556DFF" w:rsidP="00BC3E8E">
      <w:pPr>
        <w:jc w:val="both"/>
        <w:rPr>
          <w:rFonts w:ascii="Arial" w:hAnsi="Arial" w:cs="Arial"/>
          <w:b/>
          <w:bCs/>
          <w:color w:val="00008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4"/>
        <w:gridCol w:w="1567"/>
        <w:gridCol w:w="1418"/>
        <w:gridCol w:w="1417"/>
        <w:gridCol w:w="992"/>
        <w:gridCol w:w="882"/>
      </w:tblGrid>
      <w:tr w:rsidR="00556DFF" w:rsidRPr="00426B77">
        <w:tc>
          <w:tcPr>
            <w:tcW w:w="8890" w:type="dxa"/>
            <w:gridSpan w:val="6"/>
            <w:shd w:val="clear" w:color="auto" w:fill="CCFFCC"/>
          </w:tcPr>
          <w:p w:rsidR="00556DFF" w:rsidRPr="00615D63" w:rsidRDefault="00556DFF" w:rsidP="003103E8">
            <w:pPr>
              <w:autoSpaceDE w:val="0"/>
              <w:autoSpaceDN w:val="0"/>
              <w:adjustRightInd w:val="0"/>
              <w:rPr>
                <w:rFonts w:ascii="Arial" w:hAnsi="Arial" w:cs="Arial"/>
                <w:b/>
                <w:i/>
                <w:sz w:val="16"/>
                <w:lang w:val="en-GB"/>
              </w:rPr>
            </w:pPr>
            <w:proofErr w:type="spellStart"/>
            <w:r w:rsidRPr="00615D63">
              <w:rPr>
                <w:rFonts w:ascii="Arial" w:hAnsi="Arial" w:cs="Arial"/>
                <w:b/>
                <w:i/>
                <w:sz w:val="20"/>
                <w:szCs w:val="20"/>
                <w:lang w:val="en-GB"/>
              </w:rPr>
              <w:t>Tabla</w:t>
            </w:r>
            <w:proofErr w:type="spellEnd"/>
            <w:r w:rsidRPr="00615D63">
              <w:rPr>
                <w:rFonts w:ascii="Arial" w:hAnsi="Arial" w:cs="Arial"/>
                <w:b/>
                <w:i/>
                <w:sz w:val="20"/>
                <w:szCs w:val="20"/>
                <w:lang w:val="en-GB"/>
              </w:rPr>
              <w:t xml:space="preserve"> 2. </w:t>
            </w:r>
            <w:r w:rsidRPr="00615D63">
              <w:rPr>
                <w:b/>
                <w:bCs/>
                <w:i/>
                <w:iCs/>
                <w:sz w:val="18"/>
                <w:szCs w:val="18"/>
                <w:lang w:val="en-GB"/>
              </w:rPr>
              <w:t>A Randomized, Double-Blind, Placebo-Controlled, Multi-</w:t>
            </w:r>
            <w:proofErr w:type="spellStart"/>
            <w:r w:rsidRPr="00615D63">
              <w:rPr>
                <w:b/>
                <w:bCs/>
                <w:i/>
                <w:iCs/>
                <w:sz w:val="18"/>
                <w:szCs w:val="18"/>
                <w:lang w:val="en-GB"/>
              </w:rPr>
              <w:t>Center</w:t>
            </w:r>
            <w:proofErr w:type="spellEnd"/>
            <w:r w:rsidRPr="00615D63">
              <w:rPr>
                <w:b/>
                <w:bCs/>
                <w:i/>
                <w:iCs/>
                <w:sz w:val="18"/>
                <w:szCs w:val="18"/>
                <w:lang w:val="en-GB"/>
              </w:rPr>
              <w:t xml:space="preserve"> Study to Evaluate the Safety and Efficacy of eculizumab in Subjects with Refractory Generalised Myasthenia Gravis</w:t>
            </w:r>
            <w:r w:rsidRPr="00615D63">
              <w:rPr>
                <w:b/>
                <w:bCs/>
                <w:i/>
                <w:iCs/>
                <w:sz w:val="18"/>
                <w:szCs w:val="18"/>
                <w:vertAlign w:val="superscript"/>
                <w:lang w:val="en-GB"/>
              </w:rPr>
              <w:t>14</w:t>
            </w:r>
          </w:p>
          <w:p w:rsidR="00556DFF" w:rsidRPr="00615D63" w:rsidRDefault="00556DFF" w:rsidP="00C87E71">
            <w:pPr>
              <w:jc w:val="both"/>
              <w:rPr>
                <w:rFonts w:ascii="Arial" w:hAnsi="Arial" w:cs="Arial"/>
                <w:b/>
                <w:i/>
                <w:sz w:val="16"/>
                <w:lang w:val="en-GB"/>
              </w:rPr>
            </w:pPr>
          </w:p>
        </w:tc>
      </w:tr>
      <w:tr w:rsidR="00556DFF" w:rsidRPr="006F6ABB">
        <w:tc>
          <w:tcPr>
            <w:tcW w:w="8890" w:type="dxa"/>
            <w:gridSpan w:val="6"/>
          </w:tcPr>
          <w:p w:rsidR="00556DFF" w:rsidRPr="00C87E71" w:rsidRDefault="00556DFF" w:rsidP="00BC3E8E">
            <w:pPr>
              <w:jc w:val="both"/>
              <w:rPr>
                <w:rFonts w:ascii="Arial" w:hAnsi="Arial" w:cs="Arial"/>
                <w:sz w:val="20"/>
                <w:szCs w:val="20"/>
              </w:rPr>
            </w:pPr>
            <w:r w:rsidRPr="006F6ABB">
              <w:rPr>
                <w:rFonts w:ascii="Arial" w:hAnsi="Arial" w:cs="Arial"/>
                <w:sz w:val="16"/>
              </w:rPr>
              <w:t>-</w:t>
            </w:r>
            <w:r w:rsidRPr="00C87E71">
              <w:rPr>
                <w:rFonts w:ascii="Arial" w:hAnsi="Arial" w:cs="Arial"/>
                <w:sz w:val="20"/>
                <w:szCs w:val="20"/>
              </w:rPr>
              <w:t xml:space="preserve">Nº de pacientes: </w:t>
            </w:r>
            <w:r>
              <w:rPr>
                <w:rFonts w:ascii="Arial" w:hAnsi="Arial" w:cs="Arial"/>
                <w:sz w:val="20"/>
                <w:szCs w:val="20"/>
              </w:rPr>
              <w:t>125 pacientes.</w:t>
            </w:r>
          </w:p>
          <w:p w:rsidR="00556DFF" w:rsidRPr="00C87E71" w:rsidRDefault="00556DFF" w:rsidP="00BC3E8E">
            <w:pPr>
              <w:jc w:val="both"/>
              <w:rPr>
                <w:rFonts w:ascii="Arial" w:hAnsi="Arial" w:cs="Arial"/>
                <w:sz w:val="20"/>
                <w:szCs w:val="20"/>
              </w:rPr>
            </w:pPr>
            <w:r w:rsidRPr="00C87E71">
              <w:rPr>
                <w:rFonts w:ascii="Arial" w:hAnsi="Arial" w:cs="Arial"/>
                <w:sz w:val="20"/>
                <w:szCs w:val="20"/>
              </w:rPr>
              <w:t xml:space="preserve">-Diseño: </w:t>
            </w:r>
            <w:r>
              <w:rPr>
                <w:rFonts w:ascii="Arial" w:hAnsi="Arial" w:cs="Arial"/>
                <w:sz w:val="20"/>
                <w:szCs w:val="20"/>
              </w:rPr>
              <w:t xml:space="preserve">fase III, </w:t>
            </w:r>
            <w:r w:rsidRPr="00C87E71">
              <w:rPr>
                <w:rFonts w:ascii="Arial" w:hAnsi="Arial" w:cs="Arial"/>
                <w:sz w:val="20"/>
                <w:szCs w:val="20"/>
              </w:rPr>
              <w:t>multicéntrico, aleatorizado, doble ciego, contr</w:t>
            </w:r>
            <w:r>
              <w:rPr>
                <w:rFonts w:ascii="Arial" w:hAnsi="Arial" w:cs="Arial"/>
                <w:sz w:val="20"/>
                <w:szCs w:val="20"/>
              </w:rPr>
              <w:t xml:space="preserve">olado con placebo, </w:t>
            </w:r>
            <w:proofErr w:type="spellStart"/>
            <w:r>
              <w:rPr>
                <w:rFonts w:ascii="Arial" w:hAnsi="Arial" w:cs="Arial"/>
                <w:sz w:val="20"/>
                <w:szCs w:val="20"/>
              </w:rPr>
              <w:t>cross-over</w:t>
            </w:r>
            <w:proofErr w:type="spellEnd"/>
            <w:r>
              <w:rPr>
                <w:rFonts w:ascii="Arial" w:hAnsi="Arial" w:cs="Arial"/>
                <w:sz w:val="20"/>
                <w:szCs w:val="20"/>
              </w:rPr>
              <w:t>.</w:t>
            </w:r>
          </w:p>
          <w:p w:rsidR="00556DFF" w:rsidRDefault="00556DFF" w:rsidP="00BC3E8E">
            <w:pPr>
              <w:jc w:val="both"/>
              <w:rPr>
                <w:rFonts w:ascii="Arial" w:hAnsi="Arial" w:cs="Arial"/>
                <w:sz w:val="20"/>
                <w:szCs w:val="20"/>
              </w:rPr>
            </w:pPr>
            <w:r w:rsidRPr="00C87E71">
              <w:rPr>
                <w:rFonts w:ascii="Arial" w:hAnsi="Arial" w:cs="Arial"/>
                <w:sz w:val="20"/>
                <w:szCs w:val="20"/>
              </w:rPr>
              <w:t xml:space="preserve">-Tratamiento grupo activo y tratamiento grupo control:  </w:t>
            </w:r>
          </w:p>
          <w:p w:rsidR="00556DFF" w:rsidRDefault="00556DFF" w:rsidP="00BC3E8E">
            <w:pPr>
              <w:jc w:val="both"/>
              <w:rPr>
                <w:rFonts w:ascii="Arial" w:hAnsi="Arial" w:cs="Arial"/>
                <w:sz w:val="20"/>
                <w:szCs w:val="20"/>
              </w:rPr>
            </w:pPr>
            <w:r>
              <w:rPr>
                <w:rFonts w:ascii="Arial" w:hAnsi="Arial" w:cs="Arial"/>
                <w:sz w:val="20"/>
                <w:szCs w:val="20"/>
              </w:rPr>
              <w:t xml:space="preserve">Grupo Activo: </w:t>
            </w:r>
            <w:proofErr w:type="spellStart"/>
            <w:r>
              <w:rPr>
                <w:rFonts w:ascii="Arial" w:hAnsi="Arial" w:cs="Arial"/>
                <w:sz w:val="20"/>
                <w:szCs w:val="20"/>
              </w:rPr>
              <w:t>Eculizumab</w:t>
            </w:r>
            <w:proofErr w:type="spellEnd"/>
            <w:r>
              <w:rPr>
                <w:rFonts w:ascii="Arial" w:hAnsi="Arial" w:cs="Arial"/>
                <w:sz w:val="20"/>
                <w:szCs w:val="20"/>
              </w:rPr>
              <w:t xml:space="preserve"> durante 26 semanas seguido de un periodo de seguimiento de 8 semanas.</w:t>
            </w:r>
          </w:p>
          <w:p w:rsidR="00556DFF" w:rsidRPr="00C87E71" w:rsidRDefault="00556DFF" w:rsidP="00BC3E8E">
            <w:pPr>
              <w:jc w:val="both"/>
              <w:rPr>
                <w:rFonts w:ascii="Arial" w:hAnsi="Arial" w:cs="Arial"/>
                <w:sz w:val="20"/>
                <w:szCs w:val="20"/>
              </w:rPr>
            </w:pPr>
            <w:r>
              <w:rPr>
                <w:rFonts w:ascii="Arial" w:hAnsi="Arial" w:cs="Arial"/>
                <w:sz w:val="20"/>
                <w:szCs w:val="20"/>
              </w:rPr>
              <w:t>Grupo Control: Placebo 26 semanas seguido de un periodo de seguimiento de 8 semanas.</w:t>
            </w:r>
          </w:p>
          <w:p w:rsidR="00556DFF" w:rsidRPr="00535287" w:rsidRDefault="00556DFF" w:rsidP="00535287">
            <w:pPr>
              <w:jc w:val="both"/>
              <w:rPr>
                <w:rFonts w:ascii="Arial" w:hAnsi="Arial" w:cs="Arial"/>
                <w:sz w:val="20"/>
                <w:szCs w:val="20"/>
              </w:rPr>
            </w:pPr>
            <w:r w:rsidRPr="00C87E71">
              <w:rPr>
                <w:rFonts w:ascii="Arial" w:hAnsi="Arial" w:cs="Arial"/>
                <w:sz w:val="20"/>
                <w:szCs w:val="20"/>
              </w:rPr>
              <w:t xml:space="preserve">-Criterios de inclusión: </w:t>
            </w:r>
          </w:p>
          <w:p w:rsidR="00556DFF" w:rsidRPr="00535287" w:rsidRDefault="00556DFF" w:rsidP="005F63C6">
            <w:pPr>
              <w:numPr>
                <w:ilvl w:val="0"/>
                <w:numId w:val="2"/>
              </w:numPr>
              <w:jc w:val="both"/>
              <w:rPr>
                <w:rFonts w:ascii="Arial" w:hAnsi="Arial" w:cs="Arial"/>
                <w:sz w:val="20"/>
                <w:szCs w:val="20"/>
              </w:rPr>
            </w:pPr>
            <w:r w:rsidRPr="00535287">
              <w:rPr>
                <w:rFonts w:ascii="Arial" w:hAnsi="Arial" w:cs="Arial"/>
                <w:sz w:val="20"/>
                <w:szCs w:val="20"/>
              </w:rPr>
              <w:t>Pacientes ≥18 años de edad</w:t>
            </w:r>
            <w:r>
              <w:rPr>
                <w:rFonts w:ascii="Arial" w:hAnsi="Arial" w:cs="Arial"/>
                <w:sz w:val="20"/>
                <w:szCs w:val="20"/>
              </w:rPr>
              <w:t>.</w:t>
            </w:r>
          </w:p>
          <w:p w:rsidR="00556DFF" w:rsidRPr="00535287" w:rsidRDefault="00556DFF" w:rsidP="005F63C6">
            <w:pPr>
              <w:numPr>
                <w:ilvl w:val="0"/>
                <w:numId w:val="2"/>
              </w:numPr>
              <w:jc w:val="both"/>
              <w:rPr>
                <w:rFonts w:ascii="Arial" w:hAnsi="Arial" w:cs="Arial"/>
                <w:sz w:val="20"/>
                <w:szCs w:val="20"/>
              </w:rPr>
            </w:pPr>
            <w:r w:rsidRPr="00535287">
              <w:rPr>
                <w:rFonts w:ascii="Arial" w:hAnsi="Arial" w:cs="Arial"/>
                <w:sz w:val="20"/>
                <w:szCs w:val="20"/>
              </w:rPr>
              <w:t>Diagnóstico de MG mediante las siguientes pruebas:</w:t>
            </w:r>
          </w:p>
          <w:p w:rsidR="00556DFF" w:rsidRPr="00535287" w:rsidRDefault="00556DFF" w:rsidP="000B4921">
            <w:pPr>
              <w:ind w:left="360"/>
              <w:jc w:val="both"/>
              <w:rPr>
                <w:rFonts w:ascii="Arial" w:hAnsi="Arial" w:cs="Arial"/>
                <w:sz w:val="20"/>
                <w:szCs w:val="20"/>
              </w:rPr>
            </w:pPr>
            <w:r>
              <w:rPr>
                <w:rFonts w:ascii="Arial" w:hAnsi="Arial" w:cs="Arial"/>
                <w:sz w:val="20"/>
                <w:szCs w:val="20"/>
              </w:rPr>
              <w:t xml:space="preserve">      </w:t>
            </w:r>
            <w:r w:rsidRPr="00535287">
              <w:rPr>
                <w:rFonts w:ascii="Arial" w:hAnsi="Arial" w:cs="Arial"/>
                <w:sz w:val="20"/>
                <w:szCs w:val="20"/>
              </w:rPr>
              <w:t>a. Pru</w:t>
            </w:r>
            <w:r>
              <w:rPr>
                <w:rFonts w:ascii="Arial" w:hAnsi="Arial" w:cs="Arial"/>
                <w:sz w:val="20"/>
                <w:szCs w:val="20"/>
              </w:rPr>
              <w:t>eba serológica positiva para Ac</w:t>
            </w:r>
            <w:r w:rsidRPr="00535287">
              <w:rPr>
                <w:rFonts w:ascii="Arial" w:hAnsi="Arial" w:cs="Arial"/>
                <w:sz w:val="20"/>
                <w:szCs w:val="20"/>
              </w:rPr>
              <w:t xml:space="preserve"> anti-</w:t>
            </w:r>
            <w:proofErr w:type="spellStart"/>
            <w:r w:rsidRPr="00535287">
              <w:rPr>
                <w:rFonts w:ascii="Arial" w:hAnsi="Arial" w:cs="Arial"/>
                <w:sz w:val="20"/>
                <w:szCs w:val="20"/>
              </w:rPr>
              <w:t>AChR</w:t>
            </w:r>
            <w:proofErr w:type="spellEnd"/>
            <w:r w:rsidRPr="00535287">
              <w:rPr>
                <w:rFonts w:ascii="Arial" w:hAnsi="Arial" w:cs="Arial"/>
                <w:sz w:val="20"/>
                <w:szCs w:val="20"/>
              </w:rPr>
              <w:t>, y</w:t>
            </w:r>
            <w:r>
              <w:rPr>
                <w:rFonts w:ascii="Arial" w:hAnsi="Arial" w:cs="Arial"/>
                <w:sz w:val="20"/>
                <w:szCs w:val="20"/>
              </w:rPr>
              <w:t xml:space="preserve"> uno de los siguientes:</w:t>
            </w:r>
          </w:p>
          <w:p w:rsidR="00556DFF" w:rsidRPr="00535287" w:rsidRDefault="00556DFF" w:rsidP="00DC501F">
            <w:pPr>
              <w:ind w:left="720"/>
              <w:jc w:val="both"/>
              <w:rPr>
                <w:rFonts w:ascii="Arial" w:hAnsi="Arial" w:cs="Arial"/>
                <w:sz w:val="20"/>
                <w:szCs w:val="20"/>
              </w:rPr>
            </w:pPr>
            <w:r>
              <w:rPr>
                <w:rFonts w:ascii="Arial" w:hAnsi="Arial" w:cs="Arial"/>
                <w:sz w:val="20"/>
                <w:szCs w:val="20"/>
              </w:rPr>
              <w:t>-</w:t>
            </w:r>
            <w:r w:rsidRPr="00535287">
              <w:rPr>
                <w:rFonts w:ascii="Arial" w:hAnsi="Arial" w:cs="Arial"/>
                <w:sz w:val="20"/>
                <w:szCs w:val="20"/>
              </w:rPr>
              <w:t>Historial de prueba de transmisión neuromuscular anormal demostrado por electromiografía de fibra única o estimulación nerviosa repetitiva;</w:t>
            </w:r>
          </w:p>
          <w:p w:rsidR="00556DFF" w:rsidRDefault="00556DFF" w:rsidP="00DC501F">
            <w:pPr>
              <w:ind w:left="720"/>
              <w:jc w:val="both"/>
              <w:rPr>
                <w:rFonts w:ascii="Arial" w:hAnsi="Arial" w:cs="Arial"/>
                <w:sz w:val="20"/>
                <w:szCs w:val="20"/>
              </w:rPr>
            </w:pPr>
            <w:r>
              <w:rPr>
                <w:rFonts w:ascii="Arial" w:hAnsi="Arial" w:cs="Arial"/>
                <w:sz w:val="20"/>
                <w:szCs w:val="20"/>
              </w:rPr>
              <w:t>-</w:t>
            </w:r>
            <w:r w:rsidRPr="00535287">
              <w:rPr>
                <w:rFonts w:ascii="Arial" w:hAnsi="Arial" w:cs="Arial"/>
                <w:sz w:val="20"/>
                <w:szCs w:val="20"/>
              </w:rPr>
              <w:t>Antecedentes de prueba de anticolinesterásicos positivos (p. Ej., Pr</w:t>
            </w:r>
            <w:r>
              <w:rPr>
                <w:rFonts w:ascii="Arial" w:hAnsi="Arial" w:cs="Arial"/>
                <w:sz w:val="20"/>
                <w:szCs w:val="20"/>
              </w:rPr>
              <w:t xml:space="preserve">ueba de cloruro de </w:t>
            </w:r>
            <w:proofErr w:type="spellStart"/>
            <w:r>
              <w:rPr>
                <w:rFonts w:ascii="Arial" w:hAnsi="Arial" w:cs="Arial"/>
                <w:sz w:val="20"/>
                <w:szCs w:val="20"/>
              </w:rPr>
              <w:t>edrofonio</w:t>
            </w:r>
            <w:proofErr w:type="spellEnd"/>
            <w:r>
              <w:rPr>
                <w:rFonts w:ascii="Arial" w:hAnsi="Arial" w:cs="Arial"/>
                <w:sz w:val="20"/>
                <w:szCs w:val="20"/>
              </w:rPr>
              <w:t>);</w:t>
            </w:r>
          </w:p>
          <w:p w:rsidR="00556DFF" w:rsidRDefault="00556DFF" w:rsidP="00DC501F">
            <w:pPr>
              <w:ind w:left="720"/>
              <w:jc w:val="both"/>
              <w:rPr>
                <w:rFonts w:ascii="Arial" w:hAnsi="Arial" w:cs="Arial"/>
                <w:sz w:val="20"/>
                <w:szCs w:val="20"/>
              </w:rPr>
            </w:pPr>
            <w:r>
              <w:rPr>
                <w:rFonts w:ascii="Arial" w:hAnsi="Arial" w:cs="Arial"/>
                <w:sz w:val="20"/>
                <w:szCs w:val="20"/>
              </w:rPr>
              <w:t>-M</w:t>
            </w:r>
            <w:r w:rsidRPr="00535287">
              <w:rPr>
                <w:rFonts w:ascii="Arial" w:hAnsi="Arial" w:cs="Arial"/>
                <w:sz w:val="20"/>
                <w:szCs w:val="20"/>
              </w:rPr>
              <w:t>ejoría en los signos de MG en los inhibidores orales de la colinesterasa, según lo evaluado por el médico tratante</w:t>
            </w:r>
            <w:r>
              <w:rPr>
                <w:rFonts w:ascii="Arial" w:hAnsi="Arial" w:cs="Arial"/>
                <w:sz w:val="20"/>
                <w:szCs w:val="20"/>
              </w:rPr>
              <w:t>.</w:t>
            </w:r>
          </w:p>
          <w:p w:rsidR="00556DFF" w:rsidRDefault="00556DFF" w:rsidP="005F63C6">
            <w:pPr>
              <w:numPr>
                <w:ilvl w:val="0"/>
                <w:numId w:val="2"/>
              </w:numPr>
              <w:jc w:val="both"/>
              <w:rPr>
                <w:rFonts w:ascii="Arial" w:hAnsi="Arial" w:cs="Arial"/>
                <w:sz w:val="20"/>
                <w:szCs w:val="20"/>
              </w:rPr>
            </w:pPr>
            <w:r w:rsidRPr="00DC501F">
              <w:rPr>
                <w:rFonts w:ascii="Arial" w:hAnsi="Arial" w:cs="Arial"/>
                <w:sz w:val="20"/>
                <w:szCs w:val="20"/>
              </w:rPr>
              <w:t xml:space="preserve">Clasificación clínica de la miastenia grave de la </w:t>
            </w:r>
            <w:r>
              <w:rPr>
                <w:rFonts w:ascii="Arial" w:hAnsi="Arial" w:cs="Arial"/>
                <w:sz w:val="20"/>
                <w:szCs w:val="20"/>
              </w:rPr>
              <w:t>MGFA</w:t>
            </w:r>
            <w:r w:rsidRPr="00DC501F">
              <w:rPr>
                <w:rFonts w:ascii="Arial" w:hAnsi="Arial" w:cs="Arial"/>
                <w:sz w:val="20"/>
                <w:szCs w:val="20"/>
              </w:rPr>
              <w:t xml:space="preserve"> Clase II a IV en el cribado</w:t>
            </w:r>
            <w:r>
              <w:rPr>
                <w:rFonts w:ascii="Arial" w:hAnsi="Arial" w:cs="Arial"/>
                <w:sz w:val="20"/>
                <w:szCs w:val="20"/>
              </w:rPr>
              <w:t>.</w:t>
            </w:r>
          </w:p>
          <w:p w:rsidR="00556DFF" w:rsidRDefault="00556DFF" w:rsidP="005F63C6">
            <w:pPr>
              <w:numPr>
                <w:ilvl w:val="0"/>
                <w:numId w:val="2"/>
              </w:numPr>
              <w:jc w:val="both"/>
              <w:rPr>
                <w:rFonts w:ascii="Arial" w:hAnsi="Arial" w:cs="Arial"/>
                <w:sz w:val="20"/>
                <w:szCs w:val="20"/>
              </w:rPr>
            </w:pPr>
            <w:r w:rsidRPr="00DC501F">
              <w:rPr>
                <w:rFonts w:ascii="Arial" w:hAnsi="Arial" w:cs="Arial"/>
                <w:sz w:val="20"/>
                <w:szCs w:val="20"/>
              </w:rPr>
              <w:t>Puntuación total de MG-ADL ≥6 en el cribado y en la aleatorización (día 1)</w:t>
            </w:r>
            <w:r>
              <w:rPr>
                <w:rFonts w:ascii="Arial" w:hAnsi="Arial" w:cs="Arial"/>
                <w:sz w:val="20"/>
                <w:szCs w:val="20"/>
              </w:rPr>
              <w:t>.</w:t>
            </w:r>
          </w:p>
          <w:p w:rsidR="00556DFF" w:rsidRPr="00DC501F" w:rsidRDefault="00556DFF" w:rsidP="005F63C6">
            <w:pPr>
              <w:numPr>
                <w:ilvl w:val="0"/>
                <w:numId w:val="2"/>
              </w:numPr>
              <w:jc w:val="both"/>
              <w:rPr>
                <w:rFonts w:ascii="Arial" w:hAnsi="Arial" w:cs="Arial"/>
                <w:sz w:val="20"/>
                <w:szCs w:val="20"/>
              </w:rPr>
            </w:pPr>
            <w:r w:rsidRPr="00DC501F">
              <w:rPr>
                <w:rFonts w:ascii="Arial" w:hAnsi="Arial" w:cs="Arial"/>
                <w:sz w:val="20"/>
                <w:szCs w:val="20"/>
              </w:rPr>
              <w:t>Pacientes que tuvieron lo siguiente:</w:t>
            </w:r>
          </w:p>
          <w:p w:rsidR="00556DFF" w:rsidRDefault="00556DFF" w:rsidP="000B4921">
            <w:pPr>
              <w:numPr>
                <w:ilvl w:val="0"/>
                <w:numId w:val="5"/>
              </w:numPr>
              <w:tabs>
                <w:tab w:val="left" w:pos="993"/>
              </w:tabs>
              <w:ind w:left="709" w:firstLine="0"/>
              <w:jc w:val="both"/>
              <w:rPr>
                <w:rFonts w:ascii="Arial" w:hAnsi="Arial" w:cs="Arial"/>
                <w:sz w:val="20"/>
                <w:szCs w:val="20"/>
              </w:rPr>
            </w:pPr>
            <w:r>
              <w:rPr>
                <w:rFonts w:ascii="Arial" w:hAnsi="Arial" w:cs="Arial"/>
                <w:sz w:val="20"/>
                <w:szCs w:val="20"/>
              </w:rPr>
              <w:t>Fracaso d</w:t>
            </w:r>
            <w:r w:rsidRPr="00DC501F">
              <w:rPr>
                <w:rFonts w:ascii="Arial" w:hAnsi="Arial" w:cs="Arial"/>
                <w:sz w:val="20"/>
                <w:szCs w:val="20"/>
              </w:rPr>
              <w:t>el tratamiento durante 1 año o más con 2 o más T</w:t>
            </w:r>
            <w:r>
              <w:rPr>
                <w:rFonts w:ascii="Arial" w:hAnsi="Arial" w:cs="Arial"/>
                <w:sz w:val="20"/>
                <w:szCs w:val="20"/>
              </w:rPr>
              <w:t>IS</w:t>
            </w:r>
            <w:r w:rsidRPr="00DC501F">
              <w:rPr>
                <w:rFonts w:ascii="Arial" w:hAnsi="Arial" w:cs="Arial"/>
                <w:sz w:val="20"/>
                <w:szCs w:val="20"/>
              </w:rPr>
              <w:t xml:space="preserve"> (ya sea en </w:t>
            </w:r>
            <w:r>
              <w:rPr>
                <w:rFonts w:ascii="Arial" w:hAnsi="Arial" w:cs="Arial"/>
                <w:sz w:val="20"/>
                <w:szCs w:val="20"/>
              </w:rPr>
              <w:t>combinación o como monoterapia).</w:t>
            </w:r>
          </w:p>
          <w:p w:rsidR="00556DFF" w:rsidRPr="00DC501F" w:rsidRDefault="00556DFF" w:rsidP="000B4921">
            <w:pPr>
              <w:numPr>
                <w:ilvl w:val="0"/>
                <w:numId w:val="5"/>
              </w:numPr>
              <w:tabs>
                <w:tab w:val="left" w:pos="993"/>
              </w:tabs>
              <w:ind w:left="720" w:hanging="11"/>
              <w:jc w:val="both"/>
              <w:rPr>
                <w:rFonts w:ascii="Arial" w:hAnsi="Arial" w:cs="Arial"/>
                <w:sz w:val="20"/>
                <w:szCs w:val="20"/>
              </w:rPr>
            </w:pPr>
            <w:r>
              <w:rPr>
                <w:rFonts w:ascii="Arial" w:hAnsi="Arial" w:cs="Arial"/>
                <w:sz w:val="20"/>
                <w:szCs w:val="20"/>
              </w:rPr>
              <w:t>Fallo de</w:t>
            </w:r>
            <w:r w:rsidRPr="00DC501F">
              <w:rPr>
                <w:rFonts w:ascii="Arial" w:hAnsi="Arial" w:cs="Arial"/>
                <w:sz w:val="20"/>
                <w:szCs w:val="20"/>
              </w:rPr>
              <w:t xml:space="preserve"> al </w:t>
            </w:r>
            <w:r>
              <w:rPr>
                <w:rFonts w:ascii="Arial" w:hAnsi="Arial" w:cs="Arial"/>
                <w:sz w:val="20"/>
                <w:szCs w:val="20"/>
              </w:rPr>
              <w:t xml:space="preserve">menos una TIS </w:t>
            </w:r>
            <w:r w:rsidRPr="00DC501F">
              <w:rPr>
                <w:rFonts w:ascii="Arial" w:hAnsi="Arial" w:cs="Arial"/>
                <w:sz w:val="20"/>
                <w:szCs w:val="20"/>
              </w:rPr>
              <w:t xml:space="preserve">y requirió plasmaféresis crónica, PE o </w:t>
            </w:r>
            <w:proofErr w:type="spellStart"/>
            <w:r w:rsidRPr="00DC501F">
              <w:rPr>
                <w:rFonts w:ascii="Arial" w:hAnsi="Arial" w:cs="Arial"/>
                <w:sz w:val="20"/>
                <w:szCs w:val="20"/>
              </w:rPr>
              <w:t>IgIV</w:t>
            </w:r>
            <w:proofErr w:type="spellEnd"/>
            <w:r w:rsidRPr="00DC501F">
              <w:rPr>
                <w:rFonts w:ascii="Arial" w:hAnsi="Arial" w:cs="Arial"/>
                <w:sz w:val="20"/>
                <w:szCs w:val="20"/>
              </w:rPr>
              <w:t xml:space="preserve"> para controlar los síntomas</w:t>
            </w:r>
            <w:r>
              <w:rPr>
                <w:rFonts w:ascii="Arial" w:hAnsi="Arial" w:cs="Arial"/>
                <w:sz w:val="20"/>
                <w:szCs w:val="20"/>
              </w:rPr>
              <w:t>.</w:t>
            </w:r>
            <w:r w:rsidRPr="00DC501F">
              <w:rPr>
                <w:rFonts w:ascii="Arial" w:hAnsi="Arial" w:cs="Arial"/>
                <w:sz w:val="20"/>
                <w:szCs w:val="20"/>
              </w:rPr>
              <w:t xml:space="preserve"> </w:t>
            </w:r>
          </w:p>
          <w:p w:rsidR="00556DFF" w:rsidRDefault="00556DFF" w:rsidP="000B4921">
            <w:pPr>
              <w:numPr>
                <w:ilvl w:val="0"/>
                <w:numId w:val="5"/>
              </w:numPr>
              <w:tabs>
                <w:tab w:val="left" w:pos="993"/>
              </w:tabs>
              <w:ind w:left="720" w:hanging="11"/>
              <w:jc w:val="both"/>
              <w:rPr>
                <w:rFonts w:ascii="Arial" w:hAnsi="Arial" w:cs="Arial"/>
                <w:sz w:val="20"/>
                <w:szCs w:val="20"/>
              </w:rPr>
            </w:pPr>
            <w:r w:rsidRPr="00DC501F">
              <w:rPr>
                <w:rFonts w:ascii="Arial" w:hAnsi="Arial" w:cs="Arial"/>
                <w:sz w:val="20"/>
                <w:szCs w:val="20"/>
              </w:rPr>
              <w:t xml:space="preserve">Las </w:t>
            </w:r>
            <w:r>
              <w:rPr>
                <w:rFonts w:ascii="Arial" w:hAnsi="Arial" w:cs="Arial"/>
                <w:sz w:val="20"/>
                <w:szCs w:val="20"/>
              </w:rPr>
              <w:t>TIS</w:t>
            </w:r>
            <w:r w:rsidRPr="00DC501F">
              <w:rPr>
                <w:rFonts w:ascii="Arial" w:hAnsi="Arial" w:cs="Arial"/>
                <w:sz w:val="20"/>
                <w:szCs w:val="20"/>
              </w:rPr>
              <w:t xml:space="preserve"> incluyeron, pero no se limitaron a, corticosteroides, AZA,</w:t>
            </w:r>
            <w:r>
              <w:rPr>
                <w:rFonts w:ascii="Arial" w:hAnsi="Arial" w:cs="Arial"/>
                <w:sz w:val="20"/>
                <w:szCs w:val="20"/>
              </w:rPr>
              <w:t xml:space="preserve"> MMF,</w:t>
            </w:r>
            <w:r w:rsidRPr="00DC501F">
              <w:rPr>
                <w:rFonts w:ascii="Arial" w:hAnsi="Arial" w:cs="Arial"/>
                <w:sz w:val="20"/>
                <w:szCs w:val="20"/>
              </w:rPr>
              <w:t xml:space="preserve"> MTX, </w:t>
            </w:r>
            <w:r w:rsidRPr="005C44CF">
              <w:rPr>
                <w:rFonts w:ascii="Arial" w:hAnsi="Arial" w:cs="Arial"/>
                <w:sz w:val="20"/>
                <w:szCs w:val="20"/>
              </w:rPr>
              <w:t>CYC</w:t>
            </w:r>
            <w:r>
              <w:rPr>
                <w:rFonts w:ascii="Arial" w:hAnsi="Arial" w:cs="Arial"/>
                <w:sz w:val="20"/>
                <w:szCs w:val="20"/>
              </w:rPr>
              <w:t xml:space="preserve">, </w:t>
            </w:r>
            <w:r w:rsidRPr="00DC501F">
              <w:rPr>
                <w:rFonts w:ascii="Arial" w:hAnsi="Arial" w:cs="Arial"/>
                <w:sz w:val="20"/>
                <w:szCs w:val="20"/>
              </w:rPr>
              <w:t>TAC o c</w:t>
            </w:r>
            <w:r>
              <w:rPr>
                <w:rFonts w:ascii="Arial" w:hAnsi="Arial" w:cs="Arial"/>
                <w:sz w:val="20"/>
                <w:szCs w:val="20"/>
              </w:rPr>
              <w:t>iclofosfamida.</w:t>
            </w:r>
          </w:p>
          <w:p w:rsidR="00556DFF" w:rsidRDefault="00556DFF" w:rsidP="000B4921">
            <w:pPr>
              <w:numPr>
                <w:ilvl w:val="0"/>
                <w:numId w:val="2"/>
              </w:numPr>
              <w:jc w:val="both"/>
              <w:rPr>
                <w:rFonts w:ascii="Arial" w:hAnsi="Arial" w:cs="Arial"/>
                <w:sz w:val="20"/>
                <w:szCs w:val="20"/>
              </w:rPr>
            </w:pPr>
            <w:r w:rsidRPr="00DC501F">
              <w:rPr>
                <w:rFonts w:ascii="Arial" w:hAnsi="Arial" w:cs="Arial"/>
                <w:sz w:val="20"/>
                <w:szCs w:val="20"/>
              </w:rPr>
              <w:t>Si los pacientes que ingresaron al estudio recibían T</w:t>
            </w:r>
            <w:r>
              <w:rPr>
                <w:rFonts w:ascii="Arial" w:hAnsi="Arial" w:cs="Arial"/>
                <w:sz w:val="20"/>
                <w:szCs w:val="20"/>
              </w:rPr>
              <w:t>IS</w:t>
            </w:r>
            <w:r w:rsidRPr="00DC501F">
              <w:rPr>
                <w:rFonts w:ascii="Arial" w:hAnsi="Arial" w:cs="Arial"/>
                <w:sz w:val="20"/>
                <w:szCs w:val="20"/>
              </w:rPr>
              <w:t>, se</w:t>
            </w:r>
            <w:r>
              <w:rPr>
                <w:rFonts w:ascii="Arial" w:hAnsi="Arial" w:cs="Arial"/>
                <w:sz w:val="20"/>
                <w:szCs w:val="20"/>
              </w:rPr>
              <w:t xml:space="preserve"> les requirió haber estado en </w:t>
            </w:r>
            <w:r w:rsidRPr="00DC501F">
              <w:rPr>
                <w:rFonts w:ascii="Arial" w:hAnsi="Arial" w:cs="Arial"/>
                <w:sz w:val="20"/>
                <w:szCs w:val="20"/>
              </w:rPr>
              <w:t>T</w:t>
            </w:r>
            <w:r>
              <w:rPr>
                <w:rFonts w:ascii="Arial" w:hAnsi="Arial" w:cs="Arial"/>
                <w:sz w:val="20"/>
                <w:szCs w:val="20"/>
              </w:rPr>
              <w:t>IS</w:t>
            </w:r>
            <w:r w:rsidRPr="00DC501F">
              <w:rPr>
                <w:rFonts w:ascii="Arial" w:hAnsi="Arial" w:cs="Arial"/>
                <w:sz w:val="20"/>
                <w:szCs w:val="20"/>
              </w:rPr>
              <w:t xml:space="preserve"> durante ≥6 meses (para AZA y en una dosis est</w:t>
            </w:r>
            <w:r>
              <w:rPr>
                <w:rFonts w:ascii="Arial" w:hAnsi="Arial" w:cs="Arial"/>
                <w:sz w:val="20"/>
                <w:szCs w:val="20"/>
              </w:rPr>
              <w:t>able durante ≥2 meses antes de s</w:t>
            </w:r>
            <w:r w:rsidRPr="00DC501F">
              <w:rPr>
                <w:rFonts w:ascii="Arial" w:hAnsi="Arial" w:cs="Arial"/>
                <w:sz w:val="20"/>
                <w:szCs w:val="20"/>
              </w:rPr>
              <w:t xml:space="preserve">creening) o </w:t>
            </w:r>
            <w:r>
              <w:rPr>
                <w:rFonts w:ascii="Arial" w:hAnsi="Arial" w:cs="Arial"/>
                <w:sz w:val="20"/>
                <w:szCs w:val="20"/>
              </w:rPr>
              <w:t>durante ≥3 meses para otros TIS</w:t>
            </w:r>
            <w:r w:rsidRPr="00DC501F">
              <w:rPr>
                <w:rFonts w:ascii="Arial" w:hAnsi="Arial" w:cs="Arial"/>
                <w:sz w:val="20"/>
                <w:szCs w:val="20"/>
              </w:rPr>
              <w:t>.</w:t>
            </w:r>
          </w:p>
          <w:p w:rsidR="00556DFF" w:rsidRDefault="00556DFF" w:rsidP="000B4921">
            <w:pPr>
              <w:numPr>
                <w:ilvl w:val="0"/>
                <w:numId w:val="2"/>
              </w:numPr>
              <w:jc w:val="both"/>
              <w:rPr>
                <w:rFonts w:ascii="Arial" w:hAnsi="Arial" w:cs="Arial"/>
                <w:sz w:val="20"/>
                <w:szCs w:val="20"/>
              </w:rPr>
            </w:pPr>
            <w:r w:rsidRPr="000B4921">
              <w:rPr>
                <w:rFonts w:ascii="Arial" w:hAnsi="Arial" w:cs="Arial"/>
                <w:sz w:val="20"/>
                <w:szCs w:val="20"/>
              </w:rPr>
              <w:t>Si los pacientes que ingresaron al estudio recibían corticosteroides orales, se les requirió haber estado en una dosis estable durante ≥4 semanas (es decir, 28 días) antes del examen.</w:t>
            </w:r>
          </w:p>
          <w:p w:rsidR="00556DFF" w:rsidRPr="000B4921" w:rsidRDefault="00556DFF" w:rsidP="000B4921">
            <w:pPr>
              <w:numPr>
                <w:ilvl w:val="0"/>
                <w:numId w:val="2"/>
              </w:numPr>
              <w:jc w:val="both"/>
              <w:rPr>
                <w:rFonts w:ascii="Arial" w:hAnsi="Arial" w:cs="Arial"/>
                <w:sz w:val="20"/>
                <w:szCs w:val="20"/>
              </w:rPr>
            </w:pPr>
            <w:r w:rsidRPr="000B4921">
              <w:rPr>
                <w:rFonts w:ascii="Arial" w:hAnsi="Arial" w:cs="Arial"/>
                <w:sz w:val="20"/>
                <w:szCs w:val="20"/>
              </w:rPr>
              <w:t>Si los pacientes que ingresaron al estudio recibían un inhibidor de la colinesterasa, se les requirió estar en una dosis estable durante ≥2 semanas antes del examen.</w:t>
            </w:r>
          </w:p>
          <w:p w:rsidR="00556DFF" w:rsidRDefault="00556DFF" w:rsidP="00C54AFB">
            <w:pPr>
              <w:jc w:val="both"/>
              <w:rPr>
                <w:rFonts w:ascii="Arial" w:hAnsi="Arial" w:cs="Arial"/>
                <w:sz w:val="20"/>
                <w:szCs w:val="20"/>
              </w:rPr>
            </w:pPr>
            <w:r w:rsidRPr="00C87E71">
              <w:rPr>
                <w:rFonts w:ascii="Arial" w:hAnsi="Arial" w:cs="Arial"/>
                <w:sz w:val="20"/>
                <w:szCs w:val="20"/>
              </w:rPr>
              <w:t xml:space="preserve">-Criterios de exclusión: </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 xml:space="preserve">1. Historial de </w:t>
            </w:r>
            <w:proofErr w:type="spellStart"/>
            <w:r w:rsidRPr="00DC501F">
              <w:rPr>
                <w:rFonts w:ascii="Arial" w:hAnsi="Arial" w:cs="Arial"/>
                <w:sz w:val="20"/>
                <w:szCs w:val="20"/>
              </w:rPr>
              <w:t>timoma</w:t>
            </w:r>
            <w:proofErr w:type="spellEnd"/>
            <w:r w:rsidRPr="00DC501F">
              <w:rPr>
                <w:rFonts w:ascii="Arial" w:hAnsi="Arial" w:cs="Arial"/>
                <w:sz w:val="20"/>
                <w:szCs w:val="20"/>
              </w:rPr>
              <w:t xml:space="preserve"> u otras neoplasias del timo</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 xml:space="preserve">2. Historial de </w:t>
            </w:r>
            <w:proofErr w:type="spellStart"/>
            <w:r w:rsidRPr="00DC501F">
              <w:rPr>
                <w:rFonts w:ascii="Arial" w:hAnsi="Arial" w:cs="Arial"/>
                <w:sz w:val="20"/>
                <w:szCs w:val="20"/>
              </w:rPr>
              <w:t>timectomía</w:t>
            </w:r>
            <w:proofErr w:type="spellEnd"/>
            <w:r w:rsidRPr="00DC501F">
              <w:rPr>
                <w:rFonts w:ascii="Arial" w:hAnsi="Arial" w:cs="Arial"/>
                <w:sz w:val="20"/>
                <w:szCs w:val="20"/>
              </w:rPr>
              <w:t xml:space="preserve"> dentro de los 12 meses anteriores al cribado</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3. Debilidad que solo afecta los músculos oculares o perioculares (MGFA Clase I)</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4. Crisis miasténica en el cribado (MGFA Clase V)</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5. Embarazo o lactancia</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6. Cualquier infección bacteriana sistémica u otra infección clínicamente significativa en opinión del investigador y que no haya sido tratada con los antibióticos apropiados</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7. Infección meningocócica no resuelta</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 xml:space="preserve">8. Uso de </w:t>
            </w:r>
            <w:proofErr w:type="spellStart"/>
            <w:r w:rsidRPr="00DC501F">
              <w:rPr>
                <w:rFonts w:ascii="Arial" w:hAnsi="Arial" w:cs="Arial"/>
                <w:sz w:val="20"/>
                <w:szCs w:val="20"/>
              </w:rPr>
              <w:t>IgIV</w:t>
            </w:r>
            <w:proofErr w:type="spellEnd"/>
            <w:r w:rsidRPr="00DC501F">
              <w:rPr>
                <w:rFonts w:ascii="Arial" w:hAnsi="Arial" w:cs="Arial"/>
                <w:sz w:val="20"/>
                <w:szCs w:val="20"/>
              </w:rPr>
              <w:t xml:space="preserve"> dentro de las 4 semanas previas a la Aleatorización (Día 1)</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Pr>
                <w:rFonts w:ascii="Arial" w:hAnsi="Arial" w:cs="Arial"/>
                <w:sz w:val="20"/>
                <w:szCs w:val="20"/>
              </w:rPr>
              <w:t>9. Uso de plasmaféresis</w:t>
            </w:r>
            <w:r w:rsidRPr="00DC501F">
              <w:rPr>
                <w:rFonts w:ascii="Arial" w:hAnsi="Arial" w:cs="Arial"/>
                <w:sz w:val="20"/>
                <w:szCs w:val="20"/>
              </w:rPr>
              <w:t xml:space="preserve"> dentro de las 4 semanas previas a la Aleatorización (Día 1)</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 xml:space="preserve">10. Uso de </w:t>
            </w:r>
            <w:proofErr w:type="spellStart"/>
            <w:r w:rsidRPr="00DC501F">
              <w:rPr>
                <w:rFonts w:ascii="Arial" w:hAnsi="Arial" w:cs="Arial"/>
                <w:sz w:val="20"/>
                <w:szCs w:val="20"/>
              </w:rPr>
              <w:t>rituximab</w:t>
            </w:r>
            <w:proofErr w:type="spellEnd"/>
            <w:r w:rsidRPr="00DC501F">
              <w:rPr>
                <w:rFonts w:ascii="Arial" w:hAnsi="Arial" w:cs="Arial"/>
                <w:sz w:val="20"/>
                <w:szCs w:val="20"/>
              </w:rPr>
              <w:t xml:space="preserve"> dentro de los 6 meses previos al cribado</w:t>
            </w:r>
            <w:r>
              <w:rPr>
                <w:rFonts w:ascii="Arial" w:hAnsi="Arial" w:cs="Arial"/>
                <w:sz w:val="20"/>
                <w:szCs w:val="20"/>
              </w:rPr>
              <w:t>.</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11. Participación en cualquier otro estudio farmacológico en investigación o exposición a otro agente, dispositivo o procedimiento de investigación dentro de los 30 días previos al cribado.</w:t>
            </w:r>
          </w:p>
          <w:p w:rsidR="00556DFF" w:rsidRPr="00DC501F" w:rsidRDefault="00556DFF" w:rsidP="00DC501F">
            <w:pPr>
              <w:ind w:left="720"/>
              <w:jc w:val="both"/>
              <w:rPr>
                <w:rFonts w:ascii="Arial" w:hAnsi="Arial" w:cs="Arial"/>
                <w:sz w:val="20"/>
                <w:szCs w:val="20"/>
              </w:rPr>
            </w:pPr>
            <w:r w:rsidRPr="00DC501F">
              <w:rPr>
                <w:rFonts w:ascii="Arial" w:hAnsi="Arial" w:cs="Arial"/>
                <w:sz w:val="20"/>
                <w:szCs w:val="20"/>
              </w:rPr>
              <w:t xml:space="preserve">12. Tratamiento previo con </w:t>
            </w:r>
            <w:proofErr w:type="spellStart"/>
            <w:r w:rsidRPr="00DC501F">
              <w:rPr>
                <w:rFonts w:ascii="Arial" w:hAnsi="Arial" w:cs="Arial"/>
                <w:sz w:val="20"/>
                <w:szCs w:val="20"/>
              </w:rPr>
              <w:t>eculizumab</w:t>
            </w:r>
            <w:proofErr w:type="spellEnd"/>
            <w:r>
              <w:rPr>
                <w:rFonts w:ascii="Arial" w:hAnsi="Arial" w:cs="Arial"/>
                <w:sz w:val="20"/>
                <w:szCs w:val="20"/>
              </w:rPr>
              <w:t>.</w:t>
            </w:r>
          </w:p>
          <w:p w:rsidR="00556DFF" w:rsidRDefault="00556DFF" w:rsidP="00DC501F">
            <w:pPr>
              <w:ind w:left="720"/>
              <w:jc w:val="both"/>
              <w:rPr>
                <w:rFonts w:ascii="Arial" w:hAnsi="Arial" w:cs="Arial"/>
                <w:sz w:val="20"/>
                <w:szCs w:val="20"/>
              </w:rPr>
            </w:pPr>
            <w:r w:rsidRPr="00DC501F">
              <w:rPr>
                <w:rFonts w:ascii="Arial" w:hAnsi="Arial" w:cs="Arial"/>
                <w:sz w:val="20"/>
                <w:szCs w:val="20"/>
              </w:rPr>
              <w:t>13. Hipersen</w:t>
            </w:r>
            <w:r>
              <w:rPr>
                <w:rFonts w:ascii="Arial" w:hAnsi="Arial" w:cs="Arial"/>
                <w:sz w:val="20"/>
                <w:szCs w:val="20"/>
              </w:rPr>
              <w:t>sibilidad a proteínas murinas.</w:t>
            </w:r>
          </w:p>
          <w:p w:rsidR="00556DFF" w:rsidRPr="00C87E71" w:rsidRDefault="00556DFF" w:rsidP="00DC501F">
            <w:pPr>
              <w:ind w:left="720"/>
              <w:jc w:val="both"/>
              <w:rPr>
                <w:rFonts w:ascii="Arial" w:hAnsi="Arial" w:cs="Arial"/>
                <w:sz w:val="20"/>
                <w:szCs w:val="20"/>
              </w:rPr>
            </w:pPr>
            <w:r w:rsidRPr="00DC501F">
              <w:rPr>
                <w:rFonts w:ascii="Arial" w:hAnsi="Arial" w:cs="Arial"/>
                <w:sz w:val="20"/>
                <w:szCs w:val="20"/>
              </w:rPr>
              <w:t>14. Cualquier condición médica que, en opinión del investigador, podría haber interferido con la participación del paciente en el estudio, suponía un riesgo adicional para el paciente, o confundía la evaluación del paciente.</w:t>
            </w:r>
          </w:p>
          <w:p w:rsidR="00556DFF" w:rsidRPr="00D305A0" w:rsidRDefault="00556DFF" w:rsidP="00DC501F">
            <w:pPr>
              <w:ind w:left="720"/>
              <w:jc w:val="both"/>
              <w:rPr>
                <w:rFonts w:ascii="Arial" w:hAnsi="Arial" w:cs="Arial"/>
                <w:sz w:val="20"/>
                <w:szCs w:val="20"/>
              </w:rPr>
            </w:pPr>
          </w:p>
          <w:p w:rsidR="00556DFF" w:rsidRDefault="00556DFF" w:rsidP="00BC72B8">
            <w:pPr>
              <w:jc w:val="both"/>
              <w:rPr>
                <w:rFonts w:ascii="Arial" w:hAnsi="Arial" w:cs="Arial"/>
                <w:sz w:val="20"/>
                <w:szCs w:val="20"/>
              </w:rPr>
            </w:pPr>
            <w:r w:rsidRPr="00C87E71">
              <w:rPr>
                <w:rFonts w:ascii="Arial" w:hAnsi="Arial" w:cs="Arial"/>
                <w:sz w:val="20"/>
                <w:szCs w:val="20"/>
              </w:rPr>
              <w:t>-Pérdidas:</w:t>
            </w:r>
            <w:r>
              <w:t xml:space="preserve"> </w:t>
            </w:r>
            <w:r w:rsidRPr="00BC72B8">
              <w:rPr>
                <w:rFonts w:ascii="Arial" w:hAnsi="Arial" w:cs="Arial"/>
                <w:sz w:val="20"/>
                <w:szCs w:val="20"/>
              </w:rPr>
              <w:t xml:space="preserve">Un total de 170 pacientes fueron evaluados, de los cuales 44 </w:t>
            </w:r>
            <w:r>
              <w:rPr>
                <w:rFonts w:ascii="Arial" w:hAnsi="Arial" w:cs="Arial"/>
                <w:sz w:val="20"/>
                <w:szCs w:val="20"/>
              </w:rPr>
              <w:t>no cumplieron criterios de inclusión</w:t>
            </w:r>
            <w:r w:rsidRPr="00BC72B8">
              <w:rPr>
                <w:rFonts w:ascii="Arial" w:hAnsi="Arial" w:cs="Arial"/>
                <w:sz w:val="20"/>
                <w:szCs w:val="20"/>
              </w:rPr>
              <w:t xml:space="preserve">. Los restantes </w:t>
            </w:r>
            <w:r>
              <w:rPr>
                <w:rFonts w:ascii="Arial" w:hAnsi="Arial" w:cs="Arial"/>
                <w:sz w:val="20"/>
                <w:szCs w:val="20"/>
              </w:rPr>
              <w:t>126</w:t>
            </w:r>
            <w:r w:rsidRPr="00BC72B8">
              <w:rPr>
                <w:rFonts w:ascii="Arial" w:hAnsi="Arial" w:cs="Arial"/>
                <w:sz w:val="20"/>
                <w:szCs w:val="20"/>
              </w:rPr>
              <w:t xml:space="preserve"> pacientes</w:t>
            </w:r>
            <w:r>
              <w:rPr>
                <w:rFonts w:ascii="Arial" w:hAnsi="Arial" w:cs="Arial"/>
                <w:sz w:val="20"/>
                <w:szCs w:val="20"/>
              </w:rPr>
              <w:t xml:space="preserve"> fueron aleatorizados, 63</w:t>
            </w:r>
            <w:r w:rsidRPr="00BC72B8">
              <w:rPr>
                <w:rFonts w:ascii="Arial" w:hAnsi="Arial" w:cs="Arial"/>
                <w:sz w:val="20"/>
                <w:szCs w:val="20"/>
              </w:rPr>
              <w:t xml:space="preserve"> fueron asignados al azar al tratamiento, </w:t>
            </w:r>
            <w:r>
              <w:rPr>
                <w:rFonts w:ascii="Arial" w:hAnsi="Arial" w:cs="Arial"/>
                <w:sz w:val="20"/>
                <w:szCs w:val="20"/>
              </w:rPr>
              <w:t>y 63 pacientes fueron tratados.</w:t>
            </w:r>
            <w:r w:rsidRPr="00BC72B8">
              <w:rPr>
                <w:rFonts w:ascii="Arial" w:hAnsi="Arial" w:cs="Arial"/>
                <w:sz w:val="20"/>
                <w:szCs w:val="20"/>
              </w:rPr>
              <w:t xml:space="preserve"> Un paciente que fue asignado al azar al brazo de </w:t>
            </w:r>
            <w:proofErr w:type="spellStart"/>
            <w:r w:rsidRPr="00BC72B8">
              <w:rPr>
                <w:rFonts w:ascii="Arial" w:hAnsi="Arial" w:cs="Arial"/>
                <w:sz w:val="20"/>
                <w:szCs w:val="20"/>
              </w:rPr>
              <w:t>eculizumab</w:t>
            </w:r>
            <w:proofErr w:type="spellEnd"/>
            <w:r w:rsidRPr="00BC72B8">
              <w:rPr>
                <w:rFonts w:ascii="Arial" w:hAnsi="Arial" w:cs="Arial"/>
                <w:sz w:val="20"/>
                <w:szCs w:val="20"/>
              </w:rPr>
              <w:t xml:space="preserve"> fue </w:t>
            </w:r>
            <w:proofErr w:type="spellStart"/>
            <w:r w:rsidRPr="00BC72B8">
              <w:rPr>
                <w:rFonts w:ascii="Arial" w:hAnsi="Arial" w:cs="Arial"/>
                <w:sz w:val="20"/>
                <w:szCs w:val="20"/>
              </w:rPr>
              <w:t>aleatorizado</w:t>
            </w:r>
            <w:proofErr w:type="spellEnd"/>
            <w:r w:rsidRPr="00BC72B8">
              <w:rPr>
                <w:rFonts w:ascii="Arial" w:hAnsi="Arial" w:cs="Arial"/>
                <w:sz w:val="20"/>
                <w:szCs w:val="20"/>
              </w:rPr>
              <w:t xml:space="preserve"> por error y nunca recibió el medicamento del estudio.</w:t>
            </w:r>
          </w:p>
          <w:p w:rsidR="00556DFF" w:rsidRDefault="00556DFF" w:rsidP="00BC72B8">
            <w:pPr>
              <w:jc w:val="both"/>
              <w:rPr>
                <w:rFonts w:ascii="Arial" w:hAnsi="Arial" w:cs="Arial"/>
                <w:sz w:val="20"/>
                <w:szCs w:val="20"/>
              </w:rPr>
            </w:pPr>
            <w:r w:rsidRPr="00615D63">
              <w:rPr>
                <w:rFonts w:ascii="Arial" w:hAnsi="Arial" w:cs="Arial"/>
                <w:sz w:val="20"/>
                <w:szCs w:val="20"/>
              </w:rPr>
              <w:t>-Tipo de análisis: Por intención a tratar</w:t>
            </w:r>
            <w:r>
              <w:rPr>
                <w:rFonts w:ascii="Arial" w:hAnsi="Arial" w:cs="Arial"/>
                <w:sz w:val="20"/>
                <w:szCs w:val="20"/>
              </w:rPr>
              <w:t>/tamaño muestral completo</w:t>
            </w:r>
            <w:r w:rsidRPr="00615D63">
              <w:rPr>
                <w:rFonts w:ascii="Arial" w:hAnsi="Arial" w:cs="Arial"/>
                <w:sz w:val="20"/>
                <w:szCs w:val="20"/>
              </w:rPr>
              <w:t xml:space="preserve"> y por protocolo.</w:t>
            </w:r>
          </w:p>
          <w:p w:rsidR="00556DFF" w:rsidRPr="006F6ABB" w:rsidRDefault="00556DFF" w:rsidP="00BC72B8">
            <w:pPr>
              <w:jc w:val="both"/>
              <w:rPr>
                <w:rFonts w:ascii="Arial" w:hAnsi="Arial" w:cs="Arial"/>
                <w:b/>
                <w:sz w:val="16"/>
                <w:lang w:val="fr-FR"/>
              </w:rPr>
            </w:pPr>
            <w:r w:rsidRPr="00C87E71">
              <w:rPr>
                <w:rFonts w:ascii="Arial" w:hAnsi="Arial" w:cs="Arial"/>
                <w:sz w:val="20"/>
                <w:szCs w:val="20"/>
              </w:rPr>
              <w:t xml:space="preserve">- Cálculo de tamaño muestral: </w:t>
            </w:r>
            <w:r w:rsidRPr="00BC72B8">
              <w:rPr>
                <w:rFonts w:ascii="Arial" w:hAnsi="Arial" w:cs="Arial"/>
                <w:sz w:val="20"/>
                <w:szCs w:val="20"/>
              </w:rPr>
              <w:t xml:space="preserve">El tamaño de muestra planificado de aproximadamente 92 pacientes (46 asignados a </w:t>
            </w:r>
            <w:proofErr w:type="spellStart"/>
            <w:r w:rsidRPr="00BC72B8">
              <w:rPr>
                <w:rFonts w:ascii="Arial" w:hAnsi="Arial" w:cs="Arial"/>
                <w:sz w:val="20"/>
                <w:szCs w:val="20"/>
              </w:rPr>
              <w:t>eculizumab</w:t>
            </w:r>
            <w:proofErr w:type="spellEnd"/>
            <w:r w:rsidRPr="00BC72B8">
              <w:rPr>
                <w:rFonts w:ascii="Arial" w:hAnsi="Arial" w:cs="Arial"/>
                <w:sz w:val="20"/>
                <w:szCs w:val="20"/>
              </w:rPr>
              <w:t xml:space="preserve"> y 46 asignados a placebo) proporcionó un 90% de poder para detectar una diferencia de tratamiento a las 26 semanas tanto para la ADL como para las puntuaciones totales de QMG. La inscripción real ascendió a 125 pacientes</w:t>
            </w:r>
          </w:p>
        </w:tc>
      </w:tr>
      <w:tr w:rsidR="00556DFF" w:rsidRPr="006F6ABB">
        <w:trPr>
          <w:cantSplit/>
          <w:trHeight w:val="230"/>
        </w:trPr>
        <w:tc>
          <w:tcPr>
            <w:tcW w:w="8890" w:type="dxa"/>
            <w:gridSpan w:val="6"/>
            <w:shd w:val="clear" w:color="auto" w:fill="CCFFCC"/>
          </w:tcPr>
          <w:p w:rsidR="00556DFF" w:rsidRPr="006F6ABB" w:rsidRDefault="00556DFF" w:rsidP="00BC3E8E">
            <w:pPr>
              <w:jc w:val="both"/>
              <w:rPr>
                <w:rFonts w:ascii="Arial" w:hAnsi="Arial" w:cs="Arial"/>
                <w:b/>
                <w:i/>
                <w:sz w:val="16"/>
                <w:lang w:val="fr-FR"/>
              </w:rPr>
            </w:pPr>
            <w:r w:rsidRPr="006F6ABB">
              <w:rPr>
                <w:rFonts w:ascii="Arial" w:hAnsi="Arial" w:cs="Arial"/>
                <w:b/>
                <w:bCs/>
                <w:i/>
                <w:sz w:val="16"/>
                <w:lang w:val="es-ES_tradnl"/>
              </w:rPr>
              <w:t xml:space="preserve">Resultados  </w:t>
            </w:r>
          </w:p>
        </w:tc>
      </w:tr>
      <w:tr w:rsidR="00556DFF" w:rsidRPr="00925216" w:rsidTr="00F47C80">
        <w:trPr>
          <w:trHeight w:val="230"/>
        </w:trPr>
        <w:tc>
          <w:tcPr>
            <w:tcW w:w="2614" w:type="dxa"/>
          </w:tcPr>
          <w:p w:rsidR="00556DFF" w:rsidRPr="006F6ABB" w:rsidRDefault="00556DFF" w:rsidP="00723468">
            <w:pPr>
              <w:jc w:val="both"/>
              <w:rPr>
                <w:rFonts w:ascii="Arial" w:hAnsi="Arial" w:cs="Arial"/>
                <w:b/>
                <w:i/>
                <w:sz w:val="16"/>
              </w:rPr>
            </w:pPr>
            <w:r w:rsidRPr="006F6ABB">
              <w:rPr>
                <w:rFonts w:ascii="Arial" w:hAnsi="Arial" w:cs="Arial"/>
                <w:b/>
                <w:i/>
                <w:sz w:val="16"/>
              </w:rPr>
              <w:t>Variable  evaluada en el estudio</w:t>
            </w:r>
          </w:p>
        </w:tc>
        <w:tc>
          <w:tcPr>
            <w:tcW w:w="1567" w:type="dxa"/>
          </w:tcPr>
          <w:p w:rsidR="00556DFF" w:rsidRPr="006F6ABB" w:rsidRDefault="00556DFF" w:rsidP="00F47C80">
            <w:pPr>
              <w:tabs>
                <w:tab w:val="left" w:pos="1673"/>
              </w:tabs>
              <w:jc w:val="center"/>
              <w:rPr>
                <w:rFonts w:ascii="Arial" w:hAnsi="Arial" w:cs="Arial"/>
                <w:b/>
                <w:i/>
                <w:sz w:val="16"/>
                <w:lang w:val="pt-BR"/>
              </w:rPr>
            </w:pPr>
            <w:proofErr w:type="spellStart"/>
            <w:r>
              <w:rPr>
                <w:rFonts w:ascii="Arial" w:hAnsi="Arial" w:cs="Arial"/>
                <w:b/>
                <w:i/>
                <w:sz w:val="16"/>
                <w:lang w:val="pt-BR"/>
              </w:rPr>
              <w:t>Eculizumab</w:t>
            </w:r>
            <w:proofErr w:type="spellEnd"/>
          </w:p>
          <w:p w:rsidR="00556DFF" w:rsidRPr="006F6ABB" w:rsidRDefault="00556DFF" w:rsidP="00F47C80">
            <w:pPr>
              <w:tabs>
                <w:tab w:val="left" w:pos="1673"/>
              </w:tabs>
              <w:jc w:val="center"/>
              <w:rPr>
                <w:rFonts w:ascii="Arial" w:hAnsi="Arial" w:cs="Arial"/>
                <w:b/>
                <w:i/>
                <w:sz w:val="16"/>
                <w:lang w:val="pt-BR"/>
              </w:rPr>
            </w:pPr>
            <w:r>
              <w:rPr>
                <w:rFonts w:ascii="Arial" w:hAnsi="Arial" w:cs="Arial"/>
                <w:b/>
                <w:i/>
                <w:sz w:val="16"/>
                <w:lang w:val="pt-BR"/>
              </w:rPr>
              <w:t>(62</w:t>
            </w:r>
            <w:r w:rsidRPr="006F6ABB">
              <w:rPr>
                <w:rFonts w:ascii="Arial" w:hAnsi="Arial" w:cs="Arial"/>
                <w:b/>
                <w:i/>
                <w:sz w:val="16"/>
                <w:lang w:val="pt-BR"/>
              </w:rPr>
              <w:t>)</w:t>
            </w:r>
          </w:p>
        </w:tc>
        <w:tc>
          <w:tcPr>
            <w:tcW w:w="1418" w:type="dxa"/>
          </w:tcPr>
          <w:p w:rsidR="00556DFF" w:rsidRPr="00925216" w:rsidRDefault="00556DFF" w:rsidP="00F47C80">
            <w:pPr>
              <w:tabs>
                <w:tab w:val="left" w:pos="1673"/>
              </w:tabs>
              <w:jc w:val="center"/>
              <w:rPr>
                <w:rFonts w:ascii="Arial" w:hAnsi="Arial" w:cs="Arial"/>
                <w:b/>
                <w:i/>
                <w:sz w:val="16"/>
                <w:lang w:val="pt-BR"/>
              </w:rPr>
            </w:pPr>
            <w:r w:rsidRPr="00925216">
              <w:rPr>
                <w:rFonts w:ascii="Arial" w:hAnsi="Arial" w:cs="Arial"/>
                <w:b/>
                <w:i/>
                <w:sz w:val="16"/>
                <w:lang w:val="pt-BR"/>
              </w:rPr>
              <w:t>Placebo</w:t>
            </w:r>
          </w:p>
          <w:p w:rsidR="00556DFF" w:rsidRPr="00925216" w:rsidRDefault="00556DFF" w:rsidP="00F47C80">
            <w:pPr>
              <w:tabs>
                <w:tab w:val="left" w:pos="1673"/>
              </w:tabs>
              <w:jc w:val="center"/>
              <w:rPr>
                <w:rFonts w:ascii="Arial" w:hAnsi="Arial" w:cs="Arial"/>
                <w:b/>
                <w:i/>
                <w:sz w:val="16"/>
                <w:lang w:val="pt-BR"/>
              </w:rPr>
            </w:pPr>
            <w:r w:rsidRPr="00925216">
              <w:rPr>
                <w:rFonts w:ascii="Arial" w:hAnsi="Arial" w:cs="Arial"/>
                <w:b/>
                <w:i/>
                <w:sz w:val="16"/>
                <w:lang w:val="pt-BR"/>
              </w:rPr>
              <w:t>(63)</w:t>
            </w:r>
          </w:p>
        </w:tc>
        <w:tc>
          <w:tcPr>
            <w:tcW w:w="1417" w:type="dxa"/>
          </w:tcPr>
          <w:p w:rsidR="00556DFF" w:rsidRPr="00925216" w:rsidRDefault="00556DFF" w:rsidP="00F47C80">
            <w:pPr>
              <w:jc w:val="center"/>
              <w:rPr>
                <w:rFonts w:ascii="Arial" w:hAnsi="Arial" w:cs="Arial"/>
                <w:b/>
                <w:i/>
                <w:sz w:val="16"/>
                <w:lang w:val="pt-BR"/>
              </w:rPr>
            </w:pPr>
            <w:r w:rsidRPr="00925216">
              <w:rPr>
                <w:rFonts w:ascii="Arial" w:hAnsi="Arial" w:cs="Arial"/>
                <w:b/>
                <w:i/>
                <w:sz w:val="16"/>
                <w:lang w:val="pt-BR"/>
              </w:rPr>
              <w:t>RAR</w:t>
            </w:r>
          </w:p>
        </w:tc>
        <w:tc>
          <w:tcPr>
            <w:tcW w:w="992" w:type="dxa"/>
          </w:tcPr>
          <w:p w:rsidR="00556DFF" w:rsidRPr="00925216" w:rsidRDefault="00556DFF" w:rsidP="00F47C80">
            <w:pPr>
              <w:tabs>
                <w:tab w:val="left" w:pos="1673"/>
              </w:tabs>
              <w:jc w:val="center"/>
              <w:rPr>
                <w:rFonts w:ascii="Arial" w:hAnsi="Arial" w:cs="Arial"/>
                <w:b/>
                <w:i/>
                <w:sz w:val="16"/>
                <w:lang w:val="pt-BR"/>
              </w:rPr>
            </w:pPr>
            <w:r w:rsidRPr="00925216">
              <w:rPr>
                <w:rFonts w:ascii="Arial" w:hAnsi="Arial" w:cs="Arial"/>
                <w:b/>
                <w:i/>
                <w:sz w:val="16"/>
                <w:lang w:val="pt-BR"/>
              </w:rPr>
              <w:t>P</w:t>
            </w:r>
          </w:p>
        </w:tc>
        <w:tc>
          <w:tcPr>
            <w:tcW w:w="882" w:type="dxa"/>
          </w:tcPr>
          <w:p w:rsidR="00556DFF" w:rsidRPr="00925216" w:rsidRDefault="00556DFF" w:rsidP="00F47C80">
            <w:pPr>
              <w:jc w:val="center"/>
              <w:rPr>
                <w:rFonts w:ascii="Arial" w:hAnsi="Arial" w:cs="Arial"/>
                <w:b/>
                <w:i/>
                <w:sz w:val="16"/>
                <w:lang w:val="pt-BR"/>
              </w:rPr>
            </w:pPr>
            <w:r w:rsidRPr="00925216">
              <w:rPr>
                <w:rFonts w:ascii="Arial" w:hAnsi="Arial" w:cs="Arial"/>
                <w:b/>
                <w:i/>
                <w:sz w:val="16"/>
                <w:lang w:val="pt-BR"/>
              </w:rPr>
              <w:t>NNT</w:t>
            </w:r>
          </w:p>
        </w:tc>
      </w:tr>
      <w:tr w:rsidR="00556DFF" w:rsidRPr="00925216" w:rsidTr="00F47C80">
        <w:trPr>
          <w:trHeight w:val="230"/>
        </w:trPr>
        <w:tc>
          <w:tcPr>
            <w:tcW w:w="2614" w:type="dxa"/>
          </w:tcPr>
          <w:p w:rsidR="00556DFF" w:rsidRDefault="00556DFF" w:rsidP="00723468">
            <w:pPr>
              <w:autoSpaceDE w:val="0"/>
              <w:autoSpaceDN w:val="0"/>
              <w:adjustRightInd w:val="0"/>
              <w:rPr>
                <w:rFonts w:ascii="Arial" w:hAnsi="Arial" w:cs="Arial"/>
                <w:b/>
                <w:color w:val="000000"/>
                <w:sz w:val="16"/>
                <w:szCs w:val="16"/>
              </w:rPr>
            </w:pPr>
            <w:r>
              <w:rPr>
                <w:rFonts w:ascii="Arial" w:hAnsi="Arial" w:cs="Arial"/>
                <w:b/>
                <w:color w:val="000000"/>
                <w:sz w:val="16"/>
                <w:szCs w:val="16"/>
              </w:rPr>
              <w:t>VARIABLE PRINCIPAL:</w:t>
            </w:r>
          </w:p>
          <w:p w:rsidR="00556DFF" w:rsidRDefault="00556DFF" w:rsidP="0072346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Cambio de</w:t>
            </w:r>
            <w:r w:rsidRPr="00C02992">
              <w:rPr>
                <w:rFonts w:ascii="Arial" w:hAnsi="Arial" w:cs="Arial"/>
                <w:color w:val="000000"/>
                <w:sz w:val="16"/>
                <w:szCs w:val="16"/>
              </w:rPr>
              <w:t xml:space="preserve"> la puntuación t</w:t>
            </w:r>
            <w:r>
              <w:rPr>
                <w:rFonts w:ascii="Arial" w:hAnsi="Arial" w:cs="Arial"/>
                <w:color w:val="000000"/>
                <w:sz w:val="16"/>
                <w:szCs w:val="16"/>
              </w:rPr>
              <w:t>otal de MG-ADL en la semana 26.</w:t>
            </w:r>
          </w:p>
          <w:p w:rsidR="00556DFF" w:rsidRPr="006F6ABB" w:rsidRDefault="00556DFF" w:rsidP="00723468">
            <w:pPr>
              <w:autoSpaceDE w:val="0"/>
              <w:autoSpaceDN w:val="0"/>
              <w:adjustRightInd w:val="0"/>
              <w:rPr>
                <w:rFonts w:ascii="Arial" w:hAnsi="Arial" w:cs="Arial"/>
                <w:color w:val="000000"/>
                <w:sz w:val="16"/>
                <w:szCs w:val="16"/>
              </w:rPr>
            </w:pPr>
            <w:r>
              <w:rPr>
                <w:rFonts w:ascii="Arial" w:hAnsi="Arial" w:cs="Arial"/>
                <w:color w:val="000000"/>
                <w:sz w:val="16"/>
                <w:szCs w:val="16"/>
              </w:rPr>
              <w:t>Media (DE) ITT</w:t>
            </w:r>
          </w:p>
        </w:tc>
        <w:tc>
          <w:tcPr>
            <w:tcW w:w="1567" w:type="dxa"/>
          </w:tcPr>
          <w:p w:rsidR="00556DFF" w:rsidRPr="00F47C80" w:rsidRDefault="00556DFF" w:rsidP="00F47C80">
            <w:pPr>
              <w:snapToGrid w:val="0"/>
              <w:jc w:val="center"/>
              <w:rPr>
                <w:rFonts w:ascii="Arial" w:hAnsi="Arial" w:cs="Arial"/>
                <w:i/>
                <w:sz w:val="16"/>
              </w:rPr>
            </w:pPr>
            <w:r w:rsidRPr="00F47C80">
              <w:rPr>
                <w:rFonts w:ascii="Arial" w:hAnsi="Arial" w:cs="Arial"/>
                <w:i/>
                <w:sz w:val="16"/>
              </w:rPr>
              <w:t>-4,7 (4,32)</w:t>
            </w:r>
          </w:p>
        </w:tc>
        <w:tc>
          <w:tcPr>
            <w:tcW w:w="1418" w:type="dxa"/>
          </w:tcPr>
          <w:p w:rsidR="00556DFF" w:rsidRPr="00F47C80" w:rsidRDefault="00556DFF" w:rsidP="00F47C80">
            <w:pPr>
              <w:jc w:val="center"/>
              <w:rPr>
                <w:rFonts w:ascii="Arial" w:hAnsi="Arial" w:cs="Arial"/>
                <w:i/>
                <w:sz w:val="16"/>
              </w:rPr>
            </w:pPr>
            <w:r w:rsidRPr="00F47C80">
              <w:rPr>
                <w:rFonts w:ascii="Arial" w:hAnsi="Arial" w:cs="Arial"/>
                <w:i/>
                <w:sz w:val="16"/>
              </w:rPr>
              <w:t>-2,8 (3,07)</w:t>
            </w:r>
          </w:p>
        </w:tc>
        <w:tc>
          <w:tcPr>
            <w:tcW w:w="1417"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-1.9(-3.22 a - 0.57)</w:t>
            </w:r>
          </w:p>
        </w:tc>
        <w:tc>
          <w:tcPr>
            <w:tcW w:w="99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0.0698</w:t>
            </w:r>
          </w:p>
          <w:p w:rsidR="00556DFF" w:rsidRPr="00F47C80" w:rsidRDefault="00556DFF" w:rsidP="00F47C80">
            <w:pPr>
              <w:jc w:val="center"/>
              <w:rPr>
                <w:rFonts w:ascii="Arial" w:hAnsi="Arial" w:cs="Arial"/>
                <w:i/>
                <w:sz w:val="16"/>
                <w:lang w:val="es-ES_tradnl"/>
              </w:rPr>
            </w:pPr>
          </w:p>
        </w:tc>
        <w:tc>
          <w:tcPr>
            <w:tcW w:w="882" w:type="dxa"/>
          </w:tcPr>
          <w:p w:rsidR="00556DFF" w:rsidRPr="00F47C80" w:rsidRDefault="00556DFF" w:rsidP="00F47C80">
            <w:pPr>
              <w:jc w:val="center"/>
              <w:rPr>
                <w:rFonts w:ascii="Arial" w:hAnsi="Arial" w:cs="Arial"/>
                <w:i/>
                <w:sz w:val="16"/>
                <w:lang w:val="es-ES_tradnl"/>
              </w:rPr>
            </w:pPr>
            <w:r>
              <w:rPr>
                <w:rFonts w:ascii="Arial" w:hAnsi="Arial" w:cs="Arial"/>
                <w:i/>
                <w:sz w:val="16"/>
                <w:lang w:val="es-ES_tradnl"/>
              </w:rPr>
              <w:t>-</w:t>
            </w:r>
          </w:p>
        </w:tc>
      </w:tr>
      <w:tr w:rsidR="00556DFF" w:rsidRPr="00925216" w:rsidTr="00F47C80">
        <w:trPr>
          <w:trHeight w:val="230"/>
        </w:trPr>
        <w:tc>
          <w:tcPr>
            <w:tcW w:w="2614" w:type="dxa"/>
          </w:tcPr>
          <w:p w:rsidR="00556DFF" w:rsidRDefault="00556DFF" w:rsidP="00723468">
            <w:pPr>
              <w:autoSpaceDE w:val="0"/>
              <w:autoSpaceDN w:val="0"/>
              <w:adjustRightInd w:val="0"/>
              <w:rPr>
                <w:rFonts w:ascii="Arial" w:hAnsi="Arial" w:cs="Arial"/>
                <w:b/>
                <w:color w:val="000000"/>
                <w:sz w:val="16"/>
                <w:szCs w:val="16"/>
              </w:rPr>
            </w:pPr>
            <w:r>
              <w:rPr>
                <w:rFonts w:ascii="Arial" w:hAnsi="Arial" w:cs="Arial"/>
                <w:b/>
                <w:color w:val="000000"/>
                <w:sz w:val="16"/>
                <w:szCs w:val="16"/>
              </w:rPr>
              <w:t>VARIABLES SECUNDARIAS:</w:t>
            </w:r>
          </w:p>
          <w:p w:rsidR="00556DFF" w:rsidRPr="006F6ABB" w:rsidRDefault="00556DFF" w:rsidP="005F63C6">
            <w:pPr>
              <w:numPr>
                <w:ilvl w:val="0"/>
                <w:numId w:val="6"/>
              </w:numPr>
              <w:autoSpaceDE w:val="0"/>
              <w:autoSpaceDN w:val="0"/>
              <w:adjustRightInd w:val="0"/>
              <w:rPr>
                <w:rFonts w:ascii="Arial" w:hAnsi="Arial" w:cs="Arial"/>
                <w:color w:val="000000"/>
                <w:sz w:val="16"/>
                <w:szCs w:val="16"/>
              </w:rPr>
            </w:pPr>
            <w:r>
              <w:rPr>
                <w:rFonts w:ascii="Arial" w:hAnsi="Arial" w:cs="Arial"/>
                <w:color w:val="000000"/>
                <w:sz w:val="16"/>
                <w:szCs w:val="16"/>
              </w:rPr>
              <w:t>Cambio en la puntuación total del score QMG en la semana 26. Media (DE) ITT</w:t>
            </w:r>
          </w:p>
        </w:tc>
        <w:tc>
          <w:tcPr>
            <w:tcW w:w="1567" w:type="dxa"/>
          </w:tcPr>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-5,4 (4,80)</w:t>
            </w:r>
          </w:p>
        </w:tc>
        <w:tc>
          <w:tcPr>
            <w:tcW w:w="1418" w:type="dxa"/>
          </w:tcPr>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-2,4 (3,70)</w:t>
            </w:r>
          </w:p>
        </w:tc>
        <w:tc>
          <w:tcPr>
            <w:tcW w:w="1417"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-4.9 (- 3.6 a 13.4)</w:t>
            </w:r>
          </w:p>
        </w:tc>
        <w:tc>
          <w:tcPr>
            <w:tcW w:w="99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0.0129</w:t>
            </w:r>
          </w:p>
        </w:tc>
        <w:tc>
          <w:tcPr>
            <w:tcW w:w="88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w:t>
            </w:r>
          </w:p>
        </w:tc>
      </w:tr>
      <w:tr w:rsidR="00556DFF" w:rsidRPr="00925216" w:rsidTr="00F47C80">
        <w:trPr>
          <w:trHeight w:val="230"/>
        </w:trPr>
        <w:tc>
          <w:tcPr>
            <w:tcW w:w="2614" w:type="dxa"/>
          </w:tcPr>
          <w:p w:rsidR="00556DFF" w:rsidRPr="006F6ABB" w:rsidRDefault="00556DFF" w:rsidP="005F63C6">
            <w:pPr>
              <w:numPr>
                <w:ilvl w:val="0"/>
                <w:numId w:val="6"/>
              </w:numPr>
              <w:autoSpaceDE w:val="0"/>
              <w:autoSpaceDN w:val="0"/>
              <w:adjustRightInd w:val="0"/>
              <w:rPr>
                <w:rFonts w:ascii="Arial" w:hAnsi="Arial" w:cs="Arial"/>
                <w:color w:val="000000"/>
                <w:sz w:val="16"/>
                <w:szCs w:val="16"/>
              </w:rPr>
            </w:pPr>
            <w:r w:rsidRPr="007C7235">
              <w:rPr>
                <w:rFonts w:ascii="Arial" w:hAnsi="Arial" w:cs="Arial"/>
                <w:color w:val="000000"/>
                <w:sz w:val="16"/>
                <w:szCs w:val="16"/>
              </w:rPr>
              <w:t>Proporción de pacientes con una reducción de ≥3 puntos en la puntuación total de MG-ADL desde el inicio hasta la semana 26 y sin terapia de rescate</w:t>
            </w:r>
            <w:r>
              <w:rPr>
                <w:rFonts w:ascii="Arial" w:hAnsi="Arial" w:cs="Arial"/>
                <w:color w:val="000000"/>
                <w:sz w:val="16"/>
                <w:szCs w:val="16"/>
              </w:rPr>
              <w:t xml:space="preserve"> ITT</w:t>
            </w:r>
          </w:p>
        </w:tc>
        <w:tc>
          <w:tcPr>
            <w:tcW w:w="1567" w:type="dxa"/>
          </w:tcPr>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37 (59,7%) IC95%: 46,4-71,9</w:t>
            </w:r>
          </w:p>
        </w:tc>
        <w:tc>
          <w:tcPr>
            <w:tcW w:w="1418" w:type="dxa"/>
          </w:tcPr>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25 (39.7%)</w:t>
            </w:r>
          </w:p>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IC95% 27,6-52,8</w:t>
            </w:r>
          </w:p>
        </w:tc>
        <w:tc>
          <w:tcPr>
            <w:tcW w:w="1417"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20 (2.8 a 37.2)</w:t>
            </w:r>
          </w:p>
        </w:tc>
        <w:tc>
          <w:tcPr>
            <w:tcW w:w="99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0.0229</w:t>
            </w:r>
          </w:p>
        </w:tc>
        <w:tc>
          <w:tcPr>
            <w:tcW w:w="88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6</w:t>
            </w:r>
            <w:r>
              <w:rPr>
                <w:rFonts w:ascii="Arial" w:hAnsi="Arial" w:cs="Arial"/>
                <w:i/>
                <w:sz w:val="16"/>
                <w:lang w:val="es-ES_tradnl"/>
              </w:rPr>
              <w:t xml:space="preserve"> </w:t>
            </w:r>
            <w:r w:rsidRPr="00F47C80">
              <w:rPr>
                <w:rFonts w:ascii="Arial" w:hAnsi="Arial" w:cs="Arial"/>
                <w:i/>
                <w:sz w:val="16"/>
                <w:lang w:val="es-ES_tradnl"/>
              </w:rPr>
              <w:t>(3 a 36)</w:t>
            </w:r>
          </w:p>
        </w:tc>
      </w:tr>
      <w:tr w:rsidR="00556DFF" w:rsidRPr="00925216" w:rsidTr="00F47C80">
        <w:trPr>
          <w:trHeight w:val="230"/>
        </w:trPr>
        <w:tc>
          <w:tcPr>
            <w:tcW w:w="2614" w:type="dxa"/>
          </w:tcPr>
          <w:p w:rsidR="00556DFF" w:rsidRDefault="00556DFF" w:rsidP="005F63C6">
            <w:pPr>
              <w:numPr>
                <w:ilvl w:val="0"/>
                <w:numId w:val="6"/>
              </w:numPr>
              <w:autoSpaceDE w:val="0"/>
              <w:autoSpaceDN w:val="0"/>
              <w:adjustRightInd w:val="0"/>
              <w:rPr>
                <w:rFonts w:ascii="Arial" w:hAnsi="Arial" w:cs="Arial"/>
                <w:color w:val="000000"/>
                <w:sz w:val="16"/>
                <w:szCs w:val="16"/>
              </w:rPr>
            </w:pPr>
            <w:r w:rsidRPr="007C7235">
              <w:rPr>
                <w:rFonts w:ascii="Arial" w:hAnsi="Arial" w:cs="Arial"/>
                <w:color w:val="000000"/>
                <w:sz w:val="16"/>
                <w:szCs w:val="16"/>
              </w:rPr>
              <w:t>Proporción de pacientes con una reducción de ≥5 puntos en la puntuación total de QMG desde el inicio hasta la semana 26 y sin terapia de rescate</w:t>
            </w:r>
            <w:r>
              <w:rPr>
                <w:rFonts w:ascii="Arial" w:hAnsi="Arial" w:cs="Arial"/>
                <w:color w:val="000000"/>
                <w:sz w:val="16"/>
                <w:szCs w:val="16"/>
              </w:rPr>
              <w:t xml:space="preserve"> ITT</w:t>
            </w:r>
          </w:p>
        </w:tc>
        <w:tc>
          <w:tcPr>
            <w:tcW w:w="1567" w:type="dxa"/>
          </w:tcPr>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28 (45,2)</w:t>
            </w:r>
          </w:p>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IC95%: 32,5-58,3)</w:t>
            </w:r>
          </w:p>
        </w:tc>
        <w:tc>
          <w:tcPr>
            <w:tcW w:w="1418" w:type="dxa"/>
          </w:tcPr>
          <w:p w:rsidR="00556DFF" w:rsidRDefault="00556DFF" w:rsidP="00F47C80">
            <w:pPr>
              <w:jc w:val="center"/>
              <w:rPr>
                <w:rFonts w:ascii="Arial" w:hAnsi="Arial" w:cs="Arial"/>
                <w:color w:val="231F20"/>
                <w:sz w:val="16"/>
                <w:szCs w:val="16"/>
              </w:rPr>
            </w:pPr>
            <w:r w:rsidRPr="00F47C80">
              <w:rPr>
                <w:rFonts w:ascii="Arial" w:hAnsi="Arial" w:cs="Arial"/>
                <w:color w:val="231F20"/>
                <w:sz w:val="16"/>
                <w:szCs w:val="16"/>
              </w:rPr>
              <w:t xml:space="preserve">12 (19%) </w:t>
            </w:r>
          </w:p>
          <w:p w:rsidR="00556DFF" w:rsidRPr="00F47C80" w:rsidRDefault="00556DFF" w:rsidP="00F47C80">
            <w:pPr>
              <w:jc w:val="center"/>
              <w:rPr>
                <w:rFonts w:ascii="Arial" w:hAnsi="Arial" w:cs="Arial"/>
                <w:color w:val="231F20"/>
                <w:sz w:val="16"/>
                <w:szCs w:val="16"/>
              </w:rPr>
            </w:pPr>
            <w:r w:rsidRPr="00F47C80">
              <w:rPr>
                <w:rFonts w:ascii="Arial" w:hAnsi="Arial" w:cs="Arial"/>
                <w:color w:val="231F20"/>
                <w:sz w:val="16"/>
                <w:szCs w:val="16"/>
              </w:rPr>
              <w:t>IC95%: 10,2-30,9</w:t>
            </w:r>
          </w:p>
        </w:tc>
        <w:tc>
          <w:tcPr>
            <w:tcW w:w="1417" w:type="dxa"/>
          </w:tcPr>
          <w:p w:rsidR="00556DFF" w:rsidRPr="00F47C80" w:rsidRDefault="00556DFF" w:rsidP="00F47C80">
            <w:pPr>
              <w:jc w:val="center"/>
              <w:rPr>
                <w:rFonts w:ascii="Arial" w:hAnsi="Arial" w:cs="Arial"/>
                <w:i/>
                <w:sz w:val="16"/>
              </w:rPr>
            </w:pPr>
            <w:r w:rsidRPr="00F47C80">
              <w:rPr>
                <w:rFonts w:ascii="Arial" w:hAnsi="Arial" w:cs="Arial"/>
                <w:i/>
                <w:sz w:val="16"/>
              </w:rPr>
              <w:t>26.1 (10.4 a 41.8)</w:t>
            </w:r>
          </w:p>
        </w:tc>
        <w:tc>
          <w:tcPr>
            <w:tcW w:w="992" w:type="dxa"/>
          </w:tcPr>
          <w:p w:rsidR="00556DFF" w:rsidRPr="00F47C80" w:rsidRDefault="00556DFF" w:rsidP="00F47C80">
            <w:pPr>
              <w:jc w:val="center"/>
              <w:rPr>
                <w:rFonts w:ascii="Arial" w:hAnsi="Arial" w:cs="Arial"/>
                <w:i/>
                <w:sz w:val="16"/>
              </w:rPr>
            </w:pPr>
            <w:r w:rsidRPr="00F47C80">
              <w:rPr>
                <w:rFonts w:ascii="Arial" w:hAnsi="Arial" w:cs="Arial"/>
                <w:i/>
                <w:sz w:val="16"/>
              </w:rPr>
              <w:t>0. 0018</w:t>
            </w:r>
          </w:p>
        </w:tc>
        <w:tc>
          <w:tcPr>
            <w:tcW w:w="882" w:type="dxa"/>
          </w:tcPr>
          <w:p w:rsidR="00556DFF" w:rsidRPr="00F47C80" w:rsidRDefault="00556DFF" w:rsidP="00F47C80">
            <w:pPr>
              <w:jc w:val="center"/>
              <w:rPr>
                <w:rFonts w:ascii="Arial" w:hAnsi="Arial" w:cs="Arial"/>
                <w:i/>
                <w:sz w:val="16"/>
                <w:lang w:val="es-ES_tradnl"/>
              </w:rPr>
            </w:pPr>
            <w:r w:rsidRPr="00F47C80">
              <w:rPr>
                <w:rFonts w:ascii="Arial" w:hAnsi="Arial" w:cs="Arial"/>
                <w:i/>
                <w:sz w:val="16"/>
                <w:lang w:val="es-ES_tradnl"/>
              </w:rPr>
              <w:t>4 (3 a 10)</w:t>
            </w:r>
          </w:p>
        </w:tc>
      </w:tr>
      <w:tr w:rsidR="00556DFF" w:rsidRPr="00925216" w:rsidTr="00F47C80">
        <w:trPr>
          <w:trHeight w:val="230"/>
        </w:trPr>
        <w:tc>
          <w:tcPr>
            <w:tcW w:w="2614" w:type="dxa"/>
          </w:tcPr>
          <w:p w:rsidR="00556DFF" w:rsidRDefault="00556DFF" w:rsidP="005F63C6">
            <w:pPr>
              <w:numPr>
                <w:ilvl w:val="0"/>
                <w:numId w:val="6"/>
              </w:numPr>
              <w:autoSpaceDE w:val="0"/>
              <w:autoSpaceDN w:val="0"/>
              <w:adjustRightInd w:val="0"/>
              <w:rPr>
                <w:rFonts w:ascii="Arial" w:hAnsi="Arial" w:cs="Arial"/>
                <w:color w:val="000000"/>
                <w:sz w:val="16"/>
                <w:szCs w:val="16"/>
              </w:rPr>
            </w:pPr>
            <w:r>
              <w:rPr>
                <w:rFonts w:ascii="Arial" w:hAnsi="Arial" w:cs="Arial"/>
                <w:color w:val="000000"/>
                <w:sz w:val="16"/>
                <w:szCs w:val="16"/>
              </w:rPr>
              <w:t>Cambio basal</w:t>
            </w:r>
            <w:r w:rsidRPr="007C7235">
              <w:rPr>
                <w:rFonts w:ascii="Arial" w:hAnsi="Arial" w:cs="Arial"/>
                <w:color w:val="000000"/>
                <w:sz w:val="16"/>
                <w:szCs w:val="16"/>
              </w:rPr>
              <w:t xml:space="preserve"> en la puntuación total de la escala MGC en la semana 26</w:t>
            </w:r>
            <w:r>
              <w:rPr>
                <w:rFonts w:ascii="Arial" w:hAnsi="Arial" w:cs="Arial"/>
                <w:color w:val="000000"/>
                <w:sz w:val="16"/>
                <w:szCs w:val="16"/>
              </w:rPr>
              <w:t>. Media (DE) ITT</w:t>
            </w:r>
          </w:p>
        </w:tc>
        <w:tc>
          <w:tcPr>
            <w:tcW w:w="1567" w:type="dxa"/>
          </w:tcPr>
          <w:p w:rsidR="00556DFF" w:rsidRPr="00F47C80" w:rsidRDefault="00556DFF" w:rsidP="00DC7781">
            <w:pPr>
              <w:rPr>
                <w:rFonts w:ascii="Arial" w:hAnsi="Arial" w:cs="Arial"/>
                <w:color w:val="231F20"/>
                <w:sz w:val="16"/>
                <w:szCs w:val="16"/>
              </w:rPr>
            </w:pPr>
            <w:r w:rsidRPr="00F47C80">
              <w:rPr>
                <w:rFonts w:ascii="Arial" w:hAnsi="Arial" w:cs="Arial"/>
                <w:color w:val="231F20"/>
                <w:sz w:val="16"/>
                <w:szCs w:val="16"/>
              </w:rPr>
              <w:t>-9,2 (8,08)</w:t>
            </w:r>
          </w:p>
        </w:tc>
        <w:tc>
          <w:tcPr>
            <w:tcW w:w="1418" w:type="dxa"/>
          </w:tcPr>
          <w:p w:rsidR="00556DFF" w:rsidRPr="00F47C80" w:rsidRDefault="00556DFF" w:rsidP="00DC7781">
            <w:pPr>
              <w:rPr>
                <w:rFonts w:ascii="Arial" w:hAnsi="Arial" w:cs="Arial"/>
                <w:color w:val="231F20"/>
                <w:sz w:val="16"/>
                <w:szCs w:val="16"/>
              </w:rPr>
            </w:pPr>
            <w:r w:rsidRPr="00F47C80">
              <w:rPr>
                <w:rFonts w:ascii="Arial" w:hAnsi="Arial" w:cs="Arial"/>
                <w:color w:val="231F20"/>
                <w:sz w:val="16"/>
                <w:szCs w:val="16"/>
              </w:rPr>
              <w:t>-6,0(6,19)</w:t>
            </w:r>
          </w:p>
        </w:tc>
        <w:tc>
          <w:tcPr>
            <w:tcW w:w="1417" w:type="dxa"/>
          </w:tcPr>
          <w:p w:rsidR="00556DFF" w:rsidRPr="00F47C80" w:rsidRDefault="00556DFF" w:rsidP="00DC7781">
            <w:pPr>
              <w:jc w:val="center"/>
              <w:rPr>
                <w:rFonts w:ascii="Arial" w:hAnsi="Arial" w:cs="Arial"/>
                <w:i/>
                <w:sz w:val="16"/>
              </w:rPr>
            </w:pPr>
            <w:r w:rsidRPr="00F47C80">
              <w:rPr>
                <w:rFonts w:ascii="Arial" w:hAnsi="Arial" w:cs="Arial"/>
                <w:i/>
                <w:sz w:val="16"/>
              </w:rPr>
              <w:t>-5.3 (-6.1 a 16.8)</w:t>
            </w:r>
          </w:p>
        </w:tc>
        <w:tc>
          <w:tcPr>
            <w:tcW w:w="992" w:type="dxa"/>
          </w:tcPr>
          <w:p w:rsidR="00556DFF" w:rsidRPr="00F47C80" w:rsidRDefault="00556DFF" w:rsidP="00DC7781">
            <w:pPr>
              <w:jc w:val="center"/>
              <w:rPr>
                <w:rFonts w:ascii="Arial" w:hAnsi="Arial" w:cs="Arial"/>
                <w:i/>
                <w:sz w:val="16"/>
              </w:rPr>
            </w:pPr>
            <w:r w:rsidRPr="00F47C80">
              <w:rPr>
                <w:rFonts w:ascii="Arial" w:hAnsi="Arial" w:cs="Arial"/>
                <w:i/>
                <w:sz w:val="16"/>
              </w:rPr>
              <w:t>0,1026</w:t>
            </w:r>
          </w:p>
        </w:tc>
        <w:tc>
          <w:tcPr>
            <w:tcW w:w="882" w:type="dxa"/>
          </w:tcPr>
          <w:p w:rsidR="00556DFF" w:rsidRPr="00F47C80" w:rsidRDefault="00556DFF" w:rsidP="00DC7781">
            <w:pPr>
              <w:jc w:val="center"/>
              <w:rPr>
                <w:rFonts w:ascii="Arial" w:hAnsi="Arial" w:cs="Arial"/>
                <w:i/>
                <w:sz w:val="16"/>
                <w:lang w:val="es-ES_tradnl"/>
              </w:rPr>
            </w:pPr>
          </w:p>
        </w:tc>
      </w:tr>
      <w:tr w:rsidR="00556DFF" w:rsidRPr="00925216" w:rsidTr="00F47C80">
        <w:trPr>
          <w:trHeight w:val="230"/>
        </w:trPr>
        <w:tc>
          <w:tcPr>
            <w:tcW w:w="2614" w:type="dxa"/>
          </w:tcPr>
          <w:p w:rsidR="00556DFF" w:rsidRDefault="00556DFF" w:rsidP="005F63C6">
            <w:pPr>
              <w:numPr>
                <w:ilvl w:val="0"/>
                <w:numId w:val="6"/>
              </w:numPr>
              <w:autoSpaceDE w:val="0"/>
              <w:autoSpaceDN w:val="0"/>
              <w:adjustRightInd w:val="0"/>
              <w:rPr>
                <w:rFonts w:ascii="Arial" w:hAnsi="Arial" w:cs="Arial"/>
                <w:color w:val="000000"/>
                <w:sz w:val="16"/>
                <w:szCs w:val="16"/>
              </w:rPr>
            </w:pPr>
            <w:r>
              <w:rPr>
                <w:rFonts w:ascii="Arial" w:hAnsi="Arial" w:cs="Arial"/>
                <w:color w:val="000000"/>
                <w:sz w:val="16"/>
                <w:szCs w:val="16"/>
              </w:rPr>
              <w:t>Cambio basal</w:t>
            </w:r>
            <w:r w:rsidRPr="007C7235">
              <w:rPr>
                <w:rFonts w:ascii="Arial" w:hAnsi="Arial" w:cs="Arial"/>
                <w:color w:val="000000"/>
                <w:sz w:val="16"/>
                <w:szCs w:val="16"/>
              </w:rPr>
              <w:t xml:space="preserve"> en el MG-QoL15 en la semana 26</w:t>
            </w:r>
            <w:r>
              <w:rPr>
                <w:rFonts w:ascii="Arial" w:hAnsi="Arial" w:cs="Arial"/>
                <w:color w:val="000000"/>
                <w:sz w:val="16"/>
                <w:szCs w:val="16"/>
              </w:rPr>
              <w:t>. Media (DE) ITT</w:t>
            </w:r>
          </w:p>
        </w:tc>
        <w:tc>
          <w:tcPr>
            <w:tcW w:w="1567" w:type="dxa"/>
          </w:tcPr>
          <w:p w:rsidR="00556DFF" w:rsidRPr="00F47C80" w:rsidRDefault="00556DFF" w:rsidP="00DC7781">
            <w:pPr>
              <w:rPr>
                <w:rFonts w:ascii="Arial" w:hAnsi="Arial" w:cs="Arial"/>
                <w:color w:val="231F20"/>
                <w:sz w:val="16"/>
                <w:szCs w:val="16"/>
              </w:rPr>
            </w:pPr>
            <w:r w:rsidRPr="00F47C80">
              <w:rPr>
                <w:rFonts w:ascii="Arial" w:hAnsi="Arial" w:cs="Arial"/>
                <w:color w:val="231F20"/>
                <w:sz w:val="16"/>
                <w:szCs w:val="16"/>
              </w:rPr>
              <w:t>-13,5 (14,07)</w:t>
            </w:r>
          </w:p>
        </w:tc>
        <w:tc>
          <w:tcPr>
            <w:tcW w:w="1418" w:type="dxa"/>
          </w:tcPr>
          <w:p w:rsidR="00556DFF" w:rsidRPr="00F47C80" w:rsidRDefault="00556DFF" w:rsidP="00DC7781">
            <w:pPr>
              <w:rPr>
                <w:rFonts w:ascii="Arial" w:hAnsi="Arial" w:cs="Arial"/>
                <w:color w:val="231F20"/>
                <w:sz w:val="16"/>
                <w:szCs w:val="16"/>
              </w:rPr>
            </w:pPr>
            <w:r w:rsidRPr="00F47C80">
              <w:rPr>
                <w:rFonts w:ascii="Arial" w:hAnsi="Arial" w:cs="Arial"/>
                <w:color w:val="231F20"/>
                <w:sz w:val="16"/>
                <w:szCs w:val="16"/>
              </w:rPr>
              <w:t>-6,5 (9,40)</w:t>
            </w:r>
          </w:p>
        </w:tc>
        <w:tc>
          <w:tcPr>
            <w:tcW w:w="1417" w:type="dxa"/>
          </w:tcPr>
          <w:p w:rsidR="00556DFF" w:rsidRPr="00F47C80" w:rsidRDefault="00556DFF" w:rsidP="00DC7781">
            <w:pPr>
              <w:jc w:val="center"/>
              <w:rPr>
                <w:rFonts w:ascii="Arial" w:hAnsi="Arial" w:cs="Arial"/>
                <w:i/>
                <w:sz w:val="16"/>
              </w:rPr>
            </w:pPr>
            <w:r w:rsidRPr="00F47C80">
              <w:rPr>
                <w:rFonts w:ascii="Arial" w:hAnsi="Arial" w:cs="Arial"/>
                <w:i/>
                <w:sz w:val="16"/>
              </w:rPr>
              <w:t>-11.5 (-1.3 a 24.2)</w:t>
            </w:r>
          </w:p>
        </w:tc>
        <w:tc>
          <w:tcPr>
            <w:tcW w:w="992" w:type="dxa"/>
          </w:tcPr>
          <w:p w:rsidR="00556DFF" w:rsidRPr="00F47C80" w:rsidRDefault="00556DFF" w:rsidP="00DC7781">
            <w:pPr>
              <w:jc w:val="center"/>
              <w:rPr>
                <w:rFonts w:ascii="Arial" w:hAnsi="Arial" w:cs="Arial"/>
                <w:i/>
                <w:sz w:val="16"/>
              </w:rPr>
            </w:pPr>
            <w:r w:rsidRPr="00F47C80">
              <w:rPr>
                <w:rFonts w:ascii="Arial" w:hAnsi="Arial" w:cs="Arial"/>
                <w:i/>
                <w:sz w:val="16"/>
              </w:rPr>
              <w:t>0,0281</w:t>
            </w:r>
          </w:p>
        </w:tc>
        <w:tc>
          <w:tcPr>
            <w:tcW w:w="882" w:type="dxa"/>
          </w:tcPr>
          <w:p w:rsidR="00556DFF" w:rsidRPr="00F47C80" w:rsidRDefault="00556DFF" w:rsidP="00DC7781">
            <w:pPr>
              <w:jc w:val="center"/>
              <w:rPr>
                <w:rFonts w:ascii="Arial" w:hAnsi="Arial" w:cs="Arial"/>
                <w:i/>
                <w:sz w:val="16"/>
                <w:lang w:val="es-ES_tradnl"/>
              </w:rPr>
            </w:pPr>
            <w:r w:rsidRPr="00F47C80">
              <w:rPr>
                <w:rFonts w:ascii="Arial" w:hAnsi="Arial" w:cs="Arial"/>
                <w:i/>
                <w:sz w:val="16"/>
                <w:lang w:val="es-ES_tradnl"/>
              </w:rPr>
              <w:t>--</w:t>
            </w:r>
          </w:p>
        </w:tc>
      </w:tr>
    </w:tbl>
    <w:p w:rsidR="00556DFF" w:rsidRDefault="00556DFF" w:rsidP="00BC3E8E">
      <w:pPr>
        <w:snapToGrid w:val="0"/>
        <w:jc w:val="both"/>
        <w:rPr>
          <w:rFonts w:ascii="Arial" w:hAnsi="Arial" w:cs="Arial"/>
          <w:b/>
          <w:color w:val="000080"/>
          <w:sz w:val="20"/>
          <w:szCs w:val="20"/>
          <w:lang w:val="es-ES_tradnl"/>
        </w:rPr>
      </w:pPr>
    </w:p>
    <w:p w:rsidR="00556DFF" w:rsidRDefault="00556DFF" w:rsidP="00BC3E8E">
      <w:pPr>
        <w:snapToGrid w:val="0"/>
        <w:jc w:val="both"/>
        <w:rPr>
          <w:rFonts w:ascii="Arial" w:hAnsi="Arial" w:cs="Arial"/>
          <w:sz w:val="20"/>
          <w:szCs w:val="20"/>
        </w:rPr>
      </w:pPr>
      <w:r w:rsidRPr="005C44CF">
        <w:rPr>
          <w:rFonts w:ascii="Arial" w:hAnsi="Arial" w:cs="Arial"/>
          <w:sz w:val="20"/>
          <w:szCs w:val="20"/>
        </w:rPr>
        <w:t>Los resultados aparecen por intención a tratar y por protocolo, sin embargo, por intención a tratar refleja de manera más objetiva los datos de la población, por lo que vamos a trabajar con los datos del</w:t>
      </w:r>
      <w:r>
        <w:rPr>
          <w:rFonts w:ascii="Arial" w:hAnsi="Arial" w:cs="Arial"/>
          <w:sz w:val="20"/>
          <w:szCs w:val="20"/>
        </w:rPr>
        <w:t xml:space="preserve"> estudio por intención a tratar (población total).</w:t>
      </w:r>
    </w:p>
    <w:p w:rsidR="00556DFF" w:rsidRDefault="00556DFF" w:rsidP="00BC3E8E">
      <w:pPr>
        <w:snapToGrid w:val="0"/>
        <w:jc w:val="both"/>
        <w:rPr>
          <w:rFonts w:ascii="Arial" w:hAnsi="Arial" w:cs="Arial"/>
          <w:sz w:val="20"/>
          <w:szCs w:val="20"/>
        </w:rPr>
      </w:pPr>
    </w:p>
    <w:p w:rsidR="00556DFF" w:rsidRPr="00615D63" w:rsidRDefault="00556DFF" w:rsidP="00BC3E8E">
      <w:pPr>
        <w:snapToGrid w:val="0"/>
        <w:jc w:val="both"/>
        <w:rPr>
          <w:rFonts w:ascii="Arial" w:hAnsi="Arial" w:cs="Arial"/>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61" w:name="_Toc344399636"/>
      <w:bookmarkStart w:id="62" w:name="_Toc348931363"/>
      <w:bookmarkStart w:id="63" w:name="_Toc517462764"/>
      <w:r w:rsidRPr="00E3472F">
        <w:rPr>
          <w:rFonts w:cs="Arial"/>
          <w:sz w:val="20"/>
        </w:rPr>
        <w:t>5.2.b Evaluación de la validez y de la utilidad práctica de los resultados</w:t>
      </w:r>
      <w:bookmarkEnd w:id="61"/>
      <w:bookmarkEnd w:id="62"/>
      <w:bookmarkEnd w:id="63"/>
      <w:r w:rsidRPr="00E3472F">
        <w:rPr>
          <w:rFonts w:cs="Arial"/>
          <w:sz w:val="20"/>
        </w:rPr>
        <w:t xml:space="preserve"> </w:t>
      </w:r>
    </w:p>
    <w:p w:rsidR="00556DFF" w:rsidRPr="006F6ABB" w:rsidRDefault="00556DFF" w:rsidP="00BC3E8E">
      <w:pPr>
        <w:jc w:val="both"/>
        <w:rPr>
          <w:rFonts w:ascii="Arial" w:hAnsi="Arial" w:cs="Arial"/>
          <w:bCs/>
          <w:color w:val="000080"/>
          <w:sz w:val="20"/>
          <w:szCs w:val="20"/>
          <w:lang w:val="es-ES_tradnl"/>
        </w:rPr>
      </w:pPr>
    </w:p>
    <w:p w:rsidR="00556DFF" w:rsidRPr="00EE2E78" w:rsidRDefault="00556DFF"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64" w:name="_Toc344399637"/>
      <w:bookmarkStart w:id="65" w:name="_Toc348931364"/>
      <w:bookmarkStart w:id="66" w:name="_Toc517462765"/>
      <w:r w:rsidRPr="00EE2E78">
        <w:rPr>
          <w:bCs/>
          <w:color w:val="333300"/>
          <w:sz w:val="20"/>
        </w:rPr>
        <w:t>A. Validez interna. Limitaciones de diseño y/o comentarios:</w:t>
      </w:r>
      <w:bookmarkEnd w:id="64"/>
      <w:bookmarkEnd w:id="65"/>
      <w:bookmarkEnd w:id="66"/>
    </w:p>
    <w:p w:rsidR="00556DFF" w:rsidRDefault="00556DFF" w:rsidP="00BC3E8E">
      <w:pPr>
        <w:autoSpaceDE w:val="0"/>
        <w:autoSpaceDN w:val="0"/>
        <w:adjustRightInd w:val="0"/>
        <w:rPr>
          <w:rFonts w:ascii="Arial" w:hAnsi="Arial" w:cs="Arial"/>
          <w:color w:val="000080"/>
          <w:sz w:val="20"/>
          <w:szCs w:val="20"/>
          <w:lang w:val="es-ES_tradnl"/>
        </w:rPr>
      </w:pPr>
    </w:p>
    <w:p w:rsidR="00556DFF" w:rsidRDefault="00556DFF" w:rsidP="00180AB7">
      <w:pPr>
        <w:autoSpaceDE w:val="0"/>
        <w:autoSpaceDN w:val="0"/>
        <w:adjustRightInd w:val="0"/>
        <w:jc w:val="both"/>
        <w:rPr>
          <w:rFonts w:ascii="Arial" w:hAnsi="Arial" w:cs="Arial"/>
          <w:sz w:val="20"/>
          <w:szCs w:val="20"/>
        </w:rPr>
      </w:pPr>
      <w:r w:rsidRPr="003103E8">
        <w:rPr>
          <w:rFonts w:ascii="Arial" w:hAnsi="Arial" w:cs="Arial"/>
          <w:b/>
          <w:sz w:val="20"/>
          <w:szCs w:val="20"/>
        </w:rPr>
        <w:t>Diseño del estudio</w:t>
      </w:r>
      <w:r>
        <w:rPr>
          <w:rFonts w:ascii="Arial" w:hAnsi="Arial" w:cs="Arial"/>
          <w:sz w:val="20"/>
          <w:szCs w:val="20"/>
        </w:rPr>
        <w:t xml:space="preserve">: Se trata de un ensayo clínico </w:t>
      </w:r>
      <w:r w:rsidRPr="003103E8">
        <w:rPr>
          <w:rFonts w:ascii="Arial" w:hAnsi="Arial" w:cs="Arial"/>
          <w:sz w:val="20"/>
          <w:szCs w:val="20"/>
        </w:rPr>
        <w:t>aleatorizado, doble ciego, de grupos paralelos, contro</w:t>
      </w:r>
      <w:r>
        <w:rPr>
          <w:rFonts w:ascii="Arial" w:hAnsi="Arial" w:cs="Arial"/>
          <w:sz w:val="20"/>
          <w:szCs w:val="20"/>
        </w:rPr>
        <w:t xml:space="preserve">lado con placebo, multicéntrico. </w:t>
      </w:r>
      <w:r w:rsidRPr="00180AB7">
        <w:rPr>
          <w:rFonts w:ascii="Arial" w:hAnsi="Arial" w:cs="Arial"/>
          <w:sz w:val="20"/>
          <w:szCs w:val="20"/>
        </w:rPr>
        <w:t>Los pacie</w:t>
      </w:r>
      <w:r>
        <w:rPr>
          <w:rFonts w:ascii="Arial" w:hAnsi="Arial" w:cs="Arial"/>
          <w:sz w:val="20"/>
          <w:szCs w:val="20"/>
        </w:rPr>
        <w:t xml:space="preserve">ntes fueron aleatorizados el día 1 de manera </w:t>
      </w:r>
      <w:r w:rsidRPr="00180AB7">
        <w:rPr>
          <w:rFonts w:ascii="Arial" w:hAnsi="Arial" w:cs="Arial"/>
          <w:sz w:val="20"/>
          <w:szCs w:val="20"/>
        </w:rPr>
        <w:t xml:space="preserve">1: 1 para el brazo </w:t>
      </w:r>
      <w:proofErr w:type="spellStart"/>
      <w:r w:rsidRPr="00180AB7">
        <w:rPr>
          <w:rFonts w:ascii="Arial" w:hAnsi="Arial" w:cs="Arial"/>
          <w:sz w:val="20"/>
          <w:szCs w:val="20"/>
        </w:rPr>
        <w:t>eculizumab</w:t>
      </w:r>
      <w:proofErr w:type="spellEnd"/>
      <w:r w:rsidRPr="00180AB7">
        <w:rPr>
          <w:rFonts w:ascii="Arial" w:hAnsi="Arial" w:cs="Arial"/>
          <w:sz w:val="20"/>
          <w:szCs w:val="20"/>
        </w:rPr>
        <w:t xml:space="preserve"> o el brazo placebo.</w:t>
      </w:r>
      <w:r>
        <w:rPr>
          <w:rFonts w:ascii="Arial" w:hAnsi="Arial" w:cs="Arial"/>
          <w:sz w:val="20"/>
          <w:szCs w:val="20"/>
        </w:rPr>
        <w:t xml:space="preserve"> </w:t>
      </w:r>
      <w:r w:rsidRPr="00180AB7">
        <w:rPr>
          <w:rFonts w:ascii="Arial" w:hAnsi="Arial" w:cs="Arial"/>
          <w:sz w:val="20"/>
          <w:szCs w:val="20"/>
        </w:rPr>
        <w:t xml:space="preserve">La asignación al azar se estratificó de acuerdo con 4 clases de MGFA de (a) </w:t>
      </w:r>
      <w:proofErr w:type="spellStart"/>
      <w:r w:rsidRPr="00180AB7">
        <w:rPr>
          <w:rFonts w:ascii="Arial" w:hAnsi="Arial" w:cs="Arial"/>
          <w:sz w:val="20"/>
          <w:szCs w:val="20"/>
        </w:rPr>
        <w:t>IIa</w:t>
      </w:r>
      <w:proofErr w:type="spellEnd"/>
      <w:r w:rsidRPr="00180AB7">
        <w:rPr>
          <w:rFonts w:ascii="Arial" w:hAnsi="Arial" w:cs="Arial"/>
          <w:sz w:val="20"/>
          <w:szCs w:val="20"/>
        </w:rPr>
        <w:t xml:space="preserve"> / </w:t>
      </w:r>
      <w:proofErr w:type="spellStart"/>
      <w:r w:rsidRPr="00180AB7">
        <w:rPr>
          <w:rFonts w:ascii="Arial" w:hAnsi="Arial" w:cs="Arial"/>
          <w:sz w:val="20"/>
          <w:szCs w:val="20"/>
        </w:rPr>
        <w:t>IIIa</w:t>
      </w:r>
      <w:proofErr w:type="spellEnd"/>
      <w:r w:rsidRPr="00180AB7">
        <w:rPr>
          <w:rFonts w:ascii="Arial" w:hAnsi="Arial" w:cs="Arial"/>
          <w:sz w:val="20"/>
          <w:szCs w:val="20"/>
        </w:rPr>
        <w:t xml:space="preserve">; (b) </w:t>
      </w:r>
      <w:proofErr w:type="spellStart"/>
      <w:r w:rsidRPr="00180AB7">
        <w:rPr>
          <w:rFonts w:ascii="Arial" w:hAnsi="Arial" w:cs="Arial"/>
          <w:sz w:val="20"/>
          <w:szCs w:val="20"/>
        </w:rPr>
        <w:t>IVa</w:t>
      </w:r>
      <w:proofErr w:type="spellEnd"/>
      <w:r w:rsidRPr="00180AB7">
        <w:rPr>
          <w:rFonts w:ascii="Arial" w:hAnsi="Arial" w:cs="Arial"/>
          <w:sz w:val="20"/>
          <w:szCs w:val="20"/>
        </w:rPr>
        <w:t xml:space="preserve">; (c) </w:t>
      </w:r>
      <w:proofErr w:type="spellStart"/>
      <w:r w:rsidRPr="00180AB7">
        <w:rPr>
          <w:rFonts w:ascii="Arial" w:hAnsi="Arial" w:cs="Arial"/>
          <w:sz w:val="20"/>
          <w:szCs w:val="20"/>
        </w:rPr>
        <w:t>IIb</w:t>
      </w:r>
      <w:proofErr w:type="spellEnd"/>
      <w:r w:rsidRPr="00180AB7">
        <w:rPr>
          <w:rFonts w:ascii="Arial" w:hAnsi="Arial" w:cs="Arial"/>
          <w:sz w:val="20"/>
          <w:szCs w:val="20"/>
        </w:rPr>
        <w:t xml:space="preserve"> / </w:t>
      </w:r>
      <w:proofErr w:type="spellStart"/>
      <w:r w:rsidRPr="00180AB7">
        <w:rPr>
          <w:rFonts w:ascii="Arial" w:hAnsi="Arial" w:cs="Arial"/>
          <w:sz w:val="20"/>
          <w:szCs w:val="20"/>
        </w:rPr>
        <w:t>IIIb</w:t>
      </w:r>
      <w:proofErr w:type="spellEnd"/>
      <w:r w:rsidRPr="00180AB7">
        <w:rPr>
          <w:rFonts w:ascii="Arial" w:hAnsi="Arial" w:cs="Arial"/>
          <w:sz w:val="20"/>
          <w:szCs w:val="20"/>
        </w:rPr>
        <w:t xml:space="preserve"> o (d) </w:t>
      </w:r>
      <w:proofErr w:type="spellStart"/>
      <w:r w:rsidRPr="00180AB7">
        <w:rPr>
          <w:rFonts w:ascii="Arial" w:hAnsi="Arial" w:cs="Arial"/>
          <w:sz w:val="20"/>
          <w:szCs w:val="20"/>
        </w:rPr>
        <w:t>IVb</w:t>
      </w:r>
      <w:proofErr w:type="spellEnd"/>
      <w:r w:rsidRPr="00180AB7">
        <w:rPr>
          <w:rFonts w:ascii="Arial" w:hAnsi="Arial" w:cs="Arial"/>
          <w:sz w:val="20"/>
          <w:szCs w:val="20"/>
        </w:rPr>
        <w:t>.</w:t>
      </w:r>
    </w:p>
    <w:p w:rsidR="00556DFF" w:rsidRDefault="00556DFF" w:rsidP="00180AB7">
      <w:pPr>
        <w:autoSpaceDE w:val="0"/>
        <w:autoSpaceDN w:val="0"/>
        <w:adjustRightInd w:val="0"/>
        <w:jc w:val="both"/>
        <w:rPr>
          <w:rFonts w:ascii="Arial" w:hAnsi="Arial" w:cs="Arial"/>
          <w:sz w:val="20"/>
          <w:szCs w:val="20"/>
        </w:rPr>
      </w:pPr>
      <w:r>
        <w:rPr>
          <w:rFonts w:ascii="Arial" w:hAnsi="Arial" w:cs="Arial"/>
          <w:sz w:val="20"/>
          <w:szCs w:val="20"/>
        </w:rPr>
        <w:t>El tipo de análisis fue por intención a tratar, incluyéndose todos los pacientes del estudio.</w:t>
      </w:r>
    </w:p>
    <w:p w:rsidR="00556DFF" w:rsidRDefault="00556DFF" w:rsidP="00180AB7">
      <w:pPr>
        <w:autoSpaceDE w:val="0"/>
        <w:autoSpaceDN w:val="0"/>
        <w:adjustRightInd w:val="0"/>
        <w:jc w:val="both"/>
        <w:rPr>
          <w:rFonts w:ascii="Arial" w:hAnsi="Arial" w:cs="Arial"/>
          <w:sz w:val="20"/>
          <w:szCs w:val="20"/>
        </w:rPr>
      </w:pPr>
    </w:p>
    <w:p w:rsidR="00556DFF" w:rsidRDefault="00DF3F54" w:rsidP="00180AB7">
      <w:pPr>
        <w:autoSpaceDE w:val="0"/>
        <w:autoSpaceDN w:val="0"/>
        <w:adjustRightInd w:val="0"/>
        <w:jc w:val="both"/>
        <w:rPr>
          <w:rFonts w:ascii="Arial" w:hAnsi="Arial" w:cs="Arial"/>
          <w:sz w:val="20"/>
          <w:szCs w:val="20"/>
        </w:rPr>
      </w:pPr>
      <w:r w:rsidRPr="00C471CC">
        <w:rPr>
          <w:rFonts w:ascii="Arial" w:hAnsi="Arial" w:cs="Arial"/>
          <w:noProof/>
          <w:sz w:val="20"/>
          <w:szCs w:val="20"/>
        </w:rPr>
        <w:pict>
          <v:shape id="Imagen 2" o:spid="_x0000_i1026" type="#_x0000_t75" style="width:421.5pt;height:369.75pt;visibility:visible">
            <v:imagedata r:id="rId11" o:title=""/>
          </v:shape>
        </w:pict>
      </w:r>
    </w:p>
    <w:p w:rsidR="00556DFF" w:rsidRDefault="00556DFF" w:rsidP="00180AB7">
      <w:pPr>
        <w:autoSpaceDE w:val="0"/>
        <w:autoSpaceDN w:val="0"/>
        <w:adjustRightInd w:val="0"/>
        <w:jc w:val="both"/>
        <w:rPr>
          <w:rFonts w:ascii="Arial" w:hAnsi="Arial" w:cs="Arial"/>
          <w:sz w:val="20"/>
          <w:szCs w:val="20"/>
        </w:rPr>
      </w:pPr>
      <w:r>
        <w:rPr>
          <w:rFonts w:ascii="Arial" w:hAnsi="Arial" w:cs="Arial"/>
          <w:sz w:val="20"/>
          <w:szCs w:val="20"/>
        </w:rPr>
        <w:t>Figura 1: Tomada del EPAR de la EMA del ensayo clínico.</w:t>
      </w:r>
    </w:p>
    <w:p w:rsidR="00556DFF" w:rsidRDefault="00556DFF" w:rsidP="00180AB7">
      <w:pPr>
        <w:autoSpaceDE w:val="0"/>
        <w:autoSpaceDN w:val="0"/>
        <w:adjustRightInd w:val="0"/>
        <w:jc w:val="both"/>
        <w:rPr>
          <w:rFonts w:ascii="Arial" w:hAnsi="Arial" w:cs="Arial"/>
          <w:b/>
          <w:sz w:val="20"/>
          <w:szCs w:val="20"/>
        </w:rPr>
      </w:pPr>
    </w:p>
    <w:p w:rsidR="00556DFF" w:rsidRDefault="00556DFF" w:rsidP="00180AB7">
      <w:pPr>
        <w:autoSpaceDE w:val="0"/>
        <w:autoSpaceDN w:val="0"/>
        <w:adjustRightInd w:val="0"/>
        <w:jc w:val="both"/>
        <w:rPr>
          <w:rFonts w:ascii="Arial" w:hAnsi="Arial" w:cs="Arial"/>
          <w:sz w:val="20"/>
          <w:szCs w:val="20"/>
        </w:rPr>
      </w:pPr>
      <w:r w:rsidRPr="00180AB7">
        <w:rPr>
          <w:rFonts w:ascii="Arial" w:hAnsi="Arial" w:cs="Arial"/>
          <w:b/>
          <w:sz w:val="20"/>
          <w:szCs w:val="20"/>
        </w:rPr>
        <w:t>Seguimiento</w:t>
      </w:r>
      <w:r>
        <w:rPr>
          <w:rFonts w:ascii="Arial" w:hAnsi="Arial" w:cs="Arial"/>
          <w:sz w:val="20"/>
          <w:szCs w:val="20"/>
        </w:rPr>
        <w:t>: El seguimiento de los pacientes fue adecuado.</w:t>
      </w:r>
      <w:r w:rsidRPr="000F3779">
        <w:t xml:space="preserve"> </w:t>
      </w:r>
      <w:r w:rsidRPr="000F3779">
        <w:rPr>
          <w:rFonts w:ascii="Arial" w:hAnsi="Arial" w:cs="Arial"/>
          <w:sz w:val="20"/>
          <w:szCs w:val="20"/>
        </w:rPr>
        <w:t xml:space="preserve">La mayoría de los pacientes (93.7%) completaron el estudio. </w:t>
      </w:r>
      <w:r>
        <w:rPr>
          <w:rFonts w:ascii="Arial" w:hAnsi="Arial" w:cs="Arial"/>
          <w:sz w:val="20"/>
          <w:szCs w:val="20"/>
        </w:rPr>
        <w:t>Además se realizó un estudio de extensión (ECU-MG-302) donde al menos 117 pacientes se les administraron una dosis de fármaco.</w:t>
      </w:r>
    </w:p>
    <w:p w:rsidR="00556DFF" w:rsidRDefault="00556DFF" w:rsidP="00180AB7">
      <w:pPr>
        <w:autoSpaceDE w:val="0"/>
        <w:autoSpaceDN w:val="0"/>
        <w:adjustRightInd w:val="0"/>
        <w:jc w:val="both"/>
        <w:rPr>
          <w:rFonts w:ascii="Arial" w:hAnsi="Arial" w:cs="Arial"/>
          <w:sz w:val="20"/>
          <w:szCs w:val="20"/>
        </w:rPr>
      </w:pPr>
    </w:p>
    <w:p w:rsidR="00556DFF" w:rsidRDefault="00556DFF" w:rsidP="00180AB7">
      <w:pPr>
        <w:autoSpaceDE w:val="0"/>
        <w:autoSpaceDN w:val="0"/>
        <w:adjustRightInd w:val="0"/>
        <w:jc w:val="both"/>
        <w:rPr>
          <w:rFonts w:ascii="Arial" w:hAnsi="Arial" w:cs="Arial"/>
          <w:sz w:val="20"/>
          <w:szCs w:val="20"/>
        </w:rPr>
      </w:pPr>
      <w:r w:rsidRPr="000F3779">
        <w:rPr>
          <w:rFonts w:ascii="Arial" w:hAnsi="Arial" w:cs="Arial"/>
          <w:b/>
          <w:sz w:val="20"/>
          <w:szCs w:val="20"/>
        </w:rPr>
        <w:t>Población</w:t>
      </w:r>
      <w:r>
        <w:rPr>
          <w:rFonts w:ascii="Arial" w:hAnsi="Arial" w:cs="Arial"/>
          <w:sz w:val="20"/>
          <w:szCs w:val="20"/>
        </w:rPr>
        <w:t xml:space="preserve">: </w:t>
      </w:r>
      <w:r w:rsidRPr="000F3779">
        <w:rPr>
          <w:rFonts w:ascii="Arial" w:hAnsi="Arial" w:cs="Arial"/>
          <w:sz w:val="20"/>
          <w:szCs w:val="20"/>
        </w:rPr>
        <w:t>En general, las características demográficas y de la enfermedad fueron comparables entre los grupos de tratamiento. Más de la mitad (52.8%) de los paci</w:t>
      </w:r>
      <w:r>
        <w:rPr>
          <w:rFonts w:ascii="Arial" w:hAnsi="Arial" w:cs="Arial"/>
          <w:sz w:val="20"/>
          <w:szCs w:val="20"/>
        </w:rPr>
        <w:t>entes fueron clasificados como c</w:t>
      </w:r>
      <w:r w:rsidRPr="000F3779">
        <w:rPr>
          <w:rFonts w:ascii="Arial" w:hAnsi="Arial" w:cs="Arial"/>
          <w:sz w:val="20"/>
          <w:szCs w:val="20"/>
        </w:rPr>
        <w:t>las</w:t>
      </w:r>
      <w:r>
        <w:rPr>
          <w:rFonts w:ascii="Arial" w:hAnsi="Arial" w:cs="Arial"/>
          <w:sz w:val="20"/>
          <w:szCs w:val="20"/>
        </w:rPr>
        <w:t>e III seguidos por 37.6% de la c</w:t>
      </w:r>
      <w:r w:rsidRPr="000F3779">
        <w:rPr>
          <w:rFonts w:ascii="Arial" w:hAnsi="Arial" w:cs="Arial"/>
          <w:sz w:val="20"/>
          <w:szCs w:val="20"/>
        </w:rPr>
        <w:t xml:space="preserve">lase II (de acuerdo con la </w:t>
      </w:r>
      <w:r>
        <w:rPr>
          <w:rFonts w:ascii="Arial" w:hAnsi="Arial" w:cs="Arial"/>
          <w:sz w:val="20"/>
          <w:szCs w:val="20"/>
        </w:rPr>
        <w:t>c</w:t>
      </w:r>
      <w:r w:rsidRPr="000F3779">
        <w:rPr>
          <w:rFonts w:ascii="Arial" w:hAnsi="Arial" w:cs="Arial"/>
          <w:sz w:val="20"/>
          <w:szCs w:val="20"/>
        </w:rPr>
        <w:t xml:space="preserve">lasificación </w:t>
      </w:r>
      <w:r>
        <w:rPr>
          <w:rFonts w:ascii="Arial" w:hAnsi="Arial" w:cs="Arial"/>
          <w:sz w:val="20"/>
          <w:szCs w:val="20"/>
        </w:rPr>
        <w:t>c</w:t>
      </w:r>
      <w:r w:rsidRPr="000F3779">
        <w:rPr>
          <w:rFonts w:ascii="Arial" w:hAnsi="Arial" w:cs="Arial"/>
          <w:sz w:val="20"/>
          <w:szCs w:val="20"/>
        </w:rPr>
        <w:t>línica MGFA</w:t>
      </w:r>
      <w:r>
        <w:rPr>
          <w:rFonts w:ascii="Arial" w:hAnsi="Arial" w:cs="Arial"/>
          <w:sz w:val="20"/>
          <w:szCs w:val="20"/>
        </w:rPr>
        <w:t>).</w:t>
      </w:r>
    </w:p>
    <w:p w:rsidR="00556DFF" w:rsidRDefault="00556DFF" w:rsidP="00180AB7">
      <w:pPr>
        <w:autoSpaceDE w:val="0"/>
        <w:autoSpaceDN w:val="0"/>
        <w:adjustRightInd w:val="0"/>
        <w:jc w:val="both"/>
        <w:rPr>
          <w:rFonts w:ascii="Arial" w:hAnsi="Arial" w:cs="Arial"/>
          <w:sz w:val="20"/>
          <w:szCs w:val="20"/>
        </w:rPr>
      </w:pPr>
      <w:r>
        <w:rPr>
          <w:rFonts w:ascii="Arial" w:hAnsi="Arial" w:cs="Arial"/>
          <w:sz w:val="20"/>
          <w:szCs w:val="20"/>
        </w:rPr>
        <w:t xml:space="preserve">Por otro lado, en relación a la raza, hubo más pacientes asiáticos en el grupo placebo (20% más) que en el grupo del </w:t>
      </w:r>
      <w:proofErr w:type="spellStart"/>
      <w:r>
        <w:rPr>
          <w:rFonts w:ascii="Arial" w:hAnsi="Arial" w:cs="Arial"/>
          <w:sz w:val="20"/>
          <w:szCs w:val="20"/>
        </w:rPr>
        <w:t>eculizumab</w:t>
      </w:r>
      <w:proofErr w:type="spellEnd"/>
      <w:r>
        <w:rPr>
          <w:rFonts w:ascii="Arial" w:hAnsi="Arial" w:cs="Arial"/>
          <w:sz w:val="20"/>
          <w:szCs w:val="20"/>
        </w:rPr>
        <w:t>.</w:t>
      </w:r>
    </w:p>
    <w:p w:rsidR="00556DFF" w:rsidRDefault="00556DFF" w:rsidP="00180AB7">
      <w:pPr>
        <w:autoSpaceDE w:val="0"/>
        <w:autoSpaceDN w:val="0"/>
        <w:adjustRightInd w:val="0"/>
        <w:jc w:val="both"/>
        <w:rPr>
          <w:rFonts w:ascii="Arial" w:hAnsi="Arial" w:cs="Arial"/>
          <w:b/>
          <w:sz w:val="20"/>
          <w:szCs w:val="20"/>
        </w:rPr>
      </w:pPr>
    </w:p>
    <w:p w:rsidR="00556DFF" w:rsidRDefault="00556DFF" w:rsidP="00180AB7">
      <w:pPr>
        <w:autoSpaceDE w:val="0"/>
        <w:autoSpaceDN w:val="0"/>
        <w:adjustRightInd w:val="0"/>
        <w:jc w:val="both"/>
        <w:rPr>
          <w:rFonts w:ascii="Arial" w:hAnsi="Arial" w:cs="Arial"/>
          <w:sz w:val="20"/>
          <w:szCs w:val="20"/>
        </w:rPr>
      </w:pPr>
      <w:r w:rsidRPr="000F3779">
        <w:rPr>
          <w:rFonts w:ascii="Arial" w:hAnsi="Arial" w:cs="Arial"/>
          <w:b/>
          <w:sz w:val="20"/>
          <w:szCs w:val="20"/>
        </w:rPr>
        <w:t>Comparador</w:t>
      </w:r>
      <w:r>
        <w:rPr>
          <w:rFonts w:ascii="Arial" w:hAnsi="Arial" w:cs="Arial"/>
          <w:sz w:val="20"/>
          <w:szCs w:val="20"/>
        </w:rPr>
        <w:t>: El comparador utilizado fue placebo. Al no existir otras alternativas aprobadas por la agencia reguladora, se puede considerar que el comparador fue el adecuado.</w:t>
      </w:r>
    </w:p>
    <w:p w:rsidR="00556DFF" w:rsidRDefault="00556DFF" w:rsidP="00BC3E8E">
      <w:pPr>
        <w:jc w:val="right"/>
        <w:rPr>
          <w:rFonts w:ascii="Arial" w:hAnsi="Arial" w:cs="Arial"/>
          <w:color w:val="FF0000"/>
          <w:sz w:val="20"/>
          <w:szCs w:val="20"/>
        </w:rPr>
      </w:pPr>
    </w:p>
    <w:p w:rsidR="00556DFF" w:rsidRPr="006F6ABB" w:rsidRDefault="00556DFF" w:rsidP="00BC3E8E">
      <w:pPr>
        <w:jc w:val="right"/>
        <w:rPr>
          <w:rFonts w:ascii="Arial" w:hAnsi="Arial" w:cs="Arial"/>
          <w:color w:val="FF0000"/>
          <w:sz w:val="20"/>
          <w:szCs w:val="20"/>
        </w:rPr>
      </w:pPr>
    </w:p>
    <w:p w:rsidR="00556DFF" w:rsidRPr="00EE2E78" w:rsidRDefault="00556DFF"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67" w:name="_Toc344399638"/>
      <w:bookmarkStart w:id="68" w:name="_Toc348931365"/>
      <w:bookmarkStart w:id="69" w:name="_Toc517462766"/>
      <w:r w:rsidRPr="00EE2E78">
        <w:rPr>
          <w:bCs/>
          <w:color w:val="333300"/>
          <w:sz w:val="20"/>
        </w:rPr>
        <w:t>B. Aplicabilidad del ensayo a la práctica del hospital</w:t>
      </w:r>
      <w:bookmarkEnd w:id="67"/>
      <w:bookmarkEnd w:id="68"/>
      <w:bookmarkEnd w:id="69"/>
    </w:p>
    <w:p w:rsidR="00556DFF" w:rsidRDefault="00556DFF" w:rsidP="00BC3E8E">
      <w:pPr>
        <w:pStyle w:val="Textoindependiente3"/>
        <w:jc w:val="both"/>
        <w:rPr>
          <w:color w:val="000080"/>
          <w:sz w:val="20"/>
          <w:lang w:val="es-ES_tradnl"/>
        </w:rPr>
      </w:pPr>
    </w:p>
    <w:p w:rsidR="00556DFF" w:rsidRPr="00FD6C7E" w:rsidRDefault="00556DFF" w:rsidP="00BC3E8E">
      <w:pPr>
        <w:pStyle w:val="Textoindependiente3"/>
        <w:jc w:val="both"/>
        <w:rPr>
          <w:rFonts w:ascii="Arial" w:hAnsi="Arial" w:cs="Arial"/>
          <w:sz w:val="20"/>
        </w:rPr>
      </w:pPr>
      <w:r>
        <w:rPr>
          <w:rFonts w:ascii="Arial" w:hAnsi="Arial" w:cs="Arial"/>
          <w:sz w:val="20"/>
        </w:rPr>
        <w:t xml:space="preserve">Actualmente en la práctica clínica se utilizan en la misma línea que </w:t>
      </w:r>
      <w:proofErr w:type="spellStart"/>
      <w:r>
        <w:rPr>
          <w:rFonts w:ascii="Arial" w:hAnsi="Arial" w:cs="Arial"/>
          <w:sz w:val="20"/>
        </w:rPr>
        <w:t>eculizumab</w:t>
      </w:r>
      <w:proofErr w:type="spellEnd"/>
      <w:r>
        <w:rPr>
          <w:rFonts w:ascii="Arial" w:hAnsi="Arial" w:cs="Arial"/>
          <w:sz w:val="20"/>
        </w:rPr>
        <w:t xml:space="preserve"> otras alternativas terapéuticas (</w:t>
      </w:r>
      <w:proofErr w:type="spellStart"/>
      <w:r>
        <w:rPr>
          <w:rFonts w:ascii="Arial" w:hAnsi="Arial" w:cs="Arial"/>
          <w:sz w:val="20"/>
        </w:rPr>
        <w:t>rituximab</w:t>
      </w:r>
      <w:proofErr w:type="spellEnd"/>
      <w:r>
        <w:rPr>
          <w:rFonts w:ascii="Arial" w:hAnsi="Arial" w:cs="Arial"/>
          <w:sz w:val="20"/>
        </w:rPr>
        <w:t xml:space="preserve"> y </w:t>
      </w:r>
      <w:proofErr w:type="spellStart"/>
      <w:r>
        <w:rPr>
          <w:rFonts w:ascii="Arial" w:hAnsi="Arial" w:cs="Arial"/>
          <w:sz w:val="20"/>
        </w:rPr>
        <w:t>etanercept</w:t>
      </w:r>
      <w:proofErr w:type="spellEnd"/>
      <w:r>
        <w:rPr>
          <w:rFonts w:ascii="Arial" w:hAnsi="Arial" w:cs="Arial"/>
          <w:sz w:val="20"/>
        </w:rPr>
        <w:t xml:space="preserve">) pero estos fármacos se usan como uso fuera de indicación, </w:t>
      </w:r>
      <w:r w:rsidRPr="00FD6C7E">
        <w:rPr>
          <w:rFonts w:ascii="Arial" w:hAnsi="Arial" w:cs="Arial"/>
          <w:sz w:val="20"/>
        </w:rPr>
        <w:t xml:space="preserve">por lo cual no se pueden considerar como posible comparador con </w:t>
      </w:r>
      <w:proofErr w:type="spellStart"/>
      <w:r w:rsidRPr="00FD6C7E">
        <w:rPr>
          <w:rFonts w:ascii="Arial" w:hAnsi="Arial" w:cs="Arial"/>
          <w:sz w:val="20"/>
        </w:rPr>
        <w:t>eculizumab</w:t>
      </w:r>
      <w:proofErr w:type="spellEnd"/>
      <w:r w:rsidRPr="00FD6C7E">
        <w:rPr>
          <w:rFonts w:ascii="Arial" w:hAnsi="Arial" w:cs="Arial"/>
          <w:sz w:val="20"/>
        </w:rPr>
        <w:t>. Por este motivo se puede considerar placebo como comparador adecuado.</w:t>
      </w:r>
    </w:p>
    <w:p w:rsidR="00556DFF" w:rsidRPr="00FD6C7E" w:rsidRDefault="00556DFF" w:rsidP="00BC3E8E">
      <w:pPr>
        <w:pStyle w:val="Textoindependiente3"/>
        <w:jc w:val="both"/>
        <w:rPr>
          <w:rFonts w:ascii="Arial" w:hAnsi="Arial" w:cs="Arial"/>
          <w:sz w:val="20"/>
        </w:rPr>
      </w:pPr>
      <w:r w:rsidRPr="00FD6C7E">
        <w:rPr>
          <w:rFonts w:ascii="Arial" w:hAnsi="Arial" w:cs="Arial"/>
          <w:sz w:val="20"/>
        </w:rPr>
        <w:t xml:space="preserve">Para esta indicación no se realizaron estudios específicos de dosis respuesta. La dosis recomendada es la aprobada para el tratamiento de Síndrome Hemolítico Urémico Atípico. </w:t>
      </w:r>
    </w:p>
    <w:p w:rsidR="00556DFF" w:rsidRPr="00FD6C7E" w:rsidRDefault="00556DFF" w:rsidP="00BC3E8E">
      <w:pPr>
        <w:pStyle w:val="Textoindependiente3"/>
        <w:jc w:val="both"/>
        <w:rPr>
          <w:rFonts w:ascii="Arial" w:hAnsi="Arial" w:cs="Arial"/>
          <w:sz w:val="20"/>
        </w:rPr>
      </w:pPr>
      <w:r w:rsidRPr="00FD6C7E">
        <w:rPr>
          <w:rFonts w:ascii="Arial" w:hAnsi="Arial" w:cs="Arial"/>
          <w:sz w:val="20"/>
        </w:rPr>
        <w:t>Se analizaron variables intermedias y variables finales (calidad de vida), estas variables son las usadas en la práctica.</w:t>
      </w:r>
    </w:p>
    <w:p w:rsidR="00556DFF" w:rsidRDefault="00556DFF" w:rsidP="00BC3E8E">
      <w:pPr>
        <w:pStyle w:val="Textoindependiente3"/>
        <w:jc w:val="both"/>
        <w:rPr>
          <w:rFonts w:ascii="Arial" w:hAnsi="Arial" w:cs="Arial"/>
          <w:sz w:val="20"/>
        </w:rPr>
      </w:pPr>
      <w:r w:rsidRPr="00FD6C7E">
        <w:rPr>
          <w:rFonts w:ascii="Arial" w:hAnsi="Arial" w:cs="Arial"/>
          <w:sz w:val="20"/>
        </w:rPr>
        <w:t xml:space="preserve">Por otro lado, en relación a los criterios de </w:t>
      </w:r>
      <w:r w:rsidRPr="00925216">
        <w:rPr>
          <w:rFonts w:ascii="Arial" w:hAnsi="Arial" w:cs="Arial"/>
          <w:sz w:val="20"/>
        </w:rPr>
        <w:t>inclusión/exclusión, cabe destacar la exclusión de los</w:t>
      </w:r>
      <w:r>
        <w:rPr>
          <w:rFonts w:ascii="Arial" w:hAnsi="Arial" w:cs="Arial"/>
          <w:sz w:val="20"/>
        </w:rPr>
        <w:t xml:space="preserve"> pacientes en tratamiento con </w:t>
      </w:r>
      <w:r w:rsidRPr="00925216">
        <w:rPr>
          <w:rFonts w:ascii="Arial" w:hAnsi="Arial" w:cs="Arial"/>
          <w:sz w:val="20"/>
        </w:rPr>
        <w:t>T</w:t>
      </w:r>
      <w:r>
        <w:rPr>
          <w:rFonts w:ascii="Arial" w:hAnsi="Arial" w:cs="Arial"/>
          <w:sz w:val="20"/>
        </w:rPr>
        <w:t>IS</w:t>
      </w:r>
      <w:r w:rsidRPr="00925216">
        <w:rPr>
          <w:rFonts w:ascii="Arial" w:hAnsi="Arial" w:cs="Arial"/>
          <w:sz w:val="20"/>
        </w:rPr>
        <w:t>, corticoides o inhibidores de la colinesterasa cuando no tenían estabilizadas las dosis, ya que los pacientes no estables con este otro tipo de fárm</w:t>
      </w:r>
      <w:r>
        <w:rPr>
          <w:rFonts w:ascii="Arial" w:hAnsi="Arial" w:cs="Arial"/>
          <w:sz w:val="20"/>
        </w:rPr>
        <w:t xml:space="preserve">acos son los que más requieran una nueva línea de tratamiento y podrían ser candidatos a </w:t>
      </w:r>
      <w:proofErr w:type="spellStart"/>
      <w:r>
        <w:rPr>
          <w:rFonts w:ascii="Arial" w:hAnsi="Arial" w:cs="Arial"/>
          <w:sz w:val="20"/>
        </w:rPr>
        <w:t>eculizumab</w:t>
      </w:r>
      <w:proofErr w:type="spellEnd"/>
      <w:r>
        <w:rPr>
          <w:rFonts w:ascii="Arial" w:hAnsi="Arial" w:cs="Arial"/>
          <w:sz w:val="20"/>
        </w:rPr>
        <w:t>.</w:t>
      </w:r>
    </w:p>
    <w:p w:rsidR="00556DFF" w:rsidRDefault="00556DFF" w:rsidP="00BC3E8E">
      <w:pPr>
        <w:pStyle w:val="Textoindependiente3"/>
        <w:jc w:val="both"/>
        <w:rPr>
          <w:rFonts w:ascii="Arial" w:hAnsi="Arial" w:cs="Arial"/>
          <w:sz w:val="20"/>
        </w:rPr>
      </w:pPr>
      <w:r>
        <w:rPr>
          <w:rFonts w:ascii="Arial" w:hAnsi="Arial" w:cs="Arial"/>
          <w:sz w:val="20"/>
        </w:rPr>
        <w:t>La aplicabilidad de los resultados a la práctica clínica habría que evaluar la eficiencia del fármaco ya que en la variable principal del estudio no se consigue diferencia estadísticamente significativa con placebo, sí encontrándose esta diferencia en algunas de las variables secundarias.</w:t>
      </w:r>
    </w:p>
    <w:p w:rsidR="00556DFF" w:rsidRPr="00925216" w:rsidRDefault="00556DFF" w:rsidP="00BC3E8E">
      <w:pPr>
        <w:pStyle w:val="Textoindependiente3"/>
        <w:jc w:val="both"/>
        <w:rPr>
          <w:rFonts w:ascii="Arial" w:hAnsi="Arial" w:cs="Arial"/>
          <w:sz w:val="20"/>
        </w:rPr>
      </w:pPr>
    </w:p>
    <w:p w:rsidR="00556DFF" w:rsidRPr="00BE3C83" w:rsidRDefault="00556DFF"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70" w:name="_Toc344399639"/>
      <w:bookmarkStart w:id="71" w:name="_Toc348931366"/>
      <w:bookmarkStart w:id="72" w:name="_Toc517462767"/>
      <w:r w:rsidRPr="00BE3C83">
        <w:rPr>
          <w:bCs/>
          <w:color w:val="333300"/>
          <w:sz w:val="20"/>
        </w:rPr>
        <w:t>C. Relevancia clínica de los resultados</w:t>
      </w:r>
      <w:bookmarkEnd w:id="70"/>
      <w:bookmarkEnd w:id="71"/>
      <w:bookmarkEnd w:id="72"/>
    </w:p>
    <w:p w:rsidR="00556DFF" w:rsidRPr="006F6ABB" w:rsidRDefault="00556DFF" w:rsidP="00BC3E8E">
      <w:pPr>
        <w:pStyle w:val="Textoindependiente3"/>
        <w:rPr>
          <w:color w:val="333300"/>
          <w:sz w:val="20"/>
        </w:rPr>
      </w:pPr>
    </w:p>
    <w:p w:rsidR="00556DFF" w:rsidRPr="00BE3C83" w:rsidRDefault="00556DFF"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color w:val="333300"/>
          <w:sz w:val="20"/>
        </w:rPr>
      </w:pPr>
      <w:bookmarkStart w:id="73" w:name="_Toc344399640"/>
      <w:bookmarkStart w:id="74" w:name="_Toc348931367"/>
      <w:bookmarkStart w:id="75" w:name="_Toc517462768"/>
      <w:r w:rsidRPr="00BE3C83">
        <w:rPr>
          <w:color w:val="333300"/>
          <w:sz w:val="20"/>
        </w:rPr>
        <w:t xml:space="preserve">C.1 Valorar si la </w:t>
      </w:r>
      <w:r w:rsidRPr="00BE3C83">
        <w:rPr>
          <w:color w:val="333300"/>
          <w:sz w:val="20"/>
          <w:u w:val="single"/>
        </w:rPr>
        <w:t>magnitud del efecto</w:t>
      </w:r>
      <w:r w:rsidRPr="00BE3C83">
        <w:rPr>
          <w:color w:val="333300"/>
          <w:sz w:val="20"/>
        </w:rPr>
        <w:t xml:space="preserve"> del tratamiento es de relevancia clínica.</w:t>
      </w:r>
      <w:bookmarkEnd w:id="73"/>
      <w:bookmarkEnd w:id="74"/>
      <w:bookmarkEnd w:id="75"/>
      <w:r w:rsidRPr="00BE3C83">
        <w:rPr>
          <w:color w:val="333300"/>
          <w:sz w:val="20"/>
        </w:rPr>
        <w:t xml:space="preserve"> </w:t>
      </w:r>
    </w:p>
    <w:p w:rsidR="00556DFF" w:rsidRDefault="00556DFF" w:rsidP="00BC3E8E">
      <w:pPr>
        <w:pStyle w:val="Textoindependiente3"/>
        <w:ind w:left="708"/>
        <w:jc w:val="both"/>
        <w:rPr>
          <w:color w:val="000080"/>
          <w:sz w:val="20"/>
          <w:lang w:val="es-ES_tradnl"/>
        </w:rPr>
      </w:pPr>
    </w:p>
    <w:p w:rsidR="00556DFF" w:rsidRPr="00FD6C7E" w:rsidRDefault="00556DFF" w:rsidP="00386497">
      <w:pPr>
        <w:pStyle w:val="Textoindependiente3"/>
        <w:jc w:val="both"/>
        <w:rPr>
          <w:rFonts w:ascii="Arial" w:hAnsi="Arial" w:cs="Arial"/>
          <w:sz w:val="20"/>
        </w:rPr>
      </w:pPr>
      <w:r w:rsidRPr="00925216">
        <w:rPr>
          <w:rFonts w:ascii="Arial" w:hAnsi="Arial" w:cs="Arial"/>
          <w:sz w:val="20"/>
        </w:rPr>
        <w:t xml:space="preserve">En el análisis primario de los cambios en la puntuación de MG-ADL en la semana 26 no mostraron una diferencia estadísticamente significativa para el régimen de tratamiento con </w:t>
      </w:r>
      <w:proofErr w:type="spellStart"/>
      <w:r w:rsidRPr="00925216">
        <w:rPr>
          <w:rFonts w:ascii="Arial" w:hAnsi="Arial" w:cs="Arial"/>
          <w:sz w:val="20"/>
        </w:rPr>
        <w:t>eculizumab</w:t>
      </w:r>
      <w:proofErr w:type="spellEnd"/>
      <w:r w:rsidRPr="00925216">
        <w:rPr>
          <w:rFonts w:ascii="Arial" w:hAnsi="Arial" w:cs="Arial"/>
          <w:sz w:val="20"/>
        </w:rPr>
        <w:t xml:space="preserve"> cuando se comparó con placebo (p = 0,0698)</w:t>
      </w:r>
      <w:r>
        <w:rPr>
          <w:rFonts w:ascii="Arial" w:hAnsi="Arial" w:cs="Arial"/>
          <w:sz w:val="20"/>
        </w:rPr>
        <w:t>.</w:t>
      </w:r>
      <w:r w:rsidRPr="00925216">
        <w:rPr>
          <w:rFonts w:ascii="Arial" w:hAnsi="Arial" w:cs="Arial"/>
          <w:sz w:val="20"/>
        </w:rPr>
        <w:t xml:space="preserve"> En general, </w:t>
      </w:r>
      <w:r>
        <w:rPr>
          <w:rFonts w:ascii="Arial" w:hAnsi="Arial" w:cs="Arial"/>
          <w:sz w:val="20"/>
        </w:rPr>
        <w:t>se observó una disminución de 4,</w:t>
      </w:r>
      <w:r w:rsidRPr="00925216">
        <w:rPr>
          <w:rFonts w:ascii="Arial" w:hAnsi="Arial" w:cs="Arial"/>
          <w:sz w:val="20"/>
        </w:rPr>
        <w:t>7 puntos en el</w:t>
      </w:r>
      <w:r>
        <w:rPr>
          <w:rFonts w:ascii="Arial" w:hAnsi="Arial" w:cs="Arial"/>
          <w:sz w:val="20"/>
        </w:rPr>
        <w:t xml:space="preserve"> brazo de </w:t>
      </w:r>
      <w:proofErr w:type="spellStart"/>
      <w:r>
        <w:rPr>
          <w:rFonts w:ascii="Arial" w:hAnsi="Arial" w:cs="Arial"/>
          <w:sz w:val="20"/>
        </w:rPr>
        <w:t>eculizumab</w:t>
      </w:r>
      <w:proofErr w:type="spellEnd"/>
      <w:r>
        <w:rPr>
          <w:rFonts w:ascii="Arial" w:hAnsi="Arial" w:cs="Arial"/>
          <w:sz w:val="20"/>
        </w:rPr>
        <w:t xml:space="preserve"> frente a 2,</w:t>
      </w:r>
      <w:r w:rsidRPr="00925216">
        <w:rPr>
          <w:rFonts w:ascii="Arial" w:hAnsi="Arial" w:cs="Arial"/>
          <w:sz w:val="20"/>
        </w:rPr>
        <w:t xml:space="preserve">8 puntos en el grupo de placebo con intervalos de </w:t>
      </w:r>
      <w:r w:rsidRPr="00FD6C7E">
        <w:rPr>
          <w:rFonts w:ascii="Arial" w:hAnsi="Arial" w:cs="Arial"/>
          <w:sz w:val="20"/>
        </w:rPr>
        <w:t xml:space="preserve">confianza sustancialmente superpuestos. </w:t>
      </w:r>
    </w:p>
    <w:p w:rsidR="00556DFF" w:rsidRPr="00FD6C7E" w:rsidRDefault="00556DFF" w:rsidP="00386497">
      <w:pPr>
        <w:pStyle w:val="Textoindependiente3"/>
        <w:jc w:val="both"/>
        <w:rPr>
          <w:rFonts w:ascii="Arial" w:hAnsi="Arial" w:cs="Arial"/>
          <w:sz w:val="20"/>
        </w:rPr>
      </w:pPr>
      <w:r w:rsidRPr="00FD6C7E">
        <w:rPr>
          <w:rFonts w:ascii="Arial" w:hAnsi="Arial" w:cs="Arial"/>
          <w:sz w:val="20"/>
        </w:rPr>
        <w:t>Se observaron diferencias estadísticamente significativas en el criterio de valoración secundario principal (puntuación QMG) aunque la diferencia de 3 puntos definida como un efecto del tratamiento clínicamente significativo no fue evidente hasta la semana 26. Sin embargo, debe señalarse que los datos de la literatura no son unánimes en este aspecto y según algunos autores, una disminución en la puntuación QMG de 4 puntos o más se considera la referencia de mejoría clínica significativa</w:t>
      </w:r>
      <w:r w:rsidRPr="00FD6C7E">
        <w:rPr>
          <w:rFonts w:ascii="Arial" w:hAnsi="Arial" w:cs="Arial"/>
          <w:sz w:val="20"/>
          <w:vertAlign w:val="superscript"/>
        </w:rPr>
        <w:t>10</w:t>
      </w:r>
      <w:r w:rsidRPr="00FD6C7E">
        <w:rPr>
          <w:rFonts w:ascii="Arial" w:hAnsi="Arial" w:cs="Arial"/>
          <w:sz w:val="20"/>
        </w:rPr>
        <w:t xml:space="preserve">. En todo caso, la relevancia clínica del beneficio proporcionado por </w:t>
      </w:r>
      <w:proofErr w:type="spellStart"/>
      <w:r w:rsidRPr="00FD6C7E">
        <w:rPr>
          <w:rFonts w:ascii="Arial" w:hAnsi="Arial" w:cs="Arial"/>
          <w:sz w:val="20"/>
        </w:rPr>
        <w:t>eculizumab</w:t>
      </w:r>
      <w:proofErr w:type="spellEnd"/>
      <w:r w:rsidRPr="00FD6C7E">
        <w:rPr>
          <w:rFonts w:ascii="Arial" w:hAnsi="Arial" w:cs="Arial"/>
          <w:sz w:val="20"/>
        </w:rPr>
        <w:t xml:space="preserve"> sería limitada: el tamaño del efecto de todos los análisis realizados fue menor que la reducción de 2 puntos definida a priori como clínicamente relevante para MG-ADL.</w:t>
      </w:r>
    </w:p>
    <w:p w:rsidR="00556DFF" w:rsidRPr="00925216" w:rsidRDefault="00556DFF" w:rsidP="00386497">
      <w:pPr>
        <w:pStyle w:val="Textoindependiente3"/>
        <w:jc w:val="both"/>
        <w:rPr>
          <w:rFonts w:ascii="Arial" w:hAnsi="Arial" w:cs="Arial"/>
          <w:sz w:val="20"/>
        </w:rPr>
      </w:pPr>
      <w:r w:rsidRPr="00FD6C7E">
        <w:rPr>
          <w:rFonts w:ascii="Arial" w:hAnsi="Arial" w:cs="Arial"/>
          <w:sz w:val="20"/>
        </w:rPr>
        <w:t xml:space="preserve">Uno de los aspectos relevantes observados en los datos fue que el grupo placebo parecía mostrar una respuesta mayor a la prevista cuando los pacientes la midieron (MG-ADL) en comparación con la medida por los médicos (QMG). En general, el cambio esperado </w:t>
      </w:r>
      <w:r w:rsidRPr="00925216">
        <w:rPr>
          <w:rFonts w:ascii="Arial" w:hAnsi="Arial" w:cs="Arial"/>
          <w:sz w:val="20"/>
        </w:rPr>
        <w:t>desde el inicio en el grupo placebo fue -1</w:t>
      </w:r>
      <w:r>
        <w:rPr>
          <w:rFonts w:ascii="Arial" w:hAnsi="Arial" w:cs="Arial"/>
          <w:sz w:val="20"/>
        </w:rPr>
        <w:t>,</w:t>
      </w:r>
      <w:r w:rsidRPr="00925216">
        <w:rPr>
          <w:rFonts w:ascii="Arial" w:hAnsi="Arial" w:cs="Arial"/>
          <w:sz w:val="20"/>
        </w:rPr>
        <w:t>5 puntos para MG-ADL y -3 puntos para la puntuación total de QMG desde el inicio (estimación del tamaño de la muestra). En la semana 26, las reducciones obs</w:t>
      </w:r>
      <w:r>
        <w:rPr>
          <w:rFonts w:ascii="Arial" w:hAnsi="Arial" w:cs="Arial"/>
          <w:sz w:val="20"/>
        </w:rPr>
        <w:t>ervadas en el placebo fueron -2,</w:t>
      </w:r>
      <w:r w:rsidRPr="00925216">
        <w:rPr>
          <w:rFonts w:ascii="Arial" w:hAnsi="Arial" w:cs="Arial"/>
          <w:sz w:val="20"/>
        </w:rPr>
        <w:t>8 puntos en la puntuación MG-ADL</w:t>
      </w:r>
      <w:r>
        <w:rPr>
          <w:rFonts w:ascii="Arial" w:hAnsi="Arial" w:cs="Arial"/>
          <w:sz w:val="20"/>
        </w:rPr>
        <w:t xml:space="preserve"> y -2,</w:t>
      </w:r>
      <w:r w:rsidRPr="00925216">
        <w:rPr>
          <w:rFonts w:ascii="Arial" w:hAnsi="Arial" w:cs="Arial"/>
          <w:sz w:val="20"/>
        </w:rPr>
        <w:t xml:space="preserve">4 en la puntuación total de QMG. Un considerable porcentaje de pacientes en el grupo placebo cayó dentro de la definición de respondedores: 40% (frente al 60% en el grupo </w:t>
      </w:r>
      <w:proofErr w:type="spellStart"/>
      <w:r w:rsidRPr="00925216">
        <w:rPr>
          <w:rFonts w:ascii="Arial" w:hAnsi="Arial" w:cs="Arial"/>
          <w:sz w:val="20"/>
        </w:rPr>
        <w:t>eculizumab</w:t>
      </w:r>
      <w:proofErr w:type="spellEnd"/>
      <w:r w:rsidRPr="00925216">
        <w:rPr>
          <w:rFonts w:ascii="Arial" w:hAnsi="Arial" w:cs="Arial"/>
          <w:sz w:val="20"/>
        </w:rPr>
        <w:t xml:space="preserve">) consigue un mejor control de los síntomas bajo la perspectiva del paciente (MG-ADL) y 19% (frente al 45% de los pacientes en </w:t>
      </w:r>
      <w:proofErr w:type="spellStart"/>
      <w:r w:rsidRPr="00925216">
        <w:rPr>
          <w:rFonts w:ascii="Arial" w:hAnsi="Arial" w:cs="Arial"/>
          <w:sz w:val="20"/>
        </w:rPr>
        <w:t>eculizumab</w:t>
      </w:r>
      <w:proofErr w:type="spellEnd"/>
      <w:r w:rsidRPr="00925216">
        <w:rPr>
          <w:rFonts w:ascii="Arial" w:hAnsi="Arial" w:cs="Arial"/>
          <w:sz w:val="20"/>
        </w:rPr>
        <w:t>) tuvo una mejora significativa en la evaluación realizada por los médicos (puntaje total de QMG).</w:t>
      </w:r>
    </w:p>
    <w:p w:rsidR="00556DFF" w:rsidRPr="00925216" w:rsidRDefault="00556DFF" w:rsidP="00386497">
      <w:pPr>
        <w:pStyle w:val="Textoindependiente3"/>
        <w:jc w:val="both"/>
        <w:rPr>
          <w:rFonts w:ascii="Arial" w:hAnsi="Arial" w:cs="Arial"/>
          <w:sz w:val="20"/>
        </w:rPr>
      </w:pPr>
      <w:r w:rsidRPr="00925216">
        <w:rPr>
          <w:rFonts w:ascii="Arial" w:hAnsi="Arial" w:cs="Arial"/>
          <w:sz w:val="20"/>
        </w:rPr>
        <w:t xml:space="preserve">No está claro si estos hallazgos pueden atribuirse a las expectativas de los pacientes de un beneficio al participar en un ensayo clínico, la regresión a la media o la naturaleza fluctuante de la enfermedad. </w:t>
      </w:r>
    </w:p>
    <w:p w:rsidR="00556DFF" w:rsidRPr="006F6ABB" w:rsidRDefault="00556DFF" w:rsidP="00BC3E8E">
      <w:pPr>
        <w:jc w:val="right"/>
        <w:rPr>
          <w:rFonts w:ascii="Arial" w:hAnsi="Arial" w:cs="Arial"/>
          <w:bCs/>
          <w:color w:val="0000FF"/>
          <w:sz w:val="20"/>
          <w:szCs w:val="20"/>
          <w:u w:val="single"/>
        </w:rPr>
      </w:pPr>
    </w:p>
    <w:p w:rsidR="00556DFF" w:rsidRPr="006F6ABB" w:rsidRDefault="00556DFF" w:rsidP="00BC3E8E">
      <w:pPr>
        <w:jc w:val="right"/>
        <w:rPr>
          <w:rFonts w:ascii="Arial" w:hAnsi="Arial" w:cs="Arial"/>
          <w:color w:val="FF0000"/>
          <w:sz w:val="16"/>
          <w:szCs w:val="16"/>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76" w:name="_Toc344399643"/>
      <w:bookmarkStart w:id="77" w:name="_Toc348931370"/>
      <w:bookmarkStart w:id="78" w:name="_Toc517462769"/>
      <w:r w:rsidRPr="00E3472F">
        <w:rPr>
          <w:rFonts w:cs="Arial"/>
          <w:sz w:val="20"/>
        </w:rPr>
        <w:t>5.2.c Evaluación de las pruebas de cribado utilizadas</w:t>
      </w:r>
      <w:bookmarkEnd w:id="76"/>
      <w:bookmarkEnd w:id="77"/>
      <w:bookmarkEnd w:id="78"/>
      <w:r w:rsidRPr="00E3472F">
        <w:rPr>
          <w:rFonts w:cs="Arial"/>
          <w:sz w:val="20"/>
        </w:rPr>
        <w:t xml:space="preserve"> </w:t>
      </w:r>
    </w:p>
    <w:p w:rsidR="00556DFF" w:rsidRPr="006F6ABB" w:rsidRDefault="00556DFF" w:rsidP="00BC3E8E">
      <w:pPr>
        <w:jc w:val="both"/>
        <w:rPr>
          <w:rFonts w:ascii="Arial" w:hAnsi="Arial" w:cs="Arial"/>
          <w:sz w:val="20"/>
          <w:szCs w:val="20"/>
        </w:rPr>
      </w:pPr>
    </w:p>
    <w:p w:rsidR="00556DFF" w:rsidRPr="00925216" w:rsidRDefault="00556DFF" w:rsidP="00925216">
      <w:pPr>
        <w:jc w:val="both"/>
        <w:rPr>
          <w:rFonts w:ascii="Arial" w:hAnsi="Arial" w:cs="Arial"/>
          <w:sz w:val="20"/>
          <w:szCs w:val="20"/>
        </w:rPr>
      </w:pPr>
      <w:r w:rsidRPr="00925216">
        <w:rPr>
          <w:rFonts w:ascii="Arial" w:hAnsi="Arial" w:cs="Arial"/>
          <w:b/>
          <w:sz w:val="20"/>
          <w:szCs w:val="20"/>
        </w:rPr>
        <w:t xml:space="preserve">Perfil de las actividades de la vida diaria de </w:t>
      </w:r>
      <w:proofErr w:type="spellStart"/>
      <w:r w:rsidRPr="00925216">
        <w:rPr>
          <w:rFonts w:ascii="Arial" w:hAnsi="Arial" w:cs="Arial"/>
          <w:b/>
          <w:sz w:val="20"/>
          <w:szCs w:val="20"/>
        </w:rPr>
        <w:t>Myasthenia</w:t>
      </w:r>
      <w:proofErr w:type="spellEnd"/>
      <w:r w:rsidRPr="00925216">
        <w:rPr>
          <w:rFonts w:ascii="Arial" w:hAnsi="Arial" w:cs="Arial"/>
          <w:b/>
          <w:sz w:val="20"/>
          <w:szCs w:val="20"/>
        </w:rPr>
        <w:t xml:space="preserve"> </w:t>
      </w:r>
      <w:proofErr w:type="spellStart"/>
      <w:r w:rsidRPr="00925216">
        <w:rPr>
          <w:rFonts w:ascii="Arial" w:hAnsi="Arial" w:cs="Arial"/>
          <w:b/>
          <w:sz w:val="20"/>
          <w:szCs w:val="20"/>
        </w:rPr>
        <w:t>Gravis</w:t>
      </w:r>
      <w:proofErr w:type="spellEnd"/>
      <w:r w:rsidRPr="00925216">
        <w:rPr>
          <w:rFonts w:ascii="Arial" w:hAnsi="Arial" w:cs="Arial"/>
          <w:sz w:val="20"/>
          <w:szCs w:val="20"/>
        </w:rPr>
        <w:t xml:space="preserve">: la escala de </w:t>
      </w:r>
      <w:r w:rsidRPr="00925216">
        <w:rPr>
          <w:rFonts w:ascii="Arial" w:hAnsi="Arial" w:cs="Arial"/>
          <w:b/>
          <w:sz w:val="20"/>
          <w:szCs w:val="20"/>
        </w:rPr>
        <w:t>MG-ADL</w:t>
      </w:r>
      <w:r w:rsidRPr="00925216">
        <w:rPr>
          <w:rFonts w:ascii="Arial" w:hAnsi="Arial" w:cs="Arial"/>
          <w:sz w:val="20"/>
          <w:szCs w:val="20"/>
        </w:rPr>
        <w:t xml:space="preserve"> es una medida de resultado validada de 8 ítems informada por el paciente. Para la MG-ADL, el paciente evalúa su discapacidad funcional secundaria a problemas oculares (2 elementos), bulbares (3 elementos), respiratorios (1 elemento) y motoras gruesas o de las extremidades (2 elementos) durante los 7 días previos. Estos 8 elementos no son ponderados y se gradúan individualmente de 0 (normal) a 3 (más grave), proporcionando una puntuación total de MG-ADL que va de 0 a 24 puntos. Una reducción de 2 puntos en la puntuación total de MG-ADL se considera una mejoría clínicamente significativa (</w:t>
      </w:r>
      <w:proofErr w:type="spellStart"/>
      <w:r w:rsidRPr="00925216">
        <w:rPr>
          <w:rFonts w:ascii="Arial" w:hAnsi="Arial" w:cs="Arial"/>
          <w:sz w:val="20"/>
          <w:szCs w:val="20"/>
        </w:rPr>
        <w:t>Muppidi</w:t>
      </w:r>
      <w:proofErr w:type="spellEnd"/>
      <w:r w:rsidRPr="00925216">
        <w:rPr>
          <w:rFonts w:ascii="Arial" w:hAnsi="Arial" w:cs="Arial"/>
          <w:sz w:val="20"/>
          <w:szCs w:val="20"/>
        </w:rPr>
        <w:t>, 2011). Se seleccionó una mejora de ≥3 puntos en la puntuación total de MG-ADL desde el inicio en la semana 26 como un umbral clínicamente significativo robusto para el punto final secundario.</w:t>
      </w:r>
    </w:p>
    <w:p w:rsidR="00556DFF" w:rsidRPr="00925216" w:rsidRDefault="00556DFF" w:rsidP="00925216">
      <w:pPr>
        <w:jc w:val="both"/>
        <w:rPr>
          <w:rFonts w:ascii="Arial" w:hAnsi="Arial" w:cs="Arial"/>
          <w:sz w:val="20"/>
          <w:szCs w:val="20"/>
        </w:rPr>
      </w:pPr>
      <w:r w:rsidRPr="00925216">
        <w:rPr>
          <w:rFonts w:ascii="Arial" w:hAnsi="Arial" w:cs="Arial"/>
          <w:b/>
          <w:sz w:val="20"/>
          <w:szCs w:val="20"/>
        </w:rPr>
        <w:t xml:space="preserve">Puntuación cuantitativa de miastenia </w:t>
      </w:r>
      <w:proofErr w:type="spellStart"/>
      <w:r w:rsidRPr="00925216">
        <w:rPr>
          <w:rFonts w:ascii="Arial" w:hAnsi="Arial" w:cs="Arial"/>
          <w:b/>
          <w:sz w:val="20"/>
          <w:szCs w:val="20"/>
        </w:rPr>
        <w:t>gravis</w:t>
      </w:r>
      <w:proofErr w:type="spellEnd"/>
      <w:r w:rsidRPr="00925216">
        <w:rPr>
          <w:rFonts w:ascii="Arial" w:hAnsi="Arial" w:cs="Arial"/>
          <w:b/>
          <w:sz w:val="20"/>
          <w:szCs w:val="20"/>
        </w:rPr>
        <w:t xml:space="preserve"> para la gravedad de la enfermedad</w:t>
      </w:r>
      <w:r w:rsidRPr="00925216">
        <w:rPr>
          <w:rFonts w:ascii="Arial" w:hAnsi="Arial" w:cs="Arial"/>
          <w:sz w:val="20"/>
          <w:szCs w:val="20"/>
        </w:rPr>
        <w:t xml:space="preserve">: el </w:t>
      </w:r>
      <w:r w:rsidRPr="00925216">
        <w:rPr>
          <w:rFonts w:ascii="Arial" w:hAnsi="Arial" w:cs="Arial"/>
          <w:b/>
          <w:sz w:val="20"/>
          <w:szCs w:val="20"/>
        </w:rPr>
        <w:t>QMG</w:t>
      </w:r>
      <w:r w:rsidRPr="00925216">
        <w:rPr>
          <w:rFonts w:ascii="Arial" w:hAnsi="Arial" w:cs="Arial"/>
          <w:sz w:val="20"/>
          <w:szCs w:val="20"/>
        </w:rPr>
        <w:t xml:space="preserve"> es un sistema validado de evaluación médica directa que consta de 13 elementos: ocular (2 elementos), facial (1 elemento), bulbar (2 elementos), motor grueso (6 elementos), axial (1 artículo) y respiratorio (1 artículo). Cada ítem se clasifica de 0 (normal) a 3 (más severo), proporcionando una puntuación total de QMG que varía de 0 a 39 puntos. Se ha demostrado que una diferencia de 3.5 puntos se correlaciona con un cambio clínicamente significativo (</w:t>
      </w:r>
      <w:proofErr w:type="spellStart"/>
      <w:r w:rsidRPr="00925216">
        <w:rPr>
          <w:rFonts w:ascii="Arial" w:hAnsi="Arial" w:cs="Arial"/>
          <w:sz w:val="20"/>
          <w:szCs w:val="20"/>
        </w:rPr>
        <w:t>Zinman</w:t>
      </w:r>
      <w:proofErr w:type="spellEnd"/>
      <w:r w:rsidRPr="00925216">
        <w:rPr>
          <w:rFonts w:ascii="Arial" w:hAnsi="Arial" w:cs="Arial"/>
          <w:sz w:val="20"/>
          <w:szCs w:val="20"/>
        </w:rPr>
        <w:t xml:space="preserve">, 2007; </w:t>
      </w:r>
      <w:proofErr w:type="spellStart"/>
      <w:r w:rsidRPr="00925216">
        <w:rPr>
          <w:rFonts w:ascii="Arial" w:hAnsi="Arial" w:cs="Arial"/>
          <w:sz w:val="20"/>
          <w:szCs w:val="20"/>
        </w:rPr>
        <w:t>Barth</w:t>
      </w:r>
      <w:proofErr w:type="spellEnd"/>
      <w:r w:rsidRPr="00925216">
        <w:rPr>
          <w:rFonts w:ascii="Arial" w:hAnsi="Arial" w:cs="Arial"/>
          <w:sz w:val="20"/>
          <w:szCs w:val="20"/>
        </w:rPr>
        <w:t>, 2011). Se seleccionó una mejora de ≥5 puntos en la puntuación total de QMG desde el inicio en la semana 26 como un umbral clínicamente significativo robusto para el criterio de valoración secundario.</w:t>
      </w:r>
    </w:p>
    <w:p w:rsidR="00556DFF" w:rsidRPr="00925216" w:rsidRDefault="00556DFF" w:rsidP="00925216">
      <w:pPr>
        <w:jc w:val="both"/>
        <w:rPr>
          <w:rFonts w:ascii="Arial" w:hAnsi="Arial" w:cs="Arial"/>
          <w:sz w:val="20"/>
          <w:szCs w:val="20"/>
        </w:rPr>
      </w:pPr>
      <w:r w:rsidRPr="00925216">
        <w:rPr>
          <w:rFonts w:ascii="Arial" w:hAnsi="Arial" w:cs="Arial"/>
          <w:b/>
          <w:sz w:val="20"/>
          <w:szCs w:val="20"/>
        </w:rPr>
        <w:t xml:space="preserve">Puntuación compuesta de miastenia </w:t>
      </w:r>
      <w:proofErr w:type="spellStart"/>
      <w:r w:rsidRPr="00925216">
        <w:rPr>
          <w:rFonts w:ascii="Arial" w:hAnsi="Arial" w:cs="Arial"/>
          <w:b/>
          <w:sz w:val="20"/>
          <w:szCs w:val="20"/>
        </w:rPr>
        <w:t>gravis</w:t>
      </w:r>
      <w:proofErr w:type="spellEnd"/>
      <w:r w:rsidRPr="00925216">
        <w:rPr>
          <w:rFonts w:ascii="Arial" w:hAnsi="Arial" w:cs="Arial"/>
          <w:b/>
          <w:sz w:val="20"/>
          <w:szCs w:val="20"/>
        </w:rPr>
        <w:t>:</w:t>
      </w:r>
      <w:r w:rsidRPr="00925216">
        <w:rPr>
          <w:rFonts w:ascii="Arial" w:hAnsi="Arial" w:cs="Arial"/>
          <w:sz w:val="20"/>
          <w:szCs w:val="20"/>
        </w:rPr>
        <w:t xml:space="preserve"> la puntuación de MGC es una medida de resultado validada para evalua</w:t>
      </w:r>
      <w:r>
        <w:rPr>
          <w:rFonts w:ascii="Arial" w:hAnsi="Arial" w:cs="Arial"/>
          <w:sz w:val="20"/>
          <w:szCs w:val="20"/>
        </w:rPr>
        <w:t>r los síntomas y signos de MG (Q</w:t>
      </w:r>
      <w:r w:rsidRPr="00925216">
        <w:rPr>
          <w:rFonts w:ascii="Arial" w:hAnsi="Arial" w:cs="Arial"/>
          <w:sz w:val="20"/>
          <w:szCs w:val="20"/>
        </w:rPr>
        <w:t>uemaduras, 2010). Los puntajes acumulativos posibl</w:t>
      </w:r>
      <w:r>
        <w:rPr>
          <w:rFonts w:ascii="Arial" w:hAnsi="Arial" w:cs="Arial"/>
          <w:sz w:val="20"/>
          <w:szCs w:val="20"/>
        </w:rPr>
        <w:t>es van de 0 a 50, y la puntuación más alta representa</w:t>
      </w:r>
      <w:r w:rsidRPr="00925216">
        <w:rPr>
          <w:rFonts w:ascii="Arial" w:hAnsi="Arial" w:cs="Arial"/>
          <w:sz w:val="20"/>
          <w:szCs w:val="20"/>
        </w:rPr>
        <w:t xml:space="preserve"> una mayor morbilidad. Se ha demostrado que una mejora de 3 puntos en la puntuación se correlaciona con una mejoría significativa para el paciente (Burns, 2012).</w:t>
      </w:r>
    </w:p>
    <w:p w:rsidR="00556DFF" w:rsidRDefault="00556DFF" w:rsidP="00925216">
      <w:pPr>
        <w:jc w:val="both"/>
        <w:rPr>
          <w:rFonts w:ascii="Arial" w:hAnsi="Arial" w:cs="Arial"/>
          <w:sz w:val="20"/>
          <w:szCs w:val="20"/>
        </w:rPr>
      </w:pPr>
      <w:r w:rsidRPr="00925216">
        <w:rPr>
          <w:rFonts w:ascii="Arial" w:hAnsi="Arial" w:cs="Arial"/>
          <w:b/>
          <w:sz w:val="20"/>
          <w:szCs w:val="20"/>
        </w:rPr>
        <w:t xml:space="preserve">Escala de 15 unidades de </w:t>
      </w:r>
      <w:proofErr w:type="spellStart"/>
      <w:r w:rsidRPr="00925216">
        <w:rPr>
          <w:rFonts w:ascii="Arial" w:hAnsi="Arial" w:cs="Arial"/>
          <w:b/>
          <w:sz w:val="20"/>
          <w:szCs w:val="20"/>
        </w:rPr>
        <w:t>Mysthenia</w:t>
      </w:r>
      <w:proofErr w:type="spellEnd"/>
      <w:r w:rsidRPr="00925216">
        <w:rPr>
          <w:rFonts w:ascii="Arial" w:hAnsi="Arial" w:cs="Arial"/>
          <w:b/>
          <w:sz w:val="20"/>
          <w:szCs w:val="20"/>
        </w:rPr>
        <w:t xml:space="preserve"> </w:t>
      </w:r>
      <w:proofErr w:type="spellStart"/>
      <w:r w:rsidRPr="00925216">
        <w:rPr>
          <w:rFonts w:ascii="Arial" w:hAnsi="Arial" w:cs="Arial"/>
          <w:b/>
          <w:sz w:val="20"/>
          <w:szCs w:val="20"/>
        </w:rPr>
        <w:t>Gravis</w:t>
      </w:r>
      <w:proofErr w:type="spellEnd"/>
      <w:r w:rsidRPr="00925216">
        <w:rPr>
          <w:rFonts w:ascii="Arial" w:hAnsi="Arial" w:cs="Arial"/>
          <w:b/>
          <w:sz w:val="20"/>
          <w:szCs w:val="20"/>
        </w:rPr>
        <w:t xml:space="preserve"> </w:t>
      </w:r>
      <w:proofErr w:type="spellStart"/>
      <w:r w:rsidRPr="00925216">
        <w:rPr>
          <w:rFonts w:ascii="Arial" w:hAnsi="Arial" w:cs="Arial"/>
          <w:b/>
          <w:sz w:val="20"/>
          <w:szCs w:val="20"/>
        </w:rPr>
        <w:t>Quality</w:t>
      </w:r>
      <w:proofErr w:type="spellEnd"/>
      <w:r w:rsidRPr="00925216">
        <w:rPr>
          <w:rFonts w:ascii="Arial" w:hAnsi="Arial" w:cs="Arial"/>
          <w:b/>
          <w:sz w:val="20"/>
          <w:szCs w:val="20"/>
        </w:rPr>
        <w:t xml:space="preserve"> of </w:t>
      </w:r>
      <w:proofErr w:type="spellStart"/>
      <w:r w:rsidRPr="00925216">
        <w:rPr>
          <w:rFonts w:ascii="Arial" w:hAnsi="Arial" w:cs="Arial"/>
          <w:b/>
          <w:sz w:val="20"/>
          <w:szCs w:val="20"/>
        </w:rPr>
        <w:t>Life</w:t>
      </w:r>
      <w:proofErr w:type="spellEnd"/>
      <w:r w:rsidRPr="00925216">
        <w:rPr>
          <w:rFonts w:ascii="Arial" w:hAnsi="Arial" w:cs="Arial"/>
          <w:b/>
          <w:sz w:val="20"/>
          <w:szCs w:val="20"/>
        </w:rPr>
        <w:t xml:space="preserve"> (MG-QoL15):</w:t>
      </w:r>
      <w:r w:rsidRPr="00925216">
        <w:rPr>
          <w:rFonts w:ascii="Arial" w:hAnsi="Arial" w:cs="Arial"/>
          <w:sz w:val="20"/>
          <w:szCs w:val="20"/>
        </w:rPr>
        <w:t xml:space="preserve"> El MG-QoL15 es un cuestionario validado específico de la enfermedad (Burns, 2010) que consta de 15 preguntas con respuestas a cada puntuación cuestionada de 0 (nada) a 4 (</w:t>
      </w:r>
      <w:r>
        <w:rPr>
          <w:rFonts w:ascii="Arial" w:hAnsi="Arial" w:cs="Arial"/>
          <w:sz w:val="20"/>
          <w:szCs w:val="20"/>
        </w:rPr>
        <w:t>bastante</w:t>
      </w:r>
      <w:r w:rsidRPr="00925216">
        <w:rPr>
          <w:rFonts w:ascii="Arial" w:hAnsi="Arial" w:cs="Arial"/>
          <w:sz w:val="20"/>
          <w:szCs w:val="20"/>
        </w:rPr>
        <w:t xml:space="preserve">), y posibles </w:t>
      </w:r>
      <w:r>
        <w:rPr>
          <w:rFonts w:ascii="Arial" w:hAnsi="Arial" w:cs="Arial"/>
          <w:sz w:val="20"/>
          <w:szCs w:val="20"/>
        </w:rPr>
        <w:t>puntuación acumulativa</w:t>
      </w:r>
      <w:r w:rsidRPr="00925216">
        <w:rPr>
          <w:rFonts w:ascii="Arial" w:hAnsi="Arial" w:cs="Arial"/>
          <w:sz w:val="20"/>
          <w:szCs w:val="20"/>
        </w:rPr>
        <w:t>s</w:t>
      </w:r>
      <w:r>
        <w:rPr>
          <w:rFonts w:ascii="Arial" w:hAnsi="Arial" w:cs="Arial"/>
          <w:sz w:val="20"/>
          <w:szCs w:val="20"/>
        </w:rPr>
        <w:t xml:space="preserve"> que van de 0 a 60, las puntuaciones más altas</w:t>
      </w:r>
      <w:r w:rsidRPr="00925216">
        <w:rPr>
          <w:rFonts w:ascii="Arial" w:hAnsi="Arial" w:cs="Arial"/>
          <w:sz w:val="20"/>
          <w:szCs w:val="20"/>
        </w:rPr>
        <w:t xml:space="preserve"> representan peor calidad de vida según la evaluación durante un período de recuerdo de las 4 semanas anteriores. Estudios previos (Burns, 2010; Barnett, 2013) han sugerido que una mejoría de 7 a 8 puntos en </w:t>
      </w:r>
      <w:r>
        <w:rPr>
          <w:rFonts w:ascii="Arial" w:hAnsi="Arial" w:cs="Arial"/>
          <w:sz w:val="20"/>
          <w:szCs w:val="20"/>
        </w:rPr>
        <w:t>la puntuación</w:t>
      </w:r>
      <w:r w:rsidRPr="00925216">
        <w:rPr>
          <w:rFonts w:ascii="Arial" w:hAnsi="Arial" w:cs="Arial"/>
          <w:sz w:val="20"/>
          <w:szCs w:val="20"/>
        </w:rPr>
        <w:t xml:space="preserve"> MG-QoL15 es indicativo del impacto del tratamiento.</w:t>
      </w:r>
    </w:p>
    <w:p w:rsidR="00556DFF" w:rsidRPr="00925216" w:rsidRDefault="00556DFF" w:rsidP="00925216">
      <w:pPr>
        <w:jc w:val="both"/>
        <w:rPr>
          <w:rFonts w:ascii="Arial" w:hAnsi="Arial" w:cs="Arial"/>
          <w:sz w:val="20"/>
          <w:szCs w:val="20"/>
        </w:rPr>
      </w:pPr>
    </w:p>
    <w:p w:rsidR="00556DFF" w:rsidRPr="006F6ABB"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79" w:name="_Toc344399644"/>
      <w:bookmarkStart w:id="80" w:name="_Toc348931371"/>
      <w:bookmarkStart w:id="81" w:name="_Toc517462770"/>
      <w:r w:rsidRPr="00E3472F">
        <w:rPr>
          <w:rFonts w:cs="Arial"/>
          <w:sz w:val="20"/>
        </w:rPr>
        <w:t>5.3 Revisiones sistemáticas publicadas, comparaciones indirectas y sus conclusiones</w:t>
      </w:r>
      <w:bookmarkEnd w:id="79"/>
      <w:bookmarkEnd w:id="80"/>
      <w:bookmarkEnd w:id="81"/>
      <w:r w:rsidRPr="006F6ABB">
        <w:rPr>
          <w:rFonts w:cs="Arial"/>
          <w:sz w:val="20"/>
        </w:rPr>
        <w:t xml:space="preserve"> </w:t>
      </w:r>
    </w:p>
    <w:p w:rsidR="00556DFF" w:rsidRDefault="00556DFF" w:rsidP="00BC3E8E">
      <w:pPr>
        <w:jc w:val="both"/>
        <w:rPr>
          <w:rFonts w:ascii="Arial" w:hAnsi="Arial" w:cs="Arial"/>
          <w:sz w:val="20"/>
          <w:szCs w:val="20"/>
        </w:rPr>
      </w:pPr>
    </w:p>
    <w:p w:rsidR="00556DFF" w:rsidRPr="0076763F" w:rsidRDefault="00556DFF" w:rsidP="00BC3E8E">
      <w:pPr>
        <w:jc w:val="both"/>
        <w:rPr>
          <w:rFonts w:ascii="Arial" w:hAnsi="Arial" w:cs="Arial"/>
          <w:sz w:val="20"/>
          <w:szCs w:val="20"/>
        </w:rPr>
      </w:pPr>
      <w:r w:rsidRPr="0076763F">
        <w:rPr>
          <w:rFonts w:ascii="Arial" w:hAnsi="Arial" w:cs="Arial"/>
          <w:sz w:val="20"/>
          <w:szCs w:val="20"/>
        </w:rPr>
        <w:t>No procede</w:t>
      </w:r>
    </w:p>
    <w:p w:rsidR="00556DFF" w:rsidRPr="006F6ABB" w:rsidRDefault="00556DFF" w:rsidP="00BC3E8E">
      <w:pPr>
        <w:rPr>
          <w:rFonts w:ascii="Arial" w:hAnsi="Arial" w:cs="Arial"/>
          <w:color w:val="000080"/>
          <w:sz w:val="20"/>
          <w:szCs w:val="20"/>
        </w:rPr>
      </w:pPr>
    </w:p>
    <w:p w:rsidR="00556DFF" w:rsidRPr="00B35A86"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2" w:name="_Toc344399645"/>
      <w:bookmarkStart w:id="83" w:name="_Toc348931372"/>
      <w:bookmarkStart w:id="84" w:name="_Toc517462771"/>
      <w:r w:rsidRPr="00B35A86">
        <w:rPr>
          <w:rFonts w:cs="Arial"/>
          <w:sz w:val="20"/>
        </w:rPr>
        <w:t>5.3.a Revisiones sistemáticas publicadas</w:t>
      </w:r>
      <w:bookmarkEnd w:id="82"/>
      <w:bookmarkEnd w:id="83"/>
      <w:bookmarkEnd w:id="84"/>
    </w:p>
    <w:p w:rsidR="00556DFF" w:rsidRPr="006F6ABB" w:rsidRDefault="00556DFF" w:rsidP="00BC3E8E">
      <w:pPr>
        <w:rPr>
          <w:rFonts w:ascii="Arial" w:hAnsi="Arial" w:cs="Arial"/>
          <w:color w:val="FF0000"/>
          <w:sz w:val="20"/>
          <w:szCs w:val="20"/>
        </w:rPr>
      </w:pPr>
      <w:r w:rsidRPr="006F6ABB">
        <w:rPr>
          <w:rFonts w:ascii="Arial" w:hAnsi="Arial" w:cs="Arial"/>
          <w:color w:val="FF0000"/>
          <w:sz w:val="20"/>
          <w:szCs w:val="20"/>
        </w:rPr>
        <w:t xml:space="preserve">              </w:t>
      </w:r>
    </w:p>
    <w:p w:rsidR="00556DFF" w:rsidRPr="006039BC" w:rsidRDefault="00556DFF" w:rsidP="006039BC">
      <w:pPr>
        <w:jc w:val="both"/>
        <w:rPr>
          <w:rFonts w:ascii="Arial" w:hAnsi="Arial" w:cs="Arial"/>
          <w:sz w:val="20"/>
          <w:szCs w:val="20"/>
        </w:rPr>
      </w:pPr>
      <w:r w:rsidRPr="006039BC">
        <w:rPr>
          <w:rFonts w:ascii="Arial" w:hAnsi="Arial" w:cs="Arial"/>
          <w:sz w:val="20"/>
          <w:szCs w:val="20"/>
        </w:rPr>
        <w:t xml:space="preserve">En un metanálisis de estudios observacionales, se observó que en 91 pacientes con </w:t>
      </w:r>
      <w:proofErr w:type="spellStart"/>
      <w:r w:rsidRPr="006039BC">
        <w:rPr>
          <w:rFonts w:ascii="Arial" w:hAnsi="Arial" w:cs="Arial"/>
          <w:sz w:val="20"/>
          <w:szCs w:val="20"/>
        </w:rPr>
        <w:t>AchR</w:t>
      </w:r>
      <w:proofErr w:type="spellEnd"/>
      <w:r w:rsidRPr="006039BC">
        <w:rPr>
          <w:rFonts w:ascii="Arial" w:hAnsi="Arial" w:cs="Arial"/>
          <w:sz w:val="20"/>
          <w:szCs w:val="20"/>
        </w:rPr>
        <w:t xml:space="preserve"> (89% refractarios y 78% graves IIIB a V) </w:t>
      </w:r>
      <w:proofErr w:type="spellStart"/>
      <w:r w:rsidRPr="006039BC">
        <w:rPr>
          <w:rFonts w:ascii="Arial" w:hAnsi="Arial" w:cs="Arial"/>
          <w:sz w:val="20"/>
          <w:szCs w:val="20"/>
        </w:rPr>
        <w:t>rituximab</w:t>
      </w:r>
      <w:proofErr w:type="spellEnd"/>
      <w:r w:rsidRPr="006039BC">
        <w:rPr>
          <w:rFonts w:ascii="Arial" w:hAnsi="Arial" w:cs="Arial"/>
          <w:sz w:val="20"/>
          <w:szCs w:val="20"/>
        </w:rPr>
        <w:t xml:space="preserve"> obtuvo respuestas del 80.4% en la escala </w:t>
      </w:r>
      <w:proofErr w:type="spellStart"/>
      <w:r w:rsidRPr="006039BC">
        <w:rPr>
          <w:rFonts w:ascii="Arial" w:hAnsi="Arial" w:cs="Arial"/>
          <w:sz w:val="20"/>
          <w:szCs w:val="20"/>
        </w:rPr>
        <w:t>Myasthenia</w:t>
      </w:r>
      <w:proofErr w:type="spellEnd"/>
      <w:r w:rsidRPr="006039BC">
        <w:rPr>
          <w:rFonts w:ascii="Arial" w:hAnsi="Arial" w:cs="Arial"/>
          <w:sz w:val="20"/>
          <w:szCs w:val="20"/>
        </w:rPr>
        <w:t xml:space="preserve"> </w:t>
      </w:r>
      <w:proofErr w:type="spellStart"/>
      <w:r w:rsidRPr="006039BC">
        <w:rPr>
          <w:rFonts w:ascii="Arial" w:hAnsi="Arial" w:cs="Arial"/>
          <w:sz w:val="20"/>
          <w:szCs w:val="20"/>
        </w:rPr>
        <w:t>Gravis</w:t>
      </w:r>
      <w:proofErr w:type="spellEnd"/>
      <w:r w:rsidRPr="006039BC">
        <w:rPr>
          <w:rFonts w:ascii="Arial" w:hAnsi="Arial" w:cs="Arial"/>
          <w:sz w:val="20"/>
          <w:szCs w:val="20"/>
        </w:rPr>
        <w:t xml:space="preserve"> </w:t>
      </w:r>
      <w:proofErr w:type="spellStart"/>
      <w:r w:rsidRPr="006039BC">
        <w:rPr>
          <w:rFonts w:ascii="Arial" w:hAnsi="Arial" w:cs="Arial"/>
          <w:sz w:val="20"/>
          <w:szCs w:val="20"/>
        </w:rPr>
        <w:t>Foundation</w:t>
      </w:r>
      <w:proofErr w:type="spellEnd"/>
      <w:r w:rsidRPr="006039BC">
        <w:rPr>
          <w:rFonts w:ascii="Arial" w:hAnsi="Arial" w:cs="Arial"/>
          <w:sz w:val="20"/>
          <w:szCs w:val="20"/>
        </w:rPr>
        <w:t xml:space="preserve"> of </w:t>
      </w:r>
      <w:proofErr w:type="spellStart"/>
      <w:r w:rsidRPr="006039BC">
        <w:rPr>
          <w:rFonts w:ascii="Arial" w:hAnsi="Arial" w:cs="Arial"/>
          <w:sz w:val="20"/>
          <w:szCs w:val="20"/>
        </w:rPr>
        <w:t>America</w:t>
      </w:r>
      <w:proofErr w:type="spellEnd"/>
      <w:r w:rsidRPr="006039BC">
        <w:rPr>
          <w:rFonts w:ascii="Arial" w:hAnsi="Arial" w:cs="Arial"/>
          <w:sz w:val="20"/>
          <w:szCs w:val="20"/>
        </w:rPr>
        <w:t xml:space="preserve"> (MGFA) post-</w:t>
      </w:r>
      <w:proofErr w:type="spellStart"/>
      <w:r w:rsidRPr="006039BC">
        <w:rPr>
          <w:rFonts w:ascii="Arial" w:hAnsi="Arial" w:cs="Arial"/>
          <w:sz w:val="20"/>
          <w:szCs w:val="20"/>
        </w:rPr>
        <w:t>intervention</w:t>
      </w:r>
      <w:proofErr w:type="spellEnd"/>
      <w:r w:rsidRPr="006039BC">
        <w:rPr>
          <w:rFonts w:ascii="Arial" w:hAnsi="Arial" w:cs="Arial"/>
          <w:sz w:val="20"/>
          <w:szCs w:val="20"/>
        </w:rPr>
        <w:t xml:space="preserve"> status (PIS). </w:t>
      </w:r>
    </w:p>
    <w:p w:rsidR="00556DFF" w:rsidRPr="00925216" w:rsidRDefault="00556DFF" w:rsidP="00BC3E8E">
      <w:pPr>
        <w:jc w:val="both"/>
        <w:rPr>
          <w:rFonts w:ascii="Arial" w:hAnsi="Arial" w:cs="Arial"/>
          <w:sz w:val="20"/>
          <w:szCs w:val="20"/>
        </w:rPr>
      </w:pPr>
    </w:p>
    <w:p w:rsidR="00556DFF" w:rsidRPr="00B35A86" w:rsidRDefault="00556DFF" w:rsidP="00BB635D">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5" w:name="_Toc517462772"/>
      <w:r>
        <w:rPr>
          <w:rFonts w:cs="Arial"/>
          <w:sz w:val="20"/>
        </w:rPr>
        <w:t>5.3.b Comparaciones indirectas (CCII)</w:t>
      </w:r>
      <w:bookmarkEnd w:id="85"/>
    </w:p>
    <w:p w:rsidR="00556DFF" w:rsidRDefault="00556DFF" w:rsidP="00BB635D">
      <w:pPr>
        <w:tabs>
          <w:tab w:val="left" w:pos="495"/>
        </w:tabs>
        <w:rPr>
          <w:rFonts w:ascii="Arial" w:hAnsi="Arial" w:cs="Arial"/>
          <w:sz w:val="20"/>
          <w:szCs w:val="20"/>
        </w:rPr>
      </w:pPr>
    </w:p>
    <w:p w:rsidR="00556DFF" w:rsidRPr="00BB635D" w:rsidRDefault="00556DFF" w:rsidP="00BB635D">
      <w:pPr>
        <w:tabs>
          <w:tab w:val="left" w:pos="495"/>
        </w:tabs>
        <w:rPr>
          <w:rFonts w:ascii="Arial" w:hAnsi="Arial" w:cs="Arial"/>
          <w:sz w:val="20"/>
          <w:szCs w:val="20"/>
        </w:rPr>
      </w:pPr>
      <w:r>
        <w:rPr>
          <w:rFonts w:ascii="Arial" w:hAnsi="Arial" w:cs="Arial"/>
          <w:sz w:val="20"/>
          <w:szCs w:val="20"/>
        </w:rPr>
        <w:t>No procede.</w:t>
      </w:r>
    </w:p>
    <w:p w:rsidR="00556DFF" w:rsidRPr="006F6ABB" w:rsidRDefault="00556DFF" w:rsidP="00BC3E8E">
      <w:pPr>
        <w:rPr>
          <w:rFonts w:ascii="Arial" w:hAnsi="Arial" w:cs="Arial"/>
          <w:b/>
          <w:sz w:val="20"/>
          <w:szCs w:val="20"/>
        </w:rPr>
      </w:pPr>
    </w:p>
    <w:p w:rsidR="00556DFF" w:rsidRPr="00B35A86"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6" w:name="_Toc344399649"/>
      <w:bookmarkStart w:id="87" w:name="_Toc348931376"/>
      <w:bookmarkStart w:id="88" w:name="_Toc517462773"/>
      <w:r w:rsidRPr="00B35A86">
        <w:rPr>
          <w:rFonts w:cs="Arial"/>
          <w:sz w:val="20"/>
        </w:rPr>
        <w:t>5.4 Evaluación de fuentes secundarias</w:t>
      </w:r>
      <w:bookmarkEnd w:id="86"/>
      <w:bookmarkEnd w:id="87"/>
      <w:bookmarkEnd w:id="88"/>
      <w:r w:rsidRPr="00B35A86">
        <w:rPr>
          <w:rFonts w:cs="Arial"/>
          <w:sz w:val="20"/>
        </w:rPr>
        <w:t xml:space="preserve"> </w:t>
      </w:r>
    </w:p>
    <w:p w:rsidR="00556DFF" w:rsidRPr="006F6ABB" w:rsidRDefault="00556DFF" w:rsidP="00BC3E8E">
      <w:pPr>
        <w:jc w:val="both"/>
        <w:rPr>
          <w:rFonts w:ascii="Arial" w:hAnsi="Arial" w:cs="Arial"/>
          <w:b/>
          <w:bCs/>
          <w:color w:val="0000FF"/>
          <w:sz w:val="20"/>
          <w:szCs w:val="20"/>
          <w:lang w:val="es-ES_tradnl"/>
        </w:rPr>
      </w:pPr>
    </w:p>
    <w:p w:rsidR="00556DFF" w:rsidRPr="006F6ABB"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9" w:name="_Toc348931377"/>
      <w:bookmarkStart w:id="90" w:name="_Toc517462774"/>
      <w:r w:rsidRPr="0071656E">
        <w:rPr>
          <w:rFonts w:cs="Arial"/>
          <w:sz w:val="20"/>
        </w:rPr>
        <w:t>5.4.1 Guías de Práctica clínica</w:t>
      </w:r>
      <w:bookmarkEnd w:id="89"/>
      <w:bookmarkEnd w:id="90"/>
      <w:r w:rsidRPr="006F6ABB">
        <w:rPr>
          <w:rFonts w:cs="Arial"/>
          <w:sz w:val="20"/>
        </w:rPr>
        <w:t xml:space="preserve"> </w:t>
      </w:r>
    </w:p>
    <w:p w:rsidR="00556DFF" w:rsidRDefault="00556DFF" w:rsidP="00BC3E8E">
      <w:pPr>
        <w:jc w:val="both"/>
        <w:rPr>
          <w:rFonts w:ascii="Arial" w:hAnsi="Arial" w:cs="Arial"/>
          <w:sz w:val="20"/>
          <w:szCs w:val="20"/>
        </w:rPr>
      </w:pPr>
    </w:p>
    <w:p w:rsidR="00556DFF" w:rsidRDefault="00556DFF" w:rsidP="00BC3E8E">
      <w:pPr>
        <w:jc w:val="both"/>
        <w:rPr>
          <w:rFonts w:ascii="Arial" w:hAnsi="Arial" w:cs="Arial"/>
          <w:sz w:val="20"/>
          <w:szCs w:val="20"/>
        </w:rPr>
      </w:pPr>
      <w:r>
        <w:rPr>
          <w:rFonts w:ascii="Arial" w:hAnsi="Arial" w:cs="Arial"/>
          <w:sz w:val="20"/>
          <w:szCs w:val="20"/>
        </w:rPr>
        <w:t xml:space="preserve">Las guías actuales hacen referencia al uso de </w:t>
      </w:r>
      <w:proofErr w:type="spellStart"/>
      <w:r>
        <w:rPr>
          <w:rFonts w:ascii="Arial" w:hAnsi="Arial" w:cs="Arial"/>
          <w:sz w:val="20"/>
          <w:szCs w:val="20"/>
        </w:rPr>
        <w:t>eculizumab</w:t>
      </w:r>
      <w:proofErr w:type="spellEnd"/>
      <w:r>
        <w:rPr>
          <w:rFonts w:ascii="Arial" w:hAnsi="Arial" w:cs="Arial"/>
          <w:sz w:val="20"/>
          <w:szCs w:val="20"/>
        </w:rPr>
        <w:t xml:space="preserve"> en hemoglobina paroxística nocturna.</w:t>
      </w:r>
    </w:p>
    <w:p w:rsidR="00556DFF" w:rsidRPr="006F6ABB" w:rsidRDefault="00556DFF" w:rsidP="00BC3E8E">
      <w:pPr>
        <w:jc w:val="both"/>
        <w:rPr>
          <w:rFonts w:ascii="Arial" w:hAnsi="Arial" w:cs="Arial"/>
          <w:sz w:val="20"/>
          <w:szCs w:val="20"/>
        </w:rPr>
      </w:pPr>
    </w:p>
    <w:p w:rsidR="00556DFF" w:rsidRPr="0071656E"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1" w:name="_Toc348931378"/>
      <w:bookmarkStart w:id="92" w:name="_Toc517462775"/>
      <w:r w:rsidRPr="006F6ABB">
        <w:rPr>
          <w:rFonts w:cs="Arial"/>
          <w:sz w:val="20"/>
        </w:rPr>
        <w:t>5.4.2 Evaluaciones previas por organismos independientes</w:t>
      </w:r>
      <w:bookmarkEnd w:id="91"/>
      <w:bookmarkEnd w:id="92"/>
    </w:p>
    <w:p w:rsidR="00556DFF" w:rsidRDefault="00556DFF" w:rsidP="00BC3E8E">
      <w:pPr>
        <w:jc w:val="both"/>
        <w:rPr>
          <w:rFonts w:ascii="Arial" w:hAnsi="Arial" w:cs="Arial"/>
          <w:iCs/>
          <w:sz w:val="20"/>
          <w:szCs w:val="20"/>
        </w:rPr>
      </w:pPr>
      <w:r w:rsidRPr="006F6ABB">
        <w:rPr>
          <w:rFonts w:ascii="Arial" w:hAnsi="Arial" w:cs="Arial"/>
          <w:iCs/>
          <w:sz w:val="20"/>
          <w:szCs w:val="20"/>
        </w:rPr>
        <w:tab/>
      </w:r>
    </w:p>
    <w:p w:rsidR="00556DFF" w:rsidRPr="006F6ABB" w:rsidRDefault="00556DFF" w:rsidP="00FD6C7E">
      <w:pPr>
        <w:jc w:val="both"/>
        <w:rPr>
          <w:rFonts w:ascii="Arial" w:hAnsi="Arial" w:cs="Arial"/>
          <w:iCs/>
          <w:sz w:val="20"/>
          <w:szCs w:val="20"/>
        </w:rPr>
      </w:pPr>
      <w:r w:rsidRPr="006F6ABB">
        <w:rPr>
          <w:rFonts w:ascii="Arial" w:hAnsi="Arial" w:cs="Arial"/>
          <w:iCs/>
          <w:sz w:val="20"/>
          <w:szCs w:val="20"/>
        </w:rPr>
        <w:t>A nivel nacional</w:t>
      </w:r>
      <w:r>
        <w:rPr>
          <w:rFonts w:ascii="Arial" w:hAnsi="Arial" w:cs="Arial"/>
          <w:iCs/>
          <w:sz w:val="20"/>
          <w:szCs w:val="20"/>
        </w:rPr>
        <w:t xml:space="preserve"> no se han realizado evaluaciones del </w:t>
      </w:r>
      <w:proofErr w:type="spellStart"/>
      <w:r>
        <w:rPr>
          <w:rFonts w:ascii="Arial" w:hAnsi="Arial" w:cs="Arial"/>
          <w:iCs/>
          <w:sz w:val="20"/>
          <w:szCs w:val="20"/>
        </w:rPr>
        <w:t>eculizumab</w:t>
      </w:r>
      <w:proofErr w:type="spellEnd"/>
      <w:r>
        <w:rPr>
          <w:rFonts w:ascii="Arial" w:hAnsi="Arial" w:cs="Arial"/>
          <w:iCs/>
          <w:sz w:val="20"/>
          <w:szCs w:val="20"/>
        </w:rPr>
        <w:t xml:space="preserve"> en indicación de MG generalizada con Ac Anticolinérgicos.</w:t>
      </w:r>
    </w:p>
    <w:p w:rsidR="00556DFF" w:rsidRDefault="00556DFF" w:rsidP="00BC3E8E">
      <w:pPr>
        <w:jc w:val="both"/>
        <w:rPr>
          <w:rFonts w:ascii="Arial" w:hAnsi="Arial" w:cs="Arial"/>
          <w:iCs/>
          <w:sz w:val="20"/>
          <w:szCs w:val="20"/>
        </w:rPr>
      </w:pPr>
      <w:r>
        <w:rPr>
          <w:rFonts w:ascii="Arial" w:hAnsi="Arial" w:cs="Arial"/>
          <w:iCs/>
          <w:sz w:val="20"/>
          <w:szCs w:val="20"/>
        </w:rPr>
        <w:t>A nivel internacional no han sido evaluadas para la indicación oportuna.</w:t>
      </w:r>
    </w:p>
    <w:p w:rsidR="00556DFF" w:rsidRPr="006F6ABB" w:rsidRDefault="00556DFF" w:rsidP="00BC3E8E">
      <w:pPr>
        <w:jc w:val="both"/>
        <w:rPr>
          <w:rFonts w:ascii="Arial" w:hAnsi="Arial" w:cs="Arial"/>
          <w:iCs/>
          <w:sz w:val="20"/>
          <w:szCs w:val="20"/>
        </w:rPr>
      </w:pPr>
    </w:p>
    <w:p w:rsidR="00556DFF" w:rsidRDefault="00556DFF" w:rsidP="00BC3E8E">
      <w:pPr>
        <w:jc w:val="both"/>
        <w:rPr>
          <w:rFonts w:ascii="Arial" w:hAnsi="Arial" w:cs="Arial"/>
          <w:iCs/>
          <w:sz w:val="20"/>
          <w:szCs w:val="20"/>
        </w:rPr>
      </w:pPr>
    </w:p>
    <w:p w:rsidR="00556DFF" w:rsidRPr="0071656E"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3" w:name="_Toc348931379"/>
      <w:bookmarkStart w:id="94" w:name="_Toc517462776"/>
      <w:r w:rsidRPr="0071656E">
        <w:rPr>
          <w:rFonts w:cs="Arial"/>
          <w:sz w:val="20"/>
        </w:rPr>
        <w:t>5.4.3 Opiniones de expertos</w:t>
      </w:r>
      <w:bookmarkEnd w:id="93"/>
      <w:bookmarkEnd w:id="94"/>
      <w:r w:rsidRPr="0071656E">
        <w:rPr>
          <w:rFonts w:cs="Arial"/>
          <w:sz w:val="20"/>
        </w:rPr>
        <w:t xml:space="preserve"> </w:t>
      </w:r>
    </w:p>
    <w:p w:rsidR="00556DFF" w:rsidRDefault="00556DFF" w:rsidP="00BC3E8E">
      <w:pPr>
        <w:rPr>
          <w:rFonts w:ascii="Arial" w:hAnsi="Arial" w:cs="Arial"/>
          <w:sz w:val="20"/>
          <w:szCs w:val="20"/>
        </w:rPr>
      </w:pPr>
    </w:p>
    <w:p w:rsidR="00556DFF" w:rsidRDefault="00556DFF" w:rsidP="00BC3E8E">
      <w:pPr>
        <w:rPr>
          <w:rFonts w:ascii="Arial" w:hAnsi="Arial" w:cs="Arial"/>
          <w:sz w:val="20"/>
          <w:szCs w:val="20"/>
        </w:rPr>
      </w:pPr>
      <w:r>
        <w:rPr>
          <w:rFonts w:ascii="Arial" w:hAnsi="Arial" w:cs="Arial"/>
          <w:sz w:val="20"/>
          <w:szCs w:val="20"/>
        </w:rPr>
        <w:t>No procede</w:t>
      </w:r>
    </w:p>
    <w:p w:rsidR="00556DFF" w:rsidRDefault="00556DFF" w:rsidP="00BC3E8E">
      <w:pPr>
        <w:rPr>
          <w:rFonts w:ascii="Arial" w:hAnsi="Arial" w:cs="Arial"/>
          <w:sz w:val="20"/>
          <w:szCs w:val="20"/>
        </w:rPr>
      </w:pPr>
    </w:p>
    <w:p w:rsidR="00556DFF" w:rsidRPr="0071656E"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5" w:name="_Toc348931380"/>
      <w:bookmarkStart w:id="96" w:name="_Toc517462777"/>
      <w:r w:rsidRPr="006F6ABB">
        <w:rPr>
          <w:rFonts w:cs="Arial"/>
          <w:sz w:val="20"/>
        </w:rPr>
        <w:t>5.4.4 Otras fuentes</w:t>
      </w:r>
      <w:r w:rsidRPr="0071656E">
        <w:rPr>
          <w:rFonts w:cs="Arial"/>
          <w:sz w:val="20"/>
        </w:rPr>
        <w:t>.</w:t>
      </w:r>
      <w:bookmarkEnd w:id="95"/>
      <w:bookmarkEnd w:id="96"/>
    </w:p>
    <w:p w:rsidR="00556DFF" w:rsidRDefault="00556DFF" w:rsidP="006D15EA">
      <w:pPr>
        <w:tabs>
          <w:tab w:val="left" w:pos="750"/>
        </w:tabs>
        <w:rPr>
          <w:rFonts w:ascii="Arial" w:hAnsi="Arial" w:cs="Arial"/>
          <w:sz w:val="20"/>
          <w:szCs w:val="20"/>
        </w:rPr>
      </w:pPr>
      <w:r w:rsidRPr="006D15EA">
        <w:rPr>
          <w:rFonts w:ascii="Arial" w:hAnsi="Arial" w:cs="Arial"/>
          <w:sz w:val="20"/>
          <w:szCs w:val="20"/>
        </w:rPr>
        <w:tab/>
      </w:r>
    </w:p>
    <w:p w:rsidR="00556DFF" w:rsidRPr="006D15EA" w:rsidRDefault="00556DFF" w:rsidP="006D15EA">
      <w:pPr>
        <w:tabs>
          <w:tab w:val="left" w:pos="750"/>
        </w:tabs>
        <w:rPr>
          <w:rFonts w:ascii="Arial" w:hAnsi="Arial" w:cs="Arial"/>
          <w:sz w:val="20"/>
          <w:szCs w:val="20"/>
        </w:rPr>
      </w:pPr>
      <w:r>
        <w:rPr>
          <w:rFonts w:ascii="Arial" w:hAnsi="Arial" w:cs="Arial"/>
          <w:sz w:val="20"/>
          <w:szCs w:val="20"/>
        </w:rPr>
        <w:t xml:space="preserve">Se han realizado búsquedas en páginas web como </w:t>
      </w:r>
      <w:proofErr w:type="spellStart"/>
      <w:r>
        <w:rPr>
          <w:rFonts w:ascii="Arial" w:hAnsi="Arial" w:cs="Arial"/>
          <w:sz w:val="20"/>
          <w:szCs w:val="20"/>
        </w:rPr>
        <w:t>uptodate</w:t>
      </w:r>
      <w:proofErr w:type="spellEnd"/>
      <w:r>
        <w:rPr>
          <w:rFonts w:ascii="Arial" w:hAnsi="Arial" w:cs="Arial"/>
          <w:sz w:val="20"/>
          <w:szCs w:val="20"/>
        </w:rPr>
        <w:t xml:space="preserve">, </w:t>
      </w:r>
      <w:proofErr w:type="spellStart"/>
      <w:r>
        <w:rPr>
          <w:rFonts w:ascii="Arial" w:hAnsi="Arial" w:cs="Arial"/>
          <w:sz w:val="20"/>
          <w:szCs w:val="20"/>
        </w:rPr>
        <w:t>pubmed</w:t>
      </w:r>
      <w:proofErr w:type="spellEnd"/>
      <w:r>
        <w:rPr>
          <w:rFonts w:ascii="Arial" w:hAnsi="Arial" w:cs="Arial"/>
          <w:sz w:val="20"/>
          <w:szCs w:val="20"/>
        </w:rPr>
        <w:t xml:space="preserve">, etc. No se ha encontrado información relevante sobre </w:t>
      </w:r>
      <w:proofErr w:type="spellStart"/>
      <w:r>
        <w:rPr>
          <w:rFonts w:ascii="Arial" w:hAnsi="Arial" w:cs="Arial"/>
          <w:sz w:val="20"/>
          <w:szCs w:val="20"/>
        </w:rPr>
        <w:t>eculizumab</w:t>
      </w:r>
      <w:proofErr w:type="spellEnd"/>
      <w:r>
        <w:rPr>
          <w:rFonts w:ascii="Arial" w:hAnsi="Arial" w:cs="Arial"/>
          <w:sz w:val="20"/>
          <w:szCs w:val="20"/>
        </w:rPr>
        <w:t xml:space="preserve"> en MG generalizada.</w:t>
      </w:r>
    </w:p>
    <w:p w:rsidR="00556DFF" w:rsidRPr="00BD16B7" w:rsidRDefault="00556DFF" w:rsidP="00BC3E8E">
      <w:pPr>
        <w:rPr>
          <w:rFonts w:ascii="Arial" w:hAnsi="Arial" w:cs="Arial"/>
          <w:b/>
          <w:bCs/>
          <w:sz w:val="20"/>
          <w:szCs w:val="20"/>
        </w:rPr>
      </w:pPr>
      <w:r w:rsidRPr="006F6ABB">
        <w:rPr>
          <w:rFonts w:ascii="Arial" w:hAnsi="Arial" w:cs="Arial"/>
          <w:b/>
          <w:bCs/>
          <w:sz w:val="20"/>
          <w:szCs w:val="20"/>
        </w:rPr>
        <w:t xml:space="preserve">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6F6ABB">
        <w:trPr>
          <w:trHeight w:val="228"/>
        </w:trPr>
        <w:tc>
          <w:tcPr>
            <w:tcW w:w="8890"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97" w:name="_Toc344399650"/>
            <w:bookmarkStart w:id="98" w:name="_Toc348931381"/>
            <w:bookmarkStart w:id="99" w:name="_Toc517462778"/>
            <w:r w:rsidRPr="00506DFA">
              <w:rPr>
                <w:rFonts w:ascii="Arial" w:hAnsi="Arial" w:cs="Arial"/>
                <w:kern w:val="0"/>
                <w:sz w:val="20"/>
              </w:rPr>
              <w:t>6. EVALUACIÓN DE LA SEGURIDAD.</w:t>
            </w:r>
            <w:bookmarkEnd w:id="97"/>
            <w:bookmarkEnd w:id="98"/>
            <w:bookmarkEnd w:id="99"/>
            <w:r w:rsidRPr="00506DFA">
              <w:rPr>
                <w:rFonts w:ascii="Arial" w:hAnsi="Arial" w:cs="Arial"/>
                <w:kern w:val="0"/>
                <w:sz w:val="20"/>
              </w:rPr>
              <w:t xml:space="preserve"> </w:t>
            </w:r>
          </w:p>
        </w:tc>
      </w:tr>
    </w:tbl>
    <w:p w:rsidR="00556DFF" w:rsidRPr="006F6ABB" w:rsidRDefault="00556DFF" w:rsidP="00BC3E8E">
      <w:pPr>
        <w:rPr>
          <w:rFonts w:ascii="Arial" w:hAnsi="Arial" w:cs="Arial"/>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0" w:name="_Toc344399651"/>
      <w:bookmarkStart w:id="101" w:name="_Toc348931382"/>
      <w:bookmarkStart w:id="102" w:name="_Toc517462779"/>
      <w:r w:rsidRPr="00E3472F">
        <w:rPr>
          <w:rFonts w:cs="Arial"/>
          <w:sz w:val="20"/>
        </w:rPr>
        <w:t>6.1.a Descripción de la búsqueda bibliográfica</w:t>
      </w:r>
      <w:bookmarkEnd w:id="100"/>
      <w:bookmarkEnd w:id="101"/>
      <w:bookmarkEnd w:id="102"/>
    </w:p>
    <w:p w:rsidR="00556DFF" w:rsidRPr="006F6ABB" w:rsidRDefault="00556DFF" w:rsidP="00BC3E8E">
      <w:pPr>
        <w:shd w:val="clear" w:color="auto" w:fill="FFFFFF"/>
        <w:jc w:val="both"/>
        <w:rPr>
          <w:rFonts w:ascii="Arial" w:hAnsi="Arial" w:cs="Arial"/>
          <w:sz w:val="20"/>
          <w:szCs w:val="20"/>
        </w:rPr>
      </w:pPr>
    </w:p>
    <w:p w:rsidR="00556DFF" w:rsidRPr="006F6ABB" w:rsidRDefault="00556DFF" w:rsidP="00BC3E8E">
      <w:pPr>
        <w:rPr>
          <w:rFonts w:ascii="Arial" w:hAnsi="Arial" w:cs="Arial"/>
          <w:sz w:val="20"/>
          <w:szCs w:val="20"/>
        </w:rPr>
      </w:pPr>
      <w:r>
        <w:rPr>
          <w:rFonts w:ascii="Arial" w:hAnsi="Arial" w:cs="Arial"/>
          <w:sz w:val="20"/>
          <w:szCs w:val="20"/>
        </w:rPr>
        <w:t xml:space="preserve">En cuanto a la búsqueda realizada para describir la seguridad, nos apoyamos en los datos de seguridad a partir de los estudios analizados en el informe EPAR: </w:t>
      </w:r>
      <w:r w:rsidRPr="002248C2">
        <w:rPr>
          <w:rFonts w:ascii="Arial" w:hAnsi="Arial" w:cs="Arial"/>
          <w:sz w:val="20"/>
          <w:szCs w:val="20"/>
        </w:rPr>
        <w:t>ECU-MG-30</w:t>
      </w:r>
      <w:r>
        <w:rPr>
          <w:rFonts w:ascii="Arial" w:hAnsi="Arial" w:cs="Arial"/>
          <w:sz w:val="20"/>
          <w:szCs w:val="20"/>
        </w:rPr>
        <w:t>1</w:t>
      </w:r>
      <w:r w:rsidRPr="002248C2">
        <w:rPr>
          <w:rFonts w:ascii="Arial" w:hAnsi="Arial" w:cs="Arial"/>
          <w:sz w:val="20"/>
          <w:szCs w:val="20"/>
        </w:rPr>
        <w:t xml:space="preserve">  y ECU-MG-302</w:t>
      </w:r>
      <w:r>
        <w:rPr>
          <w:sz w:val="18"/>
          <w:szCs w:val="18"/>
        </w:rPr>
        <w:t xml:space="preserve"> </w:t>
      </w:r>
      <w:r>
        <w:rPr>
          <w:rFonts w:ascii="Arial" w:hAnsi="Arial" w:cs="Arial"/>
          <w:sz w:val="20"/>
          <w:szCs w:val="20"/>
        </w:rPr>
        <w:t xml:space="preserve"> ya que ninguno de los dos estudios están actualmente publicados</w:t>
      </w:r>
      <w:r w:rsidRPr="00615D63">
        <w:rPr>
          <w:rFonts w:ascii="Arial" w:hAnsi="Arial" w:cs="Arial"/>
          <w:sz w:val="20"/>
          <w:szCs w:val="20"/>
          <w:vertAlign w:val="superscript"/>
        </w:rPr>
        <w:t>14</w:t>
      </w:r>
      <w:r>
        <w:rPr>
          <w:rFonts w:ascii="Arial" w:hAnsi="Arial" w:cs="Arial"/>
          <w:sz w:val="20"/>
          <w:szCs w:val="20"/>
        </w:rPr>
        <w:t xml:space="preserve">. </w:t>
      </w:r>
    </w:p>
    <w:p w:rsidR="00556DFF" w:rsidRDefault="00556DFF" w:rsidP="00F249CD">
      <w:pPr>
        <w:jc w:val="right"/>
        <w:rPr>
          <w:rFonts w:ascii="Arial" w:hAnsi="Arial" w:cs="Arial"/>
          <w:sz w:val="20"/>
          <w:szCs w:val="20"/>
        </w:rPr>
      </w:pPr>
    </w:p>
    <w:p w:rsidR="00556DFF" w:rsidRPr="006F6ABB" w:rsidRDefault="00556DFF" w:rsidP="00BC3E8E">
      <w:pPr>
        <w:rPr>
          <w:rFonts w:ascii="Arial" w:hAnsi="Arial" w:cs="Arial"/>
          <w:color w:val="FF0000"/>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3" w:name="_Toc344399652"/>
      <w:bookmarkStart w:id="104" w:name="_Toc348931383"/>
      <w:bookmarkStart w:id="105" w:name="_Toc517462780"/>
      <w:r w:rsidRPr="00E3472F">
        <w:rPr>
          <w:rFonts w:cs="Arial"/>
          <w:sz w:val="20"/>
        </w:rPr>
        <w:t>6.1.b Descripción de los efectos adversos más significativos</w:t>
      </w:r>
      <w:bookmarkEnd w:id="103"/>
      <w:bookmarkEnd w:id="104"/>
      <w:bookmarkEnd w:id="105"/>
    </w:p>
    <w:p w:rsidR="00556DFF" w:rsidRPr="006F6ABB" w:rsidRDefault="00556DFF" w:rsidP="00BC3E8E">
      <w:pPr>
        <w:shd w:val="clear" w:color="auto" w:fill="FFFFFF"/>
        <w:jc w:val="both"/>
        <w:rPr>
          <w:rFonts w:ascii="Arial" w:hAnsi="Arial" w:cs="Arial"/>
          <w:sz w:val="20"/>
          <w:szCs w:val="20"/>
        </w:rPr>
      </w:pPr>
    </w:p>
    <w:p w:rsidR="00556DFF" w:rsidRPr="0013685B" w:rsidRDefault="00556DFF" w:rsidP="0013685B">
      <w:pPr>
        <w:shd w:val="clear" w:color="auto" w:fill="FFFFFF"/>
        <w:jc w:val="both"/>
        <w:rPr>
          <w:rFonts w:ascii="Arial" w:hAnsi="Arial" w:cs="Arial"/>
          <w:sz w:val="20"/>
          <w:szCs w:val="20"/>
        </w:rPr>
      </w:pPr>
      <w:r w:rsidRPr="0013685B">
        <w:rPr>
          <w:rFonts w:ascii="Arial" w:hAnsi="Arial" w:cs="Arial"/>
          <w:sz w:val="20"/>
          <w:szCs w:val="20"/>
        </w:rPr>
        <w:t xml:space="preserve">En el estudio ECU-MG-301, se informaron un total de 767 EA (brazo de </w:t>
      </w:r>
      <w:proofErr w:type="spellStart"/>
      <w:r w:rsidRPr="0013685B">
        <w:rPr>
          <w:rFonts w:ascii="Arial" w:hAnsi="Arial" w:cs="Arial"/>
          <w:sz w:val="20"/>
          <w:szCs w:val="20"/>
        </w:rPr>
        <w:t>eculizumab</w:t>
      </w:r>
      <w:proofErr w:type="spellEnd"/>
      <w:r w:rsidRPr="0013685B">
        <w:rPr>
          <w:rFonts w:ascii="Arial" w:hAnsi="Arial" w:cs="Arial"/>
          <w:sz w:val="20"/>
          <w:szCs w:val="20"/>
        </w:rPr>
        <w:t>: 361; brazo de placebo: 406). Cincuenta y tres (85</w:t>
      </w:r>
      <w:r>
        <w:rPr>
          <w:rFonts w:ascii="Arial" w:hAnsi="Arial" w:cs="Arial"/>
          <w:sz w:val="20"/>
          <w:szCs w:val="20"/>
        </w:rPr>
        <w:t>,</w:t>
      </w:r>
      <w:r w:rsidRPr="0013685B">
        <w:rPr>
          <w:rFonts w:ascii="Arial" w:hAnsi="Arial" w:cs="Arial"/>
          <w:sz w:val="20"/>
          <w:szCs w:val="20"/>
        </w:rPr>
        <w:t xml:space="preserve">5%) pacientes en </w:t>
      </w:r>
      <w:r>
        <w:rPr>
          <w:rFonts w:ascii="Arial" w:hAnsi="Arial" w:cs="Arial"/>
          <w:sz w:val="20"/>
          <w:szCs w:val="20"/>
        </w:rPr>
        <w:t xml:space="preserve">el brazo de </w:t>
      </w:r>
      <w:proofErr w:type="spellStart"/>
      <w:r>
        <w:rPr>
          <w:rFonts w:ascii="Arial" w:hAnsi="Arial" w:cs="Arial"/>
          <w:sz w:val="20"/>
          <w:szCs w:val="20"/>
        </w:rPr>
        <w:t>eculizumab</w:t>
      </w:r>
      <w:proofErr w:type="spellEnd"/>
      <w:r>
        <w:rPr>
          <w:rFonts w:ascii="Arial" w:hAnsi="Arial" w:cs="Arial"/>
          <w:sz w:val="20"/>
          <w:szCs w:val="20"/>
        </w:rPr>
        <w:t xml:space="preserve"> y 56 (88,</w:t>
      </w:r>
      <w:r w:rsidRPr="0013685B">
        <w:rPr>
          <w:rFonts w:ascii="Arial" w:hAnsi="Arial" w:cs="Arial"/>
          <w:sz w:val="20"/>
          <w:szCs w:val="20"/>
        </w:rPr>
        <w:t xml:space="preserve">9%) pacientes en el brazo de placebo informaron eventos adversos. En ambos brazos de tratamiento, los efectos adversos informados con mayor frecuencia por orden de frecuencia descendente fueron dolor de cabeza, infección del tracto respiratorio superior, nasofaringitis, miastenia grave, náuseas, diarrea, dolor de espalda, mareos, infección del tracto urinario, vómitos, contusión, insomnio, mialgia, parestesia, edema periférico, dolor en las extremidades, pirexia, escalofríos, dolor de cuello, herpes oral y prurito. Los efectos adversos </w:t>
      </w:r>
      <w:r>
        <w:rPr>
          <w:rFonts w:ascii="Arial" w:hAnsi="Arial" w:cs="Arial"/>
          <w:sz w:val="20"/>
          <w:szCs w:val="20"/>
        </w:rPr>
        <w:t>emergentes de la MG</w:t>
      </w:r>
      <w:r w:rsidRPr="0013685B">
        <w:rPr>
          <w:rFonts w:ascii="Arial" w:hAnsi="Arial" w:cs="Arial"/>
          <w:sz w:val="20"/>
          <w:szCs w:val="20"/>
        </w:rPr>
        <w:t xml:space="preserve"> en el tratamiento fueron informados por 6 (9,7%) pacientes en el brazo de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y 11 (17,5%) pacientes en el brazo de placebo.</w:t>
      </w:r>
    </w:p>
    <w:p w:rsidR="00556DFF" w:rsidRDefault="00556DFF" w:rsidP="00BC3E8E">
      <w:pPr>
        <w:shd w:val="clear" w:color="auto" w:fill="FFFFFF"/>
        <w:jc w:val="both"/>
        <w:rPr>
          <w:rFonts w:ascii="Arial" w:hAnsi="Arial" w:cs="Arial"/>
          <w:sz w:val="20"/>
          <w:szCs w:val="20"/>
        </w:rPr>
      </w:pPr>
      <w:r w:rsidRPr="0013685B">
        <w:rPr>
          <w:rFonts w:ascii="Arial" w:hAnsi="Arial" w:cs="Arial"/>
          <w:sz w:val="20"/>
          <w:szCs w:val="20"/>
        </w:rPr>
        <w:t>Similar al estudio ECU-MG-301, los eventos adversos informados con mayor frecuencia por pacientes que continuaron en el estudio ECU-MG-302 fueron nasofaringitis (20 [17,7%] pacientes en total; 10 [17,2%] pacientes en el grupo placebo</w:t>
      </w:r>
      <w:r>
        <w:rPr>
          <w:rFonts w:ascii="Arial" w:hAnsi="Arial" w:cs="Arial"/>
          <w:sz w:val="20"/>
          <w:szCs w:val="20"/>
        </w:rPr>
        <w:t xml:space="preserve"> / </w:t>
      </w:r>
      <w:proofErr w:type="spellStart"/>
      <w:r>
        <w:rPr>
          <w:rFonts w:ascii="Arial" w:hAnsi="Arial" w:cs="Arial"/>
          <w:sz w:val="20"/>
          <w:szCs w:val="20"/>
        </w:rPr>
        <w:t>eculizumab</w:t>
      </w:r>
      <w:proofErr w:type="spellEnd"/>
      <w:r>
        <w:rPr>
          <w:rFonts w:ascii="Arial" w:hAnsi="Arial" w:cs="Arial"/>
          <w:sz w:val="20"/>
          <w:szCs w:val="20"/>
        </w:rPr>
        <w:t xml:space="preserve"> y 10 [18,</w:t>
      </w:r>
      <w:r w:rsidRPr="0013685B">
        <w:rPr>
          <w:rFonts w:ascii="Arial" w:hAnsi="Arial" w:cs="Arial"/>
          <w:sz w:val="20"/>
          <w:szCs w:val="20"/>
        </w:rPr>
        <w:t xml:space="preserve">2%] pacientes en el grupo de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 </w:t>
      </w:r>
      <w:proofErr w:type="spellStart"/>
      <w:r w:rsidRPr="0013685B">
        <w:rPr>
          <w:rFonts w:ascii="Arial" w:hAnsi="Arial" w:cs="Arial"/>
          <w:sz w:val="20"/>
          <w:szCs w:val="20"/>
        </w:rPr>
        <w:t>eculizumab</w:t>
      </w:r>
      <w:proofErr w:type="spellEnd"/>
      <w:r w:rsidRPr="0013685B">
        <w:rPr>
          <w:rFonts w:ascii="Arial" w:hAnsi="Arial" w:cs="Arial"/>
          <w:sz w:val="20"/>
          <w:szCs w:val="20"/>
        </w:rPr>
        <w:t>) y cefalea (19 [16</w:t>
      </w:r>
      <w:r>
        <w:rPr>
          <w:rFonts w:ascii="Arial" w:hAnsi="Arial" w:cs="Arial"/>
          <w:sz w:val="20"/>
          <w:szCs w:val="20"/>
        </w:rPr>
        <w:t>,8%] pacientes en total; 13 [22,</w:t>
      </w:r>
      <w:r w:rsidRPr="0013685B">
        <w:rPr>
          <w:rFonts w:ascii="Arial" w:hAnsi="Arial" w:cs="Arial"/>
          <w:sz w:val="20"/>
          <w:szCs w:val="20"/>
        </w:rPr>
        <w:t>4%] pacientes en el gru</w:t>
      </w:r>
      <w:r>
        <w:rPr>
          <w:rFonts w:ascii="Arial" w:hAnsi="Arial" w:cs="Arial"/>
          <w:sz w:val="20"/>
          <w:szCs w:val="20"/>
        </w:rPr>
        <w:t xml:space="preserve">po placebo / </w:t>
      </w:r>
      <w:proofErr w:type="spellStart"/>
      <w:r>
        <w:rPr>
          <w:rFonts w:ascii="Arial" w:hAnsi="Arial" w:cs="Arial"/>
          <w:sz w:val="20"/>
          <w:szCs w:val="20"/>
        </w:rPr>
        <w:t>eculizumab</w:t>
      </w:r>
      <w:proofErr w:type="spellEnd"/>
      <w:r>
        <w:rPr>
          <w:rFonts w:ascii="Arial" w:hAnsi="Arial" w:cs="Arial"/>
          <w:sz w:val="20"/>
          <w:szCs w:val="20"/>
        </w:rPr>
        <w:t xml:space="preserve"> y 6 [10,</w:t>
      </w:r>
      <w:r w:rsidRPr="0013685B">
        <w:rPr>
          <w:rFonts w:ascii="Arial" w:hAnsi="Arial" w:cs="Arial"/>
          <w:sz w:val="20"/>
          <w:szCs w:val="20"/>
        </w:rPr>
        <w:t xml:space="preserve">9%] pacientes en el brazo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 </w:t>
      </w:r>
      <w:proofErr w:type="spellStart"/>
      <w:r w:rsidRPr="0013685B">
        <w:rPr>
          <w:rFonts w:ascii="Arial" w:hAnsi="Arial" w:cs="Arial"/>
          <w:sz w:val="20"/>
          <w:szCs w:val="20"/>
        </w:rPr>
        <w:t>eculizumab</w:t>
      </w:r>
      <w:proofErr w:type="spellEnd"/>
      <w:r w:rsidRPr="0013685B">
        <w:rPr>
          <w:rFonts w:ascii="Arial" w:hAnsi="Arial" w:cs="Arial"/>
          <w:sz w:val="20"/>
          <w:szCs w:val="20"/>
        </w:rPr>
        <w:t>). La incidencia de infección del tracto respiratorio superior fue may</w:t>
      </w:r>
      <w:r>
        <w:rPr>
          <w:rFonts w:ascii="Arial" w:hAnsi="Arial" w:cs="Arial"/>
          <w:sz w:val="20"/>
          <w:szCs w:val="20"/>
        </w:rPr>
        <w:t>or en el Estudio ECU-MG-301 (17,</w:t>
      </w:r>
      <w:r w:rsidRPr="0013685B">
        <w:rPr>
          <w:rFonts w:ascii="Arial" w:hAnsi="Arial" w:cs="Arial"/>
          <w:sz w:val="20"/>
          <w:szCs w:val="20"/>
        </w:rPr>
        <w:t xml:space="preserve">6% global), en comparación </w:t>
      </w:r>
      <w:r>
        <w:rPr>
          <w:rFonts w:ascii="Arial" w:hAnsi="Arial" w:cs="Arial"/>
          <w:sz w:val="20"/>
          <w:szCs w:val="20"/>
        </w:rPr>
        <w:t>con el Estudio ECU-MG-302 (5 [4,4%] pacientes en general; 3 [5,</w:t>
      </w:r>
      <w:r w:rsidRPr="0013685B">
        <w:rPr>
          <w:rFonts w:ascii="Arial" w:hAnsi="Arial" w:cs="Arial"/>
          <w:sz w:val="20"/>
          <w:szCs w:val="20"/>
        </w:rPr>
        <w:t>2%] pacientes en el pl</w:t>
      </w:r>
      <w:r>
        <w:rPr>
          <w:rFonts w:ascii="Arial" w:hAnsi="Arial" w:cs="Arial"/>
          <w:sz w:val="20"/>
          <w:szCs w:val="20"/>
        </w:rPr>
        <w:t xml:space="preserve">acebo / </w:t>
      </w:r>
      <w:proofErr w:type="spellStart"/>
      <w:r>
        <w:rPr>
          <w:rFonts w:ascii="Arial" w:hAnsi="Arial" w:cs="Arial"/>
          <w:sz w:val="20"/>
          <w:szCs w:val="20"/>
        </w:rPr>
        <w:t>eculizumab</w:t>
      </w:r>
      <w:proofErr w:type="spellEnd"/>
      <w:r>
        <w:rPr>
          <w:rFonts w:ascii="Arial" w:hAnsi="Arial" w:cs="Arial"/>
          <w:sz w:val="20"/>
          <w:szCs w:val="20"/>
        </w:rPr>
        <w:t xml:space="preserve"> brazo y 2 [3,</w:t>
      </w:r>
      <w:r w:rsidRPr="0013685B">
        <w:rPr>
          <w:rFonts w:ascii="Arial" w:hAnsi="Arial" w:cs="Arial"/>
          <w:sz w:val="20"/>
          <w:szCs w:val="20"/>
        </w:rPr>
        <w:t>6%] pacientes en el b</w:t>
      </w:r>
      <w:r>
        <w:rPr>
          <w:rFonts w:ascii="Arial" w:hAnsi="Arial" w:cs="Arial"/>
          <w:sz w:val="20"/>
          <w:szCs w:val="20"/>
        </w:rPr>
        <w:t xml:space="preserve">razo de </w:t>
      </w:r>
      <w:proofErr w:type="spellStart"/>
      <w:r>
        <w:rPr>
          <w:rFonts w:ascii="Arial" w:hAnsi="Arial" w:cs="Arial"/>
          <w:sz w:val="20"/>
          <w:szCs w:val="20"/>
        </w:rPr>
        <w:t>eculizumab</w:t>
      </w:r>
      <w:proofErr w:type="spellEnd"/>
      <w:r>
        <w:rPr>
          <w:rFonts w:ascii="Arial" w:hAnsi="Arial" w:cs="Arial"/>
          <w:sz w:val="20"/>
          <w:szCs w:val="20"/>
        </w:rPr>
        <w:t xml:space="preserve"> /</w:t>
      </w:r>
      <w:proofErr w:type="spellStart"/>
      <w:r>
        <w:rPr>
          <w:rFonts w:ascii="Arial" w:hAnsi="Arial" w:cs="Arial"/>
          <w:sz w:val="20"/>
          <w:szCs w:val="20"/>
        </w:rPr>
        <w:t>eculizumab</w:t>
      </w:r>
      <w:proofErr w:type="spellEnd"/>
      <w:r>
        <w:rPr>
          <w:rFonts w:ascii="Arial" w:hAnsi="Arial" w:cs="Arial"/>
          <w:sz w:val="20"/>
          <w:szCs w:val="20"/>
        </w:rPr>
        <w:t>). Posteriormente se detallan los efectos adversos de este estudio.</w:t>
      </w:r>
    </w:p>
    <w:p w:rsidR="00556DFF" w:rsidRDefault="00556DFF" w:rsidP="00BC3E8E">
      <w:pPr>
        <w:shd w:val="clear" w:color="auto" w:fill="FFFFFF"/>
        <w:jc w:val="both"/>
        <w:rPr>
          <w:rFonts w:ascii="Arial" w:hAnsi="Arial" w:cs="Arial"/>
          <w:b/>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260"/>
        <w:gridCol w:w="1253"/>
        <w:gridCol w:w="1805"/>
        <w:gridCol w:w="555"/>
        <w:gridCol w:w="1314"/>
      </w:tblGrid>
      <w:tr w:rsidR="00556DFF" w:rsidRPr="006F6ABB" w:rsidTr="0013685B">
        <w:tc>
          <w:tcPr>
            <w:tcW w:w="8879" w:type="dxa"/>
            <w:gridSpan w:val="6"/>
            <w:shd w:val="clear" w:color="auto" w:fill="CCFFCC"/>
          </w:tcPr>
          <w:p w:rsidR="00556DFF" w:rsidRPr="006F6ABB" w:rsidRDefault="00556DFF" w:rsidP="00E51E50">
            <w:pPr>
              <w:jc w:val="both"/>
              <w:rPr>
                <w:rFonts w:ascii="Arial" w:hAnsi="Arial" w:cs="Arial"/>
                <w:b/>
                <w:sz w:val="16"/>
                <w:lang w:val="es-ES_tradnl"/>
              </w:rPr>
            </w:pPr>
            <w:r>
              <w:rPr>
                <w:rFonts w:ascii="Arial" w:hAnsi="Arial" w:cs="Arial"/>
                <w:b/>
                <w:i/>
                <w:sz w:val="16"/>
                <w:lang w:val="es-ES_tradnl"/>
              </w:rPr>
              <w:t xml:space="preserve">Tabla 3. </w:t>
            </w:r>
            <w:r w:rsidRPr="006F6ABB">
              <w:rPr>
                <w:rFonts w:ascii="Arial" w:hAnsi="Arial" w:cs="Arial"/>
                <w:b/>
                <w:i/>
                <w:sz w:val="16"/>
                <w:lang w:val="es-ES_tradnl"/>
              </w:rPr>
              <w:t>Referencia:</w:t>
            </w:r>
            <w:r>
              <w:rPr>
                <w:b/>
                <w:bCs/>
                <w:sz w:val="20"/>
                <w:szCs w:val="20"/>
              </w:rPr>
              <w:t xml:space="preserve"> </w:t>
            </w:r>
            <w:proofErr w:type="spellStart"/>
            <w:r>
              <w:rPr>
                <w:b/>
                <w:bCs/>
                <w:sz w:val="20"/>
                <w:szCs w:val="20"/>
              </w:rPr>
              <w:t>Studies</w:t>
            </w:r>
            <w:proofErr w:type="spellEnd"/>
            <w:r>
              <w:rPr>
                <w:b/>
                <w:bCs/>
                <w:sz w:val="20"/>
                <w:szCs w:val="20"/>
              </w:rPr>
              <w:t xml:space="preserve"> ECU-MG-301 </w:t>
            </w:r>
            <w:r w:rsidRPr="00FA16F1">
              <w:rPr>
                <w:rFonts w:ascii="Arial" w:hAnsi="Arial" w:cs="Arial"/>
                <w:sz w:val="20"/>
                <w:szCs w:val="20"/>
                <w:vertAlign w:val="superscript"/>
              </w:rPr>
              <w:t>14</w:t>
            </w:r>
          </w:p>
        </w:tc>
      </w:tr>
      <w:tr w:rsidR="00556DFF" w:rsidRPr="006F6ABB" w:rsidTr="0013685B">
        <w:tc>
          <w:tcPr>
            <w:tcW w:w="8879" w:type="dxa"/>
            <w:gridSpan w:val="6"/>
          </w:tcPr>
          <w:p w:rsidR="00556DFF" w:rsidRPr="006F6ABB" w:rsidRDefault="00556DFF" w:rsidP="00BC3E8E">
            <w:pPr>
              <w:jc w:val="both"/>
              <w:rPr>
                <w:rFonts w:ascii="Arial" w:hAnsi="Arial" w:cs="Arial"/>
                <w:b/>
                <w:sz w:val="16"/>
              </w:rPr>
            </w:pPr>
            <w:r>
              <w:rPr>
                <w:rFonts w:ascii="Arial" w:hAnsi="Arial" w:cs="Arial"/>
                <w:i/>
                <w:sz w:val="16"/>
                <w:lang w:val="es-ES_tradnl"/>
              </w:rPr>
              <w:t>Efectos adversos más frecuentes (mayor o igual al 5%)</w:t>
            </w:r>
          </w:p>
        </w:tc>
      </w:tr>
      <w:tr w:rsidR="00556DFF" w:rsidRPr="006F6ABB" w:rsidTr="0013685B">
        <w:tc>
          <w:tcPr>
            <w:tcW w:w="8879" w:type="dxa"/>
            <w:gridSpan w:val="6"/>
            <w:shd w:val="clear" w:color="auto" w:fill="CCFFCC"/>
          </w:tcPr>
          <w:p w:rsidR="00556DFF" w:rsidRPr="006F6ABB" w:rsidRDefault="00556DFF" w:rsidP="00BC3E8E">
            <w:pPr>
              <w:jc w:val="both"/>
              <w:rPr>
                <w:rFonts w:ascii="Arial" w:hAnsi="Arial" w:cs="Arial"/>
                <w:i/>
                <w:sz w:val="16"/>
                <w:lang w:val="es-ES_tradnl"/>
              </w:rPr>
            </w:pPr>
            <w:r w:rsidRPr="006F6ABB">
              <w:rPr>
                <w:rFonts w:ascii="Arial" w:hAnsi="Arial" w:cs="Arial"/>
                <w:b/>
                <w:bCs/>
                <w:sz w:val="16"/>
                <w:lang w:val="es-ES_tradnl"/>
              </w:rPr>
              <w:t>Resultados de seguridad</w:t>
            </w:r>
          </w:p>
        </w:tc>
      </w:tr>
      <w:tr w:rsidR="00556DFF" w:rsidRPr="006F6ABB" w:rsidTr="0013685B">
        <w:trPr>
          <w:trHeight w:val="685"/>
        </w:trPr>
        <w:tc>
          <w:tcPr>
            <w:tcW w:w="2692" w:type="dxa"/>
          </w:tcPr>
          <w:p w:rsidR="00556DFF" w:rsidRPr="006F6ABB" w:rsidRDefault="00556DFF" w:rsidP="00BC3E8E">
            <w:pPr>
              <w:jc w:val="both"/>
              <w:rPr>
                <w:rFonts w:ascii="Arial" w:hAnsi="Arial" w:cs="Arial"/>
                <w:b/>
                <w:i/>
                <w:sz w:val="16"/>
              </w:rPr>
            </w:pPr>
            <w:r w:rsidRPr="006F6ABB">
              <w:rPr>
                <w:rFonts w:ascii="Arial" w:hAnsi="Arial" w:cs="Arial"/>
                <w:b/>
                <w:i/>
                <w:sz w:val="16"/>
              </w:rPr>
              <w:t>Variable de seguridad evaluada en el estudio</w:t>
            </w:r>
          </w:p>
        </w:tc>
        <w:tc>
          <w:tcPr>
            <w:tcW w:w="1260" w:type="dxa"/>
          </w:tcPr>
          <w:p w:rsidR="00556DFF" w:rsidRPr="006F6ABB" w:rsidRDefault="00556DFF" w:rsidP="001E257E">
            <w:pPr>
              <w:tabs>
                <w:tab w:val="left" w:pos="1673"/>
              </w:tabs>
              <w:jc w:val="center"/>
              <w:rPr>
                <w:rFonts w:ascii="Arial" w:hAnsi="Arial" w:cs="Arial"/>
                <w:b/>
                <w:i/>
                <w:sz w:val="16"/>
                <w:lang w:val="pt-BR"/>
              </w:rPr>
            </w:pPr>
            <w:proofErr w:type="spellStart"/>
            <w:r w:rsidRPr="006F6ABB">
              <w:rPr>
                <w:rFonts w:ascii="Arial" w:hAnsi="Arial" w:cs="Arial"/>
                <w:b/>
                <w:i/>
                <w:sz w:val="16"/>
                <w:lang w:val="pt-BR"/>
              </w:rPr>
              <w:t>Trat</w:t>
            </w:r>
            <w:proofErr w:type="spellEnd"/>
            <w:r w:rsidRPr="006F6ABB">
              <w:rPr>
                <w:rFonts w:ascii="Arial" w:hAnsi="Arial" w:cs="Arial"/>
                <w:b/>
                <w:i/>
                <w:sz w:val="16"/>
                <w:lang w:val="pt-BR"/>
              </w:rPr>
              <w:t xml:space="preserve"> </w:t>
            </w:r>
            <w:proofErr w:type="spellStart"/>
            <w:r w:rsidRPr="006F6ABB">
              <w:rPr>
                <w:rFonts w:ascii="Arial" w:hAnsi="Arial" w:cs="Arial"/>
                <w:b/>
                <w:i/>
                <w:sz w:val="16"/>
                <w:lang w:val="pt-BR"/>
              </w:rPr>
              <w:t>estudiado</w:t>
            </w:r>
            <w:proofErr w:type="spellEnd"/>
          </w:p>
          <w:p w:rsidR="00556DFF" w:rsidRPr="006F6ABB" w:rsidRDefault="00556DFF" w:rsidP="001E257E">
            <w:pPr>
              <w:tabs>
                <w:tab w:val="left" w:pos="1673"/>
              </w:tabs>
              <w:jc w:val="center"/>
              <w:rPr>
                <w:rFonts w:ascii="Arial" w:hAnsi="Arial" w:cs="Arial"/>
                <w:b/>
                <w:i/>
                <w:sz w:val="16"/>
                <w:lang w:val="pt-BR"/>
              </w:rPr>
            </w:pPr>
            <w:r>
              <w:rPr>
                <w:rFonts w:ascii="Arial" w:hAnsi="Arial" w:cs="Arial"/>
                <w:b/>
                <w:i/>
                <w:sz w:val="16"/>
                <w:lang w:val="pt-BR"/>
              </w:rPr>
              <w:t>N (62</w:t>
            </w:r>
            <w:r w:rsidRPr="006F6ABB">
              <w:rPr>
                <w:rFonts w:ascii="Arial" w:hAnsi="Arial" w:cs="Arial"/>
                <w:b/>
                <w:i/>
                <w:sz w:val="16"/>
                <w:lang w:val="pt-BR"/>
              </w:rPr>
              <w:t>)</w:t>
            </w:r>
          </w:p>
        </w:tc>
        <w:tc>
          <w:tcPr>
            <w:tcW w:w="1253" w:type="dxa"/>
          </w:tcPr>
          <w:p w:rsidR="00556DFF" w:rsidRPr="00FD6C7E" w:rsidRDefault="00556DFF" w:rsidP="001E257E">
            <w:pPr>
              <w:tabs>
                <w:tab w:val="left" w:pos="1673"/>
              </w:tabs>
              <w:jc w:val="center"/>
              <w:rPr>
                <w:rFonts w:ascii="Arial" w:hAnsi="Arial" w:cs="Arial"/>
                <w:b/>
                <w:i/>
                <w:sz w:val="16"/>
                <w:lang w:val="pt-BR"/>
              </w:rPr>
            </w:pPr>
            <w:proofErr w:type="spellStart"/>
            <w:r w:rsidRPr="00FD6C7E">
              <w:rPr>
                <w:rFonts w:ascii="Arial" w:hAnsi="Arial" w:cs="Arial"/>
                <w:b/>
                <w:i/>
                <w:sz w:val="16"/>
                <w:lang w:val="pt-BR"/>
              </w:rPr>
              <w:t>Trat</w:t>
            </w:r>
            <w:proofErr w:type="spellEnd"/>
            <w:r w:rsidRPr="00FD6C7E">
              <w:rPr>
                <w:rFonts w:ascii="Arial" w:hAnsi="Arial" w:cs="Arial"/>
                <w:b/>
                <w:i/>
                <w:sz w:val="16"/>
                <w:lang w:val="pt-BR"/>
              </w:rPr>
              <w:t xml:space="preserve"> </w:t>
            </w:r>
            <w:proofErr w:type="spellStart"/>
            <w:r w:rsidRPr="00FD6C7E">
              <w:rPr>
                <w:rFonts w:ascii="Arial" w:hAnsi="Arial" w:cs="Arial"/>
                <w:b/>
                <w:i/>
                <w:sz w:val="16"/>
                <w:lang w:val="pt-BR"/>
              </w:rPr>
              <w:t>control</w:t>
            </w:r>
            <w:proofErr w:type="spellEnd"/>
          </w:p>
          <w:p w:rsidR="00556DFF" w:rsidRPr="00FD6C7E" w:rsidRDefault="00556DFF" w:rsidP="001E257E">
            <w:pPr>
              <w:tabs>
                <w:tab w:val="left" w:pos="1673"/>
              </w:tabs>
              <w:jc w:val="center"/>
              <w:rPr>
                <w:rFonts w:ascii="Arial" w:hAnsi="Arial" w:cs="Arial"/>
                <w:b/>
                <w:i/>
                <w:sz w:val="16"/>
                <w:lang w:val="pt-BR"/>
              </w:rPr>
            </w:pPr>
            <w:r w:rsidRPr="00FD6C7E">
              <w:rPr>
                <w:rFonts w:ascii="Arial" w:hAnsi="Arial" w:cs="Arial"/>
                <w:b/>
                <w:i/>
                <w:sz w:val="16"/>
                <w:lang w:val="pt-BR"/>
              </w:rPr>
              <w:t>N (63)</w:t>
            </w:r>
          </w:p>
        </w:tc>
        <w:tc>
          <w:tcPr>
            <w:tcW w:w="1805" w:type="dxa"/>
          </w:tcPr>
          <w:p w:rsidR="00556DFF" w:rsidRPr="00FD6C7E" w:rsidRDefault="00556DFF" w:rsidP="001E257E">
            <w:pPr>
              <w:tabs>
                <w:tab w:val="left" w:pos="1673"/>
              </w:tabs>
              <w:jc w:val="center"/>
              <w:rPr>
                <w:rFonts w:ascii="Arial" w:hAnsi="Arial" w:cs="Arial"/>
                <w:b/>
                <w:i/>
                <w:sz w:val="16"/>
                <w:lang w:val="es-ES_tradnl"/>
              </w:rPr>
            </w:pPr>
            <w:r w:rsidRPr="00FD6C7E">
              <w:rPr>
                <w:rFonts w:ascii="Arial" w:hAnsi="Arial" w:cs="Arial"/>
                <w:b/>
                <w:sz w:val="16"/>
                <w:lang w:val="es-ES_tradnl"/>
              </w:rPr>
              <w:t xml:space="preserve">Diferencia Riesgo Absoluto </w:t>
            </w:r>
            <w:r w:rsidRPr="00FD6C7E">
              <w:rPr>
                <w:rFonts w:ascii="Arial" w:hAnsi="Arial" w:cs="Arial"/>
                <w:b/>
                <w:i/>
                <w:sz w:val="16"/>
                <w:lang w:val="es-ES_tradnl"/>
              </w:rPr>
              <w:t>(IC 95%)</w:t>
            </w:r>
          </w:p>
        </w:tc>
        <w:tc>
          <w:tcPr>
            <w:tcW w:w="555" w:type="dxa"/>
          </w:tcPr>
          <w:p w:rsidR="00556DFF" w:rsidRPr="00FD6C7E" w:rsidRDefault="00556DFF" w:rsidP="001E257E">
            <w:pPr>
              <w:tabs>
                <w:tab w:val="left" w:pos="1673"/>
              </w:tabs>
              <w:jc w:val="center"/>
              <w:rPr>
                <w:rFonts w:ascii="Arial" w:hAnsi="Arial" w:cs="Arial"/>
                <w:b/>
                <w:i/>
                <w:sz w:val="16"/>
                <w:lang w:val="en-GB"/>
              </w:rPr>
            </w:pPr>
            <w:r w:rsidRPr="00FD6C7E">
              <w:rPr>
                <w:rFonts w:ascii="Arial" w:hAnsi="Arial" w:cs="Arial"/>
                <w:b/>
                <w:i/>
                <w:sz w:val="16"/>
                <w:lang w:val="en-GB"/>
              </w:rPr>
              <w:t>P</w:t>
            </w:r>
          </w:p>
        </w:tc>
        <w:tc>
          <w:tcPr>
            <w:tcW w:w="1314" w:type="dxa"/>
          </w:tcPr>
          <w:p w:rsidR="00556DFF" w:rsidRPr="00FD6C7E" w:rsidRDefault="00556DFF" w:rsidP="001E257E">
            <w:pPr>
              <w:jc w:val="center"/>
              <w:rPr>
                <w:rFonts w:ascii="Arial" w:hAnsi="Arial" w:cs="Arial"/>
                <w:b/>
                <w:i/>
                <w:sz w:val="16"/>
                <w:lang w:val="fr-FR"/>
              </w:rPr>
            </w:pPr>
            <w:r w:rsidRPr="00FD6C7E">
              <w:rPr>
                <w:rFonts w:ascii="Arial" w:hAnsi="Arial" w:cs="Arial"/>
                <w:b/>
                <w:i/>
                <w:sz w:val="16"/>
                <w:lang w:val="fr-FR"/>
              </w:rPr>
              <w:t>NNH o NND</w:t>
            </w:r>
          </w:p>
          <w:p w:rsidR="00556DFF" w:rsidRPr="00FD6C7E" w:rsidRDefault="00556DFF" w:rsidP="001E257E">
            <w:pPr>
              <w:jc w:val="center"/>
              <w:rPr>
                <w:rFonts w:ascii="Arial" w:hAnsi="Arial" w:cs="Arial"/>
                <w:b/>
                <w:i/>
                <w:sz w:val="16"/>
                <w:lang w:val="fr-FR"/>
              </w:rPr>
            </w:pPr>
            <w:r w:rsidRPr="00FD6C7E">
              <w:rPr>
                <w:rFonts w:ascii="Arial" w:hAnsi="Arial" w:cs="Arial"/>
                <w:b/>
                <w:i/>
                <w:sz w:val="16"/>
                <w:lang w:val="fr-FR"/>
              </w:rPr>
              <w:t xml:space="preserve"> (IC 95%)</w:t>
            </w:r>
          </w:p>
        </w:tc>
      </w:tr>
      <w:tr w:rsidR="00556DFF" w:rsidRPr="006F6ABB" w:rsidTr="0013685B">
        <w:trPr>
          <w:cantSplit/>
          <w:trHeight w:val="709"/>
        </w:trPr>
        <w:tc>
          <w:tcPr>
            <w:tcW w:w="2692" w:type="dxa"/>
          </w:tcPr>
          <w:p w:rsidR="00556DFF" w:rsidRDefault="00556DFF" w:rsidP="00BC3E8E">
            <w:pPr>
              <w:snapToGrid w:val="0"/>
              <w:rPr>
                <w:rFonts w:ascii="Arial" w:hAnsi="Arial" w:cs="Arial"/>
                <w:i/>
                <w:sz w:val="16"/>
              </w:rPr>
            </w:pPr>
            <w:r>
              <w:rPr>
                <w:rFonts w:ascii="Arial" w:hAnsi="Arial" w:cs="Arial"/>
                <w:i/>
                <w:sz w:val="16"/>
              </w:rPr>
              <w:t xml:space="preserve"> - Artralgia</w:t>
            </w:r>
          </w:p>
          <w:p w:rsidR="00556DFF" w:rsidRDefault="00556DFF" w:rsidP="00BC3E8E">
            <w:pPr>
              <w:snapToGrid w:val="0"/>
              <w:rPr>
                <w:rFonts w:ascii="Arial" w:hAnsi="Arial" w:cs="Arial"/>
                <w:i/>
                <w:sz w:val="16"/>
              </w:rPr>
            </w:pPr>
            <w:r>
              <w:rPr>
                <w:rFonts w:ascii="Arial" w:hAnsi="Arial" w:cs="Arial"/>
                <w:i/>
                <w:sz w:val="16"/>
              </w:rPr>
              <w:t>- Dolor de espalda</w:t>
            </w:r>
          </w:p>
          <w:p w:rsidR="00556DFF" w:rsidRDefault="00556DFF" w:rsidP="00BC3E8E">
            <w:pPr>
              <w:snapToGrid w:val="0"/>
              <w:rPr>
                <w:rFonts w:ascii="Arial" w:hAnsi="Arial" w:cs="Arial"/>
                <w:i/>
                <w:sz w:val="16"/>
              </w:rPr>
            </w:pPr>
            <w:r>
              <w:rPr>
                <w:rFonts w:ascii="Arial" w:hAnsi="Arial" w:cs="Arial"/>
                <w:i/>
                <w:sz w:val="16"/>
              </w:rPr>
              <w:t>- Escalofríos</w:t>
            </w:r>
          </w:p>
          <w:p w:rsidR="00556DFF" w:rsidRDefault="00556DFF" w:rsidP="00BC3E8E">
            <w:pPr>
              <w:snapToGrid w:val="0"/>
              <w:rPr>
                <w:rFonts w:ascii="Arial" w:hAnsi="Arial" w:cs="Arial"/>
                <w:i/>
                <w:sz w:val="16"/>
              </w:rPr>
            </w:pPr>
            <w:r>
              <w:rPr>
                <w:rFonts w:ascii="Arial" w:hAnsi="Arial" w:cs="Arial"/>
                <w:i/>
                <w:sz w:val="16"/>
              </w:rPr>
              <w:t>- Confusión</w:t>
            </w:r>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tos</w:t>
            </w:r>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xml:space="preserve">- </w:t>
            </w:r>
            <w:proofErr w:type="spellStart"/>
            <w:r w:rsidRPr="00232F5D">
              <w:rPr>
                <w:rFonts w:ascii="Arial" w:hAnsi="Arial" w:cs="Arial"/>
                <w:i/>
                <w:sz w:val="16"/>
                <w:lang w:val="pt-BR"/>
              </w:rPr>
              <w:t>Diarrea</w:t>
            </w:r>
            <w:proofErr w:type="spellEnd"/>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xml:space="preserve">- </w:t>
            </w:r>
            <w:proofErr w:type="spellStart"/>
            <w:r w:rsidRPr="00232F5D">
              <w:rPr>
                <w:rFonts w:ascii="Arial" w:hAnsi="Arial" w:cs="Arial"/>
                <w:i/>
                <w:sz w:val="16"/>
                <w:lang w:val="pt-BR"/>
              </w:rPr>
              <w:t>mareo</w:t>
            </w:r>
            <w:proofErr w:type="spellEnd"/>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caída</w:t>
            </w:r>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Fatiga</w:t>
            </w:r>
          </w:p>
          <w:p w:rsidR="00556DFF" w:rsidRPr="00232F5D" w:rsidRDefault="00556DFF" w:rsidP="00BC3E8E">
            <w:pPr>
              <w:snapToGrid w:val="0"/>
              <w:rPr>
                <w:rFonts w:ascii="Arial" w:hAnsi="Arial" w:cs="Arial"/>
                <w:i/>
                <w:sz w:val="16"/>
                <w:lang w:val="pt-BR"/>
              </w:rPr>
            </w:pPr>
            <w:r w:rsidRPr="00232F5D">
              <w:rPr>
                <w:rFonts w:ascii="Arial" w:hAnsi="Arial" w:cs="Arial"/>
                <w:i/>
                <w:sz w:val="16"/>
                <w:lang w:val="pt-BR"/>
              </w:rPr>
              <w:t xml:space="preserve">- </w:t>
            </w:r>
            <w:proofErr w:type="spellStart"/>
            <w:r w:rsidRPr="00232F5D">
              <w:rPr>
                <w:rFonts w:ascii="Arial" w:hAnsi="Arial" w:cs="Arial"/>
                <w:i/>
                <w:sz w:val="16"/>
                <w:lang w:val="pt-BR"/>
              </w:rPr>
              <w:t>Gastroenteritis</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Gastroenteritis</w:t>
            </w:r>
            <w:proofErr w:type="spellEnd"/>
            <w:r w:rsidRPr="00FD6C7E">
              <w:rPr>
                <w:rFonts w:ascii="Arial" w:hAnsi="Arial" w:cs="Arial"/>
                <w:i/>
                <w:sz w:val="16"/>
                <w:lang w:val="pt-BR"/>
              </w:rPr>
              <w:t xml:space="preserve"> viral</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Cefaleas</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Hipertensión</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Gripe</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Inmsomnio</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Mialgias</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Miastenia Gravis</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Nasofagitis</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Nauseas</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Dolor</w:t>
            </w:r>
            <w:proofErr w:type="spellEnd"/>
            <w:r w:rsidRPr="00FD6C7E">
              <w:rPr>
                <w:rFonts w:ascii="Arial" w:hAnsi="Arial" w:cs="Arial"/>
                <w:i/>
                <w:sz w:val="16"/>
                <w:lang w:val="pt-BR"/>
              </w:rPr>
              <w:t xml:space="preserve"> de </w:t>
            </w:r>
            <w:proofErr w:type="spellStart"/>
            <w:r w:rsidRPr="00FD6C7E">
              <w:rPr>
                <w:rFonts w:ascii="Arial" w:hAnsi="Arial" w:cs="Arial"/>
                <w:i/>
                <w:sz w:val="16"/>
                <w:lang w:val="pt-BR"/>
              </w:rPr>
              <w:t>cuello</w:t>
            </w:r>
            <w:proofErr w:type="spellEnd"/>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Edema periférico</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Herpes labial</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Dolor</w:t>
            </w:r>
            <w:proofErr w:type="spellEnd"/>
            <w:r w:rsidRPr="00FD6C7E">
              <w:rPr>
                <w:rFonts w:ascii="Arial" w:hAnsi="Arial" w:cs="Arial"/>
                <w:i/>
                <w:sz w:val="16"/>
                <w:lang w:val="pt-BR"/>
              </w:rPr>
              <w:t xml:space="preserve"> orofaríngeo</w:t>
            </w:r>
          </w:p>
          <w:p w:rsidR="00556DFF" w:rsidRPr="00FD6C7E" w:rsidRDefault="00556DFF" w:rsidP="00BC3E8E">
            <w:pPr>
              <w:snapToGrid w:val="0"/>
              <w:rPr>
                <w:rFonts w:ascii="Arial" w:hAnsi="Arial" w:cs="Arial"/>
                <w:i/>
                <w:sz w:val="16"/>
                <w:lang w:val="pt-BR"/>
              </w:rPr>
            </w:pPr>
            <w:r w:rsidRPr="00FD6C7E">
              <w:rPr>
                <w:rFonts w:ascii="Arial" w:hAnsi="Arial" w:cs="Arial"/>
                <w:i/>
                <w:sz w:val="16"/>
                <w:lang w:val="pt-BR"/>
              </w:rPr>
              <w:t xml:space="preserve">- </w:t>
            </w:r>
            <w:proofErr w:type="spellStart"/>
            <w:r w:rsidRPr="00FD6C7E">
              <w:rPr>
                <w:rFonts w:ascii="Arial" w:hAnsi="Arial" w:cs="Arial"/>
                <w:i/>
                <w:sz w:val="16"/>
                <w:lang w:val="pt-BR"/>
              </w:rPr>
              <w:t>Dolor</w:t>
            </w:r>
            <w:proofErr w:type="spellEnd"/>
            <w:r w:rsidRPr="00FD6C7E">
              <w:rPr>
                <w:rFonts w:ascii="Arial" w:hAnsi="Arial" w:cs="Arial"/>
                <w:i/>
                <w:sz w:val="16"/>
                <w:lang w:val="pt-BR"/>
              </w:rPr>
              <w:t xml:space="preserve"> </w:t>
            </w:r>
            <w:proofErr w:type="spellStart"/>
            <w:r w:rsidRPr="00FD6C7E">
              <w:rPr>
                <w:rFonts w:ascii="Arial" w:hAnsi="Arial" w:cs="Arial"/>
                <w:i/>
                <w:sz w:val="16"/>
                <w:lang w:val="pt-BR"/>
              </w:rPr>
              <w:t>en</w:t>
            </w:r>
            <w:proofErr w:type="spellEnd"/>
            <w:r w:rsidRPr="00FD6C7E">
              <w:rPr>
                <w:rFonts w:ascii="Arial" w:hAnsi="Arial" w:cs="Arial"/>
                <w:i/>
                <w:sz w:val="16"/>
                <w:lang w:val="pt-BR"/>
              </w:rPr>
              <w:t xml:space="preserve"> extremidades</w:t>
            </w:r>
          </w:p>
          <w:p w:rsidR="00556DFF" w:rsidRDefault="00556DFF" w:rsidP="00BC3E8E">
            <w:pPr>
              <w:snapToGrid w:val="0"/>
              <w:rPr>
                <w:rFonts w:ascii="Arial" w:hAnsi="Arial" w:cs="Arial"/>
                <w:i/>
                <w:sz w:val="16"/>
              </w:rPr>
            </w:pPr>
            <w:r>
              <w:rPr>
                <w:rFonts w:ascii="Arial" w:hAnsi="Arial" w:cs="Arial"/>
                <w:i/>
                <w:sz w:val="16"/>
              </w:rPr>
              <w:t>- Parestesia</w:t>
            </w:r>
          </w:p>
          <w:p w:rsidR="00556DFF" w:rsidRDefault="00556DFF" w:rsidP="00BC3E8E">
            <w:pPr>
              <w:snapToGrid w:val="0"/>
              <w:rPr>
                <w:rFonts w:ascii="Arial" w:hAnsi="Arial" w:cs="Arial"/>
                <w:i/>
                <w:sz w:val="16"/>
              </w:rPr>
            </w:pPr>
            <w:r>
              <w:rPr>
                <w:rFonts w:ascii="Arial" w:hAnsi="Arial" w:cs="Arial"/>
                <w:i/>
                <w:sz w:val="16"/>
              </w:rPr>
              <w:t>- Faringitis</w:t>
            </w:r>
          </w:p>
          <w:p w:rsidR="00556DFF" w:rsidRDefault="00556DFF" w:rsidP="00BC3E8E">
            <w:pPr>
              <w:snapToGrid w:val="0"/>
              <w:rPr>
                <w:rFonts w:ascii="Arial" w:hAnsi="Arial" w:cs="Arial"/>
                <w:i/>
                <w:sz w:val="16"/>
              </w:rPr>
            </w:pPr>
            <w:r>
              <w:rPr>
                <w:rFonts w:ascii="Arial" w:hAnsi="Arial" w:cs="Arial"/>
                <w:i/>
                <w:sz w:val="16"/>
              </w:rPr>
              <w:t>- Prurito</w:t>
            </w:r>
          </w:p>
          <w:p w:rsidR="00556DFF" w:rsidRDefault="00556DFF" w:rsidP="00BC3E8E">
            <w:pPr>
              <w:snapToGrid w:val="0"/>
              <w:rPr>
                <w:rFonts w:ascii="Arial" w:hAnsi="Arial" w:cs="Arial"/>
                <w:i/>
                <w:sz w:val="16"/>
              </w:rPr>
            </w:pPr>
            <w:r>
              <w:rPr>
                <w:rFonts w:ascii="Arial" w:hAnsi="Arial" w:cs="Arial"/>
                <w:i/>
                <w:sz w:val="16"/>
              </w:rPr>
              <w:t>- Pirexia</w:t>
            </w:r>
          </w:p>
          <w:p w:rsidR="00556DFF" w:rsidRDefault="00556DFF" w:rsidP="00BC3E8E">
            <w:pPr>
              <w:snapToGrid w:val="0"/>
              <w:rPr>
                <w:rFonts w:ascii="Arial" w:hAnsi="Arial" w:cs="Arial"/>
                <w:i/>
                <w:sz w:val="16"/>
              </w:rPr>
            </w:pPr>
            <w:r>
              <w:rPr>
                <w:rFonts w:ascii="Arial" w:hAnsi="Arial" w:cs="Arial"/>
                <w:i/>
                <w:sz w:val="16"/>
              </w:rPr>
              <w:t>- Infección respiratoria</w:t>
            </w:r>
          </w:p>
          <w:p w:rsidR="00556DFF" w:rsidRDefault="00556DFF" w:rsidP="00BC3E8E">
            <w:pPr>
              <w:snapToGrid w:val="0"/>
              <w:rPr>
                <w:rFonts w:ascii="Arial" w:hAnsi="Arial" w:cs="Arial"/>
                <w:i/>
                <w:sz w:val="16"/>
              </w:rPr>
            </w:pPr>
            <w:r>
              <w:rPr>
                <w:rFonts w:ascii="Arial" w:hAnsi="Arial" w:cs="Arial"/>
                <w:i/>
                <w:sz w:val="16"/>
              </w:rPr>
              <w:t>- Infección tracto urinario</w:t>
            </w:r>
          </w:p>
          <w:p w:rsidR="00556DFF" w:rsidRPr="006F6ABB" w:rsidRDefault="00556DFF" w:rsidP="00B444DD">
            <w:pPr>
              <w:snapToGrid w:val="0"/>
              <w:rPr>
                <w:rFonts w:ascii="Arial" w:hAnsi="Arial" w:cs="Arial"/>
                <w:i/>
                <w:sz w:val="16"/>
              </w:rPr>
            </w:pPr>
            <w:r>
              <w:rPr>
                <w:rFonts w:ascii="Arial" w:hAnsi="Arial" w:cs="Arial"/>
                <w:i/>
                <w:sz w:val="16"/>
              </w:rPr>
              <w:t>- Vómitos</w:t>
            </w:r>
          </w:p>
        </w:tc>
        <w:tc>
          <w:tcPr>
            <w:tcW w:w="1260" w:type="dxa"/>
          </w:tcPr>
          <w:p w:rsidR="00556DFF" w:rsidRDefault="00556DFF" w:rsidP="001E257E">
            <w:pPr>
              <w:snapToGrid w:val="0"/>
              <w:jc w:val="center"/>
              <w:rPr>
                <w:rFonts w:ascii="Arial" w:hAnsi="Arial" w:cs="Arial"/>
                <w:i/>
                <w:sz w:val="16"/>
                <w:lang w:val="fr-FR"/>
              </w:rPr>
            </w:pPr>
            <w:r>
              <w:rPr>
                <w:rFonts w:ascii="Arial" w:hAnsi="Arial" w:cs="Arial"/>
                <w:i/>
                <w:sz w:val="16"/>
                <w:lang w:val="fr-FR"/>
              </w:rPr>
              <w:t>1 (1,6)</w:t>
            </w:r>
          </w:p>
          <w:p w:rsidR="00556DFF" w:rsidRDefault="00556DFF" w:rsidP="001E257E">
            <w:pPr>
              <w:snapToGrid w:val="0"/>
              <w:jc w:val="center"/>
              <w:rPr>
                <w:rFonts w:ascii="Arial" w:hAnsi="Arial" w:cs="Arial"/>
                <w:i/>
                <w:sz w:val="16"/>
                <w:lang w:val="fr-FR"/>
              </w:rPr>
            </w:pPr>
            <w:r>
              <w:rPr>
                <w:rFonts w:ascii="Arial" w:hAnsi="Arial" w:cs="Arial"/>
                <w:i/>
                <w:sz w:val="16"/>
                <w:lang w:val="fr-FR"/>
              </w:rPr>
              <w:t>5 (8,1)</w:t>
            </w:r>
          </w:p>
          <w:p w:rsidR="00556DFF" w:rsidRDefault="00556DFF" w:rsidP="001E257E">
            <w:pPr>
              <w:snapToGrid w:val="0"/>
              <w:jc w:val="center"/>
              <w:rPr>
                <w:rFonts w:ascii="Arial" w:hAnsi="Arial" w:cs="Arial"/>
                <w:i/>
                <w:sz w:val="16"/>
                <w:lang w:val="fr-FR"/>
              </w:rPr>
            </w:pPr>
            <w:r>
              <w:rPr>
                <w:rFonts w:ascii="Arial" w:hAnsi="Arial" w:cs="Arial"/>
                <w:i/>
                <w:sz w:val="16"/>
                <w:lang w:val="fr-FR"/>
              </w:rPr>
              <w:t>1(1,6</w:t>
            </w:r>
          </w:p>
          <w:p w:rsidR="00556DFF" w:rsidRDefault="00556DFF" w:rsidP="001E257E">
            <w:pPr>
              <w:snapToGrid w:val="0"/>
              <w:jc w:val="center"/>
              <w:rPr>
                <w:rFonts w:ascii="Arial" w:hAnsi="Arial" w:cs="Arial"/>
                <w:i/>
                <w:sz w:val="16"/>
                <w:lang w:val="fr-FR"/>
              </w:rPr>
            </w:pPr>
            <w:r>
              <w:rPr>
                <w:rFonts w:ascii="Arial" w:hAnsi="Arial" w:cs="Arial"/>
                <w:i/>
                <w:sz w:val="16"/>
                <w:lang w:val="fr-FR"/>
              </w:rPr>
              <w:t>5 (8,1)</w:t>
            </w:r>
          </w:p>
          <w:p w:rsidR="00556DFF" w:rsidRDefault="00556DFF" w:rsidP="001E257E">
            <w:pPr>
              <w:snapToGrid w:val="0"/>
              <w:jc w:val="center"/>
              <w:rPr>
                <w:rFonts w:ascii="Arial" w:hAnsi="Arial" w:cs="Arial"/>
                <w:i/>
                <w:sz w:val="16"/>
                <w:lang w:val="fr-FR"/>
              </w:rPr>
            </w:pPr>
            <w:r>
              <w:rPr>
                <w:rFonts w:ascii="Arial" w:hAnsi="Arial" w:cs="Arial"/>
                <w:i/>
                <w:sz w:val="16"/>
                <w:lang w:val="fr-FR"/>
              </w:rPr>
              <w:t>1(1,6)</w:t>
            </w:r>
          </w:p>
          <w:p w:rsidR="00556DFF" w:rsidRDefault="00556DFF" w:rsidP="001E257E">
            <w:pPr>
              <w:snapToGrid w:val="0"/>
              <w:jc w:val="center"/>
              <w:rPr>
                <w:rFonts w:ascii="Arial" w:hAnsi="Arial" w:cs="Arial"/>
                <w:i/>
                <w:sz w:val="16"/>
                <w:lang w:val="fr-FR"/>
              </w:rPr>
            </w:pPr>
            <w:r>
              <w:rPr>
                <w:rFonts w:ascii="Arial" w:hAnsi="Arial" w:cs="Arial"/>
                <w:i/>
                <w:sz w:val="16"/>
                <w:lang w:val="fr-FR"/>
              </w:rPr>
              <w:t>8(12,9)</w:t>
            </w:r>
          </w:p>
          <w:p w:rsidR="00556DFF" w:rsidRDefault="00556DFF" w:rsidP="001E257E">
            <w:pPr>
              <w:snapToGrid w:val="0"/>
              <w:jc w:val="center"/>
              <w:rPr>
                <w:rFonts w:ascii="Arial" w:hAnsi="Arial" w:cs="Arial"/>
                <w:i/>
                <w:sz w:val="16"/>
                <w:lang w:val="fr-FR"/>
              </w:rPr>
            </w:pPr>
            <w:r>
              <w:rPr>
                <w:rFonts w:ascii="Arial" w:hAnsi="Arial" w:cs="Arial"/>
                <w:i/>
                <w:sz w:val="16"/>
                <w:lang w:val="fr-FR"/>
              </w:rPr>
              <w:t>5(8,1)</w:t>
            </w:r>
          </w:p>
          <w:p w:rsidR="00556DFF" w:rsidRDefault="00556DFF" w:rsidP="001E257E">
            <w:pPr>
              <w:snapToGrid w:val="0"/>
              <w:jc w:val="center"/>
              <w:rPr>
                <w:rFonts w:ascii="Arial" w:hAnsi="Arial" w:cs="Arial"/>
                <w:i/>
                <w:sz w:val="16"/>
                <w:lang w:val="fr-FR"/>
              </w:rPr>
            </w:pPr>
            <w:r>
              <w:rPr>
                <w:rFonts w:ascii="Arial" w:hAnsi="Arial" w:cs="Arial"/>
                <w:i/>
                <w:sz w:val="16"/>
                <w:lang w:val="fr-FR"/>
              </w:rPr>
              <w:t>2(2,3)</w:t>
            </w:r>
          </w:p>
          <w:p w:rsidR="00556DFF" w:rsidRDefault="00556DFF" w:rsidP="001E257E">
            <w:pPr>
              <w:snapToGrid w:val="0"/>
              <w:jc w:val="center"/>
              <w:rPr>
                <w:rFonts w:ascii="Arial" w:hAnsi="Arial" w:cs="Arial"/>
                <w:i/>
                <w:sz w:val="16"/>
                <w:lang w:val="fr-FR"/>
              </w:rPr>
            </w:pPr>
            <w:r>
              <w:rPr>
                <w:rFonts w:ascii="Arial" w:hAnsi="Arial" w:cs="Arial"/>
                <w:i/>
                <w:sz w:val="16"/>
                <w:lang w:val="fr-FR"/>
              </w:rPr>
              <w:t>1 (1,6)</w:t>
            </w:r>
          </w:p>
          <w:p w:rsidR="00556DFF" w:rsidRDefault="00556DFF" w:rsidP="001E257E">
            <w:pPr>
              <w:snapToGrid w:val="0"/>
              <w:jc w:val="center"/>
              <w:rPr>
                <w:rFonts w:ascii="Arial" w:hAnsi="Arial" w:cs="Arial"/>
                <w:i/>
                <w:sz w:val="16"/>
                <w:lang w:val="fr-FR"/>
              </w:rPr>
            </w:pPr>
            <w:r>
              <w:rPr>
                <w:rFonts w:ascii="Arial" w:hAnsi="Arial" w:cs="Arial"/>
                <w:i/>
                <w:sz w:val="16"/>
                <w:lang w:val="fr-FR"/>
              </w:rPr>
              <w:t>0(0,0)</w:t>
            </w:r>
          </w:p>
          <w:p w:rsidR="00556DFF" w:rsidRDefault="00556DFF" w:rsidP="001E257E">
            <w:pPr>
              <w:snapToGrid w:val="0"/>
              <w:jc w:val="center"/>
              <w:rPr>
                <w:rFonts w:ascii="Arial" w:hAnsi="Arial" w:cs="Arial"/>
                <w:i/>
                <w:sz w:val="16"/>
                <w:lang w:val="fr-FR"/>
              </w:rPr>
            </w:pPr>
            <w:r>
              <w:rPr>
                <w:rFonts w:ascii="Arial" w:hAnsi="Arial" w:cs="Arial"/>
                <w:i/>
                <w:sz w:val="16"/>
                <w:lang w:val="fr-FR"/>
              </w:rPr>
              <w:t>2 (2,3)</w:t>
            </w:r>
          </w:p>
          <w:p w:rsidR="00556DFF" w:rsidRDefault="00556DFF" w:rsidP="001E257E">
            <w:pPr>
              <w:snapToGrid w:val="0"/>
              <w:jc w:val="center"/>
              <w:rPr>
                <w:rFonts w:ascii="Arial" w:hAnsi="Arial" w:cs="Arial"/>
                <w:i/>
                <w:sz w:val="16"/>
                <w:lang w:val="fr-FR"/>
              </w:rPr>
            </w:pPr>
            <w:r>
              <w:rPr>
                <w:rFonts w:ascii="Arial" w:hAnsi="Arial" w:cs="Arial"/>
                <w:i/>
                <w:sz w:val="16"/>
                <w:lang w:val="fr-FR"/>
              </w:rPr>
              <w:t>10 (16,1)</w:t>
            </w:r>
          </w:p>
          <w:p w:rsidR="00556DFF" w:rsidRDefault="00556DFF" w:rsidP="001E257E">
            <w:pPr>
              <w:snapToGrid w:val="0"/>
              <w:jc w:val="center"/>
              <w:rPr>
                <w:rFonts w:ascii="Arial" w:hAnsi="Arial" w:cs="Arial"/>
                <w:i/>
                <w:sz w:val="16"/>
                <w:lang w:val="fr-FR"/>
              </w:rPr>
            </w:pPr>
            <w:r>
              <w:rPr>
                <w:rFonts w:ascii="Arial" w:hAnsi="Arial" w:cs="Arial"/>
                <w:i/>
                <w:sz w:val="16"/>
                <w:lang w:val="fr-FR"/>
              </w:rPr>
              <w:t>2(2,3)</w:t>
            </w:r>
          </w:p>
          <w:p w:rsidR="00556DFF" w:rsidRDefault="00556DFF" w:rsidP="001E257E">
            <w:pPr>
              <w:snapToGrid w:val="0"/>
              <w:jc w:val="center"/>
              <w:rPr>
                <w:rFonts w:ascii="Arial" w:hAnsi="Arial" w:cs="Arial"/>
                <w:i/>
                <w:sz w:val="16"/>
                <w:lang w:val="fr-FR"/>
              </w:rPr>
            </w:pPr>
            <w:r>
              <w:rPr>
                <w:rFonts w:ascii="Arial" w:hAnsi="Arial" w:cs="Arial"/>
                <w:i/>
                <w:sz w:val="16"/>
                <w:lang w:val="fr-FR"/>
              </w:rPr>
              <w:t>1(1,6)</w:t>
            </w:r>
          </w:p>
          <w:p w:rsidR="00556DFF" w:rsidRDefault="00556DFF" w:rsidP="001E257E">
            <w:pPr>
              <w:snapToGrid w:val="0"/>
              <w:jc w:val="center"/>
              <w:rPr>
                <w:rFonts w:ascii="Arial" w:hAnsi="Arial" w:cs="Arial"/>
                <w:i/>
                <w:sz w:val="16"/>
                <w:lang w:val="fr-FR"/>
              </w:rPr>
            </w:pPr>
            <w:r>
              <w:rPr>
                <w:rFonts w:ascii="Arial" w:hAnsi="Arial" w:cs="Arial"/>
                <w:i/>
                <w:sz w:val="16"/>
                <w:lang w:val="fr-FR"/>
              </w:rPr>
              <w:t>2(2,3)</w:t>
            </w:r>
          </w:p>
          <w:p w:rsidR="00556DFF" w:rsidRDefault="00556DFF" w:rsidP="001E257E">
            <w:pPr>
              <w:snapToGrid w:val="0"/>
              <w:jc w:val="center"/>
              <w:rPr>
                <w:rFonts w:ascii="Arial" w:hAnsi="Arial" w:cs="Arial"/>
                <w:i/>
                <w:sz w:val="16"/>
                <w:lang w:val="fr-FR"/>
              </w:rPr>
            </w:pPr>
            <w:r>
              <w:rPr>
                <w:rFonts w:ascii="Arial" w:hAnsi="Arial" w:cs="Arial"/>
                <w:i/>
                <w:sz w:val="16"/>
                <w:lang w:val="fr-FR"/>
              </w:rPr>
              <w:t>5(8,1)</w:t>
            </w:r>
          </w:p>
          <w:p w:rsidR="00556DFF" w:rsidRDefault="00556DFF" w:rsidP="001E257E">
            <w:pPr>
              <w:snapToGrid w:val="0"/>
              <w:jc w:val="center"/>
              <w:rPr>
                <w:rFonts w:ascii="Arial" w:hAnsi="Arial" w:cs="Arial"/>
                <w:i/>
                <w:sz w:val="16"/>
                <w:lang w:val="fr-FR"/>
              </w:rPr>
            </w:pPr>
            <w:r>
              <w:rPr>
                <w:rFonts w:ascii="Arial" w:hAnsi="Arial" w:cs="Arial"/>
                <w:i/>
                <w:sz w:val="16"/>
                <w:lang w:val="fr-FR"/>
              </w:rPr>
              <w:t>6(9,7)</w:t>
            </w:r>
          </w:p>
          <w:p w:rsidR="00556DFF" w:rsidRDefault="00556DFF" w:rsidP="001E257E">
            <w:pPr>
              <w:snapToGrid w:val="0"/>
              <w:jc w:val="center"/>
              <w:rPr>
                <w:rFonts w:ascii="Arial" w:hAnsi="Arial" w:cs="Arial"/>
                <w:i/>
                <w:sz w:val="16"/>
                <w:lang w:val="fr-FR"/>
              </w:rPr>
            </w:pPr>
            <w:r>
              <w:rPr>
                <w:rFonts w:ascii="Arial" w:hAnsi="Arial" w:cs="Arial"/>
                <w:i/>
                <w:sz w:val="16"/>
                <w:lang w:val="fr-FR"/>
              </w:rPr>
              <w:t>9(14,1)</w:t>
            </w:r>
          </w:p>
          <w:p w:rsidR="00556DFF" w:rsidRDefault="00556DFF" w:rsidP="001E257E">
            <w:pPr>
              <w:snapToGrid w:val="0"/>
              <w:jc w:val="center"/>
              <w:rPr>
                <w:rFonts w:ascii="Arial" w:hAnsi="Arial" w:cs="Arial"/>
                <w:i/>
                <w:sz w:val="16"/>
                <w:lang w:val="fr-FR"/>
              </w:rPr>
            </w:pPr>
            <w:r>
              <w:rPr>
                <w:rFonts w:ascii="Arial" w:hAnsi="Arial" w:cs="Arial"/>
                <w:i/>
                <w:sz w:val="16"/>
                <w:lang w:val="fr-FR"/>
              </w:rPr>
              <w:t>8(12,9)</w:t>
            </w:r>
          </w:p>
          <w:p w:rsidR="00556DFF" w:rsidRDefault="00556DFF" w:rsidP="001E257E">
            <w:pPr>
              <w:snapToGrid w:val="0"/>
              <w:jc w:val="center"/>
              <w:rPr>
                <w:rFonts w:ascii="Arial" w:hAnsi="Arial" w:cs="Arial"/>
                <w:i/>
                <w:sz w:val="16"/>
                <w:lang w:val="fr-FR"/>
              </w:rPr>
            </w:pPr>
            <w:r>
              <w:rPr>
                <w:rFonts w:ascii="Arial" w:hAnsi="Arial" w:cs="Arial"/>
                <w:i/>
                <w:sz w:val="16"/>
                <w:lang w:val="fr-FR"/>
              </w:rPr>
              <w:t>3(4,8)</w:t>
            </w:r>
          </w:p>
          <w:p w:rsidR="00556DFF" w:rsidRDefault="00556DFF" w:rsidP="001E257E">
            <w:pPr>
              <w:snapToGrid w:val="0"/>
              <w:jc w:val="center"/>
              <w:rPr>
                <w:rFonts w:ascii="Arial" w:hAnsi="Arial" w:cs="Arial"/>
                <w:i/>
                <w:sz w:val="16"/>
                <w:lang w:val="fr-FR"/>
              </w:rPr>
            </w:pPr>
            <w:r>
              <w:rPr>
                <w:rFonts w:ascii="Arial" w:hAnsi="Arial" w:cs="Arial"/>
                <w:i/>
                <w:sz w:val="16"/>
                <w:lang w:val="fr-FR"/>
              </w:rPr>
              <w:t>4(6,5)</w:t>
            </w:r>
          </w:p>
          <w:p w:rsidR="00556DFF" w:rsidRDefault="00556DFF" w:rsidP="001E257E">
            <w:pPr>
              <w:snapToGrid w:val="0"/>
              <w:jc w:val="center"/>
              <w:rPr>
                <w:rFonts w:ascii="Arial" w:hAnsi="Arial" w:cs="Arial"/>
                <w:i/>
                <w:sz w:val="16"/>
                <w:lang w:val="fr-FR"/>
              </w:rPr>
            </w:pPr>
            <w:r>
              <w:rPr>
                <w:rFonts w:ascii="Arial" w:hAnsi="Arial" w:cs="Arial"/>
                <w:i/>
                <w:sz w:val="16"/>
                <w:lang w:val="fr-FR"/>
              </w:rPr>
              <w:t>5(8,1)</w:t>
            </w:r>
          </w:p>
          <w:p w:rsidR="00556DFF" w:rsidRDefault="00556DFF" w:rsidP="001E257E">
            <w:pPr>
              <w:snapToGrid w:val="0"/>
              <w:jc w:val="center"/>
              <w:rPr>
                <w:rFonts w:ascii="Arial" w:hAnsi="Arial" w:cs="Arial"/>
                <w:i/>
                <w:sz w:val="16"/>
                <w:lang w:val="fr-FR"/>
              </w:rPr>
            </w:pPr>
            <w:r>
              <w:rPr>
                <w:rFonts w:ascii="Arial" w:hAnsi="Arial" w:cs="Arial"/>
                <w:i/>
                <w:sz w:val="16"/>
                <w:lang w:val="fr-FR"/>
              </w:rPr>
              <w:t>1(1,6)</w:t>
            </w:r>
          </w:p>
          <w:p w:rsidR="00556DFF" w:rsidRDefault="00556DFF" w:rsidP="001E257E">
            <w:pPr>
              <w:snapToGrid w:val="0"/>
              <w:jc w:val="center"/>
              <w:rPr>
                <w:rFonts w:ascii="Arial" w:hAnsi="Arial" w:cs="Arial"/>
                <w:i/>
                <w:sz w:val="16"/>
                <w:lang w:val="fr-FR"/>
              </w:rPr>
            </w:pPr>
            <w:r>
              <w:rPr>
                <w:rFonts w:ascii="Arial" w:hAnsi="Arial" w:cs="Arial"/>
                <w:i/>
                <w:sz w:val="16"/>
                <w:lang w:val="fr-FR"/>
              </w:rPr>
              <w:t>4(6,3)</w:t>
            </w:r>
          </w:p>
          <w:p w:rsidR="00556DFF" w:rsidRDefault="00556DFF" w:rsidP="001E257E">
            <w:pPr>
              <w:snapToGrid w:val="0"/>
              <w:jc w:val="center"/>
              <w:rPr>
                <w:rFonts w:ascii="Arial" w:hAnsi="Arial" w:cs="Arial"/>
                <w:i/>
                <w:sz w:val="16"/>
                <w:lang w:val="fr-FR"/>
              </w:rPr>
            </w:pPr>
            <w:r>
              <w:rPr>
                <w:rFonts w:ascii="Arial" w:hAnsi="Arial" w:cs="Arial"/>
                <w:i/>
                <w:sz w:val="16"/>
                <w:lang w:val="fr-FR"/>
              </w:rPr>
              <w:t>3 (4,8)</w:t>
            </w:r>
          </w:p>
          <w:p w:rsidR="00556DFF" w:rsidRDefault="00556DFF" w:rsidP="001E257E">
            <w:pPr>
              <w:snapToGrid w:val="0"/>
              <w:jc w:val="center"/>
              <w:rPr>
                <w:rFonts w:ascii="Arial" w:hAnsi="Arial" w:cs="Arial"/>
                <w:i/>
                <w:sz w:val="16"/>
                <w:lang w:val="fr-FR"/>
              </w:rPr>
            </w:pPr>
            <w:r>
              <w:rPr>
                <w:rFonts w:ascii="Arial" w:hAnsi="Arial" w:cs="Arial"/>
                <w:i/>
                <w:sz w:val="16"/>
                <w:lang w:val="fr-FR"/>
              </w:rPr>
              <w:t>2(3,2)</w:t>
            </w:r>
          </w:p>
          <w:p w:rsidR="00556DFF" w:rsidRDefault="00556DFF" w:rsidP="001E257E">
            <w:pPr>
              <w:snapToGrid w:val="0"/>
              <w:jc w:val="center"/>
              <w:rPr>
                <w:rFonts w:ascii="Arial" w:hAnsi="Arial" w:cs="Arial"/>
                <w:i/>
                <w:sz w:val="16"/>
                <w:lang w:val="fr-FR"/>
              </w:rPr>
            </w:pPr>
            <w:r>
              <w:rPr>
                <w:rFonts w:ascii="Arial" w:hAnsi="Arial" w:cs="Arial"/>
                <w:i/>
                <w:sz w:val="16"/>
                <w:lang w:val="fr-FR"/>
              </w:rPr>
              <w:t>1(1,6)</w:t>
            </w:r>
          </w:p>
          <w:p w:rsidR="00556DFF" w:rsidRDefault="00556DFF" w:rsidP="001E257E">
            <w:pPr>
              <w:snapToGrid w:val="0"/>
              <w:jc w:val="center"/>
              <w:rPr>
                <w:rFonts w:ascii="Arial" w:hAnsi="Arial" w:cs="Arial"/>
                <w:i/>
                <w:sz w:val="16"/>
                <w:lang w:val="fr-FR"/>
              </w:rPr>
            </w:pPr>
            <w:r>
              <w:rPr>
                <w:rFonts w:ascii="Arial" w:hAnsi="Arial" w:cs="Arial"/>
                <w:i/>
                <w:sz w:val="16"/>
                <w:lang w:val="fr-FR"/>
              </w:rPr>
              <w:t>4(6,5)</w:t>
            </w:r>
          </w:p>
          <w:p w:rsidR="00556DFF" w:rsidRDefault="00556DFF" w:rsidP="001E257E">
            <w:pPr>
              <w:snapToGrid w:val="0"/>
              <w:jc w:val="center"/>
              <w:rPr>
                <w:rFonts w:ascii="Arial" w:hAnsi="Arial" w:cs="Arial"/>
                <w:i/>
                <w:sz w:val="16"/>
                <w:lang w:val="fr-FR"/>
              </w:rPr>
            </w:pPr>
            <w:r>
              <w:rPr>
                <w:rFonts w:ascii="Arial" w:hAnsi="Arial" w:cs="Arial"/>
                <w:i/>
                <w:sz w:val="16"/>
                <w:lang w:val="fr-FR"/>
              </w:rPr>
              <w:t>10(16,1)</w:t>
            </w:r>
          </w:p>
          <w:p w:rsidR="00556DFF" w:rsidRDefault="00556DFF" w:rsidP="001E257E">
            <w:pPr>
              <w:snapToGrid w:val="0"/>
              <w:jc w:val="center"/>
              <w:rPr>
                <w:rFonts w:ascii="Arial" w:hAnsi="Arial" w:cs="Arial"/>
                <w:i/>
                <w:sz w:val="16"/>
                <w:lang w:val="fr-FR"/>
              </w:rPr>
            </w:pPr>
            <w:r>
              <w:rPr>
                <w:rFonts w:ascii="Arial" w:hAnsi="Arial" w:cs="Arial"/>
                <w:i/>
                <w:sz w:val="16"/>
                <w:lang w:val="fr-FR"/>
              </w:rPr>
              <w:t>4(6,5)</w:t>
            </w:r>
          </w:p>
          <w:p w:rsidR="00556DFF" w:rsidRPr="006F6ABB" w:rsidRDefault="00556DFF" w:rsidP="001E257E">
            <w:pPr>
              <w:snapToGrid w:val="0"/>
              <w:jc w:val="center"/>
              <w:rPr>
                <w:rFonts w:ascii="Arial" w:hAnsi="Arial" w:cs="Arial"/>
                <w:i/>
                <w:sz w:val="16"/>
                <w:lang w:val="fr-FR"/>
              </w:rPr>
            </w:pPr>
            <w:r>
              <w:rPr>
                <w:rFonts w:ascii="Arial" w:hAnsi="Arial" w:cs="Arial"/>
                <w:i/>
                <w:sz w:val="16"/>
                <w:lang w:val="fr-FR"/>
              </w:rPr>
              <w:t>3(4,8)</w:t>
            </w:r>
          </w:p>
        </w:tc>
        <w:tc>
          <w:tcPr>
            <w:tcW w:w="1253" w:type="dxa"/>
          </w:tcPr>
          <w:p w:rsidR="00556DFF" w:rsidRDefault="00556DFF" w:rsidP="001E257E">
            <w:pPr>
              <w:jc w:val="center"/>
              <w:rPr>
                <w:rFonts w:ascii="Arial" w:hAnsi="Arial" w:cs="Arial"/>
                <w:i/>
                <w:sz w:val="16"/>
                <w:lang w:val="fr-FR"/>
              </w:rPr>
            </w:pPr>
            <w:r>
              <w:rPr>
                <w:rFonts w:ascii="Arial" w:hAnsi="Arial" w:cs="Arial"/>
                <w:i/>
                <w:sz w:val="16"/>
                <w:lang w:val="fr-FR"/>
              </w:rPr>
              <w:t>3(4,8)</w:t>
            </w:r>
          </w:p>
          <w:p w:rsidR="00556DFF" w:rsidRDefault="00556DFF" w:rsidP="001E257E">
            <w:pPr>
              <w:jc w:val="center"/>
              <w:rPr>
                <w:rFonts w:ascii="Arial" w:hAnsi="Arial" w:cs="Arial"/>
                <w:i/>
                <w:sz w:val="16"/>
                <w:lang w:val="fr-FR"/>
              </w:rPr>
            </w:pPr>
            <w:r>
              <w:rPr>
                <w:rFonts w:ascii="Arial" w:hAnsi="Arial" w:cs="Arial"/>
                <w:i/>
                <w:sz w:val="16"/>
                <w:lang w:val="fr-FR"/>
              </w:rPr>
              <w:t>6(9,5)</w:t>
            </w:r>
          </w:p>
          <w:p w:rsidR="00556DFF" w:rsidRDefault="00556DFF" w:rsidP="001E257E">
            <w:pPr>
              <w:jc w:val="center"/>
              <w:rPr>
                <w:rFonts w:ascii="Arial" w:hAnsi="Arial" w:cs="Arial"/>
                <w:i/>
                <w:sz w:val="16"/>
                <w:lang w:val="fr-FR"/>
              </w:rPr>
            </w:pPr>
            <w:r>
              <w:rPr>
                <w:rFonts w:ascii="Arial" w:hAnsi="Arial" w:cs="Arial"/>
                <w:i/>
                <w:sz w:val="16"/>
                <w:lang w:val="fr-FR"/>
              </w:rPr>
              <w:t>4(6,3)</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3(4,8)</w:t>
            </w:r>
          </w:p>
          <w:p w:rsidR="00556DFF" w:rsidRDefault="00556DFF" w:rsidP="001E257E">
            <w:pPr>
              <w:jc w:val="center"/>
              <w:rPr>
                <w:rFonts w:ascii="Arial" w:hAnsi="Arial" w:cs="Arial"/>
                <w:i/>
                <w:sz w:val="16"/>
                <w:lang w:val="fr-FR"/>
              </w:rPr>
            </w:pPr>
            <w:r>
              <w:rPr>
                <w:rFonts w:ascii="Arial" w:hAnsi="Arial" w:cs="Arial"/>
                <w:i/>
                <w:sz w:val="16"/>
                <w:lang w:val="fr-FR"/>
              </w:rPr>
              <w:t>8(12,7)</w:t>
            </w:r>
          </w:p>
          <w:p w:rsidR="00556DFF" w:rsidRDefault="00556DFF" w:rsidP="001E257E">
            <w:pPr>
              <w:jc w:val="center"/>
              <w:rPr>
                <w:rFonts w:ascii="Arial" w:hAnsi="Arial" w:cs="Arial"/>
                <w:i/>
                <w:sz w:val="16"/>
                <w:lang w:val="fr-FR"/>
              </w:rPr>
            </w:pPr>
            <w:r>
              <w:rPr>
                <w:rFonts w:ascii="Arial" w:hAnsi="Arial" w:cs="Arial"/>
                <w:i/>
                <w:sz w:val="16"/>
                <w:lang w:val="fr-FR"/>
              </w:rPr>
              <w:t>5(7,9)</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1(1,6)</w:t>
            </w:r>
          </w:p>
          <w:p w:rsidR="00556DFF" w:rsidRDefault="00556DFF" w:rsidP="001E257E">
            <w:pPr>
              <w:jc w:val="center"/>
              <w:rPr>
                <w:rFonts w:ascii="Arial" w:hAnsi="Arial" w:cs="Arial"/>
                <w:i/>
                <w:sz w:val="16"/>
                <w:lang w:val="fr-FR"/>
              </w:rPr>
            </w:pPr>
            <w:r>
              <w:rPr>
                <w:rFonts w:ascii="Arial" w:hAnsi="Arial" w:cs="Arial"/>
                <w:i/>
                <w:sz w:val="16"/>
                <w:lang w:val="fr-FR"/>
              </w:rPr>
              <w:t>0(0,0)</w:t>
            </w:r>
          </w:p>
          <w:p w:rsidR="00556DFF" w:rsidRDefault="00556DFF" w:rsidP="001E257E">
            <w:pPr>
              <w:jc w:val="center"/>
              <w:rPr>
                <w:rFonts w:ascii="Arial" w:hAnsi="Arial" w:cs="Arial"/>
                <w:i/>
                <w:sz w:val="16"/>
                <w:lang w:val="fr-FR"/>
              </w:rPr>
            </w:pPr>
            <w:r>
              <w:rPr>
                <w:rFonts w:ascii="Arial" w:hAnsi="Arial" w:cs="Arial"/>
                <w:i/>
                <w:sz w:val="16"/>
                <w:lang w:val="fr-FR"/>
              </w:rPr>
              <w:t>12(19,0)</w:t>
            </w:r>
          </w:p>
          <w:p w:rsidR="00556DFF" w:rsidRDefault="00556DFF" w:rsidP="001E257E">
            <w:pPr>
              <w:jc w:val="center"/>
              <w:rPr>
                <w:rFonts w:ascii="Arial" w:hAnsi="Arial" w:cs="Arial"/>
                <w:i/>
                <w:sz w:val="16"/>
                <w:lang w:val="fr-FR"/>
              </w:rPr>
            </w:pPr>
            <w:r>
              <w:rPr>
                <w:rFonts w:ascii="Arial" w:hAnsi="Arial" w:cs="Arial"/>
                <w:i/>
                <w:sz w:val="16"/>
                <w:lang w:val="fr-FR"/>
              </w:rPr>
              <w:t>1(1,6)</w:t>
            </w:r>
          </w:p>
          <w:p w:rsidR="00556DFF" w:rsidRDefault="00556DFF" w:rsidP="001E257E">
            <w:pPr>
              <w:jc w:val="center"/>
              <w:rPr>
                <w:rFonts w:ascii="Arial" w:hAnsi="Arial" w:cs="Arial"/>
                <w:i/>
                <w:sz w:val="16"/>
                <w:lang w:val="fr-FR"/>
              </w:rPr>
            </w:pPr>
            <w:r>
              <w:rPr>
                <w:rFonts w:ascii="Arial" w:hAnsi="Arial" w:cs="Arial"/>
                <w:i/>
                <w:sz w:val="16"/>
                <w:lang w:val="fr-FR"/>
              </w:rPr>
              <w:t>1(1,6)</w:t>
            </w:r>
          </w:p>
          <w:p w:rsidR="00556DFF" w:rsidRDefault="00556DFF" w:rsidP="001E257E">
            <w:pPr>
              <w:jc w:val="center"/>
              <w:rPr>
                <w:rFonts w:ascii="Arial" w:hAnsi="Arial" w:cs="Arial"/>
                <w:i/>
                <w:sz w:val="16"/>
                <w:lang w:val="fr-FR"/>
              </w:rPr>
            </w:pPr>
            <w:r>
              <w:rPr>
                <w:rFonts w:ascii="Arial" w:hAnsi="Arial" w:cs="Arial"/>
                <w:i/>
                <w:sz w:val="16"/>
                <w:lang w:val="fr-FR"/>
              </w:rPr>
              <w:t>5(7,9)</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11(17,5)</w:t>
            </w:r>
          </w:p>
          <w:p w:rsidR="00556DFF" w:rsidRDefault="00556DFF" w:rsidP="001E257E">
            <w:pPr>
              <w:jc w:val="center"/>
              <w:rPr>
                <w:rFonts w:ascii="Arial" w:hAnsi="Arial" w:cs="Arial"/>
                <w:i/>
                <w:sz w:val="16"/>
                <w:lang w:val="fr-FR"/>
              </w:rPr>
            </w:pPr>
            <w:r>
              <w:rPr>
                <w:rFonts w:ascii="Arial" w:hAnsi="Arial" w:cs="Arial"/>
                <w:i/>
                <w:sz w:val="16"/>
                <w:lang w:val="fr-FR"/>
              </w:rPr>
              <w:t>10(15,9)</w:t>
            </w:r>
          </w:p>
          <w:p w:rsidR="00556DFF" w:rsidRDefault="00556DFF" w:rsidP="001E257E">
            <w:pPr>
              <w:jc w:val="center"/>
              <w:rPr>
                <w:rFonts w:ascii="Arial" w:hAnsi="Arial" w:cs="Arial"/>
                <w:i/>
                <w:sz w:val="16"/>
                <w:lang w:val="fr-FR"/>
              </w:rPr>
            </w:pPr>
            <w:r>
              <w:rPr>
                <w:rFonts w:ascii="Arial" w:hAnsi="Arial" w:cs="Arial"/>
                <w:i/>
                <w:sz w:val="16"/>
                <w:lang w:val="fr-FR"/>
              </w:rPr>
              <w:t>9(14,3)</w:t>
            </w:r>
          </w:p>
          <w:p w:rsidR="00556DFF" w:rsidRDefault="00556DFF" w:rsidP="001E257E">
            <w:pPr>
              <w:jc w:val="center"/>
              <w:rPr>
                <w:rFonts w:ascii="Arial" w:hAnsi="Arial" w:cs="Arial"/>
                <w:i/>
                <w:sz w:val="16"/>
                <w:lang w:val="fr-FR"/>
              </w:rPr>
            </w:pPr>
            <w:r>
              <w:rPr>
                <w:rFonts w:ascii="Arial" w:hAnsi="Arial" w:cs="Arial"/>
                <w:i/>
                <w:sz w:val="16"/>
                <w:lang w:val="fr-FR"/>
              </w:rPr>
              <w:t>2(2,3)</w:t>
            </w:r>
          </w:p>
          <w:p w:rsidR="00556DFF" w:rsidRDefault="00556DFF" w:rsidP="001E257E">
            <w:pPr>
              <w:jc w:val="center"/>
              <w:rPr>
                <w:rFonts w:ascii="Arial" w:hAnsi="Arial" w:cs="Arial"/>
                <w:i/>
                <w:sz w:val="16"/>
                <w:lang w:val="fr-FR"/>
              </w:rPr>
            </w:pPr>
            <w:r>
              <w:rPr>
                <w:rFonts w:ascii="Arial" w:hAnsi="Arial" w:cs="Arial"/>
                <w:i/>
                <w:sz w:val="16"/>
                <w:lang w:val="fr-FR"/>
              </w:rPr>
              <w:t>2(2,3)</w:t>
            </w:r>
          </w:p>
          <w:p w:rsidR="00556DFF" w:rsidRDefault="00556DFF" w:rsidP="001E257E">
            <w:pPr>
              <w:jc w:val="center"/>
              <w:rPr>
                <w:rFonts w:ascii="Arial" w:hAnsi="Arial" w:cs="Arial"/>
                <w:i/>
                <w:sz w:val="16"/>
                <w:lang w:val="fr-FR"/>
              </w:rPr>
            </w:pPr>
            <w:r>
              <w:rPr>
                <w:rFonts w:ascii="Arial" w:hAnsi="Arial" w:cs="Arial"/>
                <w:i/>
                <w:sz w:val="16"/>
                <w:lang w:val="fr-FR"/>
              </w:rPr>
              <w:t>0(0,0)</w:t>
            </w:r>
          </w:p>
          <w:p w:rsidR="00556DFF" w:rsidRDefault="00556DFF" w:rsidP="001E257E">
            <w:pPr>
              <w:jc w:val="center"/>
              <w:rPr>
                <w:rFonts w:ascii="Arial" w:hAnsi="Arial" w:cs="Arial"/>
                <w:i/>
                <w:sz w:val="16"/>
                <w:lang w:val="fr-FR"/>
              </w:rPr>
            </w:pPr>
            <w:r>
              <w:rPr>
                <w:rFonts w:ascii="Arial" w:hAnsi="Arial" w:cs="Arial"/>
                <w:i/>
                <w:sz w:val="16"/>
                <w:lang w:val="fr-FR"/>
              </w:rPr>
              <w:t>3(4,8)</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4(6,3)</w:t>
            </w:r>
          </w:p>
          <w:p w:rsidR="00556DFF" w:rsidRDefault="00556DFF" w:rsidP="001E257E">
            <w:pPr>
              <w:jc w:val="center"/>
              <w:rPr>
                <w:rFonts w:ascii="Arial" w:hAnsi="Arial" w:cs="Arial"/>
                <w:i/>
                <w:sz w:val="16"/>
                <w:lang w:val="fr-FR"/>
              </w:rPr>
            </w:pPr>
            <w:r>
              <w:rPr>
                <w:rFonts w:ascii="Arial" w:hAnsi="Arial" w:cs="Arial"/>
                <w:i/>
                <w:sz w:val="16"/>
                <w:lang w:val="fr-FR"/>
              </w:rPr>
              <w:t>0(0,0)</w:t>
            </w:r>
          </w:p>
          <w:p w:rsidR="00556DFF" w:rsidRDefault="00556DFF" w:rsidP="001E257E">
            <w:pPr>
              <w:jc w:val="center"/>
              <w:rPr>
                <w:rFonts w:ascii="Arial" w:hAnsi="Arial" w:cs="Arial"/>
                <w:i/>
                <w:sz w:val="16"/>
                <w:lang w:val="fr-FR"/>
              </w:rPr>
            </w:pPr>
            <w:r>
              <w:rPr>
                <w:rFonts w:ascii="Arial" w:hAnsi="Arial" w:cs="Arial"/>
                <w:i/>
                <w:sz w:val="16"/>
                <w:lang w:val="fr-FR"/>
              </w:rPr>
              <w:t>4(6,3)</w:t>
            </w:r>
          </w:p>
          <w:p w:rsidR="00556DFF" w:rsidRDefault="00556DFF" w:rsidP="001E257E">
            <w:pPr>
              <w:jc w:val="center"/>
              <w:rPr>
                <w:rFonts w:ascii="Arial" w:hAnsi="Arial" w:cs="Arial"/>
                <w:i/>
                <w:sz w:val="16"/>
                <w:lang w:val="fr-FR"/>
              </w:rPr>
            </w:pPr>
            <w:r>
              <w:rPr>
                <w:rFonts w:ascii="Arial" w:hAnsi="Arial" w:cs="Arial"/>
                <w:i/>
                <w:sz w:val="16"/>
                <w:lang w:val="fr-FR"/>
              </w:rPr>
              <w:t>2(3,2)</w:t>
            </w:r>
          </w:p>
          <w:p w:rsidR="00556DFF" w:rsidRDefault="00556DFF" w:rsidP="001E257E">
            <w:pPr>
              <w:jc w:val="center"/>
              <w:rPr>
                <w:rFonts w:ascii="Arial" w:hAnsi="Arial" w:cs="Arial"/>
                <w:i/>
                <w:sz w:val="16"/>
                <w:lang w:val="fr-FR"/>
              </w:rPr>
            </w:pPr>
            <w:r>
              <w:rPr>
                <w:rFonts w:ascii="Arial" w:hAnsi="Arial" w:cs="Arial"/>
                <w:i/>
                <w:sz w:val="16"/>
                <w:lang w:val="fr-FR"/>
              </w:rPr>
              <w:t>12(19,0)</w:t>
            </w:r>
          </w:p>
          <w:p w:rsidR="00556DFF" w:rsidRDefault="00556DFF" w:rsidP="001E257E">
            <w:pPr>
              <w:snapToGrid w:val="0"/>
              <w:jc w:val="center"/>
              <w:rPr>
                <w:rFonts w:ascii="Arial" w:hAnsi="Arial" w:cs="Arial"/>
                <w:i/>
                <w:sz w:val="16"/>
                <w:lang w:val="fr-FR"/>
              </w:rPr>
            </w:pPr>
            <w:r>
              <w:rPr>
                <w:rFonts w:ascii="Arial" w:hAnsi="Arial" w:cs="Arial"/>
                <w:i/>
                <w:sz w:val="16"/>
                <w:lang w:val="fr-FR"/>
              </w:rPr>
              <w:t>5(7,9)</w:t>
            </w:r>
          </w:p>
          <w:p w:rsidR="00556DFF" w:rsidRPr="006F6ABB" w:rsidRDefault="00556DFF" w:rsidP="001E257E">
            <w:pPr>
              <w:snapToGrid w:val="0"/>
              <w:jc w:val="center"/>
              <w:rPr>
                <w:rFonts w:ascii="Arial" w:hAnsi="Arial" w:cs="Arial"/>
                <w:i/>
                <w:sz w:val="16"/>
                <w:lang w:val="fr-FR"/>
              </w:rPr>
            </w:pPr>
            <w:r>
              <w:rPr>
                <w:rFonts w:ascii="Arial" w:hAnsi="Arial" w:cs="Arial"/>
                <w:i/>
                <w:sz w:val="16"/>
                <w:lang w:val="fr-FR"/>
              </w:rPr>
              <w:t>5(7,9)</w:t>
            </w:r>
          </w:p>
        </w:tc>
        <w:tc>
          <w:tcPr>
            <w:tcW w:w="1805" w:type="dxa"/>
          </w:tcPr>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3,1 (-9,3 a 3,0)</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-1,5 (-11,5 a 8,50)</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-4.7 (-11.5 a 2.1)</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4.9 (-3.2 a 12.9)</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-3.1 (-9.3 a 3)</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0.2 (-11.5 a 11.9)</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0.1 (-9.4 a 9.6)</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0.1 (-6.1 a 6.2)</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-1.6 (-4.7 a 1.5)</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-1.6 (-4.7 a 1.5)</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3.2 (-1.2 a 7.6)</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-2.9 (-16.3 a 10.4)</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1.6 (-3.7 a 7)</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0.0 (-4.4 a 4.4)</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-4.7 (-12.7 a 3.3)</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4.9 (-3.2 a 12.9)</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-7.8 (-19.7 a 4.1)</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-1.4 (-13.9 a 11.2)</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-1.4 (-13.4 a 8.5)</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1.7 (-5.2 a 8.5)</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3.3 (-4.2 a 10.8)</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8.1 (1.3 a 14.8)</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-3.1 (-9.3 a 3)</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3.3 (-4.2 a 10.8)</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1.7 (-6.4 a 9.8)</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3.2 (-1.2 a 7.6)</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-4.7 (-11.5 a 2.1)</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3.3 (-4.2 a 10.8)</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-2.9 (-16.3 a 10.4)</w:t>
            </w:r>
          </w:p>
          <w:p w:rsidR="00556DFF" w:rsidRPr="00FD6C7E" w:rsidRDefault="00556DFF" w:rsidP="001E257E">
            <w:pPr>
              <w:tabs>
                <w:tab w:val="center" w:pos="851"/>
              </w:tabs>
              <w:jc w:val="center"/>
              <w:rPr>
                <w:rFonts w:ascii="Arial" w:hAnsi="Arial" w:cs="Arial"/>
                <w:i/>
                <w:sz w:val="16"/>
                <w:lang w:val="pt-BR"/>
              </w:rPr>
            </w:pPr>
            <w:r w:rsidRPr="00FD6C7E">
              <w:rPr>
                <w:rFonts w:ascii="Arial" w:hAnsi="Arial" w:cs="Arial"/>
                <w:i/>
                <w:sz w:val="16"/>
                <w:lang w:val="pt-BR"/>
              </w:rPr>
              <w:t>-1.5 (-10.5 a 7.6)</w:t>
            </w:r>
          </w:p>
          <w:p w:rsidR="00556DFF" w:rsidRPr="006F6ABB" w:rsidRDefault="00556DFF" w:rsidP="001E257E">
            <w:pPr>
              <w:tabs>
                <w:tab w:val="center" w:pos="851"/>
              </w:tabs>
              <w:jc w:val="center"/>
              <w:rPr>
                <w:rFonts w:ascii="Arial" w:hAnsi="Arial" w:cs="Arial"/>
                <w:i/>
                <w:sz w:val="16"/>
                <w:lang w:val="fr-FR"/>
              </w:rPr>
            </w:pPr>
            <w:r>
              <w:rPr>
                <w:rFonts w:ascii="Arial" w:hAnsi="Arial" w:cs="Arial"/>
                <w:i/>
                <w:sz w:val="16"/>
                <w:lang w:val="fr-FR"/>
              </w:rPr>
              <w:t>-3.1 (-11.6 a 5.5)</w:t>
            </w:r>
          </w:p>
        </w:tc>
        <w:tc>
          <w:tcPr>
            <w:tcW w:w="555" w:type="dxa"/>
          </w:tcPr>
          <w:p w:rsidR="00556DFF" w:rsidRPr="006F6ABB" w:rsidRDefault="00556DFF" w:rsidP="001E257E">
            <w:pPr>
              <w:jc w:val="center"/>
              <w:rPr>
                <w:rFonts w:ascii="Arial" w:hAnsi="Arial" w:cs="Arial"/>
                <w:i/>
                <w:sz w:val="16"/>
                <w:lang w:val="fr-FR"/>
              </w:rPr>
            </w:pPr>
          </w:p>
        </w:tc>
        <w:tc>
          <w:tcPr>
            <w:tcW w:w="1314" w:type="dxa"/>
          </w:tcPr>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p>
          <w:p w:rsidR="00556DFF" w:rsidRDefault="00556DFF" w:rsidP="001E257E">
            <w:pPr>
              <w:jc w:val="center"/>
              <w:rPr>
                <w:rFonts w:ascii="Arial" w:hAnsi="Arial" w:cs="Arial"/>
                <w:i/>
                <w:sz w:val="16"/>
                <w:lang w:val="fr-FR"/>
              </w:rPr>
            </w:pPr>
            <w:r>
              <w:rPr>
                <w:rFonts w:ascii="Arial" w:hAnsi="Arial" w:cs="Arial"/>
                <w:i/>
                <w:sz w:val="16"/>
                <w:lang w:val="fr-FR"/>
              </w:rPr>
              <w:t>13 (7 a 77)</w:t>
            </w:r>
          </w:p>
          <w:p w:rsidR="00556DFF" w:rsidRDefault="00556DFF" w:rsidP="001E257E">
            <w:pPr>
              <w:jc w:val="center"/>
              <w:rPr>
                <w:rFonts w:ascii="Arial" w:hAnsi="Arial" w:cs="Arial"/>
                <w:i/>
                <w:sz w:val="16"/>
                <w:lang w:val="fr-FR"/>
              </w:rPr>
            </w:pPr>
          </w:p>
          <w:p w:rsidR="00556DFF" w:rsidRPr="006F6ABB" w:rsidRDefault="00556DFF" w:rsidP="001E257E">
            <w:pPr>
              <w:jc w:val="center"/>
              <w:rPr>
                <w:rFonts w:ascii="Arial" w:hAnsi="Arial" w:cs="Arial"/>
                <w:i/>
                <w:sz w:val="16"/>
                <w:lang w:val="fr-FR"/>
              </w:rPr>
            </w:pPr>
          </w:p>
        </w:tc>
      </w:tr>
      <w:tr w:rsidR="00556DFF" w:rsidRPr="006F6ABB" w:rsidTr="0013685B">
        <w:trPr>
          <w:cantSplit/>
          <w:trHeight w:val="218"/>
        </w:trPr>
        <w:tc>
          <w:tcPr>
            <w:tcW w:w="8879" w:type="dxa"/>
            <w:gridSpan w:val="6"/>
          </w:tcPr>
          <w:p w:rsidR="00556DFF" w:rsidRPr="006F6ABB" w:rsidRDefault="00556DFF" w:rsidP="002211E8">
            <w:pPr>
              <w:jc w:val="both"/>
              <w:rPr>
                <w:rFonts w:ascii="Arial" w:hAnsi="Arial" w:cs="Arial"/>
                <w:sz w:val="16"/>
                <w:szCs w:val="16"/>
                <w:lang w:val="es-ES_tradnl"/>
              </w:rPr>
            </w:pPr>
            <w:r w:rsidRPr="006F6ABB">
              <w:rPr>
                <w:rFonts w:ascii="Arial" w:hAnsi="Arial" w:cs="Arial"/>
                <w:sz w:val="16"/>
                <w:szCs w:val="16"/>
                <w:lang w:val="es-ES_tradnl"/>
              </w:rPr>
              <w:t xml:space="preserve">(*) RAR y NND o NNH con IC 95 % se exponen en la tabla solo si p&lt;0,05 </w:t>
            </w:r>
          </w:p>
        </w:tc>
      </w:tr>
    </w:tbl>
    <w:p w:rsidR="00556DFF" w:rsidRDefault="00556DFF" w:rsidP="00BC3E8E">
      <w:pPr>
        <w:rPr>
          <w:rFonts w:ascii="Arial" w:hAnsi="Arial" w:cs="Arial"/>
          <w:color w:val="0000FF"/>
          <w:sz w:val="20"/>
          <w:szCs w:val="20"/>
          <w:u w:val="single"/>
        </w:rPr>
      </w:pPr>
    </w:p>
    <w:p w:rsidR="00556DFF" w:rsidRDefault="00556DFF" w:rsidP="001E257E">
      <w:pPr>
        <w:jc w:val="both"/>
        <w:rPr>
          <w:rFonts w:ascii="Arial" w:hAnsi="Arial" w:cs="Arial"/>
          <w:sz w:val="20"/>
          <w:szCs w:val="20"/>
        </w:rPr>
      </w:pPr>
      <w:r w:rsidRPr="007C09A6">
        <w:rPr>
          <w:rFonts w:ascii="Arial" w:hAnsi="Arial" w:cs="Arial"/>
          <w:sz w:val="20"/>
          <w:szCs w:val="20"/>
        </w:rPr>
        <w:t xml:space="preserve">Un paciente que había sido tratado en el estudio ECU-MG-301 murió posteriormente. Esta paciente, una mujer blanca de 73 años de edad en el grupo de </w:t>
      </w:r>
      <w:proofErr w:type="spellStart"/>
      <w:r w:rsidRPr="007C09A6">
        <w:rPr>
          <w:rFonts w:ascii="Arial" w:hAnsi="Arial" w:cs="Arial"/>
          <w:sz w:val="20"/>
          <w:szCs w:val="20"/>
        </w:rPr>
        <w:t>eculizumab</w:t>
      </w:r>
      <w:proofErr w:type="spellEnd"/>
      <w:r w:rsidRPr="007C09A6">
        <w:rPr>
          <w:rFonts w:ascii="Arial" w:hAnsi="Arial" w:cs="Arial"/>
          <w:sz w:val="20"/>
          <w:szCs w:val="20"/>
        </w:rPr>
        <w:t xml:space="preserve">, suspendió el estudio en el Día </w:t>
      </w:r>
      <w:r>
        <w:rPr>
          <w:rFonts w:ascii="Arial" w:hAnsi="Arial" w:cs="Arial"/>
          <w:sz w:val="20"/>
          <w:szCs w:val="20"/>
        </w:rPr>
        <w:t xml:space="preserve">128 </w:t>
      </w:r>
      <w:r w:rsidRPr="007C09A6">
        <w:rPr>
          <w:rFonts w:ascii="Arial" w:hAnsi="Arial" w:cs="Arial"/>
          <w:sz w:val="20"/>
          <w:szCs w:val="20"/>
        </w:rPr>
        <w:t>de estudio debido a una crisis de MG. La paciente fue hospitalizada el día del estudio 112 debido al empeoramiento de sus síntomas de MG.</w:t>
      </w:r>
    </w:p>
    <w:p w:rsidR="00556DFF" w:rsidRDefault="00556DFF" w:rsidP="001E257E">
      <w:pPr>
        <w:jc w:val="both"/>
        <w:rPr>
          <w:rFonts w:ascii="Arial" w:hAnsi="Arial" w:cs="Arial"/>
          <w:sz w:val="20"/>
          <w:szCs w:val="20"/>
        </w:rPr>
      </w:pPr>
      <w:r w:rsidRPr="00D90108">
        <w:rPr>
          <w:rFonts w:ascii="Arial" w:hAnsi="Arial" w:cs="Arial"/>
          <w:sz w:val="20"/>
          <w:szCs w:val="20"/>
        </w:rPr>
        <w:t>Respecto a l</w:t>
      </w:r>
      <w:r>
        <w:rPr>
          <w:rFonts w:ascii="Arial" w:hAnsi="Arial" w:cs="Arial"/>
          <w:sz w:val="20"/>
          <w:szCs w:val="20"/>
        </w:rPr>
        <w:t xml:space="preserve">a inmunogenicidad, </w:t>
      </w:r>
      <w:r w:rsidRPr="00D90108">
        <w:rPr>
          <w:rFonts w:ascii="Arial" w:hAnsi="Arial" w:cs="Arial"/>
          <w:sz w:val="20"/>
          <w:szCs w:val="20"/>
        </w:rPr>
        <w:t>los resultados del estudio ECU-MG-301 no identificaron la generación de ADA a las 26 semanas. Estos resultados fueron confirmados en los estudios ECU-MG-302 y C08-001</w:t>
      </w:r>
      <w:r>
        <w:rPr>
          <w:rFonts w:ascii="Arial" w:hAnsi="Arial" w:cs="Arial"/>
          <w:sz w:val="20"/>
          <w:szCs w:val="20"/>
        </w:rPr>
        <w:t>.</w:t>
      </w:r>
    </w:p>
    <w:p w:rsidR="00556DFF" w:rsidRDefault="00556DFF" w:rsidP="001E257E">
      <w:pPr>
        <w:jc w:val="both"/>
        <w:rPr>
          <w:rFonts w:ascii="Arial" w:hAnsi="Arial" w:cs="Arial"/>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6" w:name="_Toc344399654"/>
      <w:bookmarkStart w:id="107" w:name="_Toc348931385"/>
      <w:bookmarkStart w:id="108" w:name="_Toc517462781"/>
      <w:r w:rsidRPr="00E3472F">
        <w:rPr>
          <w:rFonts w:cs="Arial"/>
          <w:sz w:val="20"/>
        </w:rPr>
        <w:t>6.3 Fuentes secundarias sobre seguridad</w:t>
      </w:r>
      <w:bookmarkEnd w:id="106"/>
      <w:bookmarkEnd w:id="107"/>
      <w:bookmarkEnd w:id="108"/>
    </w:p>
    <w:p w:rsidR="00556DFF" w:rsidRDefault="00556DFF" w:rsidP="00BC3E8E">
      <w:pPr>
        <w:rPr>
          <w:rFonts w:ascii="Arial" w:hAnsi="Arial" w:cs="Arial"/>
          <w:sz w:val="20"/>
          <w:szCs w:val="20"/>
        </w:rPr>
      </w:pPr>
    </w:p>
    <w:p w:rsidR="00556DFF" w:rsidRPr="006F6ABB" w:rsidRDefault="00556DFF" w:rsidP="00BC3E8E">
      <w:pPr>
        <w:rPr>
          <w:rFonts w:ascii="Arial" w:hAnsi="Arial" w:cs="Arial"/>
          <w:b/>
          <w:sz w:val="20"/>
          <w:szCs w:val="20"/>
        </w:rPr>
      </w:pPr>
      <w:r>
        <w:rPr>
          <w:rFonts w:ascii="Arial" w:hAnsi="Arial" w:cs="Arial"/>
          <w:sz w:val="20"/>
          <w:szCs w:val="20"/>
        </w:rPr>
        <w:t>No procede.</w:t>
      </w:r>
    </w:p>
    <w:p w:rsidR="00556DFF" w:rsidRPr="006F6ABB" w:rsidRDefault="00556DFF" w:rsidP="00BC3E8E">
      <w:pPr>
        <w:jc w:val="right"/>
        <w:rPr>
          <w:rFonts w:ascii="Arial" w:hAnsi="Arial" w:cs="Arial"/>
          <w:sz w:val="20"/>
          <w:szCs w:val="20"/>
          <w:lang w:val="es-ES_tradnl"/>
        </w:rPr>
      </w:pPr>
    </w:p>
    <w:p w:rsidR="00556DFF" w:rsidRPr="006F6ABB"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9" w:name="_Toc344399655"/>
      <w:bookmarkStart w:id="110" w:name="_Toc348931386"/>
      <w:bookmarkStart w:id="111" w:name="_Toc517462782"/>
      <w:r w:rsidRPr="00E3472F">
        <w:rPr>
          <w:rFonts w:cs="Arial"/>
          <w:sz w:val="20"/>
        </w:rPr>
        <w:t>6.4 Precauciones de empleo</w:t>
      </w:r>
      <w:r w:rsidRPr="006F6ABB">
        <w:rPr>
          <w:rFonts w:cs="Arial"/>
          <w:sz w:val="20"/>
        </w:rPr>
        <w:t xml:space="preserve"> </w:t>
      </w:r>
      <w:r w:rsidRPr="00E3472F">
        <w:rPr>
          <w:rFonts w:cs="Arial"/>
          <w:sz w:val="20"/>
        </w:rPr>
        <w:t>en casos especiales</w:t>
      </w:r>
      <w:bookmarkEnd w:id="109"/>
      <w:bookmarkEnd w:id="110"/>
      <w:bookmarkEnd w:id="111"/>
      <w:r>
        <w:rPr>
          <w:rFonts w:cs="Arial"/>
          <w:sz w:val="20"/>
          <w:vertAlign w:val="superscript"/>
        </w:rPr>
        <w:t>13</w:t>
      </w:r>
      <w:r w:rsidRPr="00615D63">
        <w:rPr>
          <w:rFonts w:cs="Arial"/>
          <w:sz w:val="20"/>
          <w:vertAlign w:val="superscript"/>
        </w:rPr>
        <w:t xml:space="preserve"> </w:t>
      </w:r>
    </w:p>
    <w:p w:rsidR="00556DFF" w:rsidRPr="006F6ABB" w:rsidRDefault="00556DFF" w:rsidP="00BC3E8E">
      <w:pPr>
        <w:rPr>
          <w:rFonts w:ascii="Arial" w:hAnsi="Arial" w:cs="Arial"/>
          <w:sz w:val="20"/>
          <w:szCs w:val="20"/>
        </w:rPr>
      </w:pPr>
    </w:p>
    <w:p w:rsidR="00556DFF" w:rsidRPr="00723468" w:rsidRDefault="00556DFF" w:rsidP="005531A6">
      <w:pPr>
        <w:jc w:val="both"/>
        <w:rPr>
          <w:rFonts w:ascii="Arial" w:hAnsi="Arial" w:cs="Arial"/>
          <w:b/>
          <w:sz w:val="20"/>
          <w:szCs w:val="20"/>
        </w:rPr>
      </w:pPr>
      <w:r w:rsidRPr="00723468">
        <w:rPr>
          <w:rFonts w:ascii="Arial" w:hAnsi="Arial" w:cs="Arial"/>
          <w:b/>
          <w:sz w:val="20"/>
          <w:szCs w:val="20"/>
        </w:rPr>
        <w:t>Pediatría</w:t>
      </w:r>
      <w:r w:rsidRPr="00723468">
        <w:rPr>
          <w:rFonts w:ascii="Arial" w:hAnsi="Arial" w:cs="Arial"/>
          <w:sz w:val="20"/>
          <w:szCs w:val="20"/>
        </w:rPr>
        <w:t>: No se ha estudiado en pacientes pediátricos.</w:t>
      </w:r>
    </w:p>
    <w:p w:rsidR="00556DFF" w:rsidRPr="001015E6" w:rsidRDefault="00556DFF" w:rsidP="005531A6">
      <w:pPr>
        <w:jc w:val="both"/>
        <w:rPr>
          <w:rFonts w:ascii="Arial" w:hAnsi="Arial" w:cs="Arial"/>
          <w:b/>
          <w:sz w:val="20"/>
          <w:szCs w:val="20"/>
        </w:rPr>
      </w:pPr>
      <w:r w:rsidRPr="001015E6">
        <w:rPr>
          <w:rFonts w:ascii="Arial" w:hAnsi="Arial" w:cs="Arial"/>
          <w:b/>
          <w:sz w:val="20"/>
          <w:szCs w:val="20"/>
        </w:rPr>
        <w:t>Embarazo</w:t>
      </w:r>
      <w:r>
        <w:rPr>
          <w:rFonts w:ascii="Arial" w:hAnsi="Arial" w:cs="Arial"/>
          <w:b/>
          <w:sz w:val="20"/>
          <w:szCs w:val="20"/>
        </w:rPr>
        <w:t xml:space="preserve">: </w:t>
      </w:r>
      <w:r w:rsidRPr="001015E6">
        <w:rPr>
          <w:rFonts w:ascii="Arial" w:hAnsi="Arial" w:cs="Arial"/>
          <w:sz w:val="20"/>
          <w:szCs w:val="20"/>
        </w:rPr>
        <w:t>No se dispone de datos clínicos sobre</w:t>
      </w:r>
      <w:r w:rsidRPr="00723468">
        <w:rPr>
          <w:rFonts w:ascii="Arial" w:hAnsi="Arial" w:cs="Arial"/>
          <w:sz w:val="20"/>
          <w:szCs w:val="20"/>
        </w:rPr>
        <w:t xml:space="preserve"> embarazos expuestos con </w:t>
      </w:r>
      <w:proofErr w:type="spellStart"/>
      <w:r>
        <w:rPr>
          <w:rFonts w:ascii="Arial" w:hAnsi="Arial" w:cs="Arial"/>
          <w:sz w:val="20"/>
          <w:szCs w:val="20"/>
        </w:rPr>
        <w:t>eculizumab</w:t>
      </w:r>
      <w:proofErr w:type="spellEnd"/>
      <w:r w:rsidRPr="001015E6">
        <w:rPr>
          <w:rFonts w:ascii="Arial" w:hAnsi="Arial" w:cs="Arial"/>
          <w:sz w:val="20"/>
          <w:szCs w:val="20"/>
        </w:rPr>
        <w:t>.</w:t>
      </w:r>
      <w:r w:rsidRPr="001015E6">
        <w:rPr>
          <w:rFonts w:ascii="Arial" w:hAnsi="Arial" w:cs="Arial"/>
          <w:b/>
          <w:sz w:val="20"/>
          <w:szCs w:val="20"/>
        </w:rPr>
        <w:t xml:space="preserve"> </w:t>
      </w:r>
    </w:p>
    <w:p w:rsidR="00556DFF" w:rsidRPr="001015E6" w:rsidRDefault="00556DFF" w:rsidP="005531A6">
      <w:pPr>
        <w:jc w:val="both"/>
        <w:rPr>
          <w:rFonts w:ascii="Arial" w:hAnsi="Arial" w:cs="Arial"/>
          <w:sz w:val="20"/>
          <w:szCs w:val="20"/>
        </w:rPr>
      </w:pPr>
      <w:r w:rsidRPr="001015E6">
        <w:rPr>
          <w:rFonts w:ascii="Arial" w:hAnsi="Arial" w:cs="Arial"/>
          <w:sz w:val="20"/>
          <w:szCs w:val="20"/>
        </w:rPr>
        <w:t xml:space="preserve">No se han realizado estudios sobre la reproducción animal </w:t>
      </w:r>
      <w:r>
        <w:rPr>
          <w:rFonts w:ascii="Arial" w:hAnsi="Arial" w:cs="Arial"/>
          <w:sz w:val="20"/>
          <w:szCs w:val="20"/>
        </w:rPr>
        <w:t xml:space="preserve">con </w:t>
      </w:r>
      <w:proofErr w:type="spellStart"/>
      <w:r>
        <w:rPr>
          <w:rFonts w:ascii="Arial" w:hAnsi="Arial" w:cs="Arial"/>
          <w:sz w:val="20"/>
          <w:szCs w:val="20"/>
        </w:rPr>
        <w:t>eculizumab</w:t>
      </w:r>
      <w:proofErr w:type="spellEnd"/>
      <w:r w:rsidRPr="001015E6">
        <w:rPr>
          <w:rFonts w:ascii="Arial" w:hAnsi="Arial" w:cs="Arial"/>
          <w:sz w:val="20"/>
          <w:szCs w:val="20"/>
        </w:rPr>
        <w:t xml:space="preserve">. </w:t>
      </w:r>
    </w:p>
    <w:p w:rsidR="00556DFF" w:rsidRPr="005E10DD" w:rsidRDefault="00556DFF" w:rsidP="005531A6">
      <w:pPr>
        <w:jc w:val="both"/>
        <w:rPr>
          <w:rFonts w:ascii="Arial" w:hAnsi="Arial" w:cs="Arial"/>
          <w:sz w:val="20"/>
          <w:szCs w:val="20"/>
        </w:rPr>
      </w:pPr>
      <w:r>
        <w:rPr>
          <w:rFonts w:ascii="Arial" w:hAnsi="Arial" w:cs="Arial"/>
          <w:b/>
          <w:sz w:val="20"/>
          <w:szCs w:val="20"/>
        </w:rPr>
        <w:t xml:space="preserve">Lactancia: </w:t>
      </w:r>
      <w:r w:rsidRPr="00723468">
        <w:rPr>
          <w:rFonts w:ascii="Arial" w:hAnsi="Arial" w:cs="Arial"/>
          <w:sz w:val="20"/>
          <w:szCs w:val="20"/>
        </w:rPr>
        <w:t xml:space="preserve">Se desconoce si </w:t>
      </w:r>
      <w:proofErr w:type="spellStart"/>
      <w:r w:rsidRPr="00723468">
        <w:rPr>
          <w:rFonts w:ascii="Arial" w:hAnsi="Arial" w:cs="Arial"/>
          <w:sz w:val="20"/>
          <w:szCs w:val="20"/>
        </w:rPr>
        <w:t>eculizumab</w:t>
      </w:r>
      <w:proofErr w:type="spellEnd"/>
      <w:r w:rsidRPr="00723468">
        <w:rPr>
          <w:rFonts w:ascii="Arial" w:hAnsi="Arial" w:cs="Arial"/>
          <w:sz w:val="20"/>
          <w:szCs w:val="20"/>
        </w:rPr>
        <w:t xml:space="preserve"> se excreta en la leche materna.</w:t>
      </w:r>
    </w:p>
    <w:p w:rsidR="00556DFF" w:rsidRPr="005E10DD" w:rsidRDefault="00556DFF" w:rsidP="005531A6">
      <w:pPr>
        <w:jc w:val="both"/>
        <w:rPr>
          <w:rFonts w:ascii="Arial" w:hAnsi="Arial" w:cs="Arial"/>
          <w:sz w:val="20"/>
          <w:szCs w:val="20"/>
        </w:rPr>
      </w:pPr>
      <w:r w:rsidRPr="00723468">
        <w:rPr>
          <w:rFonts w:ascii="Arial" w:hAnsi="Arial" w:cs="Arial"/>
          <w:b/>
          <w:sz w:val="20"/>
          <w:szCs w:val="20"/>
        </w:rPr>
        <w:t>Mayores de 65 años</w:t>
      </w:r>
      <w:r w:rsidRPr="005E10DD">
        <w:rPr>
          <w:rFonts w:ascii="Arial" w:hAnsi="Arial" w:cs="Arial"/>
          <w:sz w:val="20"/>
          <w:szCs w:val="20"/>
        </w:rPr>
        <w:t>: puede administrarse a pacientes mayores de 65 años. No hay indicios que sugieran la adopción de precauciones especiales en personas ancianas, si bien la experiencia con este fármaco en esta población de pacientes es todavía escasa.</w:t>
      </w:r>
    </w:p>
    <w:p w:rsidR="00556DFF" w:rsidRPr="005E10DD" w:rsidRDefault="00556DFF" w:rsidP="005531A6">
      <w:pPr>
        <w:jc w:val="both"/>
        <w:rPr>
          <w:rFonts w:ascii="Arial" w:hAnsi="Arial" w:cs="Arial"/>
          <w:sz w:val="20"/>
          <w:szCs w:val="20"/>
        </w:rPr>
      </w:pPr>
      <w:r w:rsidRPr="00723468">
        <w:rPr>
          <w:rFonts w:ascii="Arial" w:hAnsi="Arial" w:cs="Arial"/>
          <w:b/>
          <w:sz w:val="20"/>
          <w:szCs w:val="20"/>
        </w:rPr>
        <w:t>Insuficiencia renal</w:t>
      </w:r>
      <w:r w:rsidRPr="005E10DD">
        <w:rPr>
          <w:rFonts w:ascii="Arial" w:hAnsi="Arial" w:cs="Arial"/>
          <w:sz w:val="20"/>
          <w:szCs w:val="20"/>
        </w:rPr>
        <w:t>: No se requiere ajuste en la dosis en pacientes con insuficiencia renal</w:t>
      </w:r>
      <w:r>
        <w:rPr>
          <w:rFonts w:ascii="Arial" w:hAnsi="Arial" w:cs="Arial"/>
          <w:sz w:val="20"/>
          <w:szCs w:val="20"/>
        </w:rPr>
        <w:t>.</w:t>
      </w:r>
    </w:p>
    <w:p w:rsidR="00556DFF" w:rsidRPr="005E10DD" w:rsidRDefault="00556DFF" w:rsidP="005531A6">
      <w:pPr>
        <w:jc w:val="both"/>
        <w:rPr>
          <w:rFonts w:ascii="Arial" w:hAnsi="Arial" w:cs="Arial"/>
          <w:sz w:val="20"/>
          <w:szCs w:val="20"/>
        </w:rPr>
      </w:pPr>
      <w:r w:rsidRPr="00723468">
        <w:rPr>
          <w:rFonts w:ascii="Arial" w:hAnsi="Arial" w:cs="Arial"/>
          <w:b/>
          <w:sz w:val="20"/>
          <w:szCs w:val="20"/>
        </w:rPr>
        <w:t>Insuficiencia hepática</w:t>
      </w:r>
      <w:r w:rsidRPr="005E10DD">
        <w:rPr>
          <w:rFonts w:ascii="Arial" w:hAnsi="Arial" w:cs="Arial"/>
          <w:sz w:val="20"/>
          <w:szCs w:val="20"/>
        </w:rPr>
        <w:t>:</w:t>
      </w:r>
      <w:r>
        <w:rPr>
          <w:rFonts w:ascii="Arial" w:hAnsi="Arial" w:cs="Arial"/>
          <w:sz w:val="20"/>
          <w:szCs w:val="20"/>
        </w:rPr>
        <w:t xml:space="preserve"> No se ha estudiado la insuficiencia hepática en pacientes en tratamiento con </w:t>
      </w:r>
      <w:proofErr w:type="spellStart"/>
      <w:r>
        <w:rPr>
          <w:rFonts w:ascii="Arial" w:hAnsi="Arial" w:cs="Arial"/>
          <w:sz w:val="20"/>
          <w:szCs w:val="20"/>
        </w:rPr>
        <w:t>eculizumab</w:t>
      </w:r>
      <w:proofErr w:type="spellEnd"/>
      <w:r>
        <w:rPr>
          <w:rFonts w:ascii="Arial" w:hAnsi="Arial" w:cs="Arial"/>
          <w:sz w:val="20"/>
          <w:szCs w:val="20"/>
        </w:rPr>
        <w:t>.</w:t>
      </w:r>
    </w:p>
    <w:p w:rsidR="00556DFF" w:rsidRPr="001015E6" w:rsidRDefault="00556DFF" w:rsidP="005531A6">
      <w:pPr>
        <w:jc w:val="both"/>
        <w:rPr>
          <w:rFonts w:ascii="Arial" w:hAnsi="Arial" w:cs="Arial"/>
          <w:sz w:val="20"/>
          <w:szCs w:val="20"/>
        </w:rPr>
      </w:pPr>
      <w:r w:rsidRPr="00723468">
        <w:rPr>
          <w:rFonts w:ascii="Arial" w:hAnsi="Arial" w:cs="Arial"/>
          <w:b/>
          <w:sz w:val="20"/>
          <w:szCs w:val="20"/>
        </w:rPr>
        <w:t>Contraindicaciones:</w:t>
      </w:r>
      <w:r>
        <w:rPr>
          <w:rFonts w:ascii="Arial" w:hAnsi="Arial" w:cs="Arial"/>
          <w:sz w:val="20"/>
          <w:szCs w:val="20"/>
        </w:rPr>
        <w:t xml:space="preserve"> </w:t>
      </w:r>
      <w:r w:rsidRPr="00723468">
        <w:rPr>
          <w:rFonts w:ascii="Arial" w:hAnsi="Arial" w:cs="Arial"/>
          <w:sz w:val="20"/>
          <w:szCs w:val="20"/>
        </w:rPr>
        <w:t xml:space="preserve">Hipersensibilidad a </w:t>
      </w:r>
      <w:proofErr w:type="spellStart"/>
      <w:r w:rsidRPr="00723468">
        <w:rPr>
          <w:rFonts w:ascii="Arial" w:hAnsi="Arial" w:cs="Arial"/>
          <w:sz w:val="20"/>
          <w:szCs w:val="20"/>
        </w:rPr>
        <w:t>eculizumab</w:t>
      </w:r>
      <w:proofErr w:type="spellEnd"/>
      <w:r w:rsidRPr="00723468">
        <w:rPr>
          <w:rFonts w:ascii="Arial" w:hAnsi="Arial" w:cs="Arial"/>
          <w:sz w:val="20"/>
          <w:szCs w:val="20"/>
        </w:rPr>
        <w:t>, a las proteínas murinas o a alguno de los excipient</w:t>
      </w:r>
      <w:r>
        <w:rPr>
          <w:rFonts w:ascii="Arial" w:hAnsi="Arial" w:cs="Arial"/>
          <w:sz w:val="20"/>
          <w:szCs w:val="20"/>
        </w:rPr>
        <w:t xml:space="preserve">es. </w:t>
      </w:r>
      <w:r w:rsidRPr="001015E6">
        <w:rPr>
          <w:rFonts w:ascii="Arial" w:hAnsi="Arial" w:cs="Arial"/>
          <w:sz w:val="20"/>
          <w:szCs w:val="20"/>
        </w:rPr>
        <w:t xml:space="preserve">El tratamiento con </w:t>
      </w:r>
      <w:proofErr w:type="spellStart"/>
      <w:r>
        <w:rPr>
          <w:rFonts w:ascii="Arial" w:hAnsi="Arial" w:cs="Arial"/>
          <w:sz w:val="20"/>
          <w:szCs w:val="20"/>
        </w:rPr>
        <w:t>eculizumab</w:t>
      </w:r>
      <w:proofErr w:type="spellEnd"/>
      <w:r>
        <w:rPr>
          <w:rFonts w:ascii="Arial" w:hAnsi="Arial" w:cs="Arial"/>
          <w:sz w:val="20"/>
          <w:szCs w:val="20"/>
        </w:rPr>
        <w:t xml:space="preserve"> </w:t>
      </w:r>
      <w:r w:rsidRPr="001015E6">
        <w:rPr>
          <w:rFonts w:ascii="Arial" w:hAnsi="Arial" w:cs="Arial"/>
          <w:sz w:val="20"/>
          <w:szCs w:val="20"/>
        </w:rPr>
        <w:t xml:space="preserve">no debe ser iniciado en pacientes: </w:t>
      </w:r>
    </w:p>
    <w:p w:rsidR="00556DFF" w:rsidRPr="001015E6" w:rsidRDefault="00556DFF" w:rsidP="005531A6">
      <w:pPr>
        <w:jc w:val="both"/>
        <w:rPr>
          <w:rFonts w:ascii="Arial" w:hAnsi="Arial" w:cs="Arial"/>
          <w:sz w:val="20"/>
          <w:szCs w:val="20"/>
        </w:rPr>
      </w:pPr>
      <w:r w:rsidRPr="001015E6">
        <w:rPr>
          <w:rFonts w:ascii="Arial" w:hAnsi="Arial" w:cs="Arial"/>
          <w:sz w:val="20"/>
          <w:szCs w:val="20"/>
        </w:rPr>
        <w:t xml:space="preserve">- con infección por </w:t>
      </w:r>
      <w:proofErr w:type="spellStart"/>
      <w:r w:rsidRPr="00B6474C">
        <w:rPr>
          <w:rFonts w:ascii="Arial" w:hAnsi="Arial" w:cs="Arial"/>
          <w:i/>
          <w:sz w:val="20"/>
          <w:szCs w:val="20"/>
          <w:u w:val="single"/>
        </w:rPr>
        <w:t>Neisseria</w:t>
      </w:r>
      <w:proofErr w:type="spellEnd"/>
      <w:r w:rsidRPr="00B6474C">
        <w:rPr>
          <w:rFonts w:ascii="Arial" w:hAnsi="Arial" w:cs="Arial"/>
          <w:i/>
          <w:sz w:val="20"/>
          <w:szCs w:val="20"/>
          <w:u w:val="single"/>
        </w:rPr>
        <w:t xml:space="preserve"> </w:t>
      </w:r>
      <w:proofErr w:type="spellStart"/>
      <w:r w:rsidRPr="00B6474C">
        <w:rPr>
          <w:rFonts w:ascii="Arial" w:hAnsi="Arial" w:cs="Arial"/>
          <w:i/>
          <w:sz w:val="20"/>
          <w:szCs w:val="20"/>
          <w:u w:val="single"/>
        </w:rPr>
        <w:t>meningitidis</w:t>
      </w:r>
      <w:proofErr w:type="spellEnd"/>
      <w:r w:rsidRPr="001015E6">
        <w:rPr>
          <w:rFonts w:ascii="Arial" w:hAnsi="Arial" w:cs="Arial"/>
          <w:sz w:val="20"/>
          <w:szCs w:val="20"/>
        </w:rPr>
        <w:t xml:space="preserve"> no resuelta; </w:t>
      </w:r>
    </w:p>
    <w:p w:rsidR="00556DFF" w:rsidRPr="001015E6" w:rsidRDefault="00556DFF" w:rsidP="005531A6">
      <w:pPr>
        <w:jc w:val="both"/>
        <w:rPr>
          <w:rFonts w:ascii="Arial" w:hAnsi="Arial" w:cs="Arial"/>
          <w:sz w:val="20"/>
          <w:szCs w:val="20"/>
        </w:rPr>
      </w:pPr>
      <w:r w:rsidRPr="001015E6">
        <w:rPr>
          <w:rFonts w:ascii="Arial" w:hAnsi="Arial" w:cs="Arial"/>
          <w:sz w:val="20"/>
          <w:szCs w:val="20"/>
        </w:rPr>
        <w:t xml:space="preserve">- que en la actualidad no estén vacunados contra </w:t>
      </w:r>
      <w:proofErr w:type="spellStart"/>
      <w:r w:rsidRPr="00B6474C">
        <w:rPr>
          <w:rFonts w:ascii="Arial" w:hAnsi="Arial" w:cs="Arial"/>
          <w:i/>
          <w:sz w:val="20"/>
          <w:szCs w:val="20"/>
          <w:u w:val="single"/>
        </w:rPr>
        <w:t>Neisseria</w:t>
      </w:r>
      <w:proofErr w:type="spellEnd"/>
      <w:r w:rsidRPr="00B6474C">
        <w:rPr>
          <w:rFonts w:ascii="Arial" w:hAnsi="Arial" w:cs="Arial"/>
          <w:i/>
          <w:sz w:val="20"/>
          <w:szCs w:val="20"/>
          <w:u w:val="single"/>
        </w:rPr>
        <w:t xml:space="preserve"> </w:t>
      </w:r>
      <w:proofErr w:type="spellStart"/>
      <w:r w:rsidRPr="00B6474C">
        <w:rPr>
          <w:rFonts w:ascii="Arial" w:hAnsi="Arial" w:cs="Arial"/>
          <w:i/>
          <w:sz w:val="20"/>
          <w:szCs w:val="20"/>
          <w:u w:val="single"/>
        </w:rPr>
        <w:t>meningitidis</w:t>
      </w:r>
      <w:proofErr w:type="spellEnd"/>
      <w:r w:rsidRPr="001015E6">
        <w:rPr>
          <w:rFonts w:ascii="Arial" w:hAnsi="Arial" w:cs="Arial"/>
          <w:sz w:val="20"/>
          <w:szCs w:val="20"/>
        </w:rPr>
        <w:t xml:space="preserve"> a menos que hayan recibido tratamiento antibiótico adecuado de manera profiláctica hasta 2 semanas después de la vacunación. </w:t>
      </w:r>
    </w:p>
    <w:p w:rsidR="00556DFF" w:rsidRPr="006F6ABB" w:rsidRDefault="00556DFF" w:rsidP="005531A6">
      <w:pPr>
        <w:jc w:val="both"/>
        <w:rPr>
          <w:rFonts w:ascii="Arial" w:hAnsi="Arial" w:cs="Arial"/>
          <w:sz w:val="20"/>
          <w:szCs w:val="20"/>
        </w:rPr>
      </w:pPr>
      <w:r w:rsidRPr="00723468">
        <w:rPr>
          <w:rFonts w:ascii="Arial" w:hAnsi="Arial" w:cs="Arial"/>
          <w:b/>
          <w:sz w:val="20"/>
          <w:szCs w:val="20"/>
        </w:rPr>
        <w:t>Interacciones:</w:t>
      </w:r>
      <w:r>
        <w:rPr>
          <w:rFonts w:ascii="Arial" w:hAnsi="Arial" w:cs="Arial"/>
          <w:sz w:val="20"/>
          <w:szCs w:val="20"/>
        </w:rPr>
        <w:t xml:space="preserve"> </w:t>
      </w:r>
      <w:r w:rsidRPr="00D02E0F">
        <w:rPr>
          <w:rFonts w:ascii="Arial" w:hAnsi="Arial" w:cs="Arial"/>
          <w:sz w:val="20"/>
          <w:szCs w:val="20"/>
        </w:rPr>
        <w:t>No se han realizado estudios de interacción.</w:t>
      </w:r>
    </w:p>
    <w:p w:rsidR="00556DFF" w:rsidRPr="006F6ABB" w:rsidRDefault="00556DFF" w:rsidP="00BC3E8E">
      <w:pPr>
        <w:rPr>
          <w:rFonts w:ascii="Arial" w:hAnsi="Arial" w:cs="Arial"/>
          <w:sz w:val="20"/>
          <w:szCs w:val="20"/>
        </w:rPr>
      </w:pPr>
    </w:p>
    <w:p w:rsidR="00556DFF" w:rsidRPr="00B35A86" w:rsidRDefault="00556DFF" w:rsidP="00BC3E8E">
      <w:pPr>
        <w:pStyle w:val="Encabezado"/>
        <w:tabs>
          <w:tab w:val="clear" w:pos="4252"/>
          <w:tab w:val="clear" w:pos="8504"/>
        </w:tabs>
        <w:rPr>
          <w:rFonts w:ascii="Arial" w:hAnsi="Arial" w:cs="Arial"/>
          <w:lang w:val="es-ES_tradn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1"/>
      </w:tblGrid>
      <w:tr w:rsidR="00556DFF" w:rsidRPr="00DA38F3">
        <w:tc>
          <w:tcPr>
            <w:tcW w:w="9001"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112" w:name="_Toc344399656"/>
            <w:bookmarkStart w:id="113" w:name="_Toc348931387"/>
            <w:bookmarkStart w:id="114" w:name="_Toc517462783"/>
            <w:r w:rsidRPr="00506DFA">
              <w:rPr>
                <w:rFonts w:ascii="Arial" w:hAnsi="Arial" w:cs="Arial"/>
                <w:kern w:val="0"/>
                <w:sz w:val="20"/>
              </w:rPr>
              <w:t>7. AREA ECONÓMICA</w:t>
            </w:r>
            <w:bookmarkEnd w:id="112"/>
            <w:bookmarkEnd w:id="113"/>
            <w:bookmarkEnd w:id="114"/>
          </w:p>
        </w:tc>
      </w:tr>
    </w:tbl>
    <w:p w:rsidR="00556DFF" w:rsidRPr="006F6ABB" w:rsidRDefault="00556DFF" w:rsidP="00BC3E8E">
      <w:pPr>
        <w:jc w:val="both"/>
        <w:rPr>
          <w:rFonts w:ascii="Arial" w:hAnsi="Arial" w:cs="Arial"/>
          <w:b/>
          <w:sz w:val="20"/>
          <w:szCs w:val="20"/>
          <w:shd w:val="clear" w:color="auto" w:fill="C0C0C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15" w:name="_Toc344399657"/>
      <w:bookmarkStart w:id="116" w:name="_Toc348931388"/>
      <w:bookmarkStart w:id="117" w:name="_Toc517462784"/>
      <w:r w:rsidRPr="00E3472F">
        <w:rPr>
          <w:rFonts w:cs="Arial"/>
          <w:sz w:val="20"/>
        </w:rPr>
        <w:t>7.1 Coste tratamiento.</w:t>
      </w:r>
      <w:r w:rsidRPr="006F6ABB">
        <w:rPr>
          <w:rFonts w:cs="Arial"/>
          <w:sz w:val="20"/>
        </w:rPr>
        <w:t xml:space="preserve"> </w:t>
      </w:r>
      <w:r w:rsidRPr="00E3472F">
        <w:rPr>
          <w:rFonts w:cs="Arial"/>
          <w:sz w:val="20"/>
        </w:rPr>
        <w:t>Coste incremental</w:t>
      </w:r>
      <w:bookmarkEnd w:id="115"/>
      <w:bookmarkEnd w:id="116"/>
      <w:bookmarkEnd w:id="117"/>
    </w:p>
    <w:p w:rsidR="00556DFF" w:rsidRDefault="00556DFF" w:rsidP="00BC3E8E">
      <w:pPr>
        <w:jc w:val="both"/>
        <w:rPr>
          <w:rFonts w:ascii="Arial" w:hAnsi="Arial" w:cs="Arial"/>
          <w:b/>
          <w:sz w:val="20"/>
          <w:szCs w:val="20"/>
          <w:shd w:val="clear" w:color="auto" w:fill="C0C0C0"/>
        </w:rPr>
      </w:pPr>
    </w:p>
    <w:p w:rsidR="00556DFF" w:rsidRPr="00615D63" w:rsidRDefault="00556DFF" w:rsidP="00D80569">
      <w:pPr>
        <w:jc w:val="both"/>
        <w:rPr>
          <w:rFonts w:ascii="Arial" w:hAnsi="Arial" w:cs="Arial"/>
          <w:sz w:val="20"/>
          <w:szCs w:val="20"/>
        </w:rPr>
      </w:pPr>
      <w:r w:rsidRPr="00615D63">
        <w:rPr>
          <w:rFonts w:ascii="Arial" w:hAnsi="Arial"/>
          <w:sz w:val="20"/>
        </w:rPr>
        <w:t>No se disponen de alternativas de fármacos</w:t>
      </w:r>
      <w:r>
        <w:rPr>
          <w:rFonts w:ascii="Arial" w:hAnsi="Arial"/>
          <w:sz w:val="20"/>
        </w:rPr>
        <w:t xml:space="preserve"> con indicaciones semejantes a </w:t>
      </w:r>
      <w:proofErr w:type="spellStart"/>
      <w:r>
        <w:rPr>
          <w:rFonts w:ascii="Arial" w:hAnsi="Arial"/>
          <w:sz w:val="20"/>
        </w:rPr>
        <w:t>e</w:t>
      </w:r>
      <w:r w:rsidRPr="00615D63">
        <w:rPr>
          <w:rFonts w:ascii="Arial" w:hAnsi="Arial"/>
          <w:sz w:val="20"/>
        </w:rPr>
        <w:t>culizumab</w:t>
      </w:r>
      <w:proofErr w:type="spellEnd"/>
      <w:r w:rsidRPr="00615D63">
        <w:rPr>
          <w:rFonts w:ascii="Arial" w:hAnsi="Arial"/>
          <w:sz w:val="20"/>
        </w:rPr>
        <w:t>, por lo que no se realiza el coste incremental del mismo.</w:t>
      </w:r>
    </w:p>
    <w:p w:rsidR="00556DFF" w:rsidRPr="006F6ABB" w:rsidRDefault="00556DFF" w:rsidP="00BC3E8E">
      <w:pPr>
        <w:jc w:val="both"/>
        <w:rPr>
          <w:rFonts w:ascii="Arial" w:hAnsi="Arial" w:cs="Arial"/>
          <w:b/>
          <w:sz w:val="20"/>
          <w:szCs w:val="20"/>
          <w:shd w:val="clear" w:color="auto" w:fill="C0C0C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812"/>
        <w:gridCol w:w="31"/>
      </w:tblGrid>
      <w:tr w:rsidR="00556DFF" w:rsidRPr="006F6ABB">
        <w:trPr>
          <w:cantSplit/>
        </w:trPr>
        <w:tc>
          <w:tcPr>
            <w:tcW w:w="8890" w:type="dxa"/>
            <w:gridSpan w:val="3"/>
            <w:shd w:val="clear" w:color="auto" w:fill="CCFFCC"/>
          </w:tcPr>
          <w:p w:rsidR="00556DFF" w:rsidRPr="006F6ABB" w:rsidRDefault="00556DFF" w:rsidP="00BC3E8E">
            <w:pPr>
              <w:rPr>
                <w:rFonts w:ascii="Arial" w:hAnsi="Arial" w:cs="Arial"/>
                <w:b/>
                <w:sz w:val="16"/>
              </w:rPr>
            </w:pPr>
            <w:r>
              <w:rPr>
                <w:rFonts w:ascii="Arial" w:hAnsi="Arial" w:cs="Arial"/>
                <w:b/>
                <w:sz w:val="16"/>
              </w:rPr>
              <w:t xml:space="preserve">Tabla 4. </w:t>
            </w:r>
            <w:r w:rsidRPr="006F6ABB">
              <w:rPr>
                <w:rFonts w:ascii="Arial" w:hAnsi="Arial" w:cs="Arial"/>
                <w:b/>
                <w:sz w:val="16"/>
              </w:rPr>
              <w:t xml:space="preserve">Comparación de costes del tratamiento evaluado frente a otra/s  alternativa/s </w:t>
            </w:r>
          </w:p>
        </w:tc>
      </w:tr>
      <w:tr w:rsidR="00556DFF" w:rsidRPr="006F6ABB">
        <w:trPr>
          <w:cantSplit/>
        </w:trPr>
        <w:tc>
          <w:tcPr>
            <w:tcW w:w="3047" w:type="dxa"/>
            <w:shd w:val="clear" w:color="auto" w:fill="CCFFCC"/>
          </w:tcPr>
          <w:p w:rsidR="00556DFF" w:rsidRPr="006F6ABB" w:rsidRDefault="00556DFF" w:rsidP="00BC3E8E">
            <w:pPr>
              <w:jc w:val="both"/>
              <w:rPr>
                <w:rFonts w:ascii="Arial" w:hAnsi="Arial" w:cs="Arial"/>
              </w:rPr>
            </w:pPr>
          </w:p>
        </w:tc>
        <w:tc>
          <w:tcPr>
            <w:tcW w:w="5843" w:type="dxa"/>
            <w:gridSpan w:val="2"/>
            <w:shd w:val="clear" w:color="auto" w:fill="CCFFCC"/>
          </w:tcPr>
          <w:p w:rsidR="00556DFF" w:rsidRPr="006F6ABB" w:rsidRDefault="00556DFF" w:rsidP="00BC3E8E">
            <w:pPr>
              <w:jc w:val="center"/>
              <w:rPr>
                <w:rFonts w:ascii="Arial" w:hAnsi="Arial" w:cs="Arial"/>
                <w:b/>
                <w:sz w:val="16"/>
              </w:rPr>
            </w:pPr>
            <w:r>
              <w:rPr>
                <w:rFonts w:ascii="Arial" w:hAnsi="Arial" w:cs="Arial"/>
                <w:b/>
                <w:sz w:val="16"/>
              </w:rPr>
              <w:t>M</w:t>
            </w:r>
            <w:r w:rsidRPr="006F6ABB">
              <w:rPr>
                <w:rFonts w:ascii="Arial" w:hAnsi="Arial" w:cs="Arial"/>
                <w:b/>
                <w:sz w:val="16"/>
              </w:rPr>
              <w:t>edicamento</w:t>
            </w:r>
          </w:p>
        </w:tc>
      </w:tr>
      <w:tr w:rsidR="00556DFF" w:rsidRPr="006F6ABB" w:rsidTr="00615D63">
        <w:trPr>
          <w:gridAfter w:val="1"/>
          <w:wAfter w:w="31" w:type="dxa"/>
        </w:trPr>
        <w:tc>
          <w:tcPr>
            <w:tcW w:w="3047" w:type="dxa"/>
            <w:shd w:val="clear" w:color="auto" w:fill="E6E6E6"/>
          </w:tcPr>
          <w:p w:rsidR="00556DFF" w:rsidRPr="006F6ABB" w:rsidRDefault="00556DFF" w:rsidP="00BC3E8E">
            <w:pPr>
              <w:jc w:val="both"/>
              <w:rPr>
                <w:rFonts w:ascii="Arial" w:hAnsi="Arial" w:cs="Arial"/>
              </w:rPr>
            </w:pPr>
          </w:p>
        </w:tc>
        <w:tc>
          <w:tcPr>
            <w:tcW w:w="5812" w:type="dxa"/>
            <w:shd w:val="clear" w:color="auto" w:fill="E6E6E6"/>
          </w:tcPr>
          <w:p w:rsidR="00556DFF" w:rsidRPr="006F6ABB" w:rsidRDefault="00556DFF" w:rsidP="00BC3E8E">
            <w:pPr>
              <w:jc w:val="both"/>
              <w:rPr>
                <w:rFonts w:ascii="Arial" w:hAnsi="Arial" w:cs="Arial"/>
              </w:rPr>
            </w:pPr>
            <w:proofErr w:type="spellStart"/>
            <w:r>
              <w:rPr>
                <w:rFonts w:ascii="Arial" w:hAnsi="Arial" w:cs="Arial"/>
                <w:sz w:val="16"/>
              </w:rPr>
              <w:t>Eculizumab</w:t>
            </w:r>
            <w:proofErr w:type="spellEnd"/>
            <w:r>
              <w:rPr>
                <w:rFonts w:ascii="Arial" w:hAnsi="Arial" w:cs="Arial"/>
                <w:sz w:val="16"/>
              </w:rPr>
              <w:t xml:space="preserve"> 300 mg vial</w:t>
            </w:r>
          </w:p>
        </w:tc>
      </w:tr>
      <w:tr w:rsidR="00556DFF" w:rsidRPr="006F6ABB" w:rsidTr="00615D63">
        <w:trPr>
          <w:gridAfter w:val="1"/>
          <w:wAfter w:w="31" w:type="dxa"/>
          <w:trHeight w:val="168"/>
        </w:trPr>
        <w:tc>
          <w:tcPr>
            <w:tcW w:w="3047" w:type="dxa"/>
          </w:tcPr>
          <w:p w:rsidR="00556DFF" w:rsidRPr="006F6ABB" w:rsidRDefault="00556DFF" w:rsidP="00BC3E8E">
            <w:pPr>
              <w:jc w:val="both"/>
              <w:rPr>
                <w:rFonts w:ascii="Arial" w:hAnsi="Arial" w:cs="Arial"/>
              </w:rPr>
            </w:pPr>
            <w:r w:rsidRPr="006F6ABB">
              <w:rPr>
                <w:rFonts w:ascii="Arial" w:hAnsi="Arial" w:cs="Arial"/>
                <w:b/>
                <w:sz w:val="16"/>
              </w:rPr>
              <w:t xml:space="preserve">Precio unitario (PVL+IVA) </w:t>
            </w:r>
          </w:p>
        </w:tc>
        <w:tc>
          <w:tcPr>
            <w:tcW w:w="5812" w:type="dxa"/>
          </w:tcPr>
          <w:p w:rsidR="00556DFF" w:rsidRPr="006F6ABB" w:rsidRDefault="00556DFF" w:rsidP="00BC3E8E">
            <w:pPr>
              <w:jc w:val="both"/>
              <w:rPr>
                <w:rFonts w:ascii="Arial" w:hAnsi="Arial" w:cs="Arial"/>
              </w:rPr>
            </w:pPr>
            <w:r w:rsidRPr="00615D63">
              <w:rPr>
                <w:rFonts w:ascii="Arial" w:hAnsi="Arial" w:cs="Arial"/>
                <w:sz w:val="16"/>
              </w:rPr>
              <w:t>4.628</w:t>
            </w:r>
            <w:r w:rsidRPr="00E032D0">
              <w:rPr>
                <w:rFonts w:ascii="Arial" w:hAnsi="Arial" w:cs="Arial"/>
                <w:sz w:val="16"/>
                <w:szCs w:val="16"/>
              </w:rPr>
              <w:t xml:space="preserve"> €</w:t>
            </w:r>
          </w:p>
        </w:tc>
      </w:tr>
      <w:tr w:rsidR="00556DFF" w:rsidRPr="006F6ABB" w:rsidTr="00615D63">
        <w:trPr>
          <w:gridAfter w:val="1"/>
          <w:wAfter w:w="31" w:type="dxa"/>
        </w:trPr>
        <w:tc>
          <w:tcPr>
            <w:tcW w:w="3047" w:type="dxa"/>
          </w:tcPr>
          <w:p w:rsidR="00556DFF" w:rsidRPr="006F6ABB" w:rsidRDefault="00556DFF" w:rsidP="00BC3E8E">
            <w:pPr>
              <w:jc w:val="both"/>
              <w:rPr>
                <w:rFonts w:ascii="Arial" w:hAnsi="Arial" w:cs="Arial"/>
              </w:rPr>
            </w:pPr>
            <w:r w:rsidRPr="006F6ABB">
              <w:rPr>
                <w:rFonts w:ascii="Arial" w:hAnsi="Arial" w:cs="Arial"/>
                <w:b/>
                <w:sz w:val="16"/>
              </w:rPr>
              <w:t>Posología</w:t>
            </w:r>
          </w:p>
        </w:tc>
        <w:tc>
          <w:tcPr>
            <w:tcW w:w="5812" w:type="dxa"/>
          </w:tcPr>
          <w:p w:rsidR="00556DFF" w:rsidRPr="006F6ABB" w:rsidRDefault="00556DFF" w:rsidP="00E12AA5">
            <w:pPr>
              <w:jc w:val="both"/>
              <w:rPr>
                <w:rFonts w:ascii="Arial" w:hAnsi="Arial" w:cs="Arial"/>
              </w:rPr>
            </w:pPr>
            <w:r>
              <w:rPr>
                <w:rFonts w:ascii="Arial" w:hAnsi="Arial" w:cs="Arial"/>
                <w:sz w:val="16"/>
              </w:rPr>
              <w:t>900mg/semana durante</w:t>
            </w:r>
            <w:r w:rsidRPr="00615D63">
              <w:rPr>
                <w:rFonts w:ascii="Arial" w:hAnsi="Arial" w:cs="Arial"/>
                <w:sz w:val="16"/>
              </w:rPr>
              <w:t xml:space="preserve"> 4 </w:t>
            </w:r>
            <w:proofErr w:type="spellStart"/>
            <w:r w:rsidRPr="00615D63">
              <w:rPr>
                <w:rFonts w:ascii="Arial" w:hAnsi="Arial" w:cs="Arial"/>
                <w:sz w:val="16"/>
              </w:rPr>
              <w:t>sem</w:t>
            </w:r>
            <w:proofErr w:type="spellEnd"/>
            <w:r w:rsidRPr="00615D63">
              <w:rPr>
                <w:rFonts w:ascii="Arial" w:hAnsi="Arial" w:cs="Arial"/>
                <w:sz w:val="16"/>
              </w:rPr>
              <w:t>; seguido de 1200 mg</w:t>
            </w:r>
            <w:r>
              <w:rPr>
                <w:rFonts w:ascii="Arial" w:hAnsi="Arial" w:cs="Arial"/>
                <w:sz w:val="16"/>
              </w:rPr>
              <w:t>/</w:t>
            </w:r>
            <w:r w:rsidRPr="00615D63">
              <w:rPr>
                <w:rFonts w:ascii="Arial" w:hAnsi="Arial" w:cs="Arial"/>
                <w:sz w:val="16"/>
              </w:rPr>
              <w:t xml:space="preserve">5ª </w:t>
            </w:r>
            <w:proofErr w:type="spellStart"/>
            <w:r w:rsidRPr="00615D63">
              <w:rPr>
                <w:rFonts w:ascii="Arial" w:hAnsi="Arial" w:cs="Arial"/>
                <w:sz w:val="16"/>
              </w:rPr>
              <w:t>s</w:t>
            </w:r>
            <w:r w:rsidRPr="00E12AA5">
              <w:rPr>
                <w:rFonts w:ascii="Arial" w:hAnsi="Arial" w:cs="Arial"/>
                <w:sz w:val="16"/>
              </w:rPr>
              <w:t>em</w:t>
            </w:r>
            <w:proofErr w:type="spellEnd"/>
            <w:r w:rsidRPr="00E12AA5">
              <w:rPr>
                <w:rFonts w:ascii="Arial" w:hAnsi="Arial" w:cs="Arial"/>
                <w:sz w:val="16"/>
              </w:rPr>
              <w:t>, y mantener con 1.200 mg/</w:t>
            </w:r>
            <w:r w:rsidRPr="00615D63">
              <w:rPr>
                <w:rFonts w:ascii="Arial" w:hAnsi="Arial" w:cs="Arial"/>
                <w:sz w:val="16"/>
              </w:rPr>
              <w:t>14 ±</w:t>
            </w:r>
            <w:r>
              <w:rPr>
                <w:rFonts w:ascii="Arial" w:hAnsi="Arial" w:cs="Arial"/>
                <w:sz w:val="16"/>
              </w:rPr>
              <w:t xml:space="preserve"> </w:t>
            </w:r>
            <w:r w:rsidRPr="00615D63">
              <w:rPr>
                <w:rFonts w:ascii="Arial" w:hAnsi="Arial" w:cs="Arial"/>
                <w:sz w:val="16"/>
              </w:rPr>
              <w:t>2</w:t>
            </w:r>
            <w:r>
              <w:rPr>
                <w:rFonts w:ascii="Arial" w:hAnsi="Arial" w:cs="Arial"/>
                <w:sz w:val="16"/>
              </w:rPr>
              <w:t xml:space="preserve"> </w:t>
            </w:r>
            <w:r w:rsidRPr="00615D63">
              <w:rPr>
                <w:rFonts w:ascii="Arial" w:hAnsi="Arial" w:cs="Arial"/>
                <w:sz w:val="16"/>
              </w:rPr>
              <w:t>ó 3 días</w:t>
            </w:r>
          </w:p>
        </w:tc>
      </w:tr>
      <w:tr w:rsidR="00556DFF" w:rsidRPr="006F6ABB" w:rsidTr="00615D63">
        <w:trPr>
          <w:gridAfter w:val="1"/>
          <w:wAfter w:w="31" w:type="dxa"/>
        </w:trPr>
        <w:tc>
          <w:tcPr>
            <w:tcW w:w="3047" w:type="dxa"/>
          </w:tcPr>
          <w:p w:rsidR="00556DFF" w:rsidRPr="006F6ABB" w:rsidRDefault="00556DFF" w:rsidP="00BC3E8E">
            <w:pPr>
              <w:jc w:val="both"/>
              <w:rPr>
                <w:rFonts w:ascii="Arial" w:hAnsi="Arial" w:cs="Arial"/>
              </w:rPr>
            </w:pPr>
            <w:r w:rsidRPr="006F6ABB">
              <w:rPr>
                <w:rFonts w:ascii="Arial" w:hAnsi="Arial" w:cs="Arial"/>
                <w:b/>
                <w:sz w:val="16"/>
              </w:rPr>
              <w:t>Coste día</w:t>
            </w:r>
          </w:p>
        </w:tc>
        <w:tc>
          <w:tcPr>
            <w:tcW w:w="5812" w:type="dxa"/>
          </w:tcPr>
          <w:p w:rsidR="00556DFF" w:rsidRPr="00615D63" w:rsidRDefault="00556DFF" w:rsidP="00BC3E8E">
            <w:pPr>
              <w:jc w:val="both"/>
              <w:rPr>
                <w:rFonts w:ascii="Arial" w:hAnsi="Arial" w:cs="Arial"/>
                <w:sz w:val="16"/>
              </w:rPr>
            </w:pPr>
            <w:r w:rsidRPr="00E12AA5">
              <w:rPr>
                <w:rFonts w:ascii="Arial" w:hAnsi="Arial" w:cs="Arial"/>
                <w:sz w:val="16"/>
              </w:rPr>
              <w:t>1.542,67</w:t>
            </w:r>
            <w:r w:rsidRPr="00E032D0">
              <w:rPr>
                <w:rFonts w:ascii="Arial" w:hAnsi="Arial" w:cs="Arial"/>
                <w:sz w:val="16"/>
                <w:szCs w:val="16"/>
              </w:rPr>
              <w:t xml:space="preserve"> €</w:t>
            </w:r>
            <w:r w:rsidRPr="00615D63">
              <w:rPr>
                <w:rFonts w:ascii="Arial" w:hAnsi="Arial" w:cs="Arial"/>
                <w:sz w:val="16"/>
              </w:rPr>
              <w:t>/día</w:t>
            </w:r>
          </w:p>
        </w:tc>
      </w:tr>
      <w:tr w:rsidR="00556DFF" w:rsidRPr="006F6ABB" w:rsidTr="003507BB">
        <w:trPr>
          <w:gridAfter w:val="1"/>
          <w:wAfter w:w="31" w:type="dxa"/>
          <w:trHeight w:val="184"/>
        </w:trPr>
        <w:tc>
          <w:tcPr>
            <w:tcW w:w="3047" w:type="dxa"/>
          </w:tcPr>
          <w:p w:rsidR="00556DFF" w:rsidRPr="006F6ABB" w:rsidRDefault="00556DFF" w:rsidP="00BC3E8E">
            <w:pPr>
              <w:rPr>
                <w:rFonts w:ascii="Arial" w:hAnsi="Arial" w:cs="Arial"/>
                <w:sz w:val="16"/>
              </w:rPr>
            </w:pPr>
            <w:r w:rsidRPr="006F6ABB">
              <w:rPr>
                <w:rFonts w:ascii="Arial" w:hAnsi="Arial" w:cs="Arial"/>
                <w:b/>
                <w:sz w:val="16"/>
              </w:rPr>
              <w:t>Coste tratamiento</w:t>
            </w:r>
            <w:r>
              <w:rPr>
                <w:rFonts w:ascii="Arial" w:hAnsi="Arial" w:cs="Arial"/>
                <w:b/>
                <w:sz w:val="16"/>
              </w:rPr>
              <w:t xml:space="preserve"> 26 semanas</w:t>
            </w:r>
          </w:p>
          <w:p w:rsidR="00556DFF" w:rsidRPr="006F6ABB" w:rsidRDefault="00556DFF" w:rsidP="00BC3E8E">
            <w:pPr>
              <w:rPr>
                <w:rFonts w:ascii="Arial" w:hAnsi="Arial" w:cs="Arial"/>
                <w:sz w:val="16"/>
              </w:rPr>
            </w:pPr>
          </w:p>
        </w:tc>
        <w:tc>
          <w:tcPr>
            <w:tcW w:w="5812" w:type="dxa"/>
          </w:tcPr>
          <w:p w:rsidR="00556DFF" w:rsidRPr="00615D63" w:rsidRDefault="00556DFF" w:rsidP="00235F69">
            <w:pPr>
              <w:jc w:val="both"/>
              <w:rPr>
                <w:rFonts w:ascii="Arial" w:hAnsi="Arial" w:cs="Arial"/>
                <w:sz w:val="16"/>
              </w:rPr>
            </w:pPr>
            <w:r>
              <w:rPr>
                <w:rFonts w:ascii="Arial" w:hAnsi="Arial" w:cs="Arial"/>
                <w:sz w:val="16"/>
              </w:rPr>
              <w:t xml:space="preserve">277.680 </w:t>
            </w:r>
            <w:r w:rsidRPr="00E032D0">
              <w:rPr>
                <w:rFonts w:ascii="Arial" w:hAnsi="Arial" w:cs="Arial"/>
                <w:sz w:val="16"/>
                <w:szCs w:val="16"/>
              </w:rPr>
              <w:t>€</w:t>
            </w:r>
            <w:r>
              <w:rPr>
                <w:rFonts w:ascii="Arial" w:hAnsi="Arial" w:cs="Arial"/>
                <w:sz w:val="16"/>
                <w:szCs w:val="16"/>
              </w:rPr>
              <w:t xml:space="preserve">   </w:t>
            </w:r>
          </w:p>
        </w:tc>
      </w:tr>
      <w:tr w:rsidR="00556DFF" w:rsidRPr="006F6ABB" w:rsidTr="003507BB">
        <w:trPr>
          <w:gridAfter w:val="1"/>
          <w:wAfter w:w="31" w:type="dxa"/>
          <w:trHeight w:val="184"/>
        </w:trPr>
        <w:tc>
          <w:tcPr>
            <w:tcW w:w="3047" w:type="dxa"/>
          </w:tcPr>
          <w:p w:rsidR="00556DFF" w:rsidRPr="006F6ABB" w:rsidRDefault="00556DFF" w:rsidP="00BC3E8E">
            <w:pPr>
              <w:rPr>
                <w:rFonts w:ascii="Arial" w:hAnsi="Arial" w:cs="Arial"/>
                <w:b/>
                <w:sz w:val="16"/>
              </w:rPr>
            </w:pPr>
            <w:r>
              <w:rPr>
                <w:rFonts w:ascii="Arial" w:hAnsi="Arial" w:cs="Arial"/>
                <w:b/>
                <w:sz w:val="16"/>
              </w:rPr>
              <w:t>Coste tratamiento anual</w:t>
            </w:r>
          </w:p>
        </w:tc>
        <w:tc>
          <w:tcPr>
            <w:tcW w:w="5812" w:type="dxa"/>
          </w:tcPr>
          <w:p w:rsidR="00556DFF" w:rsidRDefault="00556DFF" w:rsidP="00235F69">
            <w:pPr>
              <w:jc w:val="both"/>
              <w:rPr>
                <w:rFonts w:ascii="Arial" w:hAnsi="Arial" w:cs="Arial"/>
                <w:sz w:val="16"/>
              </w:rPr>
            </w:pPr>
            <w:r>
              <w:rPr>
                <w:rFonts w:ascii="Arial" w:hAnsi="Arial" w:cs="Arial"/>
                <w:sz w:val="16"/>
              </w:rPr>
              <w:t>509.080</w:t>
            </w:r>
            <w:r w:rsidRPr="00E032D0">
              <w:rPr>
                <w:rFonts w:ascii="Arial" w:hAnsi="Arial" w:cs="Arial"/>
                <w:sz w:val="16"/>
                <w:szCs w:val="16"/>
              </w:rPr>
              <w:t xml:space="preserve"> €</w:t>
            </w:r>
            <w:r>
              <w:rPr>
                <w:rFonts w:ascii="Arial" w:hAnsi="Arial" w:cs="Arial"/>
                <w:sz w:val="16"/>
                <w:szCs w:val="16"/>
              </w:rPr>
              <w:t xml:space="preserve"> </w:t>
            </w:r>
          </w:p>
        </w:tc>
      </w:tr>
      <w:tr w:rsidR="00556DFF" w:rsidRPr="006F6ABB" w:rsidTr="00615D63">
        <w:trPr>
          <w:gridAfter w:val="1"/>
          <w:wAfter w:w="31" w:type="dxa"/>
        </w:trPr>
        <w:tc>
          <w:tcPr>
            <w:tcW w:w="3047" w:type="dxa"/>
          </w:tcPr>
          <w:p w:rsidR="00556DFF" w:rsidRPr="006F6ABB" w:rsidRDefault="00556DFF" w:rsidP="00BC3E8E">
            <w:pPr>
              <w:jc w:val="both"/>
              <w:rPr>
                <w:rFonts w:ascii="Arial" w:hAnsi="Arial" w:cs="Arial"/>
                <w:b/>
                <w:sz w:val="16"/>
              </w:rPr>
            </w:pPr>
            <w:r w:rsidRPr="006F6ABB">
              <w:rPr>
                <w:rFonts w:ascii="Arial" w:hAnsi="Arial" w:cs="Arial"/>
                <w:b/>
                <w:sz w:val="16"/>
              </w:rPr>
              <w:t>Costes directos asociados  *</w:t>
            </w:r>
          </w:p>
        </w:tc>
        <w:tc>
          <w:tcPr>
            <w:tcW w:w="5812" w:type="dxa"/>
          </w:tcPr>
          <w:p w:rsidR="00556DFF" w:rsidRPr="00615D63" w:rsidRDefault="00556DFF" w:rsidP="00BC3E8E">
            <w:pPr>
              <w:jc w:val="both"/>
              <w:rPr>
                <w:rFonts w:ascii="Arial" w:hAnsi="Arial" w:cs="Arial"/>
                <w:sz w:val="16"/>
              </w:rPr>
            </w:pPr>
            <w:r w:rsidRPr="00615D63">
              <w:rPr>
                <w:rFonts w:ascii="Arial" w:hAnsi="Arial" w:cs="Arial"/>
                <w:sz w:val="16"/>
              </w:rPr>
              <w:t>114,30</w:t>
            </w:r>
            <w:r w:rsidRPr="00E032D0">
              <w:rPr>
                <w:rFonts w:ascii="Arial" w:hAnsi="Arial" w:cs="Arial"/>
                <w:sz w:val="16"/>
                <w:szCs w:val="16"/>
              </w:rPr>
              <w:t>€</w:t>
            </w:r>
            <w:r w:rsidRPr="00615D63">
              <w:rPr>
                <w:rFonts w:ascii="Arial" w:hAnsi="Arial" w:cs="Arial"/>
                <w:sz w:val="16"/>
              </w:rPr>
              <w:t xml:space="preserve"> (estancia al día en la unidad de día)</w:t>
            </w:r>
            <w:r>
              <w:rPr>
                <w:rFonts w:ascii="Arial" w:hAnsi="Arial" w:cs="Arial"/>
                <w:sz w:val="16"/>
                <w:szCs w:val="16"/>
              </w:rPr>
              <w:t xml:space="preserve"> </w:t>
            </w:r>
          </w:p>
        </w:tc>
      </w:tr>
      <w:tr w:rsidR="00556DFF" w:rsidRPr="006F6ABB" w:rsidTr="00BC4227">
        <w:trPr>
          <w:gridAfter w:val="1"/>
          <w:wAfter w:w="31" w:type="dxa"/>
          <w:trHeight w:val="184"/>
        </w:trPr>
        <w:tc>
          <w:tcPr>
            <w:tcW w:w="3047" w:type="dxa"/>
          </w:tcPr>
          <w:p w:rsidR="00556DFF" w:rsidRPr="006F6ABB" w:rsidRDefault="00556DFF" w:rsidP="00BC3E8E">
            <w:pPr>
              <w:rPr>
                <w:rFonts w:ascii="Arial" w:hAnsi="Arial" w:cs="Arial"/>
                <w:b/>
                <w:sz w:val="16"/>
              </w:rPr>
            </w:pPr>
            <w:r w:rsidRPr="006F6ABB">
              <w:rPr>
                <w:rFonts w:ascii="Arial" w:hAnsi="Arial" w:cs="Arial"/>
                <w:b/>
                <w:sz w:val="16"/>
              </w:rPr>
              <w:t xml:space="preserve">Coste global  </w:t>
            </w:r>
            <w:r>
              <w:rPr>
                <w:rFonts w:ascii="Arial" w:hAnsi="Arial" w:cs="Arial"/>
                <w:b/>
                <w:sz w:val="16"/>
              </w:rPr>
              <w:t>26 semanas</w:t>
            </w:r>
          </w:p>
        </w:tc>
        <w:tc>
          <w:tcPr>
            <w:tcW w:w="5812" w:type="dxa"/>
          </w:tcPr>
          <w:p w:rsidR="00556DFF" w:rsidRDefault="00556DFF" w:rsidP="00BC3E8E">
            <w:pPr>
              <w:jc w:val="both"/>
              <w:rPr>
                <w:rFonts w:ascii="Arial" w:hAnsi="Arial" w:cs="Arial"/>
                <w:sz w:val="16"/>
                <w:szCs w:val="16"/>
              </w:rPr>
            </w:pPr>
            <w:r>
              <w:rPr>
                <w:rFonts w:ascii="Arial" w:hAnsi="Arial" w:cs="Arial"/>
                <w:sz w:val="16"/>
                <w:szCs w:val="16"/>
              </w:rPr>
              <w:t xml:space="preserve">279.508,8 </w:t>
            </w:r>
            <w:r w:rsidRPr="00E032D0">
              <w:rPr>
                <w:rFonts w:ascii="Arial" w:hAnsi="Arial" w:cs="Arial"/>
                <w:sz w:val="16"/>
                <w:szCs w:val="16"/>
              </w:rPr>
              <w:t>€</w:t>
            </w:r>
          </w:p>
          <w:p w:rsidR="00556DFF" w:rsidRPr="00615D63" w:rsidRDefault="00556DFF" w:rsidP="00BC3E8E">
            <w:pPr>
              <w:jc w:val="both"/>
              <w:rPr>
                <w:rFonts w:ascii="Arial" w:hAnsi="Arial" w:cs="Arial"/>
                <w:sz w:val="16"/>
              </w:rPr>
            </w:pPr>
            <w:r>
              <w:rPr>
                <w:rFonts w:ascii="Arial" w:hAnsi="Arial" w:cs="Arial"/>
                <w:sz w:val="16"/>
                <w:szCs w:val="16"/>
              </w:rPr>
              <w:t xml:space="preserve">16 visitas unidad de días=1828,8 </w:t>
            </w:r>
            <w:r w:rsidRPr="00E032D0">
              <w:rPr>
                <w:rFonts w:ascii="Arial" w:hAnsi="Arial" w:cs="Arial"/>
                <w:sz w:val="16"/>
                <w:szCs w:val="16"/>
              </w:rPr>
              <w:t>€</w:t>
            </w:r>
          </w:p>
        </w:tc>
      </w:tr>
      <w:tr w:rsidR="00556DFF" w:rsidRPr="006F6ABB" w:rsidTr="00BC4227">
        <w:trPr>
          <w:gridAfter w:val="1"/>
          <w:wAfter w:w="31" w:type="dxa"/>
          <w:trHeight w:val="184"/>
        </w:trPr>
        <w:tc>
          <w:tcPr>
            <w:tcW w:w="3047" w:type="dxa"/>
          </w:tcPr>
          <w:p w:rsidR="00556DFF" w:rsidRPr="006F6ABB" w:rsidRDefault="00556DFF" w:rsidP="00BC4227">
            <w:pPr>
              <w:rPr>
                <w:rFonts w:ascii="Arial" w:hAnsi="Arial" w:cs="Arial"/>
                <w:b/>
                <w:sz w:val="16"/>
              </w:rPr>
            </w:pPr>
            <w:r w:rsidRPr="006F6ABB">
              <w:rPr>
                <w:rFonts w:ascii="Arial" w:hAnsi="Arial" w:cs="Arial"/>
                <w:b/>
                <w:sz w:val="16"/>
              </w:rPr>
              <w:t xml:space="preserve">Coste global  </w:t>
            </w:r>
            <w:r>
              <w:rPr>
                <w:rFonts w:ascii="Arial" w:hAnsi="Arial" w:cs="Arial"/>
                <w:b/>
                <w:sz w:val="16"/>
              </w:rPr>
              <w:t>anual</w:t>
            </w:r>
          </w:p>
          <w:p w:rsidR="00556DFF" w:rsidRPr="006F6ABB" w:rsidRDefault="00556DFF" w:rsidP="00BC3E8E">
            <w:pPr>
              <w:rPr>
                <w:rFonts w:ascii="Arial" w:hAnsi="Arial" w:cs="Arial"/>
                <w:b/>
                <w:sz w:val="16"/>
              </w:rPr>
            </w:pPr>
          </w:p>
        </w:tc>
        <w:tc>
          <w:tcPr>
            <w:tcW w:w="5812" w:type="dxa"/>
          </w:tcPr>
          <w:p w:rsidR="00556DFF" w:rsidRDefault="00556DFF" w:rsidP="00BC3E8E">
            <w:pPr>
              <w:jc w:val="both"/>
              <w:rPr>
                <w:rFonts w:ascii="Arial" w:hAnsi="Arial" w:cs="Arial"/>
                <w:sz w:val="16"/>
                <w:szCs w:val="16"/>
              </w:rPr>
            </w:pPr>
            <w:r>
              <w:rPr>
                <w:rFonts w:ascii="Arial" w:hAnsi="Arial" w:cs="Arial"/>
                <w:sz w:val="16"/>
                <w:szCs w:val="16"/>
              </w:rPr>
              <w:t xml:space="preserve">512.337,55 </w:t>
            </w:r>
            <w:r w:rsidRPr="00E032D0">
              <w:rPr>
                <w:rFonts w:ascii="Arial" w:hAnsi="Arial" w:cs="Arial"/>
                <w:sz w:val="16"/>
                <w:szCs w:val="16"/>
              </w:rPr>
              <w:t>€</w:t>
            </w:r>
          </w:p>
          <w:p w:rsidR="00556DFF" w:rsidRDefault="00556DFF" w:rsidP="00BC3E8E">
            <w:pPr>
              <w:jc w:val="both"/>
              <w:rPr>
                <w:rFonts w:ascii="Arial" w:hAnsi="Arial" w:cs="Arial"/>
                <w:sz w:val="16"/>
                <w:szCs w:val="16"/>
              </w:rPr>
            </w:pPr>
            <w:r>
              <w:rPr>
                <w:rFonts w:ascii="Arial" w:hAnsi="Arial" w:cs="Arial"/>
                <w:sz w:val="16"/>
                <w:szCs w:val="16"/>
              </w:rPr>
              <w:t>28,5 visitas unidad de día=3257,55 euros</w:t>
            </w:r>
          </w:p>
        </w:tc>
      </w:tr>
      <w:tr w:rsidR="00556DFF" w:rsidRPr="006F6ABB">
        <w:trPr>
          <w:cantSplit/>
        </w:trPr>
        <w:tc>
          <w:tcPr>
            <w:tcW w:w="8890" w:type="dxa"/>
            <w:gridSpan w:val="3"/>
            <w:shd w:val="clear" w:color="auto" w:fill="E6E6E6"/>
          </w:tcPr>
          <w:p w:rsidR="00556DFF" w:rsidRPr="006F6ABB" w:rsidRDefault="00556DFF" w:rsidP="00BC3E8E">
            <w:pPr>
              <w:jc w:val="both"/>
              <w:rPr>
                <w:rFonts w:ascii="Arial" w:hAnsi="Arial" w:cs="Arial"/>
                <w:sz w:val="16"/>
              </w:rPr>
            </w:pPr>
            <w:r w:rsidRPr="006F6ABB">
              <w:rPr>
                <w:rFonts w:ascii="Arial" w:hAnsi="Arial" w:cs="Arial"/>
                <w:sz w:val="16"/>
              </w:rPr>
              <w:t>*</w:t>
            </w:r>
            <w:r>
              <w:rPr>
                <w:rFonts w:ascii="Arial" w:hAnsi="Arial" w:cs="Arial"/>
                <w:sz w:val="16"/>
              </w:rPr>
              <w:t xml:space="preserve">Se obtienen los datos de la </w:t>
            </w:r>
            <w:proofErr w:type="spellStart"/>
            <w:r>
              <w:rPr>
                <w:rFonts w:ascii="Arial" w:hAnsi="Arial" w:cs="Arial"/>
                <w:sz w:val="16"/>
              </w:rPr>
              <w:t>pag</w:t>
            </w:r>
            <w:proofErr w:type="spellEnd"/>
            <w:r>
              <w:rPr>
                <w:rFonts w:ascii="Arial" w:hAnsi="Arial" w:cs="Arial"/>
                <w:sz w:val="16"/>
              </w:rPr>
              <w:t xml:space="preserve"> web: http://www.ffis.es/investigacion/precios_pruebas.php.</w:t>
            </w:r>
          </w:p>
          <w:p w:rsidR="00556DFF" w:rsidRPr="006F6ABB" w:rsidRDefault="00556DFF" w:rsidP="00BC3E8E">
            <w:pPr>
              <w:jc w:val="both"/>
              <w:rPr>
                <w:rFonts w:ascii="Arial" w:hAnsi="Arial" w:cs="Arial"/>
                <w:sz w:val="16"/>
              </w:rPr>
            </w:pPr>
          </w:p>
        </w:tc>
      </w:tr>
    </w:tbl>
    <w:p w:rsidR="00556DFF" w:rsidRPr="006F6ABB" w:rsidRDefault="00556DFF" w:rsidP="00BC3E8E">
      <w:pPr>
        <w:jc w:val="both"/>
        <w:rPr>
          <w:rFonts w:ascii="Arial" w:hAnsi="Arial" w:cs="Arial"/>
        </w:rPr>
      </w:pPr>
    </w:p>
    <w:p w:rsidR="00556DFF" w:rsidRDefault="00556DFF" w:rsidP="00BC3E8E">
      <w:pPr>
        <w:jc w:val="both"/>
        <w:rPr>
          <w:rFonts w:ascii="Arial" w:hAnsi="Arial" w:cs="Arial"/>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18" w:name="_Toc344399658"/>
      <w:bookmarkStart w:id="119" w:name="_Toc348931389"/>
      <w:bookmarkStart w:id="120" w:name="_Toc517462785"/>
      <w:r w:rsidRPr="00E3472F">
        <w:rPr>
          <w:rFonts w:cs="Arial"/>
          <w:sz w:val="20"/>
        </w:rPr>
        <w:t>7.2.a Coste eficacia incremental. Estudios publicados</w:t>
      </w:r>
      <w:bookmarkEnd w:id="118"/>
      <w:bookmarkEnd w:id="119"/>
      <w:bookmarkEnd w:id="120"/>
      <w:r w:rsidRPr="00E3472F">
        <w:rPr>
          <w:rFonts w:cs="Arial"/>
          <w:sz w:val="20"/>
        </w:rPr>
        <w:t xml:space="preserve">  </w:t>
      </w:r>
    </w:p>
    <w:p w:rsidR="00556DFF" w:rsidRPr="006F6ABB" w:rsidRDefault="00556DFF" w:rsidP="00BC3E8E">
      <w:pPr>
        <w:jc w:val="both"/>
        <w:rPr>
          <w:rFonts w:ascii="Arial" w:hAnsi="Arial" w:cs="Arial"/>
          <w:sz w:val="20"/>
          <w:szCs w:val="20"/>
        </w:rPr>
      </w:pPr>
    </w:p>
    <w:p w:rsidR="00556DFF" w:rsidRPr="00E032D0" w:rsidRDefault="00556DFF" w:rsidP="00877A56">
      <w:pPr>
        <w:rPr>
          <w:rFonts w:ascii="Arial" w:hAnsi="Arial" w:cs="Arial"/>
          <w:sz w:val="20"/>
          <w:szCs w:val="20"/>
        </w:rPr>
      </w:pPr>
      <w:r>
        <w:rPr>
          <w:rFonts w:ascii="Arial" w:hAnsi="Arial" w:cs="Arial"/>
          <w:sz w:val="20"/>
          <w:szCs w:val="20"/>
        </w:rPr>
        <w:t>No s</w:t>
      </w:r>
      <w:r w:rsidRPr="00E032D0">
        <w:rPr>
          <w:rFonts w:ascii="Arial" w:hAnsi="Arial" w:cs="Arial"/>
          <w:sz w:val="20"/>
          <w:szCs w:val="20"/>
        </w:rPr>
        <w:t>e dispone</w:t>
      </w:r>
      <w:r>
        <w:rPr>
          <w:rFonts w:ascii="Arial" w:hAnsi="Arial" w:cs="Arial"/>
          <w:sz w:val="20"/>
          <w:szCs w:val="20"/>
        </w:rPr>
        <w:t>n</w:t>
      </w:r>
      <w:r w:rsidRPr="00E032D0">
        <w:rPr>
          <w:rFonts w:ascii="Arial" w:hAnsi="Arial" w:cs="Arial"/>
          <w:sz w:val="20"/>
          <w:szCs w:val="20"/>
        </w:rPr>
        <w:t xml:space="preserve"> de estudios farmacoeconómicos publicados </w:t>
      </w:r>
      <w:r>
        <w:rPr>
          <w:rFonts w:ascii="Arial" w:hAnsi="Arial" w:cs="Arial"/>
          <w:sz w:val="20"/>
          <w:szCs w:val="20"/>
        </w:rPr>
        <w:t xml:space="preserve">sobre el </w:t>
      </w:r>
      <w:proofErr w:type="spellStart"/>
      <w:r>
        <w:rPr>
          <w:rFonts w:ascii="Arial" w:hAnsi="Arial" w:cs="Arial"/>
          <w:sz w:val="20"/>
          <w:szCs w:val="20"/>
        </w:rPr>
        <w:t>eculizumab</w:t>
      </w:r>
      <w:proofErr w:type="spellEnd"/>
      <w:r>
        <w:rPr>
          <w:rFonts w:ascii="Arial" w:hAnsi="Arial" w:cs="Arial"/>
          <w:sz w:val="20"/>
          <w:szCs w:val="20"/>
        </w:rPr>
        <w:t xml:space="preserve"> y MG generalizada.</w:t>
      </w:r>
    </w:p>
    <w:p w:rsidR="00556DFF" w:rsidRDefault="00556DFF" w:rsidP="00BC3E8E">
      <w:pPr>
        <w:rPr>
          <w:rFonts w:ascii="Arial" w:hAnsi="Arial" w:cs="Arial"/>
          <w:b/>
          <w:color w:val="0000FF"/>
          <w:sz w:val="20"/>
          <w:szCs w:val="20"/>
        </w:rPr>
      </w:pPr>
    </w:p>
    <w:p w:rsidR="00556DFF" w:rsidRPr="00E032D0" w:rsidRDefault="00556DFF" w:rsidP="00BC3E8E">
      <w:pPr>
        <w:rPr>
          <w:rFonts w:ascii="Arial" w:hAnsi="Arial" w:cs="Arial"/>
          <w:b/>
          <w:color w:val="0000FF"/>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1" w:name="_Toc344399659"/>
      <w:bookmarkStart w:id="122" w:name="_Toc348931390"/>
      <w:bookmarkStart w:id="123" w:name="_Toc517462786"/>
      <w:r w:rsidRPr="00E3472F">
        <w:rPr>
          <w:rFonts w:cs="Arial"/>
          <w:sz w:val="20"/>
        </w:rPr>
        <w:t>7.2.b Coste eficacia incremental (CEI). Datos propios</w:t>
      </w:r>
      <w:bookmarkEnd w:id="121"/>
      <w:bookmarkEnd w:id="122"/>
      <w:bookmarkEnd w:id="123"/>
    </w:p>
    <w:p w:rsidR="00556DFF" w:rsidRDefault="00556DFF" w:rsidP="00BC3E8E">
      <w:pPr>
        <w:pStyle w:val="Encabezado"/>
        <w:tabs>
          <w:tab w:val="clear" w:pos="4252"/>
          <w:tab w:val="clear" w:pos="850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180"/>
        <w:gridCol w:w="1620"/>
        <w:gridCol w:w="1080"/>
        <w:gridCol w:w="1096"/>
        <w:gridCol w:w="1444"/>
        <w:gridCol w:w="1076"/>
        <w:gridCol w:w="1233"/>
      </w:tblGrid>
      <w:tr w:rsidR="00556DFF" w:rsidRPr="006F6ABB">
        <w:trPr>
          <w:cantSplit/>
        </w:trPr>
        <w:tc>
          <w:tcPr>
            <w:tcW w:w="8879" w:type="dxa"/>
            <w:gridSpan w:val="8"/>
            <w:shd w:val="clear" w:color="auto" w:fill="CCFFCC"/>
          </w:tcPr>
          <w:p w:rsidR="00556DFF" w:rsidRPr="006F6ABB" w:rsidRDefault="00556DFF" w:rsidP="00BC3E8E">
            <w:pPr>
              <w:rPr>
                <w:rFonts w:ascii="Arial" w:hAnsi="Arial" w:cs="Arial"/>
                <w:b/>
              </w:rPr>
            </w:pPr>
            <w:r>
              <w:rPr>
                <w:rFonts w:ascii="Arial" w:hAnsi="Arial" w:cs="Arial"/>
                <w:b/>
                <w:sz w:val="20"/>
                <w:szCs w:val="20"/>
              </w:rPr>
              <w:t xml:space="preserve">Tabla 5. </w:t>
            </w:r>
            <w:r w:rsidRPr="006F6ABB">
              <w:rPr>
                <w:rFonts w:ascii="Arial" w:hAnsi="Arial" w:cs="Arial"/>
                <w:b/>
                <w:sz w:val="20"/>
                <w:szCs w:val="20"/>
              </w:rPr>
              <w:t>Coste Eficacia Incremental (CEI)Variables continuas</w:t>
            </w:r>
          </w:p>
        </w:tc>
      </w:tr>
      <w:tr w:rsidR="00556DFF" w:rsidRPr="006F6ABB" w:rsidTr="003507BB">
        <w:trPr>
          <w:cantSplit/>
        </w:trPr>
        <w:tc>
          <w:tcPr>
            <w:tcW w:w="1150" w:type="dxa"/>
            <w:shd w:val="clear" w:color="auto" w:fill="E0E0E0"/>
          </w:tcPr>
          <w:p w:rsidR="00556DFF" w:rsidRPr="006F6ABB" w:rsidRDefault="00556DFF" w:rsidP="00BC3E8E">
            <w:pPr>
              <w:rPr>
                <w:rFonts w:ascii="Arial" w:hAnsi="Arial" w:cs="Arial"/>
                <w:sz w:val="16"/>
                <w:lang w:val="es-ES_tradnl"/>
              </w:rPr>
            </w:pPr>
          </w:p>
        </w:tc>
        <w:tc>
          <w:tcPr>
            <w:tcW w:w="180" w:type="dxa"/>
            <w:shd w:val="clear" w:color="auto" w:fill="E0E0E0"/>
          </w:tcPr>
          <w:p w:rsidR="00556DFF" w:rsidRPr="006F6ABB" w:rsidRDefault="00556DFF" w:rsidP="00BC3E8E">
            <w:pPr>
              <w:rPr>
                <w:rFonts w:ascii="Arial" w:hAnsi="Arial" w:cs="Arial"/>
                <w:sz w:val="16"/>
                <w:lang w:val="es-ES_tradnl"/>
              </w:rPr>
            </w:pPr>
          </w:p>
        </w:tc>
        <w:tc>
          <w:tcPr>
            <w:tcW w:w="1620" w:type="dxa"/>
            <w:shd w:val="clear" w:color="auto" w:fill="E0E0E0"/>
          </w:tcPr>
          <w:p w:rsidR="00556DFF" w:rsidRPr="006F6ABB" w:rsidRDefault="00556DFF" w:rsidP="00BC3E8E">
            <w:pPr>
              <w:rPr>
                <w:rFonts w:ascii="Arial" w:hAnsi="Arial" w:cs="Arial"/>
                <w:sz w:val="16"/>
                <w:lang w:val="es-ES_tradnl"/>
              </w:rPr>
            </w:pPr>
            <w:r w:rsidRPr="006F6ABB">
              <w:rPr>
                <w:rFonts w:ascii="Arial" w:hAnsi="Arial" w:cs="Arial"/>
                <w:b/>
                <w:sz w:val="16"/>
              </w:rPr>
              <w:t>VARIABLE  evaluada</w:t>
            </w:r>
          </w:p>
        </w:tc>
        <w:tc>
          <w:tcPr>
            <w:tcW w:w="1080" w:type="dxa"/>
            <w:shd w:val="clear" w:color="auto" w:fill="E0E0E0"/>
          </w:tcPr>
          <w:p w:rsidR="00556DFF" w:rsidRPr="006F6ABB" w:rsidRDefault="00556DFF" w:rsidP="00BC3E8E">
            <w:pPr>
              <w:rPr>
                <w:rFonts w:ascii="Arial" w:hAnsi="Arial" w:cs="Arial"/>
                <w:sz w:val="16"/>
                <w:lang w:val="es-ES_tradnl"/>
              </w:rPr>
            </w:pPr>
            <w:r w:rsidRPr="006F6ABB">
              <w:rPr>
                <w:rFonts w:ascii="Arial" w:hAnsi="Arial" w:cs="Arial"/>
                <w:b/>
                <w:sz w:val="16"/>
              </w:rPr>
              <w:t xml:space="preserve">Eficacia de </w:t>
            </w:r>
            <w:proofErr w:type="spellStart"/>
            <w:r>
              <w:rPr>
                <w:rFonts w:ascii="Arial" w:hAnsi="Arial" w:cs="Arial"/>
                <w:b/>
                <w:sz w:val="16"/>
              </w:rPr>
              <w:t>Eculizumab</w:t>
            </w:r>
            <w:proofErr w:type="spellEnd"/>
          </w:p>
        </w:tc>
        <w:tc>
          <w:tcPr>
            <w:tcW w:w="1096" w:type="dxa"/>
            <w:shd w:val="clear" w:color="auto" w:fill="E0E0E0"/>
          </w:tcPr>
          <w:p w:rsidR="00556DFF" w:rsidRPr="006F6ABB" w:rsidRDefault="00556DFF" w:rsidP="00BC3E8E">
            <w:pPr>
              <w:rPr>
                <w:rFonts w:ascii="Arial" w:hAnsi="Arial" w:cs="Arial"/>
                <w:b/>
                <w:sz w:val="16"/>
              </w:rPr>
            </w:pPr>
            <w:r w:rsidRPr="006F6ABB">
              <w:rPr>
                <w:rFonts w:ascii="Arial" w:hAnsi="Arial" w:cs="Arial"/>
                <w:b/>
                <w:sz w:val="16"/>
              </w:rPr>
              <w:t xml:space="preserve">Eficacia de </w:t>
            </w:r>
            <w:r>
              <w:rPr>
                <w:rFonts w:ascii="Arial" w:hAnsi="Arial" w:cs="Arial"/>
                <w:b/>
                <w:sz w:val="16"/>
              </w:rPr>
              <w:t>placebo</w:t>
            </w:r>
          </w:p>
        </w:tc>
        <w:tc>
          <w:tcPr>
            <w:tcW w:w="1444" w:type="dxa"/>
            <w:shd w:val="clear" w:color="auto" w:fill="E0E0E0"/>
          </w:tcPr>
          <w:p w:rsidR="00556DFF" w:rsidRPr="006F6ABB" w:rsidRDefault="00556DFF" w:rsidP="00BC3E8E">
            <w:pPr>
              <w:rPr>
                <w:rFonts w:ascii="Arial" w:hAnsi="Arial" w:cs="Arial"/>
                <w:b/>
                <w:sz w:val="16"/>
                <w:lang w:val="es-ES_tradnl"/>
              </w:rPr>
            </w:pPr>
            <w:r w:rsidRPr="006F6ABB">
              <w:rPr>
                <w:rFonts w:ascii="Arial" w:hAnsi="Arial" w:cs="Arial"/>
                <w:b/>
                <w:sz w:val="16"/>
                <w:lang w:val="es-ES_tradnl"/>
              </w:rPr>
              <w:t>Diferencia de eficacia (IC95%)</w:t>
            </w:r>
          </w:p>
        </w:tc>
        <w:tc>
          <w:tcPr>
            <w:tcW w:w="1076" w:type="dxa"/>
            <w:shd w:val="clear" w:color="auto" w:fill="E0E0E0"/>
          </w:tcPr>
          <w:p w:rsidR="00556DFF" w:rsidRPr="006F6ABB" w:rsidRDefault="00556DFF" w:rsidP="00BC3E8E">
            <w:pPr>
              <w:rPr>
                <w:rFonts w:ascii="Arial" w:hAnsi="Arial" w:cs="Arial"/>
                <w:b/>
                <w:sz w:val="16"/>
              </w:rPr>
            </w:pPr>
            <w:r w:rsidRPr="006F6ABB">
              <w:rPr>
                <w:rFonts w:ascii="Arial" w:hAnsi="Arial" w:cs="Arial"/>
                <w:b/>
                <w:sz w:val="16"/>
              </w:rPr>
              <w:t>Coste incremental</w:t>
            </w:r>
          </w:p>
        </w:tc>
        <w:tc>
          <w:tcPr>
            <w:tcW w:w="1233" w:type="dxa"/>
            <w:shd w:val="clear" w:color="auto" w:fill="E0E0E0"/>
          </w:tcPr>
          <w:p w:rsidR="00556DFF" w:rsidRPr="006F6ABB" w:rsidRDefault="00556DFF" w:rsidP="00BC3E8E">
            <w:pPr>
              <w:rPr>
                <w:rFonts w:ascii="Arial" w:hAnsi="Arial" w:cs="Arial"/>
                <w:b/>
                <w:sz w:val="16"/>
                <w:lang w:val="es-ES_tradnl"/>
              </w:rPr>
            </w:pPr>
            <w:r w:rsidRPr="006F6ABB">
              <w:rPr>
                <w:rFonts w:ascii="Arial" w:hAnsi="Arial" w:cs="Arial"/>
                <w:b/>
                <w:sz w:val="16"/>
                <w:lang w:val="es-ES_tradnl"/>
              </w:rPr>
              <w:t>CEI (IC95%)</w:t>
            </w:r>
          </w:p>
        </w:tc>
      </w:tr>
      <w:tr w:rsidR="00556DFF" w:rsidRPr="006F6ABB" w:rsidTr="003507BB">
        <w:trPr>
          <w:cantSplit/>
        </w:trPr>
        <w:tc>
          <w:tcPr>
            <w:tcW w:w="1150" w:type="dxa"/>
          </w:tcPr>
          <w:p w:rsidR="00556DFF" w:rsidRPr="006F6ABB" w:rsidRDefault="00556DFF" w:rsidP="00381451">
            <w:pPr>
              <w:rPr>
                <w:rFonts w:ascii="Arial" w:hAnsi="Arial" w:cs="Arial"/>
                <w:sz w:val="16"/>
                <w:lang w:val="es-ES_tradnl"/>
              </w:rPr>
            </w:pPr>
            <w:r w:rsidRPr="0013713A">
              <w:rPr>
                <w:rFonts w:ascii="Arial" w:hAnsi="Arial" w:cs="Arial"/>
                <w:b/>
                <w:bCs/>
                <w:sz w:val="16"/>
              </w:rPr>
              <w:t xml:space="preserve">ECU-MG-301 </w:t>
            </w:r>
          </w:p>
        </w:tc>
        <w:tc>
          <w:tcPr>
            <w:tcW w:w="180" w:type="dxa"/>
          </w:tcPr>
          <w:p w:rsidR="00556DFF" w:rsidRPr="006F6ABB" w:rsidRDefault="00556DFF" w:rsidP="00381451">
            <w:pPr>
              <w:rPr>
                <w:rFonts w:ascii="Arial" w:hAnsi="Arial" w:cs="Arial"/>
                <w:sz w:val="16"/>
                <w:lang w:val="es-ES_tradnl"/>
              </w:rPr>
            </w:pPr>
          </w:p>
        </w:tc>
        <w:tc>
          <w:tcPr>
            <w:tcW w:w="1620" w:type="dxa"/>
          </w:tcPr>
          <w:p w:rsidR="00556DFF" w:rsidRDefault="00556DFF" w:rsidP="00381451">
            <w:pPr>
              <w:autoSpaceDE w:val="0"/>
              <w:autoSpaceDN w:val="0"/>
              <w:adjustRightInd w:val="0"/>
              <w:rPr>
                <w:rFonts w:ascii="Arial" w:hAnsi="Arial" w:cs="Arial"/>
                <w:color w:val="000000"/>
                <w:sz w:val="16"/>
                <w:szCs w:val="16"/>
              </w:rPr>
            </w:pPr>
            <w:r>
              <w:rPr>
                <w:rFonts w:ascii="Arial" w:hAnsi="Arial" w:cs="Arial"/>
                <w:color w:val="000000"/>
                <w:sz w:val="16"/>
                <w:szCs w:val="16"/>
              </w:rPr>
              <w:t>Cambio de</w:t>
            </w:r>
            <w:r w:rsidRPr="00C02992">
              <w:rPr>
                <w:rFonts w:ascii="Arial" w:hAnsi="Arial" w:cs="Arial"/>
                <w:color w:val="000000"/>
                <w:sz w:val="16"/>
                <w:szCs w:val="16"/>
              </w:rPr>
              <w:t xml:space="preserve"> la puntuación t</w:t>
            </w:r>
            <w:r>
              <w:rPr>
                <w:rFonts w:ascii="Arial" w:hAnsi="Arial" w:cs="Arial"/>
                <w:color w:val="000000"/>
                <w:sz w:val="16"/>
                <w:szCs w:val="16"/>
              </w:rPr>
              <w:t>otal de MG-ADL en la semana 26.</w:t>
            </w:r>
          </w:p>
          <w:p w:rsidR="00556DFF" w:rsidRPr="006F6ABB" w:rsidRDefault="00556DFF" w:rsidP="00381451">
            <w:pPr>
              <w:rPr>
                <w:rFonts w:ascii="Arial" w:hAnsi="Arial" w:cs="Arial"/>
                <w:sz w:val="16"/>
                <w:lang w:val="es-ES_tradnl"/>
              </w:rPr>
            </w:pPr>
            <w:r>
              <w:rPr>
                <w:rFonts w:ascii="Arial" w:hAnsi="Arial" w:cs="Arial"/>
                <w:color w:val="000000"/>
                <w:sz w:val="16"/>
                <w:szCs w:val="16"/>
              </w:rPr>
              <w:t>Media (DE)</w:t>
            </w:r>
          </w:p>
        </w:tc>
        <w:tc>
          <w:tcPr>
            <w:tcW w:w="1080" w:type="dxa"/>
          </w:tcPr>
          <w:p w:rsidR="00556DFF" w:rsidRDefault="00556DFF" w:rsidP="003507BB">
            <w:pPr>
              <w:jc w:val="center"/>
              <w:rPr>
                <w:rFonts w:ascii="Arial" w:hAnsi="Arial" w:cs="Arial"/>
                <w:i/>
                <w:sz w:val="16"/>
              </w:rPr>
            </w:pPr>
            <w:r>
              <w:rPr>
                <w:rFonts w:ascii="Arial" w:hAnsi="Arial" w:cs="Arial"/>
                <w:i/>
                <w:sz w:val="16"/>
              </w:rPr>
              <w:t xml:space="preserve">-4,7 </w:t>
            </w:r>
          </w:p>
          <w:p w:rsidR="00556DFF" w:rsidRPr="006F6ABB" w:rsidRDefault="00556DFF" w:rsidP="003507BB">
            <w:pPr>
              <w:jc w:val="center"/>
              <w:rPr>
                <w:rFonts w:ascii="Arial" w:hAnsi="Arial" w:cs="Arial"/>
                <w:sz w:val="16"/>
                <w:lang w:val="es-ES_tradnl"/>
              </w:rPr>
            </w:pPr>
            <w:r>
              <w:rPr>
                <w:rFonts w:ascii="Arial" w:hAnsi="Arial" w:cs="Arial"/>
                <w:i/>
                <w:sz w:val="16"/>
              </w:rPr>
              <w:t>(4,32) puntos</w:t>
            </w:r>
          </w:p>
        </w:tc>
        <w:tc>
          <w:tcPr>
            <w:tcW w:w="1096" w:type="dxa"/>
          </w:tcPr>
          <w:p w:rsidR="00556DFF" w:rsidRDefault="00556DFF" w:rsidP="003507BB">
            <w:pPr>
              <w:jc w:val="center"/>
              <w:rPr>
                <w:rFonts w:ascii="Arial" w:hAnsi="Arial" w:cs="Arial"/>
                <w:i/>
                <w:sz w:val="16"/>
              </w:rPr>
            </w:pPr>
            <w:r>
              <w:rPr>
                <w:rFonts w:ascii="Arial" w:hAnsi="Arial" w:cs="Arial"/>
                <w:i/>
                <w:sz w:val="16"/>
              </w:rPr>
              <w:t xml:space="preserve">-2,8 </w:t>
            </w:r>
          </w:p>
          <w:p w:rsidR="00556DFF" w:rsidRPr="006F6ABB" w:rsidRDefault="00556DFF" w:rsidP="003507BB">
            <w:pPr>
              <w:jc w:val="center"/>
              <w:rPr>
                <w:rFonts w:ascii="Arial" w:hAnsi="Arial" w:cs="Arial"/>
                <w:sz w:val="16"/>
                <w:lang w:val="es-ES_tradnl"/>
              </w:rPr>
            </w:pPr>
            <w:r>
              <w:rPr>
                <w:rFonts w:ascii="Arial" w:hAnsi="Arial" w:cs="Arial"/>
                <w:i/>
                <w:sz w:val="16"/>
              </w:rPr>
              <w:t>(3,07) puntos</w:t>
            </w:r>
          </w:p>
        </w:tc>
        <w:tc>
          <w:tcPr>
            <w:tcW w:w="1444" w:type="dxa"/>
          </w:tcPr>
          <w:p w:rsidR="00556DFF" w:rsidRDefault="00556DFF" w:rsidP="003507BB">
            <w:pPr>
              <w:jc w:val="center"/>
              <w:rPr>
                <w:rFonts w:ascii="Arial" w:hAnsi="Arial" w:cs="Arial"/>
                <w:i/>
                <w:sz w:val="16"/>
                <w:lang w:val="es-ES_tradnl"/>
              </w:rPr>
            </w:pPr>
            <w:r>
              <w:rPr>
                <w:rFonts w:ascii="Arial" w:hAnsi="Arial" w:cs="Arial"/>
                <w:i/>
                <w:sz w:val="16"/>
                <w:lang w:val="es-ES_tradnl"/>
              </w:rPr>
              <w:t>-1,9</w:t>
            </w:r>
          </w:p>
          <w:p w:rsidR="00556DFF" w:rsidRPr="006F6ABB" w:rsidRDefault="00556DFF" w:rsidP="003507BB">
            <w:pPr>
              <w:jc w:val="center"/>
              <w:rPr>
                <w:rFonts w:ascii="Arial" w:hAnsi="Arial" w:cs="Arial"/>
                <w:sz w:val="16"/>
                <w:lang w:val="en-GB"/>
              </w:rPr>
            </w:pPr>
            <w:r>
              <w:rPr>
                <w:rFonts w:ascii="Arial" w:hAnsi="Arial" w:cs="Arial"/>
                <w:i/>
                <w:sz w:val="16"/>
                <w:lang w:val="es-ES_tradnl"/>
              </w:rPr>
              <w:t xml:space="preserve"> (-3.22 a -0.57) puntos</w:t>
            </w:r>
          </w:p>
        </w:tc>
        <w:tc>
          <w:tcPr>
            <w:tcW w:w="1076" w:type="dxa"/>
          </w:tcPr>
          <w:p w:rsidR="00556DFF" w:rsidRPr="006F6ABB" w:rsidRDefault="00556DFF" w:rsidP="003507BB">
            <w:pPr>
              <w:jc w:val="center"/>
              <w:rPr>
                <w:rFonts w:ascii="Arial" w:hAnsi="Arial" w:cs="Arial"/>
                <w:sz w:val="16"/>
                <w:lang w:val="en-GB"/>
              </w:rPr>
            </w:pPr>
            <w:r>
              <w:rPr>
                <w:rFonts w:ascii="Arial" w:hAnsi="Arial" w:cs="Arial"/>
                <w:sz w:val="16"/>
                <w:lang w:val="en-GB"/>
              </w:rPr>
              <w:t>279.508,8</w:t>
            </w:r>
            <w:r w:rsidRPr="00E032D0">
              <w:rPr>
                <w:rFonts w:ascii="Arial" w:hAnsi="Arial" w:cs="Arial"/>
                <w:sz w:val="16"/>
                <w:szCs w:val="16"/>
              </w:rPr>
              <w:t>€</w:t>
            </w:r>
          </w:p>
        </w:tc>
        <w:tc>
          <w:tcPr>
            <w:tcW w:w="1233" w:type="dxa"/>
          </w:tcPr>
          <w:p w:rsidR="00556DFF" w:rsidRDefault="00556DFF" w:rsidP="003507BB">
            <w:pPr>
              <w:jc w:val="center"/>
              <w:rPr>
                <w:rFonts w:ascii="Arial" w:hAnsi="Arial" w:cs="Arial"/>
                <w:sz w:val="16"/>
                <w:szCs w:val="16"/>
              </w:rPr>
            </w:pPr>
            <w:r>
              <w:rPr>
                <w:rFonts w:ascii="Arial" w:hAnsi="Arial" w:cs="Arial"/>
                <w:sz w:val="16"/>
                <w:lang w:val="en-GB"/>
              </w:rPr>
              <w:t xml:space="preserve">147.109.9 </w:t>
            </w:r>
            <w:r w:rsidRPr="00E032D0">
              <w:rPr>
                <w:rFonts w:ascii="Arial" w:hAnsi="Arial" w:cs="Arial"/>
                <w:sz w:val="16"/>
                <w:szCs w:val="16"/>
              </w:rPr>
              <w:t>€</w:t>
            </w:r>
          </w:p>
          <w:p w:rsidR="00556DFF" w:rsidRPr="00D919BE" w:rsidRDefault="00556DFF" w:rsidP="003507BB">
            <w:pPr>
              <w:jc w:val="center"/>
              <w:rPr>
                <w:rFonts w:ascii="Arial" w:hAnsi="Arial" w:cs="Arial"/>
                <w:sz w:val="16"/>
              </w:rPr>
            </w:pPr>
            <w:r>
              <w:rPr>
                <w:rFonts w:ascii="Arial" w:hAnsi="Arial" w:cs="Arial"/>
                <w:sz w:val="16"/>
                <w:lang w:val="en-GB"/>
              </w:rPr>
              <w:t xml:space="preserve"> </w:t>
            </w:r>
            <w:r>
              <w:rPr>
                <w:rFonts w:ascii="Arial" w:hAnsi="Arial" w:cs="Arial"/>
                <w:sz w:val="16"/>
              </w:rPr>
              <w:t>(490.366</w:t>
            </w:r>
            <w:r w:rsidRPr="00D919BE">
              <w:rPr>
                <w:rFonts w:ascii="Arial" w:hAnsi="Arial" w:cs="Arial"/>
                <w:sz w:val="16"/>
              </w:rPr>
              <w:t>,</w:t>
            </w:r>
            <w:r>
              <w:rPr>
                <w:rFonts w:ascii="Arial" w:hAnsi="Arial" w:cs="Arial"/>
                <w:sz w:val="16"/>
              </w:rPr>
              <w:t>3</w:t>
            </w:r>
            <w:r w:rsidRPr="00E032D0">
              <w:rPr>
                <w:rFonts w:ascii="Arial" w:hAnsi="Arial" w:cs="Arial"/>
                <w:sz w:val="16"/>
                <w:szCs w:val="16"/>
              </w:rPr>
              <w:t>€</w:t>
            </w:r>
            <w:r>
              <w:rPr>
                <w:rFonts w:ascii="Arial" w:hAnsi="Arial" w:cs="Arial"/>
                <w:sz w:val="16"/>
              </w:rPr>
              <w:t>-86.803,9</w:t>
            </w:r>
            <w:r w:rsidRPr="00E032D0">
              <w:rPr>
                <w:rFonts w:ascii="Arial" w:hAnsi="Arial" w:cs="Arial"/>
                <w:sz w:val="16"/>
                <w:szCs w:val="16"/>
              </w:rPr>
              <w:t>€</w:t>
            </w:r>
            <w:r w:rsidRPr="00D919BE">
              <w:rPr>
                <w:rFonts w:ascii="Arial" w:hAnsi="Arial" w:cs="Arial"/>
                <w:sz w:val="16"/>
              </w:rPr>
              <w:t>)</w:t>
            </w:r>
          </w:p>
        </w:tc>
      </w:tr>
      <w:tr w:rsidR="00556DFF" w:rsidRPr="006F6ABB" w:rsidTr="00615D63">
        <w:trPr>
          <w:cantSplit/>
          <w:trHeight w:val="174"/>
        </w:trPr>
        <w:tc>
          <w:tcPr>
            <w:tcW w:w="8879" w:type="dxa"/>
            <w:gridSpan w:val="8"/>
          </w:tcPr>
          <w:p w:rsidR="00556DFF" w:rsidRPr="006F6ABB" w:rsidRDefault="00556DFF" w:rsidP="00BC3E8E">
            <w:pPr>
              <w:rPr>
                <w:rFonts w:ascii="Arial" w:hAnsi="Arial" w:cs="Arial"/>
                <w:sz w:val="16"/>
                <w:lang w:val="es-ES_tradnl"/>
              </w:rPr>
            </w:pPr>
            <w:r w:rsidRPr="006F6ABB">
              <w:rPr>
                <w:rFonts w:ascii="Arial" w:hAnsi="Arial" w:cs="Arial"/>
                <w:sz w:val="16"/>
              </w:rPr>
              <w:t>Los datos de eficacia se extraen del apartado 4.1 y las de coste incremental o diferencial del apartado 7.1</w:t>
            </w:r>
          </w:p>
        </w:tc>
      </w:tr>
    </w:tbl>
    <w:p w:rsidR="00556DFF" w:rsidRPr="006F6ABB" w:rsidRDefault="00556DFF" w:rsidP="00BC3E8E">
      <w:pPr>
        <w:pStyle w:val="Encabezado"/>
        <w:tabs>
          <w:tab w:val="clear" w:pos="4252"/>
          <w:tab w:val="clear" w:pos="8504"/>
        </w:tabs>
        <w:jc w:val="both"/>
        <w:rPr>
          <w:rFonts w:ascii="Arial" w:hAnsi="Arial" w:cs="Arial"/>
          <w:lang w:val="es-ES_tradnl"/>
        </w:rPr>
      </w:pPr>
    </w:p>
    <w:p w:rsidR="00556DFF" w:rsidRPr="00615D63" w:rsidRDefault="00556DFF" w:rsidP="00877A56">
      <w:pPr>
        <w:pStyle w:val="Encabezado"/>
        <w:tabs>
          <w:tab w:val="clear" w:pos="4252"/>
          <w:tab w:val="clear" w:pos="8504"/>
        </w:tabs>
        <w:jc w:val="both"/>
        <w:rPr>
          <w:rFonts w:ascii="Arial" w:hAnsi="Arial" w:cs="Arial"/>
        </w:rPr>
      </w:pPr>
      <w:r w:rsidRPr="00615D63">
        <w:rPr>
          <w:rFonts w:ascii="Arial" w:hAnsi="Arial" w:cs="Arial"/>
          <w:sz w:val="20"/>
        </w:rPr>
        <w:t>Según el estu</w:t>
      </w:r>
      <w:r>
        <w:rPr>
          <w:rFonts w:ascii="Arial" w:hAnsi="Arial" w:cs="Arial"/>
          <w:sz w:val="20"/>
        </w:rPr>
        <w:t>d</w:t>
      </w:r>
      <w:r w:rsidRPr="00615D63">
        <w:rPr>
          <w:rFonts w:ascii="Arial" w:hAnsi="Arial" w:cs="Arial"/>
          <w:sz w:val="20"/>
        </w:rPr>
        <w:t>io</w:t>
      </w:r>
      <w:r>
        <w:rPr>
          <w:rFonts w:ascii="Arial" w:hAnsi="Arial" w:cs="Arial"/>
        </w:rPr>
        <w:t xml:space="preserve"> </w:t>
      </w:r>
      <w:r w:rsidRPr="0013685B">
        <w:rPr>
          <w:rFonts w:ascii="Arial" w:hAnsi="Arial" w:cs="Arial"/>
          <w:sz w:val="20"/>
        </w:rPr>
        <w:t>ECU-MG-301</w:t>
      </w:r>
      <w:r>
        <w:rPr>
          <w:rFonts w:ascii="Arial" w:hAnsi="Arial" w:cs="Arial"/>
          <w:sz w:val="20"/>
        </w:rPr>
        <w:t xml:space="preserve">, y el coste de tratamiento, por cada punto del cuestionario MG-ADL en la semana 26, el </w:t>
      </w:r>
      <w:r w:rsidRPr="00615D63">
        <w:rPr>
          <w:rFonts w:ascii="Arial" w:hAnsi="Arial" w:cs="Arial"/>
          <w:sz w:val="20"/>
        </w:rPr>
        <w:t xml:space="preserve">coste </w:t>
      </w:r>
      <w:r>
        <w:rPr>
          <w:rFonts w:ascii="Arial" w:hAnsi="Arial" w:cs="Arial"/>
          <w:sz w:val="20"/>
        </w:rPr>
        <w:t>adicional estimado es de 147.109,9</w:t>
      </w:r>
      <w:r w:rsidRPr="00615D63">
        <w:rPr>
          <w:rFonts w:ascii="Arial" w:hAnsi="Arial" w:cs="Arial"/>
          <w:sz w:val="20"/>
        </w:rPr>
        <w:t xml:space="preserve">€, aunque también es compatible con un punto entre </w:t>
      </w:r>
      <w:r w:rsidRPr="00FB2099">
        <w:rPr>
          <w:rFonts w:ascii="Arial" w:hAnsi="Arial" w:cs="Arial"/>
          <w:sz w:val="20"/>
        </w:rPr>
        <w:t>490.366,3€</w:t>
      </w:r>
      <w:r>
        <w:rPr>
          <w:rFonts w:ascii="Arial" w:hAnsi="Arial" w:cs="Arial"/>
          <w:sz w:val="20"/>
        </w:rPr>
        <w:t xml:space="preserve"> y </w:t>
      </w:r>
      <w:r w:rsidRPr="00FB2099">
        <w:rPr>
          <w:rFonts w:ascii="Arial" w:hAnsi="Arial" w:cs="Arial"/>
          <w:sz w:val="20"/>
        </w:rPr>
        <w:t>86.803,9€</w:t>
      </w:r>
      <w:r>
        <w:rPr>
          <w:rFonts w:ascii="Arial" w:hAnsi="Arial" w:cs="Arial"/>
          <w:sz w:val="20"/>
        </w:rPr>
        <w:t>.</w:t>
      </w:r>
    </w:p>
    <w:p w:rsidR="00556DFF" w:rsidRPr="006F6ABB" w:rsidRDefault="00556DFF" w:rsidP="00BC3E8E">
      <w:pPr>
        <w:pStyle w:val="Encabezado"/>
        <w:tabs>
          <w:tab w:val="clear" w:pos="4252"/>
          <w:tab w:val="clear" w:pos="8504"/>
        </w:tabs>
        <w:rPr>
          <w:rFonts w:ascii="Arial" w:hAnsi="Arial" w:cs="Arial"/>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4" w:name="_Toc344399660"/>
      <w:bookmarkStart w:id="125" w:name="_Toc348931391"/>
      <w:bookmarkStart w:id="126" w:name="_Toc517462787"/>
      <w:r w:rsidRPr="00E3472F">
        <w:rPr>
          <w:rFonts w:cs="Arial"/>
          <w:sz w:val="20"/>
        </w:rPr>
        <w:t>7.3 Estimación del número de pacientes candidatos al tratamiento en el hospital</w:t>
      </w:r>
      <w:bookmarkEnd w:id="124"/>
      <w:bookmarkEnd w:id="125"/>
      <w:bookmarkEnd w:id="126"/>
    </w:p>
    <w:p w:rsidR="00556DFF" w:rsidRDefault="00556DFF" w:rsidP="00BC3E8E">
      <w:pPr>
        <w:jc w:val="both"/>
        <w:outlineLvl w:val="1"/>
        <w:rPr>
          <w:rFonts w:ascii="Arial" w:hAnsi="Arial" w:cs="Arial"/>
          <w:sz w:val="20"/>
          <w:szCs w:val="20"/>
        </w:rPr>
      </w:pPr>
    </w:p>
    <w:p w:rsidR="00556DFF" w:rsidRDefault="00556DFF" w:rsidP="00BC3E8E">
      <w:pPr>
        <w:jc w:val="both"/>
        <w:outlineLvl w:val="1"/>
        <w:rPr>
          <w:rFonts w:ascii="Arial" w:hAnsi="Arial" w:cs="Arial"/>
          <w:sz w:val="20"/>
          <w:szCs w:val="20"/>
        </w:rPr>
      </w:pPr>
      <w:bookmarkStart w:id="127" w:name="_Toc517462788"/>
      <w:r>
        <w:rPr>
          <w:rFonts w:ascii="Arial" w:hAnsi="Arial" w:cs="Arial"/>
          <w:sz w:val="20"/>
          <w:szCs w:val="20"/>
        </w:rPr>
        <w:t>En España, (46.528.966 habitantes a 1 de enero de 2017) un total de 700 personas aproximadamente son diagnosticadas de MG</w:t>
      </w:r>
      <w:r w:rsidRPr="00615D63">
        <w:rPr>
          <w:rFonts w:ascii="Arial" w:hAnsi="Arial" w:cs="Arial"/>
          <w:sz w:val="20"/>
          <w:szCs w:val="20"/>
          <w:vertAlign w:val="superscript"/>
        </w:rPr>
        <w:t>1</w:t>
      </w:r>
      <w:r>
        <w:rPr>
          <w:rFonts w:ascii="Arial" w:hAnsi="Arial" w:cs="Arial"/>
          <w:sz w:val="20"/>
          <w:szCs w:val="20"/>
          <w:vertAlign w:val="superscript"/>
        </w:rPr>
        <w:t>5</w:t>
      </w:r>
      <w:r>
        <w:rPr>
          <w:rFonts w:ascii="Arial" w:hAnsi="Arial" w:cs="Arial"/>
          <w:sz w:val="20"/>
          <w:szCs w:val="20"/>
        </w:rPr>
        <w:t>, de las cuales, según la Organización Médica Colegial de España, un 30-40% de los pacientes evolucionarán a una MG generalizada</w:t>
      </w:r>
      <w:r w:rsidRPr="00FA16F1">
        <w:rPr>
          <w:rFonts w:ascii="Arial" w:hAnsi="Arial" w:cs="Arial"/>
          <w:sz w:val="20"/>
          <w:szCs w:val="20"/>
          <w:vertAlign w:val="superscript"/>
        </w:rPr>
        <w:t>1</w:t>
      </w:r>
      <w:r>
        <w:rPr>
          <w:rFonts w:ascii="Arial" w:hAnsi="Arial" w:cs="Arial"/>
          <w:sz w:val="20"/>
          <w:szCs w:val="20"/>
          <w:vertAlign w:val="superscript"/>
        </w:rPr>
        <w:t>5</w:t>
      </w:r>
      <w:r>
        <w:rPr>
          <w:rFonts w:ascii="Arial" w:hAnsi="Arial" w:cs="Arial"/>
          <w:sz w:val="20"/>
          <w:szCs w:val="20"/>
        </w:rPr>
        <w:t>. Por lo tanto en España, tendremos aproximadamente un total de 210-240 pacientes.</w:t>
      </w:r>
      <w:bookmarkEnd w:id="127"/>
      <w:r>
        <w:rPr>
          <w:rFonts w:ascii="Arial" w:hAnsi="Arial" w:cs="Arial"/>
          <w:sz w:val="20"/>
          <w:szCs w:val="20"/>
        </w:rPr>
        <w:t xml:space="preserve"> </w:t>
      </w:r>
    </w:p>
    <w:p w:rsidR="00556DFF" w:rsidRDefault="00556DFF" w:rsidP="00BC3E8E">
      <w:pPr>
        <w:jc w:val="both"/>
        <w:outlineLvl w:val="1"/>
        <w:rPr>
          <w:rFonts w:ascii="Arial" w:hAnsi="Arial" w:cs="Arial"/>
          <w:sz w:val="20"/>
          <w:szCs w:val="20"/>
        </w:rPr>
      </w:pPr>
      <w:bookmarkStart w:id="128" w:name="_Toc517462789"/>
      <w:r>
        <w:rPr>
          <w:rFonts w:ascii="Arial" w:hAnsi="Arial" w:cs="Arial"/>
          <w:sz w:val="20"/>
          <w:szCs w:val="20"/>
        </w:rPr>
        <w:t>Si extrapolamos los datos a Andalucía, (población de 8.403.350 habitantes a 1 de enero de 2017) tendríamos un total de 38-50 casos.</w:t>
      </w:r>
      <w:bookmarkEnd w:id="128"/>
    </w:p>
    <w:p w:rsidR="00556DFF" w:rsidRDefault="00556DFF" w:rsidP="00BC3E8E">
      <w:pPr>
        <w:jc w:val="both"/>
        <w:outlineLvl w:val="1"/>
        <w:rPr>
          <w:rFonts w:ascii="Arial" w:hAnsi="Arial" w:cs="Arial"/>
          <w:sz w:val="20"/>
          <w:szCs w:val="20"/>
        </w:rPr>
      </w:pPr>
      <w:bookmarkStart w:id="129" w:name="_Toc517462790"/>
      <w:r>
        <w:rPr>
          <w:rFonts w:ascii="Arial" w:hAnsi="Arial" w:cs="Arial"/>
          <w:sz w:val="20"/>
          <w:szCs w:val="20"/>
        </w:rPr>
        <w:t>En el caso de un hospital de 500 camas y según los datos encontrados, se estima que atendería a una población de aproximadamente 300.000 habitantes. Haciendo la misma extrapolación por población obtendríamos entre 1.5-2 casos.</w:t>
      </w:r>
      <w:bookmarkEnd w:id="129"/>
    </w:p>
    <w:p w:rsidR="00556DFF" w:rsidRPr="006F6ABB" w:rsidRDefault="00556DFF" w:rsidP="00BC3E8E">
      <w:pPr>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28"/>
        <w:gridCol w:w="1729"/>
        <w:gridCol w:w="1729"/>
        <w:gridCol w:w="1729"/>
        <w:gridCol w:w="1729"/>
      </w:tblGrid>
      <w:tr w:rsidR="00556DFF" w:rsidRPr="006F6ABB">
        <w:trPr>
          <w:cantSplit/>
        </w:trPr>
        <w:tc>
          <w:tcPr>
            <w:tcW w:w="8644" w:type="dxa"/>
            <w:gridSpan w:val="5"/>
            <w:shd w:val="clear" w:color="auto" w:fill="CCFFCC"/>
          </w:tcPr>
          <w:p w:rsidR="00556DFF" w:rsidRPr="006F6ABB" w:rsidRDefault="00556DFF" w:rsidP="009A65DF">
            <w:pPr>
              <w:rPr>
                <w:rFonts w:ascii="Arial" w:hAnsi="Arial" w:cs="Arial"/>
                <w:b/>
                <w:sz w:val="20"/>
                <w:szCs w:val="20"/>
              </w:rPr>
            </w:pPr>
            <w:r>
              <w:rPr>
                <w:rFonts w:ascii="Arial" w:hAnsi="Arial" w:cs="Arial"/>
                <w:b/>
                <w:sz w:val="20"/>
                <w:szCs w:val="20"/>
              </w:rPr>
              <w:t xml:space="preserve">Tabla 6. </w:t>
            </w:r>
            <w:r w:rsidRPr="006F6ABB">
              <w:rPr>
                <w:rFonts w:ascii="Arial" w:hAnsi="Arial" w:cs="Arial"/>
                <w:b/>
                <w:sz w:val="20"/>
                <w:szCs w:val="20"/>
              </w:rPr>
              <w:t>Estimación del número de pacientes año candidatos al tratamiento , coste estimado anual y unidades de eficacia anual</w:t>
            </w:r>
          </w:p>
        </w:tc>
      </w:tr>
      <w:tr w:rsidR="00556DFF" w:rsidRPr="006F6ABB">
        <w:tc>
          <w:tcPr>
            <w:tcW w:w="1728" w:type="dxa"/>
          </w:tcPr>
          <w:p w:rsidR="00556DFF" w:rsidRPr="006F6ABB" w:rsidRDefault="00556DFF" w:rsidP="00BC3E8E">
            <w:pPr>
              <w:rPr>
                <w:rFonts w:ascii="Arial" w:hAnsi="Arial" w:cs="Arial"/>
                <w:sz w:val="16"/>
              </w:rPr>
            </w:pPr>
            <w:r w:rsidRPr="006F6ABB">
              <w:rPr>
                <w:rFonts w:ascii="Arial" w:hAnsi="Arial" w:cs="Arial"/>
                <w:sz w:val="16"/>
              </w:rPr>
              <w:t>Nº anual de pacientes</w:t>
            </w:r>
          </w:p>
        </w:tc>
        <w:tc>
          <w:tcPr>
            <w:tcW w:w="1729" w:type="dxa"/>
          </w:tcPr>
          <w:p w:rsidR="00556DFF" w:rsidRPr="006F6ABB" w:rsidRDefault="00556DFF" w:rsidP="00BC3E8E">
            <w:pPr>
              <w:rPr>
                <w:rFonts w:ascii="Arial" w:hAnsi="Arial" w:cs="Arial"/>
                <w:sz w:val="16"/>
              </w:rPr>
            </w:pPr>
            <w:r w:rsidRPr="006F6ABB">
              <w:rPr>
                <w:rFonts w:ascii="Arial" w:hAnsi="Arial" w:cs="Arial"/>
                <w:sz w:val="16"/>
              </w:rPr>
              <w:t>Coste incremental por paciente</w:t>
            </w:r>
          </w:p>
        </w:tc>
        <w:tc>
          <w:tcPr>
            <w:tcW w:w="1729" w:type="dxa"/>
          </w:tcPr>
          <w:p w:rsidR="00556DFF" w:rsidRPr="006F6ABB" w:rsidRDefault="00556DFF" w:rsidP="00BC3E8E">
            <w:pPr>
              <w:rPr>
                <w:rFonts w:ascii="Arial" w:hAnsi="Arial" w:cs="Arial"/>
                <w:sz w:val="16"/>
              </w:rPr>
            </w:pPr>
            <w:r w:rsidRPr="006F6ABB">
              <w:rPr>
                <w:rFonts w:ascii="Arial" w:hAnsi="Arial" w:cs="Arial"/>
                <w:sz w:val="16"/>
              </w:rPr>
              <w:t>Diferencia de eficacia  entre medicamentos estudiados</w:t>
            </w:r>
          </w:p>
        </w:tc>
        <w:tc>
          <w:tcPr>
            <w:tcW w:w="1729" w:type="dxa"/>
          </w:tcPr>
          <w:p w:rsidR="00556DFF" w:rsidRPr="006F6ABB" w:rsidRDefault="00556DFF" w:rsidP="00BC3E8E">
            <w:pPr>
              <w:rPr>
                <w:rFonts w:ascii="Arial" w:hAnsi="Arial" w:cs="Arial"/>
                <w:sz w:val="16"/>
              </w:rPr>
            </w:pPr>
            <w:r w:rsidRPr="006F6ABB">
              <w:rPr>
                <w:rFonts w:ascii="Arial" w:hAnsi="Arial" w:cs="Arial"/>
                <w:sz w:val="16"/>
              </w:rPr>
              <w:t>Impacto económico anual</w:t>
            </w:r>
          </w:p>
        </w:tc>
        <w:tc>
          <w:tcPr>
            <w:tcW w:w="1729" w:type="dxa"/>
          </w:tcPr>
          <w:p w:rsidR="00556DFF" w:rsidRPr="006F6ABB" w:rsidRDefault="00556DFF" w:rsidP="00BC3E8E">
            <w:pPr>
              <w:rPr>
                <w:rFonts w:ascii="Arial" w:hAnsi="Arial" w:cs="Arial"/>
                <w:sz w:val="16"/>
              </w:rPr>
            </w:pPr>
            <w:r w:rsidRPr="006F6ABB">
              <w:rPr>
                <w:rFonts w:ascii="Arial" w:hAnsi="Arial" w:cs="Arial"/>
                <w:sz w:val="16"/>
              </w:rPr>
              <w:t>Unidades de eficacia anuales</w:t>
            </w:r>
          </w:p>
        </w:tc>
      </w:tr>
      <w:tr w:rsidR="00556DFF" w:rsidRPr="006F6ABB">
        <w:tc>
          <w:tcPr>
            <w:tcW w:w="1728" w:type="dxa"/>
          </w:tcPr>
          <w:p w:rsidR="00556DFF" w:rsidRPr="006F6ABB" w:rsidRDefault="00556DFF" w:rsidP="00BC3E8E">
            <w:pPr>
              <w:rPr>
                <w:rFonts w:ascii="Arial" w:hAnsi="Arial" w:cs="Arial"/>
                <w:sz w:val="16"/>
              </w:rPr>
            </w:pPr>
            <w:r>
              <w:rPr>
                <w:rFonts w:ascii="Arial" w:hAnsi="Arial" w:cs="Arial"/>
                <w:sz w:val="16"/>
              </w:rPr>
              <w:t>225 pacientes medios en ESPAÑA</w:t>
            </w:r>
          </w:p>
        </w:tc>
        <w:tc>
          <w:tcPr>
            <w:tcW w:w="1729" w:type="dxa"/>
          </w:tcPr>
          <w:p w:rsidR="00556DFF" w:rsidRDefault="00556DFF" w:rsidP="002B3C75">
            <w:pPr>
              <w:jc w:val="both"/>
              <w:rPr>
                <w:rFonts w:ascii="Arial" w:hAnsi="Arial" w:cs="Arial"/>
                <w:sz w:val="16"/>
                <w:szCs w:val="16"/>
              </w:rPr>
            </w:pPr>
            <w:r>
              <w:rPr>
                <w:rFonts w:ascii="Arial" w:hAnsi="Arial" w:cs="Arial"/>
                <w:sz w:val="16"/>
                <w:szCs w:val="16"/>
              </w:rPr>
              <w:t xml:space="preserve">512.337,55 </w:t>
            </w:r>
            <w:r w:rsidRPr="00E032D0">
              <w:rPr>
                <w:rFonts w:ascii="Arial" w:hAnsi="Arial" w:cs="Arial"/>
                <w:sz w:val="16"/>
                <w:szCs w:val="16"/>
              </w:rPr>
              <w:t>€</w:t>
            </w:r>
          </w:p>
          <w:p w:rsidR="00556DFF" w:rsidRPr="006F6ABB" w:rsidRDefault="00556DFF" w:rsidP="00BC3E8E">
            <w:pPr>
              <w:rPr>
                <w:rFonts w:ascii="Arial" w:hAnsi="Arial" w:cs="Arial"/>
                <w:sz w:val="16"/>
              </w:rPr>
            </w:pPr>
          </w:p>
        </w:tc>
        <w:tc>
          <w:tcPr>
            <w:tcW w:w="1729" w:type="dxa"/>
          </w:tcPr>
          <w:p w:rsidR="00556DFF" w:rsidRPr="006F6ABB" w:rsidRDefault="00556DFF" w:rsidP="00B6474C">
            <w:pPr>
              <w:jc w:val="center"/>
              <w:rPr>
                <w:rFonts w:ascii="Arial" w:hAnsi="Arial" w:cs="Arial"/>
                <w:sz w:val="16"/>
              </w:rPr>
            </w:pPr>
            <w:r>
              <w:rPr>
                <w:rFonts w:ascii="Arial" w:hAnsi="Arial" w:cs="Arial"/>
                <w:i/>
                <w:sz w:val="16"/>
                <w:lang w:val="es-ES_tradnl"/>
              </w:rPr>
              <w:t xml:space="preserve">-1,9 </w:t>
            </w:r>
            <w:r>
              <w:rPr>
                <w:rFonts w:ascii="Arial" w:hAnsi="Arial" w:cs="Arial"/>
                <w:sz w:val="16"/>
              </w:rPr>
              <w:t>puntos</w:t>
            </w:r>
          </w:p>
        </w:tc>
        <w:tc>
          <w:tcPr>
            <w:tcW w:w="1729" w:type="dxa"/>
          </w:tcPr>
          <w:p w:rsidR="00556DFF" w:rsidRPr="006F6ABB" w:rsidRDefault="00556DFF" w:rsidP="00BC3E8E">
            <w:pPr>
              <w:rPr>
                <w:rFonts w:ascii="Arial" w:hAnsi="Arial" w:cs="Arial"/>
                <w:sz w:val="16"/>
              </w:rPr>
            </w:pPr>
            <w:r>
              <w:rPr>
                <w:rFonts w:ascii="Arial" w:hAnsi="Arial" w:cs="Arial"/>
                <w:sz w:val="16"/>
              </w:rPr>
              <w:t xml:space="preserve">115.275.949 </w:t>
            </w:r>
            <w:r w:rsidRPr="00E032D0">
              <w:rPr>
                <w:rFonts w:ascii="Arial" w:hAnsi="Arial" w:cs="Arial"/>
                <w:sz w:val="16"/>
                <w:szCs w:val="16"/>
              </w:rPr>
              <w:t>€</w:t>
            </w:r>
          </w:p>
        </w:tc>
        <w:tc>
          <w:tcPr>
            <w:tcW w:w="1729" w:type="dxa"/>
          </w:tcPr>
          <w:p w:rsidR="00556DFF" w:rsidRPr="006F6ABB" w:rsidRDefault="00556DFF" w:rsidP="00BC3E8E">
            <w:pPr>
              <w:rPr>
                <w:rFonts w:ascii="Arial" w:hAnsi="Arial" w:cs="Arial"/>
                <w:sz w:val="16"/>
              </w:rPr>
            </w:pPr>
            <w:r>
              <w:rPr>
                <w:rFonts w:ascii="Arial" w:hAnsi="Arial" w:cs="Arial"/>
                <w:sz w:val="16"/>
              </w:rPr>
              <w:t>-427,5 puntos</w:t>
            </w:r>
          </w:p>
        </w:tc>
      </w:tr>
      <w:tr w:rsidR="00556DFF" w:rsidRPr="006F6ABB">
        <w:tc>
          <w:tcPr>
            <w:tcW w:w="1728" w:type="dxa"/>
          </w:tcPr>
          <w:p w:rsidR="00556DFF" w:rsidRPr="006F6ABB" w:rsidRDefault="00556DFF" w:rsidP="00BC3E8E">
            <w:pPr>
              <w:rPr>
                <w:rFonts w:ascii="Arial" w:hAnsi="Arial" w:cs="Arial"/>
                <w:sz w:val="16"/>
              </w:rPr>
            </w:pPr>
            <w:r>
              <w:rPr>
                <w:rFonts w:ascii="Arial" w:hAnsi="Arial" w:cs="Arial"/>
                <w:sz w:val="16"/>
              </w:rPr>
              <w:t>44 pacientes medios en ANDALUCIA</w:t>
            </w:r>
          </w:p>
        </w:tc>
        <w:tc>
          <w:tcPr>
            <w:tcW w:w="1729" w:type="dxa"/>
          </w:tcPr>
          <w:p w:rsidR="00556DFF" w:rsidRDefault="00556DFF" w:rsidP="002B3C75">
            <w:pPr>
              <w:jc w:val="both"/>
              <w:rPr>
                <w:rFonts w:ascii="Arial" w:hAnsi="Arial" w:cs="Arial"/>
                <w:sz w:val="16"/>
                <w:szCs w:val="16"/>
              </w:rPr>
            </w:pPr>
            <w:r>
              <w:rPr>
                <w:rFonts w:ascii="Arial" w:hAnsi="Arial" w:cs="Arial"/>
                <w:sz w:val="16"/>
                <w:szCs w:val="16"/>
              </w:rPr>
              <w:t xml:space="preserve">512.337,55 </w:t>
            </w:r>
            <w:r w:rsidRPr="00E032D0">
              <w:rPr>
                <w:rFonts w:ascii="Arial" w:hAnsi="Arial" w:cs="Arial"/>
                <w:sz w:val="16"/>
                <w:szCs w:val="16"/>
              </w:rPr>
              <w:t>€</w:t>
            </w:r>
          </w:p>
          <w:p w:rsidR="00556DFF" w:rsidRPr="006F6ABB" w:rsidRDefault="00556DFF" w:rsidP="00BC3E8E">
            <w:pPr>
              <w:rPr>
                <w:rFonts w:ascii="Arial" w:hAnsi="Arial" w:cs="Arial"/>
                <w:sz w:val="16"/>
              </w:rPr>
            </w:pPr>
          </w:p>
        </w:tc>
        <w:tc>
          <w:tcPr>
            <w:tcW w:w="1729" w:type="dxa"/>
          </w:tcPr>
          <w:p w:rsidR="00556DFF" w:rsidRPr="006F6ABB" w:rsidRDefault="00556DFF" w:rsidP="00B6474C">
            <w:pPr>
              <w:jc w:val="center"/>
              <w:rPr>
                <w:rFonts w:ascii="Arial" w:hAnsi="Arial" w:cs="Arial"/>
                <w:sz w:val="16"/>
              </w:rPr>
            </w:pPr>
            <w:r>
              <w:rPr>
                <w:rFonts w:ascii="Arial" w:hAnsi="Arial" w:cs="Arial"/>
                <w:i/>
                <w:sz w:val="16"/>
                <w:lang w:val="es-ES_tradnl"/>
              </w:rPr>
              <w:t xml:space="preserve">-1,9 </w:t>
            </w:r>
            <w:r>
              <w:rPr>
                <w:rFonts w:ascii="Arial" w:hAnsi="Arial" w:cs="Arial"/>
                <w:sz w:val="16"/>
              </w:rPr>
              <w:t>puntos</w:t>
            </w:r>
          </w:p>
        </w:tc>
        <w:tc>
          <w:tcPr>
            <w:tcW w:w="1729" w:type="dxa"/>
          </w:tcPr>
          <w:p w:rsidR="00556DFF" w:rsidRPr="006F6ABB" w:rsidRDefault="00556DFF" w:rsidP="00BC3E8E">
            <w:pPr>
              <w:rPr>
                <w:rFonts w:ascii="Arial" w:hAnsi="Arial" w:cs="Arial"/>
                <w:sz w:val="16"/>
              </w:rPr>
            </w:pPr>
            <w:r>
              <w:rPr>
                <w:rFonts w:ascii="Arial" w:hAnsi="Arial" w:cs="Arial"/>
                <w:sz w:val="16"/>
              </w:rPr>
              <w:t xml:space="preserve">22.542.852 </w:t>
            </w:r>
            <w:r w:rsidRPr="00E032D0">
              <w:rPr>
                <w:rFonts w:ascii="Arial" w:hAnsi="Arial" w:cs="Arial"/>
                <w:sz w:val="16"/>
                <w:szCs w:val="16"/>
              </w:rPr>
              <w:t>€</w:t>
            </w:r>
          </w:p>
        </w:tc>
        <w:tc>
          <w:tcPr>
            <w:tcW w:w="1729" w:type="dxa"/>
          </w:tcPr>
          <w:p w:rsidR="00556DFF" w:rsidRPr="006F6ABB" w:rsidRDefault="00556DFF" w:rsidP="00BC3E8E">
            <w:pPr>
              <w:rPr>
                <w:rFonts w:ascii="Arial" w:hAnsi="Arial" w:cs="Arial"/>
                <w:sz w:val="16"/>
              </w:rPr>
            </w:pPr>
            <w:r>
              <w:rPr>
                <w:rFonts w:ascii="Arial" w:hAnsi="Arial" w:cs="Arial"/>
                <w:sz w:val="16"/>
              </w:rPr>
              <w:t>-23.2 puntos</w:t>
            </w:r>
          </w:p>
        </w:tc>
      </w:tr>
      <w:tr w:rsidR="00556DFF" w:rsidRPr="006F6ABB">
        <w:tc>
          <w:tcPr>
            <w:tcW w:w="1728" w:type="dxa"/>
          </w:tcPr>
          <w:p w:rsidR="00556DFF" w:rsidRPr="006F6ABB" w:rsidRDefault="00556DFF" w:rsidP="009A65DF">
            <w:pPr>
              <w:rPr>
                <w:rFonts w:ascii="Arial" w:hAnsi="Arial" w:cs="Arial"/>
                <w:sz w:val="16"/>
              </w:rPr>
            </w:pPr>
            <w:r>
              <w:rPr>
                <w:rFonts w:ascii="Arial" w:hAnsi="Arial" w:cs="Arial"/>
                <w:sz w:val="16"/>
              </w:rPr>
              <w:t>2 pacientes medios en HOSPITAL</w:t>
            </w:r>
          </w:p>
        </w:tc>
        <w:tc>
          <w:tcPr>
            <w:tcW w:w="1729" w:type="dxa"/>
          </w:tcPr>
          <w:p w:rsidR="00556DFF" w:rsidRDefault="00556DFF" w:rsidP="002B3C75">
            <w:pPr>
              <w:jc w:val="both"/>
              <w:rPr>
                <w:rFonts w:ascii="Arial" w:hAnsi="Arial" w:cs="Arial"/>
                <w:sz w:val="16"/>
                <w:szCs w:val="16"/>
              </w:rPr>
            </w:pPr>
            <w:r>
              <w:rPr>
                <w:rFonts w:ascii="Arial" w:hAnsi="Arial" w:cs="Arial"/>
                <w:sz w:val="16"/>
                <w:szCs w:val="16"/>
              </w:rPr>
              <w:t xml:space="preserve">512.337,55 </w:t>
            </w:r>
            <w:r w:rsidRPr="00E032D0">
              <w:rPr>
                <w:rFonts w:ascii="Arial" w:hAnsi="Arial" w:cs="Arial"/>
                <w:sz w:val="16"/>
                <w:szCs w:val="16"/>
              </w:rPr>
              <w:t>€</w:t>
            </w:r>
          </w:p>
          <w:p w:rsidR="00556DFF" w:rsidRPr="006F6ABB" w:rsidRDefault="00556DFF" w:rsidP="009A65DF">
            <w:pPr>
              <w:rPr>
                <w:rFonts w:ascii="Arial" w:hAnsi="Arial" w:cs="Arial"/>
                <w:sz w:val="16"/>
              </w:rPr>
            </w:pPr>
          </w:p>
        </w:tc>
        <w:tc>
          <w:tcPr>
            <w:tcW w:w="1729" w:type="dxa"/>
          </w:tcPr>
          <w:p w:rsidR="00556DFF" w:rsidRPr="006F6ABB" w:rsidRDefault="00556DFF" w:rsidP="00B6474C">
            <w:pPr>
              <w:jc w:val="center"/>
              <w:rPr>
                <w:rFonts w:ascii="Arial" w:hAnsi="Arial" w:cs="Arial"/>
                <w:sz w:val="16"/>
              </w:rPr>
            </w:pPr>
            <w:r>
              <w:rPr>
                <w:rFonts w:ascii="Arial" w:hAnsi="Arial" w:cs="Arial"/>
                <w:i/>
                <w:sz w:val="16"/>
                <w:lang w:val="es-ES_tradnl"/>
              </w:rPr>
              <w:t xml:space="preserve">-1,9 </w:t>
            </w:r>
            <w:r>
              <w:rPr>
                <w:rFonts w:ascii="Arial" w:hAnsi="Arial" w:cs="Arial"/>
                <w:sz w:val="16"/>
              </w:rPr>
              <w:t>puntos</w:t>
            </w:r>
          </w:p>
        </w:tc>
        <w:tc>
          <w:tcPr>
            <w:tcW w:w="1729" w:type="dxa"/>
          </w:tcPr>
          <w:p w:rsidR="00556DFF" w:rsidRPr="006F6ABB" w:rsidRDefault="00556DFF" w:rsidP="009A65DF">
            <w:pPr>
              <w:rPr>
                <w:rFonts w:ascii="Arial" w:hAnsi="Arial" w:cs="Arial"/>
                <w:sz w:val="16"/>
              </w:rPr>
            </w:pPr>
            <w:r>
              <w:rPr>
                <w:rFonts w:ascii="Arial" w:hAnsi="Arial" w:cs="Arial"/>
                <w:sz w:val="16"/>
              </w:rPr>
              <w:t xml:space="preserve">1.024.675 </w:t>
            </w:r>
            <w:r w:rsidRPr="00E032D0">
              <w:rPr>
                <w:rFonts w:ascii="Arial" w:hAnsi="Arial" w:cs="Arial"/>
                <w:sz w:val="16"/>
                <w:szCs w:val="16"/>
              </w:rPr>
              <w:t>€</w:t>
            </w:r>
          </w:p>
        </w:tc>
        <w:tc>
          <w:tcPr>
            <w:tcW w:w="1729" w:type="dxa"/>
          </w:tcPr>
          <w:p w:rsidR="00556DFF" w:rsidRPr="006F6ABB" w:rsidRDefault="00556DFF" w:rsidP="009A65DF">
            <w:pPr>
              <w:rPr>
                <w:rFonts w:ascii="Arial" w:hAnsi="Arial" w:cs="Arial"/>
                <w:sz w:val="16"/>
              </w:rPr>
            </w:pPr>
            <w:r>
              <w:rPr>
                <w:rFonts w:ascii="Arial" w:hAnsi="Arial" w:cs="Arial"/>
                <w:sz w:val="16"/>
              </w:rPr>
              <w:t>-3.8 puntos</w:t>
            </w:r>
          </w:p>
        </w:tc>
      </w:tr>
    </w:tbl>
    <w:p w:rsidR="00556DFF" w:rsidRPr="006F6ABB" w:rsidRDefault="00556DFF" w:rsidP="00BC3E8E">
      <w:pPr>
        <w:rPr>
          <w:rFonts w:ascii="Arial" w:hAnsi="Arial" w:cs="Arial"/>
          <w:color w:val="000080"/>
        </w:rPr>
      </w:pPr>
    </w:p>
    <w:p w:rsidR="00556DFF" w:rsidRPr="006F6ABB" w:rsidRDefault="00556DFF" w:rsidP="00BC3E8E">
      <w:pPr>
        <w:rPr>
          <w:rFonts w:ascii="Arial" w:hAnsi="Arial" w:cs="Arial"/>
          <w:b/>
        </w:rPr>
      </w:pPr>
    </w:p>
    <w:p w:rsidR="00556DFF" w:rsidRDefault="00556DFF" w:rsidP="00615D63">
      <w:pPr>
        <w:rPr>
          <w:rFonts w:ascii="Arial" w:hAnsi="Arial" w:cs="Arial"/>
          <w:sz w:val="20"/>
          <w:szCs w:val="20"/>
        </w:rPr>
      </w:pPr>
      <w:r w:rsidRPr="00EA57F5">
        <w:rPr>
          <w:rFonts w:ascii="Arial" w:hAnsi="Arial" w:cs="Arial"/>
          <w:sz w:val="20"/>
          <w:szCs w:val="20"/>
        </w:rPr>
        <w:t xml:space="preserve">Interpretación. Se estima que durante un año serán tratados un total de </w:t>
      </w:r>
      <w:r w:rsidRPr="002B3C75">
        <w:rPr>
          <w:rFonts w:ascii="Arial" w:hAnsi="Arial" w:cs="Arial"/>
          <w:sz w:val="20"/>
          <w:szCs w:val="20"/>
        </w:rPr>
        <w:t>1.5-2</w:t>
      </w:r>
      <w:r w:rsidRPr="00EA57F5">
        <w:rPr>
          <w:rFonts w:ascii="Arial" w:hAnsi="Arial" w:cs="Arial"/>
          <w:sz w:val="20"/>
          <w:szCs w:val="20"/>
        </w:rPr>
        <w:t xml:space="preserve"> pacientes</w:t>
      </w:r>
      <w:r>
        <w:rPr>
          <w:rFonts w:ascii="Arial" w:hAnsi="Arial" w:cs="Arial"/>
          <w:sz w:val="20"/>
          <w:szCs w:val="20"/>
        </w:rPr>
        <w:t xml:space="preserve"> en un hospital de 500 camas</w:t>
      </w:r>
      <w:r w:rsidRPr="00EA57F5">
        <w:rPr>
          <w:rFonts w:ascii="Arial" w:hAnsi="Arial" w:cs="Arial"/>
          <w:sz w:val="20"/>
          <w:szCs w:val="20"/>
        </w:rPr>
        <w:t xml:space="preserve"> con el nuevo fármaco. El coste anual adicional para el hospital será de </w:t>
      </w:r>
      <w:r w:rsidRPr="002B3C75">
        <w:rPr>
          <w:rFonts w:ascii="Arial" w:hAnsi="Arial" w:cs="Arial"/>
          <w:sz w:val="20"/>
          <w:szCs w:val="20"/>
        </w:rPr>
        <w:t>1.024.675</w:t>
      </w:r>
      <w:r w:rsidRPr="002B3C75">
        <w:rPr>
          <w:rFonts w:ascii="Arial" w:hAnsi="Arial" w:cs="Arial"/>
          <w:color w:val="0000FF"/>
          <w:sz w:val="20"/>
          <w:szCs w:val="20"/>
        </w:rPr>
        <w:t xml:space="preserve"> </w:t>
      </w:r>
      <w:r w:rsidRPr="00EA57F5">
        <w:rPr>
          <w:rFonts w:ascii="Arial" w:hAnsi="Arial" w:cs="Arial"/>
          <w:sz w:val="20"/>
          <w:szCs w:val="20"/>
        </w:rPr>
        <w:t xml:space="preserve">euros. </w:t>
      </w:r>
    </w:p>
    <w:p w:rsidR="00556DFF" w:rsidRPr="00877A56" w:rsidRDefault="00556DFF" w:rsidP="00877A56"/>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30" w:name="_Toc344399661"/>
      <w:bookmarkStart w:id="131" w:name="_Toc348931392"/>
      <w:bookmarkStart w:id="132" w:name="_Toc517462791"/>
      <w:r w:rsidRPr="00E3472F">
        <w:rPr>
          <w:rFonts w:cs="Arial"/>
          <w:sz w:val="20"/>
        </w:rPr>
        <w:t>7.4</w:t>
      </w:r>
      <w:r>
        <w:rPr>
          <w:rFonts w:cs="Arial"/>
          <w:sz w:val="20"/>
        </w:rPr>
        <w:t xml:space="preserve"> </w:t>
      </w:r>
      <w:r w:rsidRPr="00E3472F">
        <w:rPr>
          <w:rFonts w:cs="Arial"/>
          <w:sz w:val="20"/>
        </w:rPr>
        <w:t>Estimación del impacto económico sobre la prescripción de Atención Primaria.</w:t>
      </w:r>
      <w:bookmarkEnd w:id="130"/>
      <w:bookmarkEnd w:id="131"/>
      <w:bookmarkEnd w:id="132"/>
      <w:r w:rsidRPr="00E3472F">
        <w:rPr>
          <w:rFonts w:cs="Arial"/>
          <w:sz w:val="20"/>
        </w:rPr>
        <w:t xml:space="preserve">  </w:t>
      </w:r>
    </w:p>
    <w:p w:rsidR="00556DFF" w:rsidRDefault="00556DFF" w:rsidP="00BC3E8E">
      <w:pPr>
        <w:pStyle w:val="Encabezado"/>
        <w:tabs>
          <w:tab w:val="clear" w:pos="4252"/>
          <w:tab w:val="clear" w:pos="8504"/>
        </w:tabs>
        <w:rPr>
          <w:rFonts w:ascii="Arial" w:hAnsi="Arial" w:cs="Arial"/>
          <w:sz w:val="20"/>
        </w:rPr>
      </w:pPr>
    </w:p>
    <w:p w:rsidR="00556DFF" w:rsidRPr="00615D63" w:rsidRDefault="00556DFF" w:rsidP="00BC3E8E">
      <w:pPr>
        <w:pStyle w:val="Encabezado"/>
        <w:tabs>
          <w:tab w:val="clear" w:pos="4252"/>
          <w:tab w:val="clear" w:pos="8504"/>
        </w:tabs>
        <w:rPr>
          <w:rFonts w:ascii="Arial" w:hAnsi="Arial" w:cs="Arial"/>
          <w:sz w:val="20"/>
        </w:rPr>
      </w:pPr>
      <w:r w:rsidRPr="00615D63">
        <w:rPr>
          <w:rFonts w:ascii="Arial" w:hAnsi="Arial" w:cs="Arial"/>
          <w:sz w:val="20"/>
        </w:rPr>
        <w:t>No procede</w:t>
      </w:r>
    </w:p>
    <w:p w:rsidR="00556DFF" w:rsidRPr="006F6ABB" w:rsidRDefault="00556DFF" w:rsidP="00BC3E8E">
      <w:pPr>
        <w:rPr>
          <w:rFonts w:ascii="Arial" w:hAnsi="Arial" w:cs="Arial"/>
          <w:b/>
          <w:bCs/>
        </w:rPr>
      </w:pPr>
    </w:p>
    <w:p w:rsidR="00556DFF" w:rsidRPr="00E3472F" w:rsidRDefault="00556DFF" w:rsidP="00BC3E8E">
      <w:pPr>
        <w:pStyle w:val="Ttulo2"/>
        <w:pBdr>
          <w:top w:val="single" w:sz="4" w:space="1" w:color="auto"/>
          <w:left w:val="single" w:sz="4" w:space="4" w:color="auto"/>
          <w:bottom w:val="single" w:sz="4" w:space="1" w:color="auto"/>
          <w:right w:val="single" w:sz="4" w:space="0" w:color="auto"/>
        </w:pBdr>
        <w:shd w:val="clear" w:color="auto" w:fill="D9D9D9"/>
        <w:rPr>
          <w:rFonts w:cs="Arial"/>
          <w:sz w:val="20"/>
        </w:rPr>
      </w:pPr>
      <w:bookmarkStart w:id="133" w:name="_Toc344399662"/>
      <w:bookmarkStart w:id="134" w:name="_Toc348931393"/>
      <w:bookmarkStart w:id="135" w:name="_Toc517462792"/>
      <w:r w:rsidRPr="00E3472F">
        <w:rPr>
          <w:rFonts w:cs="Arial"/>
          <w:sz w:val="20"/>
        </w:rPr>
        <w:t>7.5 Estimación del impacto económico global a nivel autonómico/estatal</w:t>
      </w:r>
      <w:bookmarkEnd w:id="133"/>
      <w:bookmarkEnd w:id="134"/>
      <w:bookmarkEnd w:id="135"/>
      <w:r w:rsidRPr="00E3472F">
        <w:rPr>
          <w:rFonts w:cs="Arial"/>
          <w:sz w:val="20"/>
        </w:rPr>
        <w:t xml:space="preserve">  </w:t>
      </w:r>
    </w:p>
    <w:p w:rsidR="00556DFF" w:rsidRPr="006F6ABB" w:rsidRDefault="00556DFF" w:rsidP="00BC3E8E">
      <w:pPr>
        <w:rPr>
          <w:rFonts w:ascii="Arial" w:hAnsi="Arial" w:cs="Arial"/>
          <w:strike/>
        </w:rPr>
      </w:pPr>
    </w:p>
    <w:p w:rsidR="00556DFF" w:rsidRPr="00E34BEC" w:rsidRDefault="00556DFF" w:rsidP="00BC3E8E">
      <w:pPr>
        <w:rPr>
          <w:rFonts w:ascii="Arial" w:hAnsi="Arial" w:cs="Arial"/>
          <w:sz w:val="20"/>
          <w:szCs w:val="20"/>
        </w:rPr>
      </w:pPr>
      <w:r w:rsidRPr="00E34BEC">
        <w:rPr>
          <w:rFonts w:ascii="Arial" w:hAnsi="Arial" w:cs="Arial"/>
          <w:sz w:val="20"/>
          <w:szCs w:val="20"/>
        </w:rPr>
        <w:t xml:space="preserve">Ver apartado 7.3 </w:t>
      </w:r>
    </w:p>
    <w:p w:rsidR="00556DFF" w:rsidRPr="006F6ABB" w:rsidRDefault="00556DFF" w:rsidP="00BC3E8E">
      <w:pPr>
        <w:rPr>
          <w:rFonts w:ascii="Arial" w:hAnsi="Arial" w:cs="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556DFF" w:rsidRPr="006F6ABB">
        <w:trPr>
          <w:trHeight w:val="228"/>
        </w:trPr>
        <w:tc>
          <w:tcPr>
            <w:tcW w:w="8859" w:type="dxa"/>
            <w:shd w:val="clear" w:color="auto" w:fill="B3B3B3"/>
          </w:tcPr>
          <w:p w:rsidR="00556DFF" w:rsidRPr="00506DFA" w:rsidRDefault="00556DFF" w:rsidP="00BC3E8E">
            <w:pPr>
              <w:pStyle w:val="Ttulo1"/>
              <w:shd w:val="clear" w:color="auto" w:fill="A6A6A6"/>
              <w:rPr>
                <w:rFonts w:ascii="Arial" w:hAnsi="Arial" w:cs="Arial"/>
                <w:kern w:val="0"/>
                <w:sz w:val="20"/>
              </w:rPr>
            </w:pPr>
            <w:r w:rsidRPr="00506DFA">
              <w:rPr>
                <w:rFonts w:ascii="Arial" w:hAnsi="Arial" w:cs="Arial"/>
                <w:color w:val="000080"/>
                <w:kern w:val="0"/>
                <w:sz w:val="20"/>
              </w:rPr>
              <w:t xml:space="preserve"> </w:t>
            </w:r>
            <w:bookmarkStart w:id="136" w:name="_Toc344399663"/>
            <w:bookmarkStart w:id="137" w:name="_Toc348931394"/>
            <w:bookmarkStart w:id="138" w:name="_Toc517462793"/>
            <w:r w:rsidRPr="00506DFA">
              <w:rPr>
                <w:rFonts w:ascii="Arial" w:hAnsi="Arial" w:cs="Arial"/>
                <w:kern w:val="0"/>
                <w:sz w:val="20"/>
              </w:rPr>
              <w:t>8. EVALUACIÓN DE LA CONVENIENCIA.</w:t>
            </w:r>
            <w:bookmarkEnd w:id="136"/>
            <w:bookmarkEnd w:id="137"/>
            <w:bookmarkEnd w:id="138"/>
            <w:r w:rsidRPr="00506DFA">
              <w:rPr>
                <w:rFonts w:ascii="Arial" w:hAnsi="Arial" w:cs="Arial"/>
                <w:kern w:val="0"/>
                <w:sz w:val="20"/>
              </w:rPr>
              <w:t xml:space="preserve"> </w:t>
            </w:r>
          </w:p>
        </w:tc>
      </w:tr>
    </w:tbl>
    <w:p w:rsidR="00556DFF" w:rsidRPr="006F6ABB" w:rsidRDefault="00556DFF" w:rsidP="00BC3E8E">
      <w:pPr>
        <w:rPr>
          <w:rFonts w:ascii="Arial" w:hAnsi="Arial" w:cs="Arial"/>
          <w:sz w:val="20"/>
          <w:szCs w:val="20"/>
        </w:rPr>
      </w:pPr>
    </w:p>
    <w:p w:rsidR="00556DFF" w:rsidRPr="006F6ABB" w:rsidRDefault="00556DFF" w:rsidP="00BC3E8E">
      <w:pPr>
        <w:rPr>
          <w:rFonts w:ascii="Arial" w:hAnsi="Arial" w:cs="Arial"/>
          <w:color w:val="000080"/>
          <w:sz w:val="20"/>
          <w:szCs w:val="20"/>
        </w:rPr>
      </w:pPr>
    </w:p>
    <w:p w:rsidR="00556DFF" w:rsidRPr="00615D63"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39" w:name="_Toc344399664"/>
      <w:bookmarkStart w:id="140" w:name="_Toc348931395"/>
      <w:bookmarkStart w:id="141" w:name="_Toc517462794"/>
      <w:r w:rsidRPr="00E3472F">
        <w:rPr>
          <w:rFonts w:cs="Arial"/>
          <w:sz w:val="20"/>
        </w:rPr>
        <w:t>8.1 Descripción de la conveniencia</w:t>
      </w:r>
      <w:bookmarkEnd w:id="139"/>
      <w:bookmarkEnd w:id="140"/>
      <w:r w:rsidRPr="00615D63">
        <w:rPr>
          <w:rFonts w:cs="Arial"/>
          <w:sz w:val="20"/>
          <w:vertAlign w:val="superscript"/>
        </w:rPr>
        <w:t>1</w:t>
      </w:r>
      <w:bookmarkEnd w:id="141"/>
      <w:r>
        <w:rPr>
          <w:rFonts w:cs="Arial"/>
          <w:sz w:val="20"/>
          <w:vertAlign w:val="superscript"/>
        </w:rPr>
        <w:t>3</w:t>
      </w:r>
    </w:p>
    <w:p w:rsidR="00556DFF" w:rsidRPr="006F6ABB" w:rsidRDefault="00556DFF" w:rsidP="00BC3E8E">
      <w:pPr>
        <w:shd w:val="clear" w:color="auto" w:fill="FFFFFF"/>
        <w:jc w:val="both"/>
        <w:rPr>
          <w:rFonts w:ascii="Arial" w:hAnsi="Arial" w:cs="Arial"/>
          <w:color w:val="000080"/>
          <w:sz w:val="20"/>
          <w:szCs w:val="20"/>
        </w:rPr>
      </w:pPr>
    </w:p>
    <w:p w:rsidR="00556DFF" w:rsidRDefault="00556DFF" w:rsidP="009A65DF">
      <w:pPr>
        <w:shd w:val="clear" w:color="auto" w:fill="FFFFFF"/>
        <w:jc w:val="both"/>
        <w:rPr>
          <w:rFonts w:ascii="Arial" w:hAnsi="Arial" w:cs="Arial"/>
          <w:color w:val="000080"/>
          <w:sz w:val="20"/>
          <w:szCs w:val="20"/>
        </w:rPr>
      </w:pPr>
      <w:r>
        <w:rPr>
          <w:rFonts w:ascii="Arial" w:hAnsi="Arial" w:cs="Arial"/>
          <w:sz w:val="20"/>
          <w:szCs w:val="20"/>
        </w:rPr>
        <w:t xml:space="preserve">En el caso de </w:t>
      </w:r>
      <w:proofErr w:type="spellStart"/>
      <w:r>
        <w:rPr>
          <w:rFonts w:ascii="Arial" w:hAnsi="Arial" w:cs="Arial"/>
          <w:sz w:val="20"/>
          <w:szCs w:val="20"/>
        </w:rPr>
        <w:t>eculizumab</w:t>
      </w:r>
      <w:proofErr w:type="spellEnd"/>
      <w:r>
        <w:rPr>
          <w:rFonts w:ascii="Arial" w:hAnsi="Arial" w:cs="Arial"/>
          <w:sz w:val="20"/>
          <w:szCs w:val="20"/>
        </w:rPr>
        <w:t xml:space="preserve">, su pauta de administración es en perfusión </w:t>
      </w:r>
      <w:proofErr w:type="spellStart"/>
      <w:r>
        <w:rPr>
          <w:rFonts w:ascii="Arial" w:hAnsi="Arial" w:cs="Arial"/>
          <w:sz w:val="20"/>
          <w:szCs w:val="20"/>
        </w:rPr>
        <w:t>iv</w:t>
      </w:r>
      <w:proofErr w:type="spellEnd"/>
      <w:r>
        <w:rPr>
          <w:rFonts w:ascii="Arial" w:hAnsi="Arial" w:cs="Arial"/>
          <w:sz w:val="20"/>
          <w:szCs w:val="20"/>
        </w:rPr>
        <w:t xml:space="preserve"> de 25-45 minutos cada semana durante las 5 primeras semanas seguido de una misma perfusión </w:t>
      </w:r>
      <w:proofErr w:type="spellStart"/>
      <w:r>
        <w:rPr>
          <w:rFonts w:ascii="Arial" w:hAnsi="Arial" w:cs="Arial"/>
          <w:sz w:val="20"/>
          <w:szCs w:val="20"/>
        </w:rPr>
        <w:t>iv</w:t>
      </w:r>
      <w:proofErr w:type="spellEnd"/>
      <w:r>
        <w:rPr>
          <w:rFonts w:ascii="Arial" w:hAnsi="Arial" w:cs="Arial"/>
          <w:sz w:val="20"/>
          <w:szCs w:val="20"/>
        </w:rPr>
        <w:t xml:space="preserve"> de 25-45 minutos cada 14 ± 2-3 días. Este hecho presenta el inconveniente de la necesidad del paciente de acudir a la Unidad de Día a la administración del fármaco, ayudando a tener un control de la adherencia al tratamiento.</w:t>
      </w:r>
    </w:p>
    <w:p w:rsidR="00556DFF" w:rsidRPr="006F6ABB" w:rsidRDefault="00556DFF" w:rsidP="00BC3E8E">
      <w:pPr>
        <w:rPr>
          <w:rFonts w:ascii="Arial" w:hAnsi="Arial" w:cs="Arial"/>
          <w:color w:val="000080"/>
          <w:sz w:val="20"/>
          <w:szCs w:val="20"/>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42" w:name="_Toc344399665"/>
      <w:bookmarkStart w:id="143" w:name="_Toc348931396"/>
      <w:bookmarkStart w:id="144" w:name="_Toc517462795"/>
      <w:r w:rsidRPr="00E3472F">
        <w:rPr>
          <w:rFonts w:cs="Arial"/>
          <w:sz w:val="20"/>
        </w:rPr>
        <w:t>8.2 Influencia de la conveniencia en la efectividad del tratamiento</w:t>
      </w:r>
      <w:bookmarkEnd w:id="142"/>
      <w:bookmarkEnd w:id="143"/>
      <w:bookmarkEnd w:id="144"/>
    </w:p>
    <w:p w:rsidR="00556DFF" w:rsidRDefault="00556DFF" w:rsidP="009A65DF">
      <w:pPr>
        <w:shd w:val="clear" w:color="auto" w:fill="FFFFFF"/>
        <w:ind w:firstLine="708"/>
        <w:jc w:val="both"/>
        <w:rPr>
          <w:rFonts w:ascii="Arial" w:hAnsi="Arial" w:cs="Arial"/>
          <w:sz w:val="20"/>
          <w:szCs w:val="20"/>
        </w:rPr>
      </w:pPr>
    </w:p>
    <w:p w:rsidR="00556DFF" w:rsidRDefault="00556DFF" w:rsidP="002A2797">
      <w:pPr>
        <w:shd w:val="clear" w:color="auto" w:fill="FFFFFF"/>
        <w:jc w:val="both"/>
        <w:rPr>
          <w:rFonts w:ascii="Arial" w:hAnsi="Arial" w:cs="Arial"/>
          <w:color w:val="FF0000"/>
          <w:sz w:val="20"/>
          <w:szCs w:val="20"/>
        </w:rPr>
      </w:pPr>
      <w:r>
        <w:rPr>
          <w:rFonts w:ascii="Arial" w:hAnsi="Arial" w:cs="Arial"/>
          <w:sz w:val="20"/>
          <w:szCs w:val="20"/>
        </w:rPr>
        <w:t xml:space="preserve">En este caso, dadas las alternativas, no estimamos que la forma de administración de </w:t>
      </w:r>
      <w:proofErr w:type="spellStart"/>
      <w:r>
        <w:rPr>
          <w:rFonts w:ascii="Arial" w:hAnsi="Arial" w:cs="Arial"/>
          <w:sz w:val="20"/>
          <w:szCs w:val="20"/>
        </w:rPr>
        <w:t>eculizumab</w:t>
      </w:r>
      <w:proofErr w:type="spellEnd"/>
      <w:r>
        <w:rPr>
          <w:rFonts w:ascii="Arial" w:hAnsi="Arial" w:cs="Arial"/>
          <w:sz w:val="20"/>
          <w:szCs w:val="20"/>
        </w:rPr>
        <w:t xml:space="preserve"> pueda influir negativamente en la adherencia del tratamiento.</w:t>
      </w:r>
    </w:p>
    <w:p w:rsidR="00556DFF" w:rsidRPr="006F6ABB" w:rsidRDefault="00556DFF" w:rsidP="00BC3E8E">
      <w:pPr>
        <w:shd w:val="clear" w:color="auto" w:fill="FFFFFF"/>
        <w:jc w:val="both"/>
        <w:rPr>
          <w:rFonts w:ascii="Arial" w:hAnsi="Arial" w:cs="Arial"/>
          <w:b/>
          <w:bCs/>
          <w:color w:val="000080"/>
          <w:sz w:val="20"/>
          <w:szCs w:val="20"/>
        </w:rPr>
      </w:pPr>
    </w:p>
    <w:p w:rsidR="00556DFF" w:rsidRPr="006F6ABB" w:rsidRDefault="00556DFF" w:rsidP="00BC3E8E">
      <w:pPr>
        <w:rPr>
          <w:rFonts w:ascii="Arial" w:hAnsi="Arial" w:cs="Arial"/>
          <w:color w:val="FF0000"/>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556DFF" w:rsidRPr="006F6ABB">
        <w:tc>
          <w:tcPr>
            <w:tcW w:w="8890" w:type="dxa"/>
            <w:shd w:val="clear" w:color="auto" w:fill="B3B3B3"/>
          </w:tcPr>
          <w:p w:rsidR="00556DFF" w:rsidRPr="00506DFA" w:rsidRDefault="00556DFF" w:rsidP="00BC3E8E">
            <w:pPr>
              <w:pStyle w:val="Ttulo1"/>
              <w:shd w:val="clear" w:color="auto" w:fill="A6A6A6"/>
              <w:rPr>
                <w:rFonts w:ascii="Arial" w:hAnsi="Arial" w:cs="Arial"/>
                <w:kern w:val="0"/>
                <w:sz w:val="20"/>
              </w:rPr>
            </w:pPr>
            <w:bookmarkStart w:id="145" w:name="_Toc344399666"/>
            <w:bookmarkStart w:id="146" w:name="_Toc348931397"/>
            <w:bookmarkStart w:id="147" w:name="_Toc517462796"/>
            <w:r w:rsidRPr="00506DFA">
              <w:rPr>
                <w:rFonts w:ascii="Arial" w:hAnsi="Arial" w:cs="Arial"/>
                <w:kern w:val="0"/>
                <w:sz w:val="20"/>
              </w:rPr>
              <w:t>9. AREA DE CONCLUSIONES.</w:t>
            </w:r>
            <w:bookmarkEnd w:id="145"/>
            <w:bookmarkEnd w:id="146"/>
            <w:bookmarkEnd w:id="147"/>
          </w:p>
        </w:tc>
      </w:tr>
    </w:tbl>
    <w:p w:rsidR="00556DFF" w:rsidRPr="006F6ABB" w:rsidRDefault="00556DFF" w:rsidP="00BC3E8E">
      <w:pPr>
        <w:pStyle w:val="Encabezado"/>
        <w:tabs>
          <w:tab w:val="clear" w:pos="4252"/>
          <w:tab w:val="clear" w:pos="8504"/>
        </w:tabs>
        <w:rPr>
          <w:rFonts w:ascii="Arial" w:hAnsi="Arial" w:cs="Arial"/>
          <w:b/>
          <w:bCs/>
        </w:rPr>
      </w:pPr>
    </w:p>
    <w:p w:rsidR="00556DFF" w:rsidRPr="00616F7A"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48" w:name="_Toc344399667"/>
      <w:bookmarkStart w:id="149" w:name="_Toc348931398"/>
      <w:bookmarkStart w:id="150" w:name="_Toc517462797"/>
      <w:r w:rsidRPr="00616F7A">
        <w:rPr>
          <w:rFonts w:cs="Arial"/>
          <w:sz w:val="20"/>
        </w:rPr>
        <w:t>9.1 Resumen de los aspectos más significativos respecto a la alternativa y propuestas</w:t>
      </w:r>
      <w:bookmarkEnd w:id="148"/>
      <w:bookmarkEnd w:id="149"/>
      <w:bookmarkEnd w:id="150"/>
    </w:p>
    <w:p w:rsidR="00556DFF" w:rsidRPr="006F6ABB" w:rsidRDefault="00556DFF" w:rsidP="00BC3E8E">
      <w:pPr>
        <w:jc w:val="both"/>
        <w:rPr>
          <w:rFonts w:ascii="Arial" w:hAnsi="Arial" w:cs="Arial"/>
          <w:sz w:val="20"/>
          <w:szCs w:val="20"/>
        </w:rPr>
      </w:pPr>
    </w:p>
    <w:p w:rsidR="00556DFF" w:rsidRPr="00915D5B" w:rsidRDefault="00556DFF" w:rsidP="00915D5B">
      <w:pPr>
        <w:rPr>
          <w:rFonts w:ascii="Arial" w:hAnsi="Arial" w:cs="Arial"/>
          <w:b/>
          <w:sz w:val="20"/>
          <w:szCs w:val="20"/>
          <w:u w:val="single"/>
        </w:rPr>
      </w:pPr>
      <w:r w:rsidRPr="00915D5B">
        <w:rPr>
          <w:rFonts w:ascii="Arial" w:hAnsi="Arial" w:cs="Arial"/>
          <w:b/>
          <w:sz w:val="20"/>
          <w:szCs w:val="20"/>
          <w:u w:val="single"/>
        </w:rPr>
        <w:t>EFICACIA</w:t>
      </w:r>
    </w:p>
    <w:p w:rsidR="00556DFF" w:rsidRPr="00915D5B" w:rsidRDefault="00556DFF" w:rsidP="00915D5B">
      <w:pPr>
        <w:rPr>
          <w:rFonts w:ascii="Arial" w:hAnsi="Arial" w:cs="Arial"/>
          <w:sz w:val="20"/>
          <w:szCs w:val="20"/>
        </w:rPr>
      </w:pPr>
    </w:p>
    <w:p w:rsidR="00556DFF" w:rsidRPr="00915D5B" w:rsidRDefault="00556DFF" w:rsidP="00915D5B">
      <w:pPr>
        <w:rPr>
          <w:rFonts w:ascii="Arial" w:hAnsi="Arial" w:cs="Arial"/>
          <w:sz w:val="20"/>
          <w:szCs w:val="20"/>
          <w:u w:val="single"/>
        </w:rPr>
      </w:pPr>
      <w:r w:rsidRPr="00915D5B">
        <w:rPr>
          <w:rFonts w:ascii="Arial" w:hAnsi="Arial" w:cs="Arial"/>
          <w:sz w:val="20"/>
          <w:szCs w:val="20"/>
          <w:u w:val="single"/>
        </w:rPr>
        <w:t xml:space="preserve">Variable </w:t>
      </w:r>
      <w:r>
        <w:rPr>
          <w:rFonts w:ascii="Arial" w:hAnsi="Arial" w:cs="Arial"/>
          <w:sz w:val="20"/>
          <w:szCs w:val="20"/>
          <w:u w:val="single"/>
        </w:rPr>
        <w:t>principal</w:t>
      </w:r>
    </w:p>
    <w:p w:rsidR="00556DFF" w:rsidRPr="003550C0" w:rsidRDefault="00556DFF" w:rsidP="003550C0">
      <w:pPr>
        <w:jc w:val="both"/>
        <w:rPr>
          <w:rFonts w:ascii="Arial" w:hAnsi="Arial" w:cs="Arial"/>
          <w:sz w:val="20"/>
          <w:szCs w:val="20"/>
        </w:rPr>
      </w:pPr>
      <w:r w:rsidRPr="003550C0">
        <w:rPr>
          <w:rFonts w:ascii="Arial" w:hAnsi="Arial" w:cs="Arial"/>
          <w:bCs/>
          <w:sz w:val="20"/>
          <w:szCs w:val="20"/>
          <w:lang w:eastAsia="en-US"/>
        </w:rPr>
        <w:t xml:space="preserve">La variable principal fue el cambio desde el valor basal en la puntuación de actividades de la vida cotidiana de MG en la semana 26. El cambio medio fue mayor para los que recibieron </w:t>
      </w:r>
      <w:proofErr w:type="spellStart"/>
      <w:r w:rsidRPr="003550C0">
        <w:rPr>
          <w:rFonts w:ascii="Arial" w:hAnsi="Arial" w:cs="Arial"/>
          <w:bCs/>
          <w:sz w:val="20"/>
          <w:szCs w:val="20"/>
          <w:lang w:eastAsia="en-US"/>
        </w:rPr>
        <w:t>eculizumab</w:t>
      </w:r>
      <w:proofErr w:type="spellEnd"/>
      <w:r w:rsidRPr="003550C0">
        <w:rPr>
          <w:rFonts w:ascii="Arial" w:hAnsi="Arial" w:cs="Arial"/>
          <w:bCs/>
          <w:sz w:val="20"/>
          <w:szCs w:val="20"/>
          <w:lang w:eastAsia="en-US"/>
        </w:rPr>
        <w:t xml:space="preserve"> (-4,7) que para los que recibieron placebo (-2,8). El análisis principal de la escala MG-ADL </w:t>
      </w:r>
      <w:proofErr w:type="spellStart"/>
      <w:r w:rsidRPr="003550C0">
        <w:rPr>
          <w:rFonts w:ascii="Arial" w:hAnsi="Arial" w:cs="Arial"/>
          <w:bCs/>
          <w:sz w:val="20"/>
          <w:szCs w:val="20"/>
          <w:lang w:eastAsia="en-US"/>
        </w:rPr>
        <w:t>worst-rank</w:t>
      </w:r>
      <w:proofErr w:type="spellEnd"/>
      <w:r w:rsidRPr="003550C0">
        <w:rPr>
          <w:rFonts w:ascii="Arial" w:hAnsi="Arial" w:cs="Arial"/>
          <w:bCs/>
          <w:sz w:val="20"/>
          <w:szCs w:val="20"/>
          <w:lang w:eastAsia="en-US"/>
        </w:rPr>
        <w:t xml:space="preserve"> ANCOVA para </w:t>
      </w:r>
      <w:proofErr w:type="spellStart"/>
      <w:r w:rsidRPr="003550C0">
        <w:rPr>
          <w:rFonts w:ascii="Arial" w:hAnsi="Arial" w:cs="Arial"/>
          <w:bCs/>
          <w:sz w:val="20"/>
          <w:szCs w:val="20"/>
          <w:lang w:eastAsia="en-US"/>
        </w:rPr>
        <w:t>eculizumab</w:t>
      </w:r>
      <w:proofErr w:type="spellEnd"/>
      <w:r w:rsidRPr="003550C0">
        <w:rPr>
          <w:rFonts w:ascii="Arial" w:hAnsi="Arial" w:cs="Arial"/>
          <w:bCs/>
          <w:sz w:val="20"/>
          <w:szCs w:val="20"/>
          <w:lang w:eastAsia="en-US"/>
        </w:rPr>
        <w:t xml:space="preserve"> contra placebo no encontró diferencias estadísticamente significativas entre ambos grupos  (p=0,0698)</w:t>
      </w:r>
    </w:p>
    <w:p w:rsidR="00556DFF" w:rsidRPr="003550C0" w:rsidRDefault="00556DFF" w:rsidP="00915D5B">
      <w:pPr>
        <w:rPr>
          <w:rFonts w:ascii="Arial" w:hAnsi="Arial" w:cs="Arial"/>
          <w:sz w:val="20"/>
          <w:szCs w:val="20"/>
          <w:u w:val="single"/>
        </w:rPr>
      </w:pPr>
    </w:p>
    <w:p w:rsidR="00556DFF" w:rsidRPr="003550C0" w:rsidRDefault="00556DFF" w:rsidP="000E202B">
      <w:pPr>
        <w:jc w:val="both"/>
        <w:rPr>
          <w:rFonts w:ascii="Arial" w:hAnsi="Arial" w:cs="Arial"/>
          <w:sz w:val="20"/>
          <w:szCs w:val="20"/>
          <w:u w:val="single"/>
        </w:rPr>
      </w:pPr>
      <w:r w:rsidRPr="003550C0">
        <w:rPr>
          <w:rFonts w:ascii="Arial" w:hAnsi="Arial" w:cs="Arial"/>
          <w:sz w:val="20"/>
          <w:szCs w:val="20"/>
          <w:u w:val="single"/>
        </w:rPr>
        <w:t>Variables secundarias</w:t>
      </w:r>
    </w:p>
    <w:p w:rsidR="00556DFF" w:rsidRPr="003550C0" w:rsidRDefault="00556DFF" w:rsidP="000E202B">
      <w:pPr>
        <w:jc w:val="both"/>
        <w:rPr>
          <w:rFonts w:ascii="Arial" w:hAnsi="Arial" w:cs="Arial"/>
          <w:bCs/>
          <w:sz w:val="20"/>
          <w:szCs w:val="20"/>
          <w:lang w:eastAsia="en-US"/>
        </w:rPr>
      </w:pPr>
      <w:r>
        <w:rPr>
          <w:rFonts w:ascii="Arial" w:hAnsi="Arial" w:cs="Arial"/>
          <w:bCs/>
          <w:color w:val="000080"/>
          <w:sz w:val="20"/>
          <w:szCs w:val="20"/>
          <w:lang w:eastAsia="en-US"/>
        </w:rPr>
        <w:t xml:space="preserve">- </w:t>
      </w:r>
      <w:r w:rsidRPr="003550C0">
        <w:rPr>
          <w:rFonts w:ascii="Arial" w:hAnsi="Arial" w:cs="Arial"/>
          <w:bCs/>
          <w:sz w:val="20"/>
          <w:szCs w:val="20"/>
          <w:lang w:eastAsia="en-US"/>
        </w:rPr>
        <w:t>Cambio de escala cuantitativa de MG (QMG) basal, medido a la semana 26;  fue mayor para los</w:t>
      </w:r>
      <w:r>
        <w:rPr>
          <w:rFonts w:ascii="Arial" w:hAnsi="Arial" w:cs="Arial"/>
          <w:bCs/>
          <w:sz w:val="20"/>
          <w:szCs w:val="20"/>
          <w:lang w:eastAsia="en-US"/>
        </w:rPr>
        <w:t xml:space="preserve"> pacientes del grupo </w:t>
      </w:r>
      <w:proofErr w:type="spellStart"/>
      <w:r>
        <w:rPr>
          <w:rFonts w:ascii="Arial" w:hAnsi="Arial" w:cs="Arial"/>
          <w:bCs/>
          <w:sz w:val="20"/>
          <w:szCs w:val="20"/>
          <w:lang w:eastAsia="en-US"/>
        </w:rPr>
        <w:t>eculizumab</w:t>
      </w:r>
      <w:proofErr w:type="spellEnd"/>
      <w:r>
        <w:rPr>
          <w:rFonts w:ascii="Arial" w:hAnsi="Arial" w:cs="Arial"/>
          <w:bCs/>
          <w:sz w:val="20"/>
          <w:szCs w:val="20"/>
          <w:lang w:eastAsia="en-US"/>
        </w:rPr>
        <w:t xml:space="preserve"> -5,4</w:t>
      </w:r>
      <w:r w:rsidRPr="003550C0">
        <w:rPr>
          <w:rFonts w:ascii="Arial" w:hAnsi="Arial" w:cs="Arial"/>
          <w:bCs/>
          <w:sz w:val="20"/>
          <w:szCs w:val="20"/>
          <w:lang w:eastAsia="en-US"/>
        </w:rPr>
        <w:t xml:space="preserve">  en  co</w:t>
      </w:r>
      <w:r>
        <w:rPr>
          <w:rFonts w:ascii="Arial" w:hAnsi="Arial" w:cs="Arial"/>
          <w:bCs/>
          <w:sz w:val="20"/>
          <w:szCs w:val="20"/>
          <w:lang w:eastAsia="en-US"/>
        </w:rPr>
        <w:t>mparación  a l grupo  placebo -2,4</w:t>
      </w:r>
      <w:r w:rsidRPr="003550C0">
        <w:rPr>
          <w:rFonts w:ascii="Arial" w:hAnsi="Arial" w:cs="Arial"/>
          <w:bCs/>
          <w:sz w:val="20"/>
          <w:szCs w:val="20"/>
          <w:lang w:eastAsia="en-US"/>
        </w:rPr>
        <w:t xml:space="preserve">. El análisis principal de covarianza de </w:t>
      </w:r>
      <w:proofErr w:type="spellStart"/>
      <w:r w:rsidRPr="003550C0">
        <w:rPr>
          <w:rFonts w:ascii="Arial" w:hAnsi="Arial" w:cs="Arial"/>
          <w:bCs/>
          <w:sz w:val="20"/>
          <w:szCs w:val="20"/>
          <w:lang w:eastAsia="en-US"/>
        </w:rPr>
        <w:t>worst-rank</w:t>
      </w:r>
      <w:proofErr w:type="spellEnd"/>
      <w:r w:rsidRPr="003550C0">
        <w:rPr>
          <w:rFonts w:ascii="Arial" w:hAnsi="Arial" w:cs="Arial"/>
          <w:bCs/>
          <w:sz w:val="20"/>
          <w:szCs w:val="20"/>
          <w:lang w:eastAsia="en-US"/>
        </w:rPr>
        <w:t xml:space="preserve"> ANCOVA a la semana 26  demostró diferencias estadísticamente significativas (p=0,0129).  </w:t>
      </w:r>
    </w:p>
    <w:p w:rsidR="00556DFF" w:rsidRDefault="00556DFF" w:rsidP="000E202B">
      <w:pPr>
        <w:jc w:val="both"/>
        <w:rPr>
          <w:rFonts w:ascii="Arial" w:hAnsi="Arial" w:cs="Arial"/>
          <w:bCs/>
          <w:sz w:val="20"/>
          <w:szCs w:val="20"/>
          <w:lang w:eastAsia="en-US"/>
        </w:rPr>
      </w:pPr>
      <w:r>
        <w:rPr>
          <w:rFonts w:ascii="Arial" w:hAnsi="Arial" w:cs="Arial"/>
          <w:bCs/>
          <w:sz w:val="20"/>
          <w:szCs w:val="20"/>
          <w:lang w:eastAsia="en-US"/>
        </w:rPr>
        <w:t xml:space="preserve"> - P</w:t>
      </w:r>
      <w:r w:rsidRPr="003550C0">
        <w:rPr>
          <w:rFonts w:ascii="Arial" w:hAnsi="Arial" w:cs="Arial"/>
          <w:bCs/>
          <w:sz w:val="20"/>
          <w:szCs w:val="20"/>
          <w:lang w:eastAsia="en-US"/>
        </w:rPr>
        <w:t>roporción de pacientes con disminución ≥3 puntos en la MG-ADL a la semana 26 sin tratamiento de rescate fue 40% para</w:t>
      </w:r>
      <w:r>
        <w:rPr>
          <w:rFonts w:ascii="Arial" w:hAnsi="Arial" w:cs="Arial"/>
          <w:bCs/>
          <w:sz w:val="20"/>
          <w:szCs w:val="20"/>
          <w:lang w:eastAsia="en-US"/>
        </w:rPr>
        <w:t xml:space="preserve"> el</w:t>
      </w:r>
      <w:r w:rsidRPr="003550C0">
        <w:rPr>
          <w:rFonts w:ascii="Arial" w:hAnsi="Arial" w:cs="Arial"/>
          <w:bCs/>
          <w:sz w:val="20"/>
          <w:szCs w:val="20"/>
          <w:lang w:eastAsia="en-US"/>
        </w:rPr>
        <w:t xml:space="preserve"> </w:t>
      </w:r>
      <w:r>
        <w:rPr>
          <w:rFonts w:ascii="Arial" w:hAnsi="Arial" w:cs="Arial"/>
          <w:bCs/>
          <w:sz w:val="20"/>
          <w:szCs w:val="20"/>
          <w:lang w:eastAsia="en-US"/>
        </w:rPr>
        <w:t xml:space="preserve">grupo </w:t>
      </w:r>
      <w:r w:rsidRPr="003550C0">
        <w:rPr>
          <w:rFonts w:ascii="Arial" w:hAnsi="Arial" w:cs="Arial"/>
          <w:bCs/>
          <w:sz w:val="20"/>
          <w:szCs w:val="20"/>
          <w:lang w:eastAsia="en-US"/>
        </w:rPr>
        <w:t xml:space="preserve">placebo y 60% para </w:t>
      </w:r>
      <w:r>
        <w:rPr>
          <w:rFonts w:ascii="Arial" w:hAnsi="Arial" w:cs="Arial"/>
          <w:bCs/>
          <w:sz w:val="20"/>
          <w:szCs w:val="20"/>
          <w:lang w:eastAsia="en-US"/>
        </w:rPr>
        <w:t xml:space="preserve">el grupo </w:t>
      </w:r>
      <w:proofErr w:type="spellStart"/>
      <w:r w:rsidRPr="003550C0">
        <w:rPr>
          <w:rFonts w:ascii="Arial" w:hAnsi="Arial" w:cs="Arial"/>
          <w:bCs/>
          <w:sz w:val="20"/>
          <w:szCs w:val="20"/>
          <w:lang w:eastAsia="en-US"/>
        </w:rPr>
        <w:t>eculizumab</w:t>
      </w:r>
      <w:proofErr w:type="spellEnd"/>
      <w:r w:rsidRPr="003550C0">
        <w:rPr>
          <w:rFonts w:ascii="Arial" w:hAnsi="Arial" w:cs="Arial"/>
          <w:bCs/>
          <w:sz w:val="20"/>
          <w:szCs w:val="20"/>
          <w:lang w:eastAsia="en-US"/>
        </w:rPr>
        <w:t xml:space="preserve"> (p=0,0229).</w:t>
      </w:r>
    </w:p>
    <w:p w:rsidR="00556DFF" w:rsidRPr="003550C0" w:rsidRDefault="00556DFF" w:rsidP="000E202B">
      <w:pPr>
        <w:jc w:val="both"/>
        <w:rPr>
          <w:rFonts w:ascii="Arial" w:hAnsi="Arial" w:cs="Arial"/>
          <w:bCs/>
          <w:sz w:val="20"/>
          <w:szCs w:val="20"/>
          <w:lang w:eastAsia="en-US"/>
        </w:rPr>
      </w:pPr>
      <w:r>
        <w:rPr>
          <w:rFonts w:ascii="Arial" w:hAnsi="Arial" w:cs="Arial"/>
          <w:bCs/>
          <w:sz w:val="20"/>
          <w:szCs w:val="20"/>
          <w:lang w:eastAsia="en-US"/>
        </w:rPr>
        <w:t>- P</w:t>
      </w:r>
      <w:r w:rsidRPr="003550C0">
        <w:rPr>
          <w:rFonts w:ascii="Arial" w:hAnsi="Arial" w:cs="Arial"/>
          <w:bCs/>
          <w:sz w:val="20"/>
          <w:szCs w:val="20"/>
          <w:lang w:eastAsia="en-US"/>
        </w:rPr>
        <w:t>roporción de pacientes con una disminución de ≥5 puntos en QMG a la semana 26 fue 19% para</w:t>
      </w:r>
      <w:r>
        <w:rPr>
          <w:rFonts w:ascii="Arial" w:hAnsi="Arial" w:cs="Arial"/>
          <w:bCs/>
          <w:sz w:val="20"/>
          <w:szCs w:val="20"/>
          <w:lang w:eastAsia="en-US"/>
        </w:rPr>
        <w:t xml:space="preserve"> el grupo </w:t>
      </w:r>
      <w:r w:rsidRPr="003550C0">
        <w:rPr>
          <w:rFonts w:ascii="Arial" w:hAnsi="Arial" w:cs="Arial"/>
          <w:bCs/>
          <w:sz w:val="20"/>
          <w:szCs w:val="20"/>
          <w:lang w:eastAsia="en-US"/>
        </w:rPr>
        <w:t>placebo y 45% para</w:t>
      </w:r>
      <w:r>
        <w:rPr>
          <w:rFonts w:ascii="Arial" w:hAnsi="Arial" w:cs="Arial"/>
          <w:bCs/>
          <w:sz w:val="20"/>
          <w:szCs w:val="20"/>
          <w:lang w:eastAsia="en-US"/>
        </w:rPr>
        <w:t xml:space="preserve"> el grupo</w:t>
      </w:r>
      <w:r w:rsidRPr="003550C0">
        <w:rPr>
          <w:rFonts w:ascii="Arial" w:hAnsi="Arial" w:cs="Arial"/>
          <w:bCs/>
          <w:sz w:val="20"/>
          <w:szCs w:val="20"/>
          <w:lang w:eastAsia="en-US"/>
        </w:rPr>
        <w:t xml:space="preserve"> </w:t>
      </w:r>
      <w:proofErr w:type="spellStart"/>
      <w:r w:rsidRPr="003550C0">
        <w:rPr>
          <w:rFonts w:ascii="Arial" w:hAnsi="Arial" w:cs="Arial"/>
          <w:bCs/>
          <w:sz w:val="20"/>
          <w:szCs w:val="20"/>
          <w:lang w:eastAsia="en-US"/>
        </w:rPr>
        <w:t>eculizumab</w:t>
      </w:r>
      <w:proofErr w:type="spellEnd"/>
      <w:r w:rsidRPr="003550C0">
        <w:rPr>
          <w:rFonts w:ascii="Arial" w:hAnsi="Arial" w:cs="Arial"/>
          <w:bCs/>
          <w:sz w:val="20"/>
          <w:szCs w:val="20"/>
          <w:lang w:eastAsia="en-US"/>
        </w:rPr>
        <w:t xml:space="preserve"> (p=0,0018).</w:t>
      </w:r>
    </w:p>
    <w:p w:rsidR="00556DFF" w:rsidRPr="003550C0" w:rsidRDefault="00556DFF" w:rsidP="000E202B">
      <w:pPr>
        <w:jc w:val="both"/>
        <w:rPr>
          <w:rFonts w:ascii="Arial" w:hAnsi="Arial" w:cs="Arial"/>
          <w:bCs/>
          <w:sz w:val="20"/>
          <w:szCs w:val="20"/>
          <w:lang w:eastAsia="en-US"/>
        </w:rPr>
      </w:pPr>
      <w:r>
        <w:rPr>
          <w:rFonts w:ascii="Arial" w:hAnsi="Arial" w:cs="Arial"/>
          <w:bCs/>
          <w:sz w:val="20"/>
          <w:szCs w:val="20"/>
          <w:lang w:eastAsia="en-US"/>
        </w:rPr>
        <w:t>- E</w:t>
      </w:r>
      <w:r w:rsidRPr="003550C0">
        <w:rPr>
          <w:rFonts w:ascii="Arial" w:hAnsi="Arial" w:cs="Arial"/>
          <w:bCs/>
          <w:sz w:val="20"/>
          <w:szCs w:val="20"/>
          <w:lang w:eastAsia="en-US"/>
        </w:rPr>
        <w:t>scala compuesta</w:t>
      </w:r>
      <w:r>
        <w:rPr>
          <w:rFonts w:ascii="Arial" w:hAnsi="Arial" w:cs="Arial"/>
          <w:bCs/>
          <w:sz w:val="20"/>
          <w:szCs w:val="20"/>
          <w:lang w:eastAsia="en-US"/>
        </w:rPr>
        <w:t xml:space="preserve"> de MG (MGC): fue mayor para el grupo </w:t>
      </w:r>
      <w:proofErr w:type="spellStart"/>
      <w:r>
        <w:rPr>
          <w:rFonts w:ascii="Arial" w:hAnsi="Arial" w:cs="Arial"/>
          <w:bCs/>
          <w:sz w:val="20"/>
          <w:szCs w:val="20"/>
          <w:lang w:eastAsia="en-US"/>
        </w:rPr>
        <w:t>eculizumab</w:t>
      </w:r>
      <w:proofErr w:type="spellEnd"/>
      <w:r>
        <w:rPr>
          <w:rFonts w:ascii="Arial" w:hAnsi="Arial" w:cs="Arial"/>
          <w:bCs/>
          <w:sz w:val="20"/>
          <w:szCs w:val="20"/>
          <w:lang w:eastAsia="en-US"/>
        </w:rPr>
        <w:t xml:space="preserve"> -9.2</w:t>
      </w:r>
      <w:r w:rsidRPr="003550C0">
        <w:rPr>
          <w:rFonts w:ascii="Arial" w:hAnsi="Arial" w:cs="Arial"/>
          <w:bCs/>
          <w:sz w:val="20"/>
          <w:szCs w:val="20"/>
          <w:lang w:eastAsia="en-US"/>
        </w:rPr>
        <w:t xml:space="preserve"> </w:t>
      </w:r>
      <w:r>
        <w:rPr>
          <w:rFonts w:ascii="Arial" w:hAnsi="Arial" w:cs="Arial"/>
          <w:bCs/>
          <w:sz w:val="20"/>
          <w:szCs w:val="20"/>
          <w:lang w:eastAsia="en-US"/>
        </w:rPr>
        <w:t>que para el grupo</w:t>
      </w:r>
      <w:r w:rsidRPr="003550C0">
        <w:rPr>
          <w:rFonts w:ascii="Arial" w:hAnsi="Arial" w:cs="Arial"/>
          <w:bCs/>
          <w:sz w:val="20"/>
          <w:szCs w:val="20"/>
          <w:lang w:eastAsia="en-US"/>
        </w:rPr>
        <w:t xml:space="preserve"> placebo -6</w:t>
      </w:r>
      <w:r>
        <w:rPr>
          <w:rFonts w:ascii="Arial" w:hAnsi="Arial" w:cs="Arial"/>
          <w:bCs/>
          <w:sz w:val="20"/>
          <w:szCs w:val="20"/>
          <w:lang w:eastAsia="en-US"/>
        </w:rPr>
        <w:t>,</w:t>
      </w:r>
      <w:r w:rsidRPr="003550C0">
        <w:rPr>
          <w:rFonts w:ascii="Arial" w:hAnsi="Arial" w:cs="Arial"/>
          <w:bCs/>
          <w:sz w:val="20"/>
          <w:szCs w:val="20"/>
          <w:lang w:eastAsia="en-US"/>
        </w:rPr>
        <w:t xml:space="preserve"> (p=0,1026). </w:t>
      </w:r>
    </w:p>
    <w:p w:rsidR="00556DFF" w:rsidRPr="003550C0" w:rsidRDefault="00556DFF" w:rsidP="000E202B">
      <w:pPr>
        <w:jc w:val="both"/>
        <w:rPr>
          <w:rFonts w:ascii="Arial" w:hAnsi="Arial" w:cs="Arial"/>
          <w:bCs/>
          <w:sz w:val="20"/>
          <w:szCs w:val="20"/>
          <w:lang w:eastAsia="en-US"/>
        </w:rPr>
      </w:pPr>
      <w:r>
        <w:rPr>
          <w:rFonts w:ascii="Arial" w:hAnsi="Arial" w:cs="Arial"/>
          <w:bCs/>
          <w:sz w:val="20"/>
          <w:szCs w:val="20"/>
          <w:lang w:eastAsia="en-US"/>
        </w:rPr>
        <w:t>- E</w:t>
      </w:r>
      <w:r w:rsidRPr="003550C0">
        <w:rPr>
          <w:rFonts w:ascii="Arial" w:hAnsi="Arial" w:cs="Arial"/>
          <w:bCs/>
          <w:sz w:val="20"/>
          <w:szCs w:val="20"/>
          <w:lang w:eastAsia="en-US"/>
        </w:rPr>
        <w:t>scala MG-QoL15</w:t>
      </w:r>
      <w:r>
        <w:rPr>
          <w:rFonts w:ascii="Arial" w:hAnsi="Arial" w:cs="Arial"/>
          <w:bCs/>
          <w:sz w:val="20"/>
          <w:szCs w:val="20"/>
          <w:lang w:eastAsia="en-US"/>
        </w:rPr>
        <w:t xml:space="preserve"> (calidad de vida)</w:t>
      </w:r>
      <w:r w:rsidRPr="003550C0">
        <w:rPr>
          <w:rFonts w:ascii="Arial" w:hAnsi="Arial" w:cs="Arial"/>
          <w:bCs/>
          <w:sz w:val="20"/>
          <w:szCs w:val="20"/>
          <w:lang w:eastAsia="en-US"/>
        </w:rPr>
        <w:t>, f</w:t>
      </w:r>
      <w:r>
        <w:rPr>
          <w:rFonts w:ascii="Arial" w:hAnsi="Arial" w:cs="Arial"/>
          <w:bCs/>
          <w:sz w:val="20"/>
          <w:szCs w:val="20"/>
          <w:lang w:eastAsia="en-US"/>
        </w:rPr>
        <w:t xml:space="preserve">ue mayor para el grupo </w:t>
      </w:r>
      <w:proofErr w:type="spellStart"/>
      <w:r>
        <w:rPr>
          <w:rFonts w:ascii="Arial" w:hAnsi="Arial" w:cs="Arial"/>
          <w:bCs/>
          <w:sz w:val="20"/>
          <w:szCs w:val="20"/>
          <w:lang w:eastAsia="en-US"/>
        </w:rPr>
        <w:t>eculizumab</w:t>
      </w:r>
      <w:proofErr w:type="spellEnd"/>
      <w:r>
        <w:rPr>
          <w:rFonts w:ascii="Arial" w:hAnsi="Arial" w:cs="Arial"/>
          <w:bCs/>
          <w:sz w:val="20"/>
          <w:szCs w:val="20"/>
          <w:lang w:eastAsia="en-US"/>
        </w:rPr>
        <w:t xml:space="preserve"> -13,5</w:t>
      </w:r>
      <w:r w:rsidRPr="003550C0">
        <w:rPr>
          <w:rFonts w:ascii="Arial" w:hAnsi="Arial" w:cs="Arial"/>
          <w:bCs/>
          <w:sz w:val="20"/>
          <w:szCs w:val="20"/>
          <w:lang w:eastAsia="en-US"/>
        </w:rPr>
        <w:t xml:space="preserve"> </w:t>
      </w:r>
      <w:r>
        <w:rPr>
          <w:rFonts w:ascii="Arial" w:hAnsi="Arial" w:cs="Arial"/>
          <w:bCs/>
          <w:sz w:val="20"/>
          <w:szCs w:val="20"/>
          <w:lang w:eastAsia="en-US"/>
        </w:rPr>
        <w:t xml:space="preserve"> que pare el grupo de placebo </w:t>
      </w:r>
      <w:r w:rsidRPr="003550C0">
        <w:rPr>
          <w:rFonts w:ascii="Arial" w:hAnsi="Arial" w:cs="Arial"/>
          <w:bCs/>
          <w:sz w:val="20"/>
          <w:szCs w:val="20"/>
          <w:lang w:eastAsia="en-US"/>
        </w:rPr>
        <w:t>-6,5</w:t>
      </w:r>
      <w:r>
        <w:rPr>
          <w:rFonts w:ascii="Arial" w:hAnsi="Arial" w:cs="Arial"/>
          <w:bCs/>
          <w:sz w:val="20"/>
          <w:szCs w:val="20"/>
          <w:lang w:eastAsia="en-US"/>
        </w:rPr>
        <w:t>,</w:t>
      </w:r>
      <w:r w:rsidRPr="003550C0">
        <w:rPr>
          <w:rFonts w:ascii="Arial" w:hAnsi="Arial" w:cs="Arial"/>
          <w:bCs/>
          <w:sz w:val="20"/>
          <w:szCs w:val="20"/>
          <w:lang w:eastAsia="en-US"/>
        </w:rPr>
        <w:t xml:space="preserve"> (p=0,0281).</w:t>
      </w:r>
    </w:p>
    <w:p w:rsidR="00556DFF" w:rsidRPr="00915D5B" w:rsidRDefault="00556DFF" w:rsidP="000E202B">
      <w:pPr>
        <w:jc w:val="both"/>
        <w:rPr>
          <w:rFonts w:ascii="Arial" w:hAnsi="Arial" w:cs="Arial"/>
          <w:i/>
          <w:sz w:val="20"/>
          <w:szCs w:val="20"/>
        </w:rPr>
      </w:pPr>
    </w:p>
    <w:p w:rsidR="00556DFF" w:rsidRPr="000B4921" w:rsidRDefault="00556DFF" w:rsidP="005531A6">
      <w:pPr>
        <w:rPr>
          <w:rFonts w:ascii="Arial" w:hAnsi="Arial"/>
          <w:szCs w:val="20"/>
          <w:u w:val="single"/>
        </w:rPr>
      </w:pPr>
      <w:r w:rsidRPr="000B4921">
        <w:rPr>
          <w:rFonts w:ascii="Arial" w:hAnsi="Arial" w:cs="Arial"/>
          <w:bCs/>
          <w:sz w:val="20"/>
          <w:szCs w:val="20"/>
          <w:u w:val="single"/>
          <w:lang w:eastAsia="en-US"/>
        </w:rPr>
        <w:t>Relevancia clínica</w:t>
      </w:r>
    </w:p>
    <w:p w:rsidR="00556DFF" w:rsidRDefault="00556DFF" w:rsidP="005531A6">
      <w:pPr>
        <w:jc w:val="both"/>
        <w:rPr>
          <w:rFonts w:ascii="Arial" w:hAnsi="Arial" w:cs="Arial"/>
          <w:bCs/>
          <w:sz w:val="20"/>
          <w:szCs w:val="20"/>
          <w:lang w:eastAsia="en-US"/>
        </w:rPr>
      </w:pPr>
      <w:r w:rsidRPr="005531A6">
        <w:rPr>
          <w:rFonts w:ascii="Arial" w:hAnsi="Arial" w:cs="Arial"/>
          <w:bCs/>
          <w:sz w:val="20"/>
          <w:szCs w:val="20"/>
          <w:lang w:eastAsia="en-US"/>
        </w:rPr>
        <w:t xml:space="preserve">Actualmente es el único fármaco que tiene indicación para los pacientes </w:t>
      </w:r>
      <w:proofErr w:type="spellStart"/>
      <w:r w:rsidRPr="005531A6">
        <w:rPr>
          <w:rFonts w:ascii="Arial" w:hAnsi="Arial" w:cs="Arial"/>
          <w:bCs/>
          <w:sz w:val="20"/>
          <w:szCs w:val="20"/>
          <w:lang w:eastAsia="en-US"/>
        </w:rPr>
        <w:t>MGg</w:t>
      </w:r>
      <w:proofErr w:type="spellEnd"/>
      <w:r w:rsidRPr="005531A6">
        <w:rPr>
          <w:rFonts w:ascii="Arial" w:hAnsi="Arial" w:cs="Arial"/>
          <w:bCs/>
          <w:sz w:val="20"/>
          <w:szCs w:val="20"/>
          <w:lang w:eastAsia="en-US"/>
        </w:rPr>
        <w:t xml:space="preserve"> refractaria que no responden a TIS. El análisis de la variable principal no ha dado resultados estadísticamente significativos para el grupo de </w:t>
      </w:r>
      <w:proofErr w:type="spellStart"/>
      <w:r w:rsidRPr="005531A6">
        <w:rPr>
          <w:rFonts w:ascii="Arial" w:hAnsi="Arial" w:cs="Arial"/>
          <w:bCs/>
          <w:sz w:val="20"/>
          <w:szCs w:val="20"/>
          <w:lang w:eastAsia="en-US"/>
        </w:rPr>
        <w:t>eculizumab</w:t>
      </w:r>
      <w:proofErr w:type="spellEnd"/>
      <w:r w:rsidRPr="005531A6">
        <w:rPr>
          <w:rFonts w:ascii="Arial" w:hAnsi="Arial" w:cs="Arial"/>
          <w:bCs/>
          <w:sz w:val="20"/>
          <w:szCs w:val="20"/>
          <w:lang w:eastAsia="en-US"/>
        </w:rPr>
        <w:t xml:space="preserve"> en el análisis principal, dando resultados positivos para las variables secundarias (descritas en el apartado anterior). El resto de tratamientos para estos pacientes cuenta con poca evidencia científica, apuntando a una buena respuesta </w:t>
      </w:r>
      <w:proofErr w:type="spellStart"/>
      <w:r w:rsidRPr="005531A6">
        <w:rPr>
          <w:rFonts w:ascii="Arial" w:hAnsi="Arial" w:cs="Arial"/>
          <w:bCs/>
          <w:sz w:val="20"/>
          <w:szCs w:val="20"/>
          <w:lang w:eastAsia="en-US"/>
        </w:rPr>
        <w:t>rituximab</w:t>
      </w:r>
      <w:proofErr w:type="spellEnd"/>
      <w:r w:rsidRPr="005531A6">
        <w:rPr>
          <w:rFonts w:ascii="Arial" w:hAnsi="Arial" w:cs="Arial"/>
          <w:bCs/>
          <w:sz w:val="20"/>
          <w:szCs w:val="20"/>
          <w:lang w:eastAsia="en-US"/>
        </w:rPr>
        <w:t xml:space="preserve"> en pacientes con anticuerpos </w:t>
      </w:r>
      <w:proofErr w:type="spellStart"/>
      <w:r w:rsidRPr="005531A6">
        <w:rPr>
          <w:rFonts w:ascii="Arial" w:hAnsi="Arial" w:cs="Arial"/>
          <w:bCs/>
          <w:sz w:val="20"/>
          <w:szCs w:val="20"/>
          <w:lang w:eastAsia="en-US"/>
        </w:rPr>
        <w:t>MuSK</w:t>
      </w:r>
      <w:proofErr w:type="spellEnd"/>
      <w:r w:rsidRPr="005531A6">
        <w:rPr>
          <w:rFonts w:ascii="Arial" w:hAnsi="Arial" w:cs="Arial"/>
          <w:bCs/>
          <w:sz w:val="20"/>
          <w:szCs w:val="20"/>
          <w:lang w:eastAsia="en-US"/>
        </w:rPr>
        <w:t xml:space="preserve"> positivos, siendo interesante llevar a cabo un ensayo clínico para afianzar el uso en esta indicación.</w:t>
      </w:r>
    </w:p>
    <w:p w:rsidR="00556DFF" w:rsidRPr="00376DC3" w:rsidRDefault="00556DFF" w:rsidP="002015F6">
      <w:pPr>
        <w:jc w:val="both"/>
        <w:rPr>
          <w:rFonts w:ascii="Arial" w:hAnsi="Arial" w:cs="Arial"/>
          <w:bCs/>
          <w:sz w:val="20"/>
          <w:szCs w:val="20"/>
          <w:lang w:eastAsia="en-US"/>
        </w:rPr>
      </w:pPr>
      <w:r w:rsidRPr="00376DC3">
        <w:rPr>
          <w:rFonts w:ascii="Arial" w:hAnsi="Arial" w:cs="Arial"/>
          <w:bCs/>
          <w:sz w:val="20"/>
          <w:szCs w:val="20"/>
          <w:lang w:eastAsia="en-US"/>
        </w:rPr>
        <w:t xml:space="preserve">La respuesta clínica se alcanza a las 12 semanas de tratamiento, en el caso de que no demuestre beneficio clínico se debe considerar la interrupción del tratamiento. </w:t>
      </w:r>
    </w:p>
    <w:p w:rsidR="00556DFF" w:rsidRPr="00FD6C7E" w:rsidRDefault="00556DFF" w:rsidP="00FD6C7E">
      <w:pPr>
        <w:jc w:val="both"/>
        <w:rPr>
          <w:rFonts w:ascii="Arial" w:hAnsi="Arial" w:cs="Arial"/>
          <w:bCs/>
          <w:sz w:val="20"/>
          <w:szCs w:val="20"/>
          <w:lang w:eastAsia="en-US"/>
        </w:rPr>
      </w:pPr>
    </w:p>
    <w:p w:rsidR="00556DFF" w:rsidRPr="00915D5B" w:rsidRDefault="00556DFF" w:rsidP="00915D5B">
      <w:pPr>
        <w:rPr>
          <w:rFonts w:ascii="Arial" w:hAnsi="Arial" w:cs="Arial"/>
          <w:i/>
          <w:sz w:val="20"/>
          <w:szCs w:val="20"/>
          <w:u w:val="single"/>
        </w:rPr>
      </w:pPr>
      <w:r w:rsidRPr="00915D5B">
        <w:rPr>
          <w:rFonts w:ascii="Arial" w:hAnsi="Arial" w:cs="Arial"/>
          <w:sz w:val="20"/>
          <w:szCs w:val="20"/>
          <w:u w:val="single"/>
        </w:rPr>
        <w:t>Limitaciones</w:t>
      </w:r>
    </w:p>
    <w:p w:rsidR="00556DFF" w:rsidRPr="005531A6" w:rsidRDefault="00556DFF" w:rsidP="00B4237B">
      <w:pPr>
        <w:pStyle w:val="Authors"/>
        <w:jc w:val="both"/>
        <w:rPr>
          <w:rFonts w:cs="Arial"/>
          <w:bCs/>
          <w:color w:val="auto"/>
          <w:sz w:val="20"/>
          <w:lang w:val="es-ES"/>
        </w:rPr>
      </w:pPr>
      <w:r w:rsidRPr="005531A6">
        <w:rPr>
          <w:rFonts w:cs="Arial"/>
          <w:bCs/>
          <w:color w:val="auto"/>
          <w:sz w:val="20"/>
          <w:lang w:val="es-ES"/>
        </w:rPr>
        <w:t>En relación a los criterios de inclusión/exclusión, cabe destacar la exclusión de los pacientes en tratamiento con TIS, corticoides o inhibidores de la colinesterasa cuando no tenían estabilizadas las dosis, ya que los pacientes no estables con este otro tipo de fármacos son los que más requieran una nueva línea de tratamiento.</w:t>
      </w:r>
    </w:p>
    <w:p w:rsidR="00556DFF" w:rsidRPr="005531A6" w:rsidRDefault="00556DFF" w:rsidP="00B4237B">
      <w:pPr>
        <w:pStyle w:val="Authors"/>
        <w:jc w:val="both"/>
        <w:rPr>
          <w:rFonts w:cs="Arial"/>
          <w:bCs/>
          <w:color w:val="auto"/>
          <w:sz w:val="20"/>
          <w:lang w:val="es-ES"/>
        </w:rPr>
      </w:pPr>
      <w:r w:rsidRPr="005531A6">
        <w:rPr>
          <w:rFonts w:cs="Arial"/>
          <w:bCs/>
          <w:color w:val="auto"/>
          <w:sz w:val="20"/>
          <w:lang w:val="es-ES"/>
        </w:rPr>
        <w:t>La aplicabilidad de los resultados a la práctica clínica habría que evaluar la eficiencia del fármaco ya que en la variable principal del estudio no se consigue diferencia estadísticamente significativa con placebo, si encontrándose esta diferencia en algunas de las variables secundarias.</w:t>
      </w:r>
    </w:p>
    <w:p w:rsidR="00556DFF" w:rsidRPr="00915D5B" w:rsidRDefault="00556DFF" w:rsidP="00915D5B">
      <w:pPr>
        <w:rPr>
          <w:rFonts w:ascii="Arial" w:hAnsi="Arial" w:cs="Arial"/>
          <w:i/>
          <w:sz w:val="20"/>
          <w:szCs w:val="20"/>
        </w:rPr>
      </w:pPr>
    </w:p>
    <w:p w:rsidR="00556DFF" w:rsidRDefault="00556DFF" w:rsidP="00915D5B">
      <w:pPr>
        <w:rPr>
          <w:rFonts w:ascii="Arial" w:hAnsi="Arial" w:cs="Arial"/>
          <w:b/>
          <w:sz w:val="20"/>
          <w:szCs w:val="20"/>
          <w:u w:val="single"/>
        </w:rPr>
      </w:pPr>
      <w:r w:rsidRPr="00915D5B">
        <w:rPr>
          <w:rFonts w:ascii="Arial" w:hAnsi="Arial" w:cs="Arial"/>
          <w:b/>
          <w:sz w:val="20"/>
          <w:szCs w:val="20"/>
          <w:u w:val="single"/>
        </w:rPr>
        <w:t>SEGURIDAD</w:t>
      </w:r>
    </w:p>
    <w:p w:rsidR="00556DFF" w:rsidRPr="00915D5B" w:rsidRDefault="00556DFF" w:rsidP="00915D5B">
      <w:pPr>
        <w:rPr>
          <w:rFonts w:ascii="Arial" w:hAnsi="Arial" w:cs="Arial"/>
          <w:b/>
          <w:sz w:val="20"/>
          <w:szCs w:val="20"/>
          <w:u w:val="single"/>
        </w:rPr>
      </w:pPr>
    </w:p>
    <w:p w:rsidR="00556DFF" w:rsidRPr="0013685B" w:rsidRDefault="00556DFF" w:rsidP="005531A6">
      <w:pPr>
        <w:shd w:val="clear" w:color="auto" w:fill="FFFFFF"/>
        <w:jc w:val="both"/>
        <w:rPr>
          <w:rFonts w:ascii="Arial" w:hAnsi="Arial" w:cs="Arial"/>
          <w:sz w:val="20"/>
          <w:szCs w:val="20"/>
        </w:rPr>
      </w:pPr>
      <w:r w:rsidRPr="0013685B">
        <w:rPr>
          <w:rFonts w:ascii="Arial" w:hAnsi="Arial" w:cs="Arial"/>
          <w:sz w:val="20"/>
          <w:szCs w:val="20"/>
        </w:rPr>
        <w:t xml:space="preserve">En el estudio ECU-MG-301, se informaron un total de 767 EA (brazo de </w:t>
      </w:r>
      <w:proofErr w:type="spellStart"/>
      <w:r w:rsidRPr="0013685B">
        <w:rPr>
          <w:rFonts w:ascii="Arial" w:hAnsi="Arial" w:cs="Arial"/>
          <w:sz w:val="20"/>
          <w:szCs w:val="20"/>
        </w:rPr>
        <w:t>eculizum</w:t>
      </w:r>
      <w:r>
        <w:rPr>
          <w:rFonts w:ascii="Arial" w:hAnsi="Arial" w:cs="Arial"/>
          <w:sz w:val="20"/>
          <w:szCs w:val="20"/>
        </w:rPr>
        <w:t>ab</w:t>
      </w:r>
      <w:proofErr w:type="spellEnd"/>
      <w:r>
        <w:rPr>
          <w:rFonts w:ascii="Arial" w:hAnsi="Arial" w:cs="Arial"/>
          <w:sz w:val="20"/>
          <w:szCs w:val="20"/>
        </w:rPr>
        <w:t>: 361; brazo de placebo: 406)</w:t>
      </w:r>
      <w:r w:rsidRPr="0013685B">
        <w:rPr>
          <w:rFonts w:ascii="Arial" w:hAnsi="Arial" w:cs="Arial"/>
          <w:sz w:val="20"/>
          <w:szCs w:val="20"/>
        </w:rPr>
        <w:t>. En ambos brazos de tratamiento, los efectos adversos informados con mayor frecuencia por orden de frecuencia descendente fueron dolor de cabeza, infección del tracto respiratorio superior, nasofaringitis, miastenia grave, náuseas, diarrea, dolor de espalda, mareos</w:t>
      </w:r>
      <w:r>
        <w:rPr>
          <w:rFonts w:ascii="Arial" w:hAnsi="Arial" w:cs="Arial"/>
          <w:sz w:val="20"/>
          <w:szCs w:val="20"/>
        </w:rPr>
        <w:t xml:space="preserve"> y</w:t>
      </w:r>
      <w:r w:rsidRPr="0013685B">
        <w:rPr>
          <w:rFonts w:ascii="Arial" w:hAnsi="Arial" w:cs="Arial"/>
          <w:sz w:val="20"/>
          <w:szCs w:val="20"/>
        </w:rPr>
        <w:t xml:space="preserve"> infección del tracto urinario. Los efectos adversos </w:t>
      </w:r>
      <w:r>
        <w:rPr>
          <w:rFonts w:ascii="Arial" w:hAnsi="Arial" w:cs="Arial"/>
          <w:sz w:val="20"/>
          <w:szCs w:val="20"/>
        </w:rPr>
        <w:t>emergentes de la MG</w:t>
      </w:r>
      <w:r w:rsidRPr="0013685B">
        <w:rPr>
          <w:rFonts w:ascii="Arial" w:hAnsi="Arial" w:cs="Arial"/>
          <w:sz w:val="20"/>
          <w:szCs w:val="20"/>
        </w:rPr>
        <w:t xml:space="preserve"> en el tratamiento fueron informados por 6 (9,7%) pacientes en el brazo de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y 11 (17,5%) pacientes en el brazo de placebo.</w:t>
      </w:r>
    </w:p>
    <w:p w:rsidR="00556DFF" w:rsidRDefault="00556DFF" w:rsidP="005531A6">
      <w:pPr>
        <w:shd w:val="clear" w:color="auto" w:fill="FFFFFF"/>
        <w:jc w:val="both"/>
        <w:rPr>
          <w:rFonts w:ascii="Arial" w:hAnsi="Arial" w:cs="Arial"/>
          <w:sz w:val="20"/>
          <w:szCs w:val="20"/>
        </w:rPr>
      </w:pPr>
      <w:r>
        <w:rPr>
          <w:rFonts w:ascii="Arial" w:hAnsi="Arial" w:cs="Arial"/>
          <w:sz w:val="20"/>
          <w:szCs w:val="20"/>
        </w:rPr>
        <w:t>L</w:t>
      </w:r>
      <w:r w:rsidRPr="0013685B">
        <w:rPr>
          <w:rFonts w:ascii="Arial" w:hAnsi="Arial" w:cs="Arial"/>
          <w:sz w:val="20"/>
          <w:szCs w:val="20"/>
        </w:rPr>
        <w:t xml:space="preserve">os eventos adversos informados con mayor frecuencia por pacientes que continuaron en el estudio ECU-MG-302 fueron nasofaringitis </w:t>
      </w:r>
      <w:r>
        <w:rPr>
          <w:rFonts w:ascii="Arial" w:hAnsi="Arial" w:cs="Arial"/>
          <w:sz w:val="20"/>
          <w:szCs w:val="20"/>
        </w:rPr>
        <w:t>(</w:t>
      </w:r>
      <w:r w:rsidRPr="0013685B">
        <w:rPr>
          <w:rFonts w:ascii="Arial" w:hAnsi="Arial" w:cs="Arial"/>
          <w:sz w:val="20"/>
          <w:szCs w:val="20"/>
        </w:rPr>
        <w:t xml:space="preserve">10 [17,2%] pacientes en el grupo placebo /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y 10 [18.2%] pacientes en el grupo de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y cefalea (13 [22.4%] pacientes en el grupo placebo /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y 6 [10.9%] pacientes en el brazo </w:t>
      </w:r>
      <w:proofErr w:type="spellStart"/>
      <w:r w:rsidRPr="0013685B">
        <w:rPr>
          <w:rFonts w:ascii="Arial" w:hAnsi="Arial" w:cs="Arial"/>
          <w:sz w:val="20"/>
          <w:szCs w:val="20"/>
        </w:rPr>
        <w:t>eculizumab</w:t>
      </w:r>
      <w:proofErr w:type="spellEnd"/>
      <w:r w:rsidRPr="0013685B">
        <w:rPr>
          <w:rFonts w:ascii="Arial" w:hAnsi="Arial" w:cs="Arial"/>
          <w:sz w:val="20"/>
          <w:szCs w:val="20"/>
        </w:rPr>
        <w:t xml:space="preserve"> / </w:t>
      </w:r>
      <w:proofErr w:type="spellStart"/>
      <w:r w:rsidRPr="0013685B">
        <w:rPr>
          <w:rFonts w:ascii="Arial" w:hAnsi="Arial" w:cs="Arial"/>
          <w:sz w:val="20"/>
          <w:szCs w:val="20"/>
        </w:rPr>
        <w:t>eculizumab</w:t>
      </w:r>
      <w:proofErr w:type="spellEnd"/>
      <w:r w:rsidRPr="0013685B">
        <w:rPr>
          <w:rFonts w:ascii="Arial" w:hAnsi="Arial" w:cs="Arial"/>
          <w:sz w:val="20"/>
          <w:szCs w:val="20"/>
        </w:rPr>
        <w:t>). La incidencia de infección del tracto respira</w:t>
      </w:r>
      <w:r>
        <w:rPr>
          <w:rFonts w:ascii="Arial" w:hAnsi="Arial" w:cs="Arial"/>
          <w:sz w:val="20"/>
          <w:szCs w:val="20"/>
        </w:rPr>
        <w:t>torio superior fue mayor en el e</w:t>
      </w:r>
      <w:r w:rsidRPr="0013685B">
        <w:rPr>
          <w:rFonts w:ascii="Arial" w:hAnsi="Arial" w:cs="Arial"/>
          <w:sz w:val="20"/>
          <w:szCs w:val="20"/>
        </w:rPr>
        <w:t xml:space="preserve">studio ECU-MG-301 (17.6% </w:t>
      </w:r>
      <w:r>
        <w:rPr>
          <w:rFonts w:ascii="Arial" w:hAnsi="Arial" w:cs="Arial"/>
          <w:sz w:val="20"/>
          <w:szCs w:val="20"/>
        </w:rPr>
        <w:t>global), en comparación con el estudio ECU-MG-302 (</w:t>
      </w:r>
      <w:r w:rsidRPr="0013685B">
        <w:rPr>
          <w:rFonts w:ascii="Arial" w:hAnsi="Arial" w:cs="Arial"/>
          <w:sz w:val="20"/>
          <w:szCs w:val="20"/>
        </w:rPr>
        <w:t>4.4%</w:t>
      </w:r>
      <w:r>
        <w:rPr>
          <w:rFonts w:ascii="Arial" w:hAnsi="Arial" w:cs="Arial"/>
          <w:sz w:val="20"/>
          <w:szCs w:val="20"/>
        </w:rPr>
        <w:t xml:space="preserve"> global).</w:t>
      </w:r>
    </w:p>
    <w:p w:rsidR="00556DFF" w:rsidRPr="00D90108" w:rsidRDefault="00556DFF" w:rsidP="00D90108">
      <w:pPr>
        <w:shd w:val="clear" w:color="auto" w:fill="FFFFFF"/>
        <w:jc w:val="both"/>
        <w:rPr>
          <w:rFonts w:ascii="Arial" w:hAnsi="Arial" w:cs="Arial"/>
          <w:sz w:val="20"/>
          <w:szCs w:val="20"/>
        </w:rPr>
      </w:pPr>
      <w:r w:rsidRPr="00D90108">
        <w:rPr>
          <w:rFonts w:ascii="Arial" w:hAnsi="Arial" w:cs="Arial"/>
          <w:sz w:val="20"/>
          <w:szCs w:val="20"/>
        </w:rPr>
        <w:t xml:space="preserve">En el estudio ECU MG-301 un total de 27 pacientes tuvo </w:t>
      </w:r>
      <w:r w:rsidRPr="0006095E">
        <w:rPr>
          <w:rFonts w:ascii="Arial" w:hAnsi="Arial" w:cs="Arial"/>
          <w:b/>
          <w:sz w:val="20"/>
          <w:szCs w:val="20"/>
        </w:rPr>
        <w:t>reacciones adversas graves</w:t>
      </w:r>
      <w:r w:rsidRPr="00D90108">
        <w:rPr>
          <w:rFonts w:ascii="Arial" w:hAnsi="Arial" w:cs="Arial"/>
          <w:sz w:val="20"/>
          <w:szCs w:val="20"/>
        </w:rPr>
        <w:t xml:space="preserve">, 9 (14,5%) en los pacientes tratados con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y 18 (28,6%) en placebo.  Las notificadas con mayor frecuencia fueron: miastenia </w:t>
      </w:r>
      <w:proofErr w:type="spellStart"/>
      <w:r w:rsidRPr="00D90108">
        <w:rPr>
          <w:rFonts w:ascii="Arial" w:hAnsi="Arial" w:cs="Arial"/>
          <w:sz w:val="20"/>
          <w:szCs w:val="20"/>
        </w:rPr>
        <w:t>gravis</w:t>
      </w:r>
      <w:proofErr w:type="spellEnd"/>
      <w:r w:rsidRPr="00D90108">
        <w:rPr>
          <w:rFonts w:ascii="Arial" w:hAnsi="Arial" w:cs="Arial"/>
          <w:sz w:val="20"/>
          <w:szCs w:val="20"/>
        </w:rPr>
        <w:t xml:space="preserve"> (5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y 8 en placebo), pirexia (2 en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vs 0 en placebo) e infecciones de las vías respiratorias (0 en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vs 2 en placebo). En el estudio ECU-MG-302 se notificaron RAG en 18 pacientes  (9 </w:t>
      </w:r>
      <w:r>
        <w:rPr>
          <w:rFonts w:ascii="Arial" w:hAnsi="Arial" w:cs="Arial"/>
          <w:sz w:val="20"/>
          <w:szCs w:val="20"/>
        </w:rPr>
        <w:t xml:space="preserve"> en cada grupo); siendo</w:t>
      </w:r>
      <w:r w:rsidRPr="00D90108">
        <w:rPr>
          <w:rFonts w:ascii="Arial" w:hAnsi="Arial" w:cs="Arial"/>
          <w:sz w:val="20"/>
          <w:szCs w:val="20"/>
        </w:rPr>
        <w:t xml:space="preserve"> con mayor frecuencia fueron miastenia </w:t>
      </w:r>
      <w:proofErr w:type="spellStart"/>
      <w:r w:rsidRPr="00D90108">
        <w:rPr>
          <w:rFonts w:ascii="Arial" w:hAnsi="Arial" w:cs="Arial"/>
          <w:sz w:val="20"/>
          <w:szCs w:val="20"/>
        </w:rPr>
        <w:t>gravis</w:t>
      </w:r>
      <w:proofErr w:type="spellEnd"/>
      <w:r w:rsidRPr="00D90108">
        <w:rPr>
          <w:rFonts w:ascii="Arial" w:hAnsi="Arial" w:cs="Arial"/>
          <w:sz w:val="20"/>
          <w:szCs w:val="20"/>
        </w:rPr>
        <w:t xml:space="preserve">  e influenza. En general las RA graves más notificadas fueron aquellas relacionados con infecciones (tanto en el grupo con placebo como </w:t>
      </w:r>
      <w:proofErr w:type="spellStart"/>
      <w:r w:rsidRPr="00D90108">
        <w:rPr>
          <w:rFonts w:ascii="Arial" w:hAnsi="Arial" w:cs="Arial"/>
          <w:sz w:val="20"/>
          <w:szCs w:val="20"/>
        </w:rPr>
        <w:t>eculizumab</w:t>
      </w:r>
      <w:proofErr w:type="spellEnd"/>
      <w:r w:rsidRPr="00D90108">
        <w:rPr>
          <w:rFonts w:ascii="Arial" w:hAnsi="Arial" w:cs="Arial"/>
          <w:sz w:val="20"/>
          <w:szCs w:val="20"/>
        </w:rPr>
        <w:t>) y trastornos gastrointestinales.</w:t>
      </w:r>
    </w:p>
    <w:p w:rsidR="00556DFF" w:rsidRDefault="00556DFF" w:rsidP="005531A6">
      <w:pPr>
        <w:shd w:val="clear" w:color="auto" w:fill="FFFFFF"/>
        <w:jc w:val="both"/>
        <w:rPr>
          <w:rFonts w:ascii="Arial" w:hAnsi="Arial" w:cs="Arial"/>
          <w:sz w:val="20"/>
          <w:szCs w:val="20"/>
        </w:rPr>
      </w:pPr>
      <w:r w:rsidRPr="00D90108">
        <w:rPr>
          <w:rFonts w:ascii="Arial" w:hAnsi="Arial" w:cs="Arial"/>
          <w:sz w:val="20"/>
          <w:szCs w:val="20"/>
        </w:rPr>
        <w:t xml:space="preserve">Se notificaron 2 muertes en el total de los estudios,  una en ECU MG 301 (grupo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posiblemente relacionada con </w:t>
      </w:r>
      <w:proofErr w:type="spellStart"/>
      <w:r w:rsidRPr="00D90108">
        <w:rPr>
          <w:rFonts w:ascii="Arial" w:hAnsi="Arial" w:cs="Arial"/>
          <w:sz w:val="20"/>
          <w:szCs w:val="20"/>
        </w:rPr>
        <w:t>eculizumab</w:t>
      </w:r>
      <w:proofErr w:type="spellEnd"/>
      <w:r w:rsidRPr="00D90108">
        <w:rPr>
          <w:rFonts w:ascii="Arial" w:hAnsi="Arial" w:cs="Arial"/>
          <w:sz w:val="20"/>
          <w:szCs w:val="20"/>
        </w:rPr>
        <w:t xml:space="preserve"> y otra en ECU-MG-302 (grupo </w:t>
      </w:r>
      <w:proofErr w:type="spellStart"/>
      <w:r w:rsidRPr="00D90108">
        <w:rPr>
          <w:rFonts w:ascii="Arial" w:hAnsi="Arial" w:cs="Arial"/>
          <w:sz w:val="20"/>
          <w:szCs w:val="20"/>
        </w:rPr>
        <w:t>eculizumab</w:t>
      </w:r>
      <w:proofErr w:type="spellEnd"/>
      <w:r w:rsidRPr="00D90108">
        <w:rPr>
          <w:rFonts w:ascii="Arial" w:hAnsi="Arial" w:cs="Arial"/>
          <w:sz w:val="20"/>
          <w:szCs w:val="20"/>
        </w:rPr>
        <w:t>/</w:t>
      </w:r>
      <w:proofErr w:type="spellStart"/>
      <w:r w:rsidRPr="00D90108">
        <w:rPr>
          <w:rFonts w:ascii="Arial" w:hAnsi="Arial" w:cs="Arial"/>
          <w:sz w:val="20"/>
          <w:szCs w:val="20"/>
        </w:rPr>
        <w:t>eculizumab</w:t>
      </w:r>
      <w:proofErr w:type="spellEnd"/>
      <w:r w:rsidRPr="00D90108">
        <w:rPr>
          <w:rFonts w:ascii="Arial" w:hAnsi="Arial" w:cs="Arial"/>
          <w:sz w:val="20"/>
          <w:szCs w:val="20"/>
        </w:rPr>
        <w:t>) con causalidad difícil de establecer.</w:t>
      </w:r>
    </w:p>
    <w:p w:rsidR="00556DFF" w:rsidRDefault="00556DFF" w:rsidP="00D90108">
      <w:pPr>
        <w:rPr>
          <w:rFonts w:ascii="Arial" w:hAnsi="Arial" w:cs="Arial"/>
          <w:sz w:val="20"/>
          <w:szCs w:val="20"/>
        </w:rPr>
      </w:pPr>
      <w:r w:rsidRPr="00D90108">
        <w:rPr>
          <w:rFonts w:ascii="Arial" w:hAnsi="Arial" w:cs="Arial"/>
          <w:sz w:val="20"/>
          <w:szCs w:val="20"/>
        </w:rPr>
        <w:t>Respecto a l</w:t>
      </w:r>
      <w:r>
        <w:rPr>
          <w:rFonts w:ascii="Arial" w:hAnsi="Arial" w:cs="Arial"/>
          <w:sz w:val="20"/>
          <w:szCs w:val="20"/>
        </w:rPr>
        <w:t xml:space="preserve">a inmunogenicidad, </w:t>
      </w:r>
      <w:r w:rsidRPr="00D90108">
        <w:rPr>
          <w:rFonts w:ascii="Arial" w:hAnsi="Arial" w:cs="Arial"/>
          <w:sz w:val="20"/>
          <w:szCs w:val="20"/>
        </w:rPr>
        <w:t>los resultados del estudio ECU-MG-301 no identificaron la generación de ADA a las 26 semanas. Estos resultados fueron confirmados en los estudios ECU-MG-302 y C08-001</w:t>
      </w:r>
      <w:r>
        <w:rPr>
          <w:rFonts w:ascii="Arial" w:hAnsi="Arial" w:cs="Arial"/>
          <w:sz w:val="20"/>
          <w:szCs w:val="20"/>
        </w:rPr>
        <w:t>.</w:t>
      </w:r>
    </w:p>
    <w:p w:rsidR="00556DFF" w:rsidRPr="00915D5B" w:rsidRDefault="00556DFF" w:rsidP="00915D5B">
      <w:pPr>
        <w:rPr>
          <w:rFonts w:ascii="Arial" w:hAnsi="Arial" w:cs="Arial"/>
          <w:sz w:val="20"/>
          <w:szCs w:val="20"/>
        </w:rPr>
      </w:pPr>
    </w:p>
    <w:p w:rsidR="00556DFF" w:rsidRPr="00915D5B" w:rsidRDefault="00556DFF" w:rsidP="00915D5B">
      <w:pPr>
        <w:rPr>
          <w:rFonts w:ascii="Arial" w:hAnsi="Arial" w:cs="Arial"/>
          <w:b/>
          <w:sz w:val="20"/>
          <w:szCs w:val="20"/>
          <w:u w:val="single"/>
        </w:rPr>
      </w:pPr>
      <w:r w:rsidRPr="00915D5B">
        <w:rPr>
          <w:rFonts w:ascii="Arial" w:hAnsi="Arial" w:cs="Arial"/>
          <w:b/>
          <w:sz w:val="20"/>
          <w:szCs w:val="20"/>
          <w:u w:val="single"/>
        </w:rPr>
        <w:t>ADECUACIÓN</w:t>
      </w:r>
    </w:p>
    <w:p w:rsidR="00556DFF" w:rsidRPr="00915D5B" w:rsidRDefault="00556DFF" w:rsidP="00915D5B">
      <w:pPr>
        <w:rPr>
          <w:rFonts w:ascii="Arial" w:hAnsi="Arial" w:cs="Arial"/>
          <w:sz w:val="20"/>
          <w:szCs w:val="20"/>
        </w:rPr>
      </w:pPr>
      <w:r>
        <w:rPr>
          <w:rFonts w:ascii="Arial" w:hAnsi="Arial" w:cs="Arial"/>
          <w:sz w:val="20"/>
          <w:szCs w:val="20"/>
        </w:rPr>
        <w:t xml:space="preserve">En el caso de </w:t>
      </w:r>
      <w:proofErr w:type="spellStart"/>
      <w:r>
        <w:rPr>
          <w:rFonts w:ascii="Arial" w:hAnsi="Arial" w:cs="Arial"/>
          <w:sz w:val="20"/>
          <w:szCs w:val="20"/>
        </w:rPr>
        <w:t>eculizumab</w:t>
      </w:r>
      <w:proofErr w:type="spellEnd"/>
      <w:r>
        <w:rPr>
          <w:rFonts w:ascii="Arial" w:hAnsi="Arial" w:cs="Arial"/>
          <w:sz w:val="20"/>
          <w:szCs w:val="20"/>
        </w:rPr>
        <w:t xml:space="preserve">, su pauta de administración es en perfusión </w:t>
      </w:r>
      <w:proofErr w:type="spellStart"/>
      <w:r>
        <w:rPr>
          <w:rFonts w:ascii="Arial" w:hAnsi="Arial" w:cs="Arial"/>
          <w:sz w:val="20"/>
          <w:szCs w:val="20"/>
        </w:rPr>
        <w:t>iv</w:t>
      </w:r>
      <w:proofErr w:type="spellEnd"/>
      <w:r>
        <w:rPr>
          <w:rFonts w:ascii="Arial" w:hAnsi="Arial" w:cs="Arial"/>
          <w:sz w:val="20"/>
          <w:szCs w:val="20"/>
        </w:rPr>
        <w:t xml:space="preserve"> de 25-45 minutos cada semana durante las 5 primeras semanas seguido de una misma perfusión </w:t>
      </w:r>
      <w:proofErr w:type="spellStart"/>
      <w:r>
        <w:rPr>
          <w:rFonts w:ascii="Arial" w:hAnsi="Arial" w:cs="Arial"/>
          <w:sz w:val="20"/>
          <w:szCs w:val="20"/>
        </w:rPr>
        <w:t>iv</w:t>
      </w:r>
      <w:proofErr w:type="spellEnd"/>
      <w:r>
        <w:rPr>
          <w:rFonts w:ascii="Arial" w:hAnsi="Arial" w:cs="Arial"/>
          <w:sz w:val="20"/>
          <w:szCs w:val="20"/>
        </w:rPr>
        <w:t xml:space="preserve"> de 25-45 minutos cada 14 ± 2-3 días. Este hecho presenta el inconveniente de la necesidad del paciente de acudir a la Unidad de Día a la administración del fármaco, ayudando a tener un control de la adherencia al tratamiento. Comparándolo con los fármacos que se usan actualmente en la práctica clínica (fuera de indicación), todos se administran vía IV en unidades de día.</w:t>
      </w:r>
    </w:p>
    <w:p w:rsidR="00556DFF" w:rsidRPr="00915D5B" w:rsidRDefault="00556DFF" w:rsidP="00915D5B">
      <w:pPr>
        <w:rPr>
          <w:rFonts w:ascii="Arial" w:hAnsi="Arial" w:cs="Arial"/>
          <w:sz w:val="20"/>
          <w:szCs w:val="20"/>
        </w:rPr>
      </w:pPr>
    </w:p>
    <w:p w:rsidR="00556DFF" w:rsidRPr="00915D5B" w:rsidRDefault="00556DFF" w:rsidP="00915D5B">
      <w:pPr>
        <w:rPr>
          <w:rFonts w:ascii="Arial" w:hAnsi="Arial" w:cs="Arial"/>
          <w:b/>
          <w:sz w:val="20"/>
          <w:szCs w:val="20"/>
          <w:u w:val="single"/>
        </w:rPr>
      </w:pPr>
      <w:r w:rsidRPr="00915D5B">
        <w:rPr>
          <w:rFonts w:ascii="Arial" w:hAnsi="Arial" w:cs="Arial"/>
          <w:b/>
          <w:sz w:val="20"/>
          <w:szCs w:val="20"/>
          <w:u w:val="single"/>
        </w:rPr>
        <w:t>COSTE</w:t>
      </w:r>
    </w:p>
    <w:p w:rsidR="00556DFF" w:rsidRDefault="00556DFF" w:rsidP="007B4572">
      <w:pPr>
        <w:rPr>
          <w:rFonts w:ascii="Arial" w:hAnsi="Arial" w:cs="Arial"/>
          <w:sz w:val="16"/>
        </w:rPr>
      </w:pPr>
    </w:p>
    <w:p w:rsidR="00556DFF" w:rsidRPr="007B4572" w:rsidRDefault="00556DFF" w:rsidP="007B4572">
      <w:pPr>
        <w:jc w:val="both"/>
        <w:rPr>
          <w:rFonts w:ascii="Arial" w:hAnsi="Arial" w:cs="Arial"/>
          <w:sz w:val="20"/>
          <w:szCs w:val="20"/>
        </w:rPr>
      </w:pPr>
      <w:r>
        <w:rPr>
          <w:rFonts w:ascii="Arial" w:hAnsi="Arial" w:cs="Arial"/>
          <w:sz w:val="20"/>
          <w:szCs w:val="20"/>
        </w:rPr>
        <w:t xml:space="preserve">En España, tendremos aproximadamente un total de 210-240 pacientes con </w:t>
      </w:r>
      <w:proofErr w:type="spellStart"/>
      <w:r>
        <w:rPr>
          <w:rFonts w:ascii="Arial" w:hAnsi="Arial" w:cs="Arial"/>
          <w:sz w:val="20"/>
          <w:szCs w:val="20"/>
        </w:rPr>
        <w:t>MGg.</w:t>
      </w:r>
      <w:proofErr w:type="spellEnd"/>
      <w:r>
        <w:rPr>
          <w:rFonts w:ascii="Arial" w:hAnsi="Arial" w:cs="Arial"/>
          <w:sz w:val="20"/>
          <w:szCs w:val="20"/>
        </w:rPr>
        <w:t xml:space="preserve"> Si extrapolamos a Andalucía, tendríamos un total de 38 – 50  casos, analizando el impacto económico de la media (44 pacientes) sería </w:t>
      </w:r>
      <w:r w:rsidRPr="007B4572">
        <w:rPr>
          <w:rFonts w:ascii="Arial" w:hAnsi="Arial" w:cs="Arial"/>
          <w:sz w:val="20"/>
          <w:szCs w:val="20"/>
        </w:rPr>
        <w:t>22.542.852 €</w:t>
      </w:r>
      <w:r>
        <w:rPr>
          <w:rFonts w:ascii="Arial" w:hAnsi="Arial" w:cs="Arial"/>
          <w:sz w:val="20"/>
          <w:szCs w:val="20"/>
        </w:rPr>
        <w:t xml:space="preserve">. </w:t>
      </w:r>
      <w:r w:rsidRPr="007B4572">
        <w:rPr>
          <w:rFonts w:ascii="Arial" w:hAnsi="Arial" w:cs="Arial"/>
          <w:sz w:val="20"/>
          <w:szCs w:val="20"/>
        </w:rPr>
        <w:t xml:space="preserve">Se estima que durante un año serán tratados un total de 1.5-2 pacientes en un hospital de 500 camas con el nuevo fármaco. El coste anual adicional para el hospital será de 1.024.675 euros. </w:t>
      </w:r>
    </w:p>
    <w:p w:rsidR="00556DFF" w:rsidRDefault="00556DFF" w:rsidP="00915D5B">
      <w:pPr>
        <w:rPr>
          <w:rFonts w:ascii="Arial" w:hAnsi="Arial" w:cs="Arial"/>
          <w:sz w:val="20"/>
          <w:szCs w:val="20"/>
        </w:rPr>
      </w:pPr>
    </w:p>
    <w:p w:rsidR="00556DFF" w:rsidRPr="00E60FB7" w:rsidRDefault="00556DFF" w:rsidP="00915D5B">
      <w:pPr>
        <w:rPr>
          <w:rFonts w:ascii="Arial" w:hAnsi="Arial" w:cs="Arial"/>
          <w:b/>
          <w:i/>
          <w:sz w:val="20"/>
          <w:szCs w:val="20"/>
          <w:u w:val="single"/>
        </w:rPr>
      </w:pPr>
      <w:r w:rsidRPr="00E60FB7">
        <w:rPr>
          <w:rFonts w:ascii="Arial" w:hAnsi="Arial" w:cs="Arial"/>
          <w:b/>
          <w:i/>
          <w:sz w:val="20"/>
          <w:szCs w:val="20"/>
          <w:u w:val="single"/>
        </w:rPr>
        <w:t>PACIENTES CANDIDATOS:</w:t>
      </w:r>
    </w:p>
    <w:p w:rsidR="00556DFF" w:rsidRDefault="00556DFF" w:rsidP="00915D5B">
      <w:pPr>
        <w:rPr>
          <w:rFonts w:ascii="Arial" w:hAnsi="Arial" w:cs="Arial"/>
          <w:sz w:val="20"/>
          <w:szCs w:val="20"/>
        </w:rPr>
      </w:pPr>
    </w:p>
    <w:p w:rsidR="00556DFF" w:rsidRPr="00FC37BC" w:rsidRDefault="00556DFF" w:rsidP="00E60FB7">
      <w:pPr>
        <w:pStyle w:val="Textoindependiente2"/>
        <w:jc w:val="both"/>
        <w:rPr>
          <w:rFonts w:ascii="Arial" w:hAnsi="Arial" w:cs="Arial"/>
          <w:sz w:val="20"/>
        </w:rPr>
      </w:pPr>
      <w:r w:rsidRPr="00FC37BC">
        <w:rPr>
          <w:rFonts w:ascii="Arial" w:hAnsi="Arial" w:cs="Arial"/>
          <w:sz w:val="20"/>
        </w:rPr>
        <w:t xml:space="preserve">En miastenia </w:t>
      </w:r>
      <w:proofErr w:type="spellStart"/>
      <w:r w:rsidRPr="00FC37BC">
        <w:rPr>
          <w:rFonts w:ascii="Arial" w:hAnsi="Arial" w:cs="Arial"/>
          <w:sz w:val="20"/>
        </w:rPr>
        <w:t>gravis</w:t>
      </w:r>
      <w:proofErr w:type="spellEnd"/>
      <w:r w:rsidRPr="00FC37BC">
        <w:rPr>
          <w:rFonts w:ascii="Arial" w:hAnsi="Arial" w:cs="Arial"/>
          <w:sz w:val="20"/>
        </w:rPr>
        <w:t xml:space="preserve"> refractaria y generalizada con anticuerpos anti-</w:t>
      </w:r>
      <w:proofErr w:type="spellStart"/>
      <w:r w:rsidRPr="00FC37BC">
        <w:rPr>
          <w:rFonts w:ascii="Arial" w:hAnsi="Arial" w:cs="Arial"/>
          <w:sz w:val="20"/>
        </w:rPr>
        <w:t>AchR</w:t>
      </w:r>
      <w:proofErr w:type="spellEnd"/>
      <w:r w:rsidRPr="00FC37BC">
        <w:rPr>
          <w:rFonts w:ascii="Arial" w:hAnsi="Arial" w:cs="Arial"/>
          <w:sz w:val="20"/>
        </w:rPr>
        <w:t>, el tratamiento actual consiste en:</w:t>
      </w:r>
    </w:p>
    <w:p w:rsidR="00556DFF" w:rsidRPr="00FC37BC" w:rsidRDefault="00556DFF" w:rsidP="00E60FB7">
      <w:pPr>
        <w:pStyle w:val="Textoindependiente2"/>
        <w:jc w:val="both"/>
        <w:rPr>
          <w:rFonts w:ascii="Arial" w:hAnsi="Arial" w:cs="Arial"/>
          <w:sz w:val="20"/>
        </w:rPr>
      </w:pPr>
      <w:r w:rsidRPr="00FC37BC">
        <w:rPr>
          <w:rFonts w:ascii="Arial" w:hAnsi="Arial" w:cs="Arial"/>
          <w:sz w:val="20"/>
        </w:rPr>
        <w:t>-TIS (</w:t>
      </w:r>
      <w:proofErr w:type="spellStart"/>
      <w:r w:rsidRPr="00FC37BC">
        <w:rPr>
          <w:rFonts w:ascii="Arial" w:hAnsi="Arial" w:cs="Arial"/>
          <w:sz w:val="20"/>
        </w:rPr>
        <w:t>azatioprina</w:t>
      </w:r>
      <w:proofErr w:type="spellEnd"/>
      <w:r w:rsidRPr="00FC37BC">
        <w:rPr>
          <w:rFonts w:ascii="Arial" w:hAnsi="Arial" w:cs="Arial"/>
          <w:sz w:val="20"/>
        </w:rPr>
        <w:t xml:space="preserve">, </w:t>
      </w:r>
      <w:proofErr w:type="spellStart"/>
      <w:r w:rsidRPr="00FC37BC">
        <w:rPr>
          <w:rFonts w:ascii="Arial" w:hAnsi="Arial" w:cs="Arial"/>
          <w:sz w:val="20"/>
        </w:rPr>
        <w:t>anticalcineurínicos</w:t>
      </w:r>
      <w:proofErr w:type="spellEnd"/>
      <w:r w:rsidRPr="00FC37BC">
        <w:rPr>
          <w:rFonts w:ascii="Arial" w:hAnsi="Arial" w:cs="Arial"/>
          <w:sz w:val="20"/>
        </w:rPr>
        <w:t xml:space="preserve">, </w:t>
      </w:r>
      <w:proofErr w:type="spellStart"/>
      <w:r w:rsidRPr="00FC37BC">
        <w:rPr>
          <w:rFonts w:ascii="Arial" w:hAnsi="Arial" w:cs="Arial"/>
          <w:sz w:val="20"/>
        </w:rPr>
        <w:t>micofenolato</w:t>
      </w:r>
      <w:proofErr w:type="spellEnd"/>
      <w:r w:rsidRPr="00FC37BC">
        <w:rPr>
          <w:rFonts w:ascii="Arial" w:hAnsi="Arial" w:cs="Arial"/>
          <w:sz w:val="20"/>
        </w:rPr>
        <w:t xml:space="preserve"> y </w:t>
      </w:r>
      <w:proofErr w:type="spellStart"/>
      <w:r w:rsidRPr="00FC37BC">
        <w:rPr>
          <w:rFonts w:ascii="Arial" w:hAnsi="Arial" w:cs="Arial"/>
          <w:sz w:val="20"/>
        </w:rPr>
        <w:t>metotrexato</w:t>
      </w:r>
      <w:proofErr w:type="spellEnd"/>
      <w:r w:rsidRPr="00FC37BC">
        <w:rPr>
          <w:rFonts w:ascii="Arial" w:hAnsi="Arial" w:cs="Arial"/>
          <w:sz w:val="20"/>
        </w:rPr>
        <w:t>, entre otros).</w:t>
      </w:r>
    </w:p>
    <w:p w:rsidR="00556DFF" w:rsidRPr="00FC37BC" w:rsidRDefault="00556DFF" w:rsidP="00E60FB7">
      <w:pPr>
        <w:pStyle w:val="Textoindependiente2"/>
        <w:jc w:val="both"/>
        <w:rPr>
          <w:rFonts w:ascii="Arial" w:hAnsi="Arial" w:cs="Arial"/>
          <w:sz w:val="20"/>
        </w:rPr>
      </w:pPr>
      <w:r w:rsidRPr="00FC37BC">
        <w:rPr>
          <w:rFonts w:ascii="Arial" w:hAnsi="Arial" w:cs="Arial"/>
          <w:sz w:val="20"/>
        </w:rPr>
        <w:t>-</w:t>
      </w:r>
      <w:proofErr w:type="spellStart"/>
      <w:r w:rsidRPr="00FC37BC">
        <w:rPr>
          <w:rFonts w:ascii="Arial" w:hAnsi="Arial" w:cs="Arial"/>
          <w:sz w:val="20"/>
        </w:rPr>
        <w:t>Rituximab</w:t>
      </w:r>
      <w:proofErr w:type="spellEnd"/>
      <w:r w:rsidRPr="00FC37BC">
        <w:rPr>
          <w:rFonts w:ascii="Arial" w:hAnsi="Arial" w:cs="Arial"/>
          <w:sz w:val="20"/>
        </w:rPr>
        <w:t xml:space="preserve"> </w:t>
      </w:r>
      <w:r>
        <w:rPr>
          <w:rFonts w:ascii="Arial" w:hAnsi="Arial" w:cs="Arial"/>
          <w:sz w:val="20"/>
        </w:rPr>
        <w:t>(ha demostrado resultados y se emplea en la práctica clínica)</w:t>
      </w:r>
      <w:r w:rsidRPr="00FC37BC">
        <w:rPr>
          <w:rFonts w:ascii="Arial" w:hAnsi="Arial" w:cs="Arial"/>
          <w:sz w:val="20"/>
        </w:rPr>
        <w:t>.</w:t>
      </w:r>
    </w:p>
    <w:p w:rsidR="00556DFF" w:rsidRPr="00FC37BC" w:rsidRDefault="00556DFF" w:rsidP="00E60FB7">
      <w:pPr>
        <w:pStyle w:val="Textoindependiente2"/>
        <w:jc w:val="both"/>
        <w:rPr>
          <w:rFonts w:ascii="Arial" w:hAnsi="Arial" w:cs="Arial"/>
          <w:sz w:val="20"/>
        </w:rPr>
      </w:pPr>
      <w:r w:rsidRPr="00FC37BC">
        <w:rPr>
          <w:rFonts w:ascii="Arial" w:hAnsi="Arial" w:cs="Arial"/>
          <w:sz w:val="20"/>
        </w:rPr>
        <w:t>-Inmunoglobulinas y plasmaféresis.</w:t>
      </w:r>
    </w:p>
    <w:p w:rsidR="00556DFF" w:rsidRPr="00FC37BC" w:rsidRDefault="00556DFF" w:rsidP="00E60FB7">
      <w:pPr>
        <w:pStyle w:val="Textoindependiente2"/>
        <w:jc w:val="both"/>
        <w:rPr>
          <w:rFonts w:ascii="Arial" w:hAnsi="Arial" w:cs="Arial"/>
          <w:sz w:val="20"/>
        </w:rPr>
      </w:pPr>
    </w:p>
    <w:p w:rsidR="00556DFF" w:rsidRDefault="00556DFF" w:rsidP="00E60FB7">
      <w:pPr>
        <w:pStyle w:val="Textoindependiente2"/>
        <w:jc w:val="both"/>
        <w:rPr>
          <w:rFonts w:ascii="Arial" w:hAnsi="Arial" w:cs="Arial"/>
          <w:sz w:val="20"/>
        </w:rPr>
      </w:pPr>
      <w:proofErr w:type="spellStart"/>
      <w:r w:rsidRPr="00FC37BC">
        <w:rPr>
          <w:rFonts w:ascii="Arial" w:hAnsi="Arial" w:cs="Arial"/>
          <w:sz w:val="20"/>
        </w:rPr>
        <w:t>Eculizumab</w:t>
      </w:r>
      <w:proofErr w:type="spellEnd"/>
      <w:r w:rsidRPr="00FC37BC">
        <w:rPr>
          <w:rFonts w:ascii="Arial" w:hAnsi="Arial" w:cs="Arial"/>
          <w:sz w:val="20"/>
        </w:rPr>
        <w:t xml:space="preserve"> podría considerarse una opción terapéutica más en pacientes con miastenia </w:t>
      </w:r>
      <w:proofErr w:type="spellStart"/>
      <w:r w:rsidRPr="00FC37BC">
        <w:rPr>
          <w:rFonts w:ascii="Arial" w:hAnsi="Arial" w:cs="Arial"/>
          <w:sz w:val="20"/>
        </w:rPr>
        <w:t>gravis</w:t>
      </w:r>
      <w:proofErr w:type="spellEnd"/>
      <w:r w:rsidRPr="00FC37BC">
        <w:rPr>
          <w:rFonts w:ascii="Arial" w:hAnsi="Arial" w:cs="Arial"/>
          <w:sz w:val="20"/>
        </w:rPr>
        <w:t xml:space="preserve"> generalizada, de clase II a IV según MGFA y puntuación ≥ 6 en la escala MG-ADL, refractaria, con </w:t>
      </w:r>
      <w:proofErr w:type="spellStart"/>
      <w:r w:rsidRPr="00FC37BC">
        <w:rPr>
          <w:rFonts w:ascii="Arial" w:hAnsi="Arial" w:cs="Arial"/>
          <w:sz w:val="20"/>
        </w:rPr>
        <w:t>AchR</w:t>
      </w:r>
      <w:proofErr w:type="spellEnd"/>
      <w:r w:rsidRPr="00FC37BC">
        <w:rPr>
          <w:rFonts w:ascii="Arial" w:hAnsi="Arial" w:cs="Arial"/>
          <w:sz w:val="20"/>
        </w:rPr>
        <w:t xml:space="preserve"> positivos, que no responden o han presentado intolerancia a tres o más terapias inmunosupresoras. Otras opciones de tratamiento actualmente utilizadas son </w:t>
      </w:r>
      <w:proofErr w:type="spellStart"/>
      <w:r w:rsidRPr="00FC37BC">
        <w:rPr>
          <w:rFonts w:ascii="Arial" w:hAnsi="Arial" w:cs="Arial"/>
          <w:sz w:val="20"/>
        </w:rPr>
        <w:t>rituximab</w:t>
      </w:r>
      <w:proofErr w:type="spellEnd"/>
      <w:r w:rsidRPr="00FC37BC">
        <w:rPr>
          <w:rFonts w:ascii="Arial" w:hAnsi="Arial" w:cs="Arial"/>
          <w:sz w:val="20"/>
        </w:rPr>
        <w:t xml:space="preserve">, </w:t>
      </w:r>
      <w:proofErr w:type="spellStart"/>
      <w:r w:rsidRPr="00FC37BC">
        <w:rPr>
          <w:rFonts w:ascii="Arial" w:hAnsi="Arial" w:cs="Arial"/>
          <w:sz w:val="20"/>
        </w:rPr>
        <w:t>ciclofosfamida</w:t>
      </w:r>
      <w:proofErr w:type="spellEnd"/>
      <w:r w:rsidRPr="00FC37BC">
        <w:rPr>
          <w:rFonts w:ascii="Arial" w:hAnsi="Arial" w:cs="Arial"/>
          <w:sz w:val="20"/>
        </w:rPr>
        <w:t xml:space="preserve"> o recambio plasmático/plasmaféresis. </w:t>
      </w:r>
    </w:p>
    <w:p w:rsidR="00556DFF" w:rsidRDefault="00556DFF" w:rsidP="00915D5B">
      <w:pPr>
        <w:rPr>
          <w:rFonts w:ascii="Arial" w:hAnsi="Arial" w:cs="Arial"/>
          <w:sz w:val="20"/>
          <w:szCs w:val="20"/>
        </w:rPr>
      </w:pPr>
    </w:p>
    <w:p w:rsidR="00556DFF" w:rsidRPr="00AF31B9" w:rsidRDefault="00556DFF" w:rsidP="00E60FB7">
      <w:pPr>
        <w:pStyle w:val="Textoindependiente2"/>
        <w:jc w:val="both"/>
        <w:rPr>
          <w:rFonts w:ascii="Arial" w:hAnsi="Arial" w:cs="Arial"/>
          <w:sz w:val="20"/>
        </w:rPr>
      </w:pPr>
      <w:r w:rsidRPr="00FC37BC">
        <w:rPr>
          <w:rFonts w:ascii="Arial" w:hAnsi="Arial" w:cs="Arial"/>
          <w:sz w:val="20"/>
        </w:rPr>
        <w:t xml:space="preserve">Los pacientes deben evaluarse periódicamente y aquéllos que no muestren evidencia de beneficio terapéutico al cabo de 12 semanas deberían interrumpir el tratamiento.  </w:t>
      </w:r>
    </w:p>
    <w:p w:rsidR="00556DFF" w:rsidRDefault="00556DFF" w:rsidP="00915D5B">
      <w:pPr>
        <w:rPr>
          <w:rFonts w:ascii="Arial" w:hAnsi="Arial" w:cs="Arial"/>
          <w:sz w:val="20"/>
          <w:szCs w:val="20"/>
        </w:rPr>
      </w:pPr>
    </w:p>
    <w:p w:rsidR="00556DFF" w:rsidRPr="006F6ABB" w:rsidRDefault="00556DFF" w:rsidP="00BC3E8E">
      <w:pPr>
        <w:pStyle w:val="Textoindependiente3"/>
        <w:ind w:left="708"/>
        <w:jc w:val="both"/>
        <w:rPr>
          <w:color w:val="000080"/>
        </w:rPr>
      </w:pPr>
    </w:p>
    <w:p w:rsidR="00556DFF" w:rsidRPr="00616F7A"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1" w:name="_Toc344399668"/>
      <w:bookmarkStart w:id="152" w:name="_Toc348931399"/>
      <w:bookmarkStart w:id="153" w:name="_Toc517462798"/>
      <w:r w:rsidRPr="00616F7A">
        <w:rPr>
          <w:rFonts w:cs="Arial"/>
          <w:sz w:val="20"/>
        </w:rPr>
        <w:t>9.2 Decisión</w:t>
      </w:r>
      <w:bookmarkEnd w:id="151"/>
      <w:bookmarkEnd w:id="152"/>
      <w:bookmarkEnd w:id="153"/>
    </w:p>
    <w:p w:rsidR="00556DFF" w:rsidRDefault="00556DFF" w:rsidP="00BC3E8E">
      <w:pPr>
        <w:pStyle w:val="Textoindependiente2"/>
        <w:jc w:val="left"/>
        <w:rPr>
          <w:rFonts w:ascii="Arial" w:hAnsi="Arial" w:cs="Arial"/>
          <w:sz w:val="20"/>
        </w:rPr>
      </w:pPr>
    </w:p>
    <w:p w:rsidR="00556DFF" w:rsidRPr="00897D31" w:rsidRDefault="00426B77" w:rsidP="00426B77">
      <w:pPr>
        <w:jc w:val="both"/>
        <w:rPr>
          <w:rFonts w:ascii="Arial" w:hAnsi="Arial" w:cs="Arial"/>
          <w:b/>
          <w:color w:val="FF0000"/>
          <w:sz w:val="20"/>
          <w:szCs w:val="20"/>
        </w:rPr>
      </w:pPr>
      <w:r w:rsidRPr="00426B77">
        <w:rPr>
          <w:rFonts w:ascii="Arial" w:hAnsi="Arial" w:cs="Arial"/>
          <w:b/>
          <w:color w:val="FF0000"/>
          <w:sz w:val="20"/>
          <w:szCs w:val="20"/>
        </w:rPr>
        <w:t xml:space="preserve">La Dirección general de Cartera Básica de Servicios del SNS y Farmacia ha emitido la resolución de no financiación </w:t>
      </w:r>
      <w:r>
        <w:rPr>
          <w:rFonts w:ascii="Arial" w:hAnsi="Arial" w:cs="Arial"/>
          <w:b/>
          <w:color w:val="FF0000"/>
          <w:sz w:val="20"/>
          <w:szCs w:val="20"/>
        </w:rPr>
        <w:t>(abril 2019</w:t>
      </w:r>
      <w:bookmarkStart w:id="154" w:name="_GoBack"/>
      <w:bookmarkEnd w:id="154"/>
      <w:r>
        <w:rPr>
          <w:rFonts w:ascii="Arial" w:hAnsi="Arial" w:cs="Arial"/>
          <w:b/>
          <w:color w:val="FF0000"/>
          <w:sz w:val="20"/>
          <w:szCs w:val="20"/>
        </w:rPr>
        <w:t xml:space="preserve">) </w:t>
      </w:r>
      <w:r w:rsidRPr="00426B77">
        <w:rPr>
          <w:rFonts w:ascii="Arial" w:hAnsi="Arial" w:cs="Arial"/>
          <w:b/>
          <w:color w:val="FF0000"/>
          <w:sz w:val="20"/>
          <w:szCs w:val="20"/>
        </w:rPr>
        <w:t>para</w:t>
      </w:r>
      <w:r>
        <w:rPr>
          <w:rFonts w:ascii="Arial" w:hAnsi="Arial" w:cs="Arial"/>
          <w:b/>
          <w:color w:val="FF0000"/>
          <w:sz w:val="20"/>
          <w:szCs w:val="20"/>
        </w:rPr>
        <w:t xml:space="preserve"> </w:t>
      </w:r>
      <w:proofErr w:type="spellStart"/>
      <w:r>
        <w:rPr>
          <w:rFonts w:ascii="Arial" w:hAnsi="Arial" w:cs="Arial"/>
          <w:b/>
          <w:color w:val="FF0000"/>
          <w:sz w:val="20"/>
          <w:szCs w:val="20"/>
        </w:rPr>
        <w:t>eculizumab</w:t>
      </w:r>
      <w:proofErr w:type="spellEnd"/>
      <w:r>
        <w:rPr>
          <w:rFonts w:ascii="Arial" w:hAnsi="Arial" w:cs="Arial"/>
          <w:b/>
          <w:color w:val="FF0000"/>
          <w:sz w:val="20"/>
          <w:szCs w:val="20"/>
        </w:rPr>
        <w:t xml:space="preserve"> para el tratamiento de miastenia </w:t>
      </w:r>
      <w:proofErr w:type="spellStart"/>
      <w:r>
        <w:rPr>
          <w:rFonts w:ascii="Arial" w:hAnsi="Arial" w:cs="Arial"/>
          <w:b/>
          <w:color w:val="FF0000"/>
          <w:sz w:val="20"/>
          <w:szCs w:val="20"/>
        </w:rPr>
        <w:t>gravis</w:t>
      </w:r>
      <w:proofErr w:type="spellEnd"/>
      <w:r>
        <w:rPr>
          <w:rFonts w:ascii="Arial" w:hAnsi="Arial" w:cs="Arial"/>
          <w:b/>
          <w:color w:val="FF0000"/>
          <w:sz w:val="20"/>
          <w:szCs w:val="20"/>
        </w:rPr>
        <w:t xml:space="preserve"> generalizada (</w:t>
      </w:r>
      <w:proofErr w:type="spellStart"/>
      <w:r>
        <w:rPr>
          <w:rFonts w:ascii="Arial" w:hAnsi="Arial" w:cs="Arial"/>
          <w:b/>
          <w:color w:val="FF0000"/>
          <w:sz w:val="20"/>
          <w:szCs w:val="20"/>
        </w:rPr>
        <w:t>MGg</w:t>
      </w:r>
      <w:proofErr w:type="spellEnd"/>
      <w:r>
        <w:rPr>
          <w:rFonts w:ascii="Arial" w:hAnsi="Arial" w:cs="Arial"/>
          <w:b/>
          <w:color w:val="FF0000"/>
          <w:sz w:val="20"/>
          <w:szCs w:val="20"/>
        </w:rPr>
        <w:t>) refractaria en pacientes con anticuerpos positivos frente a receptores de la acetilcolina.</w:t>
      </w:r>
    </w:p>
    <w:p w:rsidR="00556DFF" w:rsidRPr="006F6ABB" w:rsidRDefault="00556DFF" w:rsidP="00BC3E8E">
      <w:pPr>
        <w:pStyle w:val="Encabezado"/>
        <w:tabs>
          <w:tab w:val="clear" w:pos="4252"/>
          <w:tab w:val="clear" w:pos="8504"/>
        </w:tabs>
        <w:rPr>
          <w:rFonts w:ascii="Arial" w:hAnsi="Arial" w:cs="Arial"/>
          <w:b/>
          <w:bCs/>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5" w:name="_Toc344399669"/>
      <w:bookmarkStart w:id="156" w:name="_Toc348931400"/>
      <w:bookmarkStart w:id="157" w:name="_Toc517462799"/>
      <w:r w:rsidRPr="00E3472F">
        <w:rPr>
          <w:rFonts w:cs="Arial"/>
          <w:sz w:val="20"/>
        </w:rPr>
        <w:t>9.3 Condiciones de uso (Solo en caso de clasificación D-E de la guía GINF)</w:t>
      </w:r>
      <w:bookmarkEnd w:id="155"/>
      <w:bookmarkEnd w:id="156"/>
      <w:bookmarkEnd w:id="157"/>
    </w:p>
    <w:p w:rsidR="00556DFF" w:rsidRDefault="00556DFF" w:rsidP="00BC3E8E">
      <w:pPr>
        <w:pStyle w:val="Encabezado"/>
        <w:tabs>
          <w:tab w:val="clear" w:pos="4252"/>
          <w:tab w:val="clear" w:pos="8504"/>
        </w:tabs>
        <w:rPr>
          <w:rFonts w:ascii="Arial" w:hAnsi="Arial" w:cs="Arial"/>
          <w:b/>
          <w:bCs/>
        </w:rPr>
      </w:pPr>
    </w:p>
    <w:p w:rsidR="00556DFF" w:rsidRPr="006F6ABB" w:rsidRDefault="00556DFF" w:rsidP="00BC3E8E">
      <w:pPr>
        <w:pStyle w:val="Encabezado"/>
        <w:tabs>
          <w:tab w:val="clear" w:pos="4252"/>
          <w:tab w:val="clear" w:pos="8504"/>
        </w:tabs>
        <w:rPr>
          <w:rFonts w:ascii="Arial" w:hAnsi="Arial" w:cs="Arial"/>
          <w:b/>
          <w:bCs/>
        </w:rPr>
      </w:pPr>
    </w:p>
    <w:p w:rsidR="00556DFF" w:rsidRPr="00E3472F" w:rsidRDefault="00556DFF"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8" w:name="_Toc344399670"/>
      <w:bookmarkStart w:id="159" w:name="_Toc348931401"/>
      <w:bookmarkStart w:id="160" w:name="_Toc517462800"/>
      <w:r w:rsidRPr="00E3472F">
        <w:rPr>
          <w:rFonts w:cs="Arial"/>
          <w:sz w:val="20"/>
        </w:rPr>
        <w:t>9.4 Plan de seguimiento</w:t>
      </w:r>
      <w:bookmarkEnd w:id="158"/>
      <w:bookmarkEnd w:id="159"/>
      <w:bookmarkEnd w:id="160"/>
    </w:p>
    <w:p w:rsidR="00556DFF" w:rsidRPr="006F6ABB" w:rsidRDefault="00556DFF" w:rsidP="00BC3E8E">
      <w:pPr>
        <w:pStyle w:val="Encabezado"/>
        <w:tabs>
          <w:tab w:val="clear" w:pos="4252"/>
          <w:tab w:val="clear" w:pos="8504"/>
        </w:tabs>
        <w:rPr>
          <w:rFonts w:ascii="Arial" w:hAnsi="Arial" w:cs="Arial"/>
          <w:b/>
          <w:bCs/>
        </w:rPr>
      </w:pPr>
    </w:p>
    <w:p w:rsidR="00556DFF" w:rsidRDefault="00556DFF" w:rsidP="00BC3E8E">
      <w:pPr>
        <w:jc w:val="right"/>
        <w:rPr>
          <w:rFonts w:ascii="Arial" w:hAnsi="Arial" w:cs="Arial"/>
          <w:color w:val="0000FF"/>
          <w:sz w:val="20"/>
          <w:szCs w:val="20"/>
          <w:u w:val="single"/>
        </w:rPr>
      </w:pPr>
    </w:p>
    <w:p w:rsidR="00556DFF" w:rsidRDefault="00556DFF" w:rsidP="00BC3E8E">
      <w:pPr>
        <w:jc w:val="right"/>
        <w:rPr>
          <w:rFonts w:ascii="Arial" w:hAnsi="Arial" w:cs="Arial"/>
          <w:color w:val="0000FF"/>
          <w:sz w:val="20"/>
          <w:szCs w:val="20"/>
          <w:u w:val="single"/>
        </w:rPr>
      </w:pPr>
    </w:p>
    <w:p w:rsidR="00556DFF" w:rsidRPr="005E731E" w:rsidRDefault="00556DFF" w:rsidP="00BC3E8E">
      <w:pPr>
        <w:pStyle w:val="Ttulo1"/>
        <w:pBdr>
          <w:top w:val="single" w:sz="4" w:space="1" w:color="auto"/>
          <w:left w:val="single" w:sz="4" w:space="4" w:color="auto"/>
          <w:bottom w:val="single" w:sz="4" w:space="1" w:color="auto"/>
          <w:right w:val="single" w:sz="4" w:space="4" w:color="auto"/>
        </w:pBdr>
        <w:shd w:val="clear" w:color="auto" w:fill="A6A6A6"/>
        <w:rPr>
          <w:rFonts w:cs="Arial"/>
          <w:i/>
          <w:iCs/>
          <w:kern w:val="0"/>
          <w:sz w:val="20"/>
          <w:szCs w:val="28"/>
        </w:rPr>
      </w:pPr>
      <w:bookmarkStart w:id="161" w:name="_Toc348931402"/>
      <w:bookmarkStart w:id="162" w:name="_Toc517462801"/>
      <w:r w:rsidRPr="005E731E">
        <w:rPr>
          <w:rFonts w:cs="Arial"/>
          <w:i/>
          <w:iCs/>
          <w:kern w:val="0"/>
          <w:sz w:val="20"/>
          <w:szCs w:val="28"/>
        </w:rPr>
        <w:t>10. BIBLIOGRAFÍA</w:t>
      </w:r>
      <w:bookmarkEnd w:id="161"/>
      <w:bookmarkEnd w:id="162"/>
    </w:p>
    <w:p w:rsidR="00556DFF" w:rsidRDefault="00556DFF" w:rsidP="00BC3E8E">
      <w:pPr>
        <w:rPr>
          <w:rFonts w:ascii="Arial" w:hAnsi="Arial" w:cs="Arial"/>
          <w:color w:val="0000FF"/>
          <w:sz w:val="20"/>
          <w:szCs w:val="20"/>
          <w:u w:val="single"/>
        </w:rPr>
      </w:pPr>
    </w:p>
    <w:p w:rsidR="00556DFF" w:rsidRPr="005E731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5E731E">
        <w:rPr>
          <w:rFonts w:ascii="Arial" w:hAnsi="Arial" w:cs="Arial"/>
          <w:color w:val="817E75"/>
          <w:sz w:val="20"/>
          <w:szCs w:val="20"/>
          <w:lang w:val="en-GB"/>
        </w:rPr>
        <w:t xml:space="preserve">Shawn J Bird. Diagnosis of myasthenia gravis. </w:t>
      </w:r>
      <w:r w:rsidRPr="00FD6C7E">
        <w:rPr>
          <w:rFonts w:ascii="Arial" w:hAnsi="Arial" w:cs="Arial"/>
          <w:color w:val="817E75"/>
          <w:sz w:val="20"/>
          <w:szCs w:val="20"/>
        </w:rPr>
        <w:t xml:space="preserve">Disponible en: </w:t>
      </w:r>
      <w:hyperlink r:id="rId12" w:anchor="H1" w:history="1">
        <w:r w:rsidRPr="00FD6C7E">
          <w:rPr>
            <w:color w:val="817E75"/>
          </w:rPr>
          <w:t>https://www.uptodate.com/contents/diagnosis-of-myasthenia-gravis?search=miastenia%20gravis%20generalizada&amp;source=search_result&amp;selectedTitle=2~150&amp;usage_type=default&amp;display_rank=2#H1</w:t>
        </w:r>
      </w:hyperlink>
      <w:r w:rsidRPr="00FD6C7E">
        <w:rPr>
          <w:rFonts w:ascii="Arial" w:hAnsi="Arial" w:cs="Arial"/>
          <w:color w:val="817E75"/>
          <w:sz w:val="20"/>
          <w:szCs w:val="20"/>
        </w:rPr>
        <w:t xml:space="preserve">. </w:t>
      </w:r>
      <w:r>
        <w:rPr>
          <w:rFonts w:ascii="Arial" w:hAnsi="Arial" w:cs="Arial"/>
          <w:color w:val="817E75"/>
          <w:sz w:val="20"/>
          <w:szCs w:val="20"/>
        </w:rPr>
        <w:t>Consultado el día 23/02/2018.</w:t>
      </w:r>
    </w:p>
    <w:p w:rsidR="00556DFF" w:rsidRPr="005E731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5E731E">
        <w:rPr>
          <w:rFonts w:ascii="Arial" w:hAnsi="Arial" w:cs="Arial"/>
          <w:color w:val="817E75"/>
          <w:sz w:val="20"/>
          <w:szCs w:val="20"/>
        </w:rPr>
        <w:t xml:space="preserve">Síntomas de la Miastenia </w:t>
      </w:r>
      <w:proofErr w:type="spellStart"/>
      <w:r w:rsidRPr="005E731E">
        <w:rPr>
          <w:rFonts w:ascii="Arial" w:hAnsi="Arial" w:cs="Arial"/>
          <w:color w:val="817E75"/>
          <w:sz w:val="20"/>
          <w:szCs w:val="20"/>
        </w:rPr>
        <w:t>Gravis</w:t>
      </w:r>
      <w:proofErr w:type="spellEnd"/>
      <w:r w:rsidRPr="005E731E">
        <w:rPr>
          <w:rFonts w:ascii="Arial" w:hAnsi="Arial" w:cs="Arial"/>
          <w:color w:val="817E75"/>
          <w:sz w:val="20"/>
          <w:szCs w:val="20"/>
        </w:rPr>
        <w:t>.</w:t>
      </w:r>
      <w:r>
        <w:rPr>
          <w:rFonts w:ascii="Arial" w:hAnsi="Arial" w:cs="Arial"/>
          <w:color w:val="817E75"/>
          <w:sz w:val="20"/>
          <w:szCs w:val="20"/>
        </w:rPr>
        <w:t xml:space="preserve"> </w:t>
      </w:r>
      <w:r w:rsidRPr="00615D63">
        <w:rPr>
          <w:rFonts w:ascii="Arial" w:hAnsi="Arial" w:cs="Arial"/>
          <w:color w:val="817E75"/>
          <w:sz w:val="20"/>
          <w:szCs w:val="20"/>
          <w:lang w:val="en-GB"/>
        </w:rPr>
        <w:t xml:space="preserve">National Institute of Neurological Disorders </w:t>
      </w:r>
      <w:proofErr w:type="spellStart"/>
      <w:r w:rsidRPr="00615D63">
        <w:rPr>
          <w:rFonts w:ascii="Arial" w:hAnsi="Arial" w:cs="Arial"/>
          <w:color w:val="817E75"/>
          <w:sz w:val="20"/>
          <w:szCs w:val="20"/>
          <w:lang w:val="en-GB"/>
        </w:rPr>
        <w:t>ans</w:t>
      </w:r>
      <w:proofErr w:type="spellEnd"/>
      <w:r w:rsidRPr="00615D63">
        <w:rPr>
          <w:rFonts w:ascii="Arial" w:hAnsi="Arial" w:cs="Arial"/>
          <w:color w:val="817E75"/>
          <w:sz w:val="20"/>
          <w:szCs w:val="20"/>
          <w:lang w:val="en-GB"/>
        </w:rPr>
        <w:t xml:space="preserve"> Stroke.  </w:t>
      </w:r>
      <w:r w:rsidRPr="005E731E">
        <w:rPr>
          <w:rFonts w:ascii="Arial" w:hAnsi="Arial" w:cs="Arial"/>
          <w:color w:val="817E75"/>
          <w:sz w:val="20"/>
          <w:szCs w:val="20"/>
        </w:rPr>
        <w:t xml:space="preserve">Disponible en: </w:t>
      </w:r>
      <w:hyperlink r:id="rId13" w:history="1">
        <w:r w:rsidRPr="005E731E">
          <w:rPr>
            <w:color w:val="817E75"/>
          </w:rPr>
          <w:t>https://www.espanol.ninds.nih.gov/trastornos/las_miastenia_gravis.htm</w:t>
        </w:r>
      </w:hyperlink>
      <w:r w:rsidRPr="005E731E">
        <w:rPr>
          <w:rFonts w:ascii="Arial" w:hAnsi="Arial" w:cs="Arial"/>
          <w:color w:val="817E75"/>
          <w:sz w:val="20"/>
          <w:szCs w:val="20"/>
        </w:rPr>
        <w:t xml:space="preserve">. </w:t>
      </w:r>
      <w:r>
        <w:rPr>
          <w:rFonts w:ascii="Arial" w:hAnsi="Arial" w:cs="Arial"/>
          <w:color w:val="817E75"/>
          <w:sz w:val="20"/>
          <w:szCs w:val="20"/>
        </w:rPr>
        <w:t>Consultado el día 23/02/2018.</w:t>
      </w:r>
    </w:p>
    <w:p w:rsidR="00556DFF" w:rsidRPr="00615D63"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lang w:val="en-GB"/>
        </w:rPr>
      </w:pPr>
      <w:proofErr w:type="spellStart"/>
      <w:r w:rsidRPr="00615D63">
        <w:rPr>
          <w:rFonts w:ascii="Arial" w:hAnsi="Arial" w:cs="Arial"/>
          <w:color w:val="817E75"/>
          <w:sz w:val="20"/>
          <w:szCs w:val="20"/>
          <w:lang w:val="en-GB"/>
        </w:rPr>
        <w:t>Aragones</w:t>
      </w:r>
      <w:proofErr w:type="spellEnd"/>
      <w:r w:rsidRPr="00615D63">
        <w:rPr>
          <w:rFonts w:ascii="Arial" w:hAnsi="Arial" w:cs="Arial"/>
          <w:color w:val="817E75"/>
          <w:sz w:val="20"/>
          <w:szCs w:val="20"/>
          <w:lang w:val="en-GB"/>
        </w:rPr>
        <w:t xml:space="preserve"> JM, </w:t>
      </w:r>
      <w:proofErr w:type="spellStart"/>
      <w:r w:rsidRPr="00615D63">
        <w:rPr>
          <w:rFonts w:ascii="Arial" w:hAnsi="Arial" w:cs="Arial"/>
          <w:color w:val="817E75"/>
          <w:sz w:val="20"/>
          <w:szCs w:val="20"/>
          <w:lang w:val="en-GB"/>
        </w:rPr>
        <w:t>Bolibar</w:t>
      </w:r>
      <w:proofErr w:type="spellEnd"/>
      <w:r w:rsidRPr="00615D63">
        <w:rPr>
          <w:rFonts w:ascii="Arial" w:hAnsi="Arial" w:cs="Arial"/>
          <w:color w:val="817E75"/>
          <w:sz w:val="20"/>
          <w:szCs w:val="20"/>
          <w:lang w:val="en-GB"/>
        </w:rPr>
        <w:t xml:space="preserve"> I, </w:t>
      </w:r>
      <w:proofErr w:type="spellStart"/>
      <w:r w:rsidRPr="00615D63">
        <w:rPr>
          <w:rFonts w:ascii="Arial" w:hAnsi="Arial" w:cs="Arial"/>
          <w:color w:val="817E75"/>
          <w:sz w:val="20"/>
          <w:szCs w:val="20"/>
          <w:lang w:val="en-GB"/>
        </w:rPr>
        <w:t>Bonfill</w:t>
      </w:r>
      <w:proofErr w:type="spellEnd"/>
      <w:r w:rsidRPr="00615D63">
        <w:rPr>
          <w:rFonts w:ascii="Arial" w:hAnsi="Arial" w:cs="Arial"/>
          <w:color w:val="817E75"/>
          <w:sz w:val="20"/>
          <w:szCs w:val="20"/>
          <w:lang w:val="en-GB"/>
        </w:rPr>
        <w:t xml:space="preserve"> X, </w:t>
      </w:r>
      <w:proofErr w:type="spellStart"/>
      <w:r w:rsidRPr="00615D63">
        <w:rPr>
          <w:rFonts w:ascii="Arial" w:hAnsi="Arial" w:cs="Arial"/>
          <w:color w:val="817E75"/>
          <w:sz w:val="20"/>
          <w:szCs w:val="20"/>
          <w:lang w:val="en-GB"/>
        </w:rPr>
        <w:t>Bufill</w:t>
      </w:r>
      <w:proofErr w:type="spellEnd"/>
      <w:r w:rsidRPr="00615D63">
        <w:rPr>
          <w:rFonts w:ascii="Arial" w:hAnsi="Arial" w:cs="Arial"/>
          <w:color w:val="817E75"/>
          <w:sz w:val="20"/>
          <w:szCs w:val="20"/>
          <w:lang w:val="en-GB"/>
        </w:rPr>
        <w:t xml:space="preserve"> E, </w:t>
      </w:r>
      <w:proofErr w:type="spellStart"/>
      <w:r w:rsidRPr="00615D63">
        <w:rPr>
          <w:rFonts w:ascii="Arial" w:hAnsi="Arial" w:cs="Arial"/>
          <w:color w:val="817E75"/>
          <w:sz w:val="20"/>
          <w:szCs w:val="20"/>
          <w:lang w:val="en-GB"/>
        </w:rPr>
        <w:t>Mummany</w:t>
      </w:r>
      <w:proofErr w:type="spellEnd"/>
      <w:r w:rsidRPr="00615D63">
        <w:rPr>
          <w:rFonts w:ascii="Arial" w:hAnsi="Arial" w:cs="Arial"/>
          <w:color w:val="817E75"/>
          <w:sz w:val="20"/>
          <w:szCs w:val="20"/>
          <w:lang w:val="en-GB"/>
        </w:rPr>
        <w:t xml:space="preserve"> A, Alonso F, Illa I. Myasthenia gravis: A higher than expected incidence in the </w:t>
      </w:r>
      <w:proofErr w:type="spellStart"/>
      <w:r w:rsidRPr="00615D63">
        <w:rPr>
          <w:rFonts w:ascii="Arial" w:hAnsi="Arial" w:cs="Arial"/>
          <w:color w:val="817E75"/>
          <w:sz w:val="20"/>
          <w:szCs w:val="20"/>
          <w:lang w:val="en-GB"/>
        </w:rPr>
        <w:t>elderly.Neurology</w:t>
      </w:r>
      <w:proofErr w:type="spellEnd"/>
      <w:r w:rsidRPr="00615D63">
        <w:rPr>
          <w:rFonts w:ascii="Arial" w:hAnsi="Arial" w:cs="Arial"/>
          <w:color w:val="817E75"/>
          <w:sz w:val="20"/>
          <w:szCs w:val="20"/>
          <w:lang w:val="en-GB"/>
        </w:rPr>
        <w:t>. 2003 Mar 25;60(6):1024-6.</w:t>
      </w:r>
    </w:p>
    <w:p w:rsidR="00556DFF"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615D63">
        <w:rPr>
          <w:rFonts w:ascii="Arial" w:hAnsi="Arial" w:cs="Arial"/>
          <w:color w:val="817E75"/>
          <w:sz w:val="20"/>
          <w:szCs w:val="20"/>
          <w:lang w:val="en-GB"/>
        </w:rPr>
        <w:t xml:space="preserve">Conti-Fine BM, Milani M, Kaminski HJ. Myasthenia gravis: past, present, and future. </w:t>
      </w:r>
      <w:r w:rsidRPr="005E731E">
        <w:rPr>
          <w:rFonts w:ascii="Arial" w:hAnsi="Arial" w:cs="Arial"/>
          <w:color w:val="817E75"/>
          <w:sz w:val="20"/>
          <w:szCs w:val="20"/>
        </w:rPr>
        <w:t xml:space="preserve">J </w:t>
      </w:r>
      <w:proofErr w:type="spellStart"/>
      <w:r w:rsidRPr="005E731E">
        <w:rPr>
          <w:rFonts w:ascii="Arial" w:hAnsi="Arial" w:cs="Arial"/>
          <w:color w:val="817E75"/>
          <w:sz w:val="20"/>
          <w:szCs w:val="20"/>
        </w:rPr>
        <w:t>Clin</w:t>
      </w:r>
      <w:proofErr w:type="spellEnd"/>
      <w:r w:rsidRPr="005E731E">
        <w:rPr>
          <w:rFonts w:ascii="Arial" w:hAnsi="Arial" w:cs="Arial"/>
          <w:color w:val="817E75"/>
          <w:sz w:val="20"/>
          <w:szCs w:val="20"/>
        </w:rPr>
        <w:t xml:space="preserve"> </w:t>
      </w:r>
      <w:proofErr w:type="spellStart"/>
      <w:r w:rsidRPr="005E731E">
        <w:rPr>
          <w:rFonts w:ascii="Arial" w:hAnsi="Arial" w:cs="Arial"/>
          <w:color w:val="817E75"/>
          <w:sz w:val="20"/>
          <w:szCs w:val="20"/>
        </w:rPr>
        <w:t>Invest</w:t>
      </w:r>
      <w:proofErr w:type="spellEnd"/>
      <w:r w:rsidRPr="005E731E">
        <w:rPr>
          <w:rFonts w:ascii="Arial" w:hAnsi="Arial" w:cs="Arial"/>
          <w:color w:val="817E75"/>
          <w:sz w:val="20"/>
          <w:szCs w:val="20"/>
        </w:rPr>
        <w:t xml:space="preserve"> 2006;116(11):2843-54</w:t>
      </w:r>
      <w:r>
        <w:rPr>
          <w:rFonts w:ascii="Arial" w:hAnsi="Arial" w:cs="Arial"/>
          <w:color w:val="817E75"/>
          <w:sz w:val="20"/>
          <w:szCs w:val="20"/>
        </w:rPr>
        <w:t xml:space="preserve">Bataller L. </w:t>
      </w:r>
      <w:r w:rsidRPr="006C0AF8">
        <w:rPr>
          <w:rFonts w:ascii="Arial" w:hAnsi="Arial" w:cs="Arial"/>
          <w:color w:val="817E75"/>
          <w:sz w:val="20"/>
          <w:szCs w:val="20"/>
        </w:rPr>
        <w:t xml:space="preserve">Avances en investigación en miastenia </w:t>
      </w:r>
      <w:proofErr w:type="spellStart"/>
      <w:r w:rsidRPr="006C0AF8">
        <w:rPr>
          <w:rFonts w:ascii="Arial" w:hAnsi="Arial" w:cs="Arial"/>
          <w:color w:val="817E75"/>
          <w:sz w:val="20"/>
          <w:szCs w:val="20"/>
        </w:rPr>
        <w:t>gravis</w:t>
      </w:r>
      <w:proofErr w:type="spellEnd"/>
      <w:r w:rsidRPr="006C0AF8">
        <w:rPr>
          <w:rFonts w:ascii="Arial" w:hAnsi="Arial" w:cs="Arial"/>
          <w:color w:val="817E75"/>
          <w:sz w:val="20"/>
          <w:szCs w:val="20"/>
        </w:rPr>
        <w:t xml:space="preserve"> y otros</w:t>
      </w:r>
      <w:r>
        <w:rPr>
          <w:rFonts w:ascii="Arial" w:hAnsi="Arial" w:cs="Arial"/>
          <w:color w:val="817E75"/>
          <w:sz w:val="20"/>
          <w:szCs w:val="20"/>
        </w:rPr>
        <w:t xml:space="preserve"> </w:t>
      </w:r>
      <w:r w:rsidRPr="006C0AF8">
        <w:rPr>
          <w:rFonts w:ascii="Arial" w:hAnsi="Arial" w:cs="Arial"/>
          <w:color w:val="817E75"/>
          <w:sz w:val="20"/>
          <w:szCs w:val="20"/>
        </w:rPr>
        <w:t>síndromes miasténicos</w:t>
      </w:r>
      <w:r>
        <w:rPr>
          <w:rFonts w:ascii="Arial" w:hAnsi="Arial" w:cs="Arial"/>
          <w:color w:val="817E75"/>
          <w:sz w:val="20"/>
          <w:szCs w:val="20"/>
        </w:rPr>
        <w:t xml:space="preserve">. </w:t>
      </w:r>
      <w:r w:rsidRPr="005E731E">
        <w:rPr>
          <w:rFonts w:ascii="Arial" w:hAnsi="Arial" w:cs="Arial"/>
          <w:color w:val="817E75"/>
          <w:sz w:val="20"/>
          <w:szCs w:val="20"/>
        </w:rPr>
        <w:t xml:space="preserve">Disponible en: </w:t>
      </w:r>
      <w:hyperlink r:id="rId14" w:history="1">
        <w:r w:rsidRPr="00240C05">
          <w:rPr>
            <w:rStyle w:val="Hipervnculo"/>
            <w:rFonts w:ascii="Arial" w:hAnsi="Arial" w:cs="Arial"/>
            <w:sz w:val="20"/>
            <w:szCs w:val="20"/>
          </w:rPr>
          <w:t>http://miastenia.ong/index.php/noticias-publicas/ponencias#</w:t>
        </w:r>
      </w:hyperlink>
    </w:p>
    <w:p w:rsidR="00556DFF" w:rsidRPr="00FA16F1"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proofErr w:type="spellStart"/>
      <w:r>
        <w:rPr>
          <w:rFonts w:ascii="Arial" w:hAnsi="Arial" w:cs="Arial"/>
          <w:color w:val="817E75"/>
          <w:sz w:val="20"/>
          <w:szCs w:val="20"/>
        </w:rPr>
        <w:t>Bataller</w:t>
      </w:r>
      <w:proofErr w:type="spellEnd"/>
      <w:r>
        <w:rPr>
          <w:rFonts w:ascii="Arial" w:hAnsi="Arial" w:cs="Arial"/>
          <w:color w:val="817E75"/>
          <w:sz w:val="20"/>
          <w:szCs w:val="20"/>
        </w:rPr>
        <w:t xml:space="preserve"> L. </w:t>
      </w:r>
      <w:r w:rsidRPr="006C0AF8">
        <w:rPr>
          <w:rFonts w:ascii="Arial" w:hAnsi="Arial" w:cs="Arial"/>
          <w:color w:val="817E75"/>
          <w:sz w:val="20"/>
          <w:szCs w:val="20"/>
        </w:rPr>
        <w:t xml:space="preserve">Avances en investigación en miastenia </w:t>
      </w:r>
      <w:proofErr w:type="spellStart"/>
      <w:r w:rsidRPr="006C0AF8">
        <w:rPr>
          <w:rFonts w:ascii="Arial" w:hAnsi="Arial" w:cs="Arial"/>
          <w:color w:val="817E75"/>
          <w:sz w:val="20"/>
          <w:szCs w:val="20"/>
        </w:rPr>
        <w:t>gravis</w:t>
      </w:r>
      <w:proofErr w:type="spellEnd"/>
      <w:r w:rsidRPr="006C0AF8">
        <w:rPr>
          <w:rFonts w:ascii="Arial" w:hAnsi="Arial" w:cs="Arial"/>
          <w:color w:val="817E75"/>
          <w:sz w:val="20"/>
          <w:szCs w:val="20"/>
        </w:rPr>
        <w:t xml:space="preserve"> y otros</w:t>
      </w:r>
      <w:r>
        <w:rPr>
          <w:rFonts w:ascii="Arial" w:hAnsi="Arial" w:cs="Arial"/>
          <w:color w:val="817E75"/>
          <w:sz w:val="20"/>
          <w:szCs w:val="20"/>
        </w:rPr>
        <w:t xml:space="preserve"> </w:t>
      </w:r>
      <w:r w:rsidRPr="006C0AF8">
        <w:rPr>
          <w:rFonts w:ascii="Arial" w:hAnsi="Arial" w:cs="Arial"/>
          <w:color w:val="817E75"/>
          <w:sz w:val="20"/>
          <w:szCs w:val="20"/>
        </w:rPr>
        <w:t>síndromes miasténicos</w:t>
      </w:r>
      <w:r>
        <w:rPr>
          <w:rFonts w:ascii="Arial" w:hAnsi="Arial" w:cs="Arial"/>
          <w:color w:val="817E75"/>
          <w:sz w:val="20"/>
          <w:szCs w:val="20"/>
        </w:rPr>
        <w:t xml:space="preserve">. </w:t>
      </w:r>
      <w:r w:rsidRPr="00FA16F1">
        <w:rPr>
          <w:rFonts w:ascii="Arial" w:hAnsi="Arial" w:cs="Arial"/>
          <w:color w:val="817E75"/>
          <w:sz w:val="20"/>
          <w:szCs w:val="20"/>
        </w:rPr>
        <w:t>Disponible en: http://miastenia.ong/index.php/noticias-publicas/ponencias#</w:t>
      </w:r>
    </w:p>
    <w:p w:rsidR="00556DFF" w:rsidRPr="005E731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5E731E">
        <w:rPr>
          <w:rFonts w:ascii="Arial" w:hAnsi="Arial" w:cs="Arial"/>
          <w:color w:val="817E75"/>
          <w:sz w:val="20"/>
          <w:szCs w:val="20"/>
        </w:rPr>
        <w:t xml:space="preserve">Guía de Referencia Rápida Tratamiento de la Miastenia </w:t>
      </w:r>
      <w:proofErr w:type="spellStart"/>
      <w:r w:rsidRPr="005E731E">
        <w:rPr>
          <w:rFonts w:ascii="Arial" w:hAnsi="Arial" w:cs="Arial"/>
          <w:color w:val="817E75"/>
          <w:sz w:val="20"/>
          <w:szCs w:val="20"/>
        </w:rPr>
        <w:t>Gravis</w:t>
      </w:r>
      <w:proofErr w:type="spellEnd"/>
      <w:r w:rsidRPr="005E731E">
        <w:rPr>
          <w:rFonts w:ascii="Arial" w:hAnsi="Arial" w:cs="Arial"/>
          <w:color w:val="817E75"/>
          <w:sz w:val="20"/>
          <w:szCs w:val="20"/>
        </w:rPr>
        <w:t xml:space="preserve"> en el adulto. Disponible en: </w:t>
      </w:r>
      <w:hyperlink r:id="rId15" w:history="1">
        <w:r w:rsidRPr="005E731E">
          <w:rPr>
            <w:rFonts w:ascii="Arial" w:hAnsi="Arial" w:cs="Arial"/>
            <w:color w:val="817E75"/>
            <w:sz w:val="20"/>
            <w:szCs w:val="20"/>
          </w:rPr>
          <w:t>http://www.imss.gob.mx/sites/all/statics/guiasclinicas/391GRR.pdf</w:t>
        </w:r>
      </w:hyperlink>
    </w:p>
    <w:p w:rsidR="00556DFF" w:rsidRPr="005E731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proofErr w:type="spellStart"/>
      <w:r w:rsidRPr="00615D63">
        <w:rPr>
          <w:rFonts w:ascii="Arial" w:hAnsi="Arial" w:cs="Arial"/>
          <w:color w:val="817E75"/>
          <w:sz w:val="20"/>
          <w:szCs w:val="20"/>
          <w:lang w:val="en-GB"/>
        </w:rPr>
        <w:t>Osserman</w:t>
      </w:r>
      <w:proofErr w:type="spellEnd"/>
      <w:r w:rsidRPr="00615D63">
        <w:rPr>
          <w:rFonts w:ascii="Arial" w:hAnsi="Arial" w:cs="Arial"/>
          <w:color w:val="817E75"/>
          <w:sz w:val="20"/>
          <w:szCs w:val="20"/>
          <w:lang w:val="en-GB"/>
        </w:rPr>
        <w:t xml:space="preserve"> KE, </w:t>
      </w:r>
      <w:proofErr w:type="spellStart"/>
      <w:r w:rsidRPr="00615D63">
        <w:rPr>
          <w:rFonts w:ascii="Arial" w:hAnsi="Arial" w:cs="Arial"/>
          <w:color w:val="817E75"/>
          <w:sz w:val="20"/>
          <w:szCs w:val="20"/>
          <w:lang w:val="en-GB"/>
        </w:rPr>
        <w:t>Genkins</w:t>
      </w:r>
      <w:proofErr w:type="spellEnd"/>
      <w:r w:rsidRPr="00615D63">
        <w:rPr>
          <w:rFonts w:ascii="Arial" w:hAnsi="Arial" w:cs="Arial"/>
          <w:color w:val="817E75"/>
          <w:sz w:val="20"/>
          <w:szCs w:val="20"/>
          <w:lang w:val="en-GB"/>
        </w:rPr>
        <w:t xml:space="preserve"> G. Studies in myasthenia gravis: Review of a twenty-year experience in over 1200 patients. </w:t>
      </w:r>
      <w:r w:rsidRPr="005E731E">
        <w:rPr>
          <w:rFonts w:ascii="Arial" w:hAnsi="Arial" w:cs="Arial"/>
          <w:color w:val="817E75"/>
          <w:sz w:val="20"/>
          <w:szCs w:val="20"/>
        </w:rPr>
        <w:t xml:space="preserve">Mt </w:t>
      </w:r>
      <w:proofErr w:type="spellStart"/>
      <w:r w:rsidRPr="005E731E">
        <w:rPr>
          <w:rFonts w:ascii="Arial" w:hAnsi="Arial" w:cs="Arial"/>
          <w:color w:val="817E75"/>
          <w:sz w:val="20"/>
          <w:szCs w:val="20"/>
        </w:rPr>
        <w:t>Sinai</w:t>
      </w:r>
      <w:proofErr w:type="spellEnd"/>
      <w:r w:rsidRPr="005E731E">
        <w:rPr>
          <w:rFonts w:ascii="Arial" w:hAnsi="Arial" w:cs="Arial"/>
          <w:color w:val="817E75"/>
          <w:sz w:val="20"/>
          <w:szCs w:val="20"/>
        </w:rPr>
        <w:t xml:space="preserve"> J </w:t>
      </w:r>
      <w:proofErr w:type="spellStart"/>
      <w:r w:rsidRPr="005E731E">
        <w:rPr>
          <w:rFonts w:ascii="Arial" w:hAnsi="Arial" w:cs="Arial"/>
          <w:color w:val="817E75"/>
          <w:sz w:val="20"/>
          <w:szCs w:val="20"/>
        </w:rPr>
        <w:t>Med</w:t>
      </w:r>
      <w:proofErr w:type="spellEnd"/>
      <w:r w:rsidRPr="005E731E">
        <w:rPr>
          <w:rFonts w:ascii="Arial" w:hAnsi="Arial" w:cs="Arial"/>
          <w:color w:val="817E75"/>
          <w:sz w:val="20"/>
          <w:szCs w:val="20"/>
        </w:rPr>
        <w:t xml:space="preserve"> NY. 1971;38:497-537.</w:t>
      </w:r>
    </w:p>
    <w:p w:rsidR="00556DFF"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426B77" w:rsidDel="005E731E">
        <w:rPr>
          <w:rFonts w:ascii="Arial" w:hAnsi="Arial" w:cs="Arial"/>
          <w:color w:val="817E75"/>
          <w:sz w:val="20"/>
          <w:szCs w:val="20"/>
          <w:lang w:val="en-GB"/>
        </w:rPr>
        <w:t xml:space="preserve"> </w:t>
      </w:r>
      <w:proofErr w:type="spellStart"/>
      <w:r w:rsidRPr="00426B77">
        <w:rPr>
          <w:rFonts w:ascii="Arial" w:hAnsi="Arial" w:cs="Arial"/>
          <w:color w:val="817E75"/>
          <w:sz w:val="20"/>
          <w:szCs w:val="20"/>
          <w:lang w:val="en-GB"/>
        </w:rPr>
        <w:t>Jaretzki</w:t>
      </w:r>
      <w:proofErr w:type="spellEnd"/>
      <w:r w:rsidRPr="00426B77">
        <w:rPr>
          <w:rFonts w:ascii="Arial" w:hAnsi="Arial" w:cs="Arial"/>
          <w:color w:val="817E75"/>
          <w:sz w:val="20"/>
          <w:szCs w:val="20"/>
          <w:lang w:val="en-GB"/>
        </w:rPr>
        <w:t xml:space="preserve"> A, </w:t>
      </w:r>
      <w:proofErr w:type="spellStart"/>
      <w:r w:rsidRPr="00426B77">
        <w:rPr>
          <w:rFonts w:ascii="Arial" w:hAnsi="Arial" w:cs="Arial"/>
          <w:color w:val="817E75"/>
          <w:sz w:val="20"/>
          <w:szCs w:val="20"/>
          <w:lang w:val="en-GB"/>
        </w:rPr>
        <w:t>Barohn</w:t>
      </w:r>
      <w:proofErr w:type="spellEnd"/>
      <w:r w:rsidRPr="00426B77">
        <w:rPr>
          <w:rFonts w:ascii="Arial" w:hAnsi="Arial" w:cs="Arial"/>
          <w:color w:val="817E75"/>
          <w:sz w:val="20"/>
          <w:szCs w:val="20"/>
          <w:lang w:val="en-GB"/>
        </w:rPr>
        <w:t xml:space="preserve"> RJ, </w:t>
      </w:r>
      <w:proofErr w:type="spellStart"/>
      <w:r w:rsidRPr="00426B77">
        <w:rPr>
          <w:rFonts w:ascii="Arial" w:hAnsi="Arial" w:cs="Arial"/>
          <w:color w:val="817E75"/>
          <w:sz w:val="20"/>
          <w:szCs w:val="20"/>
          <w:lang w:val="en-GB"/>
        </w:rPr>
        <w:t>Ernstoff</w:t>
      </w:r>
      <w:proofErr w:type="spellEnd"/>
      <w:r w:rsidRPr="00426B77">
        <w:rPr>
          <w:rFonts w:ascii="Arial" w:hAnsi="Arial" w:cs="Arial"/>
          <w:color w:val="817E75"/>
          <w:sz w:val="20"/>
          <w:szCs w:val="20"/>
          <w:lang w:val="en-GB"/>
        </w:rPr>
        <w:t xml:space="preserve"> RM, Kaminski HJ, </w:t>
      </w:r>
      <w:proofErr w:type="spellStart"/>
      <w:r w:rsidRPr="00426B77">
        <w:rPr>
          <w:rFonts w:ascii="Arial" w:hAnsi="Arial" w:cs="Arial"/>
          <w:color w:val="817E75"/>
          <w:sz w:val="20"/>
          <w:szCs w:val="20"/>
          <w:lang w:val="en-GB"/>
        </w:rPr>
        <w:t>Keesey</w:t>
      </w:r>
      <w:proofErr w:type="spellEnd"/>
      <w:r w:rsidRPr="00426B77">
        <w:rPr>
          <w:rFonts w:ascii="Arial" w:hAnsi="Arial" w:cs="Arial"/>
          <w:color w:val="817E75"/>
          <w:sz w:val="20"/>
          <w:szCs w:val="20"/>
          <w:lang w:val="en-GB"/>
        </w:rPr>
        <w:t xml:space="preserve"> JC, Penn AS, et </w:t>
      </w:r>
      <w:proofErr w:type="gramStart"/>
      <w:r w:rsidRPr="00426B77">
        <w:rPr>
          <w:rFonts w:ascii="Arial" w:hAnsi="Arial" w:cs="Arial"/>
          <w:color w:val="817E75"/>
          <w:sz w:val="20"/>
          <w:szCs w:val="20"/>
          <w:lang w:val="en-GB"/>
        </w:rPr>
        <w:t>al . </w:t>
      </w:r>
      <w:proofErr w:type="gramEnd"/>
      <w:r w:rsidRPr="00615D63">
        <w:rPr>
          <w:rFonts w:ascii="Arial" w:hAnsi="Arial" w:cs="Arial"/>
          <w:color w:val="817E75"/>
          <w:sz w:val="20"/>
          <w:szCs w:val="20"/>
          <w:lang w:val="en-GB"/>
        </w:rPr>
        <w:t xml:space="preserve">Myasthenia gravis: Recommendations for clinical research standards. Task Force of the Medical Scientific Advisory Board of the Myasthenia Gravis Foundation of America. </w:t>
      </w:r>
      <w:proofErr w:type="spellStart"/>
      <w:r w:rsidRPr="005E731E">
        <w:rPr>
          <w:rFonts w:ascii="Arial" w:hAnsi="Arial" w:cs="Arial"/>
          <w:color w:val="817E75"/>
          <w:sz w:val="20"/>
          <w:szCs w:val="20"/>
        </w:rPr>
        <w:t>Neurology</w:t>
      </w:r>
      <w:proofErr w:type="spellEnd"/>
      <w:r w:rsidRPr="005E731E">
        <w:rPr>
          <w:rFonts w:ascii="Arial" w:hAnsi="Arial" w:cs="Arial"/>
          <w:color w:val="817E75"/>
          <w:sz w:val="20"/>
          <w:szCs w:val="20"/>
        </w:rPr>
        <w:t>. 2000;55:16-23.</w:t>
      </w:r>
    </w:p>
    <w:p w:rsidR="00556DFF" w:rsidRPr="005E731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proofErr w:type="spellStart"/>
      <w:r>
        <w:rPr>
          <w:rFonts w:ascii="Arial" w:hAnsi="Arial" w:cs="Arial"/>
          <w:color w:val="817E75"/>
          <w:sz w:val="20"/>
          <w:szCs w:val="20"/>
          <w:lang w:val="en-GB"/>
        </w:rPr>
        <w:t>Iorio</w:t>
      </w:r>
      <w:proofErr w:type="spellEnd"/>
      <w:r>
        <w:rPr>
          <w:rFonts w:ascii="Arial" w:hAnsi="Arial" w:cs="Arial"/>
          <w:color w:val="817E75"/>
          <w:sz w:val="20"/>
          <w:szCs w:val="20"/>
          <w:lang w:val="en-GB"/>
        </w:rPr>
        <w:t xml:space="preserve"> R, </w:t>
      </w:r>
      <w:proofErr w:type="spellStart"/>
      <w:r>
        <w:rPr>
          <w:rFonts w:ascii="Arial" w:hAnsi="Arial" w:cs="Arial"/>
          <w:color w:val="817E75"/>
          <w:sz w:val="20"/>
          <w:szCs w:val="20"/>
          <w:lang w:val="en-GB"/>
        </w:rPr>
        <w:t>Damato</w:t>
      </w:r>
      <w:proofErr w:type="spellEnd"/>
      <w:r>
        <w:rPr>
          <w:rFonts w:ascii="Arial" w:hAnsi="Arial" w:cs="Arial"/>
          <w:color w:val="817E75"/>
          <w:sz w:val="20"/>
          <w:szCs w:val="20"/>
          <w:lang w:val="en-GB"/>
        </w:rPr>
        <w:t xml:space="preserve"> V, </w:t>
      </w:r>
      <w:proofErr w:type="spellStart"/>
      <w:r>
        <w:rPr>
          <w:rFonts w:ascii="Arial" w:hAnsi="Arial" w:cs="Arial"/>
          <w:color w:val="817E75"/>
          <w:sz w:val="20"/>
          <w:szCs w:val="20"/>
          <w:lang w:val="en-GB"/>
        </w:rPr>
        <w:t>Alboini</w:t>
      </w:r>
      <w:proofErr w:type="spellEnd"/>
      <w:r>
        <w:rPr>
          <w:rFonts w:ascii="Arial" w:hAnsi="Arial" w:cs="Arial"/>
          <w:color w:val="817E75"/>
          <w:sz w:val="20"/>
          <w:szCs w:val="20"/>
          <w:lang w:val="en-GB"/>
        </w:rPr>
        <w:t xml:space="preserve"> PE, </w:t>
      </w:r>
      <w:proofErr w:type="spellStart"/>
      <w:r>
        <w:rPr>
          <w:rFonts w:ascii="Arial" w:hAnsi="Arial" w:cs="Arial"/>
          <w:color w:val="817E75"/>
          <w:sz w:val="20"/>
          <w:szCs w:val="20"/>
          <w:lang w:val="en-GB"/>
        </w:rPr>
        <w:t>Evoli</w:t>
      </w:r>
      <w:proofErr w:type="spellEnd"/>
      <w:r>
        <w:rPr>
          <w:rFonts w:ascii="Arial" w:hAnsi="Arial" w:cs="Arial"/>
          <w:color w:val="817E75"/>
          <w:sz w:val="20"/>
          <w:szCs w:val="20"/>
          <w:lang w:val="en-GB"/>
        </w:rPr>
        <w:t xml:space="preserve"> A. </w:t>
      </w:r>
      <w:proofErr w:type="spellStart"/>
      <w:r>
        <w:rPr>
          <w:rFonts w:ascii="Arial" w:hAnsi="Arial" w:cs="Arial"/>
          <w:color w:val="817E75"/>
          <w:sz w:val="20"/>
          <w:szCs w:val="20"/>
          <w:lang w:val="en-GB"/>
        </w:rPr>
        <w:t>Efficay</w:t>
      </w:r>
      <w:proofErr w:type="spellEnd"/>
      <w:r>
        <w:rPr>
          <w:rFonts w:ascii="Arial" w:hAnsi="Arial" w:cs="Arial"/>
          <w:color w:val="817E75"/>
          <w:sz w:val="20"/>
          <w:szCs w:val="20"/>
          <w:lang w:val="en-GB"/>
        </w:rPr>
        <w:t xml:space="preserve"> and safety of rituximab for myasthenia gravis: a systematic review and meta-analysis. J Neurol. 2015;262(5):1115-9.</w:t>
      </w:r>
    </w:p>
    <w:p w:rsidR="00556DFF" w:rsidRPr="00F847F2"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lang w:val="en-GB"/>
        </w:rPr>
      </w:pPr>
      <w:proofErr w:type="spellStart"/>
      <w:r w:rsidRPr="00F847F2">
        <w:rPr>
          <w:rFonts w:ascii="Arial" w:hAnsi="Arial" w:cs="Arial"/>
          <w:color w:val="817E75"/>
          <w:sz w:val="20"/>
          <w:szCs w:val="20"/>
          <w:lang w:val="en-GB"/>
        </w:rPr>
        <w:t>Rowin</w:t>
      </w:r>
      <w:proofErr w:type="spellEnd"/>
      <w:r w:rsidRPr="00F847F2">
        <w:rPr>
          <w:rFonts w:ascii="Arial" w:hAnsi="Arial" w:cs="Arial"/>
          <w:color w:val="817E75"/>
          <w:sz w:val="20"/>
          <w:szCs w:val="20"/>
          <w:lang w:val="en-GB"/>
        </w:rPr>
        <w:t xml:space="preserve">, J, </w:t>
      </w:r>
      <w:proofErr w:type="spellStart"/>
      <w:r w:rsidRPr="00F847F2">
        <w:rPr>
          <w:rFonts w:ascii="Arial" w:hAnsi="Arial" w:cs="Arial"/>
          <w:color w:val="817E75"/>
          <w:sz w:val="20"/>
          <w:szCs w:val="20"/>
          <w:lang w:val="en-GB"/>
        </w:rPr>
        <w:t>Meriggioli</w:t>
      </w:r>
      <w:proofErr w:type="spellEnd"/>
      <w:r w:rsidRPr="00F847F2">
        <w:rPr>
          <w:rFonts w:ascii="Arial" w:hAnsi="Arial" w:cs="Arial"/>
          <w:color w:val="817E75"/>
          <w:sz w:val="20"/>
          <w:szCs w:val="20"/>
          <w:lang w:val="en-GB"/>
        </w:rPr>
        <w:t xml:space="preserve"> MN, </w:t>
      </w:r>
      <w:proofErr w:type="spellStart"/>
      <w:r w:rsidRPr="00F847F2">
        <w:rPr>
          <w:rFonts w:ascii="Arial" w:hAnsi="Arial" w:cs="Arial"/>
          <w:color w:val="817E75"/>
          <w:sz w:val="20"/>
          <w:szCs w:val="20"/>
          <w:lang w:val="en-GB"/>
        </w:rPr>
        <w:t>Tüzün</w:t>
      </w:r>
      <w:proofErr w:type="spellEnd"/>
      <w:r w:rsidRPr="00F847F2">
        <w:rPr>
          <w:rFonts w:ascii="Arial" w:hAnsi="Arial" w:cs="Arial"/>
          <w:color w:val="817E75"/>
          <w:sz w:val="20"/>
          <w:szCs w:val="20"/>
          <w:lang w:val="en-GB"/>
        </w:rPr>
        <w:t xml:space="preserve"> E, </w:t>
      </w:r>
      <w:proofErr w:type="spellStart"/>
      <w:r w:rsidRPr="00F847F2">
        <w:rPr>
          <w:rFonts w:ascii="Arial" w:hAnsi="Arial" w:cs="Arial"/>
          <w:color w:val="817E75"/>
          <w:sz w:val="20"/>
          <w:szCs w:val="20"/>
          <w:lang w:val="en-GB"/>
        </w:rPr>
        <w:t>Leurgans</w:t>
      </w:r>
      <w:proofErr w:type="spellEnd"/>
      <w:r w:rsidRPr="00F847F2">
        <w:rPr>
          <w:rFonts w:ascii="Arial" w:hAnsi="Arial" w:cs="Arial"/>
          <w:color w:val="817E75"/>
          <w:sz w:val="20"/>
          <w:szCs w:val="20"/>
          <w:lang w:val="en-GB"/>
        </w:rPr>
        <w:t xml:space="preserve"> S and </w:t>
      </w:r>
      <w:proofErr w:type="spellStart"/>
      <w:r w:rsidRPr="00F847F2">
        <w:rPr>
          <w:rFonts w:ascii="Arial" w:hAnsi="Arial" w:cs="Arial"/>
          <w:color w:val="817E75"/>
          <w:sz w:val="20"/>
          <w:szCs w:val="20"/>
          <w:lang w:val="en-GB"/>
        </w:rPr>
        <w:t>Christadoss</w:t>
      </w:r>
      <w:proofErr w:type="spellEnd"/>
      <w:r w:rsidRPr="00F847F2">
        <w:rPr>
          <w:rFonts w:ascii="Arial" w:hAnsi="Arial" w:cs="Arial"/>
          <w:color w:val="817E75"/>
          <w:sz w:val="20"/>
          <w:szCs w:val="20"/>
          <w:lang w:val="en-GB"/>
        </w:rPr>
        <w:t xml:space="preserve"> P. </w:t>
      </w:r>
      <w:proofErr w:type="spellStart"/>
      <w:r w:rsidRPr="00F847F2">
        <w:rPr>
          <w:rFonts w:ascii="Arial" w:hAnsi="Arial" w:cs="Arial"/>
          <w:color w:val="817E75"/>
          <w:sz w:val="20"/>
          <w:szCs w:val="20"/>
          <w:lang w:val="en-GB"/>
        </w:rPr>
        <w:t>Etanercept</w:t>
      </w:r>
      <w:proofErr w:type="spellEnd"/>
      <w:r w:rsidRPr="00F847F2">
        <w:rPr>
          <w:rFonts w:ascii="Arial" w:hAnsi="Arial" w:cs="Arial"/>
          <w:color w:val="817E75"/>
          <w:sz w:val="20"/>
          <w:szCs w:val="20"/>
          <w:lang w:val="en-GB"/>
        </w:rPr>
        <w:t xml:space="preserve"> treatment in </w:t>
      </w:r>
      <w:proofErr w:type="spellStart"/>
      <w:r w:rsidRPr="00F847F2">
        <w:rPr>
          <w:rFonts w:ascii="Arial" w:hAnsi="Arial" w:cs="Arial"/>
          <w:color w:val="817E75"/>
          <w:sz w:val="20"/>
          <w:szCs w:val="20"/>
          <w:lang w:val="en-GB"/>
        </w:rPr>
        <w:t>corticosteroiddependent</w:t>
      </w:r>
      <w:proofErr w:type="spellEnd"/>
      <w:r w:rsidRPr="00F847F2">
        <w:rPr>
          <w:rFonts w:ascii="Arial" w:hAnsi="Arial" w:cs="Arial"/>
          <w:color w:val="817E75"/>
          <w:sz w:val="20"/>
          <w:szCs w:val="20"/>
          <w:lang w:val="en-GB"/>
        </w:rPr>
        <w:t xml:space="preserve"> myasthenia gravis</w:t>
      </w:r>
      <w:r>
        <w:rPr>
          <w:rFonts w:ascii="Arial" w:hAnsi="Arial" w:cs="Arial"/>
          <w:color w:val="817E75"/>
          <w:sz w:val="20"/>
          <w:szCs w:val="20"/>
          <w:lang w:val="en-GB"/>
        </w:rPr>
        <w:t>. Neurology</w:t>
      </w:r>
      <w:r w:rsidRPr="00F847F2">
        <w:rPr>
          <w:rFonts w:ascii="Arial" w:hAnsi="Arial" w:cs="Arial"/>
          <w:color w:val="817E75"/>
          <w:sz w:val="20"/>
          <w:szCs w:val="20"/>
          <w:lang w:val="en-GB"/>
        </w:rPr>
        <w:t xml:space="preserve"> 2004;63:2390–2392</w:t>
      </w:r>
      <w:r>
        <w:rPr>
          <w:rFonts w:ascii="Arial" w:hAnsi="Arial" w:cs="Arial"/>
          <w:color w:val="817E75"/>
          <w:sz w:val="20"/>
          <w:szCs w:val="20"/>
          <w:lang w:val="en-GB"/>
        </w:rPr>
        <w:t>.</w:t>
      </w:r>
    </w:p>
    <w:p w:rsidR="00556DFF"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lang w:val="en-GB"/>
        </w:rPr>
      </w:pPr>
      <w:proofErr w:type="spellStart"/>
      <w:r w:rsidRPr="00F847F2">
        <w:rPr>
          <w:rFonts w:ascii="Arial" w:hAnsi="Arial" w:cs="Arial"/>
          <w:color w:val="817E75"/>
          <w:sz w:val="20"/>
          <w:szCs w:val="20"/>
          <w:lang w:val="en-GB"/>
        </w:rPr>
        <w:t>R</w:t>
      </w:r>
      <w:r>
        <w:rPr>
          <w:rFonts w:ascii="Arial" w:hAnsi="Arial" w:cs="Arial"/>
          <w:color w:val="817E75"/>
          <w:sz w:val="20"/>
          <w:szCs w:val="20"/>
          <w:lang w:val="en-GB"/>
        </w:rPr>
        <w:t>owin</w:t>
      </w:r>
      <w:proofErr w:type="spellEnd"/>
      <w:r w:rsidRPr="00F847F2">
        <w:rPr>
          <w:rFonts w:ascii="Arial" w:hAnsi="Arial" w:cs="Arial"/>
          <w:color w:val="817E75"/>
          <w:sz w:val="20"/>
          <w:szCs w:val="20"/>
          <w:lang w:val="en-GB"/>
        </w:rPr>
        <w:t xml:space="preserve"> J. Etanercept Treatment in Myasthenia Gravis</w:t>
      </w:r>
      <w:r>
        <w:rPr>
          <w:rFonts w:ascii="Arial" w:hAnsi="Arial" w:cs="Arial"/>
          <w:color w:val="817E75"/>
          <w:sz w:val="20"/>
          <w:szCs w:val="20"/>
          <w:lang w:val="en-GB"/>
        </w:rPr>
        <w:t xml:space="preserve"> </w:t>
      </w:r>
      <w:r w:rsidRPr="00F847F2">
        <w:rPr>
          <w:rFonts w:ascii="Arial" w:hAnsi="Arial" w:cs="Arial"/>
          <w:color w:val="817E75"/>
          <w:sz w:val="20"/>
          <w:szCs w:val="20"/>
          <w:lang w:val="en-GB"/>
        </w:rPr>
        <w:t xml:space="preserve"> Ann. N.Y. Acad. Sci.</w:t>
      </w:r>
      <w:r>
        <w:rPr>
          <w:rFonts w:ascii="Arial" w:hAnsi="Arial" w:cs="Arial"/>
          <w:color w:val="817E75"/>
          <w:sz w:val="20"/>
          <w:szCs w:val="20"/>
          <w:lang w:val="en-GB"/>
        </w:rPr>
        <w:t xml:space="preserve"> 2008;1132: 300–304.</w:t>
      </w:r>
    </w:p>
    <w:p w:rsidR="00556DFF" w:rsidRPr="007702C9" w:rsidRDefault="00556DFF" w:rsidP="007702C9">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lang w:val="en-GB"/>
        </w:rPr>
      </w:pPr>
      <w:r w:rsidRPr="00F847F2">
        <w:rPr>
          <w:rFonts w:ascii="Arial" w:hAnsi="Arial" w:cs="Arial"/>
          <w:color w:val="817E75"/>
          <w:sz w:val="20"/>
          <w:szCs w:val="20"/>
          <w:lang w:val="en-GB"/>
        </w:rPr>
        <w:t xml:space="preserve">Lebrun C, Bourg V, </w:t>
      </w:r>
      <w:proofErr w:type="spellStart"/>
      <w:r w:rsidRPr="00F847F2">
        <w:rPr>
          <w:rFonts w:ascii="Arial" w:hAnsi="Arial" w:cs="Arial"/>
          <w:color w:val="817E75"/>
          <w:sz w:val="20"/>
          <w:szCs w:val="20"/>
          <w:lang w:val="en-GB"/>
        </w:rPr>
        <w:t>Tieulie</w:t>
      </w:r>
      <w:proofErr w:type="spellEnd"/>
      <w:r w:rsidRPr="00F847F2">
        <w:rPr>
          <w:rFonts w:ascii="Arial" w:hAnsi="Arial" w:cs="Arial"/>
          <w:color w:val="817E75"/>
          <w:sz w:val="20"/>
          <w:szCs w:val="20"/>
          <w:lang w:val="en-GB"/>
        </w:rPr>
        <w:t xml:space="preserve"> N and Thomas P. Successful treatment of refractory generalized myasthenia gravis with</w:t>
      </w:r>
      <w:r>
        <w:rPr>
          <w:rFonts w:ascii="Arial" w:hAnsi="Arial" w:cs="Arial"/>
          <w:color w:val="817E75"/>
          <w:sz w:val="20"/>
          <w:szCs w:val="20"/>
          <w:lang w:val="en-GB"/>
        </w:rPr>
        <w:t xml:space="preserve"> </w:t>
      </w:r>
      <w:r w:rsidRPr="00F847F2">
        <w:rPr>
          <w:rFonts w:ascii="Arial" w:hAnsi="Arial" w:cs="Arial"/>
          <w:color w:val="817E75"/>
          <w:sz w:val="20"/>
          <w:szCs w:val="20"/>
          <w:lang w:val="en-GB"/>
        </w:rPr>
        <w:t>Rituximab. European Journal of Neurology 2009, 16: 246–250</w:t>
      </w:r>
      <w:r>
        <w:rPr>
          <w:rFonts w:ascii="Arial" w:hAnsi="Arial" w:cs="Arial"/>
          <w:color w:val="817E75"/>
          <w:sz w:val="20"/>
          <w:szCs w:val="20"/>
          <w:lang w:val="en-GB"/>
        </w:rPr>
        <w:t>.</w:t>
      </w:r>
    </w:p>
    <w:p w:rsidR="00556DFF" w:rsidRPr="00FD6C7E" w:rsidRDefault="00556DFF" w:rsidP="005F63C6">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lang w:val="en-GB"/>
        </w:rPr>
      </w:pPr>
      <w:proofErr w:type="spellStart"/>
      <w:r w:rsidRPr="00615D63">
        <w:rPr>
          <w:rFonts w:ascii="Arial" w:hAnsi="Arial" w:cs="Arial"/>
          <w:color w:val="817E75"/>
          <w:sz w:val="20"/>
          <w:szCs w:val="20"/>
          <w:lang w:val="en-GB"/>
        </w:rPr>
        <w:t>Ficha</w:t>
      </w:r>
      <w:proofErr w:type="spellEnd"/>
      <w:r w:rsidRPr="00615D63">
        <w:rPr>
          <w:rFonts w:ascii="Arial" w:hAnsi="Arial" w:cs="Arial"/>
          <w:color w:val="817E75"/>
          <w:sz w:val="20"/>
          <w:szCs w:val="20"/>
          <w:lang w:val="en-GB"/>
        </w:rPr>
        <w:t xml:space="preserve"> </w:t>
      </w:r>
      <w:proofErr w:type="spellStart"/>
      <w:r w:rsidRPr="00615D63">
        <w:rPr>
          <w:rFonts w:ascii="Arial" w:hAnsi="Arial" w:cs="Arial"/>
          <w:color w:val="817E75"/>
          <w:sz w:val="20"/>
          <w:szCs w:val="20"/>
          <w:lang w:val="en-GB"/>
        </w:rPr>
        <w:t>técnica</w:t>
      </w:r>
      <w:proofErr w:type="spellEnd"/>
      <w:r w:rsidRPr="00615D63">
        <w:rPr>
          <w:rFonts w:ascii="Arial" w:hAnsi="Arial" w:cs="Arial"/>
          <w:color w:val="817E75"/>
          <w:sz w:val="20"/>
          <w:szCs w:val="20"/>
          <w:lang w:val="en-GB"/>
        </w:rPr>
        <w:t xml:space="preserve"> </w:t>
      </w:r>
      <w:proofErr w:type="spellStart"/>
      <w:r w:rsidRPr="00615D63">
        <w:rPr>
          <w:rFonts w:ascii="Arial" w:hAnsi="Arial" w:cs="Arial"/>
          <w:color w:val="817E75"/>
          <w:sz w:val="20"/>
          <w:szCs w:val="20"/>
          <w:lang w:val="en-GB"/>
        </w:rPr>
        <w:t>Soliris</w:t>
      </w:r>
      <w:proofErr w:type="spellEnd"/>
      <w:r w:rsidRPr="00615D63">
        <w:rPr>
          <w:rFonts w:ascii="Arial" w:hAnsi="Arial" w:cs="Arial"/>
          <w:color w:val="817E75"/>
          <w:sz w:val="20"/>
          <w:szCs w:val="20"/>
          <w:lang w:val="en-GB"/>
        </w:rPr>
        <w:t>® European Agency for the Evaluation of Medicinal Products (EMA)</w:t>
      </w:r>
      <w:proofErr w:type="spellStart"/>
      <w:r w:rsidRPr="00615D63">
        <w:rPr>
          <w:rFonts w:ascii="Arial" w:hAnsi="Arial" w:cs="Arial"/>
          <w:color w:val="817E75"/>
          <w:sz w:val="20"/>
          <w:szCs w:val="20"/>
          <w:lang w:val="en-GB"/>
        </w:rPr>
        <w:t>Dsiponible</w:t>
      </w:r>
      <w:proofErr w:type="spellEnd"/>
      <w:r w:rsidRPr="00615D63">
        <w:rPr>
          <w:rFonts w:ascii="Arial" w:hAnsi="Arial" w:cs="Arial"/>
          <w:color w:val="817E75"/>
          <w:sz w:val="20"/>
          <w:szCs w:val="20"/>
          <w:lang w:val="en-GB"/>
        </w:rPr>
        <w:t xml:space="preserve"> en: </w:t>
      </w:r>
      <w:hyperlink r:id="rId16" w:history="1">
        <w:r w:rsidRPr="00615D63">
          <w:rPr>
            <w:color w:val="817E75"/>
            <w:lang w:val="en-GB"/>
          </w:rPr>
          <w:t>https://cima.aemps.es/cima/pdfs/es/ft/07393001/FT_07393001.pdf</w:t>
        </w:r>
      </w:hyperlink>
      <w:r w:rsidRPr="00615D63">
        <w:rPr>
          <w:rFonts w:ascii="Arial" w:hAnsi="Arial" w:cs="Arial"/>
          <w:color w:val="817E75"/>
          <w:sz w:val="20"/>
          <w:szCs w:val="20"/>
          <w:lang w:val="en-GB"/>
        </w:rPr>
        <w:t xml:space="preserve">. </w:t>
      </w:r>
      <w:proofErr w:type="spellStart"/>
      <w:r w:rsidRPr="00FD6C7E">
        <w:rPr>
          <w:rFonts w:ascii="Arial" w:hAnsi="Arial" w:cs="Arial"/>
          <w:color w:val="817E75"/>
          <w:sz w:val="20"/>
          <w:szCs w:val="20"/>
          <w:lang w:val="en-GB"/>
        </w:rPr>
        <w:t>Consultado</w:t>
      </w:r>
      <w:proofErr w:type="spellEnd"/>
      <w:r w:rsidRPr="00FD6C7E">
        <w:rPr>
          <w:rFonts w:ascii="Arial" w:hAnsi="Arial" w:cs="Arial"/>
          <w:color w:val="817E75"/>
          <w:sz w:val="20"/>
          <w:szCs w:val="20"/>
          <w:lang w:val="en-GB"/>
        </w:rPr>
        <w:t xml:space="preserve"> el </w:t>
      </w:r>
      <w:proofErr w:type="spellStart"/>
      <w:r w:rsidRPr="00FD6C7E">
        <w:rPr>
          <w:rFonts w:ascii="Arial" w:hAnsi="Arial" w:cs="Arial"/>
          <w:color w:val="817E75"/>
          <w:sz w:val="20"/>
          <w:szCs w:val="20"/>
          <w:lang w:val="en-GB"/>
        </w:rPr>
        <w:t>dia</w:t>
      </w:r>
      <w:proofErr w:type="spellEnd"/>
      <w:r w:rsidRPr="00FD6C7E">
        <w:rPr>
          <w:rFonts w:ascii="Arial" w:hAnsi="Arial" w:cs="Arial"/>
          <w:color w:val="817E75"/>
          <w:sz w:val="20"/>
          <w:szCs w:val="20"/>
          <w:lang w:val="en-GB"/>
        </w:rPr>
        <w:t xml:space="preserve"> 23/02/2018.</w:t>
      </w:r>
    </w:p>
    <w:p w:rsidR="00556DFF" w:rsidRPr="007702C9" w:rsidRDefault="00556DFF" w:rsidP="000F113B">
      <w:pPr>
        <w:numPr>
          <w:ilvl w:val="0"/>
          <w:numId w:val="3"/>
        </w:numPr>
        <w:shd w:val="clear" w:color="auto" w:fill="FFFFFF"/>
        <w:tabs>
          <w:tab w:val="clear" w:pos="720"/>
          <w:tab w:val="num" w:pos="284"/>
        </w:tabs>
        <w:spacing w:before="100" w:beforeAutospacing="1" w:after="100" w:afterAutospacing="1" w:line="262" w:lineRule="atLeast"/>
        <w:ind w:left="327"/>
        <w:jc w:val="both"/>
        <w:rPr>
          <w:rFonts w:ascii="Arial" w:hAnsi="Arial" w:cs="Arial"/>
          <w:color w:val="817E75"/>
          <w:sz w:val="20"/>
          <w:szCs w:val="20"/>
        </w:rPr>
      </w:pPr>
      <w:r w:rsidRPr="007702C9">
        <w:rPr>
          <w:rFonts w:ascii="Arial" w:hAnsi="Arial" w:cs="Arial"/>
          <w:color w:val="817E75"/>
          <w:sz w:val="20"/>
          <w:szCs w:val="20"/>
          <w:lang w:val="en-GB"/>
        </w:rPr>
        <w:t xml:space="preserve"> EPAR </w:t>
      </w:r>
      <w:proofErr w:type="spellStart"/>
      <w:r w:rsidRPr="007702C9">
        <w:rPr>
          <w:rFonts w:ascii="Arial" w:hAnsi="Arial" w:cs="Arial"/>
          <w:color w:val="817E75"/>
          <w:sz w:val="20"/>
          <w:szCs w:val="20"/>
          <w:lang w:val="en-GB"/>
        </w:rPr>
        <w:t>Soliris</w:t>
      </w:r>
      <w:proofErr w:type="spellEnd"/>
      <w:r w:rsidRPr="007702C9">
        <w:rPr>
          <w:rFonts w:ascii="Arial" w:hAnsi="Arial" w:cs="Arial"/>
          <w:color w:val="817E75"/>
          <w:sz w:val="20"/>
          <w:szCs w:val="20"/>
          <w:lang w:val="en-GB"/>
        </w:rPr>
        <w:t xml:space="preserve">® European Agency for the Evaluation of Medicinal Products (EMA). </w:t>
      </w:r>
      <w:r w:rsidRPr="007702C9">
        <w:rPr>
          <w:rFonts w:ascii="Arial" w:hAnsi="Arial" w:cs="Arial"/>
          <w:color w:val="817E75"/>
          <w:sz w:val="20"/>
          <w:szCs w:val="20"/>
        </w:rPr>
        <w:t>Disponible en:</w:t>
      </w:r>
      <w:hyperlink r:id="rId17" w:history="1">
        <w:r w:rsidRPr="007702C9">
          <w:rPr>
            <w:rStyle w:val="Hipervnculo"/>
            <w:rFonts w:ascii="Arial" w:hAnsi="Arial" w:cs="Arial"/>
            <w:sz w:val="20"/>
            <w:szCs w:val="20"/>
          </w:rPr>
          <w:t>http://www.ema.europa.eu/docs/en_GB/document_library/EPAR_-_Assessment_Report_-_Variation/human/000791/WC500233876.pdf. Consultado el día 23/02/2018</w:t>
        </w:r>
      </w:hyperlink>
      <w:r w:rsidRPr="007702C9">
        <w:rPr>
          <w:rFonts w:ascii="Arial" w:hAnsi="Arial" w:cs="Arial"/>
          <w:color w:val="817E75"/>
          <w:sz w:val="20"/>
          <w:szCs w:val="20"/>
        </w:rPr>
        <w:t>.</w:t>
      </w:r>
    </w:p>
    <w:p w:rsidR="00556DFF" w:rsidRDefault="00556DFF" w:rsidP="000F113B">
      <w:pPr>
        <w:numPr>
          <w:ilvl w:val="0"/>
          <w:numId w:val="3"/>
        </w:numPr>
        <w:shd w:val="clear" w:color="auto" w:fill="FFFFFF"/>
        <w:spacing w:before="100" w:beforeAutospacing="1" w:after="100" w:afterAutospacing="1" w:line="262" w:lineRule="atLeast"/>
        <w:jc w:val="both"/>
        <w:rPr>
          <w:rFonts w:ascii="Arial" w:hAnsi="Arial" w:cs="Arial"/>
          <w:color w:val="817E75"/>
          <w:sz w:val="20"/>
          <w:szCs w:val="20"/>
        </w:rPr>
      </w:pPr>
      <w:r w:rsidRPr="00615D63">
        <w:rPr>
          <w:rFonts w:ascii="Arial" w:hAnsi="Arial" w:cs="Arial"/>
          <w:color w:val="817E75"/>
          <w:sz w:val="20"/>
          <w:szCs w:val="20"/>
        </w:rPr>
        <w:t xml:space="preserve">Cerca de 10.000 personas en España padecen miastenia </w:t>
      </w:r>
      <w:proofErr w:type="spellStart"/>
      <w:r w:rsidRPr="00615D63">
        <w:rPr>
          <w:rFonts w:ascii="Arial" w:hAnsi="Arial" w:cs="Arial"/>
          <w:color w:val="817E75"/>
          <w:sz w:val="20"/>
          <w:szCs w:val="20"/>
        </w:rPr>
        <w:t>gravis</w:t>
      </w:r>
      <w:proofErr w:type="spellEnd"/>
      <w:r w:rsidRPr="00615D63">
        <w:rPr>
          <w:rFonts w:ascii="Arial" w:hAnsi="Arial" w:cs="Arial"/>
          <w:color w:val="817E75"/>
          <w:sz w:val="20"/>
          <w:szCs w:val="20"/>
        </w:rPr>
        <w:t>, una enfermedad autoinmune</w:t>
      </w:r>
      <w:r>
        <w:rPr>
          <w:rFonts w:ascii="Arial" w:hAnsi="Arial" w:cs="Arial"/>
          <w:color w:val="817E75"/>
          <w:sz w:val="20"/>
          <w:szCs w:val="20"/>
        </w:rPr>
        <w:t xml:space="preserve">. Organización Médica Colegial de España. Disponible en: </w:t>
      </w:r>
      <w:hyperlink r:id="rId18" w:history="1">
        <w:r w:rsidRPr="00240C05">
          <w:rPr>
            <w:rStyle w:val="Hipervnculo"/>
            <w:rFonts w:ascii="Arial" w:hAnsi="Arial" w:cs="Arial"/>
            <w:sz w:val="20"/>
            <w:szCs w:val="20"/>
          </w:rPr>
          <w:t>http://www.medicosypacientes.com/articulo/cerca-de-10000-personas-en-espana-padecen-miastenia-gravis-una-enfermedad-autoinmune</w:t>
        </w:r>
      </w:hyperlink>
      <w:r>
        <w:rPr>
          <w:rFonts w:ascii="Arial" w:hAnsi="Arial" w:cs="Arial"/>
          <w:color w:val="817E75"/>
          <w:sz w:val="20"/>
          <w:szCs w:val="20"/>
        </w:rPr>
        <w:t>. Consultado el día: 23/02/2018.</w:t>
      </w:r>
    </w:p>
    <w:p w:rsidR="00556DFF" w:rsidRDefault="00556DFF" w:rsidP="00FD6C7E">
      <w:pPr>
        <w:shd w:val="clear" w:color="auto" w:fill="FFFFFF"/>
        <w:spacing w:before="100" w:beforeAutospacing="1" w:after="100" w:afterAutospacing="1" w:line="262" w:lineRule="atLeast"/>
        <w:jc w:val="both"/>
        <w:rPr>
          <w:rFonts w:ascii="Arial" w:hAnsi="Arial" w:cs="Arial"/>
          <w:color w:val="817E75"/>
          <w:sz w:val="20"/>
          <w:szCs w:val="20"/>
        </w:rPr>
      </w:pPr>
    </w:p>
    <w:p w:rsidR="00556DFF" w:rsidRDefault="00556DFF" w:rsidP="00FD6C7E">
      <w:pPr>
        <w:shd w:val="clear" w:color="auto" w:fill="FFFFFF"/>
        <w:spacing w:before="100" w:beforeAutospacing="1" w:after="100" w:afterAutospacing="1" w:line="262" w:lineRule="atLeast"/>
        <w:jc w:val="both"/>
        <w:rPr>
          <w:rFonts w:ascii="Arial" w:hAnsi="Arial" w:cs="Arial"/>
          <w:color w:val="817E75"/>
          <w:sz w:val="20"/>
          <w:szCs w:val="20"/>
        </w:rPr>
      </w:pPr>
    </w:p>
    <w:p w:rsidR="00556DFF" w:rsidRDefault="00556DFF" w:rsidP="00FD6C7E">
      <w:pPr>
        <w:shd w:val="clear" w:color="auto" w:fill="FFFFFF"/>
        <w:spacing w:before="100" w:beforeAutospacing="1" w:after="100" w:afterAutospacing="1" w:line="262" w:lineRule="atLeast"/>
        <w:jc w:val="both"/>
        <w:rPr>
          <w:rFonts w:ascii="Arial" w:hAnsi="Arial" w:cs="Arial"/>
          <w:color w:val="817E75"/>
          <w:sz w:val="20"/>
          <w:szCs w:val="20"/>
        </w:rPr>
      </w:pPr>
    </w:p>
    <w:p w:rsidR="00556DFF" w:rsidRDefault="00556DFF" w:rsidP="00FD6C7E">
      <w:pPr>
        <w:shd w:val="clear" w:color="auto" w:fill="FFFFFF"/>
        <w:spacing w:before="100" w:beforeAutospacing="1" w:after="100" w:afterAutospacing="1" w:line="262" w:lineRule="atLeast"/>
        <w:jc w:val="both"/>
        <w:rPr>
          <w:rFonts w:ascii="Arial" w:hAnsi="Arial" w:cs="Arial"/>
          <w:color w:val="817E75"/>
          <w:sz w:val="20"/>
          <w:szCs w:val="20"/>
        </w:rPr>
      </w:pPr>
    </w:p>
    <w:p w:rsidR="00556DFF" w:rsidRPr="00877A56" w:rsidRDefault="00556DFF" w:rsidP="00877A56">
      <w:pPr>
        <w:pStyle w:val="Ttulo1"/>
        <w:pBdr>
          <w:top w:val="single" w:sz="4" w:space="1" w:color="auto"/>
          <w:left w:val="single" w:sz="4" w:space="4" w:color="auto"/>
          <w:bottom w:val="single" w:sz="4" w:space="1" w:color="auto"/>
          <w:right w:val="single" w:sz="4" w:space="4" w:color="auto"/>
        </w:pBdr>
        <w:shd w:val="clear" w:color="auto" w:fill="A6A6A6"/>
        <w:rPr>
          <w:rFonts w:cs="Arial"/>
          <w:lang w:val="pt-BR"/>
        </w:rPr>
      </w:pPr>
      <w:bookmarkStart w:id="163" w:name="_Toc517462802"/>
      <w:r w:rsidRPr="00877A56">
        <w:rPr>
          <w:rFonts w:cs="Arial"/>
          <w:lang w:val="pt-BR"/>
        </w:rPr>
        <w:t>11. ANEXOS</w:t>
      </w:r>
      <w:bookmarkEnd w:id="163"/>
    </w:p>
    <w:p w:rsidR="00556DFF" w:rsidRPr="00877A56" w:rsidRDefault="00556DFF" w:rsidP="00877A56">
      <w:pPr>
        <w:rPr>
          <w:rFonts w:ascii="Arial" w:hAnsi="Arial" w:cs="Arial"/>
          <w:sz w:val="20"/>
          <w:szCs w:val="20"/>
          <w:lang w:val="pt-BR"/>
        </w:rPr>
      </w:pPr>
    </w:p>
    <w:p w:rsidR="00556DFF" w:rsidRPr="00B14170" w:rsidRDefault="00556DFF" w:rsidP="00877A56">
      <w:pPr>
        <w:pStyle w:val="Textoindependiente3"/>
        <w:shd w:val="clear" w:color="auto" w:fill="E6E6E6"/>
        <w:ind w:right="-261"/>
        <w:jc w:val="both"/>
        <w:outlineLvl w:val="2"/>
        <w:rPr>
          <w:b/>
          <w:sz w:val="20"/>
          <w:lang w:val="pt-BR"/>
        </w:rPr>
      </w:pPr>
      <w:bookmarkStart w:id="164" w:name="_Toc517462803"/>
      <w:r w:rsidRPr="00B14170">
        <w:rPr>
          <w:b/>
          <w:sz w:val="20"/>
          <w:lang w:val="pt-BR"/>
        </w:rPr>
        <w:t>A</w:t>
      </w:r>
      <w:r>
        <w:rPr>
          <w:b/>
          <w:sz w:val="20"/>
          <w:lang w:val="pt-BR"/>
        </w:rPr>
        <w:t>PARTADO</w:t>
      </w:r>
      <w:r w:rsidRPr="00B14170">
        <w:rPr>
          <w:b/>
          <w:sz w:val="20"/>
          <w:lang w:val="pt-BR"/>
        </w:rPr>
        <w:t xml:space="preserve"> 5.2.b.A. Validez interna.</w:t>
      </w:r>
      <w:bookmarkEnd w:id="164"/>
    </w:p>
    <w:p w:rsidR="00556DFF" w:rsidRPr="00B14170" w:rsidRDefault="00556DFF" w:rsidP="00877A56">
      <w:pPr>
        <w:rPr>
          <w:rFonts w:ascii="Arial" w:hAnsi="Arial"/>
          <w:i/>
          <w:sz w:val="20"/>
          <w:lang w:val="pt-BR"/>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4016"/>
        <w:gridCol w:w="1701"/>
        <w:gridCol w:w="1560"/>
      </w:tblGrid>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8"/>
                <w:szCs w:val="18"/>
              </w:rPr>
            </w:pPr>
            <w:r w:rsidRPr="006F6ABB">
              <w:rPr>
                <w:rFonts w:ascii="Arial" w:hAnsi="Arial" w:cs="Arial"/>
                <w:b/>
                <w:bCs/>
                <w:sz w:val="18"/>
                <w:szCs w:val="18"/>
              </w:rPr>
              <w:t>Tabla 5.2.b.1</w:t>
            </w:r>
          </w:p>
          <w:p w:rsidR="00556DFF" w:rsidRPr="006F6ABB" w:rsidRDefault="00556DFF" w:rsidP="00877A56">
            <w:pPr>
              <w:autoSpaceDE w:val="0"/>
              <w:autoSpaceDN w:val="0"/>
              <w:adjustRightInd w:val="0"/>
              <w:rPr>
                <w:rFonts w:ascii="Arial" w:hAnsi="Arial" w:cs="Arial"/>
                <w:b/>
                <w:bCs/>
                <w:sz w:val="18"/>
                <w:szCs w:val="18"/>
              </w:rPr>
            </w:pPr>
            <w:r w:rsidRPr="006F6ABB">
              <w:rPr>
                <w:rFonts w:ascii="Arial" w:hAnsi="Arial" w:cs="Arial"/>
                <w:b/>
                <w:bCs/>
                <w:sz w:val="18"/>
                <w:szCs w:val="18"/>
              </w:rPr>
              <w:t>Tabla unificada de sesgos (Colaboración Cochrane)</w:t>
            </w:r>
          </w:p>
          <w:p w:rsidR="00556DFF" w:rsidRPr="006F6ABB" w:rsidRDefault="00556DFF" w:rsidP="00877A56">
            <w:pPr>
              <w:autoSpaceDE w:val="0"/>
              <w:autoSpaceDN w:val="0"/>
              <w:adjustRightInd w:val="0"/>
              <w:rPr>
                <w:rFonts w:ascii="Arial" w:hAnsi="Arial" w:cs="Arial"/>
                <w:b/>
                <w:bCs/>
                <w:sz w:val="18"/>
                <w:szCs w:val="18"/>
              </w:rPr>
            </w:pPr>
            <w:r w:rsidRPr="006F6ABB">
              <w:rPr>
                <w:rFonts w:ascii="Arial" w:hAnsi="Arial" w:cs="Arial"/>
                <w:b/>
                <w:bCs/>
                <w:sz w:val="18"/>
                <w:szCs w:val="18"/>
              </w:rPr>
              <w:t>Evaluaciones del riesgo de sesgo</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b/>
                <w:bCs/>
                <w:sz w:val="16"/>
                <w:szCs w:val="16"/>
              </w:rPr>
            </w:pPr>
            <w:proofErr w:type="spellStart"/>
            <w:r w:rsidRPr="006F6ABB">
              <w:rPr>
                <w:rFonts w:ascii="Arial" w:hAnsi="Arial" w:cs="Arial"/>
                <w:b/>
                <w:bCs/>
                <w:sz w:val="16"/>
                <w:szCs w:val="16"/>
              </w:rPr>
              <w:t>Item</w:t>
            </w:r>
            <w:proofErr w:type="spellEnd"/>
          </w:p>
        </w:tc>
        <w:tc>
          <w:tcPr>
            <w:tcW w:w="4016" w:type="dxa"/>
            <w:shd w:val="clear" w:color="auto" w:fill="E6E6E6"/>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 xml:space="preserve">Descripción </w:t>
            </w:r>
          </w:p>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(cita)</w:t>
            </w:r>
          </w:p>
        </w:tc>
        <w:tc>
          <w:tcPr>
            <w:tcW w:w="1701"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b/>
                <w:bCs/>
                <w:sz w:val="16"/>
                <w:szCs w:val="16"/>
              </w:rPr>
              <w:t>Apoyo para la valoración</w:t>
            </w:r>
            <w:r w:rsidRPr="006F6ABB">
              <w:rPr>
                <w:rFonts w:ascii="Arial" w:hAnsi="Arial" w:cs="Arial"/>
                <w:sz w:val="16"/>
                <w:szCs w:val="16"/>
              </w:rPr>
              <w:t>, observaciones que fundamentan la evaluación.</w:t>
            </w:r>
          </w:p>
        </w:tc>
        <w:tc>
          <w:tcPr>
            <w:tcW w:w="1560" w:type="dxa"/>
            <w:shd w:val="clear" w:color="auto" w:fill="E6E6E6"/>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Evaluación del riesgo de sesgo</w:t>
            </w:r>
          </w:p>
          <w:p w:rsidR="00556DFF" w:rsidRPr="006F6ABB" w:rsidRDefault="00556DFF" w:rsidP="00877A56">
            <w:pPr>
              <w:autoSpaceDE w:val="0"/>
              <w:autoSpaceDN w:val="0"/>
              <w:adjustRightInd w:val="0"/>
              <w:ind w:right="-108"/>
              <w:rPr>
                <w:rFonts w:ascii="Arial" w:hAnsi="Arial" w:cs="Arial"/>
                <w:b/>
                <w:bCs/>
                <w:sz w:val="16"/>
                <w:szCs w:val="16"/>
              </w:rPr>
            </w:pPr>
            <w:r w:rsidRPr="006F6ABB">
              <w:rPr>
                <w:rFonts w:ascii="Arial" w:hAnsi="Arial" w:cs="Arial"/>
                <w:sz w:val="16"/>
                <w:szCs w:val="16"/>
              </w:rPr>
              <w:t>(Alto riesgo, Bajo riesgo, Riesgo poco claro)</w:t>
            </w: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Sesgo de selección</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Generación de la secuencia de aleatorización </w:t>
            </w:r>
          </w:p>
        </w:tc>
        <w:tc>
          <w:tcPr>
            <w:tcW w:w="4016" w:type="dxa"/>
          </w:tcPr>
          <w:p w:rsidR="00556DFF" w:rsidRPr="006F6ABB" w:rsidRDefault="00556DFF" w:rsidP="00122A04">
            <w:pPr>
              <w:autoSpaceDE w:val="0"/>
              <w:autoSpaceDN w:val="0"/>
              <w:adjustRightInd w:val="0"/>
              <w:rPr>
                <w:rFonts w:ascii="Arial" w:hAnsi="Arial" w:cs="Arial"/>
                <w:b/>
                <w:bCs/>
                <w:sz w:val="16"/>
                <w:szCs w:val="16"/>
              </w:rPr>
            </w:pPr>
            <w:r>
              <w:rPr>
                <w:rFonts w:ascii="Arial" w:hAnsi="Arial" w:cs="Arial"/>
                <w:b/>
                <w:bCs/>
                <w:sz w:val="16"/>
                <w:szCs w:val="16"/>
              </w:rPr>
              <w:t xml:space="preserve">Pacientes </w:t>
            </w:r>
            <w:proofErr w:type="spellStart"/>
            <w:r>
              <w:rPr>
                <w:rFonts w:ascii="Arial" w:hAnsi="Arial" w:cs="Arial"/>
                <w:b/>
                <w:bCs/>
                <w:sz w:val="16"/>
                <w:szCs w:val="16"/>
              </w:rPr>
              <w:t>randomizados</w:t>
            </w:r>
            <w:proofErr w:type="spellEnd"/>
            <w:r>
              <w:rPr>
                <w:rFonts w:ascii="Arial" w:hAnsi="Arial" w:cs="Arial"/>
                <w:b/>
                <w:bCs/>
                <w:sz w:val="16"/>
                <w:szCs w:val="16"/>
              </w:rPr>
              <w:t xml:space="preserve"> 1:1, según los 4 niveles de MGFA 1. </w:t>
            </w:r>
            <w:proofErr w:type="spellStart"/>
            <w:r w:rsidRPr="00FA1AF4">
              <w:rPr>
                <w:rFonts w:ascii="Arial" w:hAnsi="Arial" w:cs="Arial"/>
                <w:b/>
                <w:bCs/>
                <w:sz w:val="16"/>
                <w:szCs w:val="16"/>
                <w:lang w:val="pt-BR"/>
              </w:rPr>
              <w:t>IIa</w:t>
            </w:r>
            <w:proofErr w:type="spellEnd"/>
            <w:r w:rsidRPr="00FA1AF4">
              <w:rPr>
                <w:rFonts w:ascii="Arial" w:hAnsi="Arial" w:cs="Arial"/>
                <w:b/>
                <w:bCs/>
                <w:sz w:val="16"/>
                <w:szCs w:val="16"/>
                <w:lang w:val="pt-BR"/>
              </w:rPr>
              <w:t>/</w:t>
            </w:r>
            <w:proofErr w:type="spellStart"/>
            <w:r w:rsidRPr="00FA1AF4">
              <w:rPr>
                <w:rFonts w:ascii="Arial" w:hAnsi="Arial" w:cs="Arial"/>
                <w:b/>
                <w:bCs/>
                <w:sz w:val="16"/>
                <w:szCs w:val="16"/>
                <w:lang w:val="pt-BR"/>
              </w:rPr>
              <w:t>IIIa</w:t>
            </w:r>
            <w:proofErr w:type="spellEnd"/>
            <w:r w:rsidRPr="00FA1AF4">
              <w:rPr>
                <w:rFonts w:ascii="Arial" w:hAnsi="Arial" w:cs="Arial"/>
                <w:b/>
                <w:bCs/>
                <w:sz w:val="16"/>
                <w:szCs w:val="16"/>
                <w:lang w:val="pt-BR"/>
              </w:rPr>
              <w:t xml:space="preserve">; 2. </w:t>
            </w:r>
            <w:proofErr w:type="spellStart"/>
            <w:r w:rsidRPr="00FA1AF4">
              <w:rPr>
                <w:rFonts w:ascii="Arial" w:hAnsi="Arial" w:cs="Arial"/>
                <w:b/>
                <w:bCs/>
                <w:sz w:val="16"/>
                <w:szCs w:val="16"/>
                <w:lang w:val="pt-BR"/>
              </w:rPr>
              <w:t>IVa</w:t>
            </w:r>
            <w:proofErr w:type="spellEnd"/>
            <w:r w:rsidRPr="00FA1AF4">
              <w:rPr>
                <w:rFonts w:ascii="Arial" w:hAnsi="Arial" w:cs="Arial"/>
                <w:b/>
                <w:bCs/>
                <w:sz w:val="16"/>
                <w:szCs w:val="16"/>
                <w:lang w:val="pt-BR"/>
              </w:rPr>
              <w:t xml:space="preserve">; 3. </w:t>
            </w:r>
            <w:proofErr w:type="spellStart"/>
            <w:r w:rsidRPr="00FA1AF4">
              <w:rPr>
                <w:rFonts w:ascii="Arial" w:hAnsi="Arial" w:cs="Arial"/>
                <w:b/>
                <w:bCs/>
                <w:sz w:val="16"/>
                <w:szCs w:val="16"/>
                <w:lang w:val="pt-BR"/>
              </w:rPr>
              <w:t>IIb</w:t>
            </w:r>
            <w:proofErr w:type="spellEnd"/>
            <w:r w:rsidRPr="00FA1AF4">
              <w:rPr>
                <w:rFonts w:ascii="Arial" w:hAnsi="Arial" w:cs="Arial"/>
                <w:b/>
                <w:bCs/>
                <w:sz w:val="16"/>
                <w:szCs w:val="16"/>
                <w:lang w:val="pt-BR"/>
              </w:rPr>
              <w:t>/</w:t>
            </w:r>
            <w:proofErr w:type="spellStart"/>
            <w:r w:rsidRPr="00FA1AF4">
              <w:rPr>
                <w:rFonts w:ascii="Arial" w:hAnsi="Arial" w:cs="Arial"/>
                <w:b/>
                <w:bCs/>
                <w:sz w:val="16"/>
                <w:szCs w:val="16"/>
                <w:lang w:val="pt-BR"/>
              </w:rPr>
              <w:t>IIIb</w:t>
            </w:r>
            <w:proofErr w:type="spellEnd"/>
            <w:r w:rsidRPr="00FA1AF4">
              <w:rPr>
                <w:rFonts w:ascii="Arial" w:hAnsi="Arial" w:cs="Arial"/>
                <w:b/>
                <w:bCs/>
                <w:sz w:val="16"/>
                <w:szCs w:val="16"/>
                <w:lang w:val="pt-BR"/>
              </w:rPr>
              <w:t xml:space="preserve"> o 4. </w:t>
            </w:r>
            <w:proofErr w:type="spellStart"/>
            <w:r>
              <w:rPr>
                <w:rFonts w:ascii="Arial" w:hAnsi="Arial" w:cs="Arial"/>
                <w:b/>
                <w:bCs/>
                <w:sz w:val="16"/>
                <w:szCs w:val="16"/>
              </w:rPr>
              <w:t>IVb</w:t>
            </w:r>
            <w:proofErr w:type="spellEnd"/>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sz w:val="16"/>
                <w:szCs w:val="16"/>
              </w:rPr>
            </w:pPr>
            <w:r>
              <w:rPr>
                <w:rFonts w:ascii="Arial" w:hAnsi="Arial" w:cs="Arial"/>
                <w:sz w:val="16"/>
                <w:szCs w:val="16"/>
              </w:rPr>
              <w:t>Bajo riesgo</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Ocultación de la asignación </w:t>
            </w:r>
          </w:p>
        </w:tc>
        <w:tc>
          <w:tcPr>
            <w:tcW w:w="4016" w:type="dxa"/>
          </w:tcPr>
          <w:p w:rsidR="00556DFF" w:rsidRPr="006F6ABB" w:rsidRDefault="00556DFF" w:rsidP="00877A56">
            <w:pPr>
              <w:autoSpaceDE w:val="0"/>
              <w:autoSpaceDN w:val="0"/>
              <w:adjustRightInd w:val="0"/>
              <w:jc w:val="both"/>
              <w:rPr>
                <w:rFonts w:ascii="Arial" w:hAnsi="Arial" w:cs="Arial"/>
                <w:sz w:val="16"/>
                <w:szCs w:val="16"/>
              </w:rPr>
            </w:pPr>
            <w:r>
              <w:rPr>
                <w:rFonts w:ascii="Arial" w:hAnsi="Arial" w:cs="Arial"/>
                <w:sz w:val="16"/>
                <w:szCs w:val="16"/>
              </w:rPr>
              <w:t>Si, no especifica la asignación</w:t>
            </w: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r>
              <w:rPr>
                <w:rFonts w:ascii="Arial" w:hAnsi="Arial" w:cs="Arial"/>
                <w:b/>
                <w:bCs/>
                <w:sz w:val="16"/>
                <w:szCs w:val="16"/>
              </w:rPr>
              <w:t>Alto riesgo</w:t>
            </w: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Sesgo de realización</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Cegamiento de los participantes y del personal </w:t>
            </w:r>
          </w:p>
        </w:tc>
        <w:tc>
          <w:tcPr>
            <w:tcW w:w="4016" w:type="dxa"/>
          </w:tcPr>
          <w:p w:rsidR="00556DFF" w:rsidRPr="006F6ABB" w:rsidRDefault="00556DFF" w:rsidP="00877A56">
            <w:pPr>
              <w:autoSpaceDE w:val="0"/>
              <w:autoSpaceDN w:val="0"/>
              <w:adjustRightInd w:val="0"/>
              <w:rPr>
                <w:rFonts w:ascii="Arial" w:hAnsi="Arial" w:cs="Arial"/>
                <w:b/>
                <w:bCs/>
                <w:sz w:val="16"/>
                <w:szCs w:val="16"/>
              </w:rPr>
            </w:pPr>
            <w:r>
              <w:rPr>
                <w:rFonts w:ascii="Arial" w:hAnsi="Arial" w:cs="Arial"/>
                <w:b/>
                <w:bCs/>
                <w:sz w:val="16"/>
                <w:szCs w:val="16"/>
              </w:rPr>
              <w:t>Cegamiento de todo el personal relacionado con la investigación</w:t>
            </w: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r>
              <w:rPr>
                <w:rFonts w:ascii="Arial" w:hAnsi="Arial" w:cs="Arial"/>
                <w:b/>
                <w:bCs/>
                <w:sz w:val="16"/>
                <w:szCs w:val="16"/>
              </w:rPr>
              <w:t>Bajo riesgo</w:t>
            </w: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Sesgo de detección</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Cegamiento de los evaluadores </w:t>
            </w:r>
          </w:p>
        </w:tc>
        <w:tc>
          <w:tcPr>
            <w:tcW w:w="4016" w:type="dxa"/>
          </w:tcPr>
          <w:p w:rsidR="00556DFF" w:rsidRPr="006F6ABB" w:rsidRDefault="00556DFF" w:rsidP="00877A56">
            <w:pPr>
              <w:jc w:val="both"/>
              <w:rPr>
                <w:rFonts w:ascii="Arial" w:hAnsi="Arial" w:cs="Arial"/>
                <w:bCs/>
                <w:sz w:val="16"/>
                <w:szCs w:val="18"/>
              </w:rPr>
            </w:pP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Cegamiento de los evaluadores  del resultado </w:t>
            </w:r>
          </w:p>
        </w:tc>
        <w:tc>
          <w:tcPr>
            <w:tcW w:w="4016" w:type="dxa"/>
          </w:tcPr>
          <w:p w:rsidR="00556DFF" w:rsidRPr="006F6ABB" w:rsidRDefault="00556DFF" w:rsidP="00877A56">
            <w:pPr>
              <w:autoSpaceDE w:val="0"/>
              <w:autoSpaceDN w:val="0"/>
              <w:adjustRightInd w:val="0"/>
              <w:rPr>
                <w:rFonts w:ascii="Arial" w:hAnsi="Arial" w:cs="Arial"/>
                <w:bCs/>
                <w:sz w:val="16"/>
                <w:szCs w:val="18"/>
              </w:rPr>
            </w:pP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Sesgo de desgaste</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Manejo de los datos de resultado incompletos </w:t>
            </w:r>
          </w:p>
        </w:tc>
        <w:tc>
          <w:tcPr>
            <w:tcW w:w="4016" w:type="dxa"/>
          </w:tcPr>
          <w:p w:rsidR="00556DFF" w:rsidRPr="006F6ABB" w:rsidRDefault="00556DFF" w:rsidP="00877A56">
            <w:pPr>
              <w:autoSpaceDE w:val="0"/>
              <w:autoSpaceDN w:val="0"/>
              <w:adjustRightInd w:val="0"/>
              <w:rPr>
                <w:rFonts w:ascii="Arial" w:hAnsi="Arial" w:cs="Arial"/>
                <w:b/>
                <w:bCs/>
                <w:sz w:val="16"/>
                <w:szCs w:val="16"/>
              </w:rPr>
            </w:pPr>
            <w:r>
              <w:rPr>
                <w:rFonts w:ascii="Arial" w:hAnsi="Arial" w:cs="Arial"/>
                <w:b/>
                <w:bCs/>
                <w:sz w:val="16"/>
                <w:szCs w:val="16"/>
              </w:rPr>
              <w:t>Se describen los distintos análisis estadísticos que se realizan en el estudio</w:t>
            </w: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r>
              <w:rPr>
                <w:rFonts w:ascii="Arial" w:hAnsi="Arial" w:cs="Arial"/>
                <w:b/>
                <w:bCs/>
                <w:sz w:val="16"/>
                <w:szCs w:val="16"/>
              </w:rPr>
              <w:t>Bajo riesgo</w:t>
            </w: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Sesgo de notificación</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r w:rsidRPr="006F6ABB">
              <w:rPr>
                <w:rFonts w:ascii="Arial" w:hAnsi="Arial" w:cs="Arial"/>
                <w:sz w:val="16"/>
                <w:szCs w:val="16"/>
              </w:rPr>
              <w:t xml:space="preserve">Notificación selectiva de resultados </w:t>
            </w:r>
          </w:p>
        </w:tc>
        <w:tc>
          <w:tcPr>
            <w:tcW w:w="4016" w:type="dxa"/>
          </w:tcPr>
          <w:p w:rsidR="00556DFF" w:rsidRPr="006F6ABB" w:rsidRDefault="00556DFF" w:rsidP="00877A56">
            <w:pPr>
              <w:autoSpaceDE w:val="0"/>
              <w:autoSpaceDN w:val="0"/>
              <w:adjustRightInd w:val="0"/>
              <w:rPr>
                <w:rFonts w:ascii="Arial" w:hAnsi="Arial" w:cs="Arial"/>
                <w:b/>
                <w:bCs/>
                <w:sz w:val="16"/>
                <w:szCs w:val="16"/>
              </w:rPr>
            </w:pP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p>
        </w:tc>
      </w:tr>
      <w:tr w:rsidR="00556DFF" w:rsidRPr="006F6ABB">
        <w:tc>
          <w:tcPr>
            <w:tcW w:w="9181" w:type="dxa"/>
            <w:gridSpan w:val="4"/>
            <w:shd w:val="clear" w:color="auto" w:fill="FFFF99"/>
          </w:tcPr>
          <w:p w:rsidR="00556DFF" w:rsidRPr="006F6ABB" w:rsidRDefault="00556DFF" w:rsidP="00877A56">
            <w:pPr>
              <w:autoSpaceDE w:val="0"/>
              <w:autoSpaceDN w:val="0"/>
              <w:adjustRightInd w:val="0"/>
              <w:rPr>
                <w:rFonts w:ascii="Arial" w:hAnsi="Arial" w:cs="Arial"/>
                <w:b/>
                <w:bCs/>
                <w:sz w:val="16"/>
                <w:szCs w:val="16"/>
              </w:rPr>
            </w:pPr>
            <w:r w:rsidRPr="006F6ABB">
              <w:rPr>
                <w:rFonts w:ascii="Arial" w:hAnsi="Arial" w:cs="Arial"/>
                <w:b/>
                <w:bCs/>
                <w:sz w:val="16"/>
                <w:szCs w:val="16"/>
              </w:rPr>
              <w:t>Otros sesgos</w:t>
            </w:r>
          </w:p>
        </w:tc>
      </w:tr>
      <w:tr w:rsidR="00556DFF" w:rsidRPr="006F6ABB">
        <w:tc>
          <w:tcPr>
            <w:tcW w:w="1904" w:type="dxa"/>
            <w:shd w:val="clear" w:color="auto" w:fill="E6E6E6"/>
          </w:tcPr>
          <w:p w:rsidR="00556DFF" w:rsidRPr="006F6ABB" w:rsidRDefault="00556DFF" w:rsidP="00877A56">
            <w:pPr>
              <w:autoSpaceDE w:val="0"/>
              <w:autoSpaceDN w:val="0"/>
              <w:adjustRightInd w:val="0"/>
              <w:rPr>
                <w:rFonts w:ascii="Arial" w:hAnsi="Arial" w:cs="Arial"/>
                <w:sz w:val="16"/>
                <w:szCs w:val="16"/>
              </w:rPr>
            </w:pPr>
          </w:p>
        </w:tc>
        <w:tc>
          <w:tcPr>
            <w:tcW w:w="4016" w:type="dxa"/>
          </w:tcPr>
          <w:p w:rsidR="00556DFF" w:rsidRPr="006F6ABB" w:rsidRDefault="00556DFF" w:rsidP="00877A56">
            <w:pPr>
              <w:autoSpaceDE w:val="0"/>
              <w:autoSpaceDN w:val="0"/>
              <w:adjustRightInd w:val="0"/>
              <w:rPr>
                <w:rFonts w:ascii="Arial" w:hAnsi="Arial" w:cs="Arial"/>
                <w:b/>
                <w:bCs/>
                <w:sz w:val="16"/>
                <w:szCs w:val="16"/>
              </w:rPr>
            </w:pPr>
          </w:p>
        </w:tc>
        <w:tc>
          <w:tcPr>
            <w:tcW w:w="1701" w:type="dxa"/>
          </w:tcPr>
          <w:p w:rsidR="00556DFF" w:rsidRPr="006F6ABB" w:rsidRDefault="00556DFF" w:rsidP="00877A56">
            <w:pPr>
              <w:autoSpaceDE w:val="0"/>
              <w:autoSpaceDN w:val="0"/>
              <w:adjustRightInd w:val="0"/>
              <w:rPr>
                <w:rFonts w:ascii="Arial" w:hAnsi="Arial" w:cs="Arial"/>
                <w:b/>
                <w:bCs/>
                <w:sz w:val="16"/>
                <w:szCs w:val="16"/>
              </w:rPr>
            </w:pPr>
          </w:p>
        </w:tc>
        <w:tc>
          <w:tcPr>
            <w:tcW w:w="1560" w:type="dxa"/>
          </w:tcPr>
          <w:p w:rsidR="00556DFF" w:rsidRPr="006F6ABB" w:rsidRDefault="00556DFF" w:rsidP="00877A56">
            <w:pPr>
              <w:autoSpaceDE w:val="0"/>
              <w:autoSpaceDN w:val="0"/>
              <w:adjustRightInd w:val="0"/>
              <w:rPr>
                <w:rFonts w:ascii="Arial" w:hAnsi="Arial" w:cs="Arial"/>
                <w:b/>
                <w:bCs/>
                <w:sz w:val="16"/>
                <w:szCs w:val="16"/>
              </w:rPr>
            </w:pPr>
          </w:p>
        </w:tc>
      </w:tr>
    </w:tbl>
    <w:p w:rsidR="00556DFF" w:rsidRDefault="00556DFF" w:rsidP="00877A56">
      <w:pPr>
        <w:rPr>
          <w:rFonts w:ascii="Arial" w:hAnsi="Arial" w:cs="Arial"/>
          <w:color w:val="0000FF"/>
          <w:sz w:val="20"/>
          <w:szCs w:val="20"/>
          <w:u w:val="single"/>
        </w:rPr>
      </w:pPr>
    </w:p>
    <w:p w:rsidR="00556DFF" w:rsidRDefault="00556DFF" w:rsidP="00877A56">
      <w:pPr>
        <w:rPr>
          <w:rFonts w:ascii="Arial" w:hAnsi="Arial" w:cs="Arial"/>
          <w:color w:val="0000FF"/>
          <w:sz w:val="20"/>
          <w:szCs w:val="20"/>
          <w:u w:val="single"/>
        </w:rPr>
      </w:pPr>
    </w:p>
    <w:p w:rsidR="00556DFF" w:rsidRPr="00B14170" w:rsidRDefault="00556DFF" w:rsidP="00877A56">
      <w:pPr>
        <w:pStyle w:val="Textoindependiente3"/>
        <w:shd w:val="clear" w:color="auto" w:fill="E6E6E6"/>
        <w:ind w:right="-261"/>
        <w:jc w:val="both"/>
        <w:outlineLvl w:val="2"/>
        <w:rPr>
          <w:b/>
          <w:sz w:val="20"/>
        </w:rPr>
      </w:pPr>
      <w:bookmarkStart w:id="165" w:name="_Toc517462804"/>
      <w:r>
        <w:rPr>
          <w:b/>
          <w:sz w:val="20"/>
        </w:rPr>
        <w:t>APARTADO 5.2.b.</w:t>
      </w:r>
      <w:r w:rsidRPr="00B14170">
        <w:rPr>
          <w:b/>
          <w:sz w:val="20"/>
        </w:rPr>
        <w:t>B. Aplicabilidad del ensayo a la práctica del hospital</w:t>
      </w:r>
      <w:bookmarkEnd w:id="165"/>
    </w:p>
    <w:p w:rsidR="00556DFF" w:rsidRDefault="00556DFF" w:rsidP="00877A56">
      <w:pPr>
        <w:rPr>
          <w:rFonts w:ascii="Arial" w:hAnsi="Arial" w:cs="Arial"/>
          <w:color w:val="0000FF"/>
          <w:sz w:val="20"/>
          <w:szCs w:val="20"/>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851"/>
        <w:gridCol w:w="4819"/>
      </w:tblGrid>
      <w:tr w:rsidR="00556DFF" w:rsidRPr="004124A0">
        <w:trPr>
          <w:cantSplit/>
        </w:trPr>
        <w:tc>
          <w:tcPr>
            <w:tcW w:w="9142" w:type="dxa"/>
            <w:gridSpan w:val="3"/>
            <w:shd w:val="clear" w:color="auto" w:fill="FFFF99"/>
          </w:tcPr>
          <w:p w:rsidR="00556DFF" w:rsidRPr="004124A0" w:rsidRDefault="00556DFF" w:rsidP="00877A56">
            <w:pPr>
              <w:rPr>
                <w:rFonts w:ascii="Arial" w:hAnsi="Arial" w:cs="Arial"/>
                <w:b/>
                <w:sz w:val="16"/>
                <w:szCs w:val="16"/>
              </w:rPr>
            </w:pPr>
            <w:r w:rsidRPr="004124A0">
              <w:rPr>
                <w:rFonts w:ascii="Arial" w:hAnsi="Arial" w:cs="Arial"/>
                <w:b/>
                <w:sz w:val="16"/>
                <w:szCs w:val="16"/>
              </w:rPr>
              <w:t>5.2.b.2 Tabla 3</w:t>
            </w:r>
          </w:p>
          <w:p w:rsidR="00556DFF" w:rsidRPr="004124A0" w:rsidRDefault="00556DFF" w:rsidP="00877A56">
            <w:pPr>
              <w:rPr>
                <w:rFonts w:ascii="Arial" w:hAnsi="Arial" w:cs="Arial"/>
                <w:b/>
                <w:bCs/>
                <w:sz w:val="16"/>
                <w:szCs w:val="16"/>
              </w:rPr>
            </w:pPr>
            <w:r w:rsidRPr="004124A0">
              <w:rPr>
                <w:rFonts w:ascii="Arial" w:hAnsi="Arial" w:cs="Arial"/>
                <w:b/>
                <w:bCs/>
                <w:sz w:val="16"/>
                <w:szCs w:val="16"/>
              </w:rPr>
              <w:t xml:space="preserve">CUESTIONARIO SOBRE LA APLICABILIDAD DE UN ENSAYO CLÍNICO </w:t>
            </w:r>
          </w:p>
        </w:tc>
      </w:tr>
      <w:tr w:rsidR="00556DFF" w:rsidRPr="004124A0">
        <w:trPr>
          <w:trHeight w:val="90"/>
        </w:trPr>
        <w:tc>
          <w:tcPr>
            <w:tcW w:w="3472" w:type="dxa"/>
          </w:tcPr>
          <w:p w:rsidR="00556DFF" w:rsidRPr="004124A0" w:rsidRDefault="00556DFF" w:rsidP="00877A56">
            <w:pPr>
              <w:rPr>
                <w:rFonts w:ascii="Arial" w:hAnsi="Arial" w:cs="Arial"/>
                <w:sz w:val="16"/>
                <w:szCs w:val="16"/>
              </w:rPr>
            </w:pPr>
          </w:p>
        </w:tc>
        <w:tc>
          <w:tcPr>
            <w:tcW w:w="851" w:type="dxa"/>
          </w:tcPr>
          <w:p w:rsidR="00556DFF" w:rsidRPr="004124A0" w:rsidRDefault="00556DFF" w:rsidP="00877A56">
            <w:pPr>
              <w:jc w:val="center"/>
              <w:rPr>
                <w:rFonts w:ascii="Arial" w:hAnsi="Arial" w:cs="Arial"/>
                <w:b/>
                <w:sz w:val="16"/>
                <w:szCs w:val="16"/>
              </w:rPr>
            </w:pPr>
            <w:r w:rsidRPr="004124A0">
              <w:rPr>
                <w:rFonts w:ascii="Arial" w:hAnsi="Arial" w:cs="Arial"/>
                <w:b/>
                <w:sz w:val="16"/>
                <w:szCs w:val="16"/>
              </w:rPr>
              <w:t>SI /NO</w:t>
            </w:r>
          </w:p>
        </w:tc>
        <w:tc>
          <w:tcPr>
            <w:tcW w:w="4819" w:type="dxa"/>
          </w:tcPr>
          <w:p w:rsidR="00556DFF" w:rsidRPr="004124A0" w:rsidRDefault="00556DFF" w:rsidP="00877A56">
            <w:pPr>
              <w:jc w:val="center"/>
              <w:rPr>
                <w:rFonts w:ascii="Arial" w:hAnsi="Arial" w:cs="Arial"/>
                <w:b/>
                <w:sz w:val="16"/>
                <w:szCs w:val="16"/>
              </w:rPr>
            </w:pPr>
            <w:r w:rsidRPr="004124A0">
              <w:rPr>
                <w:rFonts w:ascii="Arial" w:hAnsi="Arial" w:cs="Arial"/>
                <w:b/>
                <w:sz w:val="16"/>
                <w:szCs w:val="16"/>
              </w:rPr>
              <w:t>JUSTIFICAR</w:t>
            </w:r>
          </w:p>
        </w:tc>
      </w:tr>
      <w:tr w:rsidR="00556DFF" w:rsidRPr="004124A0">
        <w:trPr>
          <w:trHeight w:val="604"/>
        </w:trPr>
        <w:tc>
          <w:tcPr>
            <w:tcW w:w="3472" w:type="dxa"/>
          </w:tcPr>
          <w:p w:rsidR="00556DFF" w:rsidRPr="004124A0" w:rsidRDefault="00556DFF" w:rsidP="00877A56">
            <w:pPr>
              <w:rPr>
                <w:rFonts w:ascii="Arial" w:hAnsi="Arial" w:cs="Arial"/>
                <w:b/>
                <w:sz w:val="16"/>
                <w:szCs w:val="16"/>
              </w:rPr>
            </w:pPr>
            <w:r w:rsidRPr="004124A0">
              <w:rPr>
                <w:rFonts w:ascii="Arial" w:hAnsi="Arial" w:cs="Arial"/>
                <w:b/>
                <w:sz w:val="16"/>
                <w:szCs w:val="16"/>
              </w:rPr>
              <w:t xml:space="preserve">¿Considera adecuado el comparador? </w:t>
            </w:r>
            <w:r w:rsidRPr="004124A0">
              <w:rPr>
                <w:rFonts w:ascii="Arial" w:hAnsi="Arial" w:cs="Arial"/>
                <w:sz w:val="16"/>
                <w:szCs w:val="16"/>
              </w:rPr>
              <w:t>¿Es el tratamiento control adecuado en nuestro medio?</w:t>
            </w:r>
          </w:p>
        </w:tc>
        <w:tc>
          <w:tcPr>
            <w:tcW w:w="851" w:type="dxa"/>
          </w:tcPr>
          <w:p w:rsidR="00556DFF" w:rsidRDefault="00556DFF" w:rsidP="00877A56">
            <w:pPr>
              <w:rPr>
                <w:rFonts w:ascii="Arial" w:hAnsi="Arial" w:cs="Arial"/>
                <w:sz w:val="16"/>
                <w:szCs w:val="16"/>
              </w:rPr>
            </w:pPr>
          </w:p>
          <w:p w:rsidR="00556DFF" w:rsidRPr="004124A0" w:rsidRDefault="00556DFF" w:rsidP="007B4572">
            <w:pPr>
              <w:jc w:val="center"/>
              <w:rPr>
                <w:rFonts w:ascii="Arial" w:hAnsi="Arial" w:cs="Arial"/>
                <w:sz w:val="16"/>
                <w:szCs w:val="16"/>
              </w:rPr>
            </w:pPr>
            <w:r>
              <w:rPr>
                <w:rFonts w:ascii="Arial" w:hAnsi="Arial" w:cs="Arial"/>
                <w:sz w:val="16"/>
                <w:szCs w:val="16"/>
              </w:rPr>
              <w:t>-</w:t>
            </w:r>
          </w:p>
        </w:tc>
        <w:tc>
          <w:tcPr>
            <w:tcW w:w="4819" w:type="dxa"/>
          </w:tcPr>
          <w:p w:rsidR="00556DFF" w:rsidRPr="004124A0" w:rsidRDefault="00556DFF" w:rsidP="00877A56">
            <w:pPr>
              <w:rPr>
                <w:rFonts w:ascii="Arial" w:hAnsi="Arial" w:cs="Arial"/>
                <w:color w:val="000080"/>
                <w:sz w:val="16"/>
                <w:szCs w:val="16"/>
              </w:rPr>
            </w:pPr>
            <w:r>
              <w:rPr>
                <w:rFonts w:ascii="Arial" w:hAnsi="Arial" w:cs="Arial"/>
                <w:color w:val="000080"/>
                <w:sz w:val="16"/>
                <w:szCs w:val="16"/>
              </w:rPr>
              <w:t xml:space="preserve">El comparador es placebo, actualmente no existe ningún otro fármaco de los que se usa en la práctica clínica con la indicación para </w:t>
            </w:r>
            <w:proofErr w:type="spellStart"/>
            <w:r>
              <w:rPr>
                <w:rFonts w:ascii="Arial" w:hAnsi="Arial" w:cs="Arial"/>
                <w:color w:val="000080"/>
                <w:sz w:val="16"/>
                <w:szCs w:val="16"/>
              </w:rPr>
              <w:t>MGg</w:t>
            </w:r>
            <w:proofErr w:type="spellEnd"/>
            <w:r>
              <w:rPr>
                <w:rFonts w:ascii="Arial" w:hAnsi="Arial" w:cs="Arial"/>
                <w:color w:val="000080"/>
                <w:sz w:val="16"/>
                <w:szCs w:val="16"/>
              </w:rPr>
              <w:t xml:space="preserve"> refractaria. </w:t>
            </w:r>
          </w:p>
        </w:tc>
      </w:tr>
      <w:tr w:rsidR="00556DFF" w:rsidRPr="004124A0">
        <w:trPr>
          <w:trHeight w:val="556"/>
        </w:trPr>
        <w:tc>
          <w:tcPr>
            <w:tcW w:w="3472" w:type="dxa"/>
          </w:tcPr>
          <w:p w:rsidR="00556DFF" w:rsidRPr="004124A0" w:rsidRDefault="00556DFF" w:rsidP="00877A56">
            <w:pPr>
              <w:rPr>
                <w:rFonts w:ascii="Arial" w:hAnsi="Arial" w:cs="Arial"/>
                <w:b/>
                <w:bCs/>
                <w:sz w:val="16"/>
                <w:szCs w:val="16"/>
              </w:rPr>
            </w:pPr>
            <w:r w:rsidRPr="004124A0">
              <w:rPr>
                <w:rFonts w:ascii="Arial" w:hAnsi="Arial" w:cs="Arial"/>
                <w:b/>
                <w:bCs/>
                <w:sz w:val="16"/>
                <w:szCs w:val="16"/>
              </w:rPr>
              <w:t>¿Son importantes clínicamente los resultados?</w:t>
            </w:r>
          </w:p>
        </w:tc>
        <w:tc>
          <w:tcPr>
            <w:tcW w:w="851" w:type="dxa"/>
          </w:tcPr>
          <w:p w:rsidR="00556DFF" w:rsidRDefault="00556DFF" w:rsidP="00877A56">
            <w:pPr>
              <w:rPr>
                <w:rFonts w:ascii="Arial" w:hAnsi="Arial" w:cs="Arial"/>
                <w:sz w:val="16"/>
                <w:szCs w:val="16"/>
              </w:rPr>
            </w:pPr>
          </w:p>
          <w:p w:rsidR="00556DFF" w:rsidRPr="004124A0" w:rsidRDefault="00556DFF" w:rsidP="00877A56">
            <w:pPr>
              <w:rPr>
                <w:rFonts w:ascii="Arial" w:hAnsi="Arial" w:cs="Arial"/>
                <w:sz w:val="16"/>
                <w:szCs w:val="16"/>
              </w:rPr>
            </w:pPr>
            <w:r>
              <w:rPr>
                <w:rFonts w:ascii="Arial" w:hAnsi="Arial" w:cs="Arial"/>
                <w:sz w:val="16"/>
                <w:szCs w:val="16"/>
              </w:rPr>
              <w:t>SI</w:t>
            </w:r>
          </w:p>
        </w:tc>
        <w:tc>
          <w:tcPr>
            <w:tcW w:w="4819" w:type="dxa"/>
          </w:tcPr>
          <w:p w:rsidR="00556DFF" w:rsidRPr="004124A0" w:rsidRDefault="00556DFF" w:rsidP="00877A56">
            <w:pPr>
              <w:rPr>
                <w:rFonts w:ascii="Arial" w:hAnsi="Arial" w:cs="Arial"/>
                <w:color w:val="000080"/>
                <w:sz w:val="16"/>
                <w:szCs w:val="16"/>
              </w:rPr>
            </w:pPr>
            <w:r>
              <w:rPr>
                <w:rFonts w:ascii="Arial" w:hAnsi="Arial" w:cs="Arial"/>
                <w:color w:val="000080"/>
                <w:sz w:val="16"/>
                <w:szCs w:val="16"/>
                <w:lang w:val="es-ES_tradnl"/>
              </w:rPr>
              <w:t xml:space="preserve">Los resultados son importantes porque es el primer fármaco que tiene un ensayo clínico para </w:t>
            </w:r>
            <w:proofErr w:type="spellStart"/>
            <w:r>
              <w:rPr>
                <w:rFonts w:ascii="Arial" w:hAnsi="Arial" w:cs="Arial"/>
                <w:color w:val="000080"/>
                <w:sz w:val="16"/>
                <w:szCs w:val="16"/>
                <w:lang w:val="es-ES_tradnl"/>
              </w:rPr>
              <w:t>MGg</w:t>
            </w:r>
            <w:proofErr w:type="spellEnd"/>
            <w:r>
              <w:rPr>
                <w:rFonts w:ascii="Arial" w:hAnsi="Arial" w:cs="Arial"/>
                <w:color w:val="000080"/>
                <w:sz w:val="16"/>
                <w:szCs w:val="16"/>
                <w:lang w:val="es-ES_tradnl"/>
              </w:rPr>
              <w:t xml:space="preserve"> refractaria. No se han encontrado diferencias estadísticamente significativas en la variable principal pero si en las variables secundarias.</w:t>
            </w:r>
          </w:p>
        </w:tc>
      </w:tr>
      <w:tr w:rsidR="00556DFF" w:rsidRPr="004124A0">
        <w:trPr>
          <w:trHeight w:val="556"/>
        </w:trPr>
        <w:tc>
          <w:tcPr>
            <w:tcW w:w="3472" w:type="dxa"/>
          </w:tcPr>
          <w:p w:rsidR="00556DFF" w:rsidRPr="004124A0" w:rsidRDefault="00556DFF" w:rsidP="00877A56">
            <w:pPr>
              <w:rPr>
                <w:rFonts w:ascii="Arial" w:hAnsi="Arial" w:cs="Arial"/>
                <w:b/>
                <w:sz w:val="16"/>
                <w:szCs w:val="16"/>
              </w:rPr>
            </w:pPr>
            <w:r w:rsidRPr="004124A0">
              <w:rPr>
                <w:rFonts w:ascii="Arial" w:hAnsi="Arial" w:cs="Arial"/>
                <w:b/>
                <w:sz w:val="16"/>
                <w:szCs w:val="16"/>
              </w:rPr>
              <w:t xml:space="preserve">¿Considera adecuada la variable de medida utilizada? </w:t>
            </w:r>
          </w:p>
        </w:tc>
        <w:tc>
          <w:tcPr>
            <w:tcW w:w="851" w:type="dxa"/>
          </w:tcPr>
          <w:p w:rsidR="00556DFF" w:rsidRPr="004124A0" w:rsidRDefault="00556DFF" w:rsidP="00877A56">
            <w:pPr>
              <w:rPr>
                <w:rFonts w:ascii="Arial" w:hAnsi="Arial" w:cs="Arial"/>
                <w:sz w:val="16"/>
                <w:szCs w:val="16"/>
              </w:rPr>
            </w:pPr>
          </w:p>
        </w:tc>
        <w:tc>
          <w:tcPr>
            <w:tcW w:w="4819" w:type="dxa"/>
          </w:tcPr>
          <w:p w:rsidR="00556DFF" w:rsidRPr="004124A0" w:rsidRDefault="00556DFF" w:rsidP="00877A56">
            <w:pPr>
              <w:rPr>
                <w:rFonts w:ascii="Arial" w:hAnsi="Arial" w:cs="Arial"/>
                <w:color w:val="000080"/>
                <w:sz w:val="16"/>
                <w:szCs w:val="16"/>
              </w:rPr>
            </w:pPr>
            <w:r>
              <w:rPr>
                <w:rFonts w:ascii="Arial" w:hAnsi="Arial" w:cs="Arial"/>
                <w:color w:val="000080"/>
                <w:sz w:val="16"/>
                <w:szCs w:val="16"/>
                <w:lang w:val="es-ES_tradnl"/>
              </w:rPr>
              <w:t>Se utilizan las  variables que se usan en la práctica clínica, aunque en una de ellas hay un poco de controversia sobre el número de puntos que tiene que disminuir para considerar el cambio relevante clínicamente (según autores MG-ADL≥3 ó 4)</w:t>
            </w:r>
          </w:p>
        </w:tc>
      </w:tr>
      <w:tr w:rsidR="00556DFF" w:rsidRPr="004124A0">
        <w:trPr>
          <w:trHeight w:val="634"/>
        </w:trPr>
        <w:tc>
          <w:tcPr>
            <w:tcW w:w="3472" w:type="dxa"/>
          </w:tcPr>
          <w:p w:rsidR="00556DFF" w:rsidRPr="004124A0" w:rsidRDefault="00556DFF" w:rsidP="00877A56">
            <w:pPr>
              <w:rPr>
                <w:rFonts w:ascii="Arial" w:hAnsi="Arial" w:cs="Arial"/>
                <w:b/>
                <w:sz w:val="16"/>
                <w:szCs w:val="16"/>
              </w:rPr>
            </w:pPr>
            <w:r w:rsidRPr="004124A0">
              <w:rPr>
                <w:rFonts w:ascii="Arial" w:hAnsi="Arial" w:cs="Arial"/>
                <w:b/>
                <w:sz w:val="16"/>
                <w:szCs w:val="16"/>
              </w:rPr>
              <w:t xml:space="preserve">¿Considera adecuados los criterios de inclusión y/o exclusión de los pacientes? </w:t>
            </w:r>
          </w:p>
        </w:tc>
        <w:tc>
          <w:tcPr>
            <w:tcW w:w="851" w:type="dxa"/>
          </w:tcPr>
          <w:p w:rsidR="00556DFF" w:rsidRPr="004124A0" w:rsidRDefault="00556DFF" w:rsidP="00877A56">
            <w:pPr>
              <w:rPr>
                <w:rFonts w:ascii="Arial" w:hAnsi="Arial" w:cs="Arial"/>
                <w:sz w:val="16"/>
                <w:szCs w:val="16"/>
              </w:rPr>
            </w:pPr>
          </w:p>
        </w:tc>
        <w:tc>
          <w:tcPr>
            <w:tcW w:w="4819" w:type="dxa"/>
          </w:tcPr>
          <w:p w:rsidR="00556DFF" w:rsidRPr="004124A0" w:rsidRDefault="00556DFF" w:rsidP="00877A56">
            <w:pPr>
              <w:rPr>
                <w:rFonts w:ascii="Arial" w:hAnsi="Arial" w:cs="Arial"/>
                <w:color w:val="000080"/>
                <w:sz w:val="16"/>
                <w:szCs w:val="16"/>
              </w:rPr>
            </w:pPr>
            <w:r>
              <w:rPr>
                <w:rFonts w:ascii="Arial" w:hAnsi="Arial" w:cs="Arial"/>
                <w:color w:val="000080"/>
                <w:sz w:val="16"/>
                <w:szCs w:val="16"/>
              </w:rPr>
              <w:t>Los criterios de exclusión , limitan el acceso al ensayo a los pacientes que han fallado a otras terapias, que serían los que más necesitan tener una nueva alternativa terapéutica</w:t>
            </w:r>
          </w:p>
        </w:tc>
      </w:tr>
      <w:tr w:rsidR="00556DFF" w:rsidRPr="004124A0">
        <w:trPr>
          <w:trHeight w:val="699"/>
        </w:trPr>
        <w:tc>
          <w:tcPr>
            <w:tcW w:w="3472" w:type="dxa"/>
          </w:tcPr>
          <w:p w:rsidR="00556DFF" w:rsidRPr="004124A0" w:rsidRDefault="00556DFF" w:rsidP="00877A56">
            <w:pPr>
              <w:rPr>
                <w:rFonts w:ascii="Arial" w:hAnsi="Arial" w:cs="Arial"/>
                <w:b/>
                <w:sz w:val="16"/>
                <w:szCs w:val="16"/>
              </w:rPr>
            </w:pPr>
            <w:r w:rsidRPr="004124A0">
              <w:rPr>
                <w:rFonts w:ascii="Arial" w:hAnsi="Arial" w:cs="Arial"/>
                <w:b/>
                <w:sz w:val="16"/>
                <w:szCs w:val="16"/>
              </w:rPr>
              <w:t>¿Cree que los resultados pueden ser aplicados directamente a la práctica clínica?</w:t>
            </w:r>
            <w:r w:rsidRPr="004124A0">
              <w:rPr>
                <w:rFonts w:ascii="Arial" w:hAnsi="Arial" w:cs="Arial"/>
                <w:sz w:val="16"/>
                <w:szCs w:val="16"/>
              </w:rPr>
              <w:t xml:space="preserve"> </w:t>
            </w:r>
          </w:p>
        </w:tc>
        <w:tc>
          <w:tcPr>
            <w:tcW w:w="851" w:type="dxa"/>
          </w:tcPr>
          <w:p w:rsidR="00556DFF" w:rsidRPr="004124A0" w:rsidRDefault="00556DFF" w:rsidP="00877A56">
            <w:pPr>
              <w:rPr>
                <w:rFonts w:ascii="Arial" w:hAnsi="Arial" w:cs="Arial"/>
                <w:sz w:val="16"/>
                <w:szCs w:val="16"/>
              </w:rPr>
            </w:pPr>
          </w:p>
        </w:tc>
        <w:tc>
          <w:tcPr>
            <w:tcW w:w="4819" w:type="dxa"/>
          </w:tcPr>
          <w:p w:rsidR="00556DFF" w:rsidRPr="004124A0" w:rsidRDefault="00556DFF" w:rsidP="00877A56">
            <w:pPr>
              <w:rPr>
                <w:rFonts w:ascii="Arial" w:hAnsi="Arial" w:cs="Arial"/>
                <w:color w:val="000080"/>
                <w:sz w:val="16"/>
                <w:szCs w:val="16"/>
              </w:rPr>
            </w:pPr>
            <w:r>
              <w:rPr>
                <w:rFonts w:ascii="Arial" w:hAnsi="Arial" w:cs="Arial"/>
                <w:color w:val="000080"/>
                <w:sz w:val="16"/>
                <w:szCs w:val="16"/>
              </w:rPr>
              <w:t>Tener en cuenta los criterios de exclusión, que hace que no se incluyan en el ensayo un grupo de pacientes susceptibles de necesitar una alternativa terapéutica</w:t>
            </w:r>
          </w:p>
        </w:tc>
      </w:tr>
      <w:tr w:rsidR="00556DFF" w:rsidRPr="004124A0">
        <w:trPr>
          <w:trHeight w:val="681"/>
        </w:trPr>
        <w:tc>
          <w:tcPr>
            <w:tcW w:w="3472" w:type="dxa"/>
          </w:tcPr>
          <w:p w:rsidR="00556DFF" w:rsidRPr="004124A0" w:rsidRDefault="00556DFF" w:rsidP="00877A56">
            <w:pPr>
              <w:rPr>
                <w:rFonts w:ascii="Arial" w:hAnsi="Arial" w:cs="Arial"/>
                <w:b/>
                <w:sz w:val="16"/>
                <w:szCs w:val="16"/>
              </w:rPr>
            </w:pPr>
            <w:r w:rsidRPr="004124A0">
              <w:rPr>
                <w:rFonts w:ascii="Arial" w:hAnsi="Arial" w:cs="Arial"/>
                <w:b/>
                <w:sz w:val="16"/>
                <w:szCs w:val="16"/>
              </w:rPr>
              <w:t>Otros sesgos o limitaciones encontradas en el estudio</w:t>
            </w:r>
          </w:p>
        </w:tc>
        <w:tc>
          <w:tcPr>
            <w:tcW w:w="851" w:type="dxa"/>
          </w:tcPr>
          <w:p w:rsidR="00556DFF" w:rsidRPr="004124A0" w:rsidRDefault="00556DFF" w:rsidP="00877A56">
            <w:pPr>
              <w:rPr>
                <w:rFonts w:ascii="Arial" w:hAnsi="Arial" w:cs="Arial"/>
                <w:bCs/>
                <w:sz w:val="16"/>
                <w:szCs w:val="16"/>
              </w:rPr>
            </w:pPr>
          </w:p>
        </w:tc>
        <w:tc>
          <w:tcPr>
            <w:tcW w:w="4819" w:type="dxa"/>
          </w:tcPr>
          <w:p w:rsidR="00556DFF" w:rsidRPr="004124A0" w:rsidRDefault="00556DFF" w:rsidP="00877A56">
            <w:pPr>
              <w:rPr>
                <w:rFonts w:ascii="Arial" w:hAnsi="Arial" w:cs="Arial"/>
                <w:bCs/>
                <w:color w:val="000080"/>
                <w:sz w:val="16"/>
                <w:szCs w:val="16"/>
              </w:rPr>
            </w:pPr>
          </w:p>
        </w:tc>
      </w:tr>
    </w:tbl>
    <w:p w:rsidR="00556DFF" w:rsidRDefault="00556DFF" w:rsidP="00877A56">
      <w:pPr>
        <w:rPr>
          <w:rFonts w:ascii="Arial" w:hAnsi="Arial" w:cs="Arial"/>
          <w:color w:val="0000FF"/>
          <w:sz w:val="20"/>
          <w:szCs w:val="20"/>
          <w:u w:val="single"/>
        </w:rPr>
      </w:pPr>
    </w:p>
    <w:p w:rsidR="00556DFF" w:rsidRDefault="00556DFF" w:rsidP="00BC3E8E">
      <w:pPr>
        <w:rPr>
          <w:rFonts w:ascii="Arial" w:hAnsi="Arial" w:cs="Arial"/>
          <w:color w:val="0000FF"/>
          <w:sz w:val="20"/>
          <w:szCs w:val="20"/>
          <w:u w:val="single"/>
        </w:rPr>
      </w:pPr>
    </w:p>
    <w:p w:rsidR="00556DFF" w:rsidRPr="006F4C4F" w:rsidRDefault="00556DFF" w:rsidP="00BC3E8E">
      <w:pPr>
        <w:shd w:val="clear" w:color="auto" w:fill="DBE5F1"/>
        <w:autoSpaceDE w:val="0"/>
        <w:autoSpaceDN w:val="0"/>
        <w:adjustRightInd w:val="0"/>
        <w:spacing w:line="240" w:lineRule="atLeast"/>
        <w:jc w:val="center"/>
        <w:rPr>
          <w:rFonts w:ascii="Arial" w:hAnsi="Arial" w:cs="Arial"/>
          <w:color w:val="000000"/>
          <w:sz w:val="20"/>
          <w:szCs w:val="20"/>
        </w:rPr>
      </w:pPr>
      <w:r>
        <w:rPr>
          <w:rFonts w:ascii="Arial" w:hAnsi="Arial" w:cs="Arial"/>
          <w:b/>
          <w:bCs/>
          <w:color w:val="000000"/>
          <w:sz w:val="20"/>
          <w:szCs w:val="20"/>
        </w:rPr>
        <w:br w:type="page"/>
      </w:r>
      <w:r w:rsidRPr="00707E7D">
        <w:rPr>
          <w:rFonts w:ascii="Arial" w:hAnsi="Arial" w:cs="Arial"/>
          <w:b/>
          <w:bCs/>
          <w:color w:val="000000"/>
          <w:sz w:val="20"/>
          <w:szCs w:val="20"/>
        </w:rPr>
        <w:t>Formulario de declaración de conflictos de intereses</w:t>
      </w:r>
    </w:p>
    <w:p w:rsidR="00556DFF" w:rsidRDefault="00556DFF" w:rsidP="00BC3E8E">
      <w:pPr>
        <w:autoSpaceDE w:val="0"/>
        <w:autoSpaceDN w:val="0"/>
        <w:adjustRightInd w:val="0"/>
        <w:spacing w:line="240" w:lineRule="atLeast"/>
        <w:ind w:left="220" w:hanging="220"/>
        <w:rPr>
          <w:rFonts w:ascii="Arial" w:hAnsi="Arial" w:cs="Arial"/>
          <w:color w:val="000000"/>
          <w:sz w:val="20"/>
          <w:szCs w:val="20"/>
        </w:rPr>
      </w:pPr>
    </w:p>
    <w:p w:rsidR="00556DFF" w:rsidRPr="00456E6C" w:rsidRDefault="00556DFF" w:rsidP="00BC3E8E">
      <w:pPr>
        <w:pStyle w:val="Pa53"/>
        <w:jc w:val="both"/>
        <w:rPr>
          <w:rFonts w:ascii="Arial" w:hAnsi="Arial" w:cs="Arial"/>
          <w:sz w:val="20"/>
          <w:szCs w:val="20"/>
          <w:lang w:eastAsia="es-ES"/>
        </w:rPr>
      </w:pPr>
      <w:r w:rsidRPr="00456E6C">
        <w:rPr>
          <w:rFonts w:ascii="Arial" w:hAnsi="Arial" w:cs="Arial"/>
          <w:sz w:val="20"/>
          <w:szCs w:val="20"/>
          <w:lang w:eastAsia="es-ES"/>
        </w:rPr>
        <w:t xml:space="preserve">Los potenciales conflictos de intereses en la elaboración de informes de evaluación se consideran siempre que superen la cantidad de 2.000 euros anuales (últimos 3 años). </w:t>
      </w:r>
    </w:p>
    <w:p w:rsidR="00556DFF" w:rsidRPr="006F6ABB" w:rsidRDefault="00556DFF" w:rsidP="00BC3E8E">
      <w:pPr>
        <w:pStyle w:val="Default"/>
        <w:rPr>
          <w:rFonts w:ascii="Arial" w:hAnsi="Arial" w:cs="Arial"/>
          <w:color w:val="000080"/>
          <w:sz w:val="20"/>
          <w:szCs w:val="20"/>
          <w:lang w:eastAsia="es-ES"/>
        </w:rPr>
      </w:pPr>
    </w:p>
    <w:p w:rsidR="00556DFF" w:rsidRPr="006F4C4F" w:rsidRDefault="00556DFF" w:rsidP="00BC3E8E">
      <w:pPr>
        <w:autoSpaceDE w:val="0"/>
        <w:autoSpaceDN w:val="0"/>
        <w:adjustRightInd w:val="0"/>
        <w:spacing w:line="240" w:lineRule="atLeast"/>
        <w:ind w:left="220" w:hanging="220"/>
        <w:rPr>
          <w:rFonts w:ascii="Arial" w:hAnsi="Arial" w:cs="Arial"/>
          <w:b/>
          <w:color w:val="000000"/>
          <w:sz w:val="20"/>
          <w:szCs w:val="20"/>
        </w:rPr>
      </w:pPr>
      <w:r w:rsidRPr="00707E7D">
        <w:rPr>
          <w:rFonts w:ascii="Arial" w:hAnsi="Arial" w:cs="Arial"/>
          <w:b/>
          <w:color w:val="000000"/>
          <w:sz w:val="20"/>
          <w:szCs w:val="20"/>
        </w:rPr>
        <w:t>– Nombre y apellidos:</w:t>
      </w:r>
      <w:r>
        <w:rPr>
          <w:rFonts w:ascii="Arial" w:hAnsi="Arial" w:cs="Arial"/>
          <w:b/>
          <w:color w:val="000000"/>
          <w:sz w:val="20"/>
          <w:szCs w:val="20"/>
        </w:rPr>
        <w:t xml:space="preserve"> Mercedes Manzano García</w:t>
      </w:r>
      <w:r w:rsidRPr="0025373A">
        <w:rPr>
          <w:rFonts w:ascii="Arial" w:hAnsi="Arial" w:cs="Arial"/>
          <w:b/>
          <w:color w:val="000000"/>
          <w:sz w:val="20"/>
          <w:szCs w:val="20"/>
          <w:vertAlign w:val="superscript"/>
        </w:rPr>
        <w:t>1</w:t>
      </w:r>
      <w:r>
        <w:rPr>
          <w:rFonts w:ascii="Arial" w:hAnsi="Arial" w:cs="Arial"/>
          <w:b/>
          <w:color w:val="000000"/>
          <w:sz w:val="20"/>
          <w:szCs w:val="20"/>
        </w:rPr>
        <w:t xml:space="preserve"> y Yolanda Borrego Izquierdo</w:t>
      </w:r>
      <w:r w:rsidRPr="0025373A">
        <w:rPr>
          <w:rFonts w:ascii="Arial" w:hAnsi="Arial" w:cs="Arial"/>
          <w:b/>
          <w:color w:val="000000"/>
          <w:sz w:val="20"/>
          <w:szCs w:val="20"/>
          <w:vertAlign w:val="superscript"/>
        </w:rPr>
        <w:t>2</w:t>
      </w:r>
    </w:p>
    <w:p w:rsidR="00556DFF" w:rsidRPr="00707E7D" w:rsidRDefault="00556DFF" w:rsidP="00BC3E8E">
      <w:pPr>
        <w:autoSpaceDE w:val="0"/>
        <w:autoSpaceDN w:val="0"/>
        <w:adjustRightInd w:val="0"/>
        <w:spacing w:line="240" w:lineRule="atLeast"/>
        <w:ind w:left="220" w:hanging="220"/>
        <w:rPr>
          <w:rFonts w:ascii="Arial" w:hAnsi="Arial" w:cs="Arial"/>
          <w:b/>
          <w:color w:val="000000"/>
          <w:sz w:val="20"/>
          <w:szCs w:val="20"/>
        </w:rPr>
      </w:pPr>
    </w:p>
    <w:p w:rsidR="00556DFF" w:rsidRPr="006F4C4F" w:rsidRDefault="00556DFF" w:rsidP="00BC3E8E">
      <w:pPr>
        <w:autoSpaceDE w:val="0"/>
        <w:autoSpaceDN w:val="0"/>
        <w:adjustRightInd w:val="0"/>
        <w:spacing w:line="240" w:lineRule="atLeast"/>
        <w:ind w:left="220" w:hanging="220"/>
        <w:rPr>
          <w:rFonts w:ascii="Arial" w:hAnsi="Arial" w:cs="Arial"/>
          <w:b/>
          <w:color w:val="000000"/>
          <w:sz w:val="20"/>
          <w:szCs w:val="20"/>
        </w:rPr>
      </w:pPr>
      <w:r w:rsidRPr="00707E7D">
        <w:rPr>
          <w:rFonts w:ascii="Arial" w:hAnsi="Arial" w:cs="Arial"/>
          <w:b/>
          <w:color w:val="000000"/>
          <w:sz w:val="20"/>
          <w:szCs w:val="20"/>
        </w:rPr>
        <w:t>– Institución en la que trabaja:</w:t>
      </w:r>
      <w:r>
        <w:rPr>
          <w:rFonts w:ascii="Arial" w:hAnsi="Arial" w:cs="Arial"/>
          <w:b/>
          <w:color w:val="000000"/>
          <w:sz w:val="20"/>
          <w:szCs w:val="20"/>
        </w:rPr>
        <w:t xml:space="preserve"> FISEVI</w:t>
      </w:r>
      <w:r w:rsidRPr="0025373A">
        <w:rPr>
          <w:rFonts w:ascii="Arial" w:hAnsi="Arial" w:cs="Arial"/>
          <w:b/>
          <w:color w:val="000000"/>
          <w:sz w:val="20"/>
          <w:szCs w:val="20"/>
          <w:vertAlign w:val="superscript"/>
        </w:rPr>
        <w:t>1</w:t>
      </w:r>
      <w:r>
        <w:rPr>
          <w:rFonts w:ascii="Arial" w:hAnsi="Arial" w:cs="Arial"/>
          <w:b/>
          <w:color w:val="000000"/>
          <w:sz w:val="20"/>
          <w:szCs w:val="20"/>
        </w:rPr>
        <w:t xml:space="preserve"> y Gerencia de Atención Primaria Cantabria</w:t>
      </w:r>
      <w:r w:rsidRPr="0025373A">
        <w:rPr>
          <w:rFonts w:ascii="Arial" w:hAnsi="Arial" w:cs="Arial"/>
          <w:b/>
          <w:color w:val="000000"/>
          <w:sz w:val="20"/>
          <w:szCs w:val="20"/>
          <w:vertAlign w:val="superscript"/>
        </w:rPr>
        <w:t>2</w:t>
      </w:r>
    </w:p>
    <w:p w:rsidR="00556DFF" w:rsidRPr="00707E7D" w:rsidRDefault="00556DFF" w:rsidP="00BC3E8E">
      <w:pPr>
        <w:autoSpaceDE w:val="0"/>
        <w:autoSpaceDN w:val="0"/>
        <w:adjustRightInd w:val="0"/>
        <w:spacing w:line="240" w:lineRule="atLeast"/>
        <w:ind w:left="220" w:hanging="220"/>
        <w:rPr>
          <w:rFonts w:ascii="Arial" w:hAnsi="Arial" w:cs="Arial"/>
          <w:b/>
          <w:color w:val="000000"/>
          <w:sz w:val="20"/>
          <w:szCs w:val="20"/>
        </w:rPr>
      </w:pPr>
    </w:p>
    <w:p w:rsidR="00556DFF" w:rsidRPr="006F4C4F" w:rsidRDefault="00556DFF" w:rsidP="00BC3E8E">
      <w:pPr>
        <w:autoSpaceDE w:val="0"/>
        <w:autoSpaceDN w:val="0"/>
        <w:adjustRightInd w:val="0"/>
        <w:spacing w:line="240" w:lineRule="atLeast"/>
        <w:ind w:left="220" w:hanging="220"/>
        <w:rPr>
          <w:rFonts w:ascii="Arial" w:hAnsi="Arial" w:cs="Arial"/>
          <w:color w:val="000000"/>
          <w:sz w:val="20"/>
          <w:szCs w:val="20"/>
        </w:rPr>
      </w:pPr>
      <w:r w:rsidRPr="00707E7D">
        <w:rPr>
          <w:rFonts w:ascii="Arial" w:hAnsi="Arial" w:cs="Arial"/>
          <w:b/>
          <w:color w:val="000000"/>
          <w:sz w:val="20"/>
          <w:szCs w:val="20"/>
        </w:rPr>
        <w:t xml:space="preserve">– Institución que le vincula al informe. </w:t>
      </w:r>
      <w:r w:rsidRPr="0025373A">
        <w:rPr>
          <w:rFonts w:ascii="Arial" w:hAnsi="Arial" w:cs="Arial"/>
          <w:b/>
          <w:color w:val="000000"/>
          <w:sz w:val="20"/>
          <w:szCs w:val="20"/>
        </w:rPr>
        <w:t>GHEMA-SAFH</w:t>
      </w:r>
    </w:p>
    <w:p w:rsidR="00556DFF" w:rsidRPr="00707E7D" w:rsidRDefault="00556DFF" w:rsidP="00BC3E8E">
      <w:pPr>
        <w:autoSpaceDE w:val="0"/>
        <w:autoSpaceDN w:val="0"/>
        <w:adjustRightInd w:val="0"/>
        <w:spacing w:after="40" w:line="240" w:lineRule="atLeast"/>
        <w:rPr>
          <w:rFonts w:ascii="Arial" w:hAnsi="Arial" w:cs="Arial"/>
          <w:color w:val="000000"/>
          <w:sz w:val="20"/>
          <w:szCs w:val="20"/>
        </w:rPr>
      </w:pPr>
    </w:p>
    <w:p w:rsidR="00556DFF" w:rsidRPr="006F4C4F" w:rsidRDefault="00556DFF" w:rsidP="00BC3E8E">
      <w:pPr>
        <w:autoSpaceDE w:val="0"/>
        <w:autoSpaceDN w:val="0"/>
        <w:adjustRightInd w:val="0"/>
        <w:spacing w:after="40" w:line="240" w:lineRule="atLeast"/>
        <w:rPr>
          <w:rFonts w:ascii="Arial" w:hAnsi="Arial" w:cs="Arial"/>
          <w:color w:val="000000"/>
          <w:sz w:val="20"/>
          <w:szCs w:val="20"/>
        </w:rPr>
      </w:pPr>
      <w:r>
        <w:rPr>
          <w:rFonts w:ascii="Arial" w:hAnsi="Arial" w:cs="Arial"/>
          <w:color w:val="000000"/>
          <w:sz w:val="20"/>
          <w:szCs w:val="20"/>
        </w:rPr>
        <w:t xml:space="preserve">Participación en el informe de evaluación </w:t>
      </w:r>
      <w:r w:rsidRPr="00707E7D">
        <w:rPr>
          <w:rFonts w:ascii="Arial" w:hAnsi="Arial" w:cs="Arial"/>
          <w:color w:val="000000"/>
          <w:sz w:val="20"/>
          <w:szCs w:val="20"/>
        </w:rPr>
        <w:t>como:</w:t>
      </w:r>
    </w:p>
    <w:p w:rsidR="00556DFF" w:rsidRPr="00FA1AF4" w:rsidRDefault="00556DFF" w:rsidP="00BC3E8E">
      <w:pPr>
        <w:autoSpaceDE w:val="0"/>
        <w:autoSpaceDN w:val="0"/>
        <w:adjustRightInd w:val="0"/>
        <w:spacing w:line="240" w:lineRule="atLeast"/>
        <w:ind w:left="560"/>
        <w:rPr>
          <w:rFonts w:ascii="Arial" w:hAnsi="Arial" w:cs="Arial"/>
          <w:color w:val="000000"/>
          <w:sz w:val="20"/>
          <w:szCs w:val="20"/>
        </w:rPr>
      </w:pPr>
      <w:r w:rsidRPr="00FA1AF4">
        <w:rPr>
          <w:rFonts w:ascii="Arial" w:hAnsi="Arial" w:cs="Arial"/>
          <w:color w:val="000000"/>
          <w:sz w:val="20"/>
          <w:szCs w:val="20"/>
        </w:rPr>
        <w:t>1-Autora: Mercedes Manzano García</w:t>
      </w:r>
    </w:p>
    <w:p w:rsidR="00556DFF" w:rsidRPr="00FA1AF4" w:rsidRDefault="00556DFF" w:rsidP="00BC3E8E">
      <w:pPr>
        <w:autoSpaceDE w:val="0"/>
        <w:autoSpaceDN w:val="0"/>
        <w:adjustRightInd w:val="0"/>
        <w:spacing w:line="240" w:lineRule="atLeast"/>
        <w:ind w:left="560"/>
        <w:rPr>
          <w:rFonts w:ascii="Arial" w:hAnsi="Arial" w:cs="Arial"/>
          <w:color w:val="000000"/>
          <w:sz w:val="20"/>
          <w:szCs w:val="20"/>
        </w:rPr>
      </w:pPr>
      <w:r w:rsidRPr="00FA1AF4">
        <w:rPr>
          <w:rFonts w:ascii="Arial" w:hAnsi="Arial" w:cs="Arial"/>
          <w:color w:val="000000"/>
          <w:sz w:val="20"/>
          <w:szCs w:val="20"/>
        </w:rPr>
        <w:t>2-Tutora: Yolanda Borrego Izquierdo</w:t>
      </w:r>
    </w:p>
    <w:p w:rsidR="00556DFF" w:rsidRPr="00FA1AF4" w:rsidRDefault="00556DFF" w:rsidP="00CC6EB3">
      <w:pPr>
        <w:autoSpaceDE w:val="0"/>
        <w:autoSpaceDN w:val="0"/>
        <w:adjustRightInd w:val="0"/>
        <w:spacing w:line="240" w:lineRule="atLeast"/>
        <w:rPr>
          <w:rFonts w:ascii="Arial" w:hAnsi="Arial" w:cs="Arial"/>
          <w:color w:val="000000"/>
          <w:sz w:val="20"/>
          <w:szCs w:val="20"/>
        </w:rPr>
      </w:pPr>
    </w:p>
    <w:p w:rsidR="00556DFF" w:rsidRPr="00FA1AF4" w:rsidRDefault="00556DFF" w:rsidP="00BC3E8E">
      <w:pPr>
        <w:autoSpaceDE w:val="0"/>
        <w:autoSpaceDN w:val="0"/>
        <w:adjustRightInd w:val="0"/>
        <w:spacing w:line="240" w:lineRule="atLeast"/>
        <w:jc w:val="both"/>
        <w:rPr>
          <w:rFonts w:ascii="Arial" w:hAnsi="Arial" w:cs="Arial"/>
          <w:color w:val="000000"/>
          <w:sz w:val="20"/>
          <w:szCs w:val="20"/>
        </w:rPr>
      </w:pPr>
    </w:p>
    <w:p w:rsidR="00556DFF" w:rsidRPr="006F4C4F" w:rsidRDefault="00556DFF" w:rsidP="00BC3E8E">
      <w:pPr>
        <w:autoSpaceDE w:val="0"/>
        <w:autoSpaceDN w:val="0"/>
        <w:adjustRightInd w:val="0"/>
        <w:spacing w:line="240" w:lineRule="atLeast"/>
        <w:jc w:val="both"/>
        <w:rPr>
          <w:rFonts w:ascii="Arial" w:hAnsi="Arial" w:cs="Arial"/>
          <w:color w:val="000000"/>
          <w:sz w:val="20"/>
          <w:szCs w:val="20"/>
        </w:rPr>
      </w:pPr>
      <w:r w:rsidRPr="00707E7D">
        <w:rPr>
          <w:rFonts w:ascii="Arial" w:hAnsi="Arial" w:cs="Arial"/>
          <w:color w:val="000000"/>
          <w:sz w:val="20"/>
          <w:szCs w:val="20"/>
        </w:rPr>
        <w:t xml:space="preserve">Tras haber y leído y comprendido la información remitida sobre la declaración de conflictos para el presente </w:t>
      </w:r>
      <w:r>
        <w:rPr>
          <w:rFonts w:ascii="Arial" w:hAnsi="Arial" w:cs="Arial"/>
          <w:color w:val="000000"/>
          <w:sz w:val="20"/>
          <w:szCs w:val="20"/>
        </w:rPr>
        <w:t>informe</w:t>
      </w:r>
      <w:r w:rsidRPr="00707E7D">
        <w:rPr>
          <w:rFonts w:ascii="Arial" w:hAnsi="Arial" w:cs="Arial"/>
          <w:color w:val="000000"/>
          <w:sz w:val="20"/>
          <w:szCs w:val="20"/>
        </w:rPr>
        <w:t>, formulo la siguiente declaración:</w:t>
      </w:r>
    </w:p>
    <w:p w:rsidR="00556DFF" w:rsidRPr="00707E7D" w:rsidRDefault="00556DFF" w:rsidP="00BC3E8E">
      <w:pPr>
        <w:autoSpaceDE w:val="0"/>
        <w:autoSpaceDN w:val="0"/>
        <w:adjustRightInd w:val="0"/>
        <w:spacing w:after="40" w:line="240" w:lineRule="atLeast"/>
        <w:rPr>
          <w:rFonts w:ascii="Arial" w:hAnsi="Arial" w:cs="Arial"/>
          <w:color w:val="000000"/>
          <w:sz w:val="20"/>
          <w:szCs w:val="20"/>
        </w:rPr>
      </w:pPr>
    </w:p>
    <w:p w:rsidR="00556DFF" w:rsidRPr="00707E7D" w:rsidRDefault="00556DFF" w:rsidP="00BC3E8E">
      <w:pPr>
        <w:autoSpaceDE w:val="0"/>
        <w:autoSpaceDN w:val="0"/>
        <w:adjustRightInd w:val="0"/>
        <w:spacing w:line="240" w:lineRule="atLeast"/>
        <w:rPr>
          <w:rFonts w:ascii="Arial" w:hAnsi="Arial" w:cs="Arial"/>
          <w:b/>
          <w:color w:val="000000"/>
          <w:sz w:val="20"/>
          <w:szCs w:val="20"/>
        </w:rPr>
      </w:pPr>
      <w:r w:rsidRPr="00707E7D">
        <w:rPr>
          <w:rFonts w:ascii="Arial" w:hAnsi="Arial" w:cs="Arial"/>
          <w:b/>
          <w:color w:val="000000"/>
          <w:sz w:val="20"/>
          <w:szCs w:val="20"/>
        </w:rPr>
        <w:t>A- Intereses personales</w:t>
      </w:r>
      <w:r>
        <w:rPr>
          <w:rFonts w:ascii="Arial" w:hAnsi="Arial" w:cs="Arial"/>
          <w:b/>
          <w:color w:val="000000"/>
          <w:sz w:val="20"/>
          <w:szCs w:val="20"/>
        </w:rPr>
        <w:t xml:space="preserve"> </w:t>
      </w:r>
      <w:r>
        <w:rPr>
          <w:rStyle w:val="A6"/>
          <w:rFonts w:ascii="Arial" w:hAnsi="Arial" w:cs="Arial"/>
          <w:b/>
          <w:sz w:val="20"/>
          <w:szCs w:val="20"/>
        </w:rPr>
        <w:t>(</w:t>
      </w:r>
      <w:r w:rsidRPr="00707E7D">
        <w:rPr>
          <w:rFonts w:ascii="Arial" w:hAnsi="Arial" w:cs="Arial"/>
          <w:color w:val="000000"/>
          <w:sz w:val="20"/>
          <w:szCs w:val="20"/>
        </w:rPr>
        <w:t>En caso afirmativo especificar</w:t>
      </w:r>
      <w:r>
        <w:rPr>
          <w:rStyle w:val="A6"/>
          <w:rFonts w:ascii="Arial" w:hAnsi="Arial" w:cs="Arial"/>
          <w:b/>
          <w:sz w:val="20"/>
          <w:szCs w:val="20"/>
        </w:rPr>
        <w:t xml:space="preserve">): </w:t>
      </w:r>
      <w:r>
        <w:rPr>
          <w:rStyle w:val="A6"/>
          <w:rFonts w:ascii="Arial" w:hAnsi="Arial" w:cs="Arial"/>
          <w:b/>
          <w:sz w:val="20"/>
          <w:szCs w:val="20"/>
        </w:rPr>
        <w:tab/>
      </w:r>
      <w:r w:rsidRPr="00707E7D">
        <w:rPr>
          <w:rStyle w:val="A6"/>
          <w:rFonts w:ascii="Arial" w:hAnsi="Arial" w:cs="Arial"/>
          <w:b/>
          <w:sz w:val="20"/>
          <w:szCs w:val="20"/>
        </w:rPr>
        <w:t xml:space="preserve">NO </w:t>
      </w:r>
    </w:p>
    <w:p w:rsidR="00556DFF" w:rsidRPr="00707E7D" w:rsidRDefault="00556DFF" w:rsidP="00BC3E8E">
      <w:pPr>
        <w:autoSpaceDE w:val="0"/>
        <w:autoSpaceDN w:val="0"/>
        <w:adjustRightInd w:val="0"/>
        <w:spacing w:line="240" w:lineRule="atLeas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276"/>
        <w:gridCol w:w="1275"/>
        <w:gridCol w:w="457"/>
        <w:gridCol w:w="376"/>
      </w:tblGrid>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Actividad</w:t>
            </w: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Institución</w:t>
            </w: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Fecha</w:t>
            </w: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para reuniones y congresos, asistencia a cursos (inscripciones, bolsas de viajes, alojamiento…)</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Honorarios como ponente (conferencias, cursos…)</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de programas educativos o cursos (contratación de personal, alquiler de instalaciones…)</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por participar en una investigación</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Consultoría para una compañía farmacéutica/otras tecnologías</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Accionista o con intereses comerciales en una compañía</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Intereses económicos en una empresa privada relacionada con la salud (propietario, empleado, accionista, consulta privada…), que puede ser significativo en relación a la autoría del informe</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Conflictos de intereses de índole no económico que pueden ser significativos en relación a la autoría en la guía</w:t>
            </w:r>
          </w:p>
        </w:tc>
        <w:tc>
          <w:tcPr>
            <w:tcW w:w="1276"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gridSpan w:val="2"/>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6F4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76" w:type="dxa"/>
          <w:trHeight w:val="226"/>
        </w:trPr>
        <w:tc>
          <w:tcPr>
            <w:tcW w:w="8503" w:type="dxa"/>
            <w:gridSpan w:val="4"/>
          </w:tcPr>
          <w:p w:rsidR="00556DFF" w:rsidRPr="006F4C4F" w:rsidRDefault="00556DFF" w:rsidP="00BC3E8E">
            <w:pPr>
              <w:autoSpaceDE w:val="0"/>
              <w:autoSpaceDN w:val="0"/>
              <w:adjustRightInd w:val="0"/>
              <w:spacing w:line="240" w:lineRule="atLeast"/>
              <w:jc w:val="both"/>
              <w:rPr>
                <w:rFonts w:ascii="Arial" w:hAnsi="Arial" w:cs="Arial"/>
                <w:color w:val="FF0000"/>
                <w:sz w:val="18"/>
                <w:szCs w:val="18"/>
              </w:rPr>
            </w:pPr>
          </w:p>
        </w:tc>
      </w:tr>
    </w:tbl>
    <w:p w:rsidR="00556DFF" w:rsidRDefault="00556DFF" w:rsidP="00BC3E8E">
      <w:pPr>
        <w:autoSpaceDE w:val="0"/>
        <w:autoSpaceDN w:val="0"/>
        <w:adjustRightInd w:val="0"/>
        <w:spacing w:line="240" w:lineRule="atLeast"/>
        <w:rPr>
          <w:rStyle w:val="A6"/>
          <w:rFonts w:ascii="Arial" w:hAnsi="Arial" w:cs="Arial"/>
          <w:b/>
          <w:sz w:val="20"/>
          <w:szCs w:val="20"/>
        </w:rPr>
      </w:pPr>
      <w:r w:rsidRPr="00707E7D">
        <w:rPr>
          <w:rStyle w:val="A6"/>
          <w:rFonts w:ascii="Arial" w:hAnsi="Arial" w:cs="Arial"/>
          <w:b/>
          <w:sz w:val="20"/>
          <w:szCs w:val="20"/>
        </w:rPr>
        <w:t>B- Intereses no personales</w:t>
      </w:r>
      <w:r>
        <w:rPr>
          <w:rStyle w:val="A6"/>
          <w:rFonts w:ascii="Arial" w:hAnsi="Arial" w:cs="Arial"/>
          <w:b/>
          <w:sz w:val="20"/>
          <w:szCs w:val="20"/>
        </w:rPr>
        <w:t xml:space="preserve"> (</w:t>
      </w:r>
      <w:r w:rsidRPr="00707E7D">
        <w:rPr>
          <w:rFonts w:ascii="Arial" w:hAnsi="Arial" w:cs="Arial"/>
          <w:color w:val="000000"/>
          <w:sz w:val="20"/>
          <w:szCs w:val="20"/>
        </w:rPr>
        <w:t>En caso afirmativo especificar</w:t>
      </w:r>
      <w:r>
        <w:rPr>
          <w:rStyle w:val="A6"/>
          <w:rFonts w:ascii="Arial" w:hAnsi="Arial" w:cs="Arial"/>
          <w:b/>
          <w:sz w:val="20"/>
          <w:szCs w:val="20"/>
        </w:rPr>
        <w:t xml:space="preserve">): </w:t>
      </w:r>
      <w:r>
        <w:rPr>
          <w:rStyle w:val="A6"/>
          <w:rFonts w:ascii="Arial" w:hAnsi="Arial" w:cs="Arial"/>
          <w:b/>
          <w:sz w:val="20"/>
          <w:szCs w:val="20"/>
        </w:rPr>
        <w:tab/>
      </w:r>
      <w:r w:rsidRPr="00707E7D">
        <w:rPr>
          <w:rStyle w:val="A6"/>
          <w:rFonts w:ascii="Arial" w:hAnsi="Arial" w:cs="Arial"/>
          <w:b/>
          <w:sz w:val="20"/>
          <w:szCs w:val="20"/>
        </w:rPr>
        <w:t>NO</w:t>
      </w:r>
    </w:p>
    <w:p w:rsidR="00556DFF" w:rsidRPr="00707E7D" w:rsidRDefault="00556DFF" w:rsidP="00BC3E8E">
      <w:pPr>
        <w:autoSpaceDE w:val="0"/>
        <w:autoSpaceDN w:val="0"/>
        <w:adjustRightInd w:val="0"/>
        <w:spacing w:line="240" w:lineRule="atLeast"/>
        <w:rPr>
          <w:rFonts w:ascii="Arial" w:hAnsi="Arial" w:cs="Arial"/>
          <w:b/>
          <w:color w:val="000000"/>
          <w:sz w:val="20"/>
          <w:szCs w:val="20"/>
        </w:rPr>
      </w:pPr>
      <w:r w:rsidRPr="00707E7D">
        <w:rPr>
          <w:rStyle w:val="A6"/>
          <w:rFonts w:ascii="Arial" w:hAnsi="Arial" w:cs="Arial"/>
          <w:b/>
          <w:sz w:val="20"/>
          <w:szCs w:val="20"/>
        </w:rPr>
        <w:t xml:space="preserve"> </w:t>
      </w:r>
    </w:p>
    <w:tbl>
      <w:tblPr>
        <w:tblW w:w="9039" w:type="dxa"/>
        <w:tblLayout w:type="fixed"/>
        <w:tblLook w:val="0000"/>
      </w:tblPr>
      <w:tblGrid>
        <w:gridCol w:w="9039"/>
      </w:tblGrid>
      <w:tr w:rsidR="00556DFF" w:rsidRPr="00707E7D">
        <w:trPr>
          <w:trHeight w:val="226"/>
        </w:trPr>
        <w:tc>
          <w:tcPr>
            <w:tcW w:w="9039" w:type="dxa"/>
          </w:tcPr>
          <w:p w:rsidR="00556DFF" w:rsidRPr="00707E7D" w:rsidRDefault="00556DFF" w:rsidP="00BC3E8E">
            <w:pPr>
              <w:pStyle w:val="Pa1"/>
              <w:rPr>
                <w:rStyle w:val="A6"/>
                <w:rFonts w:ascii="Arial" w:hAnsi="Arial" w:cs="Arial"/>
                <w:sz w:val="20"/>
                <w:szCs w:val="20"/>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1276"/>
              <w:gridCol w:w="1275"/>
              <w:gridCol w:w="833"/>
            </w:tblGrid>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Actividad</w:t>
                  </w: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Institución</w:t>
                  </w: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Fecha</w:t>
                  </w:r>
                </w:p>
              </w:tc>
            </w:tr>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szCs w:val="18"/>
                    </w:rPr>
                    <w:t>Financiación o ayudas económicas para la creación de la unidad o servicio</w:t>
                  </w: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szCs w:val="18"/>
                    </w:rPr>
                    <w:t>Dotación significativa de material a la unidad o servicio</w:t>
                  </w: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szCs w:val="18"/>
                    </w:rPr>
                    <w:t>Contratación o ayudas económicas para contratar personal en la unidad o servicio</w:t>
                  </w: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szCs w:val="18"/>
                    </w:rPr>
                    <w:t>Ayuda económica para la financiación de una investigación</w:t>
                  </w: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r w:rsidR="00556DFF" w:rsidRPr="003D6FCD">
              <w:tc>
                <w:tcPr>
                  <w:tcW w:w="549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szCs w:val="18"/>
                    </w:rPr>
                    <w:t>Financiación de programas educativos o cursos para la unidad</w:t>
                  </w:r>
                </w:p>
              </w:tc>
              <w:tc>
                <w:tcPr>
                  <w:tcW w:w="1276"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556DFF" w:rsidRPr="003D6FCD" w:rsidRDefault="00556DFF" w:rsidP="00BC3E8E">
                  <w:pPr>
                    <w:autoSpaceDE w:val="0"/>
                    <w:autoSpaceDN w:val="0"/>
                    <w:adjustRightInd w:val="0"/>
                    <w:spacing w:line="240" w:lineRule="atLeast"/>
                    <w:rPr>
                      <w:rFonts w:ascii="Arial" w:hAnsi="Arial" w:cs="Arial"/>
                      <w:color w:val="000000"/>
                      <w:sz w:val="18"/>
                      <w:szCs w:val="18"/>
                    </w:rPr>
                  </w:pPr>
                </w:p>
              </w:tc>
            </w:tr>
          </w:tbl>
          <w:p w:rsidR="00556DFF" w:rsidRPr="00707E7D" w:rsidRDefault="00556DFF" w:rsidP="00BC3E8E">
            <w:pPr>
              <w:pStyle w:val="Pa1"/>
              <w:rPr>
                <w:rFonts w:ascii="Arial" w:hAnsi="Arial" w:cs="Arial"/>
                <w:color w:val="000000"/>
                <w:sz w:val="20"/>
                <w:szCs w:val="20"/>
              </w:rPr>
            </w:pPr>
          </w:p>
        </w:tc>
      </w:tr>
    </w:tbl>
    <w:p w:rsidR="00556DFF" w:rsidRDefault="00556DFF" w:rsidP="00BC3E8E">
      <w:pPr>
        <w:rPr>
          <w:rFonts w:ascii="Arial" w:hAnsi="Arial" w:cs="Arial"/>
          <w:b/>
          <w:color w:val="000000"/>
          <w:sz w:val="20"/>
          <w:szCs w:val="20"/>
        </w:rPr>
      </w:pPr>
    </w:p>
    <w:p w:rsidR="00556DFF" w:rsidRDefault="00556DFF" w:rsidP="00BC3E8E">
      <w:pPr>
        <w:rPr>
          <w:rFonts w:ascii="Arial" w:hAnsi="Arial" w:cs="Arial"/>
          <w:b/>
          <w:sz w:val="20"/>
          <w:szCs w:val="20"/>
        </w:rPr>
      </w:pPr>
      <w:r w:rsidRPr="00707E7D">
        <w:rPr>
          <w:rFonts w:ascii="Arial" w:hAnsi="Arial" w:cs="Arial"/>
          <w:b/>
          <w:color w:val="000000"/>
          <w:sz w:val="20"/>
          <w:szCs w:val="20"/>
        </w:rPr>
        <w:t>C-Otros posibles conflictos de intereses no señalados en apartados anteriores (especificar)</w:t>
      </w:r>
      <w:r w:rsidRPr="00707E7D">
        <w:rPr>
          <w:rFonts w:ascii="Arial" w:hAnsi="Arial" w:cs="Arial"/>
          <w:b/>
          <w:sz w:val="20"/>
          <w:szCs w:val="20"/>
        </w:rPr>
        <w:t xml:space="preserve"> </w:t>
      </w:r>
    </w:p>
    <w:p w:rsidR="00556DFF" w:rsidRDefault="00556DFF" w:rsidP="00BC3E8E">
      <w:pPr>
        <w:rPr>
          <w:rFonts w:ascii="Arial" w:hAnsi="Arial" w:cs="Arial"/>
          <w:b/>
          <w:sz w:val="20"/>
          <w:szCs w:val="20"/>
        </w:rPr>
      </w:pPr>
    </w:p>
    <w:p w:rsidR="00556DFF" w:rsidRDefault="00556DFF" w:rsidP="00BC3E8E">
      <w:pPr>
        <w:rPr>
          <w:rFonts w:ascii="Arial" w:hAnsi="Arial" w:cs="Arial"/>
          <w:b/>
          <w:sz w:val="20"/>
          <w:szCs w:val="20"/>
        </w:rPr>
      </w:pPr>
    </w:p>
    <w:p w:rsidR="00556DFF" w:rsidRDefault="00556DFF" w:rsidP="00BC3E8E">
      <w:pPr>
        <w:rPr>
          <w:rFonts w:ascii="Arial" w:hAnsi="Arial" w:cs="Arial"/>
          <w:b/>
          <w:sz w:val="20"/>
          <w:szCs w:val="20"/>
        </w:rPr>
      </w:pPr>
    </w:p>
    <w:p w:rsidR="00556DFF" w:rsidRDefault="00556DFF" w:rsidP="00BC3E8E">
      <w:pPr>
        <w:rPr>
          <w:rFonts w:ascii="Arial" w:hAnsi="Arial" w:cs="Arial"/>
          <w:b/>
          <w:sz w:val="20"/>
          <w:szCs w:val="20"/>
        </w:rPr>
      </w:pPr>
    </w:p>
    <w:p w:rsidR="00556DFF" w:rsidRPr="0082659E" w:rsidRDefault="00556DFF" w:rsidP="0082659E">
      <w:pPr>
        <w:snapToGrid w:val="0"/>
        <w:rPr>
          <w:rFonts w:ascii="Arial" w:hAnsi="Arial" w:cs="Arial"/>
          <w:bCs/>
          <w:color w:val="000080"/>
          <w:sz w:val="20"/>
          <w:szCs w:val="20"/>
          <w:lang w:eastAsia="en-US"/>
        </w:rPr>
      </w:pPr>
      <w:r>
        <w:rPr>
          <w:rFonts w:ascii="Arial" w:hAnsi="Arial" w:cs="Arial"/>
          <w:b/>
          <w:sz w:val="20"/>
          <w:szCs w:val="20"/>
        </w:rPr>
        <w:t>FECHA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FIRMA</w:t>
      </w:r>
    </w:p>
    <w:sectPr w:rsidR="00556DFF" w:rsidRPr="0082659E" w:rsidSect="00FB3B9C">
      <w:headerReference w:type="default" r:id="rId19"/>
      <w:footerReference w:type="default" r:id="rId20"/>
      <w:pgSz w:w="11906" w:h="16838"/>
      <w:pgMar w:top="1417" w:right="1466"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82" w:rsidRDefault="000F5782">
      <w:r>
        <w:separator/>
      </w:r>
    </w:p>
  </w:endnote>
  <w:endnote w:type="continuationSeparator" w:id="0">
    <w:p w:rsidR="000F5782" w:rsidRDefault="000F5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YYKLI+TimesTen-Roman">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BIQZG+HelveticaNeue-Light">
    <w:altName w:val="Helvetica Neue"/>
    <w:charset w:val="00"/>
    <w:family w:val="swiss"/>
    <w:pitch w:val="default"/>
    <w:sig w:usb0="00000003" w:usb1="00000000" w:usb2="00000000" w:usb3="00000000" w:csb0="00000001" w:csb1="00000000"/>
  </w:font>
  <w:font w:name="GNQAFU+HelveticaNeue-Black">
    <w:altName w:val="Calibri"/>
    <w:charset w:val="00"/>
    <w:family w:val="swiss"/>
    <w:pitch w:val="default"/>
    <w:sig w:usb0="00000003" w:usb1="00000000" w:usb2="00000000" w:usb3="00000000" w:csb0="00000001" w:csb1="00000000"/>
  </w:font>
  <w:font w:name="DZMIPA+HelveticaNeue-Medium">
    <w:altName w:val="Helvetica Neue"/>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FF" w:rsidRPr="00EE44B8" w:rsidRDefault="00C471CC">
    <w:pPr>
      <w:pStyle w:val="Piedepgina"/>
      <w:framePr w:w="700" w:h="548" w:hRule="exact" w:wrap="auto" w:vAnchor="text" w:hAnchor="page" w:x="5662" w:y="-89"/>
      <w:rPr>
        <w:rStyle w:val="Nmerodepgina"/>
      </w:rPr>
    </w:pPr>
    <w:r w:rsidRPr="00EE44B8">
      <w:rPr>
        <w:rStyle w:val="Nmerodepgina"/>
      </w:rPr>
      <w:fldChar w:fldCharType="begin"/>
    </w:r>
    <w:r w:rsidR="00556DFF" w:rsidRPr="00EE44B8">
      <w:rPr>
        <w:rStyle w:val="Nmerodepgina"/>
      </w:rPr>
      <w:instrText xml:space="preserve">PAGE  </w:instrText>
    </w:r>
    <w:r w:rsidRPr="00EE44B8">
      <w:rPr>
        <w:rStyle w:val="Nmerodepgina"/>
      </w:rPr>
      <w:fldChar w:fldCharType="separate"/>
    </w:r>
    <w:r w:rsidR="00DF3F54">
      <w:rPr>
        <w:rStyle w:val="Nmerodepgina"/>
        <w:noProof/>
      </w:rPr>
      <w:t>1</w:t>
    </w:r>
    <w:r w:rsidRPr="00EE44B8">
      <w:rPr>
        <w:rStyle w:val="Nmerodepgina"/>
      </w:rPr>
      <w:fldChar w:fldCharType="end"/>
    </w:r>
  </w:p>
  <w:p w:rsidR="00556DFF" w:rsidRDefault="00556D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82" w:rsidRDefault="000F5782">
      <w:r>
        <w:separator/>
      </w:r>
    </w:p>
  </w:footnote>
  <w:footnote w:type="continuationSeparator" w:id="0">
    <w:p w:rsidR="000F5782" w:rsidRDefault="000F5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420" w:type="dxa"/>
      <w:tblBorders>
        <w:top w:val="single" w:sz="4" w:space="0" w:color="000000"/>
        <w:left w:val="single" w:sz="4" w:space="0" w:color="000000"/>
        <w:bottom w:val="single" w:sz="4" w:space="0" w:color="auto"/>
        <w:right w:val="single" w:sz="4" w:space="0" w:color="000000"/>
        <w:insideV w:val="single" w:sz="4" w:space="0" w:color="000000"/>
      </w:tblBorders>
      <w:tblLayout w:type="fixed"/>
      <w:tblCellMar>
        <w:left w:w="70" w:type="dxa"/>
        <w:right w:w="70" w:type="dxa"/>
      </w:tblCellMar>
      <w:tblLook w:val="0000"/>
    </w:tblPr>
    <w:tblGrid>
      <w:gridCol w:w="6480"/>
      <w:gridCol w:w="2880"/>
    </w:tblGrid>
    <w:tr w:rsidR="00556DFF" w:rsidRPr="00E53C58">
      <w:trPr>
        <w:cantSplit/>
        <w:trHeight w:val="240"/>
      </w:trPr>
      <w:tc>
        <w:tcPr>
          <w:tcW w:w="6480" w:type="dxa"/>
          <w:vMerge w:val="restart"/>
          <w:tcBorders>
            <w:top w:val="single" w:sz="4" w:space="0" w:color="000000"/>
          </w:tcBorders>
          <w:vAlign w:val="center"/>
        </w:tcPr>
        <w:p w:rsidR="00556DFF" w:rsidRPr="00506DFA" w:rsidRDefault="00556DFF" w:rsidP="00877A56">
          <w:pPr>
            <w:pStyle w:val="Encabezado"/>
            <w:rPr>
              <w:rFonts w:ascii="Verdana" w:hAnsi="Verdana"/>
              <w:b/>
              <w:i/>
              <w:color w:val="808080"/>
              <w:sz w:val="14"/>
            </w:rPr>
          </w:pPr>
          <w:bookmarkStart w:id="166" w:name="_Hlk486364609"/>
          <w:r w:rsidRPr="00506DFA">
            <w:rPr>
              <w:rFonts w:ascii="Verdana" w:hAnsi="Verdana"/>
              <w:b/>
              <w:i/>
              <w:color w:val="808080"/>
              <w:sz w:val="14"/>
            </w:rPr>
            <w:t>Guía Farmacoterapéutica de Hospitales de Andalucía</w:t>
          </w:r>
        </w:p>
        <w:p w:rsidR="00556DFF" w:rsidRPr="00506DFA" w:rsidRDefault="00556DFF" w:rsidP="00877A56">
          <w:pPr>
            <w:pStyle w:val="Encabezado"/>
            <w:rPr>
              <w:rFonts w:ascii="Verdana" w:hAnsi="Verdana"/>
              <w:b/>
              <w:i/>
              <w:color w:val="808080"/>
              <w:sz w:val="14"/>
            </w:rPr>
          </w:pPr>
          <w:r w:rsidRPr="00506DFA">
            <w:rPr>
              <w:rFonts w:ascii="Verdana" w:hAnsi="Verdana"/>
              <w:b/>
              <w:i/>
              <w:color w:val="808080"/>
              <w:sz w:val="14"/>
            </w:rPr>
            <w:t xml:space="preserve">Grupo Hospitalario de Evaluación de Medicamentos de Andalucía (GHEMA-SAFH)   </w:t>
          </w:r>
        </w:p>
        <w:p w:rsidR="00556DFF" w:rsidRPr="00506DFA" w:rsidRDefault="00556DFF" w:rsidP="00877A56">
          <w:pPr>
            <w:pStyle w:val="Encabezado"/>
            <w:rPr>
              <w:rFonts w:ascii="Verdana" w:hAnsi="Verdana"/>
              <w:b/>
              <w:i/>
              <w:color w:val="7B7B7B"/>
              <w:sz w:val="14"/>
            </w:rPr>
          </w:pPr>
          <w:r w:rsidRPr="00506DFA">
            <w:rPr>
              <w:rFonts w:ascii="Verdana" w:hAnsi="Verdana"/>
              <w:b/>
              <w:i/>
              <w:color w:val="808080"/>
              <w:sz w:val="14"/>
            </w:rPr>
            <w:t>Modelo de informe base: MADRE 4.0 (GENESIS)</w:t>
          </w:r>
          <w:r w:rsidRPr="00506DFA">
            <w:rPr>
              <w:rFonts w:ascii="Verdana" w:hAnsi="Verdana"/>
              <w:b/>
              <w:i/>
              <w:color w:val="7B7B7B"/>
              <w:sz w:val="12"/>
            </w:rPr>
            <w:t xml:space="preserve">  </w:t>
          </w:r>
        </w:p>
      </w:tc>
      <w:tc>
        <w:tcPr>
          <w:tcW w:w="2880" w:type="dxa"/>
          <w:tcBorders>
            <w:top w:val="single" w:sz="4" w:space="0" w:color="000000"/>
          </w:tcBorders>
          <w:vAlign w:val="center"/>
        </w:tcPr>
        <w:p w:rsidR="00556DFF" w:rsidRPr="00506DFA" w:rsidRDefault="00556DFF" w:rsidP="00877A56">
          <w:pPr>
            <w:pStyle w:val="Encabezado"/>
            <w:jc w:val="right"/>
            <w:rPr>
              <w:rFonts w:ascii="Verdana" w:hAnsi="Verdana"/>
              <w:b/>
              <w:i/>
              <w:color w:val="808080"/>
              <w:sz w:val="14"/>
            </w:rPr>
          </w:pPr>
          <w:r w:rsidRPr="00506DFA">
            <w:rPr>
              <w:rFonts w:ascii="Verdana" w:hAnsi="Verdana"/>
              <w:b/>
              <w:i/>
              <w:color w:val="808080"/>
              <w:sz w:val="14"/>
            </w:rPr>
            <w:t>ECULIZUMAB</w:t>
          </w:r>
        </w:p>
      </w:tc>
    </w:tr>
    <w:tr w:rsidR="00556DFF" w:rsidRPr="00E53C58">
      <w:trPr>
        <w:cantSplit/>
        <w:trHeight w:val="502"/>
      </w:trPr>
      <w:tc>
        <w:tcPr>
          <w:tcW w:w="6480" w:type="dxa"/>
          <w:vMerge/>
          <w:tcBorders>
            <w:bottom w:val="single" w:sz="4" w:space="0" w:color="auto"/>
          </w:tcBorders>
          <w:vAlign w:val="center"/>
        </w:tcPr>
        <w:p w:rsidR="00556DFF" w:rsidRPr="00506DFA" w:rsidRDefault="00556DFF" w:rsidP="00877A56">
          <w:pPr>
            <w:pStyle w:val="Encabezado"/>
            <w:snapToGrid w:val="0"/>
            <w:spacing w:line="360" w:lineRule="auto"/>
            <w:rPr>
              <w:rFonts w:ascii="Verdana" w:hAnsi="Verdana" w:cs="Arial"/>
              <w:color w:val="7B7B7B"/>
              <w:sz w:val="14"/>
            </w:rPr>
          </w:pPr>
        </w:p>
      </w:tc>
      <w:tc>
        <w:tcPr>
          <w:tcW w:w="2880" w:type="dxa"/>
          <w:tcBorders>
            <w:bottom w:val="single" w:sz="4" w:space="0" w:color="auto"/>
          </w:tcBorders>
          <w:vAlign w:val="center"/>
        </w:tcPr>
        <w:p w:rsidR="00556DFF" w:rsidRPr="00506DFA" w:rsidRDefault="00556DFF" w:rsidP="009760A5">
          <w:pPr>
            <w:pStyle w:val="Encabezado"/>
            <w:jc w:val="right"/>
            <w:rPr>
              <w:rFonts w:ascii="Verdana" w:hAnsi="Verdana"/>
              <w:b/>
              <w:i/>
              <w:color w:val="808080"/>
              <w:sz w:val="14"/>
            </w:rPr>
          </w:pPr>
          <w:r w:rsidRPr="00506DFA">
            <w:rPr>
              <w:rFonts w:ascii="Verdana" w:hAnsi="Verdana"/>
              <w:b/>
              <w:i/>
              <w:color w:val="808080"/>
              <w:sz w:val="14"/>
            </w:rPr>
            <w:t xml:space="preserve">Miastenia </w:t>
          </w:r>
          <w:proofErr w:type="spellStart"/>
          <w:r w:rsidRPr="00506DFA">
            <w:rPr>
              <w:rFonts w:ascii="Verdana" w:hAnsi="Verdana"/>
              <w:b/>
              <w:i/>
              <w:color w:val="808080"/>
              <w:sz w:val="14"/>
            </w:rPr>
            <w:t>Gravis</w:t>
          </w:r>
          <w:proofErr w:type="spellEnd"/>
          <w:r w:rsidRPr="00506DFA">
            <w:rPr>
              <w:rFonts w:ascii="Verdana" w:hAnsi="Verdana"/>
              <w:b/>
              <w:i/>
              <w:color w:val="808080"/>
              <w:sz w:val="14"/>
            </w:rPr>
            <w:t xml:space="preserve"> refractaria y generalizada con anticuerpos</w:t>
          </w:r>
        </w:p>
        <w:p w:rsidR="00556DFF" w:rsidRPr="00506DFA" w:rsidRDefault="00556DFF" w:rsidP="009760A5">
          <w:pPr>
            <w:pStyle w:val="Encabezado"/>
            <w:jc w:val="right"/>
            <w:rPr>
              <w:rFonts w:ascii="Verdana" w:hAnsi="Verdana"/>
              <w:b/>
              <w:i/>
              <w:color w:val="808080"/>
              <w:sz w:val="14"/>
            </w:rPr>
          </w:pPr>
          <w:r w:rsidRPr="00506DFA">
            <w:rPr>
              <w:rFonts w:ascii="Verdana" w:hAnsi="Verdana"/>
              <w:b/>
              <w:i/>
              <w:color w:val="808080"/>
              <w:sz w:val="14"/>
            </w:rPr>
            <w:t>anti-</w:t>
          </w:r>
          <w:proofErr w:type="spellStart"/>
          <w:r w:rsidRPr="00506DFA">
            <w:rPr>
              <w:rFonts w:ascii="Verdana" w:hAnsi="Verdana"/>
              <w:b/>
              <w:i/>
              <w:color w:val="808080"/>
              <w:sz w:val="14"/>
            </w:rPr>
            <w:t>AchR</w:t>
          </w:r>
          <w:proofErr w:type="spellEnd"/>
          <w:r w:rsidRPr="00506DFA">
            <w:rPr>
              <w:rFonts w:ascii="Verdana" w:hAnsi="Verdana"/>
              <w:b/>
              <w:i/>
              <w:color w:val="808080"/>
              <w:sz w:val="14"/>
            </w:rPr>
            <w:t>.</w:t>
          </w:r>
        </w:p>
      </w:tc>
    </w:tr>
    <w:bookmarkEnd w:id="166"/>
  </w:tbl>
  <w:p w:rsidR="00556DFF" w:rsidRPr="00CA38BF" w:rsidRDefault="00556DFF">
    <w:pPr>
      <w:pStyle w:val="Encabezado"/>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rPr>
    </w:lvl>
  </w:abstractNum>
  <w:abstractNum w:abstractNumId="1">
    <w:nsid w:val="012941CB"/>
    <w:multiLevelType w:val="multilevel"/>
    <w:tmpl w:val="8C7A93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4035958"/>
    <w:multiLevelType w:val="multilevel"/>
    <w:tmpl w:val="80A23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2739DC"/>
    <w:multiLevelType w:val="hybridMultilevel"/>
    <w:tmpl w:val="5BEA83E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87E54CE"/>
    <w:multiLevelType w:val="hybridMultilevel"/>
    <w:tmpl w:val="1A28DAAE"/>
    <w:lvl w:ilvl="0" w:tplc="9AFE74F4">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282005F6"/>
    <w:multiLevelType w:val="hybridMultilevel"/>
    <w:tmpl w:val="C0D8C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B11F75"/>
    <w:multiLevelType w:val="hybridMultilevel"/>
    <w:tmpl w:val="06EE3346"/>
    <w:lvl w:ilvl="0" w:tplc="93D4AEEC">
      <w:start w:val="1"/>
      <w:numFmt w:val="lowerLetter"/>
      <w:lvlText w:val="%1."/>
      <w:lvlJc w:val="left"/>
      <w:pPr>
        <w:ind w:left="540" w:hanging="360"/>
      </w:pPr>
      <w:rPr>
        <w:rFonts w:cs="Times New Roman" w:hint="default"/>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7">
    <w:nsid w:val="40CD3E2C"/>
    <w:multiLevelType w:val="hybridMultilevel"/>
    <w:tmpl w:val="9BEC4312"/>
    <w:lvl w:ilvl="0" w:tplc="6C14C1B4">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6765B2"/>
    <w:multiLevelType w:val="multilevel"/>
    <w:tmpl w:val="80A23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oNotTrackMoves/>
  <w:defaultTabStop w:val="708"/>
  <w:hyphenationZone w:val="425"/>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1CE"/>
    <w:rsid w:val="0000226C"/>
    <w:rsid w:val="000105AD"/>
    <w:rsid w:val="00011677"/>
    <w:rsid w:val="00015E1C"/>
    <w:rsid w:val="000164CD"/>
    <w:rsid w:val="000171A9"/>
    <w:rsid w:val="000326C4"/>
    <w:rsid w:val="00034D6E"/>
    <w:rsid w:val="00036479"/>
    <w:rsid w:val="0004341F"/>
    <w:rsid w:val="00043852"/>
    <w:rsid w:val="000447FB"/>
    <w:rsid w:val="00045240"/>
    <w:rsid w:val="000504B0"/>
    <w:rsid w:val="000538C6"/>
    <w:rsid w:val="0005515C"/>
    <w:rsid w:val="00055DAD"/>
    <w:rsid w:val="0006095E"/>
    <w:rsid w:val="00064990"/>
    <w:rsid w:val="000675D5"/>
    <w:rsid w:val="00071F94"/>
    <w:rsid w:val="000731C6"/>
    <w:rsid w:val="00074654"/>
    <w:rsid w:val="00081E1F"/>
    <w:rsid w:val="00083EA9"/>
    <w:rsid w:val="000929E9"/>
    <w:rsid w:val="00095A95"/>
    <w:rsid w:val="000A513E"/>
    <w:rsid w:val="000B4921"/>
    <w:rsid w:val="000C1BEF"/>
    <w:rsid w:val="000C59F7"/>
    <w:rsid w:val="000D41BA"/>
    <w:rsid w:val="000E202B"/>
    <w:rsid w:val="000E5CC9"/>
    <w:rsid w:val="000F0B88"/>
    <w:rsid w:val="000F0CEA"/>
    <w:rsid w:val="000F113B"/>
    <w:rsid w:val="000F3529"/>
    <w:rsid w:val="000F3779"/>
    <w:rsid w:val="000F5782"/>
    <w:rsid w:val="000F72E1"/>
    <w:rsid w:val="001000AF"/>
    <w:rsid w:val="00100874"/>
    <w:rsid w:val="001015E6"/>
    <w:rsid w:val="00103D28"/>
    <w:rsid w:val="00114C50"/>
    <w:rsid w:val="00115E3B"/>
    <w:rsid w:val="0012064F"/>
    <w:rsid w:val="00122A04"/>
    <w:rsid w:val="0013685B"/>
    <w:rsid w:val="0013713A"/>
    <w:rsid w:val="00137696"/>
    <w:rsid w:val="001406A4"/>
    <w:rsid w:val="00140A0F"/>
    <w:rsid w:val="00146CC8"/>
    <w:rsid w:val="00147C97"/>
    <w:rsid w:val="001603C0"/>
    <w:rsid w:val="00163ED5"/>
    <w:rsid w:val="00171D1D"/>
    <w:rsid w:val="001761B2"/>
    <w:rsid w:val="00180AB7"/>
    <w:rsid w:val="0018106C"/>
    <w:rsid w:val="0018379C"/>
    <w:rsid w:val="00192051"/>
    <w:rsid w:val="0019554B"/>
    <w:rsid w:val="0019708E"/>
    <w:rsid w:val="001A0596"/>
    <w:rsid w:val="001A087F"/>
    <w:rsid w:val="001A1294"/>
    <w:rsid w:val="001A4D92"/>
    <w:rsid w:val="001A58D1"/>
    <w:rsid w:val="001A64E5"/>
    <w:rsid w:val="001B0EA9"/>
    <w:rsid w:val="001B54A8"/>
    <w:rsid w:val="001B589B"/>
    <w:rsid w:val="001B6160"/>
    <w:rsid w:val="001D256D"/>
    <w:rsid w:val="001D5724"/>
    <w:rsid w:val="001D7D82"/>
    <w:rsid w:val="001E0409"/>
    <w:rsid w:val="001E257E"/>
    <w:rsid w:val="001E2B1F"/>
    <w:rsid w:val="001E357D"/>
    <w:rsid w:val="001F4BC9"/>
    <w:rsid w:val="001F5B66"/>
    <w:rsid w:val="002015F6"/>
    <w:rsid w:val="00207A16"/>
    <w:rsid w:val="002136E0"/>
    <w:rsid w:val="00216A11"/>
    <w:rsid w:val="002211E8"/>
    <w:rsid w:val="002248C2"/>
    <w:rsid w:val="002270E6"/>
    <w:rsid w:val="00227803"/>
    <w:rsid w:val="00232F5D"/>
    <w:rsid w:val="00235F69"/>
    <w:rsid w:val="00236F75"/>
    <w:rsid w:val="00237DEA"/>
    <w:rsid w:val="00240C05"/>
    <w:rsid w:val="0024147C"/>
    <w:rsid w:val="00242C7C"/>
    <w:rsid w:val="00250032"/>
    <w:rsid w:val="002501FE"/>
    <w:rsid w:val="0025373A"/>
    <w:rsid w:val="00254274"/>
    <w:rsid w:val="0026117D"/>
    <w:rsid w:val="002666BB"/>
    <w:rsid w:val="00266A59"/>
    <w:rsid w:val="00274A6A"/>
    <w:rsid w:val="0027520B"/>
    <w:rsid w:val="00276944"/>
    <w:rsid w:val="00282C19"/>
    <w:rsid w:val="00285A73"/>
    <w:rsid w:val="00286636"/>
    <w:rsid w:val="00287CD7"/>
    <w:rsid w:val="00290575"/>
    <w:rsid w:val="002951CE"/>
    <w:rsid w:val="00297D79"/>
    <w:rsid w:val="002A26DC"/>
    <w:rsid w:val="002A2797"/>
    <w:rsid w:val="002A3632"/>
    <w:rsid w:val="002A40D0"/>
    <w:rsid w:val="002A424A"/>
    <w:rsid w:val="002B3C75"/>
    <w:rsid w:val="002B6472"/>
    <w:rsid w:val="002C3AC8"/>
    <w:rsid w:val="002D117E"/>
    <w:rsid w:val="002D16DD"/>
    <w:rsid w:val="002D7BD0"/>
    <w:rsid w:val="002E61B9"/>
    <w:rsid w:val="002F0E8F"/>
    <w:rsid w:val="002F19E6"/>
    <w:rsid w:val="002F3307"/>
    <w:rsid w:val="002F461D"/>
    <w:rsid w:val="002F4972"/>
    <w:rsid w:val="002F61A9"/>
    <w:rsid w:val="002F69C2"/>
    <w:rsid w:val="002F6C93"/>
    <w:rsid w:val="002F7515"/>
    <w:rsid w:val="00303AFE"/>
    <w:rsid w:val="00306A2D"/>
    <w:rsid w:val="00306BE7"/>
    <w:rsid w:val="003103E8"/>
    <w:rsid w:val="003132E6"/>
    <w:rsid w:val="003140CE"/>
    <w:rsid w:val="0032019C"/>
    <w:rsid w:val="00322419"/>
    <w:rsid w:val="00323F50"/>
    <w:rsid w:val="0032592E"/>
    <w:rsid w:val="00330EA1"/>
    <w:rsid w:val="00331798"/>
    <w:rsid w:val="0033284C"/>
    <w:rsid w:val="003400D3"/>
    <w:rsid w:val="00343359"/>
    <w:rsid w:val="003441A6"/>
    <w:rsid w:val="003443A6"/>
    <w:rsid w:val="00344D6F"/>
    <w:rsid w:val="003464A3"/>
    <w:rsid w:val="00347743"/>
    <w:rsid w:val="003507BB"/>
    <w:rsid w:val="00351370"/>
    <w:rsid w:val="003550C0"/>
    <w:rsid w:val="003605D6"/>
    <w:rsid w:val="00376DC3"/>
    <w:rsid w:val="00377CD8"/>
    <w:rsid w:val="00380FD0"/>
    <w:rsid w:val="00381451"/>
    <w:rsid w:val="00381D78"/>
    <w:rsid w:val="00383A25"/>
    <w:rsid w:val="00384203"/>
    <w:rsid w:val="003853FF"/>
    <w:rsid w:val="00386497"/>
    <w:rsid w:val="0038734F"/>
    <w:rsid w:val="00391A86"/>
    <w:rsid w:val="00394B3D"/>
    <w:rsid w:val="00397423"/>
    <w:rsid w:val="003A00CB"/>
    <w:rsid w:val="003A4FF7"/>
    <w:rsid w:val="003B138B"/>
    <w:rsid w:val="003B2606"/>
    <w:rsid w:val="003B70FB"/>
    <w:rsid w:val="003C0705"/>
    <w:rsid w:val="003C3F17"/>
    <w:rsid w:val="003C4DB7"/>
    <w:rsid w:val="003D6F6A"/>
    <w:rsid w:val="003D6FCD"/>
    <w:rsid w:val="003E74E4"/>
    <w:rsid w:val="003F1D05"/>
    <w:rsid w:val="003F6473"/>
    <w:rsid w:val="004013D3"/>
    <w:rsid w:val="004124A0"/>
    <w:rsid w:val="00417F5B"/>
    <w:rsid w:val="004230A4"/>
    <w:rsid w:val="00426B77"/>
    <w:rsid w:val="004408D9"/>
    <w:rsid w:val="00445372"/>
    <w:rsid w:val="00445805"/>
    <w:rsid w:val="00450B54"/>
    <w:rsid w:val="00455830"/>
    <w:rsid w:val="00456E6C"/>
    <w:rsid w:val="004620D7"/>
    <w:rsid w:val="004677DB"/>
    <w:rsid w:val="00471438"/>
    <w:rsid w:val="00480AE5"/>
    <w:rsid w:val="00482F27"/>
    <w:rsid w:val="0048500F"/>
    <w:rsid w:val="0048622F"/>
    <w:rsid w:val="004923FC"/>
    <w:rsid w:val="00494B9B"/>
    <w:rsid w:val="00495F7C"/>
    <w:rsid w:val="004A51A0"/>
    <w:rsid w:val="004B1BD3"/>
    <w:rsid w:val="004B3699"/>
    <w:rsid w:val="004B6128"/>
    <w:rsid w:val="004C72D4"/>
    <w:rsid w:val="004D01E0"/>
    <w:rsid w:val="004E1156"/>
    <w:rsid w:val="004F0C28"/>
    <w:rsid w:val="004F3239"/>
    <w:rsid w:val="0050200A"/>
    <w:rsid w:val="00506282"/>
    <w:rsid w:val="00506DFA"/>
    <w:rsid w:val="00512C98"/>
    <w:rsid w:val="00520218"/>
    <w:rsid w:val="00522E61"/>
    <w:rsid w:val="00524D02"/>
    <w:rsid w:val="00533FB2"/>
    <w:rsid w:val="00535287"/>
    <w:rsid w:val="00535B6C"/>
    <w:rsid w:val="00540E4E"/>
    <w:rsid w:val="00550FAA"/>
    <w:rsid w:val="005531A6"/>
    <w:rsid w:val="005532AD"/>
    <w:rsid w:val="00556DFF"/>
    <w:rsid w:val="00566465"/>
    <w:rsid w:val="00571E19"/>
    <w:rsid w:val="005721F8"/>
    <w:rsid w:val="00577E45"/>
    <w:rsid w:val="00581AE4"/>
    <w:rsid w:val="00582609"/>
    <w:rsid w:val="00590BD5"/>
    <w:rsid w:val="005B0DBB"/>
    <w:rsid w:val="005B45B8"/>
    <w:rsid w:val="005B6F77"/>
    <w:rsid w:val="005C44CF"/>
    <w:rsid w:val="005C4831"/>
    <w:rsid w:val="005C6F79"/>
    <w:rsid w:val="005D1809"/>
    <w:rsid w:val="005D67FC"/>
    <w:rsid w:val="005D7469"/>
    <w:rsid w:val="005E10DD"/>
    <w:rsid w:val="005E731E"/>
    <w:rsid w:val="005F08D3"/>
    <w:rsid w:val="005F63C6"/>
    <w:rsid w:val="005F7A0F"/>
    <w:rsid w:val="006039BC"/>
    <w:rsid w:val="00603A28"/>
    <w:rsid w:val="00610A99"/>
    <w:rsid w:val="0061398E"/>
    <w:rsid w:val="006143C3"/>
    <w:rsid w:val="00615D63"/>
    <w:rsid w:val="00616A31"/>
    <w:rsid w:val="00616F7A"/>
    <w:rsid w:val="0061794F"/>
    <w:rsid w:val="00635E77"/>
    <w:rsid w:val="00636029"/>
    <w:rsid w:val="00640B3D"/>
    <w:rsid w:val="006438E2"/>
    <w:rsid w:val="00644031"/>
    <w:rsid w:val="006455E6"/>
    <w:rsid w:val="00652A73"/>
    <w:rsid w:val="00656D2F"/>
    <w:rsid w:val="00657B03"/>
    <w:rsid w:val="00664C79"/>
    <w:rsid w:val="0067539B"/>
    <w:rsid w:val="00691073"/>
    <w:rsid w:val="00691ED5"/>
    <w:rsid w:val="0069230D"/>
    <w:rsid w:val="00693B24"/>
    <w:rsid w:val="00695FF6"/>
    <w:rsid w:val="006977DA"/>
    <w:rsid w:val="006A0347"/>
    <w:rsid w:val="006A33B3"/>
    <w:rsid w:val="006A5533"/>
    <w:rsid w:val="006A58BC"/>
    <w:rsid w:val="006A5EC0"/>
    <w:rsid w:val="006B1055"/>
    <w:rsid w:val="006B4160"/>
    <w:rsid w:val="006B7107"/>
    <w:rsid w:val="006B7B3B"/>
    <w:rsid w:val="006C0AF8"/>
    <w:rsid w:val="006D15EA"/>
    <w:rsid w:val="006D759D"/>
    <w:rsid w:val="006E1092"/>
    <w:rsid w:val="006E4DEB"/>
    <w:rsid w:val="006E68B7"/>
    <w:rsid w:val="006F377A"/>
    <w:rsid w:val="006F4C4F"/>
    <w:rsid w:val="006F6ABB"/>
    <w:rsid w:val="00707E7D"/>
    <w:rsid w:val="00712E2A"/>
    <w:rsid w:val="0071656E"/>
    <w:rsid w:val="00723468"/>
    <w:rsid w:val="00724222"/>
    <w:rsid w:val="0072609E"/>
    <w:rsid w:val="00731896"/>
    <w:rsid w:val="007326BA"/>
    <w:rsid w:val="007340E6"/>
    <w:rsid w:val="00734590"/>
    <w:rsid w:val="0074124E"/>
    <w:rsid w:val="00744C1E"/>
    <w:rsid w:val="00746347"/>
    <w:rsid w:val="00747419"/>
    <w:rsid w:val="00750CEF"/>
    <w:rsid w:val="007536AE"/>
    <w:rsid w:val="00754CDC"/>
    <w:rsid w:val="00761F65"/>
    <w:rsid w:val="007637AC"/>
    <w:rsid w:val="00764C0B"/>
    <w:rsid w:val="007671B9"/>
    <w:rsid w:val="0076763F"/>
    <w:rsid w:val="007702C9"/>
    <w:rsid w:val="00786EFD"/>
    <w:rsid w:val="00795FC0"/>
    <w:rsid w:val="0079730D"/>
    <w:rsid w:val="00797A3A"/>
    <w:rsid w:val="007A0C86"/>
    <w:rsid w:val="007A1526"/>
    <w:rsid w:val="007A1F3D"/>
    <w:rsid w:val="007A223C"/>
    <w:rsid w:val="007A6026"/>
    <w:rsid w:val="007B4572"/>
    <w:rsid w:val="007B59A0"/>
    <w:rsid w:val="007B6AC7"/>
    <w:rsid w:val="007B7CA2"/>
    <w:rsid w:val="007C05B5"/>
    <w:rsid w:val="007C09A6"/>
    <w:rsid w:val="007C1BE9"/>
    <w:rsid w:val="007C3F13"/>
    <w:rsid w:val="007C7235"/>
    <w:rsid w:val="007D0665"/>
    <w:rsid w:val="007E235D"/>
    <w:rsid w:val="007E34E7"/>
    <w:rsid w:val="007F0FDE"/>
    <w:rsid w:val="00800210"/>
    <w:rsid w:val="008026E6"/>
    <w:rsid w:val="00802B13"/>
    <w:rsid w:val="00806649"/>
    <w:rsid w:val="00810DD8"/>
    <w:rsid w:val="00822B0C"/>
    <w:rsid w:val="0082659E"/>
    <w:rsid w:val="00827C5C"/>
    <w:rsid w:val="00830C76"/>
    <w:rsid w:val="00830F67"/>
    <w:rsid w:val="00836BC8"/>
    <w:rsid w:val="00840441"/>
    <w:rsid w:val="00841B4B"/>
    <w:rsid w:val="00843C26"/>
    <w:rsid w:val="0086227F"/>
    <w:rsid w:val="008641F3"/>
    <w:rsid w:val="00870F35"/>
    <w:rsid w:val="00872E93"/>
    <w:rsid w:val="00872F81"/>
    <w:rsid w:val="008752E4"/>
    <w:rsid w:val="00877A56"/>
    <w:rsid w:val="00881C87"/>
    <w:rsid w:val="00884A10"/>
    <w:rsid w:val="008974A6"/>
    <w:rsid w:val="00897D31"/>
    <w:rsid w:val="008A2AA2"/>
    <w:rsid w:val="008B751E"/>
    <w:rsid w:val="008D1FDA"/>
    <w:rsid w:val="008E0AF3"/>
    <w:rsid w:val="008E12EB"/>
    <w:rsid w:val="008E1E41"/>
    <w:rsid w:val="008E26F6"/>
    <w:rsid w:val="008F107F"/>
    <w:rsid w:val="008F2D44"/>
    <w:rsid w:val="008F57CB"/>
    <w:rsid w:val="00901415"/>
    <w:rsid w:val="0090151F"/>
    <w:rsid w:val="009155D8"/>
    <w:rsid w:val="00915D5B"/>
    <w:rsid w:val="0091752B"/>
    <w:rsid w:val="00921905"/>
    <w:rsid w:val="00925216"/>
    <w:rsid w:val="00925E97"/>
    <w:rsid w:val="009344C9"/>
    <w:rsid w:val="0094676A"/>
    <w:rsid w:val="00951439"/>
    <w:rsid w:val="00953891"/>
    <w:rsid w:val="00960171"/>
    <w:rsid w:val="0096264B"/>
    <w:rsid w:val="009675EA"/>
    <w:rsid w:val="009752AE"/>
    <w:rsid w:val="009760A5"/>
    <w:rsid w:val="009772ED"/>
    <w:rsid w:val="00977465"/>
    <w:rsid w:val="00977637"/>
    <w:rsid w:val="009838F9"/>
    <w:rsid w:val="0099206D"/>
    <w:rsid w:val="0099218D"/>
    <w:rsid w:val="00994CB6"/>
    <w:rsid w:val="009964AC"/>
    <w:rsid w:val="009A29C5"/>
    <w:rsid w:val="009A328E"/>
    <w:rsid w:val="009A48CA"/>
    <w:rsid w:val="009A65DF"/>
    <w:rsid w:val="009B15B0"/>
    <w:rsid w:val="009C3020"/>
    <w:rsid w:val="009C5C4A"/>
    <w:rsid w:val="009C6314"/>
    <w:rsid w:val="009D0ECA"/>
    <w:rsid w:val="009D7668"/>
    <w:rsid w:val="009E6644"/>
    <w:rsid w:val="009F2977"/>
    <w:rsid w:val="009F37E4"/>
    <w:rsid w:val="00A005EE"/>
    <w:rsid w:val="00A04B74"/>
    <w:rsid w:val="00A10048"/>
    <w:rsid w:val="00A17E5E"/>
    <w:rsid w:val="00A23854"/>
    <w:rsid w:val="00A23964"/>
    <w:rsid w:val="00A267BE"/>
    <w:rsid w:val="00A26F15"/>
    <w:rsid w:val="00A26F8F"/>
    <w:rsid w:val="00A2769A"/>
    <w:rsid w:val="00A32463"/>
    <w:rsid w:val="00A33872"/>
    <w:rsid w:val="00A35B0B"/>
    <w:rsid w:val="00A50136"/>
    <w:rsid w:val="00A53892"/>
    <w:rsid w:val="00A53D3E"/>
    <w:rsid w:val="00A542E2"/>
    <w:rsid w:val="00A55858"/>
    <w:rsid w:val="00A61474"/>
    <w:rsid w:val="00A617BE"/>
    <w:rsid w:val="00A61C86"/>
    <w:rsid w:val="00A631B3"/>
    <w:rsid w:val="00A641AF"/>
    <w:rsid w:val="00A7119D"/>
    <w:rsid w:val="00A73858"/>
    <w:rsid w:val="00A81557"/>
    <w:rsid w:val="00A92DBA"/>
    <w:rsid w:val="00A97762"/>
    <w:rsid w:val="00AB7B58"/>
    <w:rsid w:val="00AC17B9"/>
    <w:rsid w:val="00AC56B6"/>
    <w:rsid w:val="00AD3D31"/>
    <w:rsid w:val="00AD51E1"/>
    <w:rsid w:val="00AD5CA5"/>
    <w:rsid w:val="00AE59A1"/>
    <w:rsid w:val="00AF165B"/>
    <w:rsid w:val="00AF31B9"/>
    <w:rsid w:val="00AF4B43"/>
    <w:rsid w:val="00AF4BEA"/>
    <w:rsid w:val="00B0076E"/>
    <w:rsid w:val="00B029D0"/>
    <w:rsid w:val="00B02BBC"/>
    <w:rsid w:val="00B06299"/>
    <w:rsid w:val="00B10513"/>
    <w:rsid w:val="00B14170"/>
    <w:rsid w:val="00B14CDA"/>
    <w:rsid w:val="00B16EB2"/>
    <w:rsid w:val="00B23446"/>
    <w:rsid w:val="00B25B3B"/>
    <w:rsid w:val="00B35A86"/>
    <w:rsid w:val="00B4237B"/>
    <w:rsid w:val="00B444DD"/>
    <w:rsid w:val="00B45210"/>
    <w:rsid w:val="00B47D34"/>
    <w:rsid w:val="00B5014D"/>
    <w:rsid w:val="00B51B9F"/>
    <w:rsid w:val="00B524A0"/>
    <w:rsid w:val="00B53FD3"/>
    <w:rsid w:val="00B545B1"/>
    <w:rsid w:val="00B60C4D"/>
    <w:rsid w:val="00B6201C"/>
    <w:rsid w:val="00B64676"/>
    <w:rsid w:val="00B6474C"/>
    <w:rsid w:val="00B756A2"/>
    <w:rsid w:val="00B759D8"/>
    <w:rsid w:val="00B8529F"/>
    <w:rsid w:val="00B871EE"/>
    <w:rsid w:val="00BA3B05"/>
    <w:rsid w:val="00BA5BEB"/>
    <w:rsid w:val="00BB0C02"/>
    <w:rsid w:val="00BB4F9A"/>
    <w:rsid w:val="00BB635D"/>
    <w:rsid w:val="00BB6985"/>
    <w:rsid w:val="00BC1167"/>
    <w:rsid w:val="00BC16D4"/>
    <w:rsid w:val="00BC3E8E"/>
    <w:rsid w:val="00BC4227"/>
    <w:rsid w:val="00BC60F2"/>
    <w:rsid w:val="00BC64EF"/>
    <w:rsid w:val="00BC72B8"/>
    <w:rsid w:val="00BD06C7"/>
    <w:rsid w:val="00BD16B7"/>
    <w:rsid w:val="00BD563A"/>
    <w:rsid w:val="00BD7988"/>
    <w:rsid w:val="00BD7B33"/>
    <w:rsid w:val="00BE3C83"/>
    <w:rsid w:val="00BE5FC4"/>
    <w:rsid w:val="00BE764D"/>
    <w:rsid w:val="00C02992"/>
    <w:rsid w:val="00C053FE"/>
    <w:rsid w:val="00C05F67"/>
    <w:rsid w:val="00C11F33"/>
    <w:rsid w:val="00C129B9"/>
    <w:rsid w:val="00C17A6C"/>
    <w:rsid w:val="00C20D6E"/>
    <w:rsid w:val="00C2117F"/>
    <w:rsid w:val="00C24A37"/>
    <w:rsid w:val="00C25C19"/>
    <w:rsid w:val="00C26104"/>
    <w:rsid w:val="00C262E3"/>
    <w:rsid w:val="00C268FB"/>
    <w:rsid w:val="00C26BD0"/>
    <w:rsid w:val="00C32DB3"/>
    <w:rsid w:val="00C33309"/>
    <w:rsid w:val="00C34472"/>
    <w:rsid w:val="00C37AF8"/>
    <w:rsid w:val="00C40CD5"/>
    <w:rsid w:val="00C427B0"/>
    <w:rsid w:val="00C43A26"/>
    <w:rsid w:val="00C471CC"/>
    <w:rsid w:val="00C50164"/>
    <w:rsid w:val="00C502FC"/>
    <w:rsid w:val="00C54AFB"/>
    <w:rsid w:val="00C56928"/>
    <w:rsid w:val="00C6454D"/>
    <w:rsid w:val="00C650F6"/>
    <w:rsid w:val="00C6533E"/>
    <w:rsid w:val="00C65BB5"/>
    <w:rsid w:val="00C74B89"/>
    <w:rsid w:val="00C8252E"/>
    <w:rsid w:val="00C87E71"/>
    <w:rsid w:val="00C90DBA"/>
    <w:rsid w:val="00C963C4"/>
    <w:rsid w:val="00C979B9"/>
    <w:rsid w:val="00CA105F"/>
    <w:rsid w:val="00CA38BF"/>
    <w:rsid w:val="00CA404B"/>
    <w:rsid w:val="00CA42CE"/>
    <w:rsid w:val="00CA4D96"/>
    <w:rsid w:val="00CB1B19"/>
    <w:rsid w:val="00CC213E"/>
    <w:rsid w:val="00CC448C"/>
    <w:rsid w:val="00CC4DBF"/>
    <w:rsid w:val="00CC6EB3"/>
    <w:rsid w:val="00CD0D29"/>
    <w:rsid w:val="00CD3E21"/>
    <w:rsid w:val="00CE01E3"/>
    <w:rsid w:val="00CE13D7"/>
    <w:rsid w:val="00CE6F26"/>
    <w:rsid w:val="00CF71D4"/>
    <w:rsid w:val="00D00DA4"/>
    <w:rsid w:val="00D02E0F"/>
    <w:rsid w:val="00D041F6"/>
    <w:rsid w:val="00D16B5A"/>
    <w:rsid w:val="00D2116C"/>
    <w:rsid w:val="00D23B66"/>
    <w:rsid w:val="00D305A0"/>
    <w:rsid w:val="00D31278"/>
    <w:rsid w:val="00D31F50"/>
    <w:rsid w:val="00D3204F"/>
    <w:rsid w:val="00D422EA"/>
    <w:rsid w:val="00D44044"/>
    <w:rsid w:val="00D45FA8"/>
    <w:rsid w:val="00D47E84"/>
    <w:rsid w:val="00D47EE1"/>
    <w:rsid w:val="00D53D8C"/>
    <w:rsid w:val="00D543B5"/>
    <w:rsid w:val="00D6480C"/>
    <w:rsid w:val="00D64A0A"/>
    <w:rsid w:val="00D6777C"/>
    <w:rsid w:val="00D678E5"/>
    <w:rsid w:val="00D76CF4"/>
    <w:rsid w:val="00D77F91"/>
    <w:rsid w:val="00D80569"/>
    <w:rsid w:val="00D828F1"/>
    <w:rsid w:val="00D90108"/>
    <w:rsid w:val="00D9062C"/>
    <w:rsid w:val="00D919BE"/>
    <w:rsid w:val="00D93FB7"/>
    <w:rsid w:val="00DA38F3"/>
    <w:rsid w:val="00DA4C64"/>
    <w:rsid w:val="00DA730B"/>
    <w:rsid w:val="00DB362D"/>
    <w:rsid w:val="00DB3A8C"/>
    <w:rsid w:val="00DB4689"/>
    <w:rsid w:val="00DC1837"/>
    <w:rsid w:val="00DC501F"/>
    <w:rsid w:val="00DC5D7D"/>
    <w:rsid w:val="00DC69BE"/>
    <w:rsid w:val="00DC7781"/>
    <w:rsid w:val="00DC7FAE"/>
    <w:rsid w:val="00DD2687"/>
    <w:rsid w:val="00DD5993"/>
    <w:rsid w:val="00DE3781"/>
    <w:rsid w:val="00DE47D6"/>
    <w:rsid w:val="00DF1A97"/>
    <w:rsid w:val="00DF2E2D"/>
    <w:rsid w:val="00DF3F54"/>
    <w:rsid w:val="00DF6E72"/>
    <w:rsid w:val="00E00FE6"/>
    <w:rsid w:val="00E032D0"/>
    <w:rsid w:val="00E03E3A"/>
    <w:rsid w:val="00E045E0"/>
    <w:rsid w:val="00E06DE5"/>
    <w:rsid w:val="00E12AA5"/>
    <w:rsid w:val="00E1460C"/>
    <w:rsid w:val="00E20295"/>
    <w:rsid w:val="00E20FCD"/>
    <w:rsid w:val="00E21C0F"/>
    <w:rsid w:val="00E3064A"/>
    <w:rsid w:val="00E31199"/>
    <w:rsid w:val="00E3472F"/>
    <w:rsid w:val="00E34BEC"/>
    <w:rsid w:val="00E3550A"/>
    <w:rsid w:val="00E409E4"/>
    <w:rsid w:val="00E417FD"/>
    <w:rsid w:val="00E43D90"/>
    <w:rsid w:val="00E458AF"/>
    <w:rsid w:val="00E51E50"/>
    <w:rsid w:val="00E536C5"/>
    <w:rsid w:val="00E53C58"/>
    <w:rsid w:val="00E53FEF"/>
    <w:rsid w:val="00E565CF"/>
    <w:rsid w:val="00E60FB7"/>
    <w:rsid w:val="00E709D7"/>
    <w:rsid w:val="00E711A4"/>
    <w:rsid w:val="00E73A39"/>
    <w:rsid w:val="00E816E0"/>
    <w:rsid w:val="00E847FF"/>
    <w:rsid w:val="00E854FB"/>
    <w:rsid w:val="00E86E94"/>
    <w:rsid w:val="00E90F01"/>
    <w:rsid w:val="00E9253D"/>
    <w:rsid w:val="00E9668E"/>
    <w:rsid w:val="00E97379"/>
    <w:rsid w:val="00EA57F5"/>
    <w:rsid w:val="00EB4443"/>
    <w:rsid w:val="00EB45D1"/>
    <w:rsid w:val="00EB55B5"/>
    <w:rsid w:val="00EC69B7"/>
    <w:rsid w:val="00ED2D4B"/>
    <w:rsid w:val="00ED5956"/>
    <w:rsid w:val="00ED61B5"/>
    <w:rsid w:val="00ED7AE4"/>
    <w:rsid w:val="00EE0064"/>
    <w:rsid w:val="00EE1D54"/>
    <w:rsid w:val="00EE2676"/>
    <w:rsid w:val="00EE2E78"/>
    <w:rsid w:val="00EE3EB9"/>
    <w:rsid w:val="00EE44B8"/>
    <w:rsid w:val="00EE5A2A"/>
    <w:rsid w:val="00EF2DE8"/>
    <w:rsid w:val="00F01194"/>
    <w:rsid w:val="00F05EB1"/>
    <w:rsid w:val="00F07787"/>
    <w:rsid w:val="00F112F1"/>
    <w:rsid w:val="00F1201F"/>
    <w:rsid w:val="00F12491"/>
    <w:rsid w:val="00F160F0"/>
    <w:rsid w:val="00F215A3"/>
    <w:rsid w:val="00F22023"/>
    <w:rsid w:val="00F249CD"/>
    <w:rsid w:val="00F26D88"/>
    <w:rsid w:val="00F27F0A"/>
    <w:rsid w:val="00F304AE"/>
    <w:rsid w:val="00F3150A"/>
    <w:rsid w:val="00F33822"/>
    <w:rsid w:val="00F34BED"/>
    <w:rsid w:val="00F44582"/>
    <w:rsid w:val="00F47C80"/>
    <w:rsid w:val="00F47E24"/>
    <w:rsid w:val="00F52A3A"/>
    <w:rsid w:val="00F56413"/>
    <w:rsid w:val="00F56C7F"/>
    <w:rsid w:val="00F60462"/>
    <w:rsid w:val="00F62568"/>
    <w:rsid w:val="00F70239"/>
    <w:rsid w:val="00F70FF1"/>
    <w:rsid w:val="00F80D13"/>
    <w:rsid w:val="00F83E21"/>
    <w:rsid w:val="00F847F2"/>
    <w:rsid w:val="00F92E23"/>
    <w:rsid w:val="00F954A4"/>
    <w:rsid w:val="00F961AE"/>
    <w:rsid w:val="00FA16F1"/>
    <w:rsid w:val="00FA1AF4"/>
    <w:rsid w:val="00FA43E7"/>
    <w:rsid w:val="00FA4824"/>
    <w:rsid w:val="00FA733E"/>
    <w:rsid w:val="00FB2099"/>
    <w:rsid w:val="00FB3B9C"/>
    <w:rsid w:val="00FC2ECF"/>
    <w:rsid w:val="00FC37BC"/>
    <w:rsid w:val="00FC645B"/>
    <w:rsid w:val="00FD3B18"/>
    <w:rsid w:val="00FD6C7E"/>
    <w:rsid w:val="00FE0F77"/>
    <w:rsid w:val="00FE79C6"/>
    <w:rsid w:val="00FF3574"/>
    <w:rsid w:val="00FF7E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Table"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3"/>
    <w:rPr>
      <w:sz w:val="24"/>
      <w:szCs w:val="24"/>
    </w:rPr>
  </w:style>
  <w:style w:type="paragraph" w:styleId="Ttulo1">
    <w:name w:val="heading 1"/>
    <w:basedOn w:val="Normal"/>
    <w:next w:val="Normal"/>
    <w:link w:val="Ttulo1Car"/>
    <w:uiPriority w:val="99"/>
    <w:qFormat/>
    <w:rsid w:val="00A10048"/>
    <w:pPr>
      <w:keepNext/>
      <w:autoSpaceDE w:val="0"/>
      <w:autoSpaceDN w:val="0"/>
      <w:adjustRightInd w:val="0"/>
      <w:outlineLvl w:val="0"/>
    </w:pPr>
    <w:rPr>
      <w:rFonts w:ascii="Cambria" w:hAnsi="Cambria"/>
      <w:b/>
      <w:kern w:val="32"/>
      <w:sz w:val="32"/>
      <w:szCs w:val="20"/>
    </w:rPr>
  </w:style>
  <w:style w:type="paragraph" w:styleId="Ttulo2">
    <w:name w:val="heading 2"/>
    <w:basedOn w:val="Normal"/>
    <w:next w:val="Normal"/>
    <w:link w:val="Ttulo2Car"/>
    <w:uiPriority w:val="99"/>
    <w:qFormat/>
    <w:rsid w:val="00A10048"/>
    <w:pPr>
      <w:keepNext/>
      <w:shd w:val="clear" w:color="auto" w:fill="FFFFFF"/>
      <w:jc w:val="both"/>
      <w:outlineLvl w:val="1"/>
    </w:pPr>
    <w:rPr>
      <w:rFonts w:ascii="Cambria" w:hAnsi="Cambria"/>
      <w:b/>
      <w:i/>
      <w:sz w:val="28"/>
      <w:szCs w:val="20"/>
    </w:rPr>
  </w:style>
  <w:style w:type="paragraph" w:styleId="Ttulo3">
    <w:name w:val="heading 3"/>
    <w:basedOn w:val="Normal"/>
    <w:next w:val="Normal"/>
    <w:link w:val="Ttulo3Car"/>
    <w:uiPriority w:val="99"/>
    <w:qFormat/>
    <w:rsid w:val="00A10048"/>
    <w:pPr>
      <w:keepNext/>
      <w:jc w:val="center"/>
      <w:outlineLvl w:val="2"/>
    </w:pPr>
    <w:rPr>
      <w:rFonts w:ascii="Cambria" w:hAnsi="Cambria"/>
      <w:b/>
      <w:sz w:val="26"/>
      <w:szCs w:val="20"/>
    </w:rPr>
  </w:style>
  <w:style w:type="paragraph" w:styleId="Ttulo4">
    <w:name w:val="heading 4"/>
    <w:basedOn w:val="Normal"/>
    <w:next w:val="Normal"/>
    <w:link w:val="Ttulo4Car"/>
    <w:uiPriority w:val="99"/>
    <w:qFormat/>
    <w:rsid w:val="00A10048"/>
    <w:pPr>
      <w:keepNext/>
      <w:jc w:val="both"/>
      <w:outlineLvl w:val="3"/>
    </w:pPr>
    <w:rPr>
      <w:rFonts w:ascii="Calibri" w:hAnsi="Calibri"/>
      <w:b/>
      <w:sz w:val="28"/>
      <w:szCs w:val="20"/>
    </w:rPr>
  </w:style>
  <w:style w:type="paragraph" w:styleId="Ttulo5">
    <w:name w:val="heading 5"/>
    <w:basedOn w:val="Normal"/>
    <w:next w:val="Normal"/>
    <w:link w:val="Ttulo5Car"/>
    <w:uiPriority w:val="99"/>
    <w:qFormat/>
    <w:rsid w:val="00A10048"/>
    <w:pPr>
      <w:keepNext/>
      <w:shd w:val="clear" w:color="auto" w:fill="FFCC99"/>
      <w:outlineLvl w:val="4"/>
    </w:pPr>
    <w:rPr>
      <w:rFonts w:ascii="Calibri" w:hAnsi="Calibri"/>
      <w:b/>
      <w:i/>
      <w:sz w:val="26"/>
      <w:szCs w:val="20"/>
    </w:rPr>
  </w:style>
  <w:style w:type="paragraph" w:styleId="Ttulo6">
    <w:name w:val="heading 6"/>
    <w:basedOn w:val="Normal"/>
    <w:next w:val="Normal"/>
    <w:link w:val="Ttulo6Car"/>
    <w:uiPriority w:val="99"/>
    <w:qFormat/>
    <w:rsid w:val="00A10048"/>
    <w:pPr>
      <w:keepNext/>
      <w:autoSpaceDE w:val="0"/>
      <w:autoSpaceDN w:val="0"/>
      <w:adjustRightInd w:val="0"/>
      <w:outlineLvl w:val="5"/>
    </w:pPr>
    <w:rPr>
      <w:rFonts w:ascii="Calibri" w:hAnsi="Calibri"/>
      <w:b/>
      <w:sz w:val="22"/>
      <w:szCs w:val="20"/>
    </w:rPr>
  </w:style>
  <w:style w:type="paragraph" w:styleId="Ttulo7">
    <w:name w:val="heading 7"/>
    <w:basedOn w:val="Normal"/>
    <w:next w:val="Normal"/>
    <w:link w:val="Ttulo7Car"/>
    <w:uiPriority w:val="99"/>
    <w:qFormat/>
    <w:rsid w:val="00A10048"/>
    <w:pPr>
      <w:keepNext/>
      <w:tabs>
        <w:tab w:val="left" w:pos="1673"/>
      </w:tabs>
      <w:jc w:val="center"/>
      <w:outlineLvl w:val="6"/>
    </w:pPr>
    <w:rPr>
      <w:rFonts w:ascii="Calibri" w:hAnsi="Calibri"/>
      <w:szCs w:val="20"/>
    </w:rPr>
  </w:style>
  <w:style w:type="paragraph" w:styleId="Ttulo8">
    <w:name w:val="heading 8"/>
    <w:basedOn w:val="Normal"/>
    <w:next w:val="Normal"/>
    <w:link w:val="Ttulo8Car"/>
    <w:uiPriority w:val="99"/>
    <w:qFormat/>
    <w:rsid w:val="00A10048"/>
    <w:pPr>
      <w:keepNext/>
      <w:jc w:val="both"/>
      <w:outlineLvl w:val="7"/>
    </w:pPr>
    <w:rPr>
      <w:rFonts w:ascii="Calibri" w:hAnsi="Calibri"/>
      <w:i/>
      <w:szCs w:val="20"/>
    </w:rPr>
  </w:style>
  <w:style w:type="paragraph" w:styleId="Ttulo9">
    <w:name w:val="heading 9"/>
    <w:basedOn w:val="Normal"/>
    <w:next w:val="Normal"/>
    <w:link w:val="Ttulo9Car"/>
    <w:uiPriority w:val="99"/>
    <w:qFormat/>
    <w:rsid w:val="00A10048"/>
    <w:pPr>
      <w:keepNext/>
      <w:jc w:val="both"/>
      <w:outlineLvl w:val="8"/>
    </w:pPr>
    <w:rPr>
      <w:rFonts w:ascii="Cambria" w:hAnsi="Cambria"/>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951CE"/>
    <w:rPr>
      <w:rFonts w:ascii="Cambria" w:hAnsi="Cambria"/>
      <w:b/>
      <w:kern w:val="32"/>
      <w:sz w:val="32"/>
    </w:rPr>
  </w:style>
  <w:style w:type="character" w:customStyle="1" w:styleId="Ttulo2Car">
    <w:name w:val="Título 2 Car"/>
    <w:link w:val="Ttulo2"/>
    <w:uiPriority w:val="99"/>
    <w:semiHidden/>
    <w:locked/>
    <w:rsid w:val="002951CE"/>
    <w:rPr>
      <w:rFonts w:ascii="Cambria" w:hAnsi="Cambria"/>
      <w:b/>
      <w:i/>
      <w:sz w:val="28"/>
    </w:rPr>
  </w:style>
  <w:style w:type="character" w:customStyle="1" w:styleId="Ttulo3Car">
    <w:name w:val="Título 3 Car"/>
    <w:link w:val="Ttulo3"/>
    <w:uiPriority w:val="99"/>
    <w:semiHidden/>
    <w:locked/>
    <w:rsid w:val="002951CE"/>
    <w:rPr>
      <w:rFonts w:ascii="Cambria" w:hAnsi="Cambria"/>
      <w:b/>
      <w:sz w:val="26"/>
    </w:rPr>
  </w:style>
  <w:style w:type="character" w:customStyle="1" w:styleId="Ttulo4Car">
    <w:name w:val="Título 4 Car"/>
    <w:link w:val="Ttulo4"/>
    <w:uiPriority w:val="99"/>
    <w:semiHidden/>
    <w:locked/>
    <w:rsid w:val="002951CE"/>
    <w:rPr>
      <w:rFonts w:ascii="Calibri" w:hAnsi="Calibri"/>
      <w:b/>
      <w:sz w:val="28"/>
    </w:rPr>
  </w:style>
  <w:style w:type="character" w:customStyle="1" w:styleId="Ttulo5Car">
    <w:name w:val="Título 5 Car"/>
    <w:link w:val="Ttulo5"/>
    <w:uiPriority w:val="99"/>
    <w:semiHidden/>
    <w:locked/>
    <w:rsid w:val="002951CE"/>
    <w:rPr>
      <w:rFonts w:ascii="Calibri" w:hAnsi="Calibri"/>
      <w:b/>
      <w:i/>
      <w:sz w:val="26"/>
    </w:rPr>
  </w:style>
  <w:style w:type="character" w:customStyle="1" w:styleId="Ttulo6Car">
    <w:name w:val="Título 6 Car"/>
    <w:link w:val="Ttulo6"/>
    <w:uiPriority w:val="99"/>
    <w:semiHidden/>
    <w:locked/>
    <w:rsid w:val="002951CE"/>
    <w:rPr>
      <w:rFonts w:ascii="Calibri" w:hAnsi="Calibri"/>
      <w:b/>
      <w:sz w:val="22"/>
    </w:rPr>
  </w:style>
  <w:style w:type="character" w:customStyle="1" w:styleId="Ttulo7Car">
    <w:name w:val="Título 7 Car"/>
    <w:link w:val="Ttulo7"/>
    <w:uiPriority w:val="99"/>
    <w:semiHidden/>
    <w:locked/>
    <w:rsid w:val="002951CE"/>
    <w:rPr>
      <w:rFonts w:ascii="Calibri" w:hAnsi="Calibri"/>
      <w:sz w:val="24"/>
    </w:rPr>
  </w:style>
  <w:style w:type="character" w:customStyle="1" w:styleId="Ttulo8Car">
    <w:name w:val="Título 8 Car"/>
    <w:link w:val="Ttulo8"/>
    <w:uiPriority w:val="99"/>
    <w:semiHidden/>
    <w:locked/>
    <w:rsid w:val="002951CE"/>
    <w:rPr>
      <w:rFonts w:ascii="Calibri" w:hAnsi="Calibri"/>
      <w:i/>
      <w:sz w:val="24"/>
    </w:rPr>
  </w:style>
  <w:style w:type="character" w:customStyle="1" w:styleId="Ttulo9Car">
    <w:name w:val="Título 9 Car"/>
    <w:link w:val="Ttulo9"/>
    <w:uiPriority w:val="99"/>
    <w:semiHidden/>
    <w:locked/>
    <w:rsid w:val="002951CE"/>
    <w:rPr>
      <w:rFonts w:ascii="Cambria" w:hAnsi="Cambria"/>
      <w:sz w:val="22"/>
    </w:rPr>
  </w:style>
  <w:style w:type="paragraph" w:styleId="Textodeglobo">
    <w:name w:val="Balloon Text"/>
    <w:basedOn w:val="Normal"/>
    <w:link w:val="TextodegloboCar"/>
    <w:autoRedefine/>
    <w:uiPriority w:val="99"/>
    <w:semiHidden/>
    <w:rsid w:val="00615D63"/>
    <w:rPr>
      <w:rFonts w:ascii="Calibri" w:hAnsi="Calibri"/>
      <w:sz w:val="20"/>
      <w:szCs w:val="20"/>
    </w:rPr>
  </w:style>
  <w:style w:type="character" w:customStyle="1" w:styleId="TextodegloboCar">
    <w:name w:val="Texto de globo Car"/>
    <w:link w:val="Textodeglobo"/>
    <w:uiPriority w:val="99"/>
    <w:semiHidden/>
    <w:locked/>
    <w:rsid w:val="00615D63"/>
    <w:rPr>
      <w:rFonts w:ascii="Calibri" w:hAnsi="Calibri"/>
    </w:rPr>
  </w:style>
  <w:style w:type="character" w:styleId="Hipervnculo">
    <w:name w:val="Hyperlink"/>
    <w:uiPriority w:val="99"/>
    <w:rsid w:val="00A10048"/>
    <w:rPr>
      <w:rFonts w:cs="Times New Roman"/>
      <w:color w:val="0000FF"/>
      <w:u w:val="single"/>
    </w:rPr>
  </w:style>
  <w:style w:type="paragraph" w:styleId="Ttulo">
    <w:name w:val="Title"/>
    <w:basedOn w:val="Normal"/>
    <w:link w:val="TtuloCar"/>
    <w:uiPriority w:val="99"/>
    <w:qFormat/>
    <w:rsid w:val="00A10048"/>
    <w:pPr>
      <w:autoSpaceDE w:val="0"/>
      <w:autoSpaceDN w:val="0"/>
      <w:adjustRightInd w:val="0"/>
      <w:jc w:val="center"/>
    </w:pPr>
    <w:rPr>
      <w:rFonts w:ascii="Cambria" w:hAnsi="Cambria"/>
      <w:b/>
      <w:kern w:val="28"/>
      <w:sz w:val="32"/>
      <w:szCs w:val="20"/>
    </w:rPr>
  </w:style>
  <w:style w:type="character" w:customStyle="1" w:styleId="TtuloCar">
    <w:name w:val="Título Car"/>
    <w:link w:val="Ttulo"/>
    <w:uiPriority w:val="99"/>
    <w:locked/>
    <w:rsid w:val="002951CE"/>
    <w:rPr>
      <w:rFonts w:ascii="Cambria" w:hAnsi="Cambria"/>
      <w:b/>
      <w:kern w:val="28"/>
      <w:sz w:val="32"/>
    </w:rPr>
  </w:style>
  <w:style w:type="paragraph" w:styleId="Sangradetextonormal">
    <w:name w:val="Body Text Indent"/>
    <w:basedOn w:val="Normal"/>
    <w:link w:val="SangradetextonormalCar"/>
    <w:uiPriority w:val="99"/>
    <w:semiHidden/>
    <w:rsid w:val="00A10048"/>
    <w:pPr>
      <w:shd w:val="clear" w:color="auto" w:fill="FFFFFF"/>
      <w:ind w:left="708"/>
      <w:jc w:val="both"/>
    </w:pPr>
    <w:rPr>
      <w:szCs w:val="20"/>
    </w:rPr>
  </w:style>
  <w:style w:type="character" w:customStyle="1" w:styleId="SangradetextonormalCar">
    <w:name w:val="Sangría de texto normal Car"/>
    <w:link w:val="Sangradetextonormal"/>
    <w:uiPriority w:val="99"/>
    <w:semiHidden/>
    <w:locked/>
    <w:rsid w:val="002951CE"/>
    <w:rPr>
      <w:sz w:val="24"/>
    </w:rPr>
  </w:style>
  <w:style w:type="paragraph" w:styleId="Textoindependiente">
    <w:name w:val="Body Text"/>
    <w:basedOn w:val="Normal"/>
    <w:link w:val="TextoindependienteCar"/>
    <w:uiPriority w:val="99"/>
    <w:semiHidden/>
    <w:rsid w:val="00A10048"/>
    <w:rPr>
      <w:szCs w:val="20"/>
    </w:rPr>
  </w:style>
  <w:style w:type="character" w:customStyle="1" w:styleId="TextoindependienteCar">
    <w:name w:val="Texto independiente Car"/>
    <w:link w:val="Textoindependiente"/>
    <w:uiPriority w:val="99"/>
    <w:semiHidden/>
    <w:locked/>
    <w:rsid w:val="002951CE"/>
    <w:rPr>
      <w:sz w:val="24"/>
    </w:rPr>
  </w:style>
  <w:style w:type="paragraph" w:styleId="Encabezado">
    <w:name w:val="header"/>
    <w:basedOn w:val="Normal"/>
    <w:link w:val="EncabezadoCar"/>
    <w:uiPriority w:val="99"/>
    <w:semiHidden/>
    <w:rsid w:val="00A10048"/>
    <w:pPr>
      <w:tabs>
        <w:tab w:val="center" w:pos="4252"/>
        <w:tab w:val="right" w:pos="8504"/>
      </w:tabs>
    </w:pPr>
    <w:rPr>
      <w:szCs w:val="20"/>
    </w:rPr>
  </w:style>
  <w:style w:type="character" w:customStyle="1" w:styleId="HeaderChar">
    <w:name w:val="Header Char"/>
    <w:uiPriority w:val="99"/>
    <w:semiHidden/>
    <w:rsid w:val="00F112F1"/>
    <w:rPr>
      <w:sz w:val="24"/>
    </w:rPr>
  </w:style>
  <w:style w:type="character" w:customStyle="1" w:styleId="EncabezadoCar">
    <w:name w:val="Encabezado Car"/>
    <w:link w:val="Encabezado"/>
    <w:uiPriority w:val="99"/>
    <w:semiHidden/>
    <w:locked/>
    <w:rsid w:val="002951CE"/>
    <w:rPr>
      <w:sz w:val="24"/>
    </w:rPr>
  </w:style>
  <w:style w:type="paragraph" w:styleId="Piedepgina">
    <w:name w:val="footer"/>
    <w:basedOn w:val="Normal"/>
    <w:link w:val="PiedepginaCar"/>
    <w:uiPriority w:val="99"/>
    <w:semiHidden/>
    <w:rsid w:val="00A10048"/>
    <w:pPr>
      <w:tabs>
        <w:tab w:val="center" w:pos="4252"/>
        <w:tab w:val="right" w:pos="8504"/>
      </w:tabs>
    </w:pPr>
    <w:rPr>
      <w:szCs w:val="20"/>
    </w:rPr>
  </w:style>
  <w:style w:type="character" w:customStyle="1" w:styleId="PiedepginaCar">
    <w:name w:val="Pie de página Car"/>
    <w:link w:val="Piedepgina"/>
    <w:uiPriority w:val="99"/>
    <w:semiHidden/>
    <w:locked/>
    <w:rsid w:val="002951CE"/>
    <w:rPr>
      <w:sz w:val="24"/>
    </w:rPr>
  </w:style>
  <w:style w:type="character" w:styleId="Nmerodepgina">
    <w:name w:val="page number"/>
    <w:uiPriority w:val="99"/>
    <w:semiHidden/>
    <w:rsid w:val="00A10048"/>
    <w:rPr>
      <w:rFonts w:cs="Times New Roman"/>
    </w:rPr>
  </w:style>
  <w:style w:type="paragraph" w:styleId="Textoindependiente2">
    <w:name w:val="Body Text 2"/>
    <w:basedOn w:val="Normal"/>
    <w:link w:val="Textoindependiente2Car"/>
    <w:uiPriority w:val="99"/>
    <w:semiHidden/>
    <w:rsid w:val="00A10048"/>
    <w:pPr>
      <w:autoSpaceDE w:val="0"/>
      <w:autoSpaceDN w:val="0"/>
      <w:adjustRightInd w:val="0"/>
      <w:jc w:val="center"/>
    </w:pPr>
    <w:rPr>
      <w:szCs w:val="20"/>
    </w:rPr>
  </w:style>
  <w:style w:type="character" w:customStyle="1" w:styleId="Textoindependiente2Car">
    <w:name w:val="Texto independiente 2 Car"/>
    <w:link w:val="Textoindependiente2"/>
    <w:uiPriority w:val="99"/>
    <w:semiHidden/>
    <w:locked/>
    <w:rsid w:val="002951CE"/>
    <w:rPr>
      <w:sz w:val="24"/>
    </w:rPr>
  </w:style>
  <w:style w:type="paragraph" w:customStyle="1" w:styleId="Authors">
    <w:name w:val="Authors"/>
    <w:basedOn w:val="Normal"/>
    <w:uiPriority w:val="99"/>
    <w:rsid w:val="00A10048"/>
    <w:pPr>
      <w:keepNext/>
      <w:spacing w:before="240"/>
    </w:pPr>
    <w:rPr>
      <w:rFonts w:ascii="Arial" w:hAnsi="Arial"/>
      <w:color w:val="000000"/>
      <w:sz w:val="22"/>
      <w:szCs w:val="20"/>
      <w:lang w:val="en-US" w:eastAsia="en-US"/>
    </w:rPr>
  </w:style>
  <w:style w:type="paragraph" w:customStyle="1" w:styleId="Encabezadobase">
    <w:name w:val="Encabezado base"/>
    <w:basedOn w:val="Normal"/>
    <w:uiPriority w:val="99"/>
    <w:rsid w:val="00A10048"/>
    <w:pPr>
      <w:keepLines/>
      <w:tabs>
        <w:tab w:val="center" w:pos="4320"/>
        <w:tab w:val="right" w:pos="8640"/>
      </w:tabs>
      <w:spacing w:after="240"/>
      <w:ind w:firstLine="709"/>
      <w:jc w:val="both"/>
    </w:pPr>
    <w:rPr>
      <w:rFonts w:ascii="Arial" w:hAnsi="Arial"/>
      <w:spacing w:val="-4"/>
      <w:szCs w:val="20"/>
      <w:lang w:val="es-ES_tradnl"/>
    </w:rPr>
  </w:style>
  <w:style w:type="character" w:styleId="Hipervnculovisitado">
    <w:name w:val="FollowedHyperlink"/>
    <w:uiPriority w:val="99"/>
    <w:semiHidden/>
    <w:rsid w:val="00A10048"/>
    <w:rPr>
      <w:rFonts w:cs="Times New Roman"/>
      <w:color w:val="800080"/>
      <w:u w:val="single"/>
    </w:rPr>
  </w:style>
  <w:style w:type="paragraph" w:styleId="NormalWeb">
    <w:name w:val="Normal (Web)"/>
    <w:basedOn w:val="Normal"/>
    <w:uiPriority w:val="99"/>
    <w:rsid w:val="00A10048"/>
    <w:pPr>
      <w:spacing w:before="100" w:beforeAutospacing="1" w:after="100" w:afterAutospacing="1"/>
    </w:pPr>
  </w:style>
  <w:style w:type="paragraph" w:styleId="Textoindependiente3">
    <w:name w:val="Body Text 3"/>
    <w:basedOn w:val="Normal"/>
    <w:link w:val="Textoindependiente3Car"/>
    <w:uiPriority w:val="99"/>
    <w:semiHidden/>
    <w:rsid w:val="00A10048"/>
    <w:rPr>
      <w:sz w:val="16"/>
      <w:szCs w:val="20"/>
    </w:rPr>
  </w:style>
  <w:style w:type="character" w:customStyle="1" w:styleId="Textoindependiente3Car">
    <w:name w:val="Texto independiente 3 Car"/>
    <w:link w:val="Textoindependiente3"/>
    <w:uiPriority w:val="99"/>
    <w:semiHidden/>
    <w:locked/>
    <w:rsid w:val="002951CE"/>
    <w:rPr>
      <w:sz w:val="16"/>
    </w:rPr>
  </w:style>
  <w:style w:type="character" w:customStyle="1" w:styleId="t101">
    <w:name w:val="t101"/>
    <w:uiPriority w:val="99"/>
    <w:rsid w:val="00A10048"/>
    <w:rPr>
      <w:rFonts w:ascii="Arial" w:hAnsi="Arial"/>
      <w:sz w:val="24"/>
    </w:rPr>
  </w:style>
  <w:style w:type="character" w:styleId="Textoennegrita">
    <w:name w:val="Strong"/>
    <w:uiPriority w:val="99"/>
    <w:qFormat/>
    <w:rsid w:val="00A10048"/>
    <w:rPr>
      <w:rFonts w:cs="Times New Roman"/>
      <w:b/>
    </w:rPr>
  </w:style>
  <w:style w:type="character" w:customStyle="1" w:styleId="para1">
    <w:name w:val="para1"/>
    <w:uiPriority w:val="99"/>
    <w:rsid w:val="00A10048"/>
    <w:rPr>
      <w:rFonts w:ascii="Arial" w:hAnsi="Arial"/>
      <w:sz w:val="19"/>
    </w:rPr>
  </w:style>
  <w:style w:type="paragraph" w:styleId="z-Principiodelformulario">
    <w:name w:val="HTML Top of Form"/>
    <w:basedOn w:val="Normal"/>
    <w:next w:val="Normal"/>
    <w:link w:val="z-PrincipiodelformularioCar"/>
    <w:hidden/>
    <w:uiPriority w:val="99"/>
    <w:rsid w:val="00A10048"/>
    <w:pPr>
      <w:pBdr>
        <w:bottom w:val="single" w:sz="6" w:space="1" w:color="auto"/>
      </w:pBdr>
      <w:jc w:val="center"/>
    </w:pPr>
    <w:rPr>
      <w:rFonts w:ascii="Arial" w:hAnsi="Arial"/>
      <w:vanish/>
      <w:sz w:val="16"/>
      <w:szCs w:val="20"/>
    </w:rPr>
  </w:style>
  <w:style w:type="character" w:customStyle="1" w:styleId="z-PrincipiodelformularioCar">
    <w:name w:val="z-Principio del formulario Car"/>
    <w:link w:val="z-Principiodelformulario"/>
    <w:uiPriority w:val="99"/>
    <w:semiHidden/>
    <w:locked/>
    <w:rsid w:val="002951CE"/>
    <w:rPr>
      <w:rFonts w:ascii="Arial" w:hAnsi="Arial"/>
      <w:vanish/>
      <w:sz w:val="16"/>
    </w:rPr>
  </w:style>
  <w:style w:type="paragraph" w:styleId="Sangra3detindependiente">
    <w:name w:val="Body Text Indent 3"/>
    <w:basedOn w:val="Normal"/>
    <w:link w:val="Sangra3detindependienteCar"/>
    <w:uiPriority w:val="99"/>
    <w:semiHidden/>
    <w:rsid w:val="00A10048"/>
    <w:pPr>
      <w:ind w:left="708"/>
      <w:jc w:val="both"/>
    </w:pPr>
    <w:rPr>
      <w:sz w:val="16"/>
      <w:szCs w:val="20"/>
    </w:rPr>
  </w:style>
  <w:style w:type="character" w:customStyle="1" w:styleId="Sangra3detindependienteCar">
    <w:name w:val="Sangría 3 de t. independiente Car"/>
    <w:link w:val="Sangra3detindependiente"/>
    <w:uiPriority w:val="99"/>
    <w:semiHidden/>
    <w:locked/>
    <w:rsid w:val="002951CE"/>
    <w:rPr>
      <w:sz w:val="16"/>
    </w:rPr>
  </w:style>
  <w:style w:type="paragraph" w:styleId="Textosinformato">
    <w:name w:val="Plain Text"/>
    <w:basedOn w:val="Normal"/>
    <w:link w:val="TextosinformatoCar"/>
    <w:uiPriority w:val="99"/>
    <w:semiHidden/>
    <w:rsid w:val="00A10048"/>
    <w:rPr>
      <w:rFonts w:ascii="Courier New" w:hAnsi="Courier New"/>
      <w:sz w:val="20"/>
      <w:szCs w:val="20"/>
    </w:rPr>
  </w:style>
  <w:style w:type="character" w:customStyle="1" w:styleId="TextosinformatoCar">
    <w:name w:val="Texto sin formato Car"/>
    <w:link w:val="Textosinformato"/>
    <w:uiPriority w:val="99"/>
    <w:semiHidden/>
    <w:locked/>
    <w:rsid w:val="002951CE"/>
    <w:rPr>
      <w:rFonts w:ascii="Courier New" w:hAnsi="Courier New"/>
    </w:rPr>
  </w:style>
  <w:style w:type="paragraph" w:customStyle="1" w:styleId="Textoindependiente31">
    <w:name w:val="Texto independiente 31"/>
    <w:basedOn w:val="Normal"/>
    <w:uiPriority w:val="99"/>
    <w:rsid w:val="00D828F1"/>
    <w:pPr>
      <w:widowControl w:val="0"/>
      <w:suppressAutoHyphens/>
    </w:pPr>
    <w:rPr>
      <w:color w:val="0000FF"/>
      <w:kern w:val="1"/>
      <w:sz w:val="48"/>
    </w:rPr>
  </w:style>
  <w:style w:type="table" w:styleId="Tablaconcuadrcula">
    <w:name w:val="Table Grid"/>
    <w:basedOn w:val="Tablanormal"/>
    <w:uiPriority w:val="99"/>
    <w:rsid w:val="00F52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3F6473"/>
    <w:rPr>
      <w:sz w:val="20"/>
      <w:szCs w:val="20"/>
    </w:rPr>
  </w:style>
  <w:style w:type="character" w:customStyle="1" w:styleId="TextonotapieCar">
    <w:name w:val="Texto nota pie Car"/>
    <w:link w:val="Textonotapie"/>
    <w:uiPriority w:val="99"/>
    <w:semiHidden/>
    <w:locked/>
    <w:rsid w:val="00EE1D54"/>
    <w:rPr>
      <w:sz w:val="20"/>
    </w:rPr>
  </w:style>
  <w:style w:type="paragraph" w:styleId="Textocomentario">
    <w:name w:val="annotation text"/>
    <w:basedOn w:val="Normal"/>
    <w:link w:val="TextocomentarioCar"/>
    <w:uiPriority w:val="99"/>
    <w:semiHidden/>
    <w:rsid w:val="003F6473"/>
    <w:rPr>
      <w:sz w:val="20"/>
      <w:szCs w:val="20"/>
    </w:rPr>
  </w:style>
  <w:style w:type="character" w:customStyle="1" w:styleId="TextocomentarioCar">
    <w:name w:val="Texto comentario Car"/>
    <w:link w:val="Textocomentario"/>
    <w:uiPriority w:val="99"/>
    <w:semiHidden/>
    <w:locked/>
    <w:rsid w:val="00EE1D54"/>
    <w:rPr>
      <w:sz w:val="20"/>
    </w:rPr>
  </w:style>
  <w:style w:type="paragraph" w:customStyle="1" w:styleId="Default">
    <w:name w:val="Default"/>
    <w:uiPriority w:val="99"/>
    <w:rsid w:val="003F6473"/>
    <w:pPr>
      <w:autoSpaceDE w:val="0"/>
      <w:autoSpaceDN w:val="0"/>
      <w:adjustRightInd w:val="0"/>
    </w:pPr>
    <w:rPr>
      <w:rFonts w:ascii="ZYYKLI+TimesTen-Roman" w:eastAsia="MS Mincho" w:hAnsi="ZYYKLI+TimesTen-Roman" w:cs="ZYYKLI+TimesTen-Roman"/>
      <w:color w:val="000000"/>
      <w:sz w:val="24"/>
      <w:szCs w:val="24"/>
      <w:lang w:eastAsia="ja-JP"/>
    </w:rPr>
  </w:style>
  <w:style w:type="paragraph" w:customStyle="1" w:styleId="Pa17">
    <w:name w:val="Pa17"/>
    <w:basedOn w:val="Default"/>
    <w:next w:val="Default"/>
    <w:uiPriority w:val="99"/>
    <w:rsid w:val="003F6473"/>
    <w:pPr>
      <w:spacing w:line="240" w:lineRule="atLeast"/>
    </w:pPr>
    <w:rPr>
      <w:rFonts w:cs="Times New Roman"/>
      <w:color w:val="auto"/>
    </w:rPr>
  </w:style>
  <w:style w:type="paragraph" w:customStyle="1" w:styleId="Pa50">
    <w:name w:val="Pa50"/>
    <w:basedOn w:val="Default"/>
    <w:next w:val="Default"/>
    <w:uiPriority w:val="99"/>
    <w:rsid w:val="003F6473"/>
    <w:pPr>
      <w:spacing w:line="240" w:lineRule="atLeast"/>
    </w:pPr>
    <w:rPr>
      <w:rFonts w:cs="Times New Roman"/>
      <w:color w:val="auto"/>
    </w:rPr>
  </w:style>
  <w:style w:type="paragraph" w:customStyle="1" w:styleId="Pa51">
    <w:name w:val="Pa51"/>
    <w:basedOn w:val="Default"/>
    <w:next w:val="Default"/>
    <w:uiPriority w:val="99"/>
    <w:rsid w:val="003F6473"/>
    <w:pPr>
      <w:spacing w:line="240" w:lineRule="atLeast"/>
    </w:pPr>
    <w:rPr>
      <w:rFonts w:cs="Times New Roman"/>
      <w:color w:val="auto"/>
    </w:rPr>
  </w:style>
  <w:style w:type="paragraph" w:customStyle="1" w:styleId="Pa53">
    <w:name w:val="Pa53"/>
    <w:basedOn w:val="Default"/>
    <w:next w:val="Default"/>
    <w:uiPriority w:val="99"/>
    <w:rsid w:val="003F6473"/>
    <w:pPr>
      <w:spacing w:line="240" w:lineRule="atLeast"/>
    </w:pPr>
    <w:rPr>
      <w:rFonts w:cs="Times New Roman"/>
      <w:color w:val="auto"/>
    </w:rPr>
  </w:style>
  <w:style w:type="paragraph" w:customStyle="1" w:styleId="Pa14">
    <w:name w:val="Pa14"/>
    <w:basedOn w:val="Default"/>
    <w:next w:val="Default"/>
    <w:uiPriority w:val="99"/>
    <w:rsid w:val="003F6473"/>
    <w:pPr>
      <w:spacing w:line="240" w:lineRule="atLeast"/>
    </w:pPr>
    <w:rPr>
      <w:rFonts w:cs="Times New Roman"/>
      <w:color w:val="auto"/>
    </w:rPr>
  </w:style>
  <w:style w:type="character" w:styleId="nfasis">
    <w:name w:val="Emphasis"/>
    <w:uiPriority w:val="99"/>
    <w:qFormat/>
    <w:rsid w:val="003F6473"/>
    <w:rPr>
      <w:rFonts w:cs="Times New Roman"/>
      <w:i/>
    </w:rPr>
  </w:style>
  <w:style w:type="paragraph" w:styleId="Citadestacada">
    <w:name w:val="Intense Quote"/>
    <w:basedOn w:val="Normal"/>
    <w:next w:val="Normal"/>
    <w:link w:val="CitadestacadaCar"/>
    <w:uiPriority w:val="99"/>
    <w:qFormat/>
    <w:rsid w:val="003F6473"/>
    <w:pPr>
      <w:pBdr>
        <w:bottom w:val="single" w:sz="4" w:space="4" w:color="4F81BD"/>
      </w:pBdr>
      <w:spacing w:before="200" w:after="280"/>
      <w:ind w:left="936" w:right="936"/>
    </w:pPr>
    <w:rPr>
      <w:b/>
      <w:i/>
      <w:color w:val="4F81BD"/>
      <w:szCs w:val="20"/>
    </w:rPr>
  </w:style>
  <w:style w:type="character" w:customStyle="1" w:styleId="CitadestacadaCar">
    <w:name w:val="Cita destacada Car"/>
    <w:link w:val="Citadestacada"/>
    <w:uiPriority w:val="99"/>
    <w:locked/>
    <w:rsid w:val="003F6473"/>
    <w:rPr>
      <w:b/>
      <w:i/>
      <w:color w:val="4F81BD"/>
      <w:sz w:val="24"/>
      <w:lang w:val="es-ES" w:eastAsia="es-ES"/>
    </w:rPr>
  </w:style>
  <w:style w:type="character" w:customStyle="1" w:styleId="st1">
    <w:name w:val="st1"/>
    <w:uiPriority w:val="99"/>
    <w:rsid w:val="003F6473"/>
  </w:style>
  <w:style w:type="paragraph" w:styleId="HTMLconformatoprevio">
    <w:name w:val="HTML Preformatted"/>
    <w:basedOn w:val="Normal"/>
    <w:link w:val="HTMLconformatoprevioCar"/>
    <w:uiPriority w:val="99"/>
    <w:semiHidden/>
    <w:rsid w:val="003F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EE1D54"/>
    <w:rPr>
      <w:rFonts w:ascii="Courier New" w:hAnsi="Courier New"/>
      <w:sz w:val="20"/>
    </w:rPr>
  </w:style>
  <w:style w:type="paragraph" w:customStyle="1" w:styleId="Pa54">
    <w:name w:val="Pa54"/>
    <w:basedOn w:val="Normal"/>
    <w:next w:val="Normal"/>
    <w:uiPriority w:val="99"/>
    <w:rsid w:val="00137696"/>
    <w:pPr>
      <w:autoSpaceDE w:val="0"/>
      <w:autoSpaceDN w:val="0"/>
      <w:adjustRightInd w:val="0"/>
      <w:spacing w:line="240" w:lineRule="atLeast"/>
    </w:pPr>
    <w:rPr>
      <w:rFonts w:ascii="NBIQZG+HelveticaNeue-Light" w:hAnsi="NBIQZG+HelveticaNeue-Light"/>
    </w:rPr>
  </w:style>
  <w:style w:type="character" w:customStyle="1" w:styleId="A6">
    <w:name w:val="A6"/>
    <w:uiPriority w:val="99"/>
    <w:rsid w:val="00137696"/>
    <w:rPr>
      <w:color w:val="000000"/>
      <w:sz w:val="18"/>
    </w:rPr>
  </w:style>
  <w:style w:type="paragraph" w:styleId="Sangra2detindependiente">
    <w:name w:val="Body Text Indent 2"/>
    <w:basedOn w:val="Normal"/>
    <w:link w:val="Sangra2detindependienteCar"/>
    <w:uiPriority w:val="99"/>
    <w:rsid w:val="00137696"/>
    <w:pPr>
      <w:spacing w:after="120" w:line="480" w:lineRule="auto"/>
      <w:ind w:left="283"/>
    </w:pPr>
  </w:style>
  <w:style w:type="character" w:customStyle="1" w:styleId="Sangra2detindependienteCar">
    <w:name w:val="Sangría 2 de t. independiente Car"/>
    <w:link w:val="Sangra2detindependiente"/>
    <w:uiPriority w:val="99"/>
    <w:semiHidden/>
    <w:locked/>
    <w:rsid w:val="00EE1D54"/>
    <w:rPr>
      <w:sz w:val="24"/>
    </w:rPr>
  </w:style>
  <w:style w:type="paragraph" w:styleId="Textonotaalfinal">
    <w:name w:val="endnote text"/>
    <w:basedOn w:val="Normal"/>
    <w:link w:val="TextonotaalfinalCar"/>
    <w:uiPriority w:val="99"/>
    <w:semiHidden/>
    <w:rsid w:val="00137696"/>
    <w:rPr>
      <w:sz w:val="20"/>
      <w:szCs w:val="20"/>
    </w:rPr>
  </w:style>
  <w:style w:type="character" w:customStyle="1" w:styleId="TextonotaalfinalCar">
    <w:name w:val="Texto nota al final Car"/>
    <w:link w:val="Textonotaalfinal"/>
    <w:uiPriority w:val="99"/>
    <w:semiHidden/>
    <w:locked/>
    <w:rsid w:val="00EE1D54"/>
    <w:rPr>
      <w:sz w:val="20"/>
    </w:rPr>
  </w:style>
  <w:style w:type="character" w:styleId="Refdenotaalfinal">
    <w:name w:val="endnote reference"/>
    <w:uiPriority w:val="99"/>
    <w:semiHidden/>
    <w:rsid w:val="00137696"/>
    <w:rPr>
      <w:rFonts w:cs="Times New Roman"/>
      <w:vertAlign w:val="superscript"/>
    </w:rPr>
  </w:style>
  <w:style w:type="character" w:customStyle="1" w:styleId="sel1348427992542">
    <w:name w:val="sel_1348427992542"/>
    <w:uiPriority w:val="99"/>
    <w:rsid w:val="00137696"/>
  </w:style>
  <w:style w:type="character" w:styleId="Refdecomentario">
    <w:name w:val="annotation reference"/>
    <w:uiPriority w:val="99"/>
    <w:rsid w:val="00290575"/>
    <w:rPr>
      <w:rFonts w:cs="Times New Roman"/>
      <w:sz w:val="16"/>
    </w:rPr>
  </w:style>
  <w:style w:type="paragraph" w:styleId="Asuntodelcomentario">
    <w:name w:val="annotation subject"/>
    <w:basedOn w:val="Textocomentario"/>
    <w:next w:val="Textocomentario"/>
    <w:link w:val="AsuntodelcomentarioCar"/>
    <w:uiPriority w:val="99"/>
    <w:rsid w:val="00290575"/>
    <w:rPr>
      <w:b/>
      <w:bCs/>
    </w:rPr>
  </w:style>
  <w:style w:type="character" w:customStyle="1" w:styleId="AsuntodelcomentarioCar">
    <w:name w:val="Asunto del comentario Car"/>
    <w:link w:val="Asuntodelcomentario"/>
    <w:uiPriority w:val="99"/>
    <w:semiHidden/>
    <w:locked/>
    <w:rsid w:val="00EE1D54"/>
    <w:rPr>
      <w:b/>
      <w:sz w:val="20"/>
    </w:rPr>
  </w:style>
  <w:style w:type="character" w:styleId="CitaHTML">
    <w:name w:val="HTML Cite"/>
    <w:uiPriority w:val="99"/>
    <w:rsid w:val="00657B03"/>
    <w:rPr>
      <w:rFonts w:cs="Times New Roman"/>
      <w:color w:val="009933"/>
    </w:rPr>
  </w:style>
  <w:style w:type="character" w:customStyle="1" w:styleId="yiv1702884738149114909-15062012">
    <w:name w:val="yiv1702884738149114909-15062012"/>
    <w:uiPriority w:val="99"/>
    <w:rsid w:val="00657B03"/>
  </w:style>
  <w:style w:type="paragraph" w:customStyle="1" w:styleId="yiv1702884738msonormal">
    <w:name w:val="yiv1702884738msonormal"/>
    <w:basedOn w:val="Normal"/>
    <w:uiPriority w:val="99"/>
    <w:rsid w:val="00657B03"/>
    <w:pPr>
      <w:spacing w:before="100" w:beforeAutospacing="1" w:after="100" w:afterAutospacing="1"/>
    </w:pPr>
  </w:style>
  <w:style w:type="paragraph" w:styleId="Prrafodelista">
    <w:name w:val="List Paragraph"/>
    <w:basedOn w:val="Normal"/>
    <w:uiPriority w:val="99"/>
    <w:qFormat/>
    <w:rsid w:val="00455830"/>
    <w:pPr>
      <w:ind w:left="708"/>
    </w:pPr>
  </w:style>
  <w:style w:type="character" w:customStyle="1" w:styleId="highlight">
    <w:name w:val="highlight"/>
    <w:uiPriority w:val="99"/>
    <w:rsid w:val="002F4972"/>
  </w:style>
  <w:style w:type="paragraph" w:styleId="TDC1">
    <w:name w:val="toc 1"/>
    <w:basedOn w:val="Normal"/>
    <w:next w:val="Normal"/>
    <w:autoRedefine/>
    <w:uiPriority w:val="99"/>
    <w:rsid w:val="005B6F77"/>
  </w:style>
  <w:style w:type="paragraph" w:styleId="TDC2">
    <w:name w:val="toc 2"/>
    <w:basedOn w:val="Normal"/>
    <w:next w:val="Normal"/>
    <w:autoRedefine/>
    <w:uiPriority w:val="99"/>
    <w:rsid w:val="005B6F77"/>
    <w:pPr>
      <w:ind w:left="240"/>
    </w:pPr>
  </w:style>
  <w:style w:type="paragraph" w:styleId="TDC3">
    <w:name w:val="toc 3"/>
    <w:basedOn w:val="Normal"/>
    <w:next w:val="Normal"/>
    <w:autoRedefine/>
    <w:uiPriority w:val="99"/>
    <w:rsid w:val="005B6F77"/>
    <w:pPr>
      <w:ind w:left="480"/>
    </w:pPr>
  </w:style>
  <w:style w:type="paragraph" w:customStyle="1" w:styleId="Pa7">
    <w:name w:val="Pa7"/>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24">
    <w:name w:val="Pa2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4">
    <w:name w:val="Pa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1">
    <w:name w:val="Pa1"/>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character" w:customStyle="1" w:styleId="CarCar22">
    <w:name w:val="Car Car22"/>
    <w:uiPriority w:val="99"/>
    <w:locked/>
    <w:rsid w:val="00BC3E8E"/>
    <w:rPr>
      <w:rFonts w:ascii="Cambria" w:hAnsi="Cambria"/>
      <w:b/>
      <w:kern w:val="32"/>
      <w:sz w:val="32"/>
    </w:rPr>
  </w:style>
  <w:style w:type="character" w:customStyle="1" w:styleId="A2">
    <w:name w:val="A2"/>
    <w:uiPriority w:val="99"/>
    <w:rsid w:val="00BC3E8E"/>
    <w:rPr>
      <w:rFonts w:ascii="DZMIPA+HelveticaNeue-Medium" w:hAnsi="DZMIPA+HelveticaNeue-Medium"/>
      <w:color w:val="000000"/>
      <w:sz w:val="16"/>
    </w:rPr>
  </w:style>
  <w:style w:type="character" w:customStyle="1" w:styleId="longtext">
    <w:name w:val="long_text"/>
    <w:uiPriority w:val="99"/>
    <w:rsid w:val="00BC3E8E"/>
  </w:style>
  <w:style w:type="character" w:customStyle="1" w:styleId="hps">
    <w:name w:val="hps"/>
    <w:uiPriority w:val="99"/>
    <w:rsid w:val="00BC3E8E"/>
  </w:style>
  <w:style w:type="character" w:customStyle="1" w:styleId="hpsatn">
    <w:name w:val="hps atn"/>
    <w:uiPriority w:val="99"/>
    <w:rsid w:val="00BC3E8E"/>
  </w:style>
  <w:style w:type="character" w:styleId="Refdenotaalpie">
    <w:name w:val="footnote reference"/>
    <w:uiPriority w:val="99"/>
    <w:rsid w:val="00BC3E8E"/>
    <w:rPr>
      <w:rFonts w:cs="Times New Roman"/>
      <w:vertAlign w:val="superscript"/>
    </w:rPr>
  </w:style>
  <w:style w:type="paragraph" w:customStyle="1" w:styleId="TtulodeTDC1">
    <w:name w:val="Título de TDC1"/>
    <w:basedOn w:val="Ttulo1"/>
    <w:next w:val="Normal"/>
    <w:uiPriority w:val="99"/>
    <w:rsid w:val="00877A56"/>
    <w:pPr>
      <w:keepLines/>
      <w:autoSpaceDE/>
      <w:autoSpaceDN/>
      <w:adjustRightInd/>
      <w:spacing w:before="480" w:line="276" w:lineRule="auto"/>
      <w:outlineLvl w:val="9"/>
    </w:pPr>
    <w:rPr>
      <w:color w:val="365F91"/>
      <w:sz w:val="28"/>
      <w:szCs w:val="28"/>
      <w:lang w:eastAsia="en-US"/>
    </w:rPr>
  </w:style>
  <w:style w:type="paragraph" w:styleId="Revisin">
    <w:name w:val="Revision"/>
    <w:hidden/>
    <w:uiPriority w:val="99"/>
    <w:semiHidden/>
    <w:rsid w:val="00E12AA5"/>
    <w:rPr>
      <w:sz w:val="24"/>
      <w:szCs w:val="24"/>
    </w:rPr>
  </w:style>
  <w:style w:type="paragraph" w:customStyle="1" w:styleId="Ttulo10">
    <w:name w:val="Título1"/>
    <w:basedOn w:val="Normal"/>
    <w:uiPriority w:val="99"/>
    <w:rsid w:val="00C56928"/>
    <w:pPr>
      <w:spacing w:before="100" w:beforeAutospacing="1" w:after="100" w:afterAutospacing="1"/>
    </w:pPr>
  </w:style>
  <w:style w:type="paragraph" w:customStyle="1" w:styleId="desc">
    <w:name w:val="desc"/>
    <w:basedOn w:val="Normal"/>
    <w:uiPriority w:val="99"/>
    <w:rsid w:val="00C56928"/>
    <w:pPr>
      <w:spacing w:before="100" w:beforeAutospacing="1" w:after="100" w:afterAutospacing="1"/>
    </w:pPr>
  </w:style>
  <w:style w:type="paragraph" w:customStyle="1" w:styleId="details">
    <w:name w:val="details"/>
    <w:basedOn w:val="Normal"/>
    <w:uiPriority w:val="99"/>
    <w:rsid w:val="00C56928"/>
    <w:pPr>
      <w:spacing w:before="100" w:beforeAutospacing="1" w:after="100" w:afterAutospacing="1"/>
    </w:pPr>
  </w:style>
  <w:style w:type="character" w:customStyle="1" w:styleId="jrnl">
    <w:name w:val="jrnl"/>
    <w:uiPriority w:val="99"/>
    <w:rsid w:val="00C56928"/>
    <w:rPr>
      <w:rFonts w:cs="Times New Roman"/>
    </w:rPr>
  </w:style>
</w:styles>
</file>

<file path=word/webSettings.xml><?xml version="1.0" encoding="utf-8"?>
<w:webSettings xmlns:r="http://schemas.openxmlformats.org/officeDocument/2006/relationships" xmlns:w="http://schemas.openxmlformats.org/wordprocessingml/2006/main">
  <w:divs>
    <w:div w:id="2134522618">
      <w:marLeft w:val="0"/>
      <w:marRight w:val="0"/>
      <w:marTop w:val="0"/>
      <w:marBottom w:val="0"/>
      <w:divBdr>
        <w:top w:val="none" w:sz="0" w:space="0" w:color="auto"/>
        <w:left w:val="none" w:sz="0" w:space="0" w:color="auto"/>
        <w:bottom w:val="none" w:sz="0" w:space="0" w:color="auto"/>
        <w:right w:val="none" w:sz="0" w:space="0" w:color="auto"/>
      </w:divBdr>
      <w:divsChild>
        <w:div w:id="2134522672">
          <w:marLeft w:val="0"/>
          <w:marRight w:val="0"/>
          <w:marTop w:val="34"/>
          <w:marBottom w:val="34"/>
          <w:divBdr>
            <w:top w:val="none" w:sz="0" w:space="0" w:color="auto"/>
            <w:left w:val="none" w:sz="0" w:space="0" w:color="auto"/>
            <w:bottom w:val="none" w:sz="0" w:space="0" w:color="auto"/>
            <w:right w:val="none" w:sz="0" w:space="0" w:color="auto"/>
          </w:divBdr>
        </w:div>
      </w:divsChild>
    </w:div>
    <w:div w:id="2134522620">
      <w:marLeft w:val="0"/>
      <w:marRight w:val="0"/>
      <w:marTop w:val="0"/>
      <w:marBottom w:val="0"/>
      <w:divBdr>
        <w:top w:val="none" w:sz="0" w:space="0" w:color="auto"/>
        <w:left w:val="none" w:sz="0" w:space="0" w:color="auto"/>
        <w:bottom w:val="none" w:sz="0" w:space="0" w:color="auto"/>
        <w:right w:val="none" w:sz="0" w:space="0" w:color="auto"/>
      </w:divBdr>
    </w:div>
    <w:div w:id="2134522626">
      <w:marLeft w:val="0"/>
      <w:marRight w:val="0"/>
      <w:marTop w:val="0"/>
      <w:marBottom w:val="0"/>
      <w:divBdr>
        <w:top w:val="none" w:sz="0" w:space="0" w:color="auto"/>
        <w:left w:val="none" w:sz="0" w:space="0" w:color="auto"/>
        <w:bottom w:val="none" w:sz="0" w:space="0" w:color="auto"/>
        <w:right w:val="none" w:sz="0" w:space="0" w:color="auto"/>
      </w:divBdr>
      <w:divsChild>
        <w:div w:id="2134522660">
          <w:marLeft w:val="0"/>
          <w:marRight w:val="0"/>
          <w:marTop w:val="0"/>
          <w:marBottom w:val="0"/>
          <w:divBdr>
            <w:top w:val="none" w:sz="0" w:space="0" w:color="auto"/>
            <w:left w:val="none" w:sz="0" w:space="0" w:color="auto"/>
            <w:bottom w:val="none" w:sz="0" w:space="0" w:color="auto"/>
            <w:right w:val="none" w:sz="0" w:space="0" w:color="auto"/>
          </w:divBdr>
          <w:divsChild>
            <w:div w:id="2134522662">
              <w:marLeft w:val="0"/>
              <w:marRight w:val="0"/>
              <w:marTop w:val="0"/>
              <w:marBottom w:val="0"/>
              <w:divBdr>
                <w:top w:val="none" w:sz="0" w:space="0" w:color="auto"/>
                <w:left w:val="none" w:sz="0" w:space="0" w:color="auto"/>
                <w:bottom w:val="none" w:sz="0" w:space="0" w:color="auto"/>
                <w:right w:val="none" w:sz="0" w:space="0" w:color="auto"/>
              </w:divBdr>
              <w:divsChild>
                <w:div w:id="2134522623">
                  <w:marLeft w:val="0"/>
                  <w:marRight w:val="0"/>
                  <w:marTop w:val="0"/>
                  <w:marBottom w:val="0"/>
                  <w:divBdr>
                    <w:top w:val="none" w:sz="0" w:space="0" w:color="auto"/>
                    <w:left w:val="none" w:sz="0" w:space="0" w:color="auto"/>
                    <w:bottom w:val="none" w:sz="0" w:space="0" w:color="auto"/>
                    <w:right w:val="none" w:sz="0" w:space="0" w:color="auto"/>
                  </w:divBdr>
                  <w:divsChild>
                    <w:div w:id="2134522632">
                      <w:marLeft w:val="0"/>
                      <w:marRight w:val="0"/>
                      <w:marTop w:val="0"/>
                      <w:marBottom w:val="0"/>
                      <w:divBdr>
                        <w:top w:val="none" w:sz="0" w:space="0" w:color="auto"/>
                        <w:left w:val="none" w:sz="0" w:space="0" w:color="auto"/>
                        <w:bottom w:val="none" w:sz="0" w:space="0" w:color="auto"/>
                        <w:right w:val="none" w:sz="0" w:space="0" w:color="auto"/>
                      </w:divBdr>
                      <w:divsChild>
                        <w:div w:id="2134522653">
                          <w:marLeft w:val="0"/>
                          <w:marRight w:val="0"/>
                          <w:marTop w:val="0"/>
                          <w:marBottom w:val="0"/>
                          <w:divBdr>
                            <w:top w:val="none" w:sz="0" w:space="0" w:color="auto"/>
                            <w:left w:val="none" w:sz="0" w:space="0" w:color="auto"/>
                            <w:bottom w:val="none" w:sz="0" w:space="0" w:color="auto"/>
                            <w:right w:val="none" w:sz="0" w:space="0" w:color="auto"/>
                          </w:divBdr>
                          <w:divsChild>
                            <w:div w:id="2134522665">
                              <w:marLeft w:val="0"/>
                              <w:marRight w:val="0"/>
                              <w:marTop w:val="0"/>
                              <w:marBottom w:val="0"/>
                              <w:divBdr>
                                <w:top w:val="none" w:sz="0" w:space="0" w:color="auto"/>
                                <w:left w:val="none" w:sz="0" w:space="0" w:color="auto"/>
                                <w:bottom w:val="none" w:sz="0" w:space="0" w:color="auto"/>
                                <w:right w:val="none" w:sz="0" w:space="0" w:color="auto"/>
                              </w:divBdr>
                              <w:divsChild>
                                <w:div w:id="2134522642">
                                  <w:marLeft w:val="0"/>
                                  <w:marRight w:val="0"/>
                                  <w:marTop w:val="0"/>
                                  <w:marBottom w:val="0"/>
                                  <w:divBdr>
                                    <w:top w:val="none" w:sz="0" w:space="0" w:color="auto"/>
                                    <w:left w:val="none" w:sz="0" w:space="0" w:color="auto"/>
                                    <w:bottom w:val="none" w:sz="0" w:space="0" w:color="auto"/>
                                    <w:right w:val="none" w:sz="0" w:space="0" w:color="auto"/>
                                  </w:divBdr>
                                  <w:divsChild>
                                    <w:div w:id="21345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22628">
      <w:marLeft w:val="0"/>
      <w:marRight w:val="0"/>
      <w:marTop w:val="0"/>
      <w:marBottom w:val="0"/>
      <w:divBdr>
        <w:top w:val="none" w:sz="0" w:space="0" w:color="auto"/>
        <w:left w:val="none" w:sz="0" w:space="0" w:color="auto"/>
        <w:bottom w:val="none" w:sz="0" w:space="0" w:color="auto"/>
        <w:right w:val="none" w:sz="0" w:space="0" w:color="auto"/>
      </w:divBdr>
    </w:div>
    <w:div w:id="2134522629">
      <w:marLeft w:val="0"/>
      <w:marRight w:val="0"/>
      <w:marTop w:val="0"/>
      <w:marBottom w:val="0"/>
      <w:divBdr>
        <w:top w:val="none" w:sz="0" w:space="0" w:color="auto"/>
        <w:left w:val="none" w:sz="0" w:space="0" w:color="auto"/>
        <w:bottom w:val="none" w:sz="0" w:space="0" w:color="auto"/>
        <w:right w:val="none" w:sz="0" w:space="0" w:color="auto"/>
      </w:divBdr>
      <w:divsChild>
        <w:div w:id="2134522627">
          <w:marLeft w:val="0"/>
          <w:marRight w:val="0"/>
          <w:marTop w:val="0"/>
          <w:marBottom w:val="0"/>
          <w:divBdr>
            <w:top w:val="none" w:sz="0" w:space="0" w:color="auto"/>
            <w:left w:val="none" w:sz="0" w:space="0" w:color="auto"/>
            <w:bottom w:val="none" w:sz="0" w:space="0" w:color="auto"/>
            <w:right w:val="none" w:sz="0" w:space="0" w:color="auto"/>
          </w:divBdr>
        </w:div>
      </w:divsChild>
    </w:div>
    <w:div w:id="2134522635">
      <w:marLeft w:val="0"/>
      <w:marRight w:val="0"/>
      <w:marTop w:val="0"/>
      <w:marBottom w:val="0"/>
      <w:divBdr>
        <w:top w:val="none" w:sz="0" w:space="0" w:color="auto"/>
        <w:left w:val="none" w:sz="0" w:space="0" w:color="auto"/>
        <w:bottom w:val="none" w:sz="0" w:space="0" w:color="auto"/>
        <w:right w:val="none" w:sz="0" w:space="0" w:color="auto"/>
      </w:divBdr>
    </w:div>
    <w:div w:id="2134522639">
      <w:marLeft w:val="0"/>
      <w:marRight w:val="0"/>
      <w:marTop w:val="0"/>
      <w:marBottom w:val="0"/>
      <w:divBdr>
        <w:top w:val="none" w:sz="0" w:space="0" w:color="auto"/>
        <w:left w:val="none" w:sz="0" w:space="0" w:color="auto"/>
        <w:bottom w:val="none" w:sz="0" w:space="0" w:color="auto"/>
        <w:right w:val="none" w:sz="0" w:space="0" w:color="auto"/>
      </w:divBdr>
    </w:div>
    <w:div w:id="2134522646">
      <w:marLeft w:val="0"/>
      <w:marRight w:val="0"/>
      <w:marTop w:val="0"/>
      <w:marBottom w:val="0"/>
      <w:divBdr>
        <w:top w:val="none" w:sz="0" w:space="0" w:color="auto"/>
        <w:left w:val="none" w:sz="0" w:space="0" w:color="auto"/>
        <w:bottom w:val="none" w:sz="0" w:space="0" w:color="auto"/>
        <w:right w:val="none" w:sz="0" w:space="0" w:color="auto"/>
      </w:divBdr>
    </w:div>
    <w:div w:id="2134522647">
      <w:marLeft w:val="0"/>
      <w:marRight w:val="0"/>
      <w:marTop w:val="0"/>
      <w:marBottom w:val="0"/>
      <w:divBdr>
        <w:top w:val="none" w:sz="0" w:space="0" w:color="auto"/>
        <w:left w:val="none" w:sz="0" w:space="0" w:color="auto"/>
        <w:bottom w:val="none" w:sz="0" w:space="0" w:color="auto"/>
        <w:right w:val="none" w:sz="0" w:space="0" w:color="auto"/>
      </w:divBdr>
      <w:divsChild>
        <w:div w:id="2134522668">
          <w:marLeft w:val="0"/>
          <w:marRight w:val="0"/>
          <w:marTop w:val="0"/>
          <w:marBottom w:val="0"/>
          <w:divBdr>
            <w:top w:val="none" w:sz="0" w:space="0" w:color="auto"/>
            <w:left w:val="none" w:sz="0" w:space="0" w:color="auto"/>
            <w:bottom w:val="none" w:sz="0" w:space="0" w:color="auto"/>
            <w:right w:val="none" w:sz="0" w:space="0" w:color="auto"/>
          </w:divBdr>
          <w:divsChild>
            <w:div w:id="2134522634">
              <w:marLeft w:val="0"/>
              <w:marRight w:val="0"/>
              <w:marTop w:val="0"/>
              <w:marBottom w:val="0"/>
              <w:divBdr>
                <w:top w:val="none" w:sz="0" w:space="0" w:color="auto"/>
                <w:left w:val="none" w:sz="0" w:space="0" w:color="auto"/>
                <w:bottom w:val="none" w:sz="0" w:space="0" w:color="auto"/>
                <w:right w:val="none" w:sz="0" w:space="0" w:color="auto"/>
              </w:divBdr>
            </w:div>
            <w:div w:id="2134522640">
              <w:marLeft w:val="0"/>
              <w:marRight w:val="0"/>
              <w:marTop w:val="0"/>
              <w:marBottom w:val="0"/>
              <w:divBdr>
                <w:top w:val="none" w:sz="0" w:space="0" w:color="auto"/>
                <w:left w:val="none" w:sz="0" w:space="0" w:color="auto"/>
                <w:bottom w:val="none" w:sz="0" w:space="0" w:color="auto"/>
                <w:right w:val="none" w:sz="0" w:space="0" w:color="auto"/>
              </w:divBdr>
            </w:div>
            <w:div w:id="2134522644">
              <w:marLeft w:val="0"/>
              <w:marRight w:val="0"/>
              <w:marTop w:val="0"/>
              <w:marBottom w:val="0"/>
              <w:divBdr>
                <w:top w:val="none" w:sz="0" w:space="0" w:color="auto"/>
                <w:left w:val="none" w:sz="0" w:space="0" w:color="auto"/>
                <w:bottom w:val="none" w:sz="0" w:space="0" w:color="auto"/>
                <w:right w:val="none" w:sz="0" w:space="0" w:color="auto"/>
              </w:divBdr>
            </w:div>
            <w:div w:id="2134522658">
              <w:marLeft w:val="0"/>
              <w:marRight w:val="0"/>
              <w:marTop w:val="0"/>
              <w:marBottom w:val="0"/>
              <w:divBdr>
                <w:top w:val="none" w:sz="0" w:space="0" w:color="auto"/>
                <w:left w:val="none" w:sz="0" w:space="0" w:color="auto"/>
                <w:bottom w:val="none" w:sz="0" w:space="0" w:color="auto"/>
                <w:right w:val="none" w:sz="0" w:space="0" w:color="auto"/>
              </w:divBdr>
            </w:div>
            <w:div w:id="2134522659">
              <w:marLeft w:val="0"/>
              <w:marRight w:val="0"/>
              <w:marTop w:val="0"/>
              <w:marBottom w:val="0"/>
              <w:divBdr>
                <w:top w:val="none" w:sz="0" w:space="0" w:color="auto"/>
                <w:left w:val="none" w:sz="0" w:space="0" w:color="auto"/>
                <w:bottom w:val="none" w:sz="0" w:space="0" w:color="auto"/>
                <w:right w:val="none" w:sz="0" w:space="0" w:color="auto"/>
              </w:divBdr>
            </w:div>
            <w:div w:id="2134522669">
              <w:marLeft w:val="0"/>
              <w:marRight w:val="0"/>
              <w:marTop w:val="0"/>
              <w:marBottom w:val="0"/>
              <w:divBdr>
                <w:top w:val="none" w:sz="0" w:space="0" w:color="auto"/>
                <w:left w:val="none" w:sz="0" w:space="0" w:color="auto"/>
                <w:bottom w:val="none" w:sz="0" w:space="0" w:color="auto"/>
                <w:right w:val="none" w:sz="0" w:space="0" w:color="auto"/>
              </w:divBdr>
            </w:div>
            <w:div w:id="2134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2648">
      <w:marLeft w:val="0"/>
      <w:marRight w:val="0"/>
      <w:marTop w:val="0"/>
      <w:marBottom w:val="0"/>
      <w:divBdr>
        <w:top w:val="none" w:sz="0" w:space="0" w:color="auto"/>
        <w:left w:val="none" w:sz="0" w:space="0" w:color="auto"/>
        <w:bottom w:val="none" w:sz="0" w:space="0" w:color="auto"/>
        <w:right w:val="none" w:sz="0" w:space="0" w:color="auto"/>
      </w:divBdr>
    </w:div>
    <w:div w:id="2134522649">
      <w:marLeft w:val="0"/>
      <w:marRight w:val="0"/>
      <w:marTop w:val="0"/>
      <w:marBottom w:val="0"/>
      <w:divBdr>
        <w:top w:val="none" w:sz="0" w:space="0" w:color="auto"/>
        <w:left w:val="none" w:sz="0" w:space="0" w:color="auto"/>
        <w:bottom w:val="none" w:sz="0" w:space="0" w:color="auto"/>
        <w:right w:val="none" w:sz="0" w:space="0" w:color="auto"/>
      </w:divBdr>
      <w:divsChild>
        <w:div w:id="2134522651">
          <w:marLeft w:val="0"/>
          <w:marRight w:val="0"/>
          <w:marTop w:val="0"/>
          <w:marBottom w:val="0"/>
          <w:divBdr>
            <w:top w:val="none" w:sz="0" w:space="0" w:color="auto"/>
            <w:left w:val="none" w:sz="0" w:space="0" w:color="auto"/>
            <w:bottom w:val="none" w:sz="0" w:space="0" w:color="auto"/>
            <w:right w:val="none" w:sz="0" w:space="0" w:color="auto"/>
          </w:divBdr>
        </w:div>
      </w:divsChild>
    </w:div>
    <w:div w:id="2134522652">
      <w:marLeft w:val="0"/>
      <w:marRight w:val="0"/>
      <w:marTop w:val="0"/>
      <w:marBottom w:val="0"/>
      <w:divBdr>
        <w:top w:val="none" w:sz="0" w:space="0" w:color="auto"/>
        <w:left w:val="none" w:sz="0" w:space="0" w:color="auto"/>
        <w:bottom w:val="none" w:sz="0" w:space="0" w:color="auto"/>
        <w:right w:val="none" w:sz="0" w:space="0" w:color="auto"/>
      </w:divBdr>
      <w:divsChild>
        <w:div w:id="2134522643">
          <w:marLeft w:val="0"/>
          <w:marRight w:val="0"/>
          <w:marTop w:val="0"/>
          <w:marBottom w:val="0"/>
          <w:divBdr>
            <w:top w:val="none" w:sz="0" w:space="0" w:color="auto"/>
            <w:left w:val="none" w:sz="0" w:space="0" w:color="auto"/>
            <w:bottom w:val="none" w:sz="0" w:space="0" w:color="auto"/>
            <w:right w:val="none" w:sz="0" w:space="0" w:color="auto"/>
          </w:divBdr>
          <w:divsChild>
            <w:div w:id="2134522633">
              <w:marLeft w:val="0"/>
              <w:marRight w:val="0"/>
              <w:marTop w:val="0"/>
              <w:marBottom w:val="0"/>
              <w:divBdr>
                <w:top w:val="none" w:sz="0" w:space="0" w:color="auto"/>
                <w:left w:val="none" w:sz="0" w:space="0" w:color="auto"/>
                <w:bottom w:val="none" w:sz="0" w:space="0" w:color="auto"/>
                <w:right w:val="none" w:sz="0" w:space="0" w:color="auto"/>
              </w:divBdr>
              <w:divsChild>
                <w:div w:id="2134522630">
                  <w:marLeft w:val="0"/>
                  <w:marRight w:val="0"/>
                  <w:marTop w:val="0"/>
                  <w:marBottom w:val="0"/>
                  <w:divBdr>
                    <w:top w:val="none" w:sz="0" w:space="0" w:color="auto"/>
                    <w:left w:val="none" w:sz="0" w:space="0" w:color="auto"/>
                    <w:bottom w:val="none" w:sz="0" w:space="0" w:color="auto"/>
                    <w:right w:val="none" w:sz="0" w:space="0" w:color="auto"/>
                  </w:divBdr>
                  <w:divsChild>
                    <w:div w:id="2134522670">
                      <w:marLeft w:val="0"/>
                      <w:marRight w:val="0"/>
                      <w:marTop w:val="0"/>
                      <w:marBottom w:val="0"/>
                      <w:divBdr>
                        <w:top w:val="none" w:sz="0" w:space="0" w:color="auto"/>
                        <w:left w:val="none" w:sz="0" w:space="0" w:color="auto"/>
                        <w:bottom w:val="none" w:sz="0" w:space="0" w:color="auto"/>
                        <w:right w:val="none" w:sz="0" w:space="0" w:color="auto"/>
                      </w:divBdr>
                      <w:divsChild>
                        <w:div w:id="2134522656">
                          <w:marLeft w:val="0"/>
                          <w:marRight w:val="0"/>
                          <w:marTop w:val="0"/>
                          <w:marBottom w:val="0"/>
                          <w:divBdr>
                            <w:top w:val="none" w:sz="0" w:space="0" w:color="auto"/>
                            <w:left w:val="none" w:sz="0" w:space="0" w:color="auto"/>
                            <w:bottom w:val="none" w:sz="0" w:space="0" w:color="auto"/>
                            <w:right w:val="none" w:sz="0" w:space="0" w:color="auto"/>
                          </w:divBdr>
                          <w:divsChild>
                            <w:div w:id="2134522645">
                              <w:marLeft w:val="0"/>
                              <w:marRight w:val="0"/>
                              <w:marTop w:val="0"/>
                              <w:marBottom w:val="0"/>
                              <w:divBdr>
                                <w:top w:val="none" w:sz="0" w:space="0" w:color="auto"/>
                                <w:left w:val="none" w:sz="0" w:space="0" w:color="auto"/>
                                <w:bottom w:val="none" w:sz="0" w:space="0" w:color="auto"/>
                                <w:right w:val="none" w:sz="0" w:space="0" w:color="auto"/>
                              </w:divBdr>
                              <w:divsChild>
                                <w:div w:id="2134522663">
                                  <w:marLeft w:val="0"/>
                                  <w:marRight w:val="0"/>
                                  <w:marTop w:val="0"/>
                                  <w:marBottom w:val="0"/>
                                  <w:divBdr>
                                    <w:top w:val="none" w:sz="0" w:space="0" w:color="auto"/>
                                    <w:left w:val="none" w:sz="0" w:space="0" w:color="auto"/>
                                    <w:bottom w:val="none" w:sz="0" w:space="0" w:color="auto"/>
                                    <w:right w:val="none" w:sz="0" w:space="0" w:color="auto"/>
                                  </w:divBdr>
                                  <w:divsChild>
                                    <w:div w:id="21345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22654">
      <w:marLeft w:val="0"/>
      <w:marRight w:val="0"/>
      <w:marTop w:val="0"/>
      <w:marBottom w:val="0"/>
      <w:divBdr>
        <w:top w:val="none" w:sz="0" w:space="0" w:color="auto"/>
        <w:left w:val="none" w:sz="0" w:space="0" w:color="auto"/>
        <w:bottom w:val="none" w:sz="0" w:space="0" w:color="auto"/>
        <w:right w:val="none" w:sz="0" w:space="0" w:color="auto"/>
      </w:divBdr>
      <w:divsChild>
        <w:div w:id="2134522641">
          <w:marLeft w:val="0"/>
          <w:marRight w:val="0"/>
          <w:marTop w:val="0"/>
          <w:marBottom w:val="0"/>
          <w:divBdr>
            <w:top w:val="none" w:sz="0" w:space="0" w:color="auto"/>
            <w:left w:val="none" w:sz="0" w:space="0" w:color="auto"/>
            <w:bottom w:val="none" w:sz="0" w:space="0" w:color="auto"/>
            <w:right w:val="none" w:sz="0" w:space="0" w:color="auto"/>
          </w:divBdr>
          <w:divsChild>
            <w:div w:id="2134522636">
              <w:marLeft w:val="0"/>
              <w:marRight w:val="0"/>
              <w:marTop w:val="0"/>
              <w:marBottom w:val="0"/>
              <w:divBdr>
                <w:top w:val="none" w:sz="0" w:space="0" w:color="auto"/>
                <w:left w:val="none" w:sz="0" w:space="0" w:color="auto"/>
                <w:bottom w:val="none" w:sz="0" w:space="0" w:color="auto"/>
                <w:right w:val="none" w:sz="0" w:space="0" w:color="auto"/>
              </w:divBdr>
              <w:divsChild>
                <w:div w:id="2134522625">
                  <w:marLeft w:val="0"/>
                  <w:marRight w:val="0"/>
                  <w:marTop w:val="0"/>
                  <w:marBottom w:val="0"/>
                  <w:divBdr>
                    <w:top w:val="none" w:sz="0" w:space="0" w:color="auto"/>
                    <w:left w:val="none" w:sz="0" w:space="0" w:color="auto"/>
                    <w:bottom w:val="none" w:sz="0" w:space="0" w:color="auto"/>
                    <w:right w:val="none" w:sz="0" w:space="0" w:color="auto"/>
                  </w:divBdr>
                  <w:divsChild>
                    <w:div w:id="2134522624">
                      <w:marLeft w:val="0"/>
                      <w:marRight w:val="0"/>
                      <w:marTop w:val="0"/>
                      <w:marBottom w:val="0"/>
                      <w:divBdr>
                        <w:top w:val="none" w:sz="0" w:space="0" w:color="auto"/>
                        <w:left w:val="none" w:sz="0" w:space="0" w:color="auto"/>
                        <w:bottom w:val="none" w:sz="0" w:space="0" w:color="auto"/>
                        <w:right w:val="none" w:sz="0" w:space="0" w:color="auto"/>
                      </w:divBdr>
                      <w:divsChild>
                        <w:div w:id="2134522631">
                          <w:marLeft w:val="0"/>
                          <w:marRight w:val="0"/>
                          <w:marTop w:val="0"/>
                          <w:marBottom w:val="0"/>
                          <w:divBdr>
                            <w:top w:val="none" w:sz="0" w:space="0" w:color="auto"/>
                            <w:left w:val="none" w:sz="0" w:space="0" w:color="auto"/>
                            <w:bottom w:val="none" w:sz="0" w:space="0" w:color="auto"/>
                            <w:right w:val="none" w:sz="0" w:space="0" w:color="auto"/>
                          </w:divBdr>
                          <w:divsChild>
                            <w:div w:id="2134522667">
                              <w:marLeft w:val="0"/>
                              <w:marRight w:val="0"/>
                              <w:marTop w:val="0"/>
                              <w:marBottom w:val="0"/>
                              <w:divBdr>
                                <w:top w:val="none" w:sz="0" w:space="0" w:color="auto"/>
                                <w:left w:val="none" w:sz="0" w:space="0" w:color="auto"/>
                                <w:bottom w:val="none" w:sz="0" w:space="0" w:color="auto"/>
                                <w:right w:val="none" w:sz="0" w:space="0" w:color="auto"/>
                              </w:divBdr>
                              <w:divsChild>
                                <w:div w:id="2134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522655">
      <w:marLeft w:val="0"/>
      <w:marRight w:val="0"/>
      <w:marTop w:val="0"/>
      <w:marBottom w:val="0"/>
      <w:divBdr>
        <w:top w:val="none" w:sz="0" w:space="0" w:color="auto"/>
        <w:left w:val="none" w:sz="0" w:space="0" w:color="auto"/>
        <w:bottom w:val="none" w:sz="0" w:space="0" w:color="auto"/>
        <w:right w:val="none" w:sz="0" w:space="0" w:color="auto"/>
      </w:divBdr>
      <w:divsChild>
        <w:div w:id="2134522619">
          <w:marLeft w:val="0"/>
          <w:marRight w:val="0"/>
          <w:marTop w:val="0"/>
          <w:marBottom w:val="0"/>
          <w:divBdr>
            <w:top w:val="none" w:sz="0" w:space="0" w:color="auto"/>
            <w:left w:val="none" w:sz="0" w:space="0" w:color="auto"/>
            <w:bottom w:val="none" w:sz="0" w:space="0" w:color="auto"/>
            <w:right w:val="none" w:sz="0" w:space="0" w:color="auto"/>
          </w:divBdr>
          <w:divsChild>
            <w:div w:id="2134522637">
              <w:marLeft w:val="0"/>
              <w:marRight w:val="0"/>
              <w:marTop w:val="0"/>
              <w:marBottom w:val="0"/>
              <w:divBdr>
                <w:top w:val="none" w:sz="0" w:space="0" w:color="auto"/>
                <w:left w:val="none" w:sz="0" w:space="0" w:color="auto"/>
                <w:bottom w:val="none" w:sz="0" w:space="0" w:color="auto"/>
                <w:right w:val="none" w:sz="0" w:space="0" w:color="auto"/>
              </w:divBdr>
            </w:div>
            <w:div w:id="21345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2657">
      <w:marLeft w:val="0"/>
      <w:marRight w:val="0"/>
      <w:marTop w:val="0"/>
      <w:marBottom w:val="0"/>
      <w:divBdr>
        <w:top w:val="none" w:sz="0" w:space="0" w:color="auto"/>
        <w:left w:val="none" w:sz="0" w:space="0" w:color="auto"/>
        <w:bottom w:val="none" w:sz="0" w:space="0" w:color="auto"/>
        <w:right w:val="none" w:sz="0" w:space="0" w:color="auto"/>
      </w:divBdr>
    </w:div>
    <w:div w:id="2134522661">
      <w:marLeft w:val="0"/>
      <w:marRight w:val="0"/>
      <w:marTop w:val="0"/>
      <w:marBottom w:val="0"/>
      <w:divBdr>
        <w:top w:val="none" w:sz="0" w:space="0" w:color="auto"/>
        <w:left w:val="none" w:sz="0" w:space="0" w:color="auto"/>
        <w:bottom w:val="none" w:sz="0" w:space="0" w:color="auto"/>
        <w:right w:val="none" w:sz="0" w:space="0" w:color="auto"/>
      </w:divBdr>
    </w:div>
    <w:div w:id="2134522664">
      <w:marLeft w:val="0"/>
      <w:marRight w:val="0"/>
      <w:marTop w:val="0"/>
      <w:marBottom w:val="0"/>
      <w:divBdr>
        <w:top w:val="none" w:sz="0" w:space="0" w:color="auto"/>
        <w:left w:val="none" w:sz="0" w:space="0" w:color="auto"/>
        <w:bottom w:val="none" w:sz="0" w:space="0" w:color="auto"/>
        <w:right w:val="none" w:sz="0" w:space="0" w:color="auto"/>
      </w:divBdr>
      <w:divsChild>
        <w:div w:id="21345226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uposdetrabajo.sefh.es/genesis/" TargetMode="External"/><Relationship Id="rId13" Type="http://schemas.openxmlformats.org/officeDocument/2006/relationships/hyperlink" Target="https://www.espanol.ninds.nih.gov/trastornos/las_miastenia_gravis.htm" TargetMode="External"/><Relationship Id="rId18" Type="http://schemas.openxmlformats.org/officeDocument/2006/relationships/hyperlink" Target="http://www.medicosypacientes.com/articulo/cerca-de-10000-personas-en-espana-padecen-miastenia-gravis-una-enfermedad-autoinmu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fh.org/historico-de-informes/" TargetMode="External"/><Relationship Id="rId12" Type="http://schemas.openxmlformats.org/officeDocument/2006/relationships/hyperlink" Target="https://www.uptodate.com/contents/diagnosis-of-myasthenia-gravis?search=miastenia%20gravis%20generalizada&amp;source=search_result&amp;selectedTitle=2~150&amp;usage_type=default&amp;display_rank=2" TargetMode="External"/><Relationship Id="rId17" Type="http://schemas.openxmlformats.org/officeDocument/2006/relationships/hyperlink" Target="http://www.ema.europa.eu/docs/en_GB/document_library/EPAR_-_Assessment_Report_-_Variation/human/000791/WC500233876.pdf.%20Consultado%20el%20d&#237;a%2023/02/2018" TargetMode="External"/><Relationship Id="rId2" Type="http://schemas.openxmlformats.org/officeDocument/2006/relationships/styles" Target="styles.xml"/><Relationship Id="rId16" Type="http://schemas.openxmlformats.org/officeDocument/2006/relationships/hyperlink" Target="https://cima.aemps.es/cima/pdfs/es/ft/07393001/FT_0739300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mss.gob.mx/sites/all/statics/guiasclinicas/391GRR.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meda.es/sintomas/debilidad_muscular.html" TargetMode="External"/><Relationship Id="rId14" Type="http://schemas.openxmlformats.org/officeDocument/2006/relationships/hyperlink" Target="http://miastenia.ong/index.php/noticias-publicas/ponenci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9444</Words>
  <Characters>57359</Characters>
  <Application>Microsoft Office Word</Application>
  <DocSecurity>0</DocSecurity>
  <Lines>477</Lines>
  <Paragraphs>133</Paragraphs>
  <ScaleCrop>false</ScaleCrop>
  <Company>Hewlett-Packard Company</Company>
  <LinksUpToDate>false</LinksUpToDate>
  <CharactersWithSpaces>66670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ECULIZUMAB</dc:title>
  <dc:creator>usuario</dc:creator>
  <cp:lastModifiedBy>Dolores Fraga</cp:lastModifiedBy>
  <cp:revision>2</cp:revision>
  <cp:lastPrinted>2019-04-18T10:54:00Z</cp:lastPrinted>
  <dcterms:created xsi:type="dcterms:W3CDTF">2019-04-20T08:58:00Z</dcterms:created>
  <dcterms:modified xsi:type="dcterms:W3CDTF">2019-04-20T08:58:00Z</dcterms:modified>
</cp:coreProperties>
</file>