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906EB" w:rsidRPr="00A43D05" w:rsidRDefault="007906EB" w:rsidP="00A43D05">
      <w:bookmarkStart w:id="0" w:name="_Hlk486364645"/>
    </w:p>
    <w:tbl>
      <w:tblPr>
        <w:tblW w:w="0" w:type="auto"/>
        <w:tblBorders>
          <w:top w:val="single" w:sz="24" w:space="0" w:color="9BBB59"/>
          <w:left w:val="single" w:sz="4" w:space="0" w:color="9BBB59"/>
          <w:bottom w:val="single" w:sz="24" w:space="0" w:color="9BBB59"/>
          <w:right w:val="single" w:sz="4" w:space="0" w:color="9BBB59"/>
        </w:tblBorders>
        <w:tblLayout w:type="fixed"/>
        <w:tblLook w:val="0000"/>
      </w:tblPr>
      <w:tblGrid>
        <w:gridCol w:w="8644"/>
      </w:tblGrid>
      <w:tr w:rsidR="00A43D05" w:rsidTr="007906EB">
        <w:tc>
          <w:tcPr>
            <w:tcW w:w="8644" w:type="dxa"/>
            <w:shd w:val="clear" w:color="auto" w:fill="D6E3BC"/>
          </w:tcPr>
          <w:p w:rsidR="00A43D05" w:rsidRPr="00417F5B" w:rsidRDefault="00A43D05" w:rsidP="007906EB">
            <w:pPr>
              <w:jc w:val="center"/>
              <w:rPr>
                <w:rFonts w:ascii="Arial" w:hAnsi="Arial"/>
                <w:b/>
                <w:color w:val="000000"/>
                <w:sz w:val="40"/>
              </w:rPr>
            </w:pPr>
          </w:p>
          <w:p w:rsidR="00A43D05" w:rsidRPr="00A43D05" w:rsidRDefault="00A43D05" w:rsidP="00A43D05">
            <w:pPr>
              <w:jc w:val="center"/>
              <w:rPr>
                <w:rFonts w:ascii="Arial" w:hAnsi="Arial"/>
                <w:b/>
                <w:color w:val="396228"/>
                <w:sz w:val="40"/>
              </w:rPr>
            </w:pPr>
            <w:r w:rsidRPr="00A43D05">
              <w:rPr>
                <w:rFonts w:ascii="Arial" w:hAnsi="Arial"/>
                <w:b/>
                <w:color w:val="396228"/>
                <w:sz w:val="40"/>
              </w:rPr>
              <w:t xml:space="preserve">ABIRATERONA </w:t>
            </w:r>
          </w:p>
          <w:p w:rsidR="00A43D05" w:rsidRPr="00A43D05" w:rsidRDefault="00A43D05" w:rsidP="00A43D05">
            <w:pPr>
              <w:jc w:val="center"/>
              <w:rPr>
                <w:rFonts w:ascii="Arial" w:hAnsi="Arial" w:cs="Arial"/>
                <w:color w:val="000000"/>
                <w:sz w:val="20"/>
              </w:rPr>
            </w:pPr>
            <w:r w:rsidRPr="00A43D05">
              <w:rPr>
                <w:rFonts w:ascii="Arial" w:hAnsi="Arial"/>
                <w:b/>
                <w:color w:val="396228"/>
                <w:sz w:val="32"/>
              </w:rPr>
              <w:t>en combinación con la</w:t>
            </w:r>
            <w:r>
              <w:rPr>
                <w:rFonts w:ascii="Arial" w:hAnsi="Arial"/>
                <w:b/>
                <w:color w:val="396228"/>
                <w:sz w:val="32"/>
              </w:rPr>
              <w:t xml:space="preserve"> </w:t>
            </w:r>
            <w:r w:rsidRPr="00A43D05">
              <w:rPr>
                <w:rFonts w:ascii="Arial" w:hAnsi="Arial"/>
                <w:b/>
                <w:color w:val="396228"/>
                <w:sz w:val="32"/>
              </w:rPr>
              <w:t>terapia de deprivación de andrógenos</w:t>
            </w:r>
            <w:r>
              <w:rPr>
                <w:rFonts w:ascii="Arial" w:hAnsi="Arial"/>
                <w:b/>
                <w:color w:val="396228"/>
                <w:sz w:val="32"/>
              </w:rPr>
              <w:t xml:space="preserve"> </w:t>
            </w:r>
            <w:r w:rsidRPr="00A43D05">
              <w:rPr>
                <w:rFonts w:ascii="Arial" w:hAnsi="Arial"/>
                <w:b/>
                <w:color w:val="396228"/>
                <w:sz w:val="32"/>
              </w:rPr>
              <w:t>en 1ª línea de Cáncer de Próstata metastásico de alto riesgo hormono sensible</w:t>
            </w:r>
          </w:p>
          <w:p w:rsidR="00A43D05" w:rsidRDefault="00A43D05" w:rsidP="007906EB">
            <w:pPr>
              <w:jc w:val="center"/>
              <w:rPr>
                <w:rFonts w:ascii="Arial" w:hAnsi="Arial" w:cs="Arial"/>
                <w:color w:val="000000"/>
              </w:rPr>
            </w:pPr>
            <w:r w:rsidRPr="00417F5B">
              <w:rPr>
                <w:rFonts w:ascii="Arial" w:hAnsi="Arial" w:cs="Arial"/>
                <w:color w:val="000000"/>
              </w:rPr>
              <w:t xml:space="preserve"> </w:t>
            </w:r>
          </w:p>
          <w:p w:rsidR="00A43D05" w:rsidRPr="00417F5B" w:rsidRDefault="00A43D05" w:rsidP="007906EB">
            <w:pPr>
              <w:jc w:val="center"/>
              <w:rPr>
                <w:rFonts w:ascii="Arial" w:hAnsi="Arial" w:cs="Arial"/>
                <w:color w:val="000000"/>
              </w:rPr>
            </w:pPr>
            <w:r w:rsidRPr="00417F5B">
              <w:rPr>
                <w:rFonts w:ascii="Arial" w:hAnsi="Arial" w:cs="Arial"/>
                <w:color w:val="000000"/>
              </w:rPr>
              <w:t>Informe para la Guía Farmacoterapéutica de Hospitales de Andalucía</w:t>
            </w:r>
          </w:p>
          <w:p w:rsidR="00A43D05" w:rsidRPr="00417F5B" w:rsidRDefault="00A43D05" w:rsidP="007906EB">
            <w:pPr>
              <w:rPr>
                <w:rFonts w:ascii="Arial" w:hAnsi="Arial"/>
                <w:color w:val="0000FF"/>
              </w:rPr>
            </w:pPr>
          </w:p>
        </w:tc>
      </w:tr>
      <w:tr w:rsidR="00A43D05" w:rsidTr="007906EB">
        <w:tc>
          <w:tcPr>
            <w:tcW w:w="8644" w:type="dxa"/>
            <w:shd w:val="clear" w:color="auto" w:fill="D6E3BC"/>
          </w:tcPr>
          <w:p w:rsidR="00A43D05" w:rsidRDefault="007906EB" w:rsidP="007906EB">
            <w:pPr>
              <w:jc w:val="center"/>
              <w:rPr>
                <w:rFonts w:ascii="Arial" w:hAnsi="Arial" w:cs="Arial"/>
                <w:i/>
                <w:color w:val="000000"/>
              </w:rPr>
            </w:pPr>
            <w:r>
              <w:rPr>
                <w:rFonts w:ascii="Arial" w:hAnsi="Arial" w:cs="Arial"/>
                <w:i/>
                <w:color w:val="000000"/>
              </w:rPr>
              <w:t>Diciembre</w:t>
            </w:r>
            <w:r w:rsidR="00A43D05">
              <w:rPr>
                <w:rFonts w:ascii="Arial" w:hAnsi="Arial" w:cs="Arial"/>
                <w:i/>
                <w:color w:val="000000"/>
              </w:rPr>
              <w:t xml:space="preserve"> 2018</w:t>
            </w:r>
          </w:p>
          <w:p w:rsidR="00683AE2" w:rsidRPr="0099218D" w:rsidRDefault="00683AE2" w:rsidP="007906EB">
            <w:pPr>
              <w:jc w:val="center"/>
              <w:rPr>
                <w:rFonts w:ascii="Arial" w:hAnsi="Arial" w:cs="Arial"/>
                <w:i/>
                <w:color w:val="000000"/>
              </w:rPr>
            </w:pPr>
            <w:r>
              <w:rPr>
                <w:rFonts w:ascii="Arial" w:hAnsi="Arial" w:cs="Arial"/>
                <w:i/>
                <w:color w:val="000000"/>
              </w:rPr>
              <w:t>(Revisado febrero 2019)</w:t>
            </w:r>
          </w:p>
        </w:tc>
      </w:tr>
      <w:bookmarkEnd w:id="0"/>
    </w:tbl>
    <w:p w:rsidR="00A43D05" w:rsidRDefault="00A43D05" w:rsidP="00A43D05">
      <w:pPr>
        <w:pStyle w:val="TtulodeTDC1"/>
        <w:spacing w:before="120"/>
        <w:rPr>
          <w:rFonts w:ascii="Calibri" w:hAnsi="Calibri" w:cs="Calibri"/>
          <w:color w:val="396228"/>
        </w:rPr>
      </w:pPr>
    </w:p>
    <w:p w:rsidR="00A43D05" w:rsidRDefault="00A43D05" w:rsidP="00A43D05">
      <w:pPr>
        <w:rPr>
          <w:rFonts w:ascii="Arial" w:hAnsi="Arial" w:cs="Arial"/>
          <w:b/>
          <w:bCs/>
          <w:sz w:val="20"/>
          <w:szCs w:val="20"/>
        </w:rPr>
      </w:pPr>
      <w:r>
        <w:rPr>
          <w:rFonts w:ascii="Arial" w:hAnsi="Arial" w:cs="Arial"/>
          <w:b/>
          <w:bCs/>
          <w:sz w:val="20"/>
          <w:szCs w:val="20"/>
        </w:rPr>
        <w:t>ÍNDICE:</w:t>
      </w:r>
    </w:p>
    <w:p w:rsidR="00A43D05" w:rsidRDefault="00A43D05" w:rsidP="00A43D05">
      <w:pPr>
        <w:rPr>
          <w:rFonts w:ascii="Arial" w:hAnsi="Arial" w:cs="Arial"/>
          <w:b/>
          <w:bCs/>
          <w:sz w:val="20"/>
          <w:szCs w:val="20"/>
        </w:rPr>
      </w:pPr>
    </w:p>
    <w:p w:rsidR="00A43D05" w:rsidRPr="00A43D05" w:rsidRDefault="00F33243">
      <w:pPr>
        <w:pStyle w:val="TDC1"/>
        <w:tabs>
          <w:tab w:val="right" w:leader="dot" w:pos="8729"/>
        </w:tabs>
        <w:rPr>
          <w:rFonts w:ascii="Arial" w:eastAsiaTheme="minorEastAsia" w:hAnsi="Arial" w:cs="Arial"/>
          <w:noProof/>
          <w:sz w:val="18"/>
          <w:szCs w:val="18"/>
          <w:lang w:eastAsia="es-ES"/>
        </w:rPr>
      </w:pPr>
      <w:r w:rsidRPr="00A43D05">
        <w:rPr>
          <w:rFonts w:ascii="Arial" w:hAnsi="Arial" w:cs="Arial"/>
          <w:sz w:val="18"/>
          <w:szCs w:val="18"/>
        </w:rPr>
        <w:fldChar w:fldCharType="begin"/>
      </w:r>
      <w:r w:rsidR="00A43D05" w:rsidRPr="00A43D05">
        <w:rPr>
          <w:rFonts w:ascii="Arial" w:hAnsi="Arial" w:cs="Arial"/>
          <w:sz w:val="18"/>
          <w:szCs w:val="18"/>
        </w:rPr>
        <w:instrText xml:space="preserve"> TOC \o "1-3" \h</w:instrText>
      </w:r>
      <w:r w:rsidRPr="00A43D05">
        <w:rPr>
          <w:rFonts w:ascii="Arial" w:hAnsi="Arial" w:cs="Arial"/>
          <w:sz w:val="18"/>
          <w:szCs w:val="18"/>
        </w:rPr>
        <w:fldChar w:fldCharType="separate"/>
      </w:r>
      <w:hyperlink w:anchor="_Toc536608319" w:history="1">
        <w:r w:rsidR="00A43D05" w:rsidRPr="00A43D05">
          <w:rPr>
            <w:rStyle w:val="Hipervnculo"/>
            <w:rFonts w:ascii="Arial" w:hAnsi="Arial" w:cs="Arial"/>
            <w:noProof/>
            <w:sz w:val="18"/>
            <w:szCs w:val="18"/>
          </w:rPr>
          <w:t>1.- IDENTIFICACIÓN DEL FÁRMACO Y AUTORES DEL INFORME</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_Toc536608319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20" w:history="1">
        <w:r w:rsidR="00A43D05" w:rsidRPr="00A43D05">
          <w:rPr>
            <w:rStyle w:val="Hipervnculo"/>
            <w:rFonts w:ascii="Arial" w:hAnsi="Arial" w:cs="Arial"/>
            <w:noProof/>
            <w:sz w:val="18"/>
            <w:szCs w:val="18"/>
          </w:rPr>
          <w:t>2.- SOLICITUD Y DATOS DEL PROCESO DE EVALUACIÓN</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_Toc536608320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21" w:history="1">
        <w:r w:rsidR="00A43D05" w:rsidRPr="00A43D05">
          <w:rPr>
            <w:rStyle w:val="Hipervnculo"/>
            <w:rFonts w:ascii="Arial" w:hAnsi="Arial" w:cs="Arial"/>
            <w:noProof/>
            <w:sz w:val="18"/>
            <w:szCs w:val="18"/>
          </w:rPr>
          <w:t>3.- AREA DESCRIPTIVA DEL MEDICAMENTO Y DEL PROBLEMA DE SALUD</w:t>
        </w:r>
        <w:r w:rsidR="00A43D05" w:rsidRPr="00A43D05">
          <w:rPr>
            <w:rStyle w:val="Hipervnculo"/>
            <w:rFonts w:ascii="Arial" w:hAnsi="Arial" w:cs="Arial"/>
            <w:noProof/>
            <w:sz w:val="18"/>
            <w:szCs w:val="18"/>
            <w:vertAlign w:val="superscript"/>
          </w:rPr>
          <w:t>2</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_Toc536608321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22" w:history="1">
        <w:r w:rsidR="00A43D05" w:rsidRPr="00A43D05">
          <w:rPr>
            <w:rStyle w:val="Hipervnculo"/>
            <w:rFonts w:ascii="Arial" w:hAnsi="Arial" w:cs="Arial"/>
            <w:noProof/>
            <w:sz w:val="18"/>
            <w:szCs w:val="18"/>
          </w:rPr>
          <w:t>3.1 Área descriptiva del medicamento</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_Toc536608322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23" w:history="1">
        <w:r w:rsidR="00A43D05" w:rsidRPr="00A43D05">
          <w:rPr>
            <w:rStyle w:val="Hipervnculo"/>
            <w:rFonts w:ascii="Arial" w:hAnsi="Arial" w:cs="Arial"/>
            <w:noProof/>
            <w:sz w:val="18"/>
            <w:szCs w:val="18"/>
          </w:rPr>
          <w:t>3.2 Área descriptiva del problema de salud</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_Toc536608323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24" w:history="1">
        <w:r w:rsidR="00A43D05" w:rsidRPr="00A43D05">
          <w:rPr>
            <w:rStyle w:val="Hipervnculo"/>
            <w:rFonts w:ascii="Arial" w:hAnsi="Arial" w:cs="Arial"/>
            <w:noProof/>
            <w:sz w:val="18"/>
            <w:szCs w:val="18"/>
          </w:rPr>
          <w:t>3.2.a Descripción estructurada del problema de salud</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_Toc536608324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25" w:history="1">
        <w:r w:rsidR="00A43D05" w:rsidRPr="00A43D05">
          <w:rPr>
            <w:rStyle w:val="Hipervnculo"/>
            <w:rFonts w:ascii="Arial" w:hAnsi="Arial" w:cs="Arial"/>
            <w:noProof/>
            <w:sz w:val="18"/>
            <w:szCs w:val="18"/>
          </w:rPr>
          <w:t>3.2.b Tratamiento actual de la enfer</w:t>
        </w:r>
        <w:bookmarkStart w:id="1" w:name="_GoBack"/>
        <w:bookmarkEnd w:id="1"/>
        <w:r w:rsidR="00A43D05" w:rsidRPr="00A43D05">
          <w:rPr>
            <w:rStyle w:val="Hipervnculo"/>
            <w:rFonts w:ascii="Arial" w:hAnsi="Arial" w:cs="Arial"/>
            <w:noProof/>
            <w:sz w:val="18"/>
            <w:szCs w:val="18"/>
          </w:rPr>
          <w:t>medad: evidencias.</w:t>
        </w:r>
        <w:r w:rsidR="00A43D05" w:rsidRPr="00A43D05">
          <w:rPr>
            <w:rStyle w:val="Hipervnculo"/>
            <w:rFonts w:ascii="Arial" w:hAnsi="Arial" w:cs="Arial"/>
            <w:noProof/>
            <w:sz w:val="18"/>
            <w:szCs w:val="18"/>
            <w:vertAlign w:val="superscript"/>
          </w:rPr>
          <w:t xml:space="preserve"> 2</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_Toc536608325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5</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26" w:history="1">
        <w:r w:rsidR="00A43D05" w:rsidRPr="00A43D05">
          <w:rPr>
            <w:rStyle w:val="Hipervnculo"/>
            <w:rFonts w:ascii="Arial" w:hAnsi="Arial" w:cs="Arial"/>
            <w:noProof/>
            <w:sz w:val="18"/>
            <w:szCs w:val="18"/>
          </w:rPr>
          <w:t>3.3 Características comparadas con otras alternativas similares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_Toc536608326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6</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27" w:history="1">
        <w:r w:rsidR="00A43D05" w:rsidRPr="00A43D05">
          <w:rPr>
            <w:rStyle w:val="Hipervnculo"/>
            <w:rFonts w:ascii="Arial" w:hAnsi="Arial" w:cs="Arial"/>
            <w:noProof/>
            <w:sz w:val="18"/>
            <w:szCs w:val="18"/>
          </w:rPr>
          <w:t>4.- AREA DE ACCIÓN FARMACOLÓGICA.</w:t>
        </w:r>
        <w:r w:rsidR="00A43D05" w:rsidRPr="00A43D05">
          <w:rPr>
            <w:rStyle w:val="Hipervnculo"/>
            <w:rFonts w:ascii="Arial" w:hAnsi="Arial" w:cs="Arial"/>
            <w:noProof/>
            <w:sz w:val="18"/>
            <w:szCs w:val="18"/>
            <w:vertAlign w:val="superscript"/>
          </w:rPr>
          <w:t xml:space="preserve"> 1</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_Toc536608327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7</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28" w:history="1">
        <w:r w:rsidR="00A43D05" w:rsidRPr="00A43D05">
          <w:rPr>
            <w:rStyle w:val="Hipervnculo"/>
            <w:rFonts w:ascii="Arial" w:hAnsi="Arial" w:cs="Arial"/>
            <w:noProof/>
            <w:sz w:val="18"/>
            <w:szCs w:val="18"/>
          </w:rPr>
          <w:t>4.1 Mecanismo de acción.</w:t>
        </w:r>
        <w:r w:rsidR="00A43D05" w:rsidRPr="00A43D05">
          <w:rPr>
            <w:rStyle w:val="Hipervnculo"/>
            <w:rFonts w:ascii="Arial" w:hAnsi="Arial" w:cs="Arial"/>
            <w:noProof/>
            <w:sz w:val="18"/>
            <w:szCs w:val="18"/>
            <w:vertAlign w:val="superscript"/>
          </w:rPr>
          <w:t>1</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_Toc536608328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7</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29" w:history="1">
        <w:r w:rsidR="00A43D05" w:rsidRPr="00A43D05">
          <w:rPr>
            <w:rStyle w:val="Hipervnculo"/>
            <w:rFonts w:ascii="Arial" w:hAnsi="Arial" w:cs="Arial"/>
            <w:noProof/>
            <w:sz w:val="18"/>
            <w:szCs w:val="18"/>
          </w:rPr>
          <w:t>4.2 Indicaciones clínicas formalmente aprobadas y fecha de aprobación.</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_Toc536608329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7</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0" w:history="1">
        <w:r w:rsidR="00A43D05" w:rsidRPr="00A43D05">
          <w:rPr>
            <w:rStyle w:val="Hipervnculo"/>
            <w:rFonts w:ascii="Arial" w:hAnsi="Arial" w:cs="Arial"/>
            <w:noProof/>
            <w:sz w:val="18"/>
            <w:szCs w:val="18"/>
          </w:rPr>
          <w:t>4.3 Posología, forma de preparación y administración</w:t>
        </w:r>
        <w:r w:rsidR="00A43D05" w:rsidRPr="00A43D05">
          <w:rPr>
            <w:rStyle w:val="Hipervnculo"/>
            <w:rFonts w:ascii="Arial" w:hAnsi="Arial" w:cs="Arial"/>
            <w:noProof/>
            <w:sz w:val="18"/>
            <w:szCs w:val="18"/>
            <w:vertAlign w:val="superscript"/>
          </w:rPr>
          <w:t>1</w:t>
        </w:r>
        <w:r w:rsidR="00A43D05" w:rsidRPr="00A43D05">
          <w:rPr>
            <w:rStyle w:val="Hipervnculo"/>
            <w:rFonts w:ascii="Arial" w:hAnsi="Arial" w:cs="Arial"/>
            <w:noProof/>
            <w:sz w:val="18"/>
            <w:szCs w:val="18"/>
          </w:rPr>
          <w:t>.</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_Toc536608330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8</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1" w:history="1">
        <w:r w:rsidR="00A43D05" w:rsidRPr="00A43D05">
          <w:rPr>
            <w:rStyle w:val="Hipervnculo"/>
            <w:rFonts w:ascii="Arial" w:hAnsi="Arial" w:cs="Arial"/>
            <w:noProof/>
            <w:sz w:val="18"/>
            <w:szCs w:val="18"/>
          </w:rPr>
          <w:t>4.4 Utilización en poblaciones especiales</w:t>
        </w:r>
        <w:r w:rsidR="00A43D05" w:rsidRPr="00A43D05">
          <w:rPr>
            <w:rStyle w:val="Hipervnculo"/>
            <w:rFonts w:ascii="Arial" w:hAnsi="Arial" w:cs="Arial"/>
            <w:noProof/>
            <w:sz w:val="18"/>
            <w:szCs w:val="18"/>
            <w:vertAlign w:val="superscript"/>
          </w:rPr>
          <w:t>1</w:t>
        </w:r>
        <w:r w:rsidR="00A43D05" w:rsidRPr="00A43D05">
          <w:rPr>
            <w:rStyle w:val="Hipervnculo"/>
            <w:rFonts w:ascii="Arial" w:hAnsi="Arial" w:cs="Arial"/>
            <w:noProof/>
            <w:sz w:val="18"/>
            <w:szCs w:val="18"/>
          </w:rPr>
          <w:t>.</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_Toc536608331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8</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2" w:history="1">
        <w:r w:rsidR="00A43D05" w:rsidRPr="00A43D05">
          <w:rPr>
            <w:rStyle w:val="Hipervnculo"/>
            <w:rFonts w:ascii="Arial" w:hAnsi="Arial" w:cs="Arial"/>
            <w:noProof/>
            <w:sz w:val="18"/>
            <w:szCs w:val="18"/>
          </w:rPr>
          <w:t>4.5 Farmacocinética</w:t>
        </w:r>
        <w:r w:rsidR="00A43D05" w:rsidRPr="00A43D05">
          <w:rPr>
            <w:rStyle w:val="Hipervnculo"/>
            <w:rFonts w:ascii="Arial" w:hAnsi="Arial" w:cs="Arial"/>
            <w:noProof/>
            <w:sz w:val="18"/>
            <w:szCs w:val="18"/>
            <w:vertAlign w:val="superscript"/>
          </w:rPr>
          <w:t>1</w:t>
        </w:r>
        <w:r w:rsidR="00A43D05" w:rsidRPr="00A43D05">
          <w:rPr>
            <w:rStyle w:val="Hipervnculo"/>
            <w:rFonts w:ascii="Arial" w:hAnsi="Arial" w:cs="Arial"/>
            <w:noProof/>
            <w:sz w:val="18"/>
            <w:szCs w:val="18"/>
          </w:rPr>
          <w:t>.</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_Toc536608332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8</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33" w:history="1">
        <w:r w:rsidR="00A43D05" w:rsidRPr="00A43D05">
          <w:rPr>
            <w:rStyle w:val="Hipervnculo"/>
            <w:rFonts w:ascii="Arial" w:hAnsi="Arial" w:cs="Arial"/>
            <w:noProof/>
            <w:sz w:val="18"/>
            <w:szCs w:val="18"/>
          </w:rPr>
          <w:t>5.- EVALUACIÓN DE LA EFICACIA.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_Toc536608333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9</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4" w:history="1">
        <w:r w:rsidR="00A43D05" w:rsidRPr="00A43D05">
          <w:rPr>
            <w:rStyle w:val="Hipervnculo"/>
            <w:rFonts w:ascii="Arial" w:hAnsi="Arial" w:cs="Arial"/>
            <w:noProof/>
            <w:sz w:val="18"/>
            <w:szCs w:val="18"/>
          </w:rPr>
          <w:t>5.1.a Ensayos clínicos disponibles para la indicación clínica evaluada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_Toc536608334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9</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5" w:history="1">
        <w:r w:rsidR="00A43D05" w:rsidRPr="00A43D05">
          <w:rPr>
            <w:rStyle w:val="Hipervnculo"/>
            <w:rFonts w:ascii="Arial" w:hAnsi="Arial" w:cs="Arial"/>
            <w:noProof/>
            <w:sz w:val="18"/>
            <w:szCs w:val="18"/>
          </w:rPr>
          <w:t>5.1.b Variables utilizadas en los ensayos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_Toc536608335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9</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6" w:history="1">
        <w:r w:rsidR="00A43D05" w:rsidRPr="00A43D05">
          <w:rPr>
            <w:rStyle w:val="Hipervnculo"/>
            <w:rFonts w:ascii="Arial" w:hAnsi="Arial" w:cs="Arial"/>
            <w:noProof/>
            <w:sz w:val="18"/>
            <w:szCs w:val="18"/>
          </w:rPr>
          <w:t>5.2.a Resultados de los ensayos clínicos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_Toc536608336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11</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7" w:history="1">
        <w:r w:rsidR="00A43D05" w:rsidRPr="00A43D05">
          <w:rPr>
            <w:rStyle w:val="Hipervnculo"/>
            <w:rFonts w:ascii="Arial" w:hAnsi="Arial" w:cs="Arial"/>
            <w:noProof/>
            <w:sz w:val="18"/>
            <w:szCs w:val="18"/>
          </w:rPr>
          <w:t>5.2.b Evaluación de la validez y de la utilidad práctica de los resultados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_Toc536608337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15</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8" w:history="1">
        <w:r w:rsidR="00A43D05" w:rsidRPr="00A43D05">
          <w:rPr>
            <w:rStyle w:val="Hipervnculo"/>
            <w:rFonts w:ascii="Arial" w:hAnsi="Arial" w:cs="Arial"/>
            <w:noProof/>
            <w:sz w:val="18"/>
            <w:szCs w:val="18"/>
          </w:rPr>
          <w:t>5.2.c Evaluación de las pruebas de cribado utilizadas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_Toc536608338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22</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39" w:history="1">
        <w:r w:rsidR="00A43D05" w:rsidRPr="00A43D05">
          <w:rPr>
            <w:rStyle w:val="Hipervnculo"/>
            <w:rFonts w:ascii="Arial" w:hAnsi="Arial" w:cs="Arial"/>
            <w:noProof/>
            <w:sz w:val="18"/>
            <w:szCs w:val="18"/>
          </w:rPr>
          <w:t>5.3 Revisiones sistemáticas publicadas, comparaciones indirectas y sus conclusiones .</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_Toc536608339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22</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0" w:history="1">
        <w:r w:rsidR="00A43D05" w:rsidRPr="00A43D05">
          <w:rPr>
            <w:rStyle w:val="Hipervnculo"/>
            <w:rFonts w:ascii="Arial" w:hAnsi="Arial" w:cs="Arial"/>
            <w:noProof/>
            <w:sz w:val="18"/>
            <w:szCs w:val="18"/>
          </w:rPr>
          <w:t>5.3.a Revisiones sistemáticas publicadas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_Toc536608340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22</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1" w:history="1">
        <w:r w:rsidR="00A43D05" w:rsidRPr="00A43D05">
          <w:rPr>
            <w:rStyle w:val="Hipervnculo"/>
            <w:rFonts w:ascii="Arial" w:hAnsi="Arial" w:cs="Arial"/>
            <w:noProof/>
            <w:sz w:val="18"/>
            <w:szCs w:val="18"/>
          </w:rPr>
          <w:t>5.3.b Comparaciones indirectas (CCII)</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_Toc536608341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24</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2" w:history="1">
        <w:r w:rsidR="00A43D05" w:rsidRPr="00A43D05">
          <w:rPr>
            <w:rStyle w:val="Hipervnculo"/>
            <w:rFonts w:ascii="Arial" w:hAnsi="Arial" w:cs="Arial"/>
            <w:noProof/>
            <w:sz w:val="18"/>
            <w:szCs w:val="18"/>
          </w:rPr>
          <w:t>5.3.b.1 Comparaciones Indirectas publicadas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_Toc536608342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24</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3" w:history="1">
        <w:r w:rsidR="00A43D05" w:rsidRPr="00A43D05">
          <w:rPr>
            <w:rStyle w:val="Hipervnculo"/>
            <w:rFonts w:ascii="Arial" w:hAnsi="Arial" w:cs="Arial"/>
            <w:noProof/>
            <w:sz w:val="18"/>
            <w:szCs w:val="18"/>
          </w:rPr>
          <w:t>5.3.b.2 Comparaciones indirectas de elaboración propia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_Toc536608343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27</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4" w:history="1">
        <w:r w:rsidR="00A43D05" w:rsidRPr="00A43D05">
          <w:rPr>
            <w:rStyle w:val="Hipervnculo"/>
            <w:rFonts w:ascii="Arial" w:hAnsi="Arial" w:cs="Arial"/>
            <w:noProof/>
            <w:sz w:val="18"/>
            <w:szCs w:val="18"/>
          </w:rPr>
          <w:t>5.4 Evaluación de fuentes secundarias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_Toc536608344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29</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5" w:history="1">
        <w:r w:rsidR="00A43D05" w:rsidRPr="00A43D05">
          <w:rPr>
            <w:rStyle w:val="Hipervnculo"/>
            <w:rFonts w:ascii="Arial" w:hAnsi="Arial" w:cs="Arial"/>
            <w:noProof/>
            <w:sz w:val="18"/>
            <w:szCs w:val="18"/>
          </w:rPr>
          <w:t>5.4.1 Guías de Práctica clínica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_Toc536608345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29</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6" w:history="1">
        <w:r w:rsidR="00A43D05" w:rsidRPr="00A43D05">
          <w:rPr>
            <w:rStyle w:val="Hipervnculo"/>
            <w:rFonts w:ascii="Arial" w:hAnsi="Arial" w:cs="Arial"/>
            <w:noProof/>
            <w:sz w:val="18"/>
            <w:szCs w:val="18"/>
          </w:rPr>
          <w:t>5.4.2 Evaluaciones previas por organismos independientes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_Toc536608346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29</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7" w:history="1">
        <w:r w:rsidR="00A43D05" w:rsidRPr="00A43D05">
          <w:rPr>
            <w:rStyle w:val="Hipervnculo"/>
            <w:rFonts w:ascii="Arial" w:hAnsi="Arial" w:cs="Arial"/>
            <w:noProof/>
            <w:sz w:val="18"/>
            <w:szCs w:val="18"/>
          </w:rPr>
          <w:t>5.4.4 Otras fuentes.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_Toc536608347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30</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48" w:history="1">
        <w:r w:rsidR="00A43D05" w:rsidRPr="00A43D05">
          <w:rPr>
            <w:rStyle w:val="Hipervnculo"/>
            <w:rFonts w:ascii="Arial" w:hAnsi="Arial" w:cs="Arial"/>
            <w:noProof/>
            <w:sz w:val="18"/>
            <w:szCs w:val="18"/>
          </w:rPr>
          <w:t>6. EVALUACIÓN DE LA SEGURIDAD.</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_Toc536608348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30</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49" w:history="1">
        <w:r w:rsidR="00A43D05" w:rsidRPr="00A43D05">
          <w:rPr>
            <w:rStyle w:val="Hipervnculo"/>
            <w:rFonts w:ascii="Arial" w:hAnsi="Arial" w:cs="Arial"/>
            <w:noProof/>
            <w:sz w:val="18"/>
            <w:szCs w:val="18"/>
          </w:rPr>
          <w:t>6.1.a Descripción de la búsqueda bibliográfica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_Toc536608349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30</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50" w:history="1">
        <w:r w:rsidR="00A43D05" w:rsidRPr="00A43D05">
          <w:rPr>
            <w:rStyle w:val="Hipervnculo"/>
            <w:rFonts w:ascii="Arial" w:hAnsi="Arial" w:cs="Arial"/>
            <w:noProof/>
            <w:sz w:val="18"/>
            <w:szCs w:val="18"/>
          </w:rPr>
          <w:t>6.1.b Descripción de los efectos adversos más significativos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_Toc536608350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30</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51" w:history="1">
        <w:r w:rsidR="00A43D05" w:rsidRPr="00A43D05">
          <w:rPr>
            <w:rStyle w:val="Hipervnculo"/>
            <w:rFonts w:ascii="Arial" w:hAnsi="Arial" w:cs="Arial"/>
            <w:noProof/>
            <w:sz w:val="18"/>
            <w:szCs w:val="18"/>
          </w:rPr>
          <w:t>6.2 Ensayos Clínicos comparativos.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_Toc536608351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31</w:t>
        </w:r>
        <w:r w:rsidRPr="00A43D05">
          <w:rPr>
            <w:rFonts w:ascii="Arial" w:hAnsi="Arial" w:cs="Arial"/>
            <w:noProof/>
            <w:sz w:val="18"/>
            <w:szCs w:val="18"/>
          </w:rPr>
          <w:fldChar w:fldCharType="end"/>
        </w:r>
      </w:hyperlink>
    </w:p>
    <w:p w:rsidR="00A43D05" w:rsidRPr="00A43D05" w:rsidRDefault="00F33243" w:rsidP="00A43D05">
      <w:pPr>
        <w:pStyle w:val="TDC2"/>
        <w:tabs>
          <w:tab w:val="right" w:leader="dot" w:pos="8729"/>
        </w:tabs>
        <w:rPr>
          <w:rFonts w:ascii="Arial" w:eastAsiaTheme="minorEastAsia" w:hAnsi="Arial" w:cs="Arial"/>
          <w:noProof/>
          <w:sz w:val="18"/>
          <w:szCs w:val="18"/>
          <w:lang w:eastAsia="es-ES"/>
        </w:rPr>
      </w:pPr>
      <w:hyperlink w:anchor="_Toc536608352" w:history="1">
        <w:r w:rsidR="00A43D05" w:rsidRPr="00A43D05">
          <w:rPr>
            <w:rStyle w:val="Hipervnculo"/>
            <w:rFonts w:ascii="Arial" w:hAnsi="Arial" w:cs="Arial"/>
            <w:noProof/>
            <w:sz w:val="18"/>
            <w:szCs w:val="18"/>
          </w:rPr>
          <w:t>6.3 Comparación del perfil de seguridad con otras alternativas.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_Toc536608352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31</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55" w:history="1">
        <w:r w:rsidR="00A43D05" w:rsidRPr="00A43D05">
          <w:rPr>
            <w:rStyle w:val="Hipervnculo"/>
            <w:rFonts w:ascii="Arial" w:hAnsi="Arial" w:cs="Arial"/>
            <w:noProof/>
            <w:sz w:val="18"/>
            <w:szCs w:val="18"/>
          </w:rPr>
          <w:t>6.4 Fuentes secundarias sobre seguridad</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_Toc536608355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33</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56" w:history="1">
        <w:r w:rsidR="00A43D05" w:rsidRPr="00A43D05">
          <w:rPr>
            <w:rStyle w:val="Hipervnculo"/>
            <w:rFonts w:ascii="Arial" w:hAnsi="Arial" w:cs="Arial"/>
            <w:noProof/>
            <w:sz w:val="18"/>
            <w:szCs w:val="18"/>
          </w:rPr>
          <w:t>6.5 Precauciones de empleo en casos especiales</w:t>
        </w:r>
        <w:r w:rsidR="00A43D05" w:rsidRPr="00A43D05">
          <w:rPr>
            <w:rStyle w:val="Hipervnculo"/>
            <w:rFonts w:ascii="Arial" w:hAnsi="Arial" w:cs="Arial"/>
            <w:noProof/>
            <w:sz w:val="18"/>
            <w:szCs w:val="18"/>
            <w:vertAlign w:val="superscript"/>
          </w:rPr>
          <w:t>1</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_Toc536608356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34</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57" w:history="1">
        <w:r w:rsidR="00A43D05" w:rsidRPr="00A43D05">
          <w:rPr>
            <w:rStyle w:val="Hipervnculo"/>
            <w:rFonts w:ascii="Arial" w:hAnsi="Arial" w:cs="Arial"/>
            <w:noProof/>
            <w:sz w:val="18"/>
            <w:szCs w:val="18"/>
          </w:rPr>
          <w:t>7. AREA ECONÓMICA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_Toc536608357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35</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58" w:history="1">
        <w:r w:rsidR="00A43D05" w:rsidRPr="00A43D05">
          <w:rPr>
            <w:rStyle w:val="Hipervnculo"/>
            <w:rFonts w:ascii="Arial" w:hAnsi="Arial" w:cs="Arial"/>
            <w:noProof/>
            <w:sz w:val="18"/>
            <w:szCs w:val="18"/>
          </w:rPr>
          <w:t>7.1 Coste tratamiento. Coste incremental</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_Toc536608358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35</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59" w:history="1">
        <w:r w:rsidR="00A43D05" w:rsidRPr="00A43D05">
          <w:rPr>
            <w:rStyle w:val="Hipervnculo"/>
            <w:rFonts w:ascii="Arial" w:hAnsi="Arial" w:cs="Arial"/>
            <w:noProof/>
            <w:sz w:val="18"/>
            <w:szCs w:val="18"/>
          </w:rPr>
          <w:t>7.2.a Coste eficacia incremental. Estudios publicados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_Toc536608359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36</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0" w:history="1">
        <w:r w:rsidR="00A43D05" w:rsidRPr="00A43D05">
          <w:rPr>
            <w:rStyle w:val="Hipervnculo"/>
            <w:rFonts w:ascii="Arial" w:hAnsi="Arial" w:cs="Arial"/>
            <w:noProof/>
            <w:sz w:val="18"/>
            <w:szCs w:val="18"/>
          </w:rPr>
          <w:t>7.2.b Coste eficacia incremental (CEI). Datos propios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_Toc536608360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37</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1" w:history="1">
        <w:r w:rsidR="00A43D05" w:rsidRPr="00A43D05">
          <w:rPr>
            <w:rStyle w:val="Hipervnculo"/>
            <w:rFonts w:ascii="Arial" w:hAnsi="Arial" w:cs="Arial"/>
            <w:noProof/>
            <w:sz w:val="18"/>
            <w:szCs w:val="18"/>
          </w:rPr>
          <w:t>7.3 Estimación del número de pacientes candidatos al tratamiento en el hospital</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_Toc536608361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38</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2" w:history="1">
        <w:r w:rsidR="00A43D05" w:rsidRPr="00A43D05">
          <w:rPr>
            <w:rStyle w:val="Hipervnculo"/>
            <w:rFonts w:ascii="Arial" w:hAnsi="Arial" w:cs="Arial"/>
            <w:noProof/>
            <w:sz w:val="18"/>
            <w:szCs w:val="18"/>
          </w:rPr>
          <w:t>7.4 Estimación del impacto económico sobre la prescripción de Atención Primaria.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_Toc536608362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39</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3" w:history="1">
        <w:r w:rsidR="00A43D05" w:rsidRPr="00A43D05">
          <w:rPr>
            <w:rStyle w:val="Hipervnculo"/>
            <w:rFonts w:ascii="Arial" w:hAnsi="Arial" w:cs="Arial"/>
            <w:noProof/>
            <w:sz w:val="18"/>
            <w:szCs w:val="18"/>
          </w:rPr>
          <w:t>7.5 Estimación del impacto económico global a nivel autonómico/estatal</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_Toc536608363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40</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64" w:history="1">
        <w:r w:rsidR="00A43D05" w:rsidRPr="00A43D05">
          <w:rPr>
            <w:rStyle w:val="Hipervnculo"/>
            <w:rFonts w:ascii="Arial" w:hAnsi="Arial" w:cs="Arial"/>
            <w:noProof/>
            <w:sz w:val="18"/>
            <w:szCs w:val="18"/>
          </w:rPr>
          <w:t>8. EVALUACIÓN DE LA CONVENIENCIA.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_Toc536608364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40</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5" w:history="1">
        <w:r w:rsidR="00A43D05" w:rsidRPr="00A43D05">
          <w:rPr>
            <w:rStyle w:val="Hipervnculo"/>
            <w:rFonts w:ascii="Arial" w:hAnsi="Arial" w:cs="Arial"/>
            <w:noProof/>
            <w:sz w:val="18"/>
            <w:szCs w:val="18"/>
          </w:rPr>
          <w:t>8.1 Descripción de la conveniencia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_Toc536608365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40</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6" w:history="1">
        <w:r w:rsidR="00A43D05" w:rsidRPr="00A43D05">
          <w:rPr>
            <w:rStyle w:val="Hipervnculo"/>
            <w:rFonts w:ascii="Arial" w:hAnsi="Arial" w:cs="Arial"/>
            <w:noProof/>
            <w:sz w:val="18"/>
            <w:szCs w:val="18"/>
          </w:rPr>
          <w:t>8.2 Influencia de la conveniencia en la efectividad del tratamiento</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_Toc536608366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40</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67" w:history="1">
        <w:r w:rsidR="00A43D05" w:rsidRPr="00A43D05">
          <w:rPr>
            <w:rStyle w:val="Hipervnculo"/>
            <w:rFonts w:ascii="Arial" w:hAnsi="Arial" w:cs="Arial"/>
            <w:noProof/>
            <w:sz w:val="18"/>
            <w:szCs w:val="18"/>
          </w:rPr>
          <w:t>9. AREA DE CONCLUSIONES.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_Toc536608367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40</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8" w:history="1">
        <w:r w:rsidR="00A43D05" w:rsidRPr="00A43D05">
          <w:rPr>
            <w:rStyle w:val="Hipervnculo"/>
            <w:rFonts w:ascii="Arial" w:hAnsi="Arial" w:cs="Arial"/>
            <w:noProof/>
            <w:sz w:val="18"/>
            <w:szCs w:val="18"/>
          </w:rPr>
          <w:t>9.1 Resumen de los aspectos más significativos respecto a la alternativa y propuestas</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_Toc536608368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40</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69" w:history="1">
        <w:r w:rsidR="00A43D05" w:rsidRPr="00A43D05">
          <w:rPr>
            <w:rStyle w:val="Hipervnculo"/>
            <w:rFonts w:ascii="Arial" w:hAnsi="Arial" w:cs="Arial"/>
            <w:noProof/>
            <w:sz w:val="18"/>
            <w:szCs w:val="18"/>
          </w:rPr>
          <w:t>9.2 Decisión</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_Toc536608369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43</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70" w:history="1">
        <w:r w:rsidR="00A43D05" w:rsidRPr="00A43D05">
          <w:rPr>
            <w:rStyle w:val="Hipervnculo"/>
            <w:rFonts w:ascii="Arial" w:hAnsi="Arial" w:cs="Arial"/>
            <w:noProof/>
            <w:sz w:val="18"/>
            <w:szCs w:val="18"/>
          </w:rPr>
          <w:t>9.3 Condiciones de uso (Solo en caso de clasificación D-E de la guía GINF)</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_Toc536608370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43</w:t>
        </w:r>
        <w:r w:rsidRPr="00A43D05">
          <w:rPr>
            <w:rFonts w:ascii="Arial" w:hAnsi="Arial" w:cs="Arial"/>
            <w:noProof/>
            <w:sz w:val="18"/>
            <w:szCs w:val="18"/>
          </w:rPr>
          <w:fldChar w:fldCharType="end"/>
        </w:r>
      </w:hyperlink>
    </w:p>
    <w:p w:rsidR="00A43D05" w:rsidRPr="00A43D05" w:rsidRDefault="00F33243">
      <w:pPr>
        <w:pStyle w:val="TDC2"/>
        <w:tabs>
          <w:tab w:val="right" w:leader="dot" w:pos="8729"/>
        </w:tabs>
        <w:rPr>
          <w:rFonts w:ascii="Arial" w:eastAsiaTheme="minorEastAsia" w:hAnsi="Arial" w:cs="Arial"/>
          <w:noProof/>
          <w:sz w:val="18"/>
          <w:szCs w:val="18"/>
          <w:lang w:eastAsia="es-ES"/>
        </w:rPr>
      </w:pPr>
      <w:hyperlink w:anchor="_Toc536608371" w:history="1">
        <w:r w:rsidR="00A43D05" w:rsidRPr="00A43D05">
          <w:rPr>
            <w:rStyle w:val="Hipervnculo"/>
            <w:rFonts w:ascii="Arial" w:hAnsi="Arial" w:cs="Arial"/>
            <w:noProof/>
            <w:sz w:val="18"/>
            <w:szCs w:val="18"/>
          </w:rPr>
          <w:t>9.4 Plan de seguimiento</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_Toc536608371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44</w:t>
        </w:r>
        <w:r w:rsidRPr="00A43D05">
          <w:rPr>
            <w:rFonts w:ascii="Arial" w:hAnsi="Arial" w:cs="Arial"/>
            <w:noProof/>
            <w:sz w:val="18"/>
            <w:szCs w:val="18"/>
          </w:rPr>
          <w:fldChar w:fldCharType="end"/>
        </w:r>
      </w:hyperlink>
    </w:p>
    <w:p w:rsidR="00A43D05" w:rsidRPr="00A43D05" w:rsidRDefault="00F33243">
      <w:pPr>
        <w:pStyle w:val="TDC1"/>
        <w:tabs>
          <w:tab w:val="right" w:leader="dot" w:pos="8729"/>
        </w:tabs>
        <w:rPr>
          <w:rFonts w:ascii="Arial" w:eastAsiaTheme="minorEastAsia" w:hAnsi="Arial" w:cs="Arial"/>
          <w:noProof/>
          <w:sz w:val="18"/>
          <w:szCs w:val="18"/>
          <w:lang w:eastAsia="es-ES"/>
        </w:rPr>
      </w:pPr>
      <w:hyperlink w:anchor="_Toc536608372" w:history="1">
        <w:r w:rsidR="00A43D05" w:rsidRPr="00A43D05">
          <w:rPr>
            <w:rStyle w:val="Hipervnculo"/>
            <w:rFonts w:ascii="Arial" w:hAnsi="Arial" w:cs="Arial"/>
            <w:noProof/>
            <w:sz w:val="18"/>
            <w:szCs w:val="18"/>
          </w:rPr>
          <w:t>10. BIBLIOGRAFÍA</w:t>
        </w:r>
        <w:r w:rsidR="00A43D05" w:rsidRPr="00A43D05">
          <w:rPr>
            <w:rFonts w:ascii="Arial" w:hAnsi="Arial" w:cs="Arial"/>
            <w:noProof/>
            <w:sz w:val="18"/>
            <w:szCs w:val="18"/>
          </w:rPr>
          <w:tab/>
        </w:r>
        <w:r w:rsidRPr="00A43D05">
          <w:rPr>
            <w:rFonts w:ascii="Arial" w:hAnsi="Arial" w:cs="Arial"/>
            <w:noProof/>
            <w:sz w:val="18"/>
            <w:szCs w:val="18"/>
          </w:rPr>
          <w:fldChar w:fldCharType="begin"/>
        </w:r>
        <w:r w:rsidR="00A43D05" w:rsidRPr="00A43D05">
          <w:rPr>
            <w:rFonts w:ascii="Arial" w:hAnsi="Arial" w:cs="Arial"/>
            <w:noProof/>
            <w:sz w:val="18"/>
            <w:szCs w:val="18"/>
          </w:rPr>
          <w:instrText xml:space="preserve"> PAGEREF _Toc536608372 \h </w:instrText>
        </w:r>
        <w:r w:rsidRPr="00A43D05">
          <w:rPr>
            <w:rFonts w:ascii="Arial" w:hAnsi="Arial" w:cs="Arial"/>
            <w:noProof/>
            <w:sz w:val="18"/>
            <w:szCs w:val="18"/>
          </w:rPr>
        </w:r>
        <w:r w:rsidRPr="00A43D05">
          <w:rPr>
            <w:rFonts w:ascii="Arial" w:hAnsi="Arial" w:cs="Arial"/>
            <w:noProof/>
            <w:sz w:val="18"/>
            <w:szCs w:val="18"/>
          </w:rPr>
          <w:fldChar w:fldCharType="separate"/>
        </w:r>
        <w:r w:rsidR="00A5448F">
          <w:rPr>
            <w:rFonts w:ascii="Arial" w:hAnsi="Arial" w:cs="Arial"/>
            <w:noProof/>
            <w:sz w:val="18"/>
            <w:szCs w:val="18"/>
          </w:rPr>
          <w:t>44</w:t>
        </w:r>
        <w:r w:rsidRPr="00A43D05">
          <w:rPr>
            <w:rFonts w:ascii="Arial" w:hAnsi="Arial" w:cs="Arial"/>
            <w:noProof/>
            <w:sz w:val="18"/>
            <w:szCs w:val="18"/>
          </w:rPr>
          <w:fldChar w:fldCharType="end"/>
        </w:r>
      </w:hyperlink>
    </w:p>
    <w:p w:rsidR="0056194E" w:rsidRPr="00585BFE" w:rsidRDefault="00F33243" w:rsidP="00683AE2">
      <w:r w:rsidRPr="00A43D05">
        <w:rPr>
          <w:rFonts w:ascii="Arial" w:hAnsi="Arial" w:cs="Arial"/>
          <w:sz w:val="18"/>
          <w:szCs w:val="18"/>
        </w:rPr>
        <w:fldChar w:fldCharType="end"/>
      </w:r>
    </w:p>
    <w:p w:rsidR="0056194E" w:rsidRDefault="0056194E">
      <w:pPr>
        <w:pBdr>
          <w:top w:val="single" w:sz="4" w:space="1" w:color="000000"/>
          <w:left w:val="single" w:sz="4" w:space="4" w:color="000000"/>
          <w:bottom w:val="single" w:sz="4" w:space="1" w:color="000000"/>
          <w:right w:val="single" w:sz="4" w:space="4" w:color="000000"/>
        </w:pBdr>
        <w:rPr>
          <w:rFonts w:ascii="Arial" w:hAnsi="Arial" w:cs="Arial"/>
          <w:b/>
          <w:sz w:val="20"/>
          <w:szCs w:val="20"/>
        </w:rPr>
      </w:pPr>
      <w:r>
        <w:rPr>
          <w:rFonts w:ascii="Arial" w:hAnsi="Arial" w:cs="Arial"/>
          <w:b/>
          <w:sz w:val="20"/>
          <w:szCs w:val="20"/>
        </w:rPr>
        <w:t xml:space="preserve">Glosario: </w:t>
      </w:r>
    </w:p>
    <w:p w:rsidR="00A43D05" w:rsidRDefault="00A43D05">
      <w:pPr>
        <w:pBdr>
          <w:top w:val="single" w:sz="4" w:space="1" w:color="000000"/>
          <w:left w:val="single" w:sz="4" w:space="4" w:color="000000"/>
          <w:bottom w:val="single" w:sz="4" w:space="1" w:color="000000"/>
          <w:right w:val="single" w:sz="4" w:space="4" w:color="000000"/>
        </w:pBdr>
        <w:rPr>
          <w:rFonts w:ascii="Arial" w:hAnsi="Arial" w:cs="Arial"/>
          <w:b/>
          <w:sz w:val="20"/>
          <w:szCs w:val="20"/>
        </w:rPr>
      </w:pP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AEMyPS: Agencia Española de Medicamentos y Productos Sanitarios</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lang w:val="en-GB"/>
        </w:rPr>
      </w:pPr>
      <w:r w:rsidRPr="00A43D05">
        <w:rPr>
          <w:rFonts w:ascii="Arial" w:hAnsi="Arial" w:cs="Arial"/>
          <w:sz w:val="20"/>
          <w:szCs w:val="20"/>
          <w:lang w:val="en-GB"/>
        </w:rPr>
        <w:t>CHMP: Committe for Medicinal Products for Human Use</w:t>
      </w:r>
    </w:p>
    <w:p w:rsidR="0056194E" w:rsidRPr="00A43D05" w:rsidRDefault="0056194E" w:rsidP="008056D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CPHS: Cáncer de próstata hormono sensible</w:t>
      </w:r>
    </w:p>
    <w:p w:rsidR="0056194E" w:rsidRPr="00A43D05" w:rsidRDefault="0056194E" w:rsidP="008056D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CPRC: Cáncer de próstata resistente a la castración</w:t>
      </w:r>
    </w:p>
    <w:p w:rsidR="0056194E" w:rsidRPr="00A43D05" w:rsidRDefault="0056194E" w:rsidP="008056D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DHEA: Dehidroepiandrosterona</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EMA: European Medicines Agency</w:t>
      </w:r>
    </w:p>
    <w:p w:rsidR="0056194E" w:rsidRPr="00A43D05" w:rsidRDefault="0056194E" w:rsidP="008056DE">
      <w:pPr>
        <w:pBdr>
          <w:top w:val="single" w:sz="4" w:space="1" w:color="000000"/>
          <w:left w:val="single" w:sz="4" w:space="4" w:color="000000"/>
          <w:bottom w:val="single" w:sz="4" w:space="1" w:color="000000"/>
          <w:right w:val="single" w:sz="4" w:space="4" w:color="000000"/>
        </w:pBdr>
        <w:rPr>
          <w:rFonts w:ascii="Arial" w:hAnsi="Arial" w:cs="Arial"/>
          <w:sz w:val="20"/>
          <w:szCs w:val="20"/>
          <w:lang w:val="en-GB"/>
        </w:rPr>
      </w:pPr>
      <w:r w:rsidRPr="00A43D05">
        <w:rPr>
          <w:rFonts w:ascii="Arial" w:hAnsi="Arial" w:cs="Arial"/>
          <w:sz w:val="20"/>
          <w:szCs w:val="20"/>
          <w:lang w:val="en-GB"/>
        </w:rPr>
        <w:t>EPAR: European Public Assessment Report</w:t>
      </w:r>
    </w:p>
    <w:p w:rsidR="0056194E" w:rsidRPr="00A43D05" w:rsidRDefault="0056194E" w:rsidP="008056DE">
      <w:pPr>
        <w:pBdr>
          <w:top w:val="single" w:sz="4" w:space="1" w:color="000000"/>
          <w:left w:val="single" w:sz="4" w:space="4" w:color="000000"/>
          <w:bottom w:val="single" w:sz="4" w:space="1" w:color="000000"/>
          <w:right w:val="single" w:sz="4" w:space="4" w:color="000000"/>
        </w:pBdr>
        <w:rPr>
          <w:rFonts w:ascii="Arial" w:hAnsi="Arial" w:cs="Arial"/>
          <w:sz w:val="20"/>
          <w:szCs w:val="20"/>
          <w:lang w:val="en-US"/>
        </w:rPr>
      </w:pPr>
      <w:r w:rsidRPr="00A43D05">
        <w:rPr>
          <w:rFonts w:ascii="Arial" w:hAnsi="Arial" w:cs="Arial"/>
          <w:sz w:val="20"/>
          <w:szCs w:val="20"/>
          <w:lang w:val="en-US"/>
        </w:rPr>
        <w:t>FDA: Food and Drugs Administration</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HR: Hazard ratio</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LHRH: Hormona Liberadora de la Hormona Luteinizante</w:t>
      </w:r>
    </w:p>
    <w:p w:rsidR="0056194E" w:rsidRPr="00A43D05" w:rsidRDefault="0056194E" w:rsidP="008056D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NA: No alcanzado</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ND: No descrito</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SG: Supervivencia global</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SLPr: Supervivencia libre de progresión radiológica</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SSFT: Supervivencia sin fallo a tratamiento</w:t>
      </w:r>
    </w:p>
    <w:p w:rsidR="0056194E" w:rsidRPr="00A43D05" w:rsidRDefault="0056194E">
      <w:pPr>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A43D05">
        <w:rPr>
          <w:rFonts w:ascii="Arial" w:hAnsi="Arial" w:cs="Arial"/>
          <w:sz w:val="20"/>
          <w:szCs w:val="20"/>
        </w:rPr>
        <w:t>TDA: Terapia de deprivación androgénica</w:t>
      </w:r>
    </w:p>
    <w:p w:rsidR="0056194E" w:rsidRDefault="0056194E">
      <w:pPr>
        <w:rPr>
          <w:rFonts w:ascii="Arial" w:hAnsi="Arial" w:cs="Arial"/>
          <w:b/>
          <w:sz w:val="20"/>
          <w:szCs w:val="20"/>
        </w:rPr>
      </w:pPr>
    </w:p>
    <w:p w:rsidR="00A43D05" w:rsidRPr="004457FD" w:rsidRDefault="00A43D05" w:rsidP="00A43D05">
      <w:pPr>
        <w:pStyle w:val="Normal1"/>
        <w:jc w:val="both"/>
        <w:rPr>
          <w:rFonts w:ascii="Arial" w:hAnsi="Arial" w:cs="Arial"/>
          <w:sz w:val="20"/>
          <w:szCs w:val="20"/>
        </w:rPr>
      </w:pPr>
      <w:r>
        <w:rPr>
          <w:rFonts w:ascii="Arial" w:hAnsi="Arial" w:cs="Arial"/>
          <w:sz w:val="20"/>
          <w:szCs w:val="20"/>
        </w:rPr>
        <w:t>I</w:t>
      </w:r>
      <w:r w:rsidRPr="004457FD">
        <w:rPr>
          <w:rFonts w:ascii="Arial" w:hAnsi="Arial" w:cs="Arial"/>
          <w:sz w:val="20"/>
          <w:szCs w:val="20"/>
        </w:rPr>
        <w:t xml:space="preserve">nforme revisado por el Grupo Hospitalario de Evaluación de Medicamentos de Andalucía (GHEMA). </w:t>
      </w:r>
    </w:p>
    <w:p w:rsidR="00A43D05" w:rsidRPr="004457FD" w:rsidRDefault="00A43D05" w:rsidP="00A43D05">
      <w:pPr>
        <w:pStyle w:val="Normal1"/>
        <w:jc w:val="both"/>
        <w:rPr>
          <w:rFonts w:ascii="Arial" w:hAnsi="Arial" w:cs="Arial"/>
          <w:sz w:val="20"/>
          <w:szCs w:val="20"/>
        </w:rPr>
      </w:pPr>
    </w:p>
    <w:p w:rsidR="00A43D05" w:rsidRPr="004457FD" w:rsidRDefault="00A43D05" w:rsidP="00A43D05">
      <w:pPr>
        <w:pStyle w:val="Normal1"/>
        <w:jc w:val="both"/>
        <w:rPr>
          <w:rFonts w:ascii="Arial" w:hAnsi="Arial" w:cs="Arial"/>
          <w:sz w:val="20"/>
          <w:szCs w:val="20"/>
        </w:rPr>
      </w:pPr>
      <w:r w:rsidRPr="004457FD">
        <w:rPr>
          <w:rFonts w:ascii="Arial" w:hAnsi="Arial" w:cs="Arial"/>
          <w:sz w:val="20"/>
          <w:szCs w:val="20"/>
        </w:rPr>
        <w:t xml:space="preserve">Un borrador de este informe fue expuesto públicamente para propuestas y alegaciones. Las propuestas presentadas y su repercusión en el informe final se reflejan en el anexo correspondiente. </w:t>
      </w:r>
    </w:p>
    <w:p w:rsidR="00A43D05" w:rsidRPr="004457FD" w:rsidRDefault="00A43D05" w:rsidP="00A43D05">
      <w:pPr>
        <w:pStyle w:val="Normal1"/>
        <w:rPr>
          <w:rFonts w:ascii="Arial" w:hAnsi="Arial" w:cs="Arial"/>
          <w:sz w:val="20"/>
          <w:szCs w:val="20"/>
        </w:rPr>
      </w:pPr>
      <w:bookmarkStart w:id="2" w:name="_3znysh7" w:colFirst="0" w:colLast="0"/>
      <w:bookmarkEnd w:id="2"/>
    </w:p>
    <w:p w:rsidR="00A43D05" w:rsidRPr="00925216" w:rsidRDefault="00A43D05" w:rsidP="007906EB">
      <w:pPr>
        <w:pStyle w:val="Normal1"/>
        <w:jc w:val="both"/>
        <w:rPr>
          <w:rFonts w:ascii="Arial" w:hAnsi="Arial" w:cs="Arial"/>
          <w:sz w:val="20"/>
          <w:szCs w:val="20"/>
        </w:rPr>
      </w:pPr>
      <w:r w:rsidRPr="004457FD">
        <w:rPr>
          <w:rFonts w:ascii="Arial" w:hAnsi="Arial" w:cs="Arial"/>
          <w:b/>
          <w:bCs/>
          <w:sz w:val="20"/>
          <w:szCs w:val="20"/>
        </w:rPr>
        <w:t>Citar este informe como:</w:t>
      </w:r>
      <w:r w:rsidR="007906EB">
        <w:rPr>
          <w:rFonts w:ascii="Arial" w:hAnsi="Arial" w:cs="Arial"/>
          <w:b/>
          <w:bCs/>
          <w:sz w:val="20"/>
          <w:szCs w:val="20"/>
        </w:rPr>
        <w:t xml:space="preserve"> </w:t>
      </w:r>
      <w:r w:rsidR="007906EB" w:rsidRPr="007B0488">
        <w:rPr>
          <w:rFonts w:ascii="Arial" w:hAnsi="Arial" w:cs="Arial"/>
          <w:bCs/>
          <w:sz w:val="20"/>
          <w:szCs w:val="20"/>
        </w:rPr>
        <w:t>Pedrosa Ruiz</w:t>
      </w:r>
      <w:r w:rsidR="007906EB">
        <w:rPr>
          <w:rFonts w:ascii="Arial" w:hAnsi="Arial" w:cs="Arial"/>
          <w:bCs/>
          <w:sz w:val="20"/>
          <w:szCs w:val="20"/>
        </w:rPr>
        <w:t xml:space="preserve"> M</w:t>
      </w:r>
      <w:r w:rsidR="007906EB" w:rsidRPr="007B0488">
        <w:rPr>
          <w:rFonts w:ascii="Arial" w:hAnsi="Arial" w:cs="Arial"/>
          <w:bCs/>
          <w:sz w:val="20"/>
          <w:szCs w:val="20"/>
        </w:rPr>
        <w:t>,</w:t>
      </w:r>
      <w:r w:rsidR="007906EB">
        <w:rPr>
          <w:rFonts w:ascii="Arial" w:hAnsi="Arial" w:cs="Arial"/>
          <w:bCs/>
          <w:sz w:val="20"/>
          <w:szCs w:val="20"/>
        </w:rPr>
        <w:t xml:space="preserve"> </w:t>
      </w:r>
      <w:r w:rsidR="007906EB" w:rsidRPr="001A5EA0">
        <w:rPr>
          <w:rFonts w:ascii="Arial" w:hAnsi="Arial" w:cs="Arial"/>
          <w:bCs/>
          <w:sz w:val="20"/>
          <w:szCs w:val="20"/>
        </w:rPr>
        <w:t>García de Paredes Esteban</w:t>
      </w:r>
      <w:r w:rsidR="007906EB">
        <w:rPr>
          <w:rFonts w:ascii="Arial" w:hAnsi="Arial" w:cs="Arial"/>
          <w:bCs/>
          <w:sz w:val="20"/>
          <w:szCs w:val="20"/>
        </w:rPr>
        <w:t xml:space="preserve"> JC,</w:t>
      </w:r>
      <w:r w:rsidR="007906EB" w:rsidRPr="007906EB">
        <w:rPr>
          <w:rFonts w:ascii="Arial" w:hAnsi="Arial" w:cs="Arial"/>
          <w:bCs/>
          <w:sz w:val="20"/>
          <w:szCs w:val="20"/>
        </w:rPr>
        <w:t xml:space="preserve"> </w:t>
      </w:r>
      <w:r w:rsidR="007906EB" w:rsidRPr="007B0488">
        <w:rPr>
          <w:rFonts w:ascii="Arial" w:hAnsi="Arial" w:cs="Arial"/>
          <w:bCs/>
          <w:sz w:val="20"/>
          <w:szCs w:val="20"/>
        </w:rPr>
        <w:t>Alegre del Rey</w:t>
      </w:r>
      <w:r w:rsidR="007906EB">
        <w:rPr>
          <w:rFonts w:ascii="Arial" w:hAnsi="Arial" w:cs="Arial"/>
          <w:bCs/>
          <w:sz w:val="20"/>
          <w:szCs w:val="20"/>
        </w:rPr>
        <w:t xml:space="preserve"> EJ. </w:t>
      </w:r>
      <w:r w:rsidR="007906EB" w:rsidRPr="007906EB">
        <w:rPr>
          <w:rFonts w:ascii="Arial" w:hAnsi="Arial" w:cs="Arial"/>
          <w:bCs/>
          <w:sz w:val="20"/>
          <w:szCs w:val="20"/>
        </w:rPr>
        <w:t>ABIRATERONA en combinación con la terapia de deprivación de andrógenos en 1ª línea de Cáncer de Próstata metastásico de alto riesgo hormono sensible</w:t>
      </w:r>
      <w:r w:rsidR="007906EB">
        <w:rPr>
          <w:rFonts w:ascii="Arial" w:hAnsi="Arial" w:cs="Arial"/>
          <w:bCs/>
          <w:sz w:val="20"/>
          <w:szCs w:val="20"/>
        </w:rPr>
        <w:t xml:space="preserve"> </w:t>
      </w:r>
      <w:r w:rsidR="007906EB" w:rsidRPr="007906EB">
        <w:rPr>
          <w:rFonts w:ascii="Arial" w:hAnsi="Arial" w:cs="Arial"/>
          <w:bCs/>
          <w:sz w:val="20"/>
          <w:szCs w:val="20"/>
        </w:rPr>
        <w:t xml:space="preserve">Informe para la Guía Farmacoterapéutica de Hospitales de Andalucía. </w:t>
      </w:r>
      <w:r w:rsidR="007906EB">
        <w:rPr>
          <w:rFonts w:ascii="Arial" w:hAnsi="Arial" w:cs="Arial"/>
          <w:bCs/>
          <w:sz w:val="20"/>
          <w:szCs w:val="20"/>
        </w:rPr>
        <w:t>Diciembre 2018</w:t>
      </w:r>
      <w:r w:rsidR="007906EB" w:rsidRPr="007906EB">
        <w:rPr>
          <w:rFonts w:ascii="Arial" w:hAnsi="Arial" w:cs="Arial"/>
          <w:bCs/>
          <w:sz w:val="20"/>
          <w:szCs w:val="20"/>
        </w:rPr>
        <w:t>.</w:t>
      </w:r>
    </w:p>
    <w:p w:rsidR="00A43D05" w:rsidRPr="004457FD" w:rsidRDefault="00A43D05" w:rsidP="00A43D05">
      <w:pPr>
        <w:pStyle w:val="Normal1"/>
        <w:rPr>
          <w:rFonts w:ascii="Arial" w:hAnsi="Arial" w:cs="Arial"/>
          <w:sz w:val="20"/>
          <w:szCs w:val="20"/>
        </w:rPr>
      </w:pPr>
    </w:p>
    <w:p w:rsidR="00A43D05" w:rsidRPr="004457FD" w:rsidRDefault="00A43D05" w:rsidP="00A43D05">
      <w:pPr>
        <w:pStyle w:val="Normal1"/>
        <w:jc w:val="both"/>
        <w:rPr>
          <w:rFonts w:ascii="Arial" w:hAnsi="Arial" w:cs="Arial"/>
          <w:sz w:val="20"/>
          <w:szCs w:val="20"/>
        </w:rPr>
      </w:pPr>
      <w:r w:rsidRPr="004457FD">
        <w:rPr>
          <w:rFonts w:ascii="Arial" w:hAnsi="Arial" w:cs="Arial"/>
          <w:sz w:val="20"/>
          <w:szCs w:val="20"/>
        </w:rPr>
        <w:t xml:space="preserve">Disponible en: </w:t>
      </w:r>
      <w:hyperlink r:id="rId7">
        <w:r w:rsidRPr="004457FD">
          <w:rPr>
            <w:rFonts w:ascii="Arial" w:hAnsi="Arial" w:cs="Arial"/>
            <w:color w:val="0000FF"/>
            <w:sz w:val="20"/>
            <w:szCs w:val="20"/>
            <w:u w:val="single"/>
          </w:rPr>
          <w:t>http://safh.org/historico-de-informes/</w:t>
        </w:r>
      </w:hyperlink>
    </w:p>
    <w:p w:rsidR="00A43D05" w:rsidRPr="004457FD" w:rsidRDefault="00A43D05" w:rsidP="00A43D05">
      <w:pPr>
        <w:pStyle w:val="Normal1"/>
        <w:jc w:val="both"/>
        <w:rPr>
          <w:rFonts w:ascii="Arial" w:hAnsi="Arial" w:cs="Arial"/>
          <w:sz w:val="20"/>
          <w:szCs w:val="20"/>
        </w:rPr>
      </w:pPr>
      <w:r w:rsidRPr="004457FD">
        <w:rPr>
          <w:rFonts w:ascii="Arial" w:hAnsi="Arial" w:cs="Arial"/>
          <w:sz w:val="20"/>
          <w:szCs w:val="20"/>
        </w:rPr>
        <w:t xml:space="preserve">También en: </w:t>
      </w:r>
      <w:hyperlink r:id="rId8">
        <w:r w:rsidRPr="004457FD">
          <w:rPr>
            <w:rFonts w:ascii="Arial" w:hAnsi="Arial" w:cs="Arial"/>
            <w:color w:val="0000FF"/>
            <w:sz w:val="20"/>
            <w:szCs w:val="20"/>
            <w:u w:val="single"/>
          </w:rPr>
          <w:t>http://gruposdetrabajo.sefh.es/genesis/</w:t>
        </w:r>
      </w:hyperlink>
    </w:p>
    <w:p w:rsidR="00A43D05" w:rsidRPr="004457FD" w:rsidRDefault="00A43D05" w:rsidP="00A43D05">
      <w:pPr>
        <w:pStyle w:val="Normal1"/>
        <w:jc w:val="both"/>
        <w:rPr>
          <w:rFonts w:ascii="Arial" w:hAnsi="Arial" w:cs="Arial"/>
          <w:sz w:val="20"/>
          <w:szCs w:val="20"/>
        </w:rPr>
      </w:pPr>
    </w:p>
    <w:p w:rsidR="00A43D05" w:rsidRPr="004457FD" w:rsidRDefault="00A43D05" w:rsidP="00A43D05">
      <w:pPr>
        <w:pStyle w:val="Normal1"/>
        <w:jc w:val="both"/>
        <w:rPr>
          <w:rFonts w:ascii="Arial" w:hAnsi="Arial" w:cs="Arial"/>
          <w:sz w:val="20"/>
          <w:szCs w:val="20"/>
        </w:rPr>
      </w:pPr>
      <w:r w:rsidRPr="004457FD">
        <w:rPr>
          <w:rFonts w:ascii="Arial" w:hAnsi="Arial" w:cs="Arial"/>
          <w:sz w:val="20"/>
          <w:szCs w:val="20"/>
        </w:rPr>
        <w:t xml:space="preserve">Este informe utiliza como base para su elaboración el </w:t>
      </w:r>
      <w:r w:rsidRPr="004457FD">
        <w:rPr>
          <w:rFonts w:ascii="Arial" w:hAnsi="Arial" w:cs="Arial"/>
          <w:b/>
          <w:bCs/>
          <w:sz w:val="20"/>
          <w:szCs w:val="20"/>
        </w:rPr>
        <w:t>Programa MADRE 4.0 (GENESIS-SEFH)</w:t>
      </w:r>
    </w:p>
    <w:p w:rsidR="00A43D05" w:rsidRDefault="00A43D05">
      <w:pPr>
        <w:rPr>
          <w:rFonts w:ascii="Arial" w:hAnsi="Arial" w:cs="Arial"/>
          <w:color w:val="0000FF"/>
          <w:sz w:val="20"/>
          <w:szCs w:val="20"/>
          <w:u w:val="single"/>
        </w:rPr>
      </w:pPr>
    </w:p>
    <w:tbl>
      <w:tblPr>
        <w:tblW w:w="0" w:type="auto"/>
        <w:tblInd w:w="-125" w:type="dxa"/>
        <w:tblLayout w:type="fixed"/>
        <w:tblCellMar>
          <w:left w:w="70" w:type="dxa"/>
          <w:right w:w="70" w:type="dxa"/>
        </w:tblCellMar>
        <w:tblLook w:val="0000"/>
      </w:tblPr>
      <w:tblGrid>
        <w:gridCol w:w="9140"/>
      </w:tblGrid>
      <w:tr w:rsidR="0056194E">
        <w:trPr>
          <w:trHeight w:val="131"/>
        </w:trPr>
        <w:tc>
          <w:tcPr>
            <w:tcW w:w="9140" w:type="dxa"/>
            <w:tcBorders>
              <w:top w:val="single" w:sz="4" w:space="0" w:color="000000"/>
              <w:left w:val="single" w:sz="4" w:space="0" w:color="000000"/>
              <w:bottom w:val="single" w:sz="4" w:space="0" w:color="000000"/>
              <w:right w:val="single" w:sz="4" w:space="0" w:color="000000"/>
            </w:tcBorders>
            <w:shd w:val="clear" w:color="auto" w:fill="BFBFBF"/>
          </w:tcPr>
          <w:p w:rsidR="0056194E" w:rsidRDefault="0056194E">
            <w:pPr>
              <w:pStyle w:val="Ttulo1"/>
            </w:pPr>
            <w:bookmarkStart w:id="3" w:name="_Toc536608319"/>
            <w:r>
              <w:t>1.- IDENTIFICACIÓN DEL FÁRMACO Y AUTORES DEL INFORME</w:t>
            </w:r>
            <w:bookmarkEnd w:id="3"/>
          </w:p>
        </w:tc>
      </w:tr>
    </w:tbl>
    <w:p w:rsidR="0056194E" w:rsidRDefault="0056194E">
      <w:pPr>
        <w:rPr>
          <w:rFonts w:ascii="Arial" w:hAnsi="Arial" w:cs="Arial"/>
          <w:sz w:val="20"/>
          <w:szCs w:val="20"/>
        </w:rPr>
      </w:pPr>
    </w:p>
    <w:p w:rsidR="0056194E" w:rsidRDefault="0056194E">
      <w:pPr>
        <w:jc w:val="both"/>
        <w:rPr>
          <w:rFonts w:ascii="Arial" w:hAnsi="Arial" w:cs="Arial"/>
          <w:b/>
          <w:bCs/>
          <w:sz w:val="20"/>
          <w:szCs w:val="20"/>
        </w:rPr>
      </w:pPr>
      <w:r>
        <w:rPr>
          <w:rFonts w:ascii="Arial" w:hAnsi="Arial" w:cs="Arial"/>
          <w:b/>
          <w:bCs/>
          <w:sz w:val="20"/>
          <w:szCs w:val="20"/>
        </w:rPr>
        <w:t>Fármaco</w:t>
      </w:r>
      <w:r>
        <w:rPr>
          <w:rFonts w:ascii="Arial" w:hAnsi="Arial" w:cs="Arial"/>
          <w:sz w:val="20"/>
          <w:szCs w:val="20"/>
        </w:rPr>
        <w:t>: Abiraterona</w:t>
      </w:r>
      <w:r>
        <w:rPr>
          <w:rFonts w:ascii="Arial" w:hAnsi="Arial" w:cs="Arial"/>
          <w:sz w:val="20"/>
          <w:szCs w:val="20"/>
          <w:vertAlign w:val="superscript"/>
        </w:rPr>
        <w:t>1</w:t>
      </w:r>
    </w:p>
    <w:p w:rsidR="0056194E" w:rsidRDefault="0056194E">
      <w:pPr>
        <w:jc w:val="both"/>
        <w:rPr>
          <w:rFonts w:ascii="Arial" w:hAnsi="Arial" w:cs="Arial"/>
          <w:b/>
          <w:bCs/>
          <w:sz w:val="20"/>
          <w:szCs w:val="20"/>
        </w:rPr>
      </w:pPr>
      <w:r>
        <w:rPr>
          <w:rFonts w:ascii="Arial" w:hAnsi="Arial" w:cs="Arial"/>
          <w:b/>
          <w:bCs/>
          <w:sz w:val="20"/>
          <w:szCs w:val="20"/>
        </w:rPr>
        <w:t>Indicación clínica solicitada:</w:t>
      </w:r>
      <w:r>
        <w:rPr>
          <w:rFonts w:ascii="Arial" w:hAnsi="Arial" w:cs="Arial"/>
          <w:sz w:val="20"/>
          <w:szCs w:val="20"/>
        </w:rPr>
        <w:t xml:space="preserve"> Primera línea de tratamiento en combinación con prednisona/presdnisolona y TDA en pacientes con cáncer de próstata hormonosensible metastásico de alto riesgo*.</w:t>
      </w:r>
    </w:p>
    <w:p w:rsidR="0056194E" w:rsidRPr="00A43D05" w:rsidRDefault="0056194E">
      <w:pPr>
        <w:jc w:val="both"/>
        <w:rPr>
          <w:rFonts w:ascii="Arial" w:hAnsi="Arial" w:cs="Arial"/>
          <w:bCs/>
          <w:sz w:val="20"/>
          <w:szCs w:val="20"/>
          <w:vertAlign w:val="superscript"/>
          <w:lang w:val="pt-BR"/>
        </w:rPr>
      </w:pPr>
      <w:r w:rsidRPr="006A311C">
        <w:rPr>
          <w:rFonts w:ascii="Arial" w:hAnsi="Arial" w:cs="Arial"/>
          <w:b/>
          <w:bCs/>
          <w:sz w:val="20"/>
          <w:szCs w:val="20"/>
          <w:lang w:val="pt-BR"/>
        </w:rPr>
        <w:t xml:space="preserve">Autores / Revisores: </w:t>
      </w:r>
      <w:r w:rsidRPr="00A43D05">
        <w:rPr>
          <w:rFonts w:ascii="Arial" w:hAnsi="Arial" w:cs="Arial"/>
          <w:sz w:val="20"/>
          <w:szCs w:val="20"/>
          <w:lang w:val="pt-BR"/>
        </w:rPr>
        <w:t>Marta Pedrosa Ruiz</w:t>
      </w:r>
      <w:r w:rsidRPr="00A43D05">
        <w:rPr>
          <w:rFonts w:ascii="Arial" w:hAnsi="Arial" w:cs="Arial"/>
          <w:sz w:val="20"/>
          <w:szCs w:val="20"/>
          <w:vertAlign w:val="superscript"/>
          <w:lang w:val="pt-BR"/>
        </w:rPr>
        <w:t>1</w:t>
      </w:r>
      <w:r w:rsidRPr="00A43D05">
        <w:rPr>
          <w:rFonts w:ascii="Arial" w:hAnsi="Arial" w:cs="Arial"/>
          <w:bCs/>
          <w:sz w:val="20"/>
          <w:szCs w:val="20"/>
          <w:lang w:val="pt-BR"/>
        </w:rPr>
        <w:t>,</w:t>
      </w:r>
      <w:r w:rsidR="007906EB">
        <w:rPr>
          <w:rFonts w:ascii="Arial" w:hAnsi="Arial" w:cs="Arial"/>
          <w:bCs/>
          <w:sz w:val="20"/>
          <w:szCs w:val="20"/>
          <w:lang w:val="pt-BR"/>
        </w:rPr>
        <w:t xml:space="preserve"> </w:t>
      </w:r>
      <w:r w:rsidRPr="00A43D05">
        <w:rPr>
          <w:rFonts w:ascii="Arial" w:hAnsi="Arial" w:cs="Arial"/>
          <w:bCs/>
          <w:sz w:val="20"/>
          <w:szCs w:val="20"/>
          <w:lang w:val="pt-BR"/>
        </w:rPr>
        <w:t>Juan Carlos García de Paredes Esteban</w:t>
      </w:r>
      <w:r w:rsidR="007906EB">
        <w:rPr>
          <w:rFonts w:ascii="Arial" w:hAnsi="Arial" w:cs="Arial"/>
          <w:bCs/>
          <w:sz w:val="20"/>
          <w:szCs w:val="20"/>
          <w:vertAlign w:val="superscript"/>
          <w:lang w:val="pt-BR"/>
        </w:rPr>
        <w:t>2</w:t>
      </w:r>
      <w:r w:rsidR="007906EB">
        <w:rPr>
          <w:rFonts w:ascii="Arial" w:hAnsi="Arial" w:cs="Arial"/>
          <w:bCs/>
          <w:sz w:val="20"/>
          <w:szCs w:val="20"/>
          <w:lang w:val="pt-BR"/>
        </w:rPr>
        <w:t>,</w:t>
      </w:r>
      <w:r w:rsidR="007906EB" w:rsidRPr="007906EB">
        <w:rPr>
          <w:rFonts w:ascii="Arial" w:hAnsi="Arial" w:cs="Arial"/>
          <w:bCs/>
          <w:sz w:val="20"/>
          <w:szCs w:val="20"/>
          <w:lang w:val="pt-BR"/>
        </w:rPr>
        <w:t xml:space="preserve"> </w:t>
      </w:r>
      <w:r w:rsidR="007906EB" w:rsidRPr="00A43D05">
        <w:rPr>
          <w:rFonts w:ascii="Arial" w:hAnsi="Arial" w:cs="Arial"/>
          <w:bCs/>
          <w:sz w:val="20"/>
          <w:szCs w:val="20"/>
          <w:lang w:val="pt-BR"/>
        </w:rPr>
        <w:t>Emilio Jesús Alegre del Rey</w:t>
      </w:r>
      <w:r w:rsidR="007906EB">
        <w:rPr>
          <w:rFonts w:ascii="Arial" w:hAnsi="Arial" w:cs="Arial"/>
          <w:bCs/>
          <w:sz w:val="20"/>
          <w:szCs w:val="20"/>
          <w:vertAlign w:val="superscript"/>
          <w:lang w:val="pt-BR"/>
        </w:rPr>
        <w:t>3</w:t>
      </w:r>
    </w:p>
    <w:p w:rsidR="0056194E" w:rsidRPr="00A43D05" w:rsidRDefault="0056194E">
      <w:pPr>
        <w:jc w:val="both"/>
        <w:rPr>
          <w:rFonts w:ascii="Arial" w:hAnsi="Arial" w:cs="Arial"/>
          <w:bCs/>
          <w:sz w:val="20"/>
          <w:szCs w:val="20"/>
          <w:lang w:val="pt-BR"/>
        </w:rPr>
      </w:pPr>
      <w:r w:rsidRPr="00A43D05">
        <w:rPr>
          <w:rFonts w:ascii="Arial" w:hAnsi="Arial" w:cs="Arial"/>
          <w:bCs/>
          <w:sz w:val="20"/>
          <w:szCs w:val="20"/>
          <w:lang w:val="pt-BR"/>
        </w:rPr>
        <w:t>1. Servicio de Farmacia. Hospital Universitário Virgen de La Victoria de Málaga</w:t>
      </w:r>
    </w:p>
    <w:p w:rsidR="0056194E" w:rsidRPr="00A43D05" w:rsidRDefault="0056194E">
      <w:pPr>
        <w:jc w:val="both"/>
        <w:rPr>
          <w:rFonts w:ascii="Arial" w:hAnsi="Arial" w:cs="Arial"/>
          <w:bCs/>
          <w:sz w:val="20"/>
          <w:szCs w:val="20"/>
          <w:lang w:val="pt-BR"/>
        </w:rPr>
      </w:pPr>
      <w:r w:rsidRPr="00A43D05">
        <w:rPr>
          <w:rFonts w:ascii="Arial" w:hAnsi="Arial" w:cs="Arial"/>
          <w:bCs/>
          <w:sz w:val="20"/>
          <w:szCs w:val="20"/>
          <w:lang w:val="pt-BR"/>
        </w:rPr>
        <w:t xml:space="preserve">2. </w:t>
      </w:r>
      <w:r w:rsidR="007906EB" w:rsidRPr="00A43D05">
        <w:rPr>
          <w:rFonts w:ascii="Arial" w:hAnsi="Arial" w:cs="Arial"/>
          <w:bCs/>
          <w:sz w:val="20"/>
          <w:szCs w:val="20"/>
          <w:lang w:val="pt-BR"/>
        </w:rPr>
        <w:t>Servicio de Farmacia Atención Primaria Ceuta.</w:t>
      </w:r>
    </w:p>
    <w:p w:rsidR="0056194E" w:rsidRDefault="0056194E">
      <w:pPr>
        <w:jc w:val="both"/>
        <w:rPr>
          <w:rFonts w:ascii="Arial" w:hAnsi="Arial" w:cs="Arial"/>
          <w:b/>
          <w:bCs/>
          <w:sz w:val="20"/>
          <w:szCs w:val="20"/>
          <w:lang w:val="pt-BR"/>
        </w:rPr>
      </w:pPr>
      <w:r w:rsidRPr="00A43D05">
        <w:rPr>
          <w:rFonts w:ascii="Arial" w:hAnsi="Arial" w:cs="Arial"/>
          <w:bCs/>
          <w:sz w:val="20"/>
          <w:szCs w:val="20"/>
          <w:lang w:val="pt-BR"/>
        </w:rPr>
        <w:t>3.</w:t>
      </w:r>
      <w:r w:rsidR="007906EB" w:rsidRPr="007906EB">
        <w:rPr>
          <w:rFonts w:ascii="Arial" w:hAnsi="Arial" w:cs="Arial"/>
          <w:bCs/>
          <w:sz w:val="20"/>
          <w:szCs w:val="20"/>
          <w:lang w:val="pt-BR"/>
        </w:rPr>
        <w:t xml:space="preserve"> </w:t>
      </w:r>
      <w:r w:rsidR="007906EB" w:rsidRPr="00A43D05">
        <w:rPr>
          <w:rFonts w:ascii="Arial" w:hAnsi="Arial" w:cs="Arial"/>
          <w:bCs/>
          <w:sz w:val="20"/>
          <w:szCs w:val="20"/>
          <w:lang w:val="pt-BR"/>
        </w:rPr>
        <w:t>Servicio de Farmacia. Hospital Universitario Puerto Real (Cádiz).</w:t>
      </w:r>
    </w:p>
    <w:p w:rsidR="0056194E" w:rsidRPr="006A311C" w:rsidRDefault="0056194E">
      <w:pPr>
        <w:jc w:val="both"/>
        <w:rPr>
          <w:rFonts w:ascii="Arial" w:hAnsi="Arial" w:cs="Arial"/>
          <w:b/>
          <w:bCs/>
          <w:sz w:val="20"/>
          <w:szCs w:val="20"/>
          <w:lang w:val="pt-BR"/>
        </w:rPr>
      </w:pPr>
    </w:p>
    <w:p w:rsidR="0056194E" w:rsidRPr="006A311C" w:rsidRDefault="0056194E">
      <w:pPr>
        <w:jc w:val="both"/>
        <w:rPr>
          <w:rFonts w:ascii="Arial" w:hAnsi="Arial" w:cs="Arial"/>
          <w:b/>
          <w:sz w:val="20"/>
          <w:szCs w:val="20"/>
          <w:lang w:val="pt-BR"/>
        </w:rPr>
      </w:pPr>
      <w:r w:rsidRPr="006A311C">
        <w:rPr>
          <w:rFonts w:ascii="Arial" w:hAnsi="Arial" w:cs="Arial"/>
          <w:b/>
          <w:bCs/>
          <w:sz w:val="20"/>
          <w:szCs w:val="20"/>
          <w:lang w:val="pt-BR"/>
        </w:rPr>
        <w:lastRenderedPageBreak/>
        <w:t>Tipo de informe:</w:t>
      </w:r>
      <w:r w:rsidR="00415B8A">
        <w:rPr>
          <w:rFonts w:ascii="Arial" w:hAnsi="Arial" w:cs="Arial"/>
          <w:b/>
          <w:bCs/>
          <w:sz w:val="20"/>
          <w:szCs w:val="20"/>
          <w:lang w:val="pt-BR"/>
        </w:rPr>
        <w:t xml:space="preserve"> </w:t>
      </w:r>
      <w:r w:rsidRPr="006A311C">
        <w:rPr>
          <w:rFonts w:ascii="Arial" w:hAnsi="Arial" w:cs="Arial"/>
          <w:sz w:val="20"/>
          <w:szCs w:val="20"/>
          <w:lang w:val="pt-BR"/>
        </w:rPr>
        <w:t>Original</w:t>
      </w:r>
    </w:p>
    <w:p w:rsidR="0056194E" w:rsidRDefault="0056194E">
      <w:pPr>
        <w:jc w:val="both"/>
        <w:rPr>
          <w:rFonts w:ascii="Arial" w:hAnsi="Arial" w:cs="Arial"/>
          <w:sz w:val="20"/>
          <w:szCs w:val="20"/>
        </w:rPr>
      </w:pPr>
      <w:r>
        <w:rPr>
          <w:rFonts w:ascii="Arial" w:hAnsi="Arial" w:cs="Arial"/>
          <w:b/>
          <w:sz w:val="20"/>
          <w:szCs w:val="20"/>
        </w:rPr>
        <w:t>Declaración de conflicto de Intereses de los autores</w:t>
      </w:r>
      <w:r>
        <w:rPr>
          <w:rFonts w:ascii="Arial" w:hAnsi="Arial" w:cs="Arial"/>
          <w:b/>
          <w:bCs/>
          <w:sz w:val="20"/>
          <w:szCs w:val="20"/>
        </w:rPr>
        <w:t xml:space="preserve">: </w:t>
      </w:r>
      <w:r>
        <w:rPr>
          <w:rFonts w:ascii="Arial" w:hAnsi="Arial" w:cs="Arial"/>
          <w:sz w:val="20"/>
          <w:szCs w:val="20"/>
        </w:rPr>
        <w:t>Ver declaración en anexo al final del informe.</w:t>
      </w:r>
    </w:p>
    <w:p w:rsidR="0056194E" w:rsidRDefault="0056194E">
      <w:pPr>
        <w:jc w:val="both"/>
        <w:rPr>
          <w:rFonts w:ascii="Arial" w:hAnsi="Arial" w:cs="Arial"/>
          <w:sz w:val="20"/>
          <w:szCs w:val="20"/>
        </w:rPr>
      </w:pPr>
    </w:p>
    <w:p w:rsidR="0056194E" w:rsidRDefault="0056194E">
      <w:pPr>
        <w:jc w:val="both"/>
        <w:rPr>
          <w:rStyle w:val="Hipervnculo"/>
          <w:rFonts w:ascii="Arial" w:hAnsi="Arial" w:cs="Arial"/>
          <w:color w:val="000000"/>
          <w:sz w:val="20"/>
          <w:szCs w:val="20"/>
          <w:u w:val="none"/>
        </w:rPr>
      </w:pPr>
      <w:r>
        <w:rPr>
          <w:rStyle w:val="Hipervnculo"/>
          <w:rFonts w:ascii="Arial" w:hAnsi="Arial" w:cs="Arial"/>
          <w:color w:val="000000"/>
          <w:sz w:val="20"/>
          <w:szCs w:val="20"/>
          <w:u w:val="none"/>
        </w:rPr>
        <w:t xml:space="preserve">*alto riesgo se considera cuando se cumplen dos de los siguientes criterios: </w:t>
      </w:r>
    </w:p>
    <w:p w:rsidR="0056194E" w:rsidRDefault="0056194E">
      <w:pPr>
        <w:jc w:val="both"/>
        <w:rPr>
          <w:rFonts w:ascii="Arial" w:hAnsi="Arial" w:cs="Arial"/>
          <w:b/>
          <w:color w:val="0000FF"/>
          <w:sz w:val="20"/>
          <w:szCs w:val="20"/>
          <w:u w:val="single"/>
        </w:rPr>
      </w:pPr>
      <w:r>
        <w:rPr>
          <w:rStyle w:val="Hipervnculo"/>
          <w:rFonts w:ascii="Arial" w:hAnsi="Arial" w:cs="Arial"/>
          <w:color w:val="000000"/>
          <w:sz w:val="20"/>
          <w:szCs w:val="20"/>
          <w:u w:val="none"/>
        </w:rPr>
        <w:t>Gleason 8-10, ≥3 metástasis óseas y/o≥1metástasis visceral; según criterios del estudio pivotal que se describirán más adelante.</w:t>
      </w:r>
    </w:p>
    <w:p w:rsidR="0056194E" w:rsidRDefault="0056194E">
      <w:pPr>
        <w:jc w:val="both"/>
        <w:rPr>
          <w:rFonts w:ascii="Arial" w:hAnsi="Arial" w:cs="Arial"/>
          <w:b/>
          <w:color w:val="0000FF"/>
          <w:sz w:val="20"/>
          <w:szCs w:val="20"/>
          <w:u w:val="single"/>
        </w:rPr>
      </w:pPr>
    </w:p>
    <w:tbl>
      <w:tblPr>
        <w:tblW w:w="0" w:type="auto"/>
        <w:tblInd w:w="-125" w:type="dxa"/>
        <w:tblLayout w:type="fixed"/>
        <w:tblCellMar>
          <w:left w:w="70" w:type="dxa"/>
          <w:right w:w="70" w:type="dxa"/>
        </w:tblCellMar>
        <w:tblLook w:val="0000"/>
      </w:tblPr>
      <w:tblGrid>
        <w:gridCol w:w="9140"/>
      </w:tblGrid>
      <w:tr w:rsidR="0056194E">
        <w:trPr>
          <w:trHeight w:val="90"/>
        </w:trPr>
        <w:tc>
          <w:tcPr>
            <w:tcW w:w="9140"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4" w:name="_Toc536608320"/>
            <w:r>
              <w:t>2.- SOLICITUD Y DATOS DEL PROCESO DE EVALUACIÓN</w:t>
            </w:r>
            <w:bookmarkEnd w:id="4"/>
          </w:p>
        </w:tc>
      </w:tr>
    </w:tbl>
    <w:p w:rsidR="0056194E" w:rsidRDefault="0056194E">
      <w:pPr>
        <w:jc w:val="both"/>
        <w:rPr>
          <w:rFonts w:ascii="Arial" w:hAnsi="Arial" w:cs="Arial"/>
          <w:sz w:val="20"/>
          <w:szCs w:val="20"/>
        </w:rPr>
      </w:pPr>
    </w:p>
    <w:p w:rsidR="0056194E" w:rsidRDefault="0056194E">
      <w:pPr>
        <w:jc w:val="both"/>
        <w:rPr>
          <w:rFonts w:ascii="Arial" w:hAnsi="Arial" w:cs="Arial"/>
          <w:color w:val="0000FF"/>
          <w:sz w:val="20"/>
          <w:szCs w:val="20"/>
          <w:u w:val="single"/>
        </w:rPr>
      </w:pPr>
      <w:r>
        <w:rPr>
          <w:rFonts w:ascii="Arial" w:hAnsi="Arial" w:cs="Arial"/>
          <w:b/>
          <w:bCs/>
          <w:sz w:val="20"/>
          <w:szCs w:val="20"/>
        </w:rPr>
        <w:t>Justificación de la solicitud</w:t>
      </w:r>
      <w:r>
        <w:rPr>
          <w:rFonts w:ascii="Arial" w:hAnsi="Arial" w:cs="Arial"/>
          <w:bCs/>
          <w:sz w:val="20"/>
          <w:szCs w:val="20"/>
        </w:rPr>
        <w:t xml:space="preserve">: Informe realizado para el grupo GHEMA por tratarse de un fármaco ya comercializado que cuenta con la opinión positiva de CHMP de </w:t>
      </w:r>
      <w:smartTag w:uri="urn:schemas-microsoft-com:office:smarttags" w:element="PersonName">
        <w:smartTagPr>
          <w:attr w:name="ProductID" w:val="la EMA"/>
        </w:smartTagPr>
        <w:r>
          <w:rPr>
            <w:rFonts w:ascii="Arial" w:hAnsi="Arial" w:cs="Arial"/>
            <w:bCs/>
            <w:sz w:val="20"/>
            <w:szCs w:val="20"/>
          </w:rPr>
          <w:t>la EMA</w:t>
        </w:r>
      </w:smartTag>
      <w:r>
        <w:rPr>
          <w:rFonts w:ascii="Arial" w:hAnsi="Arial" w:cs="Arial"/>
          <w:bCs/>
          <w:sz w:val="20"/>
          <w:szCs w:val="20"/>
        </w:rPr>
        <w:t xml:space="preserve"> para la aprobación de una nueva indicación cuyo posicionamiento terapéutico requiere de una evaluación en el entorno hospitalario.</w:t>
      </w:r>
    </w:p>
    <w:p w:rsidR="0056194E" w:rsidRDefault="0056194E">
      <w:pPr>
        <w:jc w:val="both"/>
        <w:rPr>
          <w:rFonts w:ascii="Arial" w:hAnsi="Arial" w:cs="Arial"/>
          <w:color w:val="0000FF"/>
          <w:sz w:val="20"/>
          <w:szCs w:val="20"/>
          <w:u w:val="single"/>
        </w:rPr>
      </w:pPr>
    </w:p>
    <w:tbl>
      <w:tblPr>
        <w:tblW w:w="0" w:type="auto"/>
        <w:tblInd w:w="-125" w:type="dxa"/>
        <w:tblLayout w:type="fixed"/>
        <w:tblCellMar>
          <w:left w:w="70" w:type="dxa"/>
          <w:right w:w="70" w:type="dxa"/>
        </w:tblCellMar>
        <w:tblLook w:val="0000"/>
      </w:tblPr>
      <w:tblGrid>
        <w:gridCol w:w="9109"/>
      </w:tblGrid>
      <w:tr w:rsidR="0056194E">
        <w:tc>
          <w:tcPr>
            <w:tcW w:w="9109"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5" w:name="_Toc536608321"/>
            <w:r>
              <w:t>3.- AREA DESCRIPTIVA DEL MEDICAMENTO Y DEL PROBLEMA DE SALUD</w:t>
            </w:r>
            <w:bookmarkEnd w:id="5"/>
          </w:p>
        </w:tc>
      </w:tr>
    </w:tbl>
    <w:p w:rsidR="0056194E" w:rsidRDefault="0056194E">
      <w:pPr>
        <w:jc w:val="both"/>
        <w:rPr>
          <w:rFonts w:ascii="Arial" w:hAnsi="Arial" w:cs="Arial"/>
          <w:b/>
          <w:sz w:val="20"/>
          <w:szCs w:val="20"/>
        </w:rPr>
      </w:pPr>
    </w:p>
    <w:p w:rsidR="0056194E" w:rsidRDefault="0056194E">
      <w:pPr>
        <w:pStyle w:val="Ttulo2"/>
        <w:pBdr>
          <w:top w:val="single" w:sz="4" w:space="1" w:color="000000"/>
          <w:left w:val="single" w:sz="4" w:space="4" w:color="000000"/>
          <w:bottom w:val="single" w:sz="4" w:space="1" w:color="000000"/>
          <w:right w:val="single" w:sz="4" w:space="2" w:color="000000"/>
        </w:pBdr>
        <w:rPr>
          <w:sz w:val="20"/>
        </w:rPr>
      </w:pPr>
      <w:bookmarkStart w:id="6" w:name="_Toc536608322"/>
      <w:r>
        <w:rPr>
          <w:sz w:val="20"/>
        </w:rPr>
        <w:t>3.1 Área descriptiva del medicamento</w:t>
      </w:r>
      <w:bookmarkEnd w:id="6"/>
    </w:p>
    <w:p w:rsidR="0056194E" w:rsidRDefault="0056194E">
      <w:pPr>
        <w:jc w:val="both"/>
        <w:rPr>
          <w:rFonts w:ascii="Arial" w:hAnsi="Arial" w:cs="Arial"/>
          <w:b/>
          <w:sz w:val="20"/>
          <w:szCs w:val="20"/>
        </w:rPr>
      </w:pPr>
    </w:p>
    <w:p w:rsidR="0056194E" w:rsidRDefault="0056194E">
      <w:pPr>
        <w:jc w:val="both"/>
        <w:rPr>
          <w:rFonts w:ascii="Arial" w:hAnsi="Arial" w:cs="Arial"/>
          <w:b/>
          <w:bCs/>
          <w:sz w:val="20"/>
          <w:szCs w:val="20"/>
        </w:rPr>
      </w:pPr>
      <w:r>
        <w:rPr>
          <w:rFonts w:ascii="Arial" w:hAnsi="Arial" w:cs="Arial"/>
          <w:b/>
          <w:bCs/>
          <w:sz w:val="20"/>
          <w:szCs w:val="20"/>
        </w:rPr>
        <w:t>Nombre genérico</w:t>
      </w:r>
      <w:r>
        <w:rPr>
          <w:rFonts w:ascii="Arial" w:hAnsi="Arial" w:cs="Arial"/>
          <w:sz w:val="20"/>
          <w:szCs w:val="20"/>
        </w:rPr>
        <w:t>: Abiraterona</w:t>
      </w:r>
      <w:r>
        <w:rPr>
          <w:rFonts w:ascii="Arial" w:hAnsi="Arial" w:cs="Arial"/>
          <w:sz w:val="20"/>
          <w:szCs w:val="20"/>
          <w:vertAlign w:val="superscript"/>
        </w:rPr>
        <w:t>1</w:t>
      </w:r>
      <w:r>
        <w:rPr>
          <w:rFonts w:ascii="Arial" w:hAnsi="Arial" w:cs="Arial"/>
          <w:sz w:val="20"/>
          <w:szCs w:val="20"/>
        </w:rPr>
        <w:t>.</w:t>
      </w:r>
    </w:p>
    <w:p w:rsidR="0056194E" w:rsidRDefault="0056194E">
      <w:pPr>
        <w:jc w:val="both"/>
        <w:rPr>
          <w:rFonts w:ascii="Arial" w:hAnsi="Arial" w:cs="Arial"/>
          <w:b/>
          <w:bCs/>
          <w:sz w:val="20"/>
          <w:szCs w:val="20"/>
        </w:rPr>
      </w:pPr>
      <w:r>
        <w:rPr>
          <w:rFonts w:ascii="Arial" w:hAnsi="Arial" w:cs="Arial"/>
          <w:b/>
          <w:bCs/>
          <w:sz w:val="20"/>
          <w:szCs w:val="20"/>
        </w:rPr>
        <w:t>Nombre comercial</w:t>
      </w:r>
      <w:r>
        <w:rPr>
          <w:rFonts w:ascii="Arial" w:hAnsi="Arial" w:cs="Arial"/>
          <w:sz w:val="20"/>
          <w:szCs w:val="20"/>
        </w:rPr>
        <w:t>: Zytiga®.</w:t>
      </w:r>
    </w:p>
    <w:p w:rsidR="0056194E" w:rsidRPr="006A311C" w:rsidRDefault="0056194E">
      <w:pPr>
        <w:jc w:val="both"/>
        <w:rPr>
          <w:rFonts w:ascii="Arial" w:hAnsi="Arial" w:cs="Arial"/>
          <w:b/>
          <w:bCs/>
          <w:sz w:val="20"/>
          <w:szCs w:val="20"/>
          <w:lang w:val="nl-NL"/>
        </w:rPr>
      </w:pPr>
      <w:r w:rsidRPr="006A311C">
        <w:rPr>
          <w:rFonts w:ascii="Arial" w:hAnsi="Arial" w:cs="Arial"/>
          <w:b/>
          <w:bCs/>
          <w:sz w:val="20"/>
          <w:szCs w:val="20"/>
          <w:lang w:val="nl-NL"/>
        </w:rPr>
        <w:t>Laboratorio</w:t>
      </w:r>
      <w:r w:rsidRPr="006A311C">
        <w:rPr>
          <w:rFonts w:ascii="Arial" w:hAnsi="Arial" w:cs="Arial"/>
          <w:sz w:val="20"/>
          <w:szCs w:val="20"/>
          <w:lang w:val="nl-NL"/>
        </w:rPr>
        <w:t>: Janssen-Cilag, S.A.</w:t>
      </w:r>
    </w:p>
    <w:p w:rsidR="0056194E" w:rsidRDefault="0056194E">
      <w:pPr>
        <w:jc w:val="both"/>
        <w:rPr>
          <w:rFonts w:ascii="Arial" w:hAnsi="Arial" w:cs="Arial"/>
          <w:b/>
          <w:sz w:val="20"/>
          <w:szCs w:val="20"/>
        </w:rPr>
      </w:pPr>
      <w:r>
        <w:rPr>
          <w:rFonts w:ascii="Arial" w:hAnsi="Arial" w:cs="Arial"/>
          <w:b/>
          <w:bCs/>
          <w:sz w:val="20"/>
          <w:szCs w:val="20"/>
        </w:rPr>
        <w:t>Grupo terapéutico</w:t>
      </w:r>
      <w:r>
        <w:rPr>
          <w:rFonts w:ascii="Arial" w:hAnsi="Arial" w:cs="Arial"/>
          <w:sz w:val="20"/>
          <w:szCs w:val="20"/>
        </w:rPr>
        <w:t xml:space="preserve">. Denominación: Tratamiento endocrino, antagonistas de hormonas y agentes relacionados.                             </w:t>
      </w:r>
    </w:p>
    <w:p w:rsidR="0056194E" w:rsidRDefault="0056194E">
      <w:pPr>
        <w:jc w:val="both"/>
        <w:rPr>
          <w:rFonts w:ascii="Arial" w:hAnsi="Arial" w:cs="Arial"/>
          <w:b/>
          <w:bCs/>
          <w:sz w:val="20"/>
          <w:szCs w:val="20"/>
        </w:rPr>
      </w:pPr>
      <w:r>
        <w:rPr>
          <w:rFonts w:ascii="Arial" w:hAnsi="Arial" w:cs="Arial"/>
          <w:b/>
          <w:sz w:val="20"/>
          <w:szCs w:val="20"/>
        </w:rPr>
        <w:t>Código ATC:</w:t>
      </w:r>
      <w:r>
        <w:rPr>
          <w:rFonts w:ascii="Arial" w:hAnsi="Arial" w:cs="Arial"/>
          <w:sz w:val="20"/>
          <w:szCs w:val="20"/>
        </w:rPr>
        <w:t xml:space="preserve"> L02BX03.</w:t>
      </w:r>
    </w:p>
    <w:p w:rsidR="0056194E" w:rsidRDefault="0056194E">
      <w:pPr>
        <w:jc w:val="both"/>
        <w:rPr>
          <w:rFonts w:ascii="Arial" w:hAnsi="Arial" w:cs="Arial"/>
          <w:b/>
          <w:sz w:val="20"/>
          <w:szCs w:val="20"/>
        </w:rPr>
      </w:pPr>
      <w:r>
        <w:rPr>
          <w:rFonts w:ascii="Arial" w:hAnsi="Arial" w:cs="Arial"/>
          <w:b/>
          <w:bCs/>
          <w:sz w:val="20"/>
          <w:szCs w:val="20"/>
        </w:rPr>
        <w:t>Vía de administración</w:t>
      </w:r>
      <w:r>
        <w:rPr>
          <w:rFonts w:ascii="Arial" w:hAnsi="Arial" w:cs="Arial"/>
          <w:sz w:val="20"/>
          <w:szCs w:val="20"/>
        </w:rPr>
        <w:t>: Oral.</w:t>
      </w:r>
    </w:p>
    <w:p w:rsidR="0056194E" w:rsidRDefault="0056194E">
      <w:pPr>
        <w:jc w:val="both"/>
        <w:rPr>
          <w:rFonts w:ascii="Arial" w:hAnsi="Arial" w:cs="Arial"/>
          <w:b/>
          <w:bCs/>
        </w:rPr>
      </w:pPr>
      <w:r>
        <w:rPr>
          <w:rFonts w:ascii="Arial" w:hAnsi="Arial" w:cs="Arial"/>
          <w:b/>
          <w:sz w:val="20"/>
          <w:szCs w:val="20"/>
        </w:rPr>
        <w:t>Tipo de dispensación</w:t>
      </w:r>
      <w:r>
        <w:rPr>
          <w:rFonts w:ascii="Arial" w:hAnsi="Arial" w:cs="Arial"/>
          <w:bCs/>
          <w:sz w:val="20"/>
          <w:szCs w:val="20"/>
        </w:rPr>
        <w:t xml:space="preserve">: Hospitalario. </w:t>
      </w:r>
    </w:p>
    <w:p w:rsidR="0056194E" w:rsidRDefault="0056194E">
      <w:pPr>
        <w:pStyle w:val="Encabezado"/>
        <w:tabs>
          <w:tab w:val="clear" w:pos="4252"/>
          <w:tab w:val="clear" w:pos="8504"/>
        </w:tabs>
        <w:jc w:val="both"/>
        <w:rPr>
          <w:rFonts w:ascii="Arial" w:hAnsi="Arial" w:cs="Arial"/>
        </w:rPr>
      </w:pPr>
      <w:r>
        <w:rPr>
          <w:rFonts w:ascii="Arial" w:hAnsi="Arial" w:cs="Arial"/>
          <w:b/>
          <w:bCs/>
        </w:rPr>
        <w:t>Información de registro</w:t>
      </w:r>
      <w:r>
        <w:rPr>
          <w:rFonts w:ascii="Arial" w:hAnsi="Arial" w:cs="Arial"/>
        </w:rPr>
        <w:t xml:space="preserve">: Opinión positiva CHMP de </w:t>
      </w:r>
      <w:smartTag w:uri="urn:schemas-microsoft-com:office:smarttags" w:element="PersonName">
        <w:smartTagPr>
          <w:attr w:name="ProductID" w:val="la EMA"/>
        </w:smartTagPr>
        <w:r>
          <w:rPr>
            <w:rFonts w:ascii="Arial" w:hAnsi="Arial" w:cs="Arial"/>
          </w:rPr>
          <w:t>la EMA</w:t>
        </w:r>
      </w:smartTag>
      <w:r>
        <w:rPr>
          <w:rFonts w:ascii="Arial" w:hAnsi="Arial" w:cs="Arial"/>
        </w:rPr>
        <w:t xml:space="preserve"> para su autorización. </w:t>
      </w:r>
    </w:p>
    <w:p w:rsidR="0056194E" w:rsidRDefault="0056194E">
      <w:pPr>
        <w:pStyle w:val="Encabezado"/>
        <w:tabs>
          <w:tab w:val="clear" w:pos="4252"/>
          <w:tab w:val="clear" w:pos="8504"/>
        </w:tabs>
        <w:jc w:val="both"/>
        <w:rPr>
          <w:rFonts w:ascii="Arial" w:hAnsi="Arial" w:cs="Arial"/>
        </w:rPr>
      </w:pPr>
    </w:p>
    <w:tbl>
      <w:tblPr>
        <w:tblW w:w="0" w:type="auto"/>
        <w:tblInd w:w="-197" w:type="dxa"/>
        <w:tblLayout w:type="fixed"/>
        <w:tblCellMar>
          <w:left w:w="70" w:type="dxa"/>
          <w:right w:w="70" w:type="dxa"/>
        </w:tblCellMar>
        <w:tblLook w:val="0000"/>
      </w:tblPr>
      <w:tblGrid>
        <w:gridCol w:w="3364"/>
        <w:gridCol w:w="1624"/>
        <w:gridCol w:w="1266"/>
        <w:gridCol w:w="2670"/>
      </w:tblGrid>
      <w:tr w:rsidR="0056194E">
        <w:trPr>
          <w:cantSplit/>
          <w:trHeight w:val="245"/>
        </w:trPr>
        <w:tc>
          <w:tcPr>
            <w:tcW w:w="8924"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sz w:val="20"/>
                <w:szCs w:val="20"/>
              </w:rPr>
              <w:t xml:space="preserve">Presentaciones y precio </w:t>
            </w:r>
          </w:p>
        </w:tc>
      </w:tr>
      <w:tr w:rsidR="0056194E">
        <w:trPr>
          <w:cantSplit/>
          <w:trHeight w:val="416"/>
        </w:trPr>
        <w:tc>
          <w:tcPr>
            <w:tcW w:w="3364"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bCs/>
                <w:sz w:val="18"/>
                <w:szCs w:val="18"/>
              </w:rPr>
              <w:t>Forma farmacéutica y dosis</w:t>
            </w:r>
          </w:p>
        </w:tc>
        <w:tc>
          <w:tcPr>
            <w:tcW w:w="1624" w:type="dxa"/>
            <w:tcBorders>
              <w:top w:val="single" w:sz="4" w:space="0" w:color="000000"/>
              <w:left w:val="single" w:sz="4" w:space="0" w:color="000000"/>
              <w:bottom w:val="single" w:sz="4" w:space="0" w:color="000000"/>
            </w:tcBorders>
            <w:vAlign w:val="center"/>
          </w:tcPr>
          <w:p w:rsidR="0056194E" w:rsidRPr="006A311C" w:rsidRDefault="0056194E">
            <w:pPr>
              <w:jc w:val="both"/>
              <w:rPr>
                <w:lang w:val="pt-BR"/>
              </w:rPr>
            </w:pPr>
            <w:r>
              <w:rPr>
                <w:rFonts w:ascii="Arial" w:hAnsi="Arial" w:cs="Arial"/>
                <w:bCs/>
                <w:sz w:val="18"/>
                <w:szCs w:val="18"/>
                <w:lang w:val="pt-BR"/>
              </w:rPr>
              <w:t>Nº de unidades por envase</w:t>
            </w:r>
          </w:p>
        </w:tc>
        <w:tc>
          <w:tcPr>
            <w:tcW w:w="1266"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bCs/>
                <w:sz w:val="18"/>
                <w:szCs w:val="18"/>
              </w:rPr>
              <w:t>Código</w:t>
            </w:r>
          </w:p>
        </w:tc>
        <w:tc>
          <w:tcPr>
            <w:tcW w:w="2670" w:type="dxa"/>
            <w:tcBorders>
              <w:top w:val="single" w:sz="4" w:space="0" w:color="000000"/>
              <w:left w:val="single" w:sz="4" w:space="0" w:color="000000"/>
              <w:bottom w:val="single" w:sz="4" w:space="0" w:color="000000"/>
              <w:right w:val="single" w:sz="4" w:space="0" w:color="000000"/>
            </w:tcBorders>
            <w:vAlign w:val="center"/>
          </w:tcPr>
          <w:p w:rsidR="0056194E" w:rsidRDefault="0056194E">
            <w:pPr>
              <w:jc w:val="both"/>
            </w:pPr>
            <w:r>
              <w:rPr>
                <w:rFonts w:ascii="Arial" w:hAnsi="Arial" w:cs="Arial"/>
                <w:bCs/>
                <w:sz w:val="18"/>
                <w:szCs w:val="18"/>
              </w:rPr>
              <w:t xml:space="preserve">Coste por unidad PVL </w:t>
            </w:r>
            <w:r w:rsidR="00223CE2">
              <w:rPr>
                <w:rFonts w:ascii="Arial" w:hAnsi="Arial" w:cs="Arial"/>
                <w:bCs/>
                <w:sz w:val="18"/>
                <w:szCs w:val="18"/>
              </w:rPr>
              <w:t>– RD 8/2010 (7,5%)</w:t>
            </w:r>
            <w:r>
              <w:rPr>
                <w:rFonts w:ascii="Arial" w:hAnsi="Arial" w:cs="Arial"/>
                <w:bCs/>
                <w:sz w:val="18"/>
                <w:szCs w:val="18"/>
              </w:rPr>
              <w:t xml:space="preserve">+ IVA </w:t>
            </w:r>
          </w:p>
        </w:tc>
      </w:tr>
      <w:tr w:rsidR="0056194E">
        <w:trPr>
          <w:cantSplit/>
          <w:trHeight w:val="245"/>
        </w:trPr>
        <w:tc>
          <w:tcPr>
            <w:tcW w:w="3364"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bCs/>
                <w:sz w:val="18"/>
                <w:szCs w:val="18"/>
              </w:rPr>
              <w:t>Comprimido 250 mg</w:t>
            </w:r>
          </w:p>
        </w:tc>
        <w:tc>
          <w:tcPr>
            <w:tcW w:w="1624"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bCs/>
                <w:sz w:val="18"/>
                <w:szCs w:val="18"/>
              </w:rPr>
              <w:t>120</w:t>
            </w:r>
          </w:p>
        </w:tc>
        <w:tc>
          <w:tcPr>
            <w:tcW w:w="1266"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bCs/>
                <w:color w:val="000000"/>
                <w:sz w:val="18"/>
                <w:szCs w:val="18"/>
              </w:rPr>
              <w:t>683759</w:t>
            </w:r>
          </w:p>
        </w:tc>
        <w:tc>
          <w:tcPr>
            <w:tcW w:w="2670" w:type="dxa"/>
            <w:tcBorders>
              <w:top w:val="single" w:sz="4" w:space="0" w:color="000000"/>
              <w:left w:val="single" w:sz="4" w:space="0" w:color="000000"/>
              <w:bottom w:val="single" w:sz="4" w:space="0" w:color="000000"/>
              <w:right w:val="single" w:sz="4" w:space="0" w:color="000000"/>
            </w:tcBorders>
            <w:vAlign w:val="center"/>
          </w:tcPr>
          <w:p w:rsidR="0056194E" w:rsidRDefault="00150F3B">
            <w:pPr>
              <w:snapToGrid w:val="0"/>
              <w:jc w:val="both"/>
            </w:pPr>
            <w:r>
              <w:rPr>
                <w:rFonts w:ascii="Arial" w:hAnsi="Arial" w:cs="Arial"/>
                <w:bCs/>
                <w:sz w:val="18"/>
                <w:szCs w:val="18"/>
              </w:rPr>
              <w:t>27,25</w:t>
            </w:r>
            <w:r w:rsidR="0056194E">
              <w:rPr>
                <w:rFonts w:ascii="Arial" w:hAnsi="Arial" w:cs="Arial"/>
                <w:bCs/>
                <w:sz w:val="18"/>
                <w:szCs w:val="18"/>
              </w:rPr>
              <w:t>€</w:t>
            </w:r>
          </w:p>
        </w:tc>
      </w:tr>
      <w:tr w:rsidR="0056194E">
        <w:trPr>
          <w:cantSplit/>
          <w:trHeight w:val="105"/>
        </w:trPr>
        <w:tc>
          <w:tcPr>
            <w:tcW w:w="3364"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bCs/>
                <w:sz w:val="18"/>
                <w:szCs w:val="18"/>
              </w:rPr>
              <w:t>Comprimido 500 mg</w:t>
            </w:r>
          </w:p>
        </w:tc>
        <w:tc>
          <w:tcPr>
            <w:tcW w:w="1624"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bCs/>
                <w:sz w:val="18"/>
                <w:szCs w:val="18"/>
              </w:rPr>
              <w:t>60</w:t>
            </w:r>
          </w:p>
        </w:tc>
        <w:tc>
          <w:tcPr>
            <w:tcW w:w="1266"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bCs/>
                <w:color w:val="000000"/>
                <w:sz w:val="18"/>
                <w:szCs w:val="18"/>
              </w:rPr>
              <w:t>713971</w:t>
            </w:r>
          </w:p>
        </w:tc>
        <w:tc>
          <w:tcPr>
            <w:tcW w:w="2670" w:type="dxa"/>
            <w:tcBorders>
              <w:top w:val="single" w:sz="4" w:space="0" w:color="000000"/>
              <w:left w:val="single" w:sz="4" w:space="0" w:color="000000"/>
              <w:bottom w:val="single" w:sz="4" w:space="0" w:color="000000"/>
              <w:right w:val="single" w:sz="4" w:space="0" w:color="000000"/>
            </w:tcBorders>
            <w:vAlign w:val="center"/>
          </w:tcPr>
          <w:p w:rsidR="0056194E" w:rsidRDefault="00150F3B">
            <w:pPr>
              <w:snapToGrid w:val="0"/>
              <w:jc w:val="both"/>
            </w:pPr>
            <w:r>
              <w:rPr>
                <w:rFonts w:ascii="Arial" w:hAnsi="Arial" w:cs="Arial"/>
                <w:bCs/>
                <w:sz w:val="18"/>
                <w:szCs w:val="18"/>
              </w:rPr>
              <w:t>54,51</w:t>
            </w:r>
            <w:r w:rsidR="0056194E">
              <w:rPr>
                <w:rFonts w:ascii="Arial" w:hAnsi="Arial" w:cs="Arial"/>
                <w:bCs/>
                <w:sz w:val="18"/>
                <w:szCs w:val="18"/>
              </w:rPr>
              <w:t>€</w:t>
            </w:r>
          </w:p>
        </w:tc>
      </w:tr>
    </w:tbl>
    <w:p w:rsidR="0056194E" w:rsidRDefault="0056194E">
      <w:pPr>
        <w:jc w:val="both"/>
        <w:rPr>
          <w:rFonts w:ascii="Arial" w:hAnsi="Arial" w:cs="Arial"/>
          <w:color w:val="333399"/>
          <w:sz w:val="20"/>
          <w:szCs w:val="20"/>
        </w:rPr>
      </w:pPr>
    </w:p>
    <w:p w:rsidR="0056194E" w:rsidRDefault="0056194E">
      <w:pPr>
        <w:jc w:val="both"/>
        <w:rPr>
          <w:rFonts w:ascii="Arial" w:hAnsi="Arial" w:cs="Arial"/>
          <w:b/>
          <w:bCs/>
          <w:sz w:val="20"/>
          <w:szCs w:val="20"/>
        </w:rPr>
      </w:pPr>
      <w:r>
        <w:rPr>
          <w:rFonts w:ascii="Arial" w:hAnsi="Arial" w:cs="Arial"/>
          <w:b/>
          <w:bCs/>
          <w:sz w:val="20"/>
          <w:szCs w:val="20"/>
        </w:rPr>
        <w:t>Nombre genérico</w:t>
      </w:r>
      <w:r>
        <w:rPr>
          <w:rFonts w:ascii="Arial" w:hAnsi="Arial" w:cs="Arial"/>
          <w:sz w:val="20"/>
          <w:szCs w:val="20"/>
        </w:rPr>
        <w:t>: Leuprorelina</w:t>
      </w:r>
      <w:r>
        <w:rPr>
          <w:rFonts w:ascii="Arial" w:hAnsi="Arial" w:cs="Arial"/>
          <w:sz w:val="20"/>
          <w:szCs w:val="20"/>
          <w:vertAlign w:val="superscript"/>
        </w:rPr>
        <w:t>3</w:t>
      </w:r>
    </w:p>
    <w:p w:rsidR="0056194E" w:rsidRDefault="0056194E">
      <w:pPr>
        <w:jc w:val="both"/>
        <w:rPr>
          <w:rFonts w:ascii="Arial" w:hAnsi="Arial" w:cs="Arial"/>
          <w:b/>
          <w:bCs/>
          <w:sz w:val="20"/>
          <w:szCs w:val="20"/>
        </w:rPr>
      </w:pPr>
      <w:r>
        <w:rPr>
          <w:rFonts w:ascii="Arial" w:hAnsi="Arial" w:cs="Arial"/>
          <w:b/>
          <w:bCs/>
          <w:sz w:val="20"/>
          <w:szCs w:val="20"/>
        </w:rPr>
        <w:t xml:space="preserve">Nombre comercial: </w:t>
      </w:r>
      <w:r>
        <w:rPr>
          <w:rFonts w:ascii="Arial" w:hAnsi="Arial" w:cs="Arial"/>
          <w:sz w:val="20"/>
          <w:szCs w:val="20"/>
        </w:rPr>
        <w:t>Eligard®.</w:t>
      </w:r>
    </w:p>
    <w:p w:rsidR="0056194E" w:rsidRDefault="0056194E">
      <w:pPr>
        <w:jc w:val="both"/>
        <w:rPr>
          <w:rFonts w:ascii="Arial" w:hAnsi="Arial" w:cs="Arial"/>
          <w:b/>
          <w:bCs/>
          <w:sz w:val="20"/>
          <w:szCs w:val="20"/>
        </w:rPr>
      </w:pPr>
      <w:r>
        <w:rPr>
          <w:rFonts w:ascii="Arial" w:hAnsi="Arial" w:cs="Arial"/>
          <w:b/>
          <w:bCs/>
          <w:sz w:val="20"/>
          <w:szCs w:val="20"/>
        </w:rPr>
        <w:t>Grupo terapéutico</w:t>
      </w:r>
      <w:r>
        <w:rPr>
          <w:rFonts w:ascii="Arial" w:hAnsi="Arial" w:cs="Arial"/>
          <w:sz w:val="20"/>
          <w:szCs w:val="20"/>
        </w:rPr>
        <w:t>. Hormonas y agentes relacionados. Análogos de la hormona liberadora de gonadotrofina (LHRH).</w:t>
      </w:r>
    </w:p>
    <w:p w:rsidR="0056194E" w:rsidRDefault="0056194E">
      <w:pPr>
        <w:jc w:val="both"/>
        <w:rPr>
          <w:rFonts w:ascii="Arial" w:hAnsi="Arial" w:cs="Arial"/>
          <w:b/>
          <w:bCs/>
          <w:sz w:val="20"/>
          <w:szCs w:val="20"/>
        </w:rPr>
      </w:pPr>
      <w:r>
        <w:rPr>
          <w:rFonts w:ascii="Arial" w:hAnsi="Arial" w:cs="Arial"/>
          <w:b/>
          <w:bCs/>
          <w:sz w:val="20"/>
          <w:szCs w:val="20"/>
        </w:rPr>
        <w:t>Código ATC:</w:t>
      </w:r>
      <w:r>
        <w:rPr>
          <w:rFonts w:ascii="Arial" w:hAnsi="Arial" w:cs="Arial"/>
          <w:sz w:val="20"/>
          <w:szCs w:val="20"/>
        </w:rPr>
        <w:t xml:space="preserve"> L02AE02</w:t>
      </w:r>
    </w:p>
    <w:p w:rsidR="0056194E" w:rsidRDefault="0056194E">
      <w:pPr>
        <w:jc w:val="both"/>
        <w:rPr>
          <w:rFonts w:ascii="Arial" w:hAnsi="Arial" w:cs="Arial"/>
          <w:b/>
          <w:sz w:val="20"/>
          <w:szCs w:val="20"/>
        </w:rPr>
      </w:pPr>
      <w:r>
        <w:rPr>
          <w:rFonts w:ascii="Arial" w:hAnsi="Arial" w:cs="Arial"/>
          <w:b/>
          <w:bCs/>
          <w:sz w:val="20"/>
          <w:szCs w:val="20"/>
        </w:rPr>
        <w:t>Vía de administración</w:t>
      </w:r>
      <w:r>
        <w:rPr>
          <w:rFonts w:ascii="Arial" w:hAnsi="Arial" w:cs="Arial"/>
          <w:sz w:val="20"/>
          <w:szCs w:val="20"/>
        </w:rPr>
        <w:t>: Subcutánea.</w:t>
      </w:r>
    </w:p>
    <w:p w:rsidR="0056194E" w:rsidRDefault="0056194E">
      <w:pPr>
        <w:jc w:val="both"/>
        <w:rPr>
          <w:rFonts w:ascii="Arial" w:hAnsi="Arial" w:cs="Arial"/>
          <w:b/>
        </w:rPr>
      </w:pPr>
      <w:r>
        <w:rPr>
          <w:rFonts w:ascii="Arial" w:hAnsi="Arial" w:cs="Arial"/>
          <w:b/>
          <w:sz w:val="20"/>
          <w:szCs w:val="20"/>
        </w:rPr>
        <w:t>Tipo de dispensación</w:t>
      </w:r>
      <w:r>
        <w:rPr>
          <w:rFonts w:ascii="Arial" w:hAnsi="Arial" w:cs="Arial"/>
          <w:bCs/>
          <w:sz w:val="20"/>
          <w:szCs w:val="20"/>
        </w:rPr>
        <w:t xml:space="preserve">: Receta con aportación reducida. Visado de inspección. </w:t>
      </w:r>
    </w:p>
    <w:p w:rsidR="0056194E" w:rsidRDefault="0056194E">
      <w:pPr>
        <w:pStyle w:val="Encabezado"/>
        <w:tabs>
          <w:tab w:val="clear" w:pos="4252"/>
          <w:tab w:val="clear" w:pos="8504"/>
        </w:tabs>
        <w:jc w:val="both"/>
        <w:rPr>
          <w:rFonts w:ascii="Arial" w:hAnsi="Arial" w:cs="Arial"/>
        </w:rPr>
      </w:pPr>
      <w:r>
        <w:rPr>
          <w:rFonts w:ascii="Arial" w:hAnsi="Arial" w:cs="Arial"/>
          <w:b/>
        </w:rPr>
        <w:t>Información de registro:</w:t>
      </w:r>
      <w:r w:rsidR="00415B8A">
        <w:rPr>
          <w:rFonts w:ascii="Arial" w:hAnsi="Arial" w:cs="Arial"/>
          <w:b/>
        </w:rPr>
        <w:t xml:space="preserve"> </w:t>
      </w:r>
      <w:r>
        <w:rPr>
          <w:rFonts w:ascii="Arial" w:hAnsi="Arial" w:cs="Arial"/>
          <w:bCs/>
        </w:rPr>
        <w:t>Reconocimiento mutuo.</w:t>
      </w:r>
    </w:p>
    <w:p w:rsidR="0056194E" w:rsidRDefault="0056194E">
      <w:pPr>
        <w:pStyle w:val="Encabezado"/>
        <w:tabs>
          <w:tab w:val="clear" w:pos="4252"/>
          <w:tab w:val="clear" w:pos="8504"/>
        </w:tabs>
        <w:jc w:val="both"/>
        <w:rPr>
          <w:rFonts w:ascii="Arial" w:hAnsi="Arial" w:cs="Arial"/>
        </w:rPr>
      </w:pPr>
    </w:p>
    <w:tbl>
      <w:tblPr>
        <w:tblW w:w="0" w:type="auto"/>
        <w:tblInd w:w="-192" w:type="dxa"/>
        <w:tblLayout w:type="fixed"/>
        <w:tblCellMar>
          <w:left w:w="70" w:type="dxa"/>
          <w:right w:w="70" w:type="dxa"/>
        </w:tblCellMar>
        <w:tblLook w:val="0000"/>
      </w:tblPr>
      <w:tblGrid>
        <w:gridCol w:w="4820"/>
        <w:gridCol w:w="1276"/>
        <w:gridCol w:w="992"/>
        <w:gridCol w:w="1799"/>
      </w:tblGrid>
      <w:tr w:rsidR="0056194E">
        <w:trPr>
          <w:cantSplit/>
        </w:trPr>
        <w:tc>
          <w:tcPr>
            <w:tcW w:w="8887"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sz w:val="20"/>
                <w:szCs w:val="20"/>
              </w:rPr>
              <w:t xml:space="preserve">Presentaciones y precio </w:t>
            </w:r>
          </w:p>
        </w:tc>
      </w:tr>
      <w:tr w:rsidR="0056194E">
        <w:trPr>
          <w:cantSplit/>
        </w:trPr>
        <w:tc>
          <w:tcPr>
            <w:tcW w:w="4820"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Forma farmacéutica y dosis</w:t>
            </w:r>
          </w:p>
        </w:tc>
        <w:tc>
          <w:tcPr>
            <w:tcW w:w="1276" w:type="dxa"/>
            <w:tcBorders>
              <w:top w:val="single" w:sz="4" w:space="0" w:color="000000"/>
              <w:left w:val="single" w:sz="4" w:space="0" w:color="000000"/>
              <w:bottom w:val="single" w:sz="4" w:space="0" w:color="000000"/>
            </w:tcBorders>
          </w:tcPr>
          <w:p w:rsidR="0056194E" w:rsidRPr="006A311C" w:rsidRDefault="0056194E">
            <w:pPr>
              <w:spacing w:before="40" w:after="40"/>
              <w:jc w:val="both"/>
              <w:rPr>
                <w:lang w:val="pt-BR"/>
              </w:rPr>
            </w:pPr>
            <w:r>
              <w:rPr>
                <w:rFonts w:ascii="Arial" w:hAnsi="Arial" w:cs="Arial"/>
                <w:bCs/>
                <w:sz w:val="18"/>
                <w:szCs w:val="18"/>
                <w:lang w:val="pt-BR"/>
              </w:rPr>
              <w:t>Nº de unidades por envase</w:t>
            </w:r>
          </w:p>
        </w:tc>
        <w:tc>
          <w:tcPr>
            <w:tcW w:w="992"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Código</w:t>
            </w:r>
          </w:p>
        </w:tc>
        <w:tc>
          <w:tcPr>
            <w:tcW w:w="1799" w:type="dxa"/>
            <w:tcBorders>
              <w:top w:val="single" w:sz="4" w:space="0" w:color="000000"/>
              <w:left w:val="single" w:sz="4" w:space="0" w:color="000000"/>
              <w:bottom w:val="single" w:sz="4" w:space="0" w:color="000000"/>
              <w:right w:val="single" w:sz="4" w:space="0" w:color="000000"/>
            </w:tcBorders>
          </w:tcPr>
          <w:p w:rsidR="0056194E" w:rsidRDefault="0056194E">
            <w:pPr>
              <w:spacing w:before="40" w:after="40"/>
              <w:jc w:val="both"/>
            </w:pPr>
            <w:r>
              <w:rPr>
                <w:rFonts w:ascii="Arial" w:hAnsi="Arial" w:cs="Arial"/>
                <w:bCs/>
                <w:sz w:val="20"/>
                <w:szCs w:val="20"/>
              </w:rPr>
              <w:t>Coste por unidad PVL + IVA</w:t>
            </w:r>
          </w:p>
        </w:tc>
      </w:tr>
      <w:tr w:rsidR="0056194E">
        <w:trPr>
          <w:cantSplit/>
        </w:trPr>
        <w:tc>
          <w:tcPr>
            <w:tcW w:w="4820"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 xml:space="preserve">ELIGARD MENSUAL 7,5 mg solución inyectable, jeringa precargada </w:t>
            </w:r>
          </w:p>
        </w:tc>
        <w:tc>
          <w:tcPr>
            <w:tcW w:w="1276"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992"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650840</w:t>
            </w:r>
          </w:p>
        </w:tc>
        <w:tc>
          <w:tcPr>
            <w:tcW w:w="1799"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20"/>
                <w:szCs w:val="20"/>
              </w:rPr>
              <w:t>91,44 €</w:t>
            </w:r>
          </w:p>
        </w:tc>
      </w:tr>
      <w:tr w:rsidR="0056194E">
        <w:trPr>
          <w:cantSplit/>
          <w:trHeight w:val="98"/>
        </w:trPr>
        <w:tc>
          <w:tcPr>
            <w:tcW w:w="4820"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ELIGARD TRIMESTRAL 22,5 mg solución inyectable, jeringa precargada</w:t>
            </w:r>
          </w:p>
        </w:tc>
        <w:tc>
          <w:tcPr>
            <w:tcW w:w="1276"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992"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650852</w:t>
            </w:r>
          </w:p>
        </w:tc>
        <w:tc>
          <w:tcPr>
            <w:tcW w:w="1799"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20"/>
                <w:szCs w:val="20"/>
              </w:rPr>
              <w:t>274,35 €</w:t>
            </w:r>
          </w:p>
        </w:tc>
      </w:tr>
      <w:tr w:rsidR="0056194E">
        <w:trPr>
          <w:cantSplit/>
        </w:trPr>
        <w:tc>
          <w:tcPr>
            <w:tcW w:w="4820"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ELIGARD SEMESTRAL 45 mg solución inyectable, jeringa precargada</w:t>
            </w:r>
          </w:p>
        </w:tc>
        <w:tc>
          <w:tcPr>
            <w:tcW w:w="1276"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992"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663289</w:t>
            </w:r>
          </w:p>
        </w:tc>
        <w:tc>
          <w:tcPr>
            <w:tcW w:w="1799"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20"/>
                <w:szCs w:val="20"/>
              </w:rPr>
              <w:t>496,19 €</w:t>
            </w:r>
          </w:p>
        </w:tc>
      </w:tr>
    </w:tbl>
    <w:p w:rsidR="0056194E" w:rsidRDefault="0056194E">
      <w:pPr>
        <w:jc w:val="both"/>
        <w:rPr>
          <w:rFonts w:ascii="Arial" w:hAnsi="Arial" w:cs="Arial"/>
          <w:b/>
          <w:bCs/>
          <w:color w:val="0000FF"/>
          <w:sz w:val="20"/>
          <w:szCs w:val="20"/>
          <w:u w:val="single"/>
        </w:rPr>
      </w:pPr>
    </w:p>
    <w:p w:rsidR="0056194E" w:rsidRDefault="0056194E">
      <w:pPr>
        <w:jc w:val="both"/>
        <w:rPr>
          <w:rFonts w:ascii="Arial" w:hAnsi="Arial" w:cs="Arial"/>
          <w:b/>
          <w:bCs/>
          <w:sz w:val="20"/>
          <w:szCs w:val="20"/>
        </w:rPr>
      </w:pPr>
      <w:r>
        <w:rPr>
          <w:rFonts w:ascii="Arial" w:hAnsi="Arial" w:cs="Arial"/>
          <w:b/>
          <w:bCs/>
          <w:sz w:val="20"/>
          <w:szCs w:val="20"/>
        </w:rPr>
        <w:t>Nombre genérico</w:t>
      </w:r>
      <w:r>
        <w:rPr>
          <w:rFonts w:ascii="Arial" w:hAnsi="Arial" w:cs="Arial"/>
          <w:sz w:val="20"/>
          <w:szCs w:val="20"/>
        </w:rPr>
        <w:t>: Triptorelina</w:t>
      </w:r>
      <w:r>
        <w:rPr>
          <w:rFonts w:ascii="Arial" w:hAnsi="Arial" w:cs="Arial"/>
          <w:sz w:val="20"/>
          <w:szCs w:val="20"/>
          <w:vertAlign w:val="superscript"/>
        </w:rPr>
        <w:t>4.</w:t>
      </w:r>
    </w:p>
    <w:p w:rsidR="0056194E" w:rsidRDefault="0056194E">
      <w:pPr>
        <w:pStyle w:val="Default"/>
        <w:jc w:val="both"/>
        <w:rPr>
          <w:rFonts w:ascii="Arial" w:hAnsi="Arial" w:cs="Arial"/>
          <w:b/>
          <w:bCs/>
          <w:sz w:val="20"/>
          <w:szCs w:val="20"/>
        </w:rPr>
      </w:pPr>
      <w:r>
        <w:rPr>
          <w:rFonts w:ascii="Arial" w:hAnsi="Arial" w:cs="Arial"/>
          <w:b/>
          <w:bCs/>
          <w:sz w:val="20"/>
          <w:szCs w:val="20"/>
        </w:rPr>
        <w:t xml:space="preserve">Nombre comercial: </w:t>
      </w:r>
      <w:r>
        <w:rPr>
          <w:rFonts w:ascii="Arial" w:hAnsi="Arial" w:cs="Arial"/>
          <w:sz w:val="20"/>
          <w:szCs w:val="20"/>
        </w:rPr>
        <w:t xml:space="preserve">Decapeptyl®. </w:t>
      </w:r>
    </w:p>
    <w:p w:rsidR="0056194E" w:rsidRDefault="0056194E">
      <w:pPr>
        <w:jc w:val="both"/>
        <w:rPr>
          <w:rFonts w:ascii="Arial" w:hAnsi="Arial" w:cs="Arial"/>
          <w:b/>
          <w:bCs/>
          <w:sz w:val="20"/>
          <w:szCs w:val="20"/>
        </w:rPr>
      </w:pPr>
      <w:r>
        <w:rPr>
          <w:rFonts w:ascii="Arial" w:hAnsi="Arial" w:cs="Arial"/>
          <w:b/>
          <w:bCs/>
          <w:sz w:val="20"/>
          <w:szCs w:val="20"/>
        </w:rPr>
        <w:lastRenderedPageBreak/>
        <w:t>Grupo terapéutico</w:t>
      </w:r>
      <w:r>
        <w:rPr>
          <w:rFonts w:ascii="Arial" w:hAnsi="Arial" w:cs="Arial"/>
          <w:sz w:val="20"/>
          <w:szCs w:val="20"/>
        </w:rPr>
        <w:t>. Hormonas y agentes relacionados. Análogos de la hormona liberadora de gonadotrofina (LHRH).</w:t>
      </w:r>
    </w:p>
    <w:p w:rsidR="0056194E" w:rsidRDefault="0056194E">
      <w:pPr>
        <w:jc w:val="both"/>
        <w:rPr>
          <w:rFonts w:ascii="Arial" w:hAnsi="Arial" w:cs="Arial"/>
          <w:b/>
          <w:bCs/>
          <w:sz w:val="20"/>
          <w:szCs w:val="20"/>
        </w:rPr>
      </w:pPr>
      <w:r>
        <w:rPr>
          <w:rFonts w:ascii="Arial" w:hAnsi="Arial" w:cs="Arial"/>
          <w:b/>
          <w:bCs/>
          <w:sz w:val="20"/>
          <w:szCs w:val="20"/>
        </w:rPr>
        <w:t>Código ATC:</w:t>
      </w:r>
      <w:r>
        <w:rPr>
          <w:rFonts w:ascii="Arial" w:hAnsi="Arial" w:cs="Arial"/>
          <w:sz w:val="20"/>
          <w:szCs w:val="20"/>
        </w:rPr>
        <w:t xml:space="preserve"> L02AE02.</w:t>
      </w:r>
    </w:p>
    <w:p w:rsidR="0056194E" w:rsidRDefault="0056194E">
      <w:pPr>
        <w:jc w:val="both"/>
        <w:rPr>
          <w:rFonts w:ascii="Arial" w:hAnsi="Arial" w:cs="Arial"/>
          <w:b/>
          <w:sz w:val="20"/>
          <w:szCs w:val="20"/>
        </w:rPr>
      </w:pPr>
      <w:r>
        <w:rPr>
          <w:rFonts w:ascii="Arial" w:hAnsi="Arial" w:cs="Arial"/>
          <w:b/>
          <w:bCs/>
          <w:sz w:val="20"/>
          <w:szCs w:val="20"/>
        </w:rPr>
        <w:t>Vía de administración</w:t>
      </w:r>
      <w:r>
        <w:rPr>
          <w:rFonts w:ascii="Arial" w:hAnsi="Arial" w:cs="Arial"/>
          <w:sz w:val="20"/>
          <w:szCs w:val="20"/>
        </w:rPr>
        <w:t>: Intramuscular.</w:t>
      </w:r>
    </w:p>
    <w:p w:rsidR="0056194E" w:rsidRDefault="0056194E">
      <w:pPr>
        <w:jc w:val="both"/>
        <w:rPr>
          <w:rFonts w:ascii="Arial" w:hAnsi="Arial" w:cs="Arial"/>
          <w:b/>
          <w:bCs/>
          <w:sz w:val="20"/>
          <w:szCs w:val="20"/>
        </w:rPr>
      </w:pPr>
      <w:r>
        <w:rPr>
          <w:rFonts w:ascii="Arial" w:hAnsi="Arial" w:cs="Arial"/>
          <w:b/>
          <w:sz w:val="20"/>
          <w:szCs w:val="20"/>
        </w:rPr>
        <w:t>Tipo de dispensación</w:t>
      </w:r>
      <w:r>
        <w:rPr>
          <w:rFonts w:ascii="Arial" w:hAnsi="Arial" w:cs="Arial"/>
          <w:bCs/>
          <w:sz w:val="20"/>
          <w:szCs w:val="20"/>
        </w:rPr>
        <w:t xml:space="preserve">: Receta con aportación reducida. Visado de inspección. </w:t>
      </w:r>
    </w:p>
    <w:p w:rsidR="0056194E" w:rsidRDefault="0056194E">
      <w:pPr>
        <w:pStyle w:val="Encabezado"/>
        <w:tabs>
          <w:tab w:val="clear" w:pos="4252"/>
          <w:tab w:val="clear" w:pos="8504"/>
        </w:tabs>
        <w:jc w:val="both"/>
        <w:rPr>
          <w:rFonts w:ascii="Arial" w:hAnsi="Arial" w:cs="Arial"/>
        </w:rPr>
      </w:pPr>
      <w:r>
        <w:rPr>
          <w:rFonts w:ascii="Arial" w:hAnsi="Arial" w:cs="Arial"/>
          <w:b/>
          <w:bCs/>
        </w:rPr>
        <w:t xml:space="preserve">Información de registro: </w:t>
      </w:r>
      <w:r>
        <w:rPr>
          <w:rFonts w:ascii="Arial" w:hAnsi="Arial" w:cs="Arial"/>
        </w:rPr>
        <w:t>Reconocimiento mutuo.</w:t>
      </w:r>
    </w:p>
    <w:p w:rsidR="0056194E" w:rsidRDefault="0056194E">
      <w:pPr>
        <w:pStyle w:val="Encabezado"/>
        <w:tabs>
          <w:tab w:val="clear" w:pos="4252"/>
          <w:tab w:val="clear" w:pos="8504"/>
        </w:tabs>
        <w:jc w:val="both"/>
        <w:rPr>
          <w:rFonts w:ascii="Arial" w:hAnsi="Arial" w:cs="Arial"/>
        </w:rPr>
      </w:pPr>
    </w:p>
    <w:p w:rsidR="0056194E" w:rsidRDefault="0056194E">
      <w:pPr>
        <w:pStyle w:val="Encabezado"/>
        <w:tabs>
          <w:tab w:val="clear" w:pos="4252"/>
          <w:tab w:val="clear" w:pos="8504"/>
        </w:tabs>
        <w:jc w:val="both"/>
        <w:rPr>
          <w:rFonts w:ascii="Arial" w:hAnsi="Arial" w:cs="Arial"/>
          <w:b/>
          <w:bCs/>
          <w:color w:val="0000FF"/>
          <w:u w:val="single"/>
        </w:rPr>
      </w:pPr>
    </w:p>
    <w:tbl>
      <w:tblPr>
        <w:tblW w:w="0" w:type="auto"/>
        <w:tblInd w:w="-10" w:type="dxa"/>
        <w:tblLayout w:type="fixed"/>
        <w:tblCellMar>
          <w:left w:w="70" w:type="dxa"/>
          <w:right w:w="70" w:type="dxa"/>
        </w:tblCellMar>
        <w:tblLook w:val="0000"/>
      </w:tblPr>
      <w:tblGrid>
        <w:gridCol w:w="4691"/>
        <w:gridCol w:w="1271"/>
        <w:gridCol w:w="988"/>
        <w:gridCol w:w="2001"/>
      </w:tblGrid>
      <w:tr w:rsidR="0056194E">
        <w:trPr>
          <w:cantSplit/>
          <w:trHeight w:val="297"/>
        </w:trPr>
        <w:tc>
          <w:tcPr>
            <w:tcW w:w="895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spacing w:before="40" w:after="40"/>
              <w:jc w:val="both"/>
            </w:pPr>
            <w:r>
              <w:rPr>
                <w:rFonts w:ascii="Arial" w:hAnsi="Arial" w:cs="Arial"/>
                <w:b/>
                <w:sz w:val="20"/>
                <w:szCs w:val="20"/>
              </w:rPr>
              <w:t xml:space="preserve">Presentaciones y precio </w:t>
            </w:r>
          </w:p>
        </w:tc>
      </w:tr>
      <w:tr w:rsidR="0056194E">
        <w:trPr>
          <w:cantSplit/>
          <w:trHeight w:val="768"/>
        </w:trPr>
        <w:tc>
          <w:tcPr>
            <w:tcW w:w="4691"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Forma farmacéutica y dosis</w:t>
            </w:r>
          </w:p>
        </w:tc>
        <w:tc>
          <w:tcPr>
            <w:tcW w:w="1271" w:type="dxa"/>
            <w:tcBorders>
              <w:top w:val="single" w:sz="4" w:space="0" w:color="000000"/>
              <w:left w:val="single" w:sz="4" w:space="0" w:color="000000"/>
              <w:bottom w:val="single" w:sz="4" w:space="0" w:color="000000"/>
            </w:tcBorders>
          </w:tcPr>
          <w:p w:rsidR="0056194E" w:rsidRPr="006A311C" w:rsidRDefault="0056194E">
            <w:pPr>
              <w:spacing w:before="40" w:after="40"/>
              <w:jc w:val="both"/>
              <w:rPr>
                <w:lang w:val="pt-BR"/>
              </w:rPr>
            </w:pPr>
            <w:r>
              <w:rPr>
                <w:rFonts w:ascii="Arial" w:hAnsi="Arial" w:cs="Arial"/>
                <w:bCs/>
                <w:sz w:val="18"/>
                <w:szCs w:val="18"/>
                <w:lang w:val="pt-BR"/>
              </w:rPr>
              <w:t>Nº de unidades por envase</w:t>
            </w:r>
          </w:p>
        </w:tc>
        <w:tc>
          <w:tcPr>
            <w:tcW w:w="988"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Código</w:t>
            </w:r>
          </w:p>
        </w:tc>
        <w:tc>
          <w:tcPr>
            <w:tcW w:w="2001" w:type="dxa"/>
            <w:tcBorders>
              <w:top w:val="single" w:sz="4" w:space="0" w:color="000000"/>
              <w:left w:val="single" w:sz="4" w:space="0" w:color="000000"/>
              <w:bottom w:val="single" w:sz="4" w:space="0" w:color="000000"/>
              <w:right w:val="single" w:sz="4" w:space="0" w:color="000000"/>
            </w:tcBorders>
          </w:tcPr>
          <w:p w:rsidR="0056194E" w:rsidRDefault="0056194E">
            <w:pPr>
              <w:spacing w:before="40" w:after="40"/>
              <w:jc w:val="both"/>
            </w:pPr>
            <w:r>
              <w:rPr>
                <w:rFonts w:ascii="Arial" w:hAnsi="Arial" w:cs="Arial"/>
                <w:bCs/>
                <w:sz w:val="18"/>
                <w:szCs w:val="18"/>
              </w:rPr>
              <w:t>Coste por unidad PVL + IVA</w:t>
            </w:r>
          </w:p>
        </w:tc>
      </w:tr>
      <w:tr w:rsidR="0056194E">
        <w:trPr>
          <w:cantSplit/>
          <w:trHeight w:val="524"/>
        </w:trPr>
        <w:tc>
          <w:tcPr>
            <w:tcW w:w="4691"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DECAPEPTYL MENSUAL 3,5 mg solución inyectable</w:t>
            </w:r>
          </w:p>
        </w:tc>
        <w:tc>
          <w:tcPr>
            <w:tcW w:w="1271"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988"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990325</w:t>
            </w:r>
          </w:p>
        </w:tc>
        <w:tc>
          <w:tcPr>
            <w:tcW w:w="200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18"/>
                <w:szCs w:val="18"/>
              </w:rPr>
              <w:t>85,23 €</w:t>
            </w:r>
          </w:p>
        </w:tc>
      </w:tr>
      <w:tr w:rsidR="0056194E">
        <w:trPr>
          <w:cantSplit/>
          <w:trHeight w:val="97"/>
        </w:trPr>
        <w:tc>
          <w:tcPr>
            <w:tcW w:w="4691"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DECAPEPTYL TRIMESTRAL 11,25 mg solución inyectable</w:t>
            </w:r>
          </w:p>
        </w:tc>
        <w:tc>
          <w:tcPr>
            <w:tcW w:w="1271"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988"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668889</w:t>
            </w:r>
          </w:p>
        </w:tc>
        <w:tc>
          <w:tcPr>
            <w:tcW w:w="200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18"/>
                <w:szCs w:val="18"/>
              </w:rPr>
              <w:t>255,72 €</w:t>
            </w:r>
          </w:p>
        </w:tc>
      </w:tr>
      <w:tr w:rsidR="0056194E">
        <w:trPr>
          <w:cantSplit/>
          <w:trHeight w:val="541"/>
        </w:trPr>
        <w:tc>
          <w:tcPr>
            <w:tcW w:w="4691"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DECAPEPTYL SEMESTRAL 22,5 mg solución inyectable</w:t>
            </w:r>
          </w:p>
        </w:tc>
        <w:tc>
          <w:tcPr>
            <w:tcW w:w="1271"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988"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665072</w:t>
            </w:r>
          </w:p>
        </w:tc>
        <w:tc>
          <w:tcPr>
            <w:tcW w:w="200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18"/>
                <w:szCs w:val="18"/>
              </w:rPr>
              <w:t>511,43 €</w:t>
            </w:r>
          </w:p>
        </w:tc>
      </w:tr>
    </w:tbl>
    <w:p w:rsidR="0056194E" w:rsidRDefault="0056194E">
      <w:pPr>
        <w:jc w:val="both"/>
        <w:rPr>
          <w:rFonts w:ascii="Arial" w:hAnsi="Arial" w:cs="Arial"/>
          <w:b/>
          <w:bCs/>
          <w:sz w:val="20"/>
          <w:szCs w:val="20"/>
        </w:rPr>
      </w:pPr>
    </w:p>
    <w:p w:rsidR="0056194E" w:rsidRDefault="0056194E">
      <w:pPr>
        <w:jc w:val="both"/>
        <w:rPr>
          <w:rFonts w:ascii="Arial" w:hAnsi="Arial" w:cs="Arial"/>
          <w:b/>
          <w:bCs/>
          <w:sz w:val="20"/>
          <w:szCs w:val="20"/>
        </w:rPr>
      </w:pPr>
      <w:r>
        <w:rPr>
          <w:rFonts w:ascii="Arial" w:hAnsi="Arial" w:cs="Arial"/>
          <w:b/>
          <w:bCs/>
          <w:sz w:val="20"/>
          <w:szCs w:val="20"/>
        </w:rPr>
        <w:t>Nombre genérico</w:t>
      </w:r>
      <w:r>
        <w:rPr>
          <w:rFonts w:ascii="Arial" w:hAnsi="Arial" w:cs="Arial"/>
          <w:sz w:val="20"/>
          <w:szCs w:val="20"/>
        </w:rPr>
        <w:t>: Goserelina</w:t>
      </w:r>
      <w:r>
        <w:rPr>
          <w:rFonts w:ascii="Arial" w:hAnsi="Arial" w:cs="Arial"/>
          <w:sz w:val="20"/>
          <w:szCs w:val="20"/>
          <w:vertAlign w:val="superscript"/>
        </w:rPr>
        <w:t>5</w:t>
      </w:r>
      <w:r>
        <w:rPr>
          <w:rFonts w:ascii="Arial" w:hAnsi="Arial" w:cs="Arial"/>
          <w:sz w:val="20"/>
          <w:szCs w:val="20"/>
        </w:rPr>
        <w:t xml:space="preserve">. </w:t>
      </w:r>
    </w:p>
    <w:p w:rsidR="0056194E" w:rsidRDefault="0056194E">
      <w:pPr>
        <w:pStyle w:val="Default"/>
        <w:jc w:val="both"/>
        <w:rPr>
          <w:rFonts w:ascii="Arial" w:hAnsi="Arial" w:cs="Arial"/>
          <w:b/>
          <w:bCs/>
          <w:sz w:val="20"/>
          <w:szCs w:val="20"/>
        </w:rPr>
      </w:pPr>
      <w:r>
        <w:rPr>
          <w:rFonts w:ascii="Arial" w:hAnsi="Arial" w:cs="Arial"/>
          <w:b/>
          <w:bCs/>
          <w:sz w:val="20"/>
          <w:szCs w:val="20"/>
        </w:rPr>
        <w:t xml:space="preserve">Nombre comercial: </w:t>
      </w:r>
      <w:r>
        <w:rPr>
          <w:rFonts w:ascii="Arial" w:hAnsi="Arial" w:cs="Arial"/>
          <w:sz w:val="20"/>
          <w:szCs w:val="20"/>
        </w:rPr>
        <w:t>Zoladex</w:t>
      </w:r>
      <w:r>
        <w:rPr>
          <w:rFonts w:ascii="Arial" w:hAnsi="Arial" w:cs="Arial"/>
          <w:sz w:val="20"/>
          <w:szCs w:val="20"/>
          <w:vertAlign w:val="superscript"/>
        </w:rPr>
        <w:t>®</w:t>
      </w:r>
      <w:r>
        <w:rPr>
          <w:rFonts w:ascii="Arial" w:hAnsi="Arial" w:cs="Arial"/>
          <w:sz w:val="20"/>
          <w:szCs w:val="20"/>
        </w:rPr>
        <w:t xml:space="preserve">. </w:t>
      </w:r>
    </w:p>
    <w:p w:rsidR="0056194E" w:rsidRDefault="0056194E">
      <w:pPr>
        <w:jc w:val="both"/>
        <w:rPr>
          <w:rFonts w:ascii="Arial" w:hAnsi="Arial" w:cs="Arial"/>
          <w:b/>
          <w:bCs/>
          <w:sz w:val="20"/>
          <w:szCs w:val="20"/>
        </w:rPr>
      </w:pPr>
      <w:r>
        <w:rPr>
          <w:rFonts w:ascii="Arial" w:hAnsi="Arial" w:cs="Arial"/>
          <w:b/>
          <w:bCs/>
          <w:sz w:val="20"/>
          <w:szCs w:val="20"/>
        </w:rPr>
        <w:t>Grupo terapéutico</w:t>
      </w:r>
      <w:r>
        <w:rPr>
          <w:rFonts w:ascii="Arial" w:hAnsi="Arial" w:cs="Arial"/>
          <w:sz w:val="20"/>
          <w:szCs w:val="20"/>
        </w:rPr>
        <w:t>. Hormonas y agentes relacionados. Análogos de la hormona liberadora de gonadotrofina (LHRH).</w:t>
      </w:r>
    </w:p>
    <w:p w:rsidR="0056194E" w:rsidRDefault="0056194E">
      <w:pPr>
        <w:jc w:val="both"/>
        <w:rPr>
          <w:rFonts w:ascii="Arial" w:hAnsi="Arial" w:cs="Arial"/>
          <w:b/>
          <w:bCs/>
          <w:sz w:val="20"/>
          <w:szCs w:val="20"/>
        </w:rPr>
      </w:pPr>
      <w:r>
        <w:rPr>
          <w:rFonts w:ascii="Arial" w:hAnsi="Arial" w:cs="Arial"/>
          <w:b/>
          <w:bCs/>
          <w:sz w:val="20"/>
          <w:szCs w:val="20"/>
        </w:rPr>
        <w:t>Código ATC:</w:t>
      </w:r>
      <w:r>
        <w:rPr>
          <w:rFonts w:ascii="Arial" w:hAnsi="Arial" w:cs="Arial"/>
          <w:sz w:val="20"/>
          <w:szCs w:val="20"/>
        </w:rPr>
        <w:t xml:space="preserve"> L02AE02.</w:t>
      </w:r>
    </w:p>
    <w:p w:rsidR="0056194E" w:rsidRDefault="0056194E">
      <w:pPr>
        <w:jc w:val="both"/>
        <w:rPr>
          <w:rFonts w:ascii="Arial" w:hAnsi="Arial" w:cs="Arial"/>
          <w:b/>
          <w:sz w:val="20"/>
          <w:szCs w:val="20"/>
        </w:rPr>
      </w:pPr>
      <w:r>
        <w:rPr>
          <w:rFonts w:ascii="Arial" w:hAnsi="Arial" w:cs="Arial"/>
          <w:b/>
          <w:bCs/>
          <w:sz w:val="20"/>
          <w:szCs w:val="20"/>
        </w:rPr>
        <w:t>Vía de administración</w:t>
      </w:r>
      <w:r>
        <w:rPr>
          <w:rFonts w:ascii="Arial" w:hAnsi="Arial" w:cs="Arial"/>
          <w:sz w:val="20"/>
          <w:szCs w:val="20"/>
        </w:rPr>
        <w:t>: Subcutánea.</w:t>
      </w:r>
    </w:p>
    <w:p w:rsidR="0056194E" w:rsidRDefault="0056194E">
      <w:pPr>
        <w:jc w:val="both"/>
        <w:rPr>
          <w:rFonts w:ascii="Arial" w:hAnsi="Arial" w:cs="Arial"/>
          <w:b/>
        </w:rPr>
      </w:pPr>
      <w:r>
        <w:rPr>
          <w:rFonts w:ascii="Arial" w:hAnsi="Arial" w:cs="Arial"/>
          <w:b/>
          <w:sz w:val="20"/>
          <w:szCs w:val="20"/>
        </w:rPr>
        <w:t>Tipo de dispensación</w:t>
      </w:r>
      <w:r>
        <w:rPr>
          <w:rFonts w:ascii="Arial" w:hAnsi="Arial" w:cs="Arial"/>
          <w:bCs/>
          <w:sz w:val="20"/>
          <w:szCs w:val="20"/>
        </w:rPr>
        <w:t xml:space="preserve">: Receta con aportación reducida. Visado de inspección. </w:t>
      </w:r>
    </w:p>
    <w:p w:rsidR="0056194E" w:rsidRDefault="0056194E">
      <w:pPr>
        <w:pStyle w:val="Encabezado"/>
        <w:tabs>
          <w:tab w:val="clear" w:pos="4252"/>
          <w:tab w:val="clear" w:pos="8504"/>
        </w:tabs>
        <w:jc w:val="both"/>
        <w:rPr>
          <w:rFonts w:ascii="Arial" w:hAnsi="Arial" w:cs="Arial"/>
        </w:rPr>
      </w:pPr>
      <w:r>
        <w:rPr>
          <w:rFonts w:ascii="Arial" w:hAnsi="Arial" w:cs="Arial"/>
          <w:b/>
        </w:rPr>
        <w:t>Información de registro:</w:t>
      </w:r>
      <w:r>
        <w:rPr>
          <w:rFonts w:ascii="Arial" w:hAnsi="Arial" w:cs="Arial"/>
          <w:bCs/>
        </w:rPr>
        <w:t>Reconocimiento mutuo.</w:t>
      </w:r>
    </w:p>
    <w:p w:rsidR="0056194E" w:rsidRDefault="0056194E">
      <w:pPr>
        <w:pStyle w:val="Encabezado"/>
        <w:tabs>
          <w:tab w:val="clear" w:pos="4252"/>
          <w:tab w:val="clear" w:pos="8504"/>
        </w:tabs>
        <w:jc w:val="both"/>
        <w:rPr>
          <w:rFonts w:ascii="Arial" w:hAnsi="Arial" w:cs="Arial"/>
        </w:rPr>
      </w:pPr>
    </w:p>
    <w:tbl>
      <w:tblPr>
        <w:tblW w:w="0" w:type="auto"/>
        <w:tblInd w:w="-6" w:type="dxa"/>
        <w:tblLayout w:type="fixed"/>
        <w:tblCellMar>
          <w:left w:w="70" w:type="dxa"/>
          <w:right w:w="70" w:type="dxa"/>
        </w:tblCellMar>
        <w:tblLook w:val="0000"/>
      </w:tblPr>
      <w:tblGrid>
        <w:gridCol w:w="4635"/>
        <w:gridCol w:w="1275"/>
        <w:gridCol w:w="1005"/>
        <w:gridCol w:w="1985"/>
      </w:tblGrid>
      <w:tr w:rsidR="0056194E">
        <w:trPr>
          <w:cantSplit/>
        </w:trPr>
        <w:tc>
          <w:tcPr>
            <w:tcW w:w="8900"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spacing w:before="40" w:after="40"/>
              <w:jc w:val="both"/>
            </w:pPr>
            <w:r>
              <w:rPr>
                <w:rFonts w:ascii="Arial" w:hAnsi="Arial" w:cs="Arial"/>
                <w:b/>
                <w:sz w:val="20"/>
                <w:szCs w:val="20"/>
              </w:rPr>
              <w:t xml:space="preserve">Presentaciones y precio </w:t>
            </w:r>
          </w:p>
        </w:tc>
      </w:tr>
      <w:tr w:rsidR="0056194E">
        <w:trPr>
          <w:cantSplit/>
        </w:trPr>
        <w:tc>
          <w:tcPr>
            <w:tcW w:w="4635"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Forma farmacéutica y dosis</w:t>
            </w:r>
          </w:p>
        </w:tc>
        <w:tc>
          <w:tcPr>
            <w:tcW w:w="1275" w:type="dxa"/>
            <w:tcBorders>
              <w:top w:val="single" w:sz="4" w:space="0" w:color="000000"/>
              <w:left w:val="single" w:sz="4" w:space="0" w:color="000000"/>
              <w:bottom w:val="single" w:sz="4" w:space="0" w:color="000000"/>
            </w:tcBorders>
          </w:tcPr>
          <w:p w:rsidR="0056194E" w:rsidRPr="006A311C" w:rsidRDefault="0056194E">
            <w:pPr>
              <w:spacing w:before="40" w:after="40"/>
              <w:jc w:val="both"/>
              <w:rPr>
                <w:lang w:val="pt-BR"/>
              </w:rPr>
            </w:pPr>
            <w:r>
              <w:rPr>
                <w:rFonts w:ascii="Arial" w:hAnsi="Arial" w:cs="Arial"/>
                <w:bCs/>
                <w:sz w:val="18"/>
                <w:szCs w:val="18"/>
                <w:lang w:val="pt-BR"/>
              </w:rPr>
              <w:t>Nº de unidades por envase</w:t>
            </w:r>
          </w:p>
        </w:tc>
        <w:tc>
          <w:tcPr>
            <w:tcW w:w="1005" w:type="dxa"/>
            <w:tcBorders>
              <w:top w:val="single" w:sz="4" w:space="0" w:color="000000"/>
              <w:left w:val="single" w:sz="4" w:space="0" w:color="000000"/>
              <w:bottom w:val="single" w:sz="4" w:space="0" w:color="000000"/>
            </w:tcBorders>
          </w:tcPr>
          <w:p w:rsidR="0056194E" w:rsidRDefault="0056194E">
            <w:pPr>
              <w:spacing w:before="40" w:after="40"/>
              <w:jc w:val="both"/>
            </w:pPr>
            <w:r>
              <w:rPr>
                <w:rFonts w:ascii="Arial" w:hAnsi="Arial" w:cs="Arial"/>
                <w:bCs/>
                <w:sz w:val="18"/>
                <w:szCs w:val="18"/>
              </w:rPr>
              <w:t>Código</w:t>
            </w:r>
          </w:p>
        </w:tc>
        <w:tc>
          <w:tcPr>
            <w:tcW w:w="1985" w:type="dxa"/>
            <w:tcBorders>
              <w:top w:val="single" w:sz="4" w:space="0" w:color="000000"/>
              <w:left w:val="single" w:sz="4" w:space="0" w:color="000000"/>
              <w:bottom w:val="single" w:sz="4" w:space="0" w:color="000000"/>
              <w:right w:val="single" w:sz="4" w:space="0" w:color="000000"/>
            </w:tcBorders>
          </w:tcPr>
          <w:p w:rsidR="0056194E" w:rsidRDefault="0056194E">
            <w:pPr>
              <w:spacing w:before="40" w:after="40"/>
              <w:jc w:val="both"/>
            </w:pPr>
            <w:r>
              <w:rPr>
                <w:rFonts w:ascii="Arial" w:hAnsi="Arial" w:cs="Arial"/>
                <w:bCs/>
                <w:sz w:val="18"/>
                <w:szCs w:val="18"/>
              </w:rPr>
              <w:t>Coste por unidad PVL + IVA</w:t>
            </w:r>
          </w:p>
        </w:tc>
      </w:tr>
      <w:tr w:rsidR="0056194E">
        <w:trPr>
          <w:cantSplit/>
        </w:trPr>
        <w:tc>
          <w:tcPr>
            <w:tcW w:w="4635"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ZOLADEX 3,6 mg implante en jeringa precargada</w:t>
            </w:r>
          </w:p>
        </w:tc>
        <w:tc>
          <w:tcPr>
            <w:tcW w:w="1275"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1005"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685719</w:t>
            </w:r>
          </w:p>
        </w:tc>
        <w:tc>
          <w:tcPr>
            <w:tcW w:w="1985"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18"/>
                <w:szCs w:val="18"/>
              </w:rPr>
              <w:t>70,82 €</w:t>
            </w:r>
          </w:p>
        </w:tc>
      </w:tr>
      <w:tr w:rsidR="0056194E">
        <w:trPr>
          <w:cantSplit/>
          <w:trHeight w:val="98"/>
        </w:trPr>
        <w:tc>
          <w:tcPr>
            <w:tcW w:w="4635"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ZOLADEX TRIMESTRAL 10,8 mg implante en jeringa precargada</w:t>
            </w:r>
          </w:p>
        </w:tc>
        <w:tc>
          <w:tcPr>
            <w:tcW w:w="1275"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1</w:t>
            </w:r>
          </w:p>
        </w:tc>
        <w:tc>
          <w:tcPr>
            <w:tcW w:w="1005" w:type="dxa"/>
            <w:tcBorders>
              <w:top w:val="single" w:sz="4" w:space="0" w:color="000000"/>
              <w:left w:val="single" w:sz="4" w:space="0" w:color="000000"/>
              <w:bottom w:val="single" w:sz="4" w:space="0" w:color="000000"/>
            </w:tcBorders>
            <w:vAlign w:val="center"/>
          </w:tcPr>
          <w:p w:rsidR="0056194E" w:rsidRDefault="0056194E">
            <w:pPr>
              <w:spacing w:before="40" w:after="40"/>
              <w:jc w:val="both"/>
            </w:pPr>
            <w:r>
              <w:rPr>
                <w:rFonts w:ascii="Arial" w:hAnsi="Arial" w:cs="Arial"/>
                <w:bCs/>
                <w:sz w:val="18"/>
                <w:szCs w:val="18"/>
              </w:rPr>
              <w:t>674408</w:t>
            </w:r>
          </w:p>
        </w:tc>
        <w:tc>
          <w:tcPr>
            <w:tcW w:w="1985"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after="40"/>
              <w:jc w:val="both"/>
            </w:pPr>
            <w:r>
              <w:rPr>
                <w:rFonts w:ascii="Arial" w:hAnsi="Arial" w:cs="Arial"/>
                <w:bCs/>
                <w:sz w:val="18"/>
                <w:szCs w:val="18"/>
              </w:rPr>
              <w:t>327,98 €</w:t>
            </w:r>
          </w:p>
        </w:tc>
      </w:tr>
    </w:tbl>
    <w:p w:rsidR="0056194E" w:rsidRDefault="0056194E">
      <w:pPr>
        <w:jc w:val="both"/>
        <w:rPr>
          <w:rFonts w:ascii="Arial" w:hAnsi="Arial" w:cs="Arial"/>
          <w:sz w:val="20"/>
          <w:szCs w:val="20"/>
        </w:rPr>
      </w:pPr>
    </w:p>
    <w:p w:rsidR="0056194E" w:rsidRDefault="0056194E">
      <w:pPr>
        <w:jc w:val="both"/>
        <w:rPr>
          <w:rFonts w:ascii="Arial" w:hAnsi="Arial" w:cs="Arial"/>
          <w:color w:val="0000FF"/>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80"/>
          <w:sz w:val="20"/>
        </w:rPr>
      </w:pPr>
      <w:bookmarkStart w:id="7" w:name="_Toc536608323"/>
      <w:r>
        <w:rPr>
          <w:sz w:val="20"/>
        </w:rPr>
        <w:t>3.2 Área descriptiva del problema de salud</w:t>
      </w:r>
      <w:bookmarkEnd w:id="7"/>
    </w:p>
    <w:p w:rsidR="0056194E" w:rsidRDefault="0056194E">
      <w:pPr>
        <w:jc w:val="both"/>
        <w:rPr>
          <w:rFonts w:ascii="Arial" w:hAnsi="Arial" w:cs="Arial"/>
          <w:bCs/>
          <w:color w:val="000080"/>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8" w:name="_Toc536608324"/>
      <w:r>
        <w:rPr>
          <w:sz w:val="20"/>
        </w:rPr>
        <w:t>3.2.a Descripción estructurada del problema de salud</w:t>
      </w:r>
      <w:bookmarkEnd w:id="8"/>
    </w:p>
    <w:p w:rsidR="0056194E" w:rsidRDefault="0056194E">
      <w:pPr>
        <w:jc w:val="both"/>
        <w:rPr>
          <w:rFonts w:ascii="Arial" w:hAnsi="Arial" w:cs="Arial"/>
          <w:b/>
          <w:bCs/>
          <w:sz w:val="20"/>
          <w:szCs w:val="20"/>
        </w:rPr>
      </w:pPr>
    </w:p>
    <w:tbl>
      <w:tblPr>
        <w:tblW w:w="0" w:type="auto"/>
        <w:tblInd w:w="-36" w:type="dxa"/>
        <w:tblLayout w:type="fixed"/>
        <w:tblCellMar>
          <w:left w:w="70" w:type="dxa"/>
          <w:right w:w="70" w:type="dxa"/>
        </w:tblCellMar>
        <w:tblLook w:val="0000"/>
      </w:tblPr>
      <w:tblGrid>
        <w:gridCol w:w="3240"/>
        <w:gridCol w:w="5705"/>
      </w:tblGrid>
      <w:tr w:rsidR="0056194E">
        <w:trPr>
          <w:cantSplit/>
          <w:trHeight w:val="215"/>
        </w:trPr>
        <w:tc>
          <w:tcPr>
            <w:tcW w:w="8945" w:type="dxa"/>
            <w:gridSpan w:val="2"/>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sz w:val="20"/>
                <w:szCs w:val="20"/>
              </w:rPr>
              <w:t>Descripción del problema de salud</w:t>
            </w:r>
          </w:p>
        </w:tc>
      </w:tr>
      <w:tr w:rsidR="0056194E">
        <w:trPr>
          <w:cantSplit/>
        </w:trPr>
        <w:tc>
          <w:tcPr>
            <w:tcW w:w="3240" w:type="dxa"/>
            <w:tcBorders>
              <w:top w:val="single" w:sz="4" w:space="0" w:color="000000"/>
              <w:left w:val="single" w:sz="4" w:space="0" w:color="000000"/>
              <w:bottom w:val="single" w:sz="4" w:space="0" w:color="000000"/>
            </w:tcBorders>
            <w:shd w:val="clear" w:color="auto" w:fill="E6E6E6"/>
          </w:tcPr>
          <w:p w:rsidR="0056194E" w:rsidRPr="002F02D9" w:rsidRDefault="0056194E">
            <w:pPr>
              <w:snapToGrid w:val="0"/>
              <w:jc w:val="both"/>
              <w:rPr>
                <w:rFonts w:ascii="Arial" w:hAnsi="Arial" w:cs="Arial"/>
                <w:b/>
                <w:bCs/>
                <w:sz w:val="16"/>
                <w:szCs w:val="16"/>
              </w:rPr>
            </w:pPr>
          </w:p>
          <w:p w:rsidR="0056194E" w:rsidRPr="002F02D9" w:rsidRDefault="0056194E">
            <w:pPr>
              <w:jc w:val="both"/>
              <w:rPr>
                <w:sz w:val="16"/>
                <w:szCs w:val="16"/>
              </w:rPr>
            </w:pPr>
            <w:r w:rsidRPr="002F02D9">
              <w:rPr>
                <w:rFonts w:ascii="Arial" w:hAnsi="Arial" w:cs="Arial"/>
                <w:bCs/>
                <w:sz w:val="16"/>
                <w:szCs w:val="16"/>
              </w:rPr>
              <w:t>Definición</w:t>
            </w:r>
          </w:p>
        </w:tc>
        <w:tc>
          <w:tcPr>
            <w:tcW w:w="5705" w:type="dxa"/>
            <w:tcBorders>
              <w:top w:val="single" w:sz="4" w:space="0" w:color="000000"/>
              <w:left w:val="single" w:sz="4" w:space="0" w:color="000000"/>
              <w:bottom w:val="single" w:sz="4" w:space="0" w:color="000000"/>
              <w:right w:val="single" w:sz="4" w:space="0" w:color="000000"/>
            </w:tcBorders>
          </w:tcPr>
          <w:p w:rsidR="0056194E" w:rsidRPr="002F02D9" w:rsidRDefault="0056194E">
            <w:pPr>
              <w:snapToGrid w:val="0"/>
              <w:jc w:val="both"/>
              <w:rPr>
                <w:sz w:val="16"/>
                <w:szCs w:val="16"/>
              </w:rPr>
            </w:pPr>
            <w:r w:rsidRPr="002F02D9">
              <w:rPr>
                <w:rFonts w:ascii="Arial" w:hAnsi="Arial" w:cs="Arial"/>
                <w:bCs/>
                <w:sz w:val="16"/>
                <w:szCs w:val="16"/>
              </w:rPr>
              <w:t>El cáncer de próstata es el tumor maligno urogenital más frecuente en hombres de edad avanzada y la segunda causa de muerte por cáncer en hombres en Europa. Se trata de un importante problema de salud, especialmente en países desarrollados con mayor proporción de hombres de edad avanzada en la población general</w:t>
            </w:r>
            <w:r w:rsidRPr="002F02D9">
              <w:rPr>
                <w:rFonts w:ascii="Arial" w:hAnsi="Arial" w:cs="Arial"/>
                <w:bCs/>
                <w:sz w:val="16"/>
                <w:szCs w:val="16"/>
                <w:vertAlign w:val="superscript"/>
              </w:rPr>
              <w:t>6</w:t>
            </w:r>
            <w:r w:rsidRPr="002F02D9">
              <w:rPr>
                <w:rFonts w:ascii="Arial" w:hAnsi="Arial" w:cs="Arial"/>
                <w:bCs/>
                <w:sz w:val="16"/>
                <w:szCs w:val="16"/>
              </w:rPr>
              <w:t xml:space="preserve">. </w:t>
            </w:r>
          </w:p>
        </w:tc>
      </w:tr>
      <w:tr w:rsidR="0056194E">
        <w:trPr>
          <w:cantSplit/>
        </w:trPr>
        <w:tc>
          <w:tcPr>
            <w:tcW w:w="3240" w:type="dxa"/>
            <w:tcBorders>
              <w:top w:val="single" w:sz="4" w:space="0" w:color="000000"/>
              <w:left w:val="single" w:sz="4" w:space="0" w:color="000000"/>
              <w:bottom w:val="single" w:sz="4" w:space="0" w:color="000000"/>
            </w:tcBorders>
            <w:shd w:val="clear" w:color="auto" w:fill="E6E6E6"/>
          </w:tcPr>
          <w:p w:rsidR="0056194E" w:rsidRPr="002F02D9" w:rsidRDefault="0056194E">
            <w:pPr>
              <w:snapToGrid w:val="0"/>
              <w:jc w:val="both"/>
              <w:rPr>
                <w:rFonts w:ascii="Arial" w:hAnsi="Arial" w:cs="Arial"/>
                <w:bCs/>
                <w:sz w:val="16"/>
                <w:szCs w:val="16"/>
              </w:rPr>
            </w:pPr>
          </w:p>
          <w:p w:rsidR="0056194E" w:rsidRPr="002F02D9" w:rsidRDefault="0056194E">
            <w:pPr>
              <w:jc w:val="both"/>
              <w:rPr>
                <w:sz w:val="16"/>
                <w:szCs w:val="16"/>
              </w:rPr>
            </w:pPr>
            <w:r w:rsidRPr="002F02D9">
              <w:rPr>
                <w:rFonts w:ascii="Arial" w:hAnsi="Arial" w:cs="Arial"/>
                <w:bCs/>
                <w:sz w:val="16"/>
                <w:szCs w:val="16"/>
              </w:rPr>
              <w:t>Principales manifestaciones clínicas</w:t>
            </w:r>
          </w:p>
        </w:tc>
        <w:tc>
          <w:tcPr>
            <w:tcW w:w="5705" w:type="dxa"/>
            <w:tcBorders>
              <w:top w:val="single" w:sz="4" w:space="0" w:color="000000"/>
              <w:left w:val="single" w:sz="4" w:space="0" w:color="000000"/>
              <w:bottom w:val="single" w:sz="4" w:space="0" w:color="000000"/>
              <w:right w:val="single" w:sz="4" w:space="0" w:color="000000"/>
            </w:tcBorders>
          </w:tcPr>
          <w:p w:rsidR="0056194E" w:rsidRPr="002F02D9" w:rsidRDefault="0056194E">
            <w:pPr>
              <w:pStyle w:val="Textoindependiente"/>
              <w:snapToGrid w:val="0"/>
              <w:jc w:val="both"/>
              <w:rPr>
                <w:sz w:val="16"/>
                <w:szCs w:val="16"/>
              </w:rPr>
            </w:pPr>
            <w:r w:rsidRPr="002F02D9">
              <w:rPr>
                <w:rFonts w:ascii="Arial" w:hAnsi="Arial" w:cs="Arial"/>
                <w:bCs/>
                <w:sz w:val="16"/>
                <w:szCs w:val="16"/>
              </w:rPr>
              <w:t xml:space="preserve">El crecimiento local del tumor puede producir síntomas de obstrucción urinaria (disminución del flujo urinario, urgencia, </w:t>
            </w:r>
            <w:r>
              <w:rPr>
                <w:rFonts w:ascii="Arial" w:hAnsi="Arial" w:cs="Arial"/>
                <w:bCs/>
                <w:sz w:val="16"/>
                <w:szCs w:val="16"/>
              </w:rPr>
              <w:t xml:space="preserve">nicturia </w:t>
            </w:r>
            <w:r w:rsidRPr="002F02D9">
              <w:rPr>
                <w:rFonts w:ascii="Arial" w:hAnsi="Arial" w:cs="Arial"/>
                <w:bCs/>
                <w:sz w:val="16"/>
                <w:szCs w:val="16"/>
              </w:rPr>
              <w:t>y vaciado vesical incompleto). El cáncer de próstata también se puede presentar con síntomas de metástasis, como dolor óseo, fracturas patológicas o síntomas causados por el compromiso de la médula ósea.</w:t>
            </w:r>
          </w:p>
        </w:tc>
      </w:tr>
      <w:tr w:rsidR="0056194E">
        <w:trPr>
          <w:cantSplit/>
        </w:trPr>
        <w:tc>
          <w:tcPr>
            <w:tcW w:w="3240" w:type="dxa"/>
            <w:tcBorders>
              <w:top w:val="single" w:sz="4" w:space="0" w:color="000000"/>
              <w:left w:val="single" w:sz="4" w:space="0" w:color="000000"/>
              <w:bottom w:val="single" w:sz="4" w:space="0" w:color="000000"/>
            </w:tcBorders>
            <w:shd w:val="clear" w:color="auto" w:fill="E6E6E6"/>
          </w:tcPr>
          <w:p w:rsidR="0056194E" w:rsidRPr="002F02D9" w:rsidRDefault="0056194E">
            <w:pPr>
              <w:snapToGrid w:val="0"/>
              <w:jc w:val="both"/>
              <w:rPr>
                <w:rFonts w:ascii="Arial" w:hAnsi="Arial" w:cs="Arial"/>
                <w:bCs/>
                <w:sz w:val="16"/>
                <w:szCs w:val="16"/>
              </w:rPr>
            </w:pPr>
          </w:p>
          <w:p w:rsidR="0056194E" w:rsidRPr="002F02D9" w:rsidRDefault="0056194E">
            <w:pPr>
              <w:jc w:val="both"/>
              <w:rPr>
                <w:sz w:val="16"/>
                <w:szCs w:val="16"/>
              </w:rPr>
            </w:pPr>
            <w:r w:rsidRPr="002F02D9">
              <w:rPr>
                <w:rFonts w:ascii="Arial" w:hAnsi="Arial" w:cs="Arial"/>
                <w:bCs/>
                <w:sz w:val="16"/>
                <w:szCs w:val="16"/>
              </w:rPr>
              <w:t>Incidencia y prevalencia</w:t>
            </w:r>
          </w:p>
        </w:tc>
        <w:tc>
          <w:tcPr>
            <w:tcW w:w="5705" w:type="dxa"/>
            <w:tcBorders>
              <w:top w:val="single" w:sz="4" w:space="0" w:color="000000"/>
              <w:left w:val="single" w:sz="4" w:space="0" w:color="000000"/>
              <w:bottom w:val="single" w:sz="4" w:space="0" w:color="000000"/>
              <w:right w:val="single" w:sz="4" w:space="0" w:color="000000"/>
            </w:tcBorders>
          </w:tcPr>
          <w:p w:rsidR="0056194E" w:rsidRPr="002F02D9" w:rsidRDefault="0056194E">
            <w:pPr>
              <w:snapToGrid w:val="0"/>
              <w:jc w:val="both"/>
              <w:rPr>
                <w:sz w:val="16"/>
                <w:szCs w:val="16"/>
              </w:rPr>
            </w:pPr>
            <w:r w:rsidRPr="002F02D9">
              <w:rPr>
                <w:rFonts w:ascii="Arial" w:hAnsi="Arial" w:cs="Arial"/>
                <w:bCs/>
                <w:sz w:val="16"/>
                <w:szCs w:val="16"/>
              </w:rPr>
              <w:t>En España, la incidencia y mortalidad estimada de cáncer de próstata en 2012 fue de 27.853 nuevos casos al año (96,8 nuevos casos/100.000/año) y 5.481 muertes al año (15,2 muertes/100.000/año)</w:t>
            </w:r>
            <w:r w:rsidRPr="002F02D9">
              <w:rPr>
                <w:rFonts w:ascii="Arial" w:hAnsi="Arial" w:cs="Arial"/>
                <w:bCs/>
                <w:sz w:val="16"/>
                <w:szCs w:val="16"/>
                <w:vertAlign w:val="superscript"/>
              </w:rPr>
              <w:t>7</w:t>
            </w:r>
            <w:r w:rsidRPr="002F02D9">
              <w:rPr>
                <w:rFonts w:ascii="Arial" w:hAnsi="Arial" w:cs="Arial"/>
                <w:bCs/>
                <w:sz w:val="16"/>
                <w:szCs w:val="16"/>
              </w:rPr>
              <w:t>.</w:t>
            </w:r>
          </w:p>
        </w:tc>
      </w:tr>
      <w:tr w:rsidR="0056194E">
        <w:trPr>
          <w:cantSplit/>
          <w:trHeight w:val="633"/>
        </w:trPr>
        <w:tc>
          <w:tcPr>
            <w:tcW w:w="3240" w:type="dxa"/>
            <w:tcBorders>
              <w:top w:val="single" w:sz="4" w:space="0" w:color="000000"/>
              <w:left w:val="single" w:sz="4" w:space="0" w:color="000000"/>
              <w:bottom w:val="single" w:sz="4" w:space="0" w:color="000000"/>
            </w:tcBorders>
            <w:shd w:val="clear" w:color="auto" w:fill="E6E6E6"/>
          </w:tcPr>
          <w:p w:rsidR="0056194E" w:rsidRPr="002F02D9" w:rsidRDefault="0056194E">
            <w:pPr>
              <w:snapToGrid w:val="0"/>
              <w:jc w:val="both"/>
              <w:rPr>
                <w:rFonts w:ascii="Arial" w:hAnsi="Arial" w:cs="Arial"/>
                <w:bCs/>
                <w:sz w:val="16"/>
                <w:szCs w:val="16"/>
              </w:rPr>
            </w:pPr>
          </w:p>
          <w:p w:rsidR="0056194E" w:rsidRPr="002F02D9" w:rsidRDefault="0056194E">
            <w:pPr>
              <w:jc w:val="both"/>
              <w:rPr>
                <w:sz w:val="16"/>
                <w:szCs w:val="16"/>
              </w:rPr>
            </w:pPr>
            <w:r w:rsidRPr="002F02D9">
              <w:rPr>
                <w:rFonts w:ascii="Arial" w:hAnsi="Arial" w:cs="Arial"/>
                <w:bCs/>
                <w:sz w:val="16"/>
                <w:szCs w:val="16"/>
              </w:rPr>
              <w:t>Evolución / Pronóstico</w:t>
            </w:r>
          </w:p>
        </w:tc>
        <w:tc>
          <w:tcPr>
            <w:tcW w:w="5705" w:type="dxa"/>
            <w:tcBorders>
              <w:top w:val="single" w:sz="4" w:space="0" w:color="000000"/>
              <w:left w:val="single" w:sz="4" w:space="0" w:color="000000"/>
              <w:bottom w:val="single" w:sz="4" w:space="0" w:color="000000"/>
              <w:right w:val="single" w:sz="4" w:space="0" w:color="000000"/>
            </w:tcBorders>
          </w:tcPr>
          <w:p w:rsidR="0056194E" w:rsidRPr="002F02D9" w:rsidRDefault="0056194E">
            <w:pPr>
              <w:snapToGrid w:val="0"/>
              <w:spacing w:before="80" w:after="80"/>
              <w:jc w:val="both"/>
              <w:rPr>
                <w:sz w:val="16"/>
                <w:szCs w:val="16"/>
              </w:rPr>
            </w:pPr>
            <w:r w:rsidRPr="002F02D9">
              <w:rPr>
                <w:rFonts w:ascii="Arial" w:hAnsi="Arial" w:cs="Arial"/>
                <w:bCs/>
                <w:sz w:val="16"/>
                <w:szCs w:val="16"/>
              </w:rPr>
              <w:t>La supervivencia relativa a los 5 años en el estadio III y IV que no tengan metástasis distantes en el momento del diagnóstico es de casi el 100% y del 28% si presentan metástasis a distancia.</w:t>
            </w:r>
          </w:p>
        </w:tc>
      </w:tr>
      <w:tr w:rsidR="0056194E">
        <w:trPr>
          <w:cantSplit/>
        </w:trPr>
        <w:tc>
          <w:tcPr>
            <w:tcW w:w="3240" w:type="dxa"/>
            <w:tcBorders>
              <w:top w:val="single" w:sz="4" w:space="0" w:color="000000"/>
              <w:left w:val="single" w:sz="4" w:space="0" w:color="000000"/>
              <w:bottom w:val="single" w:sz="4" w:space="0" w:color="000000"/>
            </w:tcBorders>
            <w:shd w:val="clear" w:color="auto" w:fill="E6E6E6"/>
          </w:tcPr>
          <w:p w:rsidR="0056194E" w:rsidRPr="002F02D9" w:rsidRDefault="0056194E">
            <w:pPr>
              <w:jc w:val="both"/>
              <w:rPr>
                <w:sz w:val="16"/>
                <w:szCs w:val="16"/>
              </w:rPr>
            </w:pPr>
            <w:r w:rsidRPr="002F02D9">
              <w:rPr>
                <w:rFonts w:ascii="Arial" w:hAnsi="Arial" w:cs="Arial"/>
                <w:bCs/>
                <w:sz w:val="16"/>
                <w:szCs w:val="16"/>
              </w:rPr>
              <w:t>Grados de gravedad / Estadiaje</w:t>
            </w:r>
          </w:p>
        </w:tc>
        <w:tc>
          <w:tcPr>
            <w:tcW w:w="5705" w:type="dxa"/>
            <w:tcBorders>
              <w:top w:val="single" w:sz="4" w:space="0" w:color="000000"/>
              <w:left w:val="single" w:sz="4" w:space="0" w:color="000000"/>
              <w:bottom w:val="single" w:sz="4" w:space="0" w:color="000000"/>
              <w:right w:val="single" w:sz="4" w:space="0" w:color="000000"/>
            </w:tcBorders>
          </w:tcPr>
          <w:p w:rsidR="0056194E" w:rsidRPr="002F02D9" w:rsidRDefault="0056194E">
            <w:pPr>
              <w:pStyle w:val="Textoindependiente"/>
              <w:snapToGrid w:val="0"/>
              <w:jc w:val="both"/>
              <w:rPr>
                <w:sz w:val="16"/>
                <w:szCs w:val="16"/>
              </w:rPr>
            </w:pPr>
            <w:r w:rsidRPr="002F02D9">
              <w:rPr>
                <w:rFonts w:ascii="Arial" w:hAnsi="Arial" w:cs="Arial"/>
                <w:bCs/>
                <w:sz w:val="16"/>
                <w:szCs w:val="16"/>
              </w:rPr>
              <w:t>Estadio IV: cualquier T-cualquier N- M&gt;0 (metastásico).</w:t>
            </w:r>
          </w:p>
        </w:tc>
      </w:tr>
      <w:tr w:rsidR="0056194E">
        <w:trPr>
          <w:cantSplit/>
        </w:trPr>
        <w:tc>
          <w:tcPr>
            <w:tcW w:w="3240" w:type="dxa"/>
            <w:tcBorders>
              <w:top w:val="single" w:sz="4" w:space="0" w:color="000000"/>
              <w:left w:val="single" w:sz="4" w:space="0" w:color="000000"/>
              <w:bottom w:val="single" w:sz="4" w:space="0" w:color="000000"/>
            </w:tcBorders>
            <w:shd w:val="clear" w:color="auto" w:fill="E6E6E6"/>
          </w:tcPr>
          <w:p w:rsidR="0056194E" w:rsidRPr="002F02D9" w:rsidRDefault="0056194E">
            <w:pPr>
              <w:snapToGrid w:val="0"/>
              <w:jc w:val="both"/>
              <w:rPr>
                <w:rFonts w:ascii="Arial" w:hAnsi="Arial" w:cs="Arial"/>
                <w:bCs/>
                <w:sz w:val="16"/>
                <w:szCs w:val="16"/>
              </w:rPr>
            </w:pPr>
          </w:p>
          <w:p w:rsidR="0056194E" w:rsidRPr="002F02D9" w:rsidRDefault="0056194E">
            <w:pPr>
              <w:jc w:val="both"/>
              <w:rPr>
                <w:sz w:val="16"/>
                <w:szCs w:val="16"/>
              </w:rPr>
            </w:pPr>
            <w:r w:rsidRPr="002F02D9">
              <w:rPr>
                <w:rFonts w:ascii="Arial" w:hAnsi="Arial" w:cs="Arial"/>
                <w:bCs/>
                <w:sz w:val="16"/>
                <w:szCs w:val="16"/>
              </w:rPr>
              <w:t>Carga de la enfermedad</w:t>
            </w:r>
            <w:r w:rsidRPr="002F02D9">
              <w:rPr>
                <w:rFonts w:ascii="Arial" w:hAnsi="Arial" w:cs="Arial"/>
                <w:sz w:val="16"/>
                <w:szCs w:val="16"/>
              </w:rPr>
              <w:t>*</w:t>
            </w:r>
          </w:p>
        </w:tc>
        <w:tc>
          <w:tcPr>
            <w:tcW w:w="5705" w:type="dxa"/>
            <w:tcBorders>
              <w:top w:val="single" w:sz="4" w:space="0" w:color="000000"/>
              <w:left w:val="single" w:sz="4" w:space="0" w:color="000000"/>
              <w:bottom w:val="single" w:sz="4" w:space="0" w:color="000000"/>
              <w:right w:val="single" w:sz="4" w:space="0" w:color="000000"/>
            </w:tcBorders>
          </w:tcPr>
          <w:p w:rsidR="0056194E" w:rsidRPr="002F02D9" w:rsidRDefault="0056194E">
            <w:pPr>
              <w:snapToGrid w:val="0"/>
              <w:jc w:val="both"/>
              <w:rPr>
                <w:sz w:val="16"/>
                <w:szCs w:val="16"/>
              </w:rPr>
            </w:pPr>
            <w:r w:rsidRPr="002F02D9">
              <w:rPr>
                <w:rFonts w:ascii="Arial" w:hAnsi="Arial" w:cs="Arial"/>
                <w:bCs/>
                <w:sz w:val="16"/>
                <w:szCs w:val="16"/>
              </w:rPr>
              <w:t xml:space="preserve">Se ha comentado anteriormente la mortalidad en nuestro entorno. No disponemos de información adicional sobre años de vida perdidos y años de vida vividos con incapacidad. </w:t>
            </w:r>
          </w:p>
        </w:tc>
      </w:tr>
    </w:tbl>
    <w:p w:rsidR="0056194E" w:rsidRDefault="0056194E">
      <w:pPr>
        <w:jc w:val="both"/>
        <w:rPr>
          <w:rFonts w:ascii="Arial" w:hAnsi="Arial" w:cs="Arial"/>
          <w:b/>
          <w:bCs/>
          <w:color w:val="FF0000"/>
          <w:sz w:val="20"/>
          <w:szCs w:val="20"/>
        </w:rPr>
      </w:pPr>
      <w:r>
        <w:rPr>
          <w:rFonts w:ascii="Arial" w:hAnsi="Arial" w:cs="Arial"/>
          <w:sz w:val="18"/>
          <w:szCs w:val="18"/>
        </w:rPr>
        <w:t>* datos de ingresos hospitalarios, visitas a urgencias, discapacidad, necesidad de cuidador</w:t>
      </w:r>
    </w:p>
    <w:p w:rsidR="0056194E" w:rsidRDefault="0056194E">
      <w:pPr>
        <w:jc w:val="both"/>
        <w:rPr>
          <w:rFonts w:ascii="Arial" w:hAnsi="Arial" w:cs="Arial"/>
          <w:b/>
          <w:bCs/>
          <w:color w:val="000080"/>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9" w:name="_Toc536608325"/>
      <w:r>
        <w:rPr>
          <w:sz w:val="20"/>
        </w:rPr>
        <w:t>3.2.b Tratamiento actual de la enfermedad: evidencias.</w:t>
      </w:r>
      <w:r>
        <w:rPr>
          <w:sz w:val="20"/>
          <w:vertAlign w:val="superscript"/>
        </w:rPr>
        <w:t xml:space="preserve"> </w:t>
      </w:r>
      <w:bookmarkEnd w:id="9"/>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Tanto en el cáncer de próstata localizado de alto riesgo, como en el localmente avanzado o metastásico, la práctica terapéutica actual considera como primera línea la hormonoterapia, con supresión androgénica mediante agonistas de la hormona liberadora de hormona luteinizante (LHRH) u orquiectomía, o bien bloqueo androgénico completo (agonista LHRH más antiandrógeno). La terapia combinada con radioterapia se asoció consistentemente con la mejora específica de la enfermedad y la supervivencia general en comparación con el tratamiento de modalidad única en estudios aleatorizados en fase III</w:t>
      </w:r>
      <w:r>
        <w:rPr>
          <w:rFonts w:ascii="Arial" w:hAnsi="Arial" w:cs="Arial"/>
          <w:sz w:val="20"/>
          <w:szCs w:val="20"/>
          <w:vertAlign w:val="superscript"/>
        </w:rPr>
        <w:t>8,9</w:t>
      </w:r>
      <w:r>
        <w:rPr>
          <w:rFonts w:ascii="Arial" w:hAnsi="Arial" w:cs="Arial"/>
          <w:sz w:val="20"/>
          <w:szCs w:val="20"/>
        </w:rPr>
        <w:t>.</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 xml:space="preserve">Los análogos de </w:t>
      </w:r>
      <w:smartTag w:uri="urn:schemas-microsoft-com:office:smarttags" w:element="PersonName">
        <w:smartTagPr>
          <w:attr w:name="ProductID" w:val="la LHRH"/>
        </w:smartTagPr>
        <w:r>
          <w:rPr>
            <w:rFonts w:ascii="Arial" w:hAnsi="Arial" w:cs="Arial"/>
            <w:sz w:val="20"/>
            <w:szCs w:val="20"/>
          </w:rPr>
          <w:t>la LHRH</w:t>
        </w:r>
      </w:smartTag>
      <w:r>
        <w:rPr>
          <w:rFonts w:ascii="Arial" w:hAnsi="Arial" w:cs="Arial"/>
          <w:sz w:val="20"/>
          <w:szCs w:val="20"/>
        </w:rPr>
        <w:t xml:space="preserve"> leuprorelina, goserelina y triptorelina actúan reduciendo la cantidad de testosterona producida por los testículos. Al tratamiento con estos medicamentos se le denomina también castración química o castración médica.</w:t>
      </w:r>
    </w:p>
    <w:p w:rsidR="0056194E" w:rsidRDefault="0056194E">
      <w:pPr>
        <w:pStyle w:val="NormalWeb"/>
        <w:jc w:val="both"/>
        <w:rPr>
          <w:rFonts w:ascii="Arial" w:hAnsi="Arial" w:cs="Arial"/>
          <w:sz w:val="20"/>
          <w:szCs w:val="20"/>
        </w:rPr>
      </w:pPr>
      <w:r>
        <w:rPr>
          <w:rFonts w:ascii="Arial" w:hAnsi="Arial" w:cs="Arial"/>
          <w:sz w:val="20"/>
          <w:szCs w:val="20"/>
        </w:rPr>
        <w:t xml:space="preserve">Cuando se administran por primera vez los análogos LHRH, aumentan brevemente los niveles de testosterona antes de disminuir a niveles muy bajos. Este efecto se denomina exacerbación y resulta de la forma compleja en que actúan los análogos de </w:t>
      </w:r>
      <w:smartTag w:uri="urn:schemas-microsoft-com:office:smarttags" w:element="PersonName">
        <w:smartTagPr>
          <w:attr w:name="ProductID" w:val="la LHRH. Para"/>
        </w:smartTagPr>
        <w:r>
          <w:rPr>
            <w:rFonts w:ascii="Arial" w:hAnsi="Arial" w:cs="Arial"/>
            <w:sz w:val="20"/>
            <w:szCs w:val="20"/>
          </w:rPr>
          <w:t>la LHRH. Para</w:t>
        </w:r>
      </w:smartTag>
      <w:r>
        <w:rPr>
          <w:rFonts w:ascii="Arial" w:hAnsi="Arial" w:cs="Arial"/>
          <w:sz w:val="20"/>
          <w:szCs w:val="20"/>
        </w:rPr>
        <w:t xml:space="preserve"> evitar este efecto, la terapia antiandrógenica con flutamida o bicalutamida debe preceder o co-administrarse con el agonista de </w:t>
      </w:r>
      <w:smartTag w:uri="urn:schemas-microsoft-com:office:smarttags" w:element="PersonName">
        <w:smartTagPr>
          <w:attr w:name="ProductID" w:val="la LHRH"/>
        </w:smartTagPr>
        <w:r>
          <w:rPr>
            <w:rFonts w:ascii="Arial" w:hAnsi="Arial" w:cs="Arial"/>
            <w:sz w:val="20"/>
            <w:szCs w:val="20"/>
          </w:rPr>
          <w:t>la LHRH</w:t>
        </w:r>
      </w:smartTag>
      <w:r>
        <w:rPr>
          <w:rFonts w:ascii="Arial" w:hAnsi="Arial" w:cs="Arial"/>
          <w:sz w:val="20"/>
          <w:szCs w:val="20"/>
        </w:rPr>
        <w:t xml:space="preserve"> durante al menos 7 días.</w:t>
      </w:r>
    </w:p>
    <w:p w:rsidR="0056194E" w:rsidRDefault="0056194E">
      <w:pPr>
        <w:pStyle w:val="NormalWeb"/>
        <w:jc w:val="both"/>
        <w:rPr>
          <w:rFonts w:ascii="Arial" w:hAnsi="Arial" w:cs="Arial"/>
          <w:sz w:val="20"/>
          <w:szCs w:val="20"/>
        </w:rPr>
      </w:pPr>
      <w:r>
        <w:rPr>
          <w:rFonts w:ascii="Arial" w:hAnsi="Arial" w:cs="Arial"/>
          <w:sz w:val="20"/>
          <w:szCs w:val="20"/>
        </w:rPr>
        <w:t>La monoterapia con antiandrógenos parece ser menos eficaz que la castración médica o quirúrgica y no se recomienda. El uso de finasterida o dutasterida con bloqueo androgénico combinado ofrece poco o ningún beneficio en comparación con la castración sola</w:t>
      </w:r>
      <w:r>
        <w:rPr>
          <w:rFonts w:ascii="Arial" w:hAnsi="Arial" w:cs="Arial"/>
          <w:sz w:val="20"/>
          <w:szCs w:val="20"/>
          <w:vertAlign w:val="superscript"/>
        </w:rPr>
        <w:t>10</w:t>
      </w:r>
      <w:r>
        <w:rPr>
          <w:rFonts w:ascii="Arial" w:hAnsi="Arial" w:cs="Arial"/>
          <w:sz w:val="20"/>
          <w:szCs w:val="20"/>
        </w:rPr>
        <w:t>.</w:t>
      </w:r>
    </w:p>
    <w:p w:rsidR="0056194E" w:rsidRDefault="0056194E">
      <w:pPr>
        <w:pStyle w:val="NormalWeb"/>
        <w:jc w:val="both"/>
        <w:rPr>
          <w:rFonts w:ascii="Arial" w:hAnsi="Arial" w:cs="Arial"/>
          <w:sz w:val="20"/>
          <w:szCs w:val="20"/>
        </w:rPr>
      </w:pPr>
      <w:r>
        <w:rPr>
          <w:rFonts w:ascii="Arial" w:hAnsi="Arial" w:cs="Arial"/>
          <w:sz w:val="20"/>
          <w:szCs w:val="20"/>
        </w:rPr>
        <w:t>Los antagonistas de LHRH, como el degarelix</w:t>
      </w:r>
      <w:r>
        <w:rPr>
          <w:rFonts w:ascii="Arial" w:hAnsi="Arial" w:cs="Arial"/>
          <w:sz w:val="20"/>
          <w:szCs w:val="20"/>
          <w:vertAlign w:val="superscript"/>
        </w:rPr>
        <w:t>11</w:t>
      </w:r>
      <w:r>
        <w:rPr>
          <w:rFonts w:ascii="Arial" w:hAnsi="Arial" w:cs="Arial"/>
          <w:sz w:val="20"/>
          <w:szCs w:val="20"/>
        </w:rPr>
        <w:t xml:space="preserve">, inhiben rápida y directamente la liberación de los andrógenos, a diferencia de los agonistas, que inicialmente estimulan los receptores de LHRH antes de llevar a hipogonadismo. Por lo tanto, no requieren coadministración con un antiandrógeno. Esta terapia sólo se utiliza en el caso de pacientes en los que se prevean complicaciones a corto plazo. </w:t>
      </w:r>
    </w:p>
    <w:p w:rsidR="0056194E" w:rsidRDefault="0056194E">
      <w:pPr>
        <w:pStyle w:val="NormalWeb"/>
        <w:jc w:val="both"/>
        <w:rPr>
          <w:rFonts w:ascii="Arial" w:hAnsi="Arial" w:cs="Arial"/>
          <w:sz w:val="20"/>
          <w:szCs w:val="20"/>
        </w:rPr>
      </w:pPr>
      <w:r>
        <w:rPr>
          <w:rFonts w:ascii="Arial" w:hAnsi="Arial" w:cs="Arial"/>
          <w:sz w:val="20"/>
          <w:szCs w:val="20"/>
        </w:rPr>
        <w:t>La orquiectomía (castración quirúrgica) es un tipo de cirugía en la cual el cirujano extirpa los testículos, que es donde se produce la mayor parte de los andrógenos (testosterona y dihidrotestosterona). Su principal efecto sería equivalente a una forma de terapia hormonal.</w:t>
      </w:r>
    </w:p>
    <w:p w:rsidR="0056194E" w:rsidRDefault="0056194E">
      <w:pPr>
        <w:pStyle w:val="NormalWeb"/>
        <w:jc w:val="both"/>
        <w:rPr>
          <w:rFonts w:ascii="Arial" w:hAnsi="Arial" w:cs="Arial"/>
          <w:sz w:val="20"/>
          <w:szCs w:val="20"/>
        </w:rPr>
      </w:pPr>
      <w:r>
        <w:rPr>
          <w:rFonts w:ascii="Arial" w:hAnsi="Arial" w:cs="Arial"/>
          <w:sz w:val="20"/>
          <w:szCs w:val="20"/>
        </w:rPr>
        <w:t>La combinación de radioterapia y la braquiterapia, con o sin la terapia de deprivación de andrógenos (TDA) por lo general durante dos o tres años, es otra opción de tratamiento primario para pacientes de alto riesgo o localmente avanzados</w:t>
      </w:r>
      <w:r>
        <w:rPr>
          <w:rFonts w:ascii="Arial" w:hAnsi="Arial" w:cs="Arial"/>
          <w:sz w:val="20"/>
          <w:szCs w:val="20"/>
          <w:vertAlign w:val="superscript"/>
        </w:rPr>
        <w:t>12</w:t>
      </w:r>
      <w:r>
        <w:rPr>
          <w:rFonts w:ascii="Arial" w:hAnsi="Arial" w:cs="Arial"/>
          <w:sz w:val="20"/>
          <w:szCs w:val="20"/>
        </w:rPr>
        <w:t>. No obstante, la duración óptima de la TDA en este entorno aún no está clara. La prostatectomía radical más la disección de ganglios linfáticos pélvicos sigue siendo una opción en aquellos pacientes de alto riesgo que puedan beneficiarse de la cirugía y en pacientes con enfermedad localmente avanzada seleccionados, sin fijación a órganos adyacentes.</w:t>
      </w:r>
    </w:p>
    <w:p w:rsidR="002E254C" w:rsidRPr="002E254C" w:rsidRDefault="002E254C" w:rsidP="002E254C">
      <w:pPr>
        <w:jc w:val="both"/>
        <w:rPr>
          <w:rFonts w:ascii="Arial" w:hAnsi="Arial" w:cs="Arial"/>
          <w:sz w:val="20"/>
          <w:szCs w:val="20"/>
        </w:rPr>
      </w:pPr>
      <w:r w:rsidRPr="002E254C">
        <w:rPr>
          <w:rFonts w:ascii="Arial" w:hAnsi="Arial" w:cs="Arial"/>
          <w:sz w:val="20"/>
          <w:szCs w:val="20"/>
        </w:rPr>
        <w:t xml:space="preserve">Si falla la primera línea hormonal, la enfermedad deriva en una fase conocida como carcinoma de próstata resistente a la castración (CPRC). En función del estatus de metástasis en esta fase, existen </w:t>
      </w:r>
      <w:r>
        <w:rPr>
          <w:rFonts w:ascii="Arial" w:hAnsi="Arial" w:cs="Arial"/>
          <w:sz w:val="20"/>
          <w:szCs w:val="20"/>
        </w:rPr>
        <w:t xml:space="preserve">actualmente </w:t>
      </w:r>
      <w:r w:rsidRPr="002E254C">
        <w:rPr>
          <w:rFonts w:ascii="Arial" w:hAnsi="Arial" w:cs="Arial"/>
          <w:sz w:val="20"/>
          <w:szCs w:val="20"/>
        </w:rPr>
        <w:t xml:space="preserve">diferentes </w:t>
      </w:r>
      <w:r>
        <w:rPr>
          <w:rFonts w:ascii="Arial" w:hAnsi="Arial" w:cs="Arial"/>
          <w:sz w:val="20"/>
          <w:szCs w:val="20"/>
        </w:rPr>
        <w:t>alternativas de tratamiento</w:t>
      </w:r>
      <w:r w:rsidRPr="002E254C">
        <w:rPr>
          <w:rFonts w:ascii="Arial" w:hAnsi="Arial" w:cs="Arial"/>
          <w:sz w:val="20"/>
          <w:szCs w:val="20"/>
        </w:rPr>
        <w:t xml:space="preserve">: </w:t>
      </w:r>
    </w:p>
    <w:p w:rsidR="002E254C" w:rsidRPr="002E254C" w:rsidRDefault="002E254C" w:rsidP="002E254C">
      <w:pPr>
        <w:jc w:val="both"/>
        <w:rPr>
          <w:rFonts w:ascii="Arial" w:hAnsi="Arial" w:cs="Arial"/>
          <w:sz w:val="20"/>
          <w:szCs w:val="20"/>
        </w:rPr>
      </w:pPr>
      <w:r>
        <w:rPr>
          <w:rFonts w:ascii="Arial" w:hAnsi="Arial" w:cs="Arial"/>
          <w:sz w:val="20"/>
          <w:szCs w:val="20"/>
        </w:rPr>
        <w:t xml:space="preserve">  </w:t>
      </w:r>
      <w:r w:rsidRPr="002E254C">
        <w:rPr>
          <w:rFonts w:ascii="Arial" w:hAnsi="Arial" w:cs="Arial"/>
          <w:sz w:val="20"/>
          <w:szCs w:val="20"/>
        </w:rPr>
        <w:t xml:space="preserve">-CPRC no metastásico: apalutamida, enzalutamida. </w:t>
      </w:r>
    </w:p>
    <w:p w:rsidR="0056194E" w:rsidRDefault="002E254C" w:rsidP="002E254C">
      <w:pPr>
        <w:jc w:val="both"/>
        <w:rPr>
          <w:rFonts w:ascii="Arial" w:hAnsi="Arial" w:cs="Arial"/>
          <w:sz w:val="20"/>
          <w:szCs w:val="20"/>
        </w:rPr>
      </w:pPr>
      <w:r>
        <w:rPr>
          <w:rFonts w:ascii="Arial" w:hAnsi="Arial" w:cs="Arial"/>
          <w:sz w:val="20"/>
          <w:szCs w:val="20"/>
        </w:rPr>
        <w:t xml:space="preserve">  </w:t>
      </w:r>
      <w:r w:rsidRPr="002E254C">
        <w:rPr>
          <w:rFonts w:ascii="Arial" w:hAnsi="Arial" w:cs="Arial"/>
          <w:sz w:val="20"/>
          <w:szCs w:val="20"/>
        </w:rPr>
        <w:t>-CPRC metastásico: acetato de abiraterona, docetaxel, enzalutamida, Radium 223.</w:t>
      </w:r>
    </w:p>
    <w:p w:rsidR="002E254C" w:rsidRDefault="002E254C" w:rsidP="002E254C">
      <w:pPr>
        <w:jc w:val="both"/>
        <w:rPr>
          <w:rFonts w:ascii="Arial" w:hAnsi="Arial" w:cs="Arial"/>
          <w:sz w:val="20"/>
          <w:szCs w:val="20"/>
        </w:rPr>
      </w:pPr>
    </w:p>
    <w:p w:rsidR="0056194E" w:rsidRDefault="0056194E">
      <w:pPr>
        <w:pStyle w:val="Textoindependiente"/>
        <w:spacing w:after="283"/>
        <w:jc w:val="both"/>
        <w:rPr>
          <w:rFonts w:ascii="Arial" w:hAnsi="Arial" w:cs="Arial"/>
          <w:sz w:val="20"/>
        </w:rPr>
      </w:pPr>
      <w:r>
        <w:rPr>
          <w:rFonts w:ascii="Arial" w:hAnsi="Arial" w:cs="Arial"/>
          <w:sz w:val="20"/>
        </w:rPr>
        <w:t>Varios ensayos clínicos han demostrado que el uso de docetaxel a dosis de 75mg/m</w:t>
      </w:r>
      <w:r>
        <w:rPr>
          <w:rFonts w:ascii="Arial" w:hAnsi="Arial" w:cs="Arial"/>
          <w:b/>
          <w:bCs/>
          <w:sz w:val="20"/>
          <w:vertAlign w:val="superscript"/>
        </w:rPr>
        <w:t xml:space="preserve">2  </w:t>
      </w:r>
      <w:r>
        <w:rPr>
          <w:rFonts w:ascii="Arial" w:hAnsi="Arial" w:cs="Arial"/>
          <w:sz w:val="20"/>
        </w:rPr>
        <w:t>cada 21 días hasta un máximo de 6 ciclos en combinación con TDA aumenta la supervivencia global frente a TDA en monoterapia. En el estudio CHAARTED presentado en ASCO 2014, se observó un aumento de la mediana de supervivencia global de 13,6 meses en aquellos pacientes con CPHSm que recibieron en la fase previa de la enfermedad terapia de deprivación androgénica+docetaxel frente a deprivación androgénica en monoterapia, siendo la diferencia aún mayor en aquellos pacientes que presentaban una alta carga tumoral.</w:t>
      </w:r>
      <w:r>
        <w:rPr>
          <w:rFonts w:ascii="Arial" w:hAnsi="Arial" w:cs="Arial"/>
          <w:sz w:val="20"/>
          <w:vertAlign w:val="superscript"/>
        </w:rPr>
        <w:t>14</w:t>
      </w:r>
      <w:r>
        <w:rPr>
          <w:rFonts w:ascii="Arial" w:hAnsi="Arial" w:cs="Arial"/>
          <w:sz w:val="20"/>
        </w:rPr>
        <w:t xml:space="preserve">  Es por ello que aunque docetaxel no tenga aprobada esta indicación en ficha técnica, su uso en pacientes que cumplen criterios CHAARTED en esta fase de la enfermedad se puede acoger </w:t>
      </w:r>
      <w:r>
        <w:rPr>
          <w:rFonts w:ascii="Arial" w:hAnsi="Arial" w:cs="Arial"/>
          <w:bCs/>
          <w:sz w:val="20"/>
        </w:rPr>
        <w:t>al Real Decreto 1015/2009, de 19 de junio, por el que se regula la disponibilidad de medicamentos en situaciones especiales.</w:t>
      </w:r>
    </w:p>
    <w:p w:rsidR="0056194E" w:rsidRDefault="0056194E">
      <w:pPr>
        <w:jc w:val="both"/>
        <w:rPr>
          <w:rFonts w:ascii="Arial" w:hAnsi="Arial" w:cs="Arial"/>
          <w:sz w:val="20"/>
          <w:szCs w:val="20"/>
        </w:rPr>
      </w:pPr>
      <w:r>
        <w:rPr>
          <w:rFonts w:ascii="Arial" w:hAnsi="Arial" w:cs="Arial"/>
          <w:sz w:val="20"/>
          <w:szCs w:val="20"/>
        </w:rPr>
        <w:t>A modo de resumen, en la siguiente tabla se muestran los tratamientos habituales en la fase hormonosensible de la enfermedad en sus distintos estadíos, aunque la indicación que evaluamos en este informe se ciñe únicamente a pacientes metastásicos:</w:t>
      </w:r>
    </w:p>
    <w:p w:rsidR="0056194E" w:rsidRDefault="0056194E">
      <w:pPr>
        <w:jc w:val="both"/>
        <w:rPr>
          <w:rFonts w:ascii="Arial" w:hAnsi="Arial" w:cs="Arial"/>
          <w:sz w:val="20"/>
          <w:szCs w:val="20"/>
        </w:rPr>
      </w:pPr>
    </w:p>
    <w:p w:rsidR="0056194E" w:rsidRDefault="0056194E">
      <w:pPr>
        <w:jc w:val="both"/>
        <w:rPr>
          <w:rFonts w:ascii="Arial" w:hAnsi="Arial" w:cs="Arial"/>
          <w:b/>
          <w:bCs/>
          <w:sz w:val="20"/>
          <w:szCs w:val="20"/>
        </w:rPr>
      </w:pPr>
      <w:r>
        <w:rPr>
          <w:rFonts w:ascii="Arial" w:hAnsi="Arial" w:cs="Arial"/>
          <w:sz w:val="20"/>
          <w:szCs w:val="20"/>
        </w:rPr>
        <w:t xml:space="preserve">Tabla 1. Tratamiento estándar del Cáncer de Próstata Hormono Sensible (CPHS). </w:t>
      </w:r>
    </w:p>
    <w:tbl>
      <w:tblPr>
        <w:tblW w:w="0" w:type="auto"/>
        <w:tblInd w:w="108" w:type="dxa"/>
        <w:tblLayout w:type="fixed"/>
        <w:tblLook w:val="0000"/>
      </w:tblPr>
      <w:tblGrid>
        <w:gridCol w:w="9171"/>
      </w:tblGrid>
      <w:tr w:rsidR="0056194E">
        <w:trPr>
          <w:trHeight w:val="270"/>
        </w:trPr>
        <w:tc>
          <w:tcPr>
            <w:tcW w:w="9171"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56194E" w:rsidRDefault="0056194E">
            <w:pPr>
              <w:jc w:val="both"/>
            </w:pPr>
            <w:r>
              <w:rPr>
                <w:rFonts w:ascii="Arial" w:hAnsi="Arial" w:cs="Arial"/>
                <w:b/>
                <w:bCs/>
                <w:sz w:val="20"/>
                <w:szCs w:val="20"/>
              </w:rPr>
              <w:t>Enfermedad localizada de alto riesgo</w:t>
            </w:r>
            <w:r>
              <w:rPr>
                <w:rFonts w:ascii="Arial" w:hAnsi="Arial" w:cs="Arial"/>
                <w:b/>
                <w:bCs/>
                <w:sz w:val="20"/>
                <w:szCs w:val="20"/>
                <w:vertAlign w:val="superscript"/>
              </w:rPr>
              <w:t>13</w:t>
            </w:r>
          </w:p>
        </w:tc>
      </w:tr>
      <w:tr w:rsidR="0056194E">
        <w:trPr>
          <w:trHeight w:val="661"/>
        </w:trPr>
        <w:tc>
          <w:tcPr>
            <w:tcW w:w="9171" w:type="dxa"/>
            <w:tcBorders>
              <w:top w:val="single" w:sz="4" w:space="0" w:color="000000"/>
              <w:left w:val="single" w:sz="4" w:space="0" w:color="000000"/>
              <w:bottom w:val="single" w:sz="4" w:space="0" w:color="000000"/>
              <w:right w:val="single" w:sz="4" w:space="0" w:color="000000"/>
            </w:tcBorders>
          </w:tcPr>
          <w:p w:rsidR="0056194E" w:rsidRDefault="0056194E">
            <w:pPr>
              <w:jc w:val="both"/>
              <w:rPr>
                <w:rFonts w:ascii="Arial" w:hAnsi="Arial" w:cs="Arial"/>
                <w:sz w:val="20"/>
                <w:szCs w:val="20"/>
              </w:rPr>
            </w:pPr>
            <w:r>
              <w:rPr>
                <w:rFonts w:ascii="Arial" w:hAnsi="Arial" w:cs="Arial"/>
                <w:sz w:val="20"/>
                <w:szCs w:val="20"/>
              </w:rPr>
              <w:t>- Radioterapia externa (RTE) (dosis altas &gt;74 Gy) + Bloqueo Androgénico Completo (BAC) de cuatro meses de duración iniciándose dos meses antes del inicio de RT continuando durante la RT y se proseguirá el tratamiento con análogos de LHRH durante dos a tres años.</w:t>
            </w:r>
          </w:p>
          <w:p w:rsidR="0056194E" w:rsidRDefault="0056194E">
            <w:pPr>
              <w:jc w:val="both"/>
            </w:pPr>
            <w:r>
              <w:rPr>
                <w:rFonts w:ascii="Arial" w:hAnsi="Arial" w:cs="Arial"/>
                <w:sz w:val="20"/>
                <w:szCs w:val="20"/>
              </w:rPr>
              <w:t>- Hormonoterapia exclusiva en los pacientes con contraindicación de RTE.</w:t>
            </w:r>
          </w:p>
        </w:tc>
      </w:tr>
      <w:tr w:rsidR="0056194E">
        <w:trPr>
          <w:trHeight w:val="212"/>
        </w:trPr>
        <w:tc>
          <w:tcPr>
            <w:tcW w:w="9171"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56194E" w:rsidRDefault="0056194E">
            <w:pPr>
              <w:jc w:val="both"/>
            </w:pPr>
            <w:r>
              <w:rPr>
                <w:rFonts w:ascii="Arial" w:hAnsi="Arial" w:cs="Arial"/>
                <w:b/>
                <w:bCs/>
                <w:sz w:val="20"/>
                <w:szCs w:val="20"/>
              </w:rPr>
              <w:t xml:space="preserve">Enfermedad metastásica </w:t>
            </w:r>
          </w:p>
        </w:tc>
      </w:tr>
      <w:tr w:rsidR="0056194E">
        <w:trPr>
          <w:trHeight w:val="357"/>
        </w:trPr>
        <w:tc>
          <w:tcPr>
            <w:tcW w:w="9171" w:type="dxa"/>
            <w:tcBorders>
              <w:top w:val="single" w:sz="4" w:space="0" w:color="000000"/>
              <w:left w:val="single" w:sz="4" w:space="0" w:color="000000"/>
              <w:bottom w:val="single" w:sz="4" w:space="0" w:color="000000"/>
              <w:right w:val="single" w:sz="4" w:space="0" w:color="000000"/>
            </w:tcBorders>
          </w:tcPr>
          <w:p w:rsidR="0056194E" w:rsidRDefault="0056194E">
            <w:pPr>
              <w:autoSpaceDE w:val="0"/>
              <w:jc w:val="both"/>
              <w:rPr>
                <w:rFonts w:ascii="Arial" w:hAnsi="Arial" w:cs="Arial"/>
                <w:sz w:val="20"/>
                <w:szCs w:val="20"/>
              </w:rPr>
            </w:pPr>
            <w:r>
              <w:rPr>
                <w:rFonts w:ascii="Arial" w:hAnsi="Arial" w:cs="Arial"/>
                <w:sz w:val="20"/>
                <w:szCs w:val="20"/>
              </w:rPr>
              <w:t>- En caso de que el paciente haya sido sometido a prostatectomía se hará deprivación androgénica indefinida +/- RT (metástasis óseas, etc).</w:t>
            </w:r>
          </w:p>
          <w:p w:rsidR="0056194E" w:rsidRDefault="0056194E">
            <w:pPr>
              <w:autoSpaceDE w:val="0"/>
              <w:ind w:left="34"/>
              <w:jc w:val="both"/>
              <w:rPr>
                <w:rFonts w:ascii="Arial" w:hAnsi="Arial" w:cs="Arial"/>
                <w:sz w:val="20"/>
                <w:szCs w:val="20"/>
              </w:rPr>
            </w:pPr>
            <w:r>
              <w:rPr>
                <w:rFonts w:ascii="Arial" w:hAnsi="Arial" w:cs="Arial"/>
                <w:sz w:val="20"/>
                <w:szCs w:val="20"/>
              </w:rPr>
              <w:t xml:space="preserve">- Si no ha sido operado: deprivación androgénica indefinida +/- RT externa según síntomas locales o a distancia (metástasis óseas, etc). Valorar hormonoterapia indefinida en N+. </w:t>
            </w:r>
          </w:p>
          <w:p w:rsidR="0056194E" w:rsidRDefault="0056194E">
            <w:pPr>
              <w:autoSpaceDE w:val="0"/>
              <w:jc w:val="both"/>
            </w:pPr>
            <w:r>
              <w:rPr>
                <w:rFonts w:ascii="Arial" w:hAnsi="Arial" w:cs="Arial"/>
                <w:sz w:val="20"/>
                <w:szCs w:val="20"/>
              </w:rPr>
              <w:t>- En pacientes que cumplen criterios CHAARTED, docetaxel 75mg/m</w:t>
            </w:r>
            <w:r>
              <w:rPr>
                <w:rFonts w:ascii="Arial" w:hAnsi="Arial" w:cs="Arial"/>
                <w:b/>
                <w:bCs/>
                <w:sz w:val="20"/>
                <w:szCs w:val="20"/>
                <w:vertAlign w:val="superscript"/>
              </w:rPr>
              <w:t xml:space="preserve">2  </w:t>
            </w:r>
            <w:r>
              <w:rPr>
                <w:rFonts w:ascii="Arial" w:hAnsi="Arial" w:cs="Arial"/>
                <w:sz w:val="20"/>
                <w:szCs w:val="20"/>
              </w:rPr>
              <w:t>cada 21 días hasta un máximo de 6 ciclos en combinación con TDA.</w:t>
            </w:r>
          </w:p>
        </w:tc>
      </w:tr>
    </w:tbl>
    <w:p w:rsidR="0056194E" w:rsidRDefault="0056194E">
      <w:pPr>
        <w:jc w:val="both"/>
        <w:rPr>
          <w:rFonts w:ascii="Arial" w:hAnsi="Arial" w:cs="Arial"/>
          <w:color w:val="000080"/>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10" w:name="_Toc536608326"/>
      <w:r>
        <w:rPr>
          <w:sz w:val="20"/>
        </w:rPr>
        <w:t>3.3 Características comparadas con otras alternativas similares</w:t>
      </w:r>
      <w:bookmarkEnd w:id="10"/>
      <w:r>
        <w:rPr>
          <w:sz w:val="20"/>
        </w:rPr>
        <w:t xml:space="preserve"> </w:t>
      </w:r>
    </w:p>
    <w:p w:rsidR="0056194E" w:rsidRDefault="0056194E">
      <w:pPr>
        <w:jc w:val="both"/>
        <w:rPr>
          <w:rFonts w:ascii="Arial" w:hAnsi="Arial" w:cs="Arial"/>
          <w:bCs/>
          <w:sz w:val="20"/>
          <w:szCs w:val="20"/>
        </w:rPr>
      </w:pPr>
    </w:p>
    <w:p w:rsidR="0056194E" w:rsidRDefault="0056194E">
      <w:pPr>
        <w:jc w:val="both"/>
        <w:rPr>
          <w:rFonts w:ascii="Arial" w:hAnsi="Arial" w:cs="Arial"/>
          <w:b/>
          <w:bCs/>
          <w:sz w:val="20"/>
          <w:szCs w:val="20"/>
        </w:rPr>
      </w:pPr>
      <w:r>
        <w:rPr>
          <w:rFonts w:ascii="Arial" w:hAnsi="Arial" w:cs="Arial"/>
          <w:bCs/>
          <w:sz w:val="20"/>
          <w:szCs w:val="20"/>
        </w:rPr>
        <w:t>Se exponen en la tabla siguiente las características diferenciales más destacadas de abiraterona frente al tratamiento estándar (TDA) y frente a su posible alternativa, docetaxel. En el contexto de este informe, abiraterona se añadiría a alguna de las terapias hormonales utilizadas en la actualidad.</w:t>
      </w:r>
    </w:p>
    <w:p w:rsidR="0056194E" w:rsidRDefault="0056194E">
      <w:pPr>
        <w:pStyle w:val="Encabezado"/>
        <w:tabs>
          <w:tab w:val="clear" w:pos="4252"/>
          <w:tab w:val="clear" w:pos="8504"/>
        </w:tabs>
        <w:jc w:val="both"/>
        <w:rPr>
          <w:rFonts w:ascii="Arial" w:hAnsi="Arial" w:cs="Arial"/>
          <w:b/>
          <w:bCs/>
        </w:rPr>
      </w:pPr>
    </w:p>
    <w:tbl>
      <w:tblPr>
        <w:tblW w:w="9214" w:type="dxa"/>
        <w:tblInd w:w="70" w:type="dxa"/>
        <w:tblLayout w:type="fixed"/>
        <w:tblCellMar>
          <w:left w:w="70" w:type="dxa"/>
          <w:right w:w="70" w:type="dxa"/>
        </w:tblCellMar>
        <w:tblLook w:val="0000"/>
      </w:tblPr>
      <w:tblGrid>
        <w:gridCol w:w="983"/>
        <w:gridCol w:w="1994"/>
        <w:gridCol w:w="1691"/>
        <w:gridCol w:w="1985"/>
        <w:gridCol w:w="2561"/>
      </w:tblGrid>
      <w:tr w:rsidR="0056194E">
        <w:trPr>
          <w:cantSplit/>
          <w:trHeight w:val="132"/>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pStyle w:val="Encabezado"/>
              <w:tabs>
                <w:tab w:val="clear" w:pos="4252"/>
                <w:tab w:val="clear" w:pos="8504"/>
              </w:tabs>
              <w:snapToGrid w:val="0"/>
              <w:jc w:val="both"/>
            </w:pPr>
            <w:r>
              <w:rPr>
                <w:rFonts w:ascii="Arial" w:hAnsi="Arial" w:cs="Arial"/>
                <w:b/>
                <w:bCs/>
              </w:rPr>
              <w:t>Características diferenciales comparadas con otras alternativas similares</w:t>
            </w:r>
          </w:p>
        </w:tc>
      </w:tr>
      <w:tr w:rsidR="0056194E">
        <w:trPr>
          <w:trHeight w:val="432"/>
        </w:trPr>
        <w:tc>
          <w:tcPr>
            <w:tcW w:w="983" w:type="dxa"/>
            <w:vMerge w:val="restart"/>
            <w:tcBorders>
              <w:top w:val="single" w:sz="4" w:space="0" w:color="000000"/>
              <w:left w:val="single" w:sz="4" w:space="0" w:color="000000"/>
            </w:tcBorders>
            <w:vAlign w:val="center"/>
          </w:tcPr>
          <w:p w:rsidR="0056194E" w:rsidRDefault="0056194E">
            <w:pPr>
              <w:pStyle w:val="Encabezado"/>
              <w:tabs>
                <w:tab w:val="clear" w:pos="4252"/>
                <w:tab w:val="clear" w:pos="8504"/>
              </w:tabs>
              <w:jc w:val="both"/>
            </w:pPr>
            <w:r>
              <w:rPr>
                <w:rFonts w:ascii="Arial" w:hAnsi="Arial" w:cs="Arial"/>
                <w:b/>
                <w:bCs/>
              </w:rPr>
              <w:t>Nombre</w:t>
            </w:r>
          </w:p>
        </w:tc>
        <w:tc>
          <w:tcPr>
            <w:tcW w:w="1994" w:type="dxa"/>
            <w:vMerge w:val="restart"/>
            <w:tcBorders>
              <w:top w:val="single" w:sz="4" w:space="0" w:color="000000"/>
              <w:left w:val="single" w:sz="4" w:space="0" w:color="000000"/>
            </w:tcBorders>
            <w:vAlign w:val="center"/>
          </w:tcPr>
          <w:p w:rsidR="0056194E" w:rsidRDefault="0056194E">
            <w:pPr>
              <w:pStyle w:val="Encabezado"/>
              <w:tabs>
                <w:tab w:val="clear" w:pos="4252"/>
                <w:tab w:val="clear" w:pos="8504"/>
              </w:tabs>
              <w:jc w:val="both"/>
            </w:pPr>
            <w:r>
              <w:rPr>
                <w:rFonts w:ascii="Arial" w:hAnsi="Arial" w:cs="Arial"/>
                <w:b/>
                <w:bCs/>
              </w:rPr>
              <w:t>ABIRATERONA</w:t>
            </w:r>
          </w:p>
        </w:tc>
        <w:tc>
          <w:tcPr>
            <w:tcW w:w="1691" w:type="dxa"/>
            <w:vMerge w:val="restart"/>
            <w:tcBorders>
              <w:top w:val="single" w:sz="4" w:space="0" w:color="000000"/>
              <w:left w:val="single" w:sz="4" w:space="0" w:color="000000"/>
            </w:tcBorders>
            <w:vAlign w:val="center"/>
          </w:tcPr>
          <w:p w:rsidR="0056194E" w:rsidRDefault="0056194E">
            <w:pPr>
              <w:pStyle w:val="Encabezado"/>
              <w:tabs>
                <w:tab w:val="clear" w:pos="4252"/>
                <w:tab w:val="clear" w:pos="8504"/>
              </w:tabs>
              <w:jc w:val="both"/>
            </w:pPr>
            <w:r>
              <w:rPr>
                <w:rFonts w:ascii="Arial" w:hAnsi="Arial" w:cs="Arial"/>
                <w:b/>
                <w:bCs/>
              </w:rPr>
              <w:t>DOCETAXEL</w:t>
            </w:r>
          </w:p>
        </w:tc>
        <w:tc>
          <w:tcPr>
            <w:tcW w:w="4546" w:type="dxa"/>
            <w:gridSpan w:val="2"/>
            <w:tcBorders>
              <w:top w:val="single" w:sz="4" w:space="0" w:color="000000"/>
              <w:left w:val="single" w:sz="4" w:space="0" w:color="000000"/>
              <w:bottom w:val="single" w:sz="4" w:space="0" w:color="000000"/>
              <w:right w:val="single" w:sz="4" w:space="0" w:color="000000"/>
            </w:tcBorders>
            <w:vAlign w:val="center"/>
          </w:tcPr>
          <w:p w:rsidR="0056194E" w:rsidRDefault="0056194E">
            <w:pPr>
              <w:pStyle w:val="Encabezado"/>
              <w:tabs>
                <w:tab w:val="clear" w:pos="4252"/>
                <w:tab w:val="clear" w:pos="8504"/>
              </w:tabs>
              <w:jc w:val="both"/>
            </w:pPr>
            <w:r>
              <w:rPr>
                <w:rFonts w:ascii="Arial" w:hAnsi="Arial" w:cs="Arial"/>
                <w:b/>
                <w:bCs/>
                <w:lang w:val="pt-BR" w:eastAsia="en-US"/>
              </w:rPr>
              <w:t>Terapia hormonal concomitante</w:t>
            </w:r>
          </w:p>
        </w:tc>
      </w:tr>
      <w:tr w:rsidR="0056194E">
        <w:trPr>
          <w:trHeight w:val="432"/>
        </w:trPr>
        <w:tc>
          <w:tcPr>
            <w:tcW w:w="983" w:type="dxa"/>
            <w:vMerge/>
            <w:tcBorders>
              <w:left w:val="single" w:sz="4" w:space="0" w:color="000000"/>
              <w:bottom w:val="single" w:sz="4" w:space="0" w:color="000000"/>
            </w:tcBorders>
            <w:vAlign w:val="center"/>
          </w:tcPr>
          <w:p w:rsidR="0056194E" w:rsidRDefault="0056194E">
            <w:pPr>
              <w:pStyle w:val="Encabezado"/>
              <w:tabs>
                <w:tab w:val="clear" w:pos="4252"/>
                <w:tab w:val="clear" w:pos="8504"/>
              </w:tabs>
              <w:jc w:val="both"/>
              <w:rPr>
                <w:rFonts w:ascii="Arial" w:hAnsi="Arial" w:cs="Arial"/>
                <w:b/>
                <w:bCs/>
              </w:rPr>
            </w:pPr>
          </w:p>
        </w:tc>
        <w:tc>
          <w:tcPr>
            <w:tcW w:w="1994" w:type="dxa"/>
            <w:vMerge/>
            <w:tcBorders>
              <w:left w:val="single" w:sz="4" w:space="0" w:color="000000"/>
              <w:bottom w:val="single" w:sz="4" w:space="0" w:color="000000"/>
            </w:tcBorders>
            <w:vAlign w:val="center"/>
          </w:tcPr>
          <w:p w:rsidR="0056194E" w:rsidRDefault="0056194E">
            <w:pPr>
              <w:pStyle w:val="Encabezado"/>
              <w:tabs>
                <w:tab w:val="clear" w:pos="4252"/>
                <w:tab w:val="clear" w:pos="8504"/>
              </w:tabs>
              <w:jc w:val="both"/>
              <w:rPr>
                <w:rFonts w:ascii="Arial" w:hAnsi="Arial" w:cs="Arial"/>
                <w:b/>
                <w:bCs/>
              </w:rPr>
            </w:pPr>
          </w:p>
        </w:tc>
        <w:tc>
          <w:tcPr>
            <w:tcW w:w="1691" w:type="dxa"/>
            <w:vMerge/>
            <w:tcBorders>
              <w:left w:val="single" w:sz="4" w:space="0" w:color="000000"/>
              <w:bottom w:val="single" w:sz="4" w:space="0" w:color="000000"/>
            </w:tcBorders>
            <w:vAlign w:val="center"/>
          </w:tcPr>
          <w:p w:rsidR="0056194E" w:rsidRDefault="0056194E">
            <w:pPr>
              <w:pStyle w:val="Encabezado"/>
              <w:tabs>
                <w:tab w:val="clear" w:pos="4252"/>
                <w:tab w:val="clear" w:pos="8504"/>
              </w:tabs>
              <w:jc w:val="both"/>
              <w:rPr>
                <w:rFonts w:ascii="Arial" w:hAnsi="Arial" w:cs="Arial"/>
                <w:b/>
                <w:bCs/>
              </w:rPr>
            </w:pPr>
          </w:p>
        </w:tc>
        <w:tc>
          <w:tcPr>
            <w:tcW w:w="1985" w:type="dxa"/>
            <w:tcBorders>
              <w:top w:val="single" w:sz="4" w:space="0" w:color="000000"/>
              <w:left w:val="single" w:sz="4" w:space="0" w:color="000000"/>
              <w:bottom w:val="single" w:sz="4" w:space="0" w:color="000000"/>
            </w:tcBorders>
            <w:vAlign w:val="center"/>
          </w:tcPr>
          <w:p w:rsidR="0056194E" w:rsidRPr="006A311C" w:rsidRDefault="0056194E">
            <w:pPr>
              <w:pStyle w:val="Encabezado"/>
              <w:tabs>
                <w:tab w:val="clear" w:pos="4252"/>
                <w:tab w:val="clear" w:pos="8504"/>
              </w:tabs>
              <w:jc w:val="both"/>
              <w:rPr>
                <w:rFonts w:ascii="Arial" w:hAnsi="Arial" w:cs="Arial"/>
                <w:b/>
                <w:bCs/>
                <w:lang w:val="pt-BR" w:eastAsia="en-US"/>
              </w:rPr>
            </w:pPr>
            <w:r w:rsidRPr="006A311C">
              <w:rPr>
                <w:rFonts w:ascii="Arial" w:hAnsi="Arial" w:cs="Arial"/>
                <w:b/>
                <w:bCs/>
                <w:lang w:val="pt-BR" w:eastAsia="en-US"/>
              </w:rPr>
              <w:t>Análogos LHRH (leuprorelina, goserelina, triptorelina)</w:t>
            </w:r>
          </w:p>
        </w:tc>
        <w:tc>
          <w:tcPr>
            <w:tcW w:w="2561" w:type="dxa"/>
            <w:tcBorders>
              <w:left w:val="single" w:sz="4" w:space="0" w:color="000000"/>
              <w:bottom w:val="single" w:sz="4" w:space="0" w:color="000000"/>
              <w:right w:val="single" w:sz="4" w:space="0" w:color="000000"/>
            </w:tcBorders>
            <w:vAlign w:val="center"/>
          </w:tcPr>
          <w:p w:rsidR="0056194E" w:rsidRDefault="0056194E" w:rsidP="005A2C83">
            <w:pPr>
              <w:pStyle w:val="Encabezado"/>
              <w:tabs>
                <w:tab w:val="clear" w:pos="4252"/>
                <w:tab w:val="clear" w:pos="8504"/>
              </w:tabs>
              <w:jc w:val="both"/>
              <w:rPr>
                <w:rFonts w:ascii="Arial" w:hAnsi="Arial" w:cs="Arial"/>
                <w:b/>
                <w:bCs/>
                <w:lang w:eastAsia="en-US"/>
              </w:rPr>
            </w:pPr>
            <w:r>
              <w:rPr>
                <w:rFonts w:ascii="Arial" w:hAnsi="Arial" w:cs="Arial"/>
                <w:b/>
                <w:bCs/>
                <w:lang w:eastAsia="en-US"/>
              </w:rPr>
              <w:t>Antagonistas LHRH</w:t>
            </w:r>
          </w:p>
          <w:p w:rsidR="0056194E" w:rsidRPr="006A311C" w:rsidRDefault="0056194E" w:rsidP="005A2C83">
            <w:pPr>
              <w:pStyle w:val="Encabezado"/>
              <w:tabs>
                <w:tab w:val="clear" w:pos="4252"/>
                <w:tab w:val="clear" w:pos="8504"/>
              </w:tabs>
              <w:snapToGrid w:val="0"/>
              <w:jc w:val="both"/>
              <w:rPr>
                <w:rFonts w:ascii="Arial" w:hAnsi="Arial" w:cs="Arial"/>
                <w:b/>
                <w:bCs/>
                <w:lang w:val="pt-BR" w:eastAsia="en-US"/>
              </w:rPr>
            </w:pPr>
            <w:r>
              <w:rPr>
                <w:rFonts w:ascii="Arial" w:hAnsi="Arial" w:cs="Arial"/>
                <w:b/>
                <w:bCs/>
                <w:lang w:eastAsia="en-US"/>
              </w:rPr>
              <w:t>(degarelix)</w:t>
            </w:r>
          </w:p>
        </w:tc>
      </w:tr>
      <w:tr w:rsidR="0056194E">
        <w:tc>
          <w:tcPr>
            <w:tcW w:w="983"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sz w:val="16"/>
                <w:szCs w:val="16"/>
              </w:rPr>
              <w:t>Presentación</w:t>
            </w:r>
          </w:p>
        </w:tc>
        <w:tc>
          <w:tcPr>
            <w:tcW w:w="1994" w:type="dxa"/>
            <w:tcBorders>
              <w:top w:val="single" w:sz="4" w:space="0" w:color="000000"/>
              <w:left w:val="single" w:sz="4" w:space="0" w:color="000000"/>
              <w:bottom w:val="single" w:sz="4" w:space="0" w:color="000000"/>
            </w:tcBorders>
            <w:vAlign w:val="center"/>
          </w:tcPr>
          <w:p w:rsidR="0056194E" w:rsidRDefault="0056194E">
            <w:pPr>
              <w:snapToGrid w:val="0"/>
              <w:jc w:val="both"/>
              <w:rPr>
                <w:rFonts w:ascii="Arial" w:hAnsi="Arial" w:cs="Arial"/>
                <w:sz w:val="16"/>
                <w:szCs w:val="16"/>
              </w:rPr>
            </w:pPr>
            <w:r>
              <w:rPr>
                <w:rFonts w:ascii="Arial" w:hAnsi="Arial" w:cs="Arial"/>
                <w:sz w:val="16"/>
                <w:szCs w:val="16"/>
              </w:rPr>
              <w:t>Comprimidos 250 mg</w:t>
            </w:r>
          </w:p>
          <w:p w:rsidR="0056194E" w:rsidRDefault="0056194E">
            <w:pPr>
              <w:snapToGrid w:val="0"/>
              <w:jc w:val="both"/>
            </w:pPr>
            <w:r>
              <w:rPr>
                <w:rFonts w:ascii="Arial" w:hAnsi="Arial" w:cs="Arial"/>
                <w:sz w:val="16"/>
                <w:szCs w:val="16"/>
              </w:rPr>
              <w:t>Comprimidos 500 mg</w:t>
            </w:r>
          </w:p>
        </w:tc>
        <w:tc>
          <w:tcPr>
            <w:tcW w:w="1691"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hAnsi="Arial" w:cs="Arial"/>
                <w:sz w:val="16"/>
                <w:szCs w:val="16"/>
              </w:rPr>
              <w:t>Docetaxel concentrado para solución para perfusión.</w:t>
            </w:r>
          </w:p>
        </w:tc>
        <w:tc>
          <w:tcPr>
            <w:tcW w:w="1985"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hAnsi="Arial" w:cs="Arial"/>
                <w:sz w:val="16"/>
                <w:szCs w:val="16"/>
              </w:rPr>
              <w:t>Jeringa precargada para solución inyectable o implante en jeringa precargada.</w:t>
            </w:r>
          </w:p>
        </w:tc>
        <w:tc>
          <w:tcPr>
            <w:tcW w:w="256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jc w:val="both"/>
            </w:pPr>
            <w:r>
              <w:rPr>
                <w:rFonts w:ascii="Arial" w:hAnsi="Arial" w:cs="Arial"/>
                <w:sz w:val="16"/>
                <w:szCs w:val="16"/>
              </w:rPr>
              <w:t>Polvo y disolvente para solución inyectable.</w:t>
            </w:r>
          </w:p>
        </w:tc>
      </w:tr>
      <w:tr w:rsidR="0056194E">
        <w:tc>
          <w:tcPr>
            <w:tcW w:w="983"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sz w:val="16"/>
                <w:szCs w:val="16"/>
              </w:rPr>
              <w:t>Posología</w:t>
            </w:r>
          </w:p>
        </w:tc>
        <w:tc>
          <w:tcPr>
            <w:tcW w:w="1994"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sz w:val="16"/>
                <w:szCs w:val="16"/>
              </w:rPr>
              <w:t>1gr / 24h</w:t>
            </w:r>
          </w:p>
        </w:tc>
        <w:tc>
          <w:tcPr>
            <w:tcW w:w="1691"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hAnsi="Arial" w:cs="Arial"/>
                <w:sz w:val="16"/>
                <w:szCs w:val="16"/>
              </w:rPr>
              <w:t>Docetaxel 75 mg/m</w:t>
            </w:r>
            <w:r>
              <w:rPr>
                <w:rFonts w:ascii="Arial" w:hAnsi="Arial" w:cs="Arial"/>
                <w:sz w:val="16"/>
                <w:szCs w:val="16"/>
                <w:vertAlign w:val="superscript"/>
              </w:rPr>
              <w:t>2</w:t>
            </w:r>
            <w:r>
              <w:rPr>
                <w:rFonts w:ascii="Arial" w:hAnsi="Arial" w:cs="Arial"/>
                <w:sz w:val="16"/>
                <w:szCs w:val="16"/>
              </w:rPr>
              <w:t>cada 21 días.</w:t>
            </w:r>
          </w:p>
        </w:tc>
        <w:tc>
          <w:tcPr>
            <w:tcW w:w="1985" w:type="dxa"/>
            <w:tcBorders>
              <w:top w:val="single" w:sz="4" w:space="0" w:color="000000"/>
              <w:left w:val="single" w:sz="4" w:space="0" w:color="000000"/>
              <w:bottom w:val="single" w:sz="4" w:space="0" w:color="000000"/>
            </w:tcBorders>
            <w:vAlign w:val="center"/>
          </w:tcPr>
          <w:p w:rsidR="0056194E" w:rsidRDefault="0056194E">
            <w:pPr>
              <w:spacing w:before="40"/>
              <w:jc w:val="both"/>
              <w:rPr>
                <w:rFonts w:ascii="Arial" w:hAnsi="Arial" w:cs="Arial"/>
                <w:sz w:val="16"/>
                <w:szCs w:val="16"/>
              </w:rPr>
            </w:pPr>
            <w:r>
              <w:rPr>
                <w:rFonts w:ascii="Arial" w:hAnsi="Arial" w:cs="Arial"/>
                <w:sz w:val="16"/>
                <w:szCs w:val="16"/>
              </w:rPr>
              <w:t xml:space="preserve">Leuprorelina 7,5 mg, </w:t>
            </w:r>
          </w:p>
          <w:p w:rsidR="0056194E" w:rsidRDefault="0056194E">
            <w:pPr>
              <w:spacing w:before="40"/>
              <w:jc w:val="both"/>
              <w:rPr>
                <w:rFonts w:ascii="Arial" w:hAnsi="Arial" w:cs="Arial"/>
                <w:sz w:val="16"/>
                <w:szCs w:val="16"/>
              </w:rPr>
            </w:pPr>
            <w:r>
              <w:rPr>
                <w:rFonts w:ascii="Arial" w:hAnsi="Arial" w:cs="Arial"/>
                <w:sz w:val="16"/>
                <w:szCs w:val="16"/>
              </w:rPr>
              <w:t xml:space="preserve">Goserelina 3,6 mg y </w:t>
            </w:r>
          </w:p>
          <w:p w:rsidR="0056194E" w:rsidRDefault="0056194E">
            <w:pPr>
              <w:spacing w:before="40"/>
              <w:jc w:val="both"/>
            </w:pPr>
            <w:r>
              <w:rPr>
                <w:rFonts w:ascii="Arial" w:hAnsi="Arial" w:cs="Arial"/>
                <w:sz w:val="16"/>
                <w:szCs w:val="16"/>
              </w:rPr>
              <w:t xml:space="preserve">Triptorelina 3,7 mg en presentaciones de administración mensual, trimestrales y semestrales. </w:t>
            </w:r>
          </w:p>
        </w:tc>
        <w:tc>
          <w:tcPr>
            <w:tcW w:w="256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jc w:val="both"/>
              <w:rPr>
                <w:rFonts w:ascii="Arial" w:hAnsi="Arial" w:cs="Arial"/>
                <w:sz w:val="16"/>
                <w:szCs w:val="16"/>
              </w:rPr>
            </w:pPr>
            <w:r>
              <w:rPr>
                <w:rFonts w:ascii="Arial" w:hAnsi="Arial" w:cs="Arial"/>
                <w:sz w:val="16"/>
                <w:szCs w:val="16"/>
              </w:rPr>
              <w:t xml:space="preserve">·Dosis de inicio: 240 mg en dos inyecciones subcutáneas consecutivas de 120 mg. </w:t>
            </w:r>
          </w:p>
          <w:p w:rsidR="0056194E" w:rsidRDefault="0056194E">
            <w:pPr>
              <w:spacing w:before="40"/>
              <w:jc w:val="both"/>
            </w:pPr>
            <w:r>
              <w:rPr>
                <w:rFonts w:ascii="Arial" w:hAnsi="Arial" w:cs="Arial"/>
                <w:sz w:val="16"/>
                <w:szCs w:val="16"/>
              </w:rPr>
              <w:t>·Dosis de mantenimiento: mensual 80 mg administrado en una inyección subcutánea.</w:t>
            </w:r>
          </w:p>
        </w:tc>
      </w:tr>
      <w:tr w:rsidR="0056194E">
        <w:tc>
          <w:tcPr>
            <w:tcW w:w="983"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sz w:val="16"/>
                <w:szCs w:val="16"/>
              </w:rPr>
              <w:t>Indicación aprobada en FT</w:t>
            </w:r>
          </w:p>
        </w:tc>
        <w:tc>
          <w:tcPr>
            <w:tcW w:w="1994" w:type="dxa"/>
            <w:tcBorders>
              <w:top w:val="single" w:sz="4" w:space="0" w:color="000000"/>
              <w:left w:val="single" w:sz="4" w:space="0" w:color="000000"/>
              <w:bottom w:val="single" w:sz="4" w:space="0" w:color="000000"/>
            </w:tcBorders>
            <w:vAlign w:val="center"/>
          </w:tcPr>
          <w:p w:rsidR="0056194E" w:rsidRDefault="0056194E">
            <w:pPr>
              <w:snapToGrid w:val="0"/>
              <w:jc w:val="both"/>
              <w:rPr>
                <w:rFonts w:ascii="Arial" w:hAnsi="Arial" w:cs="Arial"/>
                <w:sz w:val="16"/>
                <w:szCs w:val="16"/>
              </w:rPr>
            </w:pPr>
            <w:r>
              <w:rPr>
                <w:rFonts w:ascii="Arial" w:hAnsi="Arial" w:cs="Arial"/>
                <w:sz w:val="16"/>
                <w:szCs w:val="16"/>
              </w:rPr>
              <w:t>Abiraterona + prednisona está indicado en:</w:t>
            </w:r>
          </w:p>
          <w:p w:rsidR="0056194E" w:rsidRDefault="0056194E">
            <w:pPr>
              <w:snapToGrid w:val="0"/>
              <w:jc w:val="both"/>
              <w:rPr>
                <w:rFonts w:ascii="Arial" w:hAnsi="Arial" w:cs="Arial"/>
                <w:sz w:val="16"/>
                <w:szCs w:val="16"/>
              </w:rPr>
            </w:pPr>
            <w:r>
              <w:rPr>
                <w:rFonts w:ascii="Arial" w:hAnsi="Arial" w:cs="Arial"/>
                <w:sz w:val="16"/>
                <w:szCs w:val="16"/>
              </w:rPr>
              <w:t>-CPRCm asintomáticos o levemente sintomáticos tras fracaso a TDA en los cuales la quimioterapia no está aún clínicamente indicada.</w:t>
            </w:r>
          </w:p>
          <w:p w:rsidR="0056194E" w:rsidRDefault="0056194E">
            <w:pPr>
              <w:snapToGrid w:val="0"/>
              <w:jc w:val="both"/>
            </w:pPr>
            <w:r>
              <w:rPr>
                <w:rFonts w:ascii="Arial" w:hAnsi="Arial" w:cs="Arial"/>
                <w:sz w:val="16"/>
                <w:szCs w:val="16"/>
              </w:rPr>
              <w:t xml:space="preserve">-CPRCm en hombres adultos cuya enfermedad ha progresado durante o tras un régimen de quimioterapia basado en docetaxel. </w:t>
            </w:r>
          </w:p>
        </w:tc>
        <w:tc>
          <w:tcPr>
            <w:tcW w:w="1691"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hAnsi="Arial" w:cs="Arial"/>
                <w:sz w:val="16"/>
                <w:szCs w:val="16"/>
              </w:rPr>
              <w:t>Docetaxel + prednisona está indicado en CPRCm.</w:t>
            </w:r>
          </w:p>
        </w:tc>
        <w:tc>
          <w:tcPr>
            <w:tcW w:w="1985"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hAnsi="Arial" w:cs="Arial"/>
                <w:sz w:val="16"/>
                <w:szCs w:val="16"/>
              </w:rPr>
              <w:t>Tratamiento del cáncer de próstata hormono-dependiente y en el tratamiento del cáncer de próstata localizado de alto riesgo y localmente avanzado hormono-dependiente en combinación con radioterapia.</w:t>
            </w:r>
          </w:p>
          <w:p w:rsidR="0056194E" w:rsidRDefault="0056194E">
            <w:pPr>
              <w:spacing w:before="40"/>
              <w:jc w:val="both"/>
            </w:pPr>
          </w:p>
        </w:tc>
        <w:tc>
          <w:tcPr>
            <w:tcW w:w="256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jc w:val="both"/>
              <w:rPr>
                <w:rFonts w:ascii="Arial" w:hAnsi="Arial" w:cs="Arial"/>
                <w:sz w:val="16"/>
                <w:szCs w:val="16"/>
              </w:rPr>
            </w:pPr>
            <w:r>
              <w:rPr>
                <w:rFonts w:ascii="Arial" w:hAnsi="Arial" w:cs="Arial"/>
                <w:sz w:val="16"/>
                <w:szCs w:val="16"/>
              </w:rPr>
              <w:t>Tratamiento de pacientes varones adultos con cáncer de próstata avanzado hormono-dependiente.</w:t>
            </w:r>
          </w:p>
          <w:p w:rsidR="0056194E" w:rsidRDefault="0056194E">
            <w:pPr>
              <w:spacing w:before="40"/>
              <w:jc w:val="both"/>
              <w:rPr>
                <w:rFonts w:ascii="Arial" w:hAnsi="Arial" w:cs="Arial"/>
                <w:sz w:val="16"/>
                <w:szCs w:val="16"/>
              </w:rPr>
            </w:pPr>
          </w:p>
          <w:p w:rsidR="0056194E" w:rsidRDefault="0056194E">
            <w:pPr>
              <w:spacing w:before="40"/>
              <w:jc w:val="both"/>
              <w:rPr>
                <w:rFonts w:ascii="Arial" w:hAnsi="Arial" w:cs="Arial"/>
                <w:sz w:val="16"/>
                <w:szCs w:val="16"/>
              </w:rPr>
            </w:pPr>
          </w:p>
          <w:p w:rsidR="0056194E" w:rsidRDefault="0056194E">
            <w:pPr>
              <w:spacing w:before="40"/>
              <w:jc w:val="both"/>
              <w:rPr>
                <w:rFonts w:ascii="Arial" w:hAnsi="Arial" w:cs="Arial"/>
                <w:sz w:val="16"/>
                <w:szCs w:val="16"/>
              </w:rPr>
            </w:pPr>
          </w:p>
          <w:p w:rsidR="0056194E" w:rsidRDefault="0056194E">
            <w:pPr>
              <w:spacing w:before="40"/>
              <w:jc w:val="both"/>
              <w:rPr>
                <w:rFonts w:ascii="Arial" w:hAnsi="Arial" w:cs="Arial"/>
                <w:sz w:val="16"/>
                <w:szCs w:val="16"/>
              </w:rPr>
            </w:pPr>
          </w:p>
          <w:p w:rsidR="0056194E" w:rsidRDefault="0056194E">
            <w:pPr>
              <w:spacing w:before="40"/>
              <w:jc w:val="both"/>
              <w:rPr>
                <w:rFonts w:ascii="Arial" w:hAnsi="Arial" w:cs="Arial"/>
                <w:sz w:val="16"/>
                <w:szCs w:val="16"/>
              </w:rPr>
            </w:pPr>
          </w:p>
          <w:p w:rsidR="0056194E" w:rsidRDefault="0056194E">
            <w:pPr>
              <w:spacing w:before="40"/>
              <w:jc w:val="both"/>
            </w:pPr>
          </w:p>
        </w:tc>
      </w:tr>
      <w:tr w:rsidR="0056194E">
        <w:trPr>
          <w:trHeight w:val="1713"/>
        </w:trPr>
        <w:tc>
          <w:tcPr>
            <w:tcW w:w="983"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sz w:val="16"/>
                <w:szCs w:val="16"/>
              </w:rPr>
              <w:t>Efectos adversos</w:t>
            </w:r>
          </w:p>
        </w:tc>
        <w:tc>
          <w:tcPr>
            <w:tcW w:w="1994"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sz w:val="16"/>
                <w:szCs w:val="16"/>
              </w:rPr>
              <w:t>Con mayor frecuencia infección urinaria, hipopotasemia, hipertensión, diarrea y edema periférico.</w:t>
            </w:r>
          </w:p>
        </w:tc>
        <w:tc>
          <w:tcPr>
            <w:tcW w:w="1691"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eastAsia="MS Mincho" w:hAnsi="Arial" w:cs="Arial"/>
                <w:sz w:val="16"/>
                <w:szCs w:val="16"/>
                <w:lang w:eastAsia="ja-JP"/>
              </w:rPr>
              <w:t>Con mayor frecuencia neutropenia, anemia, alopecia, náuseas, vómitos, estomatitis, diarrea y astenia.</w:t>
            </w:r>
          </w:p>
        </w:tc>
        <w:tc>
          <w:tcPr>
            <w:tcW w:w="1985"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eastAsia="MS Mincho" w:hAnsi="Arial" w:cs="Arial"/>
                <w:sz w:val="16"/>
                <w:szCs w:val="16"/>
                <w:lang w:eastAsia="ja-JP"/>
              </w:rPr>
              <w:t>Con mayor frecuencia sofocos, malestar general, náuseas, cansancio, r</w:t>
            </w:r>
            <w:r>
              <w:rPr>
                <w:rFonts w:ascii="Arial" w:hAnsi="Arial" w:cs="Arial"/>
                <w:sz w:val="16"/>
                <w:szCs w:val="16"/>
              </w:rPr>
              <w:t>eacción en el lugar de la inyección, disminución de densidad mineral ósea, ginecomastia, disminución de la libido.</w:t>
            </w:r>
          </w:p>
          <w:p w:rsidR="0056194E" w:rsidRDefault="0056194E">
            <w:pPr>
              <w:spacing w:before="40"/>
              <w:jc w:val="both"/>
            </w:pPr>
          </w:p>
        </w:tc>
        <w:tc>
          <w:tcPr>
            <w:tcW w:w="256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jc w:val="both"/>
            </w:pPr>
            <w:r>
              <w:rPr>
                <w:rFonts w:ascii="Arial" w:eastAsia="MS Mincho" w:hAnsi="Arial" w:cs="Arial"/>
                <w:sz w:val="16"/>
                <w:szCs w:val="16"/>
                <w:lang w:eastAsia="ja-JP"/>
              </w:rPr>
              <w:t>Los efectos que con mayor frecuencia se observaron se debieron a los efectos fisiológicos derivados de la supresión de la testosterona como sofocos, fatiga, aumento de peso, ginecomastia, disfunción eréctil.</w:t>
            </w:r>
          </w:p>
        </w:tc>
      </w:tr>
      <w:tr w:rsidR="0056194E">
        <w:trPr>
          <w:trHeight w:val="80"/>
        </w:trPr>
        <w:tc>
          <w:tcPr>
            <w:tcW w:w="983"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sz w:val="16"/>
                <w:szCs w:val="16"/>
              </w:rPr>
              <w:t>Otras características diferenciales</w:t>
            </w:r>
          </w:p>
        </w:tc>
        <w:tc>
          <w:tcPr>
            <w:tcW w:w="1994" w:type="dxa"/>
            <w:tcBorders>
              <w:top w:val="single" w:sz="4" w:space="0" w:color="000000"/>
              <w:left w:val="single" w:sz="4" w:space="0" w:color="000000"/>
              <w:bottom w:val="single" w:sz="4" w:space="0" w:color="000000"/>
            </w:tcBorders>
            <w:vAlign w:val="center"/>
          </w:tcPr>
          <w:p w:rsidR="0056194E" w:rsidRDefault="0056194E">
            <w:pPr>
              <w:snapToGrid w:val="0"/>
              <w:jc w:val="both"/>
            </w:pPr>
            <w:r>
              <w:rPr>
                <w:rFonts w:ascii="Arial" w:hAnsi="Arial" w:cs="Arial"/>
                <w:sz w:val="16"/>
                <w:szCs w:val="16"/>
              </w:rPr>
              <w:t>Administración oral.</w:t>
            </w:r>
          </w:p>
        </w:tc>
        <w:tc>
          <w:tcPr>
            <w:tcW w:w="1691" w:type="dxa"/>
            <w:tcBorders>
              <w:top w:val="single" w:sz="4" w:space="0" w:color="000000"/>
              <w:left w:val="single" w:sz="4" w:space="0" w:color="000000"/>
              <w:bottom w:val="single" w:sz="4" w:space="0" w:color="000000"/>
            </w:tcBorders>
            <w:vAlign w:val="center"/>
          </w:tcPr>
          <w:p w:rsidR="0056194E" w:rsidRDefault="0056194E">
            <w:pPr>
              <w:spacing w:before="40"/>
              <w:jc w:val="both"/>
              <w:rPr>
                <w:rFonts w:ascii="Arial" w:hAnsi="Arial" w:cs="Arial"/>
                <w:sz w:val="16"/>
                <w:szCs w:val="16"/>
              </w:rPr>
            </w:pPr>
            <w:r>
              <w:rPr>
                <w:rFonts w:ascii="Arial" w:hAnsi="Arial" w:cs="Arial"/>
                <w:sz w:val="16"/>
                <w:szCs w:val="16"/>
              </w:rPr>
              <w:t>Administración Intravenosa en hospital de día. Requiere pre medicación.</w:t>
            </w:r>
          </w:p>
          <w:p w:rsidR="0056194E" w:rsidRDefault="0056194E">
            <w:pPr>
              <w:spacing w:before="40"/>
              <w:jc w:val="both"/>
            </w:pPr>
            <w:r>
              <w:rPr>
                <w:rFonts w:ascii="Arial" w:hAnsi="Arial" w:cs="Arial"/>
                <w:sz w:val="16"/>
                <w:szCs w:val="16"/>
              </w:rPr>
              <w:t>Control estrecho del paciente durante el seguimiento del tratamiento.</w:t>
            </w:r>
          </w:p>
        </w:tc>
        <w:tc>
          <w:tcPr>
            <w:tcW w:w="1985" w:type="dxa"/>
            <w:tcBorders>
              <w:top w:val="single" w:sz="4" w:space="0" w:color="000000"/>
              <w:left w:val="single" w:sz="4" w:space="0" w:color="000000"/>
              <w:bottom w:val="single" w:sz="4" w:space="0" w:color="000000"/>
            </w:tcBorders>
            <w:vAlign w:val="center"/>
          </w:tcPr>
          <w:p w:rsidR="0056194E" w:rsidRDefault="0056194E">
            <w:pPr>
              <w:spacing w:before="40"/>
              <w:jc w:val="both"/>
            </w:pPr>
            <w:r>
              <w:rPr>
                <w:rFonts w:ascii="Arial" w:hAnsi="Arial" w:cs="Arial"/>
                <w:sz w:val="16"/>
                <w:szCs w:val="16"/>
              </w:rPr>
              <w:t>Administración subcutánea o intramuscular.</w:t>
            </w:r>
          </w:p>
        </w:tc>
        <w:tc>
          <w:tcPr>
            <w:tcW w:w="2561" w:type="dxa"/>
            <w:tcBorders>
              <w:top w:val="single" w:sz="4" w:space="0" w:color="000000"/>
              <w:left w:val="single" w:sz="4" w:space="0" w:color="000000"/>
              <w:bottom w:val="single" w:sz="4" w:space="0" w:color="000000"/>
              <w:right w:val="single" w:sz="4" w:space="0" w:color="000000"/>
            </w:tcBorders>
            <w:vAlign w:val="center"/>
          </w:tcPr>
          <w:p w:rsidR="0056194E" w:rsidRDefault="0056194E">
            <w:pPr>
              <w:spacing w:before="40"/>
              <w:jc w:val="both"/>
            </w:pPr>
            <w:r>
              <w:rPr>
                <w:rFonts w:ascii="Arial" w:hAnsi="Arial" w:cs="Arial"/>
                <w:sz w:val="16"/>
                <w:szCs w:val="16"/>
              </w:rPr>
              <w:t>Administración subcutánea.</w:t>
            </w:r>
          </w:p>
          <w:p w:rsidR="0056194E" w:rsidRDefault="0056194E">
            <w:pPr>
              <w:spacing w:before="40"/>
              <w:jc w:val="both"/>
            </w:pPr>
          </w:p>
        </w:tc>
      </w:tr>
    </w:tbl>
    <w:p w:rsidR="0056194E" w:rsidRDefault="0056194E">
      <w:pPr>
        <w:jc w:val="both"/>
        <w:rPr>
          <w:rFonts w:ascii="Arial" w:hAnsi="Arial" w:cs="Arial"/>
          <w:color w:val="0000FF"/>
          <w:sz w:val="20"/>
          <w:szCs w:val="20"/>
          <w:u w:val="single"/>
        </w:rPr>
      </w:pPr>
    </w:p>
    <w:p w:rsidR="0056194E" w:rsidRDefault="0056194E">
      <w:pPr>
        <w:jc w:val="both"/>
        <w:rPr>
          <w:rFonts w:ascii="Arial" w:hAnsi="Arial" w:cs="Arial"/>
          <w:color w:val="0000FF"/>
          <w:sz w:val="20"/>
          <w:szCs w:val="20"/>
          <w:u w:val="single"/>
        </w:rPr>
      </w:pPr>
    </w:p>
    <w:tbl>
      <w:tblPr>
        <w:tblW w:w="0" w:type="auto"/>
        <w:tblInd w:w="-125" w:type="dxa"/>
        <w:tblLayout w:type="fixed"/>
        <w:tblCellMar>
          <w:left w:w="70" w:type="dxa"/>
          <w:right w:w="70" w:type="dxa"/>
        </w:tblCellMar>
        <w:tblLook w:val="0000"/>
      </w:tblPr>
      <w:tblGrid>
        <w:gridCol w:w="9140"/>
      </w:tblGrid>
      <w:tr w:rsidR="0056194E">
        <w:trPr>
          <w:trHeight w:val="90"/>
        </w:trPr>
        <w:tc>
          <w:tcPr>
            <w:tcW w:w="9140"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11" w:name="_Toc536608327"/>
            <w:r>
              <w:t>4.- AREA DE ACCIÓN FARMACOLÓGICA.</w:t>
            </w:r>
            <w:r>
              <w:rPr>
                <w:vertAlign w:val="superscript"/>
              </w:rPr>
              <w:t xml:space="preserve"> </w:t>
            </w:r>
            <w:bookmarkEnd w:id="11"/>
          </w:p>
        </w:tc>
      </w:tr>
    </w:tbl>
    <w:p w:rsidR="0056194E" w:rsidRDefault="0056194E">
      <w:pPr>
        <w:jc w:val="both"/>
        <w:rPr>
          <w:rFonts w:ascii="Arial" w:hAnsi="Arial" w:cs="Arial"/>
          <w:b/>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12" w:name="_Toc536608328"/>
      <w:r>
        <w:rPr>
          <w:sz w:val="20"/>
        </w:rPr>
        <w:t>4.1 Mecanismo de acción.</w:t>
      </w:r>
      <w:bookmarkEnd w:id="12"/>
    </w:p>
    <w:p w:rsidR="0056194E" w:rsidRDefault="0056194E">
      <w:pPr>
        <w:jc w:val="both"/>
        <w:rPr>
          <w:rFonts w:ascii="Arial" w:hAnsi="Arial" w:cs="Arial"/>
          <w:sz w:val="20"/>
          <w:szCs w:val="20"/>
        </w:rPr>
      </w:pPr>
    </w:p>
    <w:p w:rsidR="0056194E" w:rsidRDefault="0056194E">
      <w:pPr>
        <w:jc w:val="both"/>
        <w:rPr>
          <w:rFonts w:ascii="Arial" w:hAnsi="Arial" w:cs="Arial"/>
          <w:b/>
          <w:bCs/>
          <w:sz w:val="20"/>
          <w:szCs w:val="20"/>
        </w:rPr>
      </w:pPr>
      <w:r>
        <w:rPr>
          <w:rFonts w:ascii="Arial" w:hAnsi="Arial" w:cs="Arial"/>
          <w:sz w:val="20"/>
          <w:szCs w:val="20"/>
        </w:rPr>
        <w:t xml:space="preserve">Abiraterona es un inhibidor de la biosíntesis de los andrógenos. En concreto, es un inhibidor selectivo de la enzima 17α- hidroxilasa/C17,20-liasa (CYP17). La expresión de esta enzima es necesaria para la biosíntesis de andrógenos en los tejidos testiculares, suprarrenales y tejidos prostáticos tumorales. El CYP17 cataliza la conversión de pregnenolona y progesterona a los precursores de la testosterona, DHEA y androstenediona, respectivamente, por 17α-hidroxilación y rotura del enlace C17,20. La inhibición del CYP17 produce también un aumento de la producción de mineralocorticoides por las glándulas suprarrenales. </w:t>
      </w:r>
    </w:p>
    <w:p w:rsidR="0056194E" w:rsidRDefault="0056194E">
      <w:pPr>
        <w:jc w:val="both"/>
        <w:rPr>
          <w:rFonts w:ascii="Arial" w:hAnsi="Arial" w:cs="Arial"/>
          <w:b/>
          <w:bCs/>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13" w:name="_Toc536608329"/>
      <w:r>
        <w:rPr>
          <w:sz w:val="20"/>
        </w:rPr>
        <w:t>4.2 Indicaciones clínicas formalmente aprobadas y fecha de aprobación.</w:t>
      </w:r>
      <w:bookmarkEnd w:id="13"/>
    </w:p>
    <w:p w:rsidR="0056194E" w:rsidRDefault="0056194E">
      <w:pPr>
        <w:jc w:val="both"/>
        <w:rPr>
          <w:rFonts w:ascii="Arial" w:hAnsi="Arial" w:cs="Arial"/>
          <w:b/>
          <w:bCs/>
          <w:sz w:val="20"/>
          <w:szCs w:val="20"/>
        </w:rPr>
      </w:pPr>
    </w:p>
    <w:p w:rsidR="0056194E" w:rsidRDefault="0056194E">
      <w:pPr>
        <w:pStyle w:val="Textoindependiente"/>
        <w:jc w:val="both"/>
        <w:rPr>
          <w:rFonts w:ascii="Arial" w:hAnsi="Arial" w:cs="Arial"/>
          <w:sz w:val="20"/>
        </w:rPr>
      </w:pPr>
      <w:r>
        <w:rPr>
          <w:rFonts w:ascii="Arial" w:hAnsi="Arial" w:cs="Arial"/>
          <w:b/>
          <w:sz w:val="20"/>
        </w:rPr>
        <w:t xml:space="preserve">AEMyPSy EMA: </w:t>
      </w:r>
    </w:p>
    <w:p w:rsidR="0056194E" w:rsidRDefault="0056194E">
      <w:pPr>
        <w:pStyle w:val="Textoindependiente"/>
        <w:jc w:val="both"/>
        <w:rPr>
          <w:rFonts w:ascii="Arial" w:hAnsi="Arial" w:cs="Arial"/>
          <w:sz w:val="20"/>
        </w:rPr>
      </w:pPr>
    </w:p>
    <w:p w:rsidR="0056194E" w:rsidRDefault="0056194E">
      <w:pPr>
        <w:pStyle w:val="Textoindependiente"/>
        <w:numPr>
          <w:ilvl w:val="0"/>
          <w:numId w:val="5"/>
        </w:numPr>
        <w:tabs>
          <w:tab w:val="left" w:pos="0"/>
        </w:tabs>
        <w:jc w:val="both"/>
        <w:rPr>
          <w:rFonts w:ascii="Arial" w:hAnsi="Arial" w:cs="Arial"/>
          <w:sz w:val="20"/>
        </w:rPr>
      </w:pPr>
      <w:r>
        <w:rPr>
          <w:rFonts w:ascii="Arial" w:hAnsi="Arial" w:cs="Arial"/>
          <w:sz w:val="20"/>
        </w:rPr>
        <w:t xml:space="preserve">Indicado con prednisona o prednisolona para el tratamiento de CPRC metastásico en hombres adultos cuya enfermedad ha progresado durante o tras un régimen de quimioterapia basado en docetaxel. (Autorización </w:t>
      </w:r>
      <w:r w:rsidR="00362377">
        <w:rPr>
          <w:rFonts w:ascii="Arial" w:hAnsi="Arial" w:cs="Arial"/>
          <w:sz w:val="20"/>
        </w:rPr>
        <w:t xml:space="preserve">de indicación </w:t>
      </w:r>
      <w:r>
        <w:rPr>
          <w:rFonts w:ascii="Arial" w:hAnsi="Arial" w:cs="Arial"/>
          <w:sz w:val="20"/>
        </w:rPr>
        <w:t>9/2011).</w:t>
      </w:r>
    </w:p>
    <w:p w:rsidR="0056194E" w:rsidRDefault="0056194E">
      <w:pPr>
        <w:pStyle w:val="Textoindependiente"/>
        <w:numPr>
          <w:ilvl w:val="0"/>
          <w:numId w:val="5"/>
        </w:numPr>
        <w:tabs>
          <w:tab w:val="left" w:pos="0"/>
        </w:tabs>
        <w:jc w:val="both"/>
        <w:rPr>
          <w:rFonts w:ascii="Arial" w:hAnsi="Arial" w:cs="Arial"/>
          <w:sz w:val="20"/>
        </w:rPr>
      </w:pPr>
      <w:r w:rsidRPr="009822E4">
        <w:rPr>
          <w:rFonts w:ascii="Arial" w:hAnsi="Arial" w:cs="Arial"/>
          <w:sz w:val="20"/>
        </w:rPr>
        <w:t>Indicado con prednisona o prednisolona para el tratamiento de cáncer de próstata metastásico resistente a la castración en hombres adultos que sean asintomáticos o levemente sintomáticos tras el fracaso de tratamiento de deprivación de andrógenos en los cuales la quimioterapia no está aún clínicamente indicada.</w:t>
      </w:r>
      <w:r>
        <w:rPr>
          <w:rFonts w:ascii="Arial" w:hAnsi="Arial" w:cs="Arial"/>
          <w:sz w:val="20"/>
        </w:rPr>
        <w:t xml:space="preserve"> (Autorización </w:t>
      </w:r>
      <w:r w:rsidR="00362377">
        <w:rPr>
          <w:rFonts w:ascii="Arial" w:hAnsi="Arial" w:cs="Arial"/>
          <w:sz w:val="20"/>
        </w:rPr>
        <w:t xml:space="preserve">de indicación </w:t>
      </w:r>
      <w:r>
        <w:rPr>
          <w:rFonts w:ascii="Arial" w:hAnsi="Arial" w:cs="Arial"/>
          <w:sz w:val="20"/>
        </w:rPr>
        <w:t>12/2012).</w:t>
      </w:r>
    </w:p>
    <w:p w:rsidR="0056194E" w:rsidRPr="008049FE" w:rsidRDefault="0056194E">
      <w:pPr>
        <w:pStyle w:val="Textoindependiente"/>
        <w:numPr>
          <w:ilvl w:val="0"/>
          <w:numId w:val="5"/>
        </w:numPr>
        <w:tabs>
          <w:tab w:val="left" w:pos="0"/>
        </w:tabs>
        <w:jc w:val="both"/>
        <w:rPr>
          <w:rFonts w:ascii="Arial" w:hAnsi="Arial" w:cs="Arial"/>
          <w:sz w:val="20"/>
        </w:rPr>
      </w:pPr>
      <w:r w:rsidRPr="008049FE">
        <w:rPr>
          <w:rFonts w:ascii="Arial" w:hAnsi="Arial" w:cs="Arial"/>
          <w:sz w:val="20"/>
        </w:rPr>
        <w:t>Indicado en CPHS metastático con diagnóstico de novo en pacientes de alto riesgo</w:t>
      </w:r>
      <w:r>
        <w:rPr>
          <w:rFonts w:ascii="Arial" w:hAnsi="Arial" w:cs="Arial"/>
          <w:sz w:val="20"/>
        </w:rPr>
        <w:t xml:space="preserve"> en combinación con TDA</w:t>
      </w:r>
      <w:r w:rsidRPr="008049FE">
        <w:rPr>
          <w:rFonts w:ascii="Arial" w:hAnsi="Arial" w:cs="Arial"/>
          <w:sz w:val="20"/>
        </w:rPr>
        <w:t>. (Alto riesgo cumplir 2 de los siguientes criterios: Gleason 8-10, al menos 3 metástasis óseas, al menos 1 metástasis visceral). (</w:t>
      </w:r>
      <w:r>
        <w:rPr>
          <w:rFonts w:ascii="Arial" w:hAnsi="Arial" w:cs="Arial"/>
          <w:sz w:val="20"/>
        </w:rPr>
        <w:t>I</w:t>
      </w:r>
      <w:r w:rsidRPr="008049FE">
        <w:rPr>
          <w:rFonts w:ascii="Arial" w:hAnsi="Arial" w:cs="Arial"/>
          <w:sz w:val="20"/>
        </w:rPr>
        <w:t xml:space="preserve">ndicación </w:t>
      </w:r>
      <w:r>
        <w:rPr>
          <w:rFonts w:ascii="Arial" w:hAnsi="Arial" w:cs="Arial"/>
          <w:sz w:val="20"/>
        </w:rPr>
        <w:t>objeto de esta evaluación. (Autoriz</w:t>
      </w:r>
      <w:r w:rsidR="00362377">
        <w:rPr>
          <w:rFonts w:ascii="Arial" w:hAnsi="Arial" w:cs="Arial"/>
          <w:sz w:val="20"/>
        </w:rPr>
        <w:t>ación de indicación</w:t>
      </w:r>
      <w:r>
        <w:rPr>
          <w:rFonts w:ascii="Arial" w:hAnsi="Arial" w:cs="Arial"/>
          <w:sz w:val="20"/>
        </w:rPr>
        <w:t xml:space="preserve"> </w:t>
      </w:r>
      <w:r w:rsidR="00224EA7">
        <w:rPr>
          <w:rFonts w:ascii="Arial" w:hAnsi="Arial" w:cs="Arial"/>
          <w:sz w:val="20"/>
        </w:rPr>
        <w:t>1</w:t>
      </w:r>
      <w:r w:rsidR="00942897">
        <w:rPr>
          <w:rFonts w:ascii="Arial" w:hAnsi="Arial" w:cs="Arial"/>
          <w:sz w:val="20"/>
        </w:rPr>
        <w:t>5</w:t>
      </w:r>
      <w:r w:rsidR="00C45A23">
        <w:rPr>
          <w:rFonts w:ascii="Arial" w:hAnsi="Arial" w:cs="Arial"/>
          <w:sz w:val="20"/>
        </w:rPr>
        <w:t>/11</w:t>
      </w:r>
      <w:r>
        <w:rPr>
          <w:rFonts w:ascii="Arial" w:hAnsi="Arial" w:cs="Arial"/>
          <w:sz w:val="20"/>
        </w:rPr>
        <w:t>/2018).</w:t>
      </w:r>
    </w:p>
    <w:p w:rsidR="0056194E" w:rsidRDefault="0056194E">
      <w:pPr>
        <w:pStyle w:val="Textoindependiente"/>
        <w:ind w:left="707"/>
        <w:jc w:val="both"/>
        <w:rPr>
          <w:rFonts w:ascii="Arial" w:hAnsi="Arial" w:cs="Arial"/>
          <w:sz w:val="20"/>
        </w:rPr>
      </w:pPr>
    </w:p>
    <w:p w:rsidR="0056194E" w:rsidRDefault="0056194E">
      <w:pPr>
        <w:pStyle w:val="Textoindependiente"/>
        <w:spacing w:after="283"/>
        <w:jc w:val="both"/>
        <w:rPr>
          <w:sz w:val="20"/>
        </w:rPr>
      </w:pPr>
      <w:r>
        <w:rPr>
          <w:rFonts w:ascii="Arial" w:hAnsi="Arial" w:cs="Arial"/>
          <w:b/>
          <w:sz w:val="20"/>
        </w:rPr>
        <w:t>FDA</w:t>
      </w:r>
      <w:r>
        <w:rPr>
          <w:rFonts w:ascii="Arial" w:hAnsi="Arial" w:cs="Arial"/>
          <w:b/>
          <w:sz w:val="20"/>
          <w:vertAlign w:val="superscript"/>
        </w:rPr>
        <w:t>15</w:t>
      </w:r>
      <w:r>
        <w:rPr>
          <w:rFonts w:ascii="Arial" w:hAnsi="Arial" w:cs="Arial"/>
          <w:b/>
          <w:sz w:val="20"/>
        </w:rPr>
        <w:t>(12/2011):</w:t>
      </w:r>
      <w:r>
        <w:rPr>
          <w:rFonts w:ascii="Arial" w:hAnsi="Arial" w:cs="Arial"/>
          <w:sz w:val="20"/>
        </w:rPr>
        <w:t>en combinación con prednisona para el tratamiento de pacientes con CPRC.</w:t>
      </w: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14" w:name="_Toc536608330"/>
      <w:r>
        <w:rPr>
          <w:sz w:val="20"/>
        </w:rPr>
        <w:t>4.3 Posología, forma de preparación y administración</w:t>
      </w:r>
      <w:bookmarkEnd w:id="14"/>
    </w:p>
    <w:p w:rsidR="0056194E" w:rsidRDefault="0056194E">
      <w:pPr>
        <w:jc w:val="both"/>
        <w:rPr>
          <w:rFonts w:ascii="Arial" w:hAnsi="Arial" w:cs="Arial"/>
          <w:b/>
          <w:bCs/>
          <w:sz w:val="20"/>
          <w:szCs w:val="20"/>
        </w:rPr>
      </w:pPr>
    </w:p>
    <w:p w:rsidR="0056194E" w:rsidRDefault="0056194E">
      <w:pPr>
        <w:jc w:val="both"/>
        <w:rPr>
          <w:rFonts w:ascii="Arial" w:hAnsi="Arial" w:cs="Arial"/>
          <w:sz w:val="20"/>
          <w:szCs w:val="20"/>
        </w:rPr>
      </w:pPr>
      <w:r>
        <w:rPr>
          <w:rFonts w:ascii="Arial" w:hAnsi="Arial" w:cs="Arial"/>
          <w:sz w:val="20"/>
          <w:szCs w:val="20"/>
        </w:rPr>
        <w:t xml:space="preserve">La dosis recomendada es de 1.000 mg en una sola dosis diaria que no se debe tomar con alimentos. Se debe tomar en combinación con prednisona o prednisolona a dosis bajas. La dosis recomendada de prednisona o prednisolona es de 5 mg al día en el CPHSm. Los comprimidos se deben tomar por lo menos dos horas después de las comidas y no ingerir ningún alimento hasta por lo menos una hora después y deben tragarse enteros con agua. </w:t>
      </w:r>
    </w:p>
    <w:p w:rsidR="0056194E" w:rsidRDefault="0056194E">
      <w:pPr>
        <w:jc w:val="both"/>
        <w:rPr>
          <w:rFonts w:ascii="Arial" w:hAnsi="Arial" w:cs="Arial"/>
          <w:sz w:val="20"/>
          <w:szCs w:val="20"/>
        </w:rPr>
      </w:pPr>
    </w:p>
    <w:p w:rsidR="0056194E" w:rsidRDefault="0056194E">
      <w:pPr>
        <w:pStyle w:val="Default"/>
        <w:jc w:val="both"/>
        <w:rPr>
          <w:rFonts w:ascii="Arial" w:hAnsi="Arial" w:cs="Arial"/>
          <w:sz w:val="20"/>
          <w:szCs w:val="20"/>
        </w:rPr>
      </w:pPr>
      <w:r>
        <w:rPr>
          <w:rFonts w:ascii="Arial" w:hAnsi="Arial" w:cs="Arial"/>
          <w:color w:val="auto"/>
          <w:sz w:val="20"/>
          <w:szCs w:val="20"/>
          <w:lang w:eastAsia="zh-CN"/>
        </w:rPr>
        <w:t xml:space="preserve">Por otro lado, los análogos de la LHRH leuprorelina y goserelina </w:t>
      </w:r>
      <w:r>
        <w:rPr>
          <w:rFonts w:ascii="Arial" w:hAnsi="Arial" w:cs="Arial"/>
          <w:sz w:val="20"/>
          <w:szCs w:val="20"/>
          <w:lang w:eastAsia="zh-CN"/>
        </w:rPr>
        <w:t>se administra</w:t>
      </w:r>
      <w:r>
        <w:rPr>
          <w:rFonts w:ascii="Arial" w:hAnsi="Arial" w:cs="Arial"/>
          <w:color w:val="auto"/>
          <w:sz w:val="20"/>
          <w:szCs w:val="20"/>
          <w:lang w:eastAsia="zh-CN"/>
        </w:rPr>
        <w:t xml:space="preserve">n </w:t>
      </w:r>
      <w:r>
        <w:rPr>
          <w:rFonts w:ascii="Arial" w:hAnsi="Arial" w:cs="Arial"/>
          <w:sz w:val="20"/>
          <w:szCs w:val="20"/>
          <w:lang w:eastAsia="zh-CN"/>
        </w:rPr>
        <w:t>vía subcutánea y triptorelina se administra vía intramuscular. Existen presentaciones mensuales, trimestrales</w:t>
      </w:r>
      <w:r>
        <w:rPr>
          <w:rFonts w:ascii="Arial" w:hAnsi="Arial" w:cs="Arial"/>
          <w:color w:val="auto"/>
          <w:sz w:val="20"/>
          <w:szCs w:val="20"/>
          <w:lang w:eastAsia="zh-CN"/>
        </w:rPr>
        <w:t xml:space="preserve"> y semestrales, las cuales forman un depósito sólido de administración del medicamento que permite la liberación continua.</w:t>
      </w:r>
    </w:p>
    <w:p w:rsidR="0056194E" w:rsidRDefault="0056194E">
      <w:pPr>
        <w:jc w:val="both"/>
        <w:rPr>
          <w:rFonts w:ascii="Arial" w:hAnsi="Arial" w:cs="Arial"/>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15" w:name="_Toc536608331"/>
      <w:r>
        <w:rPr>
          <w:sz w:val="20"/>
        </w:rPr>
        <w:t>4.4 Utilización en poblaciones especiales</w:t>
      </w:r>
      <w:bookmarkEnd w:id="15"/>
    </w:p>
    <w:p w:rsidR="0056194E" w:rsidRDefault="0056194E">
      <w:pPr>
        <w:jc w:val="both"/>
        <w:rPr>
          <w:rFonts w:ascii="Arial" w:hAnsi="Arial" w:cs="Arial"/>
          <w:b/>
          <w:bCs/>
          <w:sz w:val="20"/>
          <w:szCs w:val="20"/>
        </w:rPr>
      </w:pPr>
    </w:p>
    <w:p w:rsidR="0056194E" w:rsidRDefault="0056194E">
      <w:pPr>
        <w:autoSpaceDE w:val="0"/>
        <w:jc w:val="both"/>
        <w:rPr>
          <w:rFonts w:ascii="Arial" w:hAnsi="Arial" w:cs="Arial"/>
          <w:color w:val="000000"/>
          <w:sz w:val="20"/>
          <w:szCs w:val="20"/>
        </w:rPr>
      </w:pPr>
      <w:r>
        <w:rPr>
          <w:rFonts w:ascii="Arial" w:hAnsi="Arial" w:cs="Arial"/>
          <w:b/>
          <w:i/>
          <w:iCs/>
          <w:color w:val="000000"/>
          <w:sz w:val="20"/>
          <w:szCs w:val="20"/>
        </w:rPr>
        <w:t>Insuficiencia hepática</w:t>
      </w:r>
    </w:p>
    <w:p w:rsidR="0056194E" w:rsidRDefault="0056194E">
      <w:pPr>
        <w:autoSpaceDE w:val="0"/>
        <w:jc w:val="both"/>
        <w:rPr>
          <w:rFonts w:ascii="Arial" w:hAnsi="Arial" w:cs="Arial"/>
          <w:color w:val="000000"/>
          <w:sz w:val="20"/>
          <w:szCs w:val="20"/>
        </w:rPr>
      </w:pPr>
      <w:r>
        <w:rPr>
          <w:rFonts w:ascii="Arial" w:hAnsi="Arial" w:cs="Arial"/>
          <w:color w:val="000000"/>
          <w:sz w:val="20"/>
          <w:szCs w:val="20"/>
        </w:rPr>
        <w:t>No es necesario ajustar la dosis en los pacientes con insuficiencia hepática leve preexistente, Clase A de Child-Pugh.</w:t>
      </w:r>
    </w:p>
    <w:p w:rsidR="0056194E" w:rsidRDefault="0056194E">
      <w:pPr>
        <w:autoSpaceDE w:val="0"/>
        <w:jc w:val="both"/>
        <w:rPr>
          <w:rFonts w:ascii="Arial" w:hAnsi="Arial" w:cs="Arial"/>
          <w:color w:val="000000"/>
          <w:sz w:val="20"/>
          <w:szCs w:val="20"/>
        </w:rPr>
      </w:pPr>
    </w:p>
    <w:p w:rsidR="0056194E" w:rsidRDefault="0056194E">
      <w:pPr>
        <w:autoSpaceDE w:val="0"/>
        <w:jc w:val="both"/>
        <w:rPr>
          <w:rFonts w:ascii="Arial" w:hAnsi="Arial" w:cs="Arial"/>
          <w:i/>
          <w:iCs/>
          <w:color w:val="000000"/>
          <w:sz w:val="20"/>
          <w:szCs w:val="20"/>
        </w:rPr>
      </w:pPr>
      <w:r>
        <w:rPr>
          <w:rFonts w:ascii="Arial" w:hAnsi="Arial" w:cs="Arial"/>
          <w:color w:val="000000"/>
          <w:sz w:val="20"/>
          <w:szCs w:val="20"/>
        </w:rPr>
        <w:t>La insuficiencia hepática moderada (Clase B de Child-Pugh), ha mostrado que aumenta la exposición sistémica a abiraterona aproximadamente cuatro veces después de una dosis única oral de 1.000 mg de acetato de abiraterona. No hay datos clínicos de seguridad ni eficacia de dosis múltiples de acetato de abiraterona administrados a pacientes con insuficiencia hepática moderada o grave (Child-Pugh Clase B o C). No se pueden predecir ajustes de dosis. Se debe evaluar con precaución el uso de abiraterona en pacientes con insuficiencia hepática moderada, en los cuales el beneficio debe superar claramente el posible riesgo. Abiraterona no se debe utilizar en pacientes con insuficiencia hepática grave.</w:t>
      </w:r>
    </w:p>
    <w:p w:rsidR="0056194E" w:rsidRDefault="0056194E">
      <w:pPr>
        <w:autoSpaceDE w:val="0"/>
        <w:jc w:val="both"/>
        <w:rPr>
          <w:rFonts w:ascii="Arial" w:hAnsi="Arial" w:cs="Arial"/>
          <w:i/>
          <w:iCs/>
          <w:color w:val="000000"/>
          <w:sz w:val="20"/>
          <w:szCs w:val="20"/>
        </w:rPr>
      </w:pPr>
    </w:p>
    <w:p w:rsidR="0056194E" w:rsidRDefault="0056194E">
      <w:pPr>
        <w:autoSpaceDE w:val="0"/>
        <w:jc w:val="both"/>
        <w:rPr>
          <w:rFonts w:ascii="Arial" w:hAnsi="Arial" w:cs="Arial"/>
          <w:color w:val="000000"/>
          <w:sz w:val="20"/>
          <w:szCs w:val="20"/>
        </w:rPr>
      </w:pPr>
      <w:r>
        <w:rPr>
          <w:rFonts w:ascii="Arial" w:hAnsi="Arial" w:cs="Arial"/>
          <w:b/>
          <w:i/>
          <w:iCs/>
          <w:color w:val="000000"/>
          <w:sz w:val="20"/>
          <w:szCs w:val="20"/>
        </w:rPr>
        <w:t>Insuficiencia renal</w:t>
      </w:r>
    </w:p>
    <w:p w:rsidR="0056194E" w:rsidRDefault="0056194E">
      <w:pPr>
        <w:autoSpaceDE w:val="0"/>
        <w:jc w:val="both"/>
        <w:rPr>
          <w:rFonts w:ascii="Arial" w:hAnsi="Arial" w:cs="Arial"/>
          <w:i/>
          <w:iCs/>
          <w:color w:val="000000"/>
          <w:sz w:val="20"/>
          <w:szCs w:val="20"/>
        </w:rPr>
      </w:pPr>
      <w:r>
        <w:rPr>
          <w:rFonts w:ascii="Arial" w:hAnsi="Arial" w:cs="Arial"/>
          <w:color w:val="000000"/>
          <w:sz w:val="20"/>
          <w:szCs w:val="20"/>
        </w:rPr>
        <w:t>No es necesario ajustar la dosis en pacientes con insuficiencia renal</w:t>
      </w:r>
      <w:r>
        <w:rPr>
          <w:rFonts w:ascii="Arial" w:hAnsi="Arial" w:cs="Arial"/>
          <w:i/>
          <w:iCs/>
          <w:color w:val="000000"/>
          <w:sz w:val="20"/>
          <w:szCs w:val="20"/>
        </w:rPr>
        <w:t xml:space="preserve">. </w:t>
      </w:r>
      <w:r>
        <w:rPr>
          <w:rFonts w:ascii="Arial" w:hAnsi="Arial" w:cs="Arial"/>
          <w:color w:val="000000"/>
          <w:sz w:val="20"/>
          <w:szCs w:val="20"/>
        </w:rPr>
        <w:t xml:space="preserve">Sin embargo, no existe experiencia clínica en pacientes con cáncer de próstata e insuficiencia renal grave, por lo que se recomienda precaución en estos pacientes. </w:t>
      </w:r>
    </w:p>
    <w:p w:rsidR="0056194E" w:rsidRDefault="0056194E">
      <w:pPr>
        <w:autoSpaceDE w:val="0"/>
        <w:jc w:val="both"/>
        <w:rPr>
          <w:rFonts w:ascii="Arial" w:hAnsi="Arial" w:cs="Arial"/>
          <w:i/>
          <w:iCs/>
          <w:color w:val="000000"/>
          <w:sz w:val="20"/>
          <w:szCs w:val="20"/>
        </w:rPr>
      </w:pPr>
    </w:p>
    <w:p w:rsidR="0056194E" w:rsidRDefault="0056194E">
      <w:pPr>
        <w:autoSpaceDE w:val="0"/>
        <w:jc w:val="both"/>
        <w:rPr>
          <w:rFonts w:ascii="Arial" w:hAnsi="Arial" w:cs="Arial"/>
          <w:bCs/>
          <w:color w:val="000000"/>
          <w:sz w:val="20"/>
          <w:szCs w:val="20"/>
        </w:rPr>
      </w:pPr>
      <w:r>
        <w:rPr>
          <w:rFonts w:ascii="Arial" w:hAnsi="Arial" w:cs="Arial"/>
          <w:b/>
          <w:i/>
          <w:iCs/>
          <w:color w:val="000000"/>
          <w:sz w:val="20"/>
          <w:szCs w:val="20"/>
        </w:rPr>
        <w:t>Población pediátrica</w:t>
      </w:r>
    </w:p>
    <w:p w:rsidR="0056194E" w:rsidRDefault="0056194E">
      <w:pPr>
        <w:autoSpaceDE w:val="0"/>
        <w:jc w:val="both"/>
        <w:rPr>
          <w:rFonts w:ascii="Arial" w:hAnsi="Arial" w:cs="Arial"/>
          <w:bCs/>
          <w:color w:val="0000FF"/>
          <w:sz w:val="20"/>
          <w:szCs w:val="20"/>
        </w:rPr>
      </w:pPr>
      <w:r>
        <w:rPr>
          <w:rFonts w:ascii="Arial" w:hAnsi="Arial" w:cs="Arial"/>
          <w:bCs/>
          <w:color w:val="000000"/>
          <w:sz w:val="20"/>
          <w:szCs w:val="20"/>
        </w:rPr>
        <w:t>No existe una indicación específica para este medicamento en la población pediátrica, puesto que el cáncer de próstata no está presente en niños ni adolescentes.</w:t>
      </w:r>
    </w:p>
    <w:p w:rsidR="0056194E" w:rsidRDefault="0056194E">
      <w:pPr>
        <w:jc w:val="both"/>
        <w:rPr>
          <w:rFonts w:ascii="Arial" w:hAnsi="Arial" w:cs="Arial"/>
          <w:bCs/>
          <w:color w:val="0000FF"/>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16" w:name="_Toc536608332"/>
      <w:r>
        <w:rPr>
          <w:sz w:val="20"/>
        </w:rPr>
        <w:t>4.5 Farmacocinética</w:t>
      </w:r>
      <w:bookmarkEnd w:id="16"/>
    </w:p>
    <w:p w:rsidR="0056194E" w:rsidRDefault="0056194E">
      <w:pPr>
        <w:autoSpaceDE w:val="0"/>
        <w:jc w:val="both"/>
        <w:rPr>
          <w:rFonts w:ascii="Arial" w:hAnsi="Arial" w:cs="Arial"/>
          <w:b/>
          <w:sz w:val="20"/>
          <w:szCs w:val="20"/>
        </w:rPr>
      </w:pPr>
    </w:p>
    <w:p w:rsidR="0056194E" w:rsidRDefault="0056194E">
      <w:pPr>
        <w:autoSpaceDE w:val="0"/>
        <w:jc w:val="both"/>
        <w:rPr>
          <w:rFonts w:ascii="Arial" w:hAnsi="Arial" w:cs="Arial"/>
          <w:sz w:val="20"/>
          <w:szCs w:val="20"/>
        </w:rPr>
      </w:pPr>
      <w:r>
        <w:rPr>
          <w:rFonts w:ascii="Arial" w:hAnsi="Arial" w:cs="Arial"/>
          <w:b/>
          <w:sz w:val="20"/>
          <w:szCs w:val="20"/>
        </w:rPr>
        <w:t>Absorción</w:t>
      </w:r>
      <w:r>
        <w:rPr>
          <w:rFonts w:ascii="Arial" w:hAnsi="Arial" w:cs="Arial"/>
          <w:sz w:val="20"/>
          <w:szCs w:val="20"/>
        </w:rPr>
        <w:t xml:space="preserve">: Tras la administración oral de acetato de abiraterona en ayunas, se tarda aproximadamente 2 horas en alcanzar la concentración plasmática máxima de abiraterona. </w:t>
      </w:r>
    </w:p>
    <w:p w:rsidR="0056194E" w:rsidRDefault="0056194E">
      <w:pPr>
        <w:autoSpaceDE w:val="0"/>
        <w:jc w:val="both"/>
        <w:rPr>
          <w:rFonts w:ascii="Arial" w:hAnsi="Arial" w:cs="Arial"/>
          <w:sz w:val="20"/>
          <w:szCs w:val="20"/>
        </w:rPr>
      </w:pPr>
      <w:r>
        <w:rPr>
          <w:rFonts w:ascii="Arial" w:hAnsi="Arial" w:cs="Arial"/>
          <w:sz w:val="20"/>
          <w:szCs w:val="20"/>
        </w:rPr>
        <w:t xml:space="preserve">La administración de acetato de abiraterona con alimentos, en comparación con la administración en ayunas, aumenta la exposición sistémica media de abiraterona hasta en 10 veces el AUC y hasta en 17 veces la Cmax, dependiendo del contenido graso de la comida. </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 xml:space="preserve">Distribución: </w:t>
      </w:r>
      <w:r>
        <w:rPr>
          <w:rFonts w:ascii="Arial" w:hAnsi="Arial" w:cs="Arial"/>
          <w:sz w:val="20"/>
          <w:szCs w:val="20"/>
        </w:rPr>
        <w:t xml:space="preserve">La unión a proteínas plasmáticas de </w:t>
      </w:r>
      <w:r>
        <w:rPr>
          <w:rFonts w:ascii="Arial" w:hAnsi="Arial" w:cs="Arial"/>
          <w:sz w:val="20"/>
          <w:szCs w:val="20"/>
          <w:vertAlign w:val="superscript"/>
        </w:rPr>
        <w:t>14</w:t>
      </w:r>
      <w:r>
        <w:rPr>
          <w:rFonts w:ascii="Arial" w:hAnsi="Arial" w:cs="Arial"/>
          <w:sz w:val="20"/>
          <w:szCs w:val="20"/>
        </w:rPr>
        <w:t>C-abiraterona en el plasma humano es del 99,8 %. El volumen aparente de distribución es de aproximadamente 5630 L, lo que indica que la abiraterona se distribuye ampliamente a los tejidos periféricos.</w:t>
      </w:r>
    </w:p>
    <w:p w:rsidR="0056194E" w:rsidRDefault="0056194E">
      <w:pPr>
        <w:autoSpaceDE w:val="0"/>
        <w:jc w:val="both"/>
        <w:rPr>
          <w:rFonts w:ascii="Arial" w:hAnsi="Arial" w:cs="Arial"/>
          <w:b/>
          <w:sz w:val="20"/>
          <w:szCs w:val="20"/>
        </w:rPr>
      </w:pPr>
    </w:p>
    <w:p w:rsidR="0056194E" w:rsidRDefault="0056194E">
      <w:pPr>
        <w:autoSpaceDE w:val="0"/>
        <w:jc w:val="both"/>
        <w:rPr>
          <w:rFonts w:ascii="Arial" w:hAnsi="Arial" w:cs="Arial"/>
          <w:b/>
          <w:sz w:val="20"/>
          <w:szCs w:val="20"/>
        </w:rPr>
      </w:pPr>
      <w:r>
        <w:rPr>
          <w:rFonts w:ascii="Arial" w:hAnsi="Arial" w:cs="Arial"/>
          <w:b/>
          <w:sz w:val="20"/>
          <w:szCs w:val="20"/>
        </w:rPr>
        <w:t xml:space="preserve">Biotransformación </w:t>
      </w:r>
      <w:r>
        <w:rPr>
          <w:rFonts w:ascii="Arial" w:hAnsi="Arial" w:cs="Arial"/>
          <w:sz w:val="20"/>
          <w:szCs w:val="20"/>
        </w:rPr>
        <w:t xml:space="preserve">Tras la administración oral de acetato de </w:t>
      </w:r>
      <w:r>
        <w:rPr>
          <w:rFonts w:ascii="Arial" w:hAnsi="Arial" w:cs="Arial"/>
          <w:sz w:val="20"/>
          <w:szCs w:val="20"/>
          <w:vertAlign w:val="superscript"/>
        </w:rPr>
        <w:t>14</w:t>
      </w:r>
      <w:r>
        <w:rPr>
          <w:rFonts w:ascii="Arial" w:hAnsi="Arial" w:cs="Arial"/>
          <w:sz w:val="20"/>
          <w:szCs w:val="20"/>
        </w:rPr>
        <w:t>C-abiraterona en cápsulas, el acetato de abiraterona se hidroliza a abiraterona, que experimenta un metabolismo que incluye sulfatación, hidroxilación y oxidación principalmente en el hígado. La mayor parte de la radiactividad circulante (aproximadamente el 92%) se encuentra en forma de metabólitos de abiraterona. De los 15 metabólitos detectables, dos metabólitos principales, el sulfato de abiraterona y el N-óxido de sulfato de abiraterona, representan cada uno de ellos aproximadamente el 43% de la radiactividad total.</w:t>
      </w:r>
    </w:p>
    <w:p w:rsidR="0056194E" w:rsidRDefault="0056194E">
      <w:pPr>
        <w:autoSpaceDE w:val="0"/>
        <w:jc w:val="both"/>
        <w:rPr>
          <w:rFonts w:ascii="Arial" w:hAnsi="Arial" w:cs="Arial"/>
          <w:b/>
          <w:sz w:val="20"/>
          <w:szCs w:val="20"/>
        </w:rPr>
      </w:pPr>
    </w:p>
    <w:p w:rsidR="0056194E" w:rsidRDefault="0056194E">
      <w:pPr>
        <w:autoSpaceDE w:val="0"/>
        <w:jc w:val="both"/>
        <w:rPr>
          <w:rFonts w:ascii="Arial" w:hAnsi="Arial" w:cs="Arial"/>
          <w:sz w:val="20"/>
          <w:szCs w:val="20"/>
        </w:rPr>
      </w:pPr>
      <w:r>
        <w:rPr>
          <w:rFonts w:ascii="Arial" w:hAnsi="Arial" w:cs="Arial"/>
          <w:b/>
          <w:sz w:val="20"/>
          <w:szCs w:val="20"/>
        </w:rPr>
        <w:t xml:space="preserve">Eliminación </w:t>
      </w:r>
      <w:r>
        <w:rPr>
          <w:rFonts w:ascii="Arial" w:hAnsi="Arial" w:cs="Arial"/>
          <w:sz w:val="20"/>
          <w:szCs w:val="20"/>
        </w:rPr>
        <w:t xml:space="preserve">La semivida media de la abiraterona en el plasma es de aproximadamente 15 horas, según los datos obtenidos en sujetos sanos. Tras la administración oral de 1.000 mg de acetato de </w:t>
      </w:r>
      <w:r>
        <w:rPr>
          <w:rFonts w:ascii="Arial" w:hAnsi="Arial" w:cs="Arial"/>
          <w:sz w:val="20"/>
          <w:szCs w:val="20"/>
          <w:vertAlign w:val="superscript"/>
        </w:rPr>
        <w:t>14</w:t>
      </w:r>
      <w:r>
        <w:rPr>
          <w:rFonts w:ascii="Arial" w:hAnsi="Arial" w:cs="Arial"/>
          <w:sz w:val="20"/>
          <w:szCs w:val="20"/>
        </w:rPr>
        <w:t>C-abiraterona, aproximadamente el 88% de la dosis radiactiva se recupera en las heces y el 5% aproximadamente en la orina. Los principales compuestos presentes en las heces son acetato de abiraterona inalterado y abiraterona (aproximadamente el 55% y el 22% de la dosis administrada, respectivamente).</w:t>
      </w:r>
    </w:p>
    <w:p w:rsidR="0056194E" w:rsidRDefault="0056194E">
      <w:pPr>
        <w:autoSpaceDE w:val="0"/>
        <w:jc w:val="both"/>
        <w:rPr>
          <w:rFonts w:ascii="Arial" w:hAnsi="Arial" w:cs="Arial"/>
          <w:sz w:val="20"/>
          <w:szCs w:val="20"/>
        </w:rPr>
      </w:pPr>
    </w:p>
    <w:p w:rsidR="0056194E" w:rsidRDefault="0056194E">
      <w:pPr>
        <w:jc w:val="both"/>
        <w:rPr>
          <w:rFonts w:ascii="Arial" w:hAnsi="Arial" w:cs="Arial"/>
          <w:b/>
          <w:color w:val="0000FF"/>
          <w:sz w:val="20"/>
          <w:szCs w:val="20"/>
          <w:u w:val="single"/>
        </w:rPr>
      </w:pPr>
    </w:p>
    <w:tbl>
      <w:tblPr>
        <w:tblW w:w="0" w:type="auto"/>
        <w:tblInd w:w="-125" w:type="dxa"/>
        <w:tblLayout w:type="fixed"/>
        <w:tblCellMar>
          <w:left w:w="70" w:type="dxa"/>
          <w:right w:w="70" w:type="dxa"/>
        </w:tblCellMar>
        <w:tblLook w:val="0000"/>
      </w:tblPr>
      <w:tblGrid>
        <w:gridCol w:w="9140"/>
      </w:tblGrid>
      <w:tr w:rsidR="0056194E">
        <w:tc>
          <w:tcPr>
            <w:tcW w:w="9140"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17" w:name="_Toc536608333"/>
            <w:r>
              <w:t>5.- EVALUACIÓN DE LA EFICACIA.</w:t>
            </w:r>
            <w:bookmarkEnd w:id="17"/>
          </w:p>
        </w:tc>
      </w:tr>
    </w:tbl>
    <w:p w:rsidR="0056194E" w:rsidRDefault="0056194E">
      <w:pPr>
        <w:jc w:val="both"/>
        <w:rPr>
          <w:rFonts w:ascii="Arial" w:hAnsi="Arial" w:cs="Arial"/>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80"/>
          <w:sz w:val="20"/>
        </w:rPr>
      </w:pPr>
      <w:bookmarkStart w:id="18" w:name="_Toc536608334"/>
      <w:r>
        <w:rPr>
          <w:sz w:val="20"/>
        </w:rPr>
        <w:t>5.1.a Ensayos clínicos disponibles para la indicación clínica evaluada</w:t>
      </w:r>
      <w:bookmarkEnd w:id="18"/>
    </w:p>
    <w:p w:rsidR="0056194E" w:rsidRDefault="0056194E">
      <w:pPr>
        <w:jc w:val="both"/>
        <w:rPr>
          <w:rFonts w:ascii="Arial" w:hAnsi="Arial" w:cs="Arial"/>
          <w:color w:val="000080"/>
          <w:sz w:val="20"/>
          <w:szCs w:val="20"/>
        </w:rPr>
      </w:pPr>
    </w:p>
    <w:p w:rsidR="0056194E" w:rsidRDefault="0056194E">
      <w:pPr>
        <w:autoSpaceDE w:val="0"/>
        <w:jc w:val="both"/>
        <w:rPr>
          <w:rFonts w:ascii="Arial" w:hAnsi="Arial" w:cs="Arial"/>
          <w:sz w:val="20"/>
          <w:szCs w:val="20"/>
        </w:rPr>
      </w:pPr>
      <w:r>
        <w:rPr>
          <w:rFonts w:ascii="Arial" w:hAnsi="Arial" w:cs="Arial"/>
          <w:sz w:val="20"/>
          <w:szCs w:val="20"/>
        </w:rPr>
        <w:t>En fecha 07/11/2017 se realizó una búsqueda bibliográfica en Pubmed (Clinical Queries, category: therapy; scope: narrow), utilizando como descriptores (Therapy/Narrow[filter]) AND (abiraterone and (androgen or hormono sensitive)). Se obtuvieron 2 ensayos clínicos fase III publicados: STAMPEDE</w:t>
      </w:r>
      <w:r>
        <w:rPr>
          <w:rFonts w:ascii="Arial" w:hAnsi="Arial" w:cs="Arial"/>
          <w:sz w:val="20"/>
          <w:szCs w:val="20"/>
          <w:vertAlign w:val="superscript"/>
        </w:rPr>
        <w:t xml:space="preserve">16  </w:t>
      </w:r>
      <w:r>
        <w:rPr>
          <w:rFonts w:ascii="Arial" w:hAnsi="Arial" w:cs="Arial"/>
          <w:sz w:val="20"/>
          <w:szCs w:val="20"/>
        </w:rPr>
        <w:t>y LATITUDE</w:t>
      </w:r>
      <w:r>
        <w:rPr>
          <w:rFonts w:ascii="Arial" w:hAnsi="Arial" w:cs="Arial"/>
          <w:sz w:val="20"/>
          <w:szCs w:val="20"/>
          <w:vertAlign w:val="superscript"/>
        </w:rPr>
        <w:t>17</w:t>
      </w:r>
      <w:r>
        <w:rPr>
          <w:rFonts w:ascii="Arial" w:hAnsi="Arial" w:cs="Arial"/>
          <w:sz w:val="20"/>
          <w:szCs w:val="20"/>
        </w:rPr>
        <w:t xml:space="preserve"> y </w:t>
      </w:r>
      <w:r w:rsidR="00C57E0E">
        <w:rPr>
          <w:rFonts w:ascii="Arial" w:hAnsi="Arial" w:cs="Arial"/>
          <w:sz w:val="20"/>
          <w:szCs w:val="20"/>
        </w:rPr>
        <w:t>3</w:t>
      </w:r>
      <w:r>
        <w:rPr>
          <w:rFonts w:ascii="Arial" w:hAnsi="Arial" w:cs="Arial"/>
          <w:sz w:val="20"/>
          <w:szCs w:val="20"/>
        </w:rPr>
        <w:t xml:space="preserve"> meta análisis. Este último es el estudio pivotal para su aprobación por la EMA. Incluye solamente pacientes metastásicos de alto riesgo, lo cual viene definido por presentar dos de estos tres marcadores de riesgo:</w:t>
      </w:r>
    </w:p>
    <w:p w:rsidR="0056194E" w:rsidRPr="008A6D86" w:rsidRDefault="0056194E">
      <w:pPr>
        <w:autoSpaceDE w:val="0"/>
        <w:jc w:val="both"/>
        <w:rPr>
          <w:rFonts w:ascii="Arial" w:hAnsi="Arial" w:cs="Arial"/>
          <w:sz w:val="20"/>
          <w:szCs w:val="20"/>
        </w:rPr>
      </w:pPr>
    </w:p>
    <w:p w:rsidR="0056194E" w:rsidRPr="008A6D86" w:rsidRDefault="0056194E" w:rsidP="008A6D86">
      <w:pPr>
        <w:numPr>
          <w:ilvl w:val="0"/>
          <w:numId w:val="23"/>
        </w:numPr>
        <w:autoSpaceDE w:val="0"/>
        <w:jc w:val="both"/>
        <w:rPr>
          <w:rFonts w:ascii="Arial" w:hAnsi="Arial" w:cs="Arial"/>
          <w:sz w:val="20"/>
          <w:szCs w:val="20"/>
        </w:rPr>
      </w:pPr>
      <w:r w:rsidRPr="008A6D86">
        <w:rPr>
          <w:rFonts w:ascii="Arial" w:hAnsi="Arial" w:cs="Arial"/>
          <w:sz w:val="20"/>
          <w:szCs w:val="20"/>
        </w:rPr>
        <w:t>Gleason 8-10</w:t>
      </w:r>
    </w:p>
    <w:p w:rsidR="0056194E" w:rsidRPr="008A6D86" w:rsidRDefault="0056194E" w:rsidP="008A6D86">
      <w:pPr>
        <w:numPr>
          <w:ilvl w:val="0"/>
          <w:numId w:val="23"/>
        </w:numPr>
        <w:autoSpaceDE w:val="0"/>
        <w:jc w:val="both"/>
        <w:rPr>
          <w:rFonts w:ascii="Arial" w:hAnsi="Arial" w:cs="Arial"/>
          <w:sz w:val="20"/>
          <w:szCs w:val="20"/>
        </w:rPr>
      </w:pPr>
      <w:r w:rsidRPr="008A6D86">
        <w:rPr>
          <w:rFonts w:ascii="Arial" w:hAnsi="Arial" w:cs="Arial"/>
          <w:sz w:val="20"/>
          <w:szCs w:val="20"/>
        </w:rPr>
        <w:t>Tres o más metástasis óseas</w:t>
      </w:r>
    </w:p>
    <w:p w:rsidR="0056194E" w:rsidRPr="008A6D86" w:rsidRDefault="0056194E" w:rsidP="008A6D86">
      <w:pPr>
        <w:numPr>
          <w:ilvl w:val="0"/>
          <w:numId w:val="23"/>
        </w:numPr>
        <w:autoSpaceDE w:val="0"/>
        <w:jc w:val="both"/>
        <w:rPr>
          <w:rFonts w:ascii="Arial" w:hAnsi="Arial" w:cs="Arial"/>
          <w:sz w:val="20"/>
          <w:szCs w:val="20"/>
        </w:rPr>
      </w:pPr>
      <w:r w:rsidRPr="008A6D86">
        <w:rPr>
          <w:rFonts w:ascii="Arial" w:hAnsi="Arial" w:cs="Arial"/>
          <w:sz w:val="20"/>
          <w:szCs w:val="20"/>
        </w:rPr>
        <w:t xml:space="preserve">Presencia de metástasis a nivel visceral </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Estos son los pacientes considerados luego para la aprobación de la nueva indicación por la EMA.</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 xml:space="preserve">Tanto en el ensayo clínico STAMPEDE como en el LATITUDE se compara abiraterona en una primera línea de tratamiento añadido a hormonoterapia frente a la hormonoterapia sola. La población del LATITUDE sólo incluye pacientes metastáticos, mientras que STAMPEDE incluye pacientes metastásicos y con CPHS localizado de alto riesgo. </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 xml:space="preserve">El objetivo principal de ambos ensayos clínicos es comparar el beneficio en supervivencia en pacientes que reciben abiraterona+TDA frente a los que reciben solamente TDA, empleando como variable principal la de máxima relevancia clínica: supervivencia global. Con respecto a otras variables de interés, en el estudio LATITUDE se mide la Supervivencia Libre de Progresión radiológica (SLPr) mientras que en STAMPEDE se evalúa la Supervivencia sin Fallo a Tratamiento (SSFT). </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Mientras que el estudio LATITUDE cuenta con dos brazos únicos (activo: abiraterona+TDA vs control: TDA), el ensayo clínico STAMPEDE es un estudio considerado multibrazo pero donde realmente se suceden estudios independientes que constan al menos de un brazo activo y un brazo control. Esto resulta interesante ya que en todos los “brazos” del estudio STAMPEDE se utilizan los mismos criterios de inclusión y exclusión, los objetivos principales y secundarios son los mismos y la recogida de efectos adversos se realiza de la misma forma, lo cual nos permitirá realizar una comparación indirecta propia entre los brazos que estudian abiraterona+TDA vs. TDA y docetaxel+TDA vs. TDA.</w:t>
      </w:r>
    </w:p>
    <w:p w:rsidR="0056194E" w:rsidRDefault="0056194E">
      <w:pPr>
        <w:jc w:val="both"/>
        <w:rPr>
          <w:rFonts w:ascii="Arial" w:hAnsi="Arial" w:cs="Arial"/>
          <w:color w:val="FF0000"/>
          <w:sz w:val="20"/>
          <w:szCs w:val="20"/>
          <w:u w:val="single"/>
        </w:rPr>
      </w:pPr>
    </w:p>
    <w:p w:rsidR="0056194E" w:rsidRDefault="0056194E">
      <w:pPr>
        <w:jc w:val="both"/>
        <w:rPr>
          <w:rFonts w:ascii="Arial" w:hAnsi="Arial" w:cs="Arial"/>
          <w:color w:val="000080"/>
          <w:sz w:val="20"/>
          <w:szCs w:val="20"/>
        </w:rPr>
      </w:pPr>
    </w:p>
    <w:p w:rsidR="0056194E" w:rsidRDefault="0056194E">
      <w:pPr>
        <w:jc w:val="both"/>
        <w:rPr>
          <w:rFonts w:ascii="Arial" w:hAnsi="Arial" w:cs="Arial"/>
          <w:color w:val="000080"/>
          <w:sz w:val="20"/>
          <w:szCs w:val="20"/>
        </w:rPr>
      </w:pPr>
    </w:p>
    <w:p w:rsidR="0056194E" w:rsidRPr="00A86AC9" w:rsidRDefault="0056194E" w:rsidP="00233B47">
      <w:pPr>
        <w:pStyle w:val="Ttulo2"/>
        <w:pBdr>
          <w:top w:val="single" w:sz="4" w:space="1" w:color="000000"/>
          <w:left w:val="single" w:sz="4" w:space="4" w:color="000000"/>
          <w:bottom w:val="single" w:sz="4" w:space="1" w:color="000000"/>
          <w:right w:val="single" w:sz="4" w:space="4" w:color="000000"/>
        </w:pBdr>
      </w:pPr>
      <w:bookmarkStart w:id="19" w:name="_Toc536608335"/>
      <w:r>
        <w:rPr>
          <w:sz w:val="20"/>
        </w:rPr>
        <w:t>5.1.b Variables utilizadas en los ensayos</w:t>
      </w:r>
      <w:bookmarkEnd w:id="19"/>
      <w:r>
        <w:rPr>
          <w:sz w:val="20"/>
        </w:rPr>
        <w:t xml:space="preserve">                                                                                             </w:t>
      </w:r>
    </w:p>
    <w:p w:rsidR="0056194E" w:rsidRDefault="0056194E">
      <w:pPr>
        <w:jc w:val="both"/>
        <w:rPr>
          <w:rFonts w:ascii="Arial" w:hAnsi="Arial" w:cs="Arial"/>
          <w:color w:val="000080"/>
          <w:sz w:val="20"/>
          <w:szCs w:val="20"/>
        </w:rPr>
      </w:pPr>
    </w:p>
    <w:tbl>
      <w:tblPr>
        <w:tblW w:w="0" w:type="auto"/>
        <w:tblInd w:w="-63" w:type="dxa"/>
        <w:tblLayout w:type="fixed"/>
        <w:tblLook w:val="0000"/>
      </w:tblPr>
      <w:tblGrid>
        <w:gridCol w:w="1650"/>
        <w:gridCol w:w="1815"/>
        <w:gridCol w:w="4035"/>
        <w:gridCol w:w="1613"/>
      </w:tblGrid>
      <w:tr w:rsidR="0056194E" w:rsidTr="00AF6714">
        <w:tc>
          <w:tcPr>
            <w:tcW w:w="9113"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jc w:val="both"/>
            </w:pPr>
            <w:r>
              <w:rPr>
                <w:rFonts w:ascii="Arial" w:hAnsi="Arial" w:cs="Arial"/>
                <w:b/>
                <w:color w:val="000000"/>
                <w:sz w:val="20"/>
                <w:szCs w:val="20"/>
              </w:rPr>
              <w:t xml:space="preserve">Variables empleadas en el ensayo clínico </w:t>
            </w:r>
            <w:r>
              <w:rPr>
                <w:rFonts w:ascii="Arial" w:hAnsi="Arial" w:cs="Arial"/>
                <w:b/>
                <w:bCs/>
                <w:color w:val="000000"/>
                <w:sz w:val="20"/>
                <w:szCs w:val="20"/>
              </w:rPr>
              <w:t>LATITUDE</w:t>
            </w:r>
            <w:r>
              <w:rPr>
                <w:rFonts w:ascii="Arial" w:hAnsi="Arial" w:cs="Arial"/>
                <w:b/>
                <w:bCs/>
                <w:color w:val="000000"/>
                <w:sz w:val="20"/>
                <w:szCs w:val="20"/>
                <w:vertAlign w:val="superscript"/>
              </w:rPr>
              <w:t>17</w:t>
            </w:r>
          </w:p>
        </w:tc>
      </w:tr>
      <w:tr w:rsidR="0056194E" w:rsidTr="00AF6714">
        <w:trPr>
          <w:trHeight w:val="522"/>
        </w:trPr>
        <w:tc>
          <w:tcPr>
            <w:tcW w:w="1650" w:type="dxa"/>
            <w:tcBorders>
              <w:top w:val="single" w:sz="4" w:space="0" w:color="000000"/>
              <w:left w:val="single" w:sz="4" w:space="0" w:color="000000"/>
              <w:bottom w:val="single" w:sz="4" w:space="0" w:color="000000"/>
            </w:tcBorders>
            <w:shd w:val="clear" w:color="auto" w:fill="D9D9D9"/>
          </w:tcPr>
          <w:p w:rsidR="0056194E" w:rsidRDefault="0056194E" w:rsidP="00AF6714">
            <w:pPr>
              <w:autoSpaceDE w:val="0"/>
              <w:jc w:val="both"/>
            </w:pPr>
            <w:r>
              <w:rPr>
                <w:rFonts w:ascii="Arial" w:hAnsi="Arial" w:cs="Arial"/>
                <w:b/>
                <w:bCs/>
                <w:color w:val="000000"/>
                <w:sz w:val="20"/>
                <w:szCs w:val="20"/>
              </w:rPr>
              <w:t>EFICACIA</w:t>
            </w:r>
          </w:p>
        </w:tc>
        <w:tc>
          <w:tcPr>
            <w:tcW w:w="1815" w:type="dxa"/>
            <w:tcBorders>
              <w:top w:val="single" w:sz="4" w:space="0" w:color="000000"/>
              <w:left w:val="single" w:sz="4" w:space="0" w:color="000000"/>
              <w:bottom w:val="single" w:sz="4" w:space="0" w:color="000000"/>
            </w:tcBorders>
            <w:shd w:val="clear" w:color="auto" w:fill="D9D9D9"/>
          </w:tcPr>
          <w:p w:rsidR="0056194E" w:rsidRDefault="0056194E" w:rsidP="00AF6714">
            <w:pPr>
              <w:autoSpaceDE w:val="0"/>
              <w:jc w:val="both"/>
            </w:pPr>
            <w:r>
              <w:rPr>
                <w:rFonts w:ascii="Arial" w:hAnsi="Arial" w:cs="Arial"/>
                <w:b/>
                <w:bCs/>
                <w:color w:val="000000"/>
                <w:sz w:val="20"/>
                <w:szCs w:val="20"/>
              </w:rPr>
              <w:t xml:space="preserve">Enunciado </w:t>
            </w:r>
          </w:p>
        </w:tc>
        <w:tc>
          <w:tcPr>
            <w:tcW w:w="4035" w:type="dxa"/>
            <w:tcBorders>
              <w:top w:val="single" w:sz="4" w:space="0" w:color="000000"/>
              <w:left w:val="single" w:sz="4" w:space="0" w:color="000000"/>
              <w:bottom w:val="single" w:sz="4" w:space="0" w:color="000000"/>
            </w:tcBorders>
            <w:shd w:val="clear" w:color="auto" w:fill="D9D9D9"/>
          </w:tcPr>
          <w:p w:rsidR="0056194E" w:rsidRDefault="0056194E" w:rsidP="00AF6714">
            <w:pPr>
              <w:autoSpaceDE w:val="0"/>
              <w:jc w:val="both"/>
            </w:pPr>
            <w:r>
              <w:rPr>
                <w:rFonts w:ascii="Arial" w:hAnsi="Arial" w:cs="Arial"/>
                <w:b/>
                <w:bCs/>
                <w:color w:val="000000"/>
                <w:sz w:val="20"/>
                <w:szCs w:val="20"/>
              </w:rPr>
              <w:t xml:space="preserve">Descripción </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cPr>
          <w:p w:rsidR="0056194E" w:rsidRDefault="0056194E" w:rsidP="00AF6714">
            <w:pPr>
              <w:tabs>
                <w:tab w:val="left" w:pos="2924"/>
              </w:tabs>
              <w:autoSpaceDE w:val="0"/>
              <w:ind w:left="34" w:hanging="34"/>
              <w:jc w:val="both"/>
            </w:pPr>
            <w:r>
              <w:rPr>
                <w:rFonts w:ascii="Arial" w:hAnsi="Arial" w:cs="Arial"/>
                <w:b/>
                <w:bCs/>
                <w:color w:val="000000"/>
                <w:sz w:val="20"/>
                <w:szCs w:val="20"/>
              </w:rPr>
              <w:t>Variable intermedia o final</w:t>
            </w:r>
          </w:p>
        </w:tc>
      </w:tr>
      <w:tr w:rsidR="0056194E" w:rsidTr="00AF6714">
        <w:trPr>
          <w:cantSplit/>
        </w:trPr>
        <w:tc>
          <w:tcPr>
            <w:tcW w:w="1650" w:type="dxa"/>
            <w:vMerge w:val="restart"/>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color w:val="000000"/>
                <w:sz w:val="20"/>
                <w:szCs w:val="20"/>
              </w:rPr>
              <w:t>Variable primaria</w:t>
            </w:r>
          </w:p>
        </w:tc>
        <w:tc>
          <w:tcPr>
            <w:tcW w:w="181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color w:val="000000"/>
                <w:sz w:val="20"/>
                <w:szCs w:val="20"/>
              </w:rPr>
              <w:t>Supervivencia global</w:t>
            </w:r>
          </w:p>
        </w:tc>
        <w:tc>
          <w:tcPr>
            <w:tcW w:w="403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Tiempo desde la aleatorización hasta la muerte por cualquier causa.</w:t>
            </w:r>
          </w:p>
        </w:tc>
        <w:tc>
          <w:tcPr>
            <w:tcW w:w="1613"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pacing w:before="40" w:after="40"/>
              <w:ind w:left="34"/>
              <w:jc w:val="both"/>
            </w:pPr>
            <w:r>
              <w:rPr>
                <w:rFonts w:ascii="Arial" w:hAnsi="Arial" w:cs="Arial"/>
                <w:color w:val="000000"/>
                <w:sz w:val="20"/>
                <w:szCs w:val="20"/>
              </w:rPr>
              <w:t>Final</w:t>
            </w:r>
          </w:p>
        </w:tc>
      </w:tr>
      <w:tr w:rsidR="0056194E" w:rsidTr="00AF6714">
        <w:trPr>
          <w:cantSplit/>
          <w:trHeight w:val="1722"/>
        </w:trPr>
        <w:tc>
          <w:tcPr>
            <w:tcW w:w="1650" w:type="dxa"/>
            <w:vMerge/>
            <w:tcBorders>
              <w:top w:val="single" w:sz="4" w:space="0" w:color="000000"/>
              <w:left w:val="single" w:sz="4" w:space="0" w:color="000000"/>
              <w:bottom w:val="single" w:sz="4" w:space="0" w:color="000000"/>
            </w:tcBorders>
          </w:tcPr>
          <w:p w:rsidR="0056194E" w:rsidRDefault="0056194E" w:rsidP="00AF6714">
            <w:pPr>
              <w:autoSpaceDE w:val="0"/>
              <w:snapToGrid w:val="0"/>
              <w:spacing w:before="40" w:after="40"/>
              <w:jc w:val="both"/>
            </w:pPr>
          </w:p>
        </w:tc>
        <w:tc>
          <w:tcPr>
            <w:tcW w:w="181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color w:val="000000"/>
                <w:sz w:val="20"/>
                <w:szCs w:val="20"/>
              </w:rPr>
              <w:t>Supervivencia libre de progresión radiológica</w:t>
            </w:r>
          </w:p>
        </w:tc>
        <w:tc>
          <w:tcPr>
            <w:tcW w:w="403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rPr>
                <w:rFonts w:ascii="Arial" w:hAnsi="Arial" w:cs="Arial"/>
                <w:sz w:val="20"/>
                <w:szCs w:val="20"/>
              </w:rPr>
            </w:pPr>
            <w:r>
              <w:rPr>
                <w:rFonts w:ascii="Arial" w:hAnsi="Arial" w:cs="Arial"/>
                <w:sz w:val="20"/>
                <w:szCs w:val="20"/>
              </w:rPr>
              <w:t>Tiempo desde la aleatorización hasta la aparición de progresión radiológica.</w:t>
            </w:r>
          </w:p>
          <w:p w:rsidR="0056194E" w:rsidRDefault="0056194E" w:rsidP="00AF6714">
            <w:pPr>
              <w:numPr>
                <w:ilvl w:val="0"/>
                <w:numId w:val="6"/>
              </w:numPr>
              <w:autoSpaceDE w:val="0"/>
              <w:spacing w:before="40" w:after="40"/>
              <w:jc w:val="both"/>
              <w:rPr>
                <w:rFonts w:ascii="Arial" w:hAnsi="Arial" w:cs="Arial"/>
                <w:sz w:val="20"/>
                <w:szCs w:val="20"/>
              </w:rPr>
            </w:pPr>
            <w:r>
              <w:rPr>
                <w:rFonts w:ascii="Arial" w:hAnsi="Arial" w:cs="Arial"/>
                <w:sz w:val="20"/>
                <w:szCs w:val="20"/>
              </w:rPr>
              <w:t>La progresión radiológica en tejidos blandos se evaluó en base a la escala RECIST.</w:t>
            </w:r>
          </w:p>
          <w:p w:rsidR="0056194E" w:rsidRDefault="0056194E" w:rsidP="00AF6714">
            <w:pPr>
              <w:numPr>
                <w:ilvl w:val="0"/>
                <w:numId w:val="6"/>
              </w:numPr>
              <w:autoSpaceDE w:val="0"/>
              <w:spacing w:before="40" w:after="40"/>
              <w:jc w:val="both"/>
            </w:pPr>
            <w:r>
              <w:rPr>
                <w:rFonts w:ascii="Arial" w:hAnsi="Arial" w:cs="Arial"/>
                <w:sz w:val="20"/>
                <w:szCs w:val="20"/>
              </w:rPr>
              <w:t>La progesión radiológica en tejido óseo se evaluó según el Prostate Cancer Working Group 2 criteria.</w:t>
            </w:r>
          </w:p>
        </w:tc>
        <w:tc>
          <w:tcPr>
            <w:tcW w:w="1613"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pacing w:before="40" w:after="40"/>
              <w:ind w:left="34"/>
              <w:jc w:val="both"/>
              <w:rPr>
                <w:rFonts w:ascii="Arial" w:hAnsi="Arial" w:cs="Arial"/>
                <w:color w:val="000000"/>
                <w:sz w:val="20"/>
                <w:szCs w:val="20"/>
              </w:rPr>
            </w:pPr>
            <w:r>
              <w:rPr>
                <w:rFonts w:ascii="Arial" w:hAnsi="Arial" w:cs="Arial"/>
                <w:color w:val="000000"/>
                <w:sz w:val="20"/>
                <w:szCs w:val="20"/>
              </w:rPr>
              <w:t>Intermedia</w:t>
            </w:r>
          </w:p>
          <w:p w:rsidR="0056194E" w:rsidRDefault="0056194E" w:rsidP="00AF6714">
            <w:pPr>
              <w:tabs>
                <w:tab w:val="left" w:pos="2924"/>
              </w:tabs>
              <w:autoSpaceDE w:val="0"/>
              <w:spacing w:before="40" w:after="40"/>
              <w:ind w:left="34"/>
              <w:jc w:val="both"/>
              <w:rPr>
                <w:rFonts w:ascii="Arial" w:hAnsi="Arial" w:cs="Arial"/>
                <w:color w:val="000000"/>
                <w:sz w:val="20"/>
                <w:szCs w:val="20"/>
              </w:rPr>
            </w:pPr>
          </w:p>
          <w:p w:rsidR="0056194E" w:rsidRDefault="0056194E" w:rsidP="00AF6714">
            <w:pPr>
              <w:tabs>
                <w:tab w:val="left" w:pos="2924"/>
              </w:tabs>
              <w:autoSpaceDE w:val="0"/>
              <w:spacing w:before="40" w:after="40"/>
              <w:ind w:left="34"/>
              <w:jc w:val="both"/>
            </w:pPr>
          </w:p>
        </w:tc>
      </w:tr>
      <w:tr w:rsidR="0056194E" w:rsidTr="00AF6714">
        <w:trPr>
          <w:cantSplit/>
        </w:trPr>
        <w:tc>
          <w:tcPr>
            <w:tcW w:w="1650" w:type="dxa"/>
            <w:vMerge w:val="restart"/>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color w:val="000000"/>
                <w:sz w:val="20"/>
                <w:szCs w:val="20"/>
              </w:rPr>
              <w:t>Variables secundarias</w:t>
            </w:r>
          </w:p>
        </w:tc>
        <w:tc>
          <w:tcPr>
            <w:tcW w:w="181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Eventos relacionados con el esqueleto</w:t>
            </w:r>
          </w:p>
        </w:tc>
        <w:tc>
          <w:tcPr>
            <w:tcW w:w="403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Tiempo desde la aleatorización hasta la aparición de eventos relacionados con el esqueleto, definidos como fractura clínica/patológica, compresión del cordon espinal, radioterapia paliativa ósea y/o cirugía  del tejido óseo.</w:t>
            </w:r>
          </w:p>
        </w:tc>
        <w:tc>
          <w:tcPr>
            <w:tcW w:w="1613"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pacing w:before="40" w:after="40"/>
              <w:ind w:left="34"/>
              <w:jc w:val="both"/>
            </w:pPr>
            <w:r>
              <w:rPr>
                <w:rFonts w:ascii="Arial" w:hAnsi="Arial" w:cs="Arial"/>
                <w:color w:val="000000"/>
                <w:sz w:val="20"/>
                <w:szCs w:val="20"/>
              </w:rPr>
              <w:t>Intermedia</w:t>
            </w:r>
          </w:p>
        </w:tc>
      </w:tr>
      <w:tr w:rsidR="0056194E" w:rsidTr="00AF6714">
        <w:trPr>
          <w:cantSplit/>
        </w:trPr>
        <w:tc>
          <w:tcPr>
            <w:tcW w:w="1650" w:type="dxa"/>
            <w:vMerge/>
            <w:tcBorders>
              <w:top w:val="single" w:sz="4" w:space="0" w:color="000000"/>
              <w:left w:val="single" w:sz="4" w:space="0" w:color="000000"/>
              <w:bottom w:val="single" w:sz="4" w:space="0" w:color="000000"/>
            </w:tcBorders>
          </w:tcPr>
          <w:p w:rsidR="0056194E" w:rsidRDefault="0056194E" w:rsidP="00AF6714">
            <w:pPr>
              <w:autoSpaceDE w:val="0"/>
              <w:snapToGrid w:val="0"/>
              <w:spacing w:before="40" w:after="40"/>
              <w:jc w:val="both"/>
            </w:pPr>
          </w:p>
        </w:tc>
        <w:tc>
          <w:tcPr>
            <w:tcW w:w="181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Progresión bioquímica</w:t>
            </w:r>
          </w:p>
        </w:tc>
        <w:tc>
          <w:tcPr>
            <w:tcW w:w="4035" w:type="dxa"/>
            <w:tcBorders>
              <w:top w:val="single" w:sz="4" w:space="0" w:color="000000"/>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Tiempo desde la aleatorización hasta la progresión según determinación de PSA basándose en el  Prostate Cancer Working Group 2 criteria.</w:t>
            </w:r>
          </w:p>
        </w:tc>
        <w:tc>
          <w:tcPr>
            <w:tcW w:w="1613"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pacing w:before="40" w:after="40"/>
              <w:ind w:left="34"/>
              <w:jc w:val="both"/>
            </w:pPr>
            <w:r>
              <w:rPr>
                <w:rFonts w:ascii="Arial" w:hAnsi="Arial" w:cs="Arial"/>
                <w:color w:val="000000"/>
                <w:sz w:val="20"/>
                <w:szCs w:val="20"/>
              </w:rPr>
              <w:t>Intermedia</w:t>
            </w:r>
          </w:p>
        </w:tc>
      </w:tr>
      <w:tr w:rsidR="0056194E" w:rsidTr="00AF6714">
        <w:trPr>
          <w:cantSplit/>
        </w:trPr>
        <w:tc>
          <w:tcPr>
            <w:tcW w:w="1650" w:type="dxa"/>
            <w:vMerge/>
            <w:tcBorders>
              <w:top w:val="single" w:sz="4" w:space="0" w:color="000000"/>
              <w:left w:val="single" w:sz="4" w:space="0" w:color="000000"/>
              <w:bottom w:val="single" w:sz="4" w:space="0" w:color="000000"/>
            </w:tcBorders>
          </w:tcPr>
          <w:p w:rsidR="0056194E" w:rsidRDefault="0056194E" w:rsidP="00AF6714">
            <w:pPr>
              <w:autoSpaceDE w:val="0"/>
              <w:snapToGrid w:val="0"/>
              <w:jc w:val="both"/>
            </w:pPr>
          </w:p>
        </w:tc>
        <w:tc>
          <w:tcPr>
            <w:tcW w:w="1815" w:type="dxa"/>
            <w:tcBorders>
              <w:top w:val="single" w:sz="4" w:space="0" w:color="000000"/>
              <w:left w:val="single" w:sz="4" w:space="0" w:color="000000"/>
              <w:bottom w:val="single" w:sz="4" w:space="0" w:color="000000"/>
            </w:tcBorders>
          </w:tcPr>
          <w:p w:rsidR="0056194E" w:rsidRDefault="0056194E" w:rsidP="00AF6714">
            <w:pPr>
              <w:autoSpaceDE w:val="0"/>
              <w:snapToGrid w:val="0"/>
              <w:jc w:val="both"/>
            </w:pPr>
            <w:r>
              <w:rPr>
                <w:rFonts w:ascii="Arial" w:hAnsi="Arial" w:cs="Arial"/>
                <w:color w:val="000000"/>
                <w:sz w:val="20"/>
                <w:szCs w:val="20"/>
              </w:rPr>
              <w:t>Tiempo hasta el siguiente tratamiento para CP</w:t>
            </w:r>
          </w:p>
        </w:tc>
        <w:tc>
          <w:tcPr>
            <w:tcW w:w="4035" w:type="dxa"/>
            <w:tcBorders>
              <w:top w:val="single" w:sz="4" w:space="0" w:color="000000"/>
              <w:left w:val="single" w:sz="4" w:space="0" w:color="000000"/>
              <w:bottom w:val="single" w:sz="4" w:space="0" w:color="000000"/>
            </w:tcBorders>
          </w:tcPr>
          <w:p w:rsidR="0056194E" w:rsidRDefault="0056194E" w:rsidP="00AF6714">
            <w:pPr>
              <w:autoSpaceDE w:val="0"/>
              <w:snapToGrid w:val="0"/>
              <w:jc w:val="both"/>
            </w:pPr>
            <w:r>
              <w:rPr>
                <w:rFonts w:ascii="Arial" w:hAnsi="Arial" w:cs="Arial"/>
                <w:color w:val="000000"/>
                <w:sz w:val="20"/>
                <w:szCs w:val="20"/>
              </w:rPr>
              <w:t>Tiempo desde la aleatorización hasta el inicio subsecuente de otro tratamiento para el CP.</w:t>
            </w:r>
          </w:p>
        </w:tc>
        <w:tc>
          <w:tcPr>
            <w:tcW w:w="1613"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pacing w:before="40" w:after="40"/>
              <w:ind w:left="34"/>
              <w:jc w:val="both"/>
            </w:pPr>
            <w:r>
              <w:rPr>
                <w:rFonts w:ascii="Arial" w:hAnsi="Arial" w:cs="Arial"/>
                <w:color w:val="000000"/>
                <w:sz w:val="20"/>
                <w:szCs w:val="20"/>
              </w:rPr>
              <w:t>Intermedia</w:t>
            </w:r>
          </w:p>
        </w:tc>
      </w:tr>
      <w:tr w:rsidR="0056194E" w:rsidTr="00AF6714">
        <w:trPr>
          <w:cantSplit/>
        </w:trPr>
        <w:tc>
          <w:tcPr>
            <w:tcW w:w="1650" w:type="dxa"/>
            <w:vMerge/>
            <w:tcBorders>
              <w:top w:val="single" w:sz="4" w:space="0" w:color="000000"/>
              <w:left w:val="single" w:sz="4" w:space="0" w:color="000000"/>
              <w:bottom w:val="single" w:sz="4" w:space="0" w:color="000000"/>
            </w:tcBorders>
          </w:tcPr>
          <w:p w:rsidR="0056194E" w:rsidRDefault="0056194E" w:rsidP="00AF6714">
            <w:pPr>
              <w:autoSpaceDE w:val="0"/>
              <w:snapToGrid w:val="0"/>
              <w:spacing w:before="40" w:after="40"/>
              <w:jc w:val="both"/>
            </w:pPr>
          </w:p>
        </w:tc>
        <w:tc>
          <w:tcPr>
            <w:tcW w:w="1815" w:type="dxa"/>
            <w:tcBorders>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Tiempo hasta inicio de quimioterapia</w:t>
            </w:r>
          </w:p>
        </w:tc>
        <w:tc>
          <w:tcPr>
            <w:tcW w:w="4035" w:type="dxa"/>
            <w:tcBorders>
              <w:left w:val="single" w:sz="4" w:space="0" w:color="000000"/>
              <w:bottom w:val="single" w:sz="4" w:space="0" w:color="000000"/>
            </w:tcBorders>
          </w:tcPr>
          <w:p w:rsidR="0056194E" w:rsidRDefault="0056194E" w:rsidP="00AF6714">
            <w:pPr>
              <w:autoSpaceDE w:val="0"/>
              <w:snapToGrid w:val="0"/>
              <w:spacing w:before="40" w:after="40"/>
              <w:jc w:val="both"/>
            </w:pPr>
            <w:r>
              <w:rPr>
                <w:rFonts w:ascii="Arial" w:hAnsi="Arial" w:cs="Arial"/>
                <w:sz w:val="20"/>
                <w:szCs w:val="20"/>
              </w:rPr>
              <w:t>Tiempo desde la aleatorización hasta el inicio de tratamiento quimioterápico para CP.</w:t>
            </w:r>
          </w:p>
        </w:tc>
        <w:tc>
          <w:tcPr>
            <w:tcW w:w="1613" w:type="dxa"/>
            <w:tcBorders>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pacing w:before="40" w:after="40"/>
              <w:ind w:left="34"/>
              <w:jc w:val="both"/>
            </w:pPr>
            <w:r>
              <w:rPr>
                <w:rFonts w:ascii="Arial" w:hAnsi="Arial" w:cs="Arial"/>
                <w:color w:val="000000"/>
                <w:sz w:val="20"/>
                <w:szCs w:val="20"/>
              </w:rPr>
              <w:t>Intermedia</w:t>
            </w:r>
          </w:p>
        </w:tc>
      </w:tr>
      <w:tr w:rsidR="0056194E" w:rsidTr="00AF6714">
        <w:trPr>
          <w:cantSplit/>
        </w:trPr>
        <w:tc>
          <w:tcPr>
            <w:tcW w:w="1650" w:type="dxa"/>
            <w:vMerge/>
            <w:tcBorders>
              <w:top w:val="single" w:sz="4" w:space="0" w:color="000000"/>
              <w:left w:val="single" w:sz="4" w:space="0" w:color="000000"/>
              <w:bottom w:val="single" w:sz="4" w:space="0" w:color="000000"/>
            </w:tcBorders>
          </w:tcPr>
          <w:p w:rsidR="0056194E" w:rsidRDefault="0056194E" w:rsidP="00AF6714">
            <w:pPr>
              <w:autoSpaceDE w:val="0"/>
              <w:snapToGrid w:val="0"/>
              <w:spacing w:before="40" w:after="40"/>
              <w:jc w:val="both"/>
            </w:pPr>
          </w:p>
        </w:tc>
        <w:tc>
          <w:tcPr>
            <w:tcW w:w="1815" w:type="dxa"/>
            <w:tcBorders>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Tiempo hasta progresión del dolor</w:t>
            </w:r>
          </w:p>
        </w:tc>
        <w:tc>
          <w:tcPr>
            <w:tcW w:w="4035" w:type="dxa"/>
            <w:tcBorders>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sz w:val="20"/>
                <w:szCs w:val="20"/>
              </w:rPr>
              <w:t>Tiempo desde la aleatorización hasta el incremento de al menos el 30% del dolor observado en dos mediciones consecutivas separadas al menos 4 semanas, medido en la categoría más desfavorable del Brief Pain Inventory–Short Form.</w:t>
            </w:r>
          </w:p>
        </w:tc>
        <w:tc>
          <w:tcPr>
            <w:tcW w:w="1613" w:type="dxa"/>
            <w:tcBorders>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pacing w:before="40" w:after="40"/>
              <w:ind w:left="34"/>
              <w:jc w:val="both"/>
            </w:pPr>
            <w:r>
              <w:rPr>
                <w:rFonts w:ascii="Arial" w:hAnsi="Arial" w:cs="Arial"/>
                <w:color w:val="000000"/>
                <w:sz w:val="20"/>
                <w:szCs w:val="20"/>
              </w:rPr>
              <w:t>Intermedia</w:t>
            </w:r>
          </w:p>
        </w:tc>
      </w:tr>
      <w:tr w:rsidR="0056194E" w:rsidTr="00AF6714">
        <w:tc>
          <w:tcPr>
            <w:tcW w:w="1650" w:type="dxa"/>
            <w:tcBorders>
              <w:left w:val="single" w:sz="4" w:space="0" w:color="000000"/>
              <w:bottom w:val="single" w:sz="4" w:space="0" w:color="000000"/>
            </w:tcBorders>
          </w:tcPr>
          <w:p w:rsidR="0056194E" w:rsidRDefault="0056194E" w:rsidP="00AF6714">
            <w:pPr>
              <w:autoSpaceDE w:val="0"/>
              <w:snapToGrid w:val="0"/>
              <w:jc w:val="both"/>
            </w:pPr>
            <w:r>
              <w:rPr>
                <w:rFonts w:ascii="Arial" w:hAnsi="Arial" w:cs="Arial"/>
                <w:sz w:val="20"/>
                <w:szCs w:val="20"/>
              </w:rPr>
              <w:t>Variables exploratorias</w:t>
            </w:r>
          </w:p>
        </w:tc>
        <w:tc>
          <w:tcPr>
            <w:tcW w:w="1815" w:type="dxa"/>
            <w:tcBorders>
              <w:left w:val="single" w:sz="4" w:space="0" w:color="000000"/>
              <w:bottom w:val="single" w:sz="4" w:space="0" w:color="000000"/>
            </w:tcBorders>
          </w:tcPr>
          <w:p w:rsidR="0056194E" w:rsidRDefault="0056194E" w:rsidP="00AF6714">
            <w:pPr>
              <w:autoSpaceDE w:val="0"/>
              <w:snapToGrid w:val="0"/>
              <w:jc w:val="both"/>
            </w:pPr>
            <w:r>
              <w:rPr>
                <w:rFonts w:ascii="Arial" w:hAnsi="Arial" w:cs="Arial"/>
                <w:sz w:val="20"/>
                <w:szCs w:val="20"/>
              </w:rPr>
              <w:t>% pacientes con respuesta del PSA</w:t>
            </w:r>
          </w:p>
        </w:tc>
        <w:tc>
          <w:tcPr>
            <w:tcW w:w="4035" w:type="dxa"/>
            <w:tcBorders>
              <w:left w:val="single" w:sz="4" w:space="0" w:color="000000"/>
              <w:bottom w:val="single" w:sz="4" w:space="0" w:color="000000"/>
            </w:tcBorders>
          </w:tcPr>
          <w:p w:rsidR="0056194E" w:rsidRDefault="0056194E" w:rsidP="00AF6714">
            <w:pPr>
              <w:autoSpaceDE w:val="0"/>
              <w:snapToGrid w:val="0"/>
              <w:jc w:val="both"/>
            </w:pPr>
            <w:r>
              <w:rPr>
                <w:rFonts w:ascii="Arial" w:hAnsi="Arial" w:cs="Arial"/>
                <w:sz w:val="20"/>
                <w:szCs w:val="20"/>
              </w:rPr>
              <w:t xml:space="preserve">Respuesta al PSA se define como un descenso de al menos el 50% del valor valor basal. </w:t>
            </w:r>
          </w:p>
        </w:tc>
        <w:tc>
          <w:tcPr>
            <w:tcW w:w="1613"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tabs>
                <w:tab w:val="left" w:pos="2924"/>
              </w:tabs>
              <w:autoSpaceDE w:val="0"/>
              <w:snapToGrid w:val="0"/>
              <w:ind w:left="34" w:hanging="34"/>
              <w:jc w:val="both"/>
            </w:pPr>
            <w:r>
              <w:rPr>
                <w:rFonts w:ascii="Arial" w:hAnsi="Arial" w:cs="Arial"/>
                <w:color w:val="000000"/>
                <w:sz w:val="20"/>
                <w:szCs w:val="20"/>
              </w:rPr>
              <w:t>Intermedia</w:t>
            </w:r>
          </w:p>
        </w:tc>
      </w:tr>
      <w:tr w:rsidR="0056194E" w:rsidTr="00AF6714">
        <w:trPr>
          <w:trHeight w:val="645"/>
        </w:trPr>
        <w:tc>
          <w:tcPr>
            <w:tcW w:w="1650" w:type="dxa"/>
            <w:tcBorders>
              <w:left w:val="single" w:sz="4" w:space="0" w:color="000000"/>
              <w:bottom w:val="single" w:sz="4" w:space="0" w:color="000000"/>
            </w:tcBorders>
            <w:shd w:val="clear" w:color="auto" w:fill="D9D9D9"/>
          </w:tcPr>
          <w:p w:rsidR="0056194E" w:rsidRDefault="0056194E" w:rsidP="00AF6714">
            <w:pPr>
              <w:autoSpaceDE w:val="0"/>
              <w:snapToGrid w:val="0"/>
              <w:jc w:val="both"/>
              <w:rPr>
                <w:rFonts w:ascii="Arial" w:hAnsi="Arial" w:cs="Arial"/>
                <w:b/>
                <w:bCs/>
                <w:color w:val="000000"/>
                <w:sz w:val="20"/>
                <w:szCs w:val="20"/>
              </w:rPr>
            </w:pPr>
          </w:p>
          <w:p w:rsidR="0056194E" w:rsidRDefault="0056194E" w:rsidP="00AF6714">
            <w:pPr>
              <w:autoSpaceDE w:val="0"/>
              <w:jc w:val="both"/>
            </w:pPr>
            <w:r>
              <w:rPr>
                <w:rFonts w:ascii="Arial" w:hAnsi="Arial" w:cs="Arial"/>
                <w:b/>
                <w:bCs/>
                <w:color w:val="000000"/>
                <w:sz w:val="20"/>
                <w:szCs w:val="20"/>
              </w:rPr>
              <w:t>SEGURIDAD</w:t>
            </w:r>
          </w:p>
        </w:tc>
        <w:tc>
          <w:tcPr>
            <w:tcW w:w="1815" w:type="dxa"/>
            <w:tcBorders>
              <w:left w:val="single" w:sz="4" w:space="0" w:color="000000"/>
              <w:bottom w:val="single" w:sz="4" w:space="0" w:color="000000"/>
            </w:tcBorders>
            <w:shd w:val="clear" w:color="auto" w:fill="D9D9D9"/>
          </w:tcPr>
          <w:p w:rsidR="0056194E" w:rsidRDefault="0056194E" w:rsidP="00AF6714">
            <w:pPr>
              <w:autoSpaceDE w:val="0"/>
              <w:snapToGrid w:val="0"/>
              <w:jc w:val="both"/>
              <w:rPr>
                <w:rFonts w:ascii="Arial" w:hAnsi="Arial" w:cs="Arial"/>
                <w:b/>
                <w:bCs/>
                <w:color w:val="000000"/>
                <w:sz w:val="20"/>
                <w:szCs w:val="20"/>
              </w:rPr>
            </w:pPr>
          </w:p>
          <w:p w:rsidR="0056194E" w:rsidRDefault="0056194E" w:rsidP="00AF6714">
            <w:pPr>
              <w:autoSpaceDE w:val="0"/>
              <w:jc w:val="both"/>
            </w:pPr>
            <w:r>
              <w:rPr>
                <w:rFonts w:ascii="Arial" w:hAnsi="Arial" w:cs="Arial"/>
                <w:b/>
                <w:bCs/>
                <w:color w:val="000000"/>
                <w:sz w:val="20"/>
                <w:szCs w:val="20"/>
              </w:rPr>
              <w:t xml:space="preserve">Enunciado </w:t>
            </w:r>
          </w:p>
        </w:tc>
        <w:tc>
          <w:tcPr>
            <w:tcW w:w="4035" w:type="dxa"/>
            <w:tcBorders>
              <w:left w:val="single" w:sz="4" w:space="0" w:color="000000"/>
              <w:bottom w:val="single" w:sz="4" w:space="0" w:color="000000"/>
            </w:tcBorders>
            <w:shd w:val="clear" w:color="auto" w:fill="D9D9D9"/>
          </w:tcPr>
          <w:p w:rsidR="0056194E" w:rsidRDefault="0056194E" w:rsidP="00AF6714">
            <w:pPr>
              <w:autoSpaceDE w:val="0"/>
              <w:snapToGrid w:val="0"/>
              <w:jc w:val="both"/>
              <w:rPr>
                <w:rFonts w:ascii="Arial" w:hAnsi="Arial" w:cs="Arial"/>
                <w:sz w:val="20"/>
                <w:szCs w:val="20"/>
              </w:rPr>
            </w:pPr>
          </w:p>
          <w:p w:rsidR="0056194E" w:rsidRDefault="0056194E" w:rsidP="00AF6714">
            <w:pPr>
              <w:autoSpaceDE w:val="0"/>
              <w:jc w:val="both"/>
            </w:pPr>
            <w:r>
              <w:rPr>
                <w:rFonts w:ascii="Arial" w:hAnsi="Arial" w:cs="Arial"/>
                <w:sz w:val="20"/>
                <w:szCs w:val="20"/>
              </w:rPr>
              <w:t xml:space="preserve">Descripción </w:t>
            </w:r>
          </w:p>
          <w:p w:rsidR="0056194E" w:rsidRDefault="0056194E" w:rsidP="00AF6714">
            <w:pPr>
              <w:autoSpaceDE w:val="0"/>
              <w:jc w:val="both"/>
            </w:pPr>
          </w:p>
        </w:tc>
        <w:tc>
          <w:tcPr>
            <w:tcW w:w="1613" w:type="dxa"/>
            <w:tcBorders>
              <w:left w:val="single" w:sz="4" w:space="0" w:color="000000"/>
              <w:bottom w:val="single" w:sz="4" w:space="0" w:color="000000"/>
              <w:right w:val="single" w:sz="4" w:space="0" w:color="000000"/>
            </w:tcBorders>
            <w:shd w:val="clear" w:color="auto" w:fill="D9D9D9"/>
          </w:tcPr>
          <w:p w:rsidR="0056194E" w:rsidRDefault="0056194E" w:rsidP="00AF6714">
            <w:pPr>
              <w:tabs>
                <w:tab w:val="left" w:pos="2924"/>
              </w:tabs>
              <w:autoSpaceDE w:val="0"/>
              <w:ind w:left="34" w:hanging="34"/>
              <w:jc w:val="both"/>
            </w:pPr>
            <w:r>
              <w:rPr>
                <w:rFonts w:ascii="Arial" w:hAnsi="Arial" w:cs="Arial"/>
                <w:b/>
                <w:bCs/>
                <w:color w:val="000000"/>
                <w:sz w:val="20"/>
                <w:szCs w:val="20"/>
              </w:rPr>
              <w:t>Variable intermedia o final</w:t>
            </w:r>
          </w:p>
        </w:tc>
      </w:tr>
      <w:tr w:rsidR="0056194E" w:rsidTr="00AF6714">
        <w:tc>
          <w:tcPr>
            <w:tcW w:w="1650" w:type="dxa"/>
            <w:tcBorders>
              <w:left w:val="single" w:sz="4" w:space="0" w:color="000000"/>
              <w:bottom w:val="single" w:sz="4" w:space="0" w:color="000000"/>
            </w:tcBorders>
          </w:tcPr>
          <w:p w:rsidR="0056194E" w:rsidRDefault="0056194E" w:rsidP="00AF6714">
            <w:pPr>
              <w:autoSpaceDE w:val="0"/>
              <w:spacing w:before="40" w:after="40"/>
              <w:jc w:val="both"/>
            </w:pPr>
            <w:r>
              <w:rPr>
                <w:rFonts w:ascii="Arial" w:hAnsi="Arial" w:cs="Arial"/>
                <w:color w:val="000000"/>
                <w:sz w:val="20"/>
                <w:szCs w:val="20"/>
              </w:rPr>
              <w:t xml:space="preserve">Variable secundaria </w:t>
            </w:r>
          </w:p>
        </w:tc>
        <w:tc>
          <w:tcPr>
            <w:tcW w:w="1815" w:type="dxa"/>
            <w:tcBorders>
              <w:left w:val="single" w:sz="4" w:space="0" w:color="000000"/>
              <w:bottom w:val="single" w:sz="4" w:space="0" w:color="000000"/>
            </w:tcBorders>
          </w:tcPr>
          <w:p w:rsidR="0056194E" w:rsidRDefault="0056194E" w:rsidP="00AF6714">
            <w:pPr>
              <w:autoSpaceDE w:val="0"/>
              <w:snapToGrid w:val="0"/>
              <w:spacing w:before="40" w:after="40"/>
              <w:jc w:val="both"/>
            </w:pPr>
            <w:r>
              <w:rPr>
                <w:rFonts w:ascii="Arial" w:hAnsi="Arial" w:cs="Arial"/>
                <w:color w:val="000000"/>
                <w:sz w:val="20"/>
                <w:szCs w:val="20"/>
              </w:rPr>
              <w:t>Toxicidad</w:t>
            </w:r>
          </w:p>
        </w:tc>
        <w:tc>
          <w:tcPr>
            <w:tcW w:w="4035" w:type="dxa"/>
            <w:tcBorders>
              <w:left w:val="single" w:sz="4" w:space="0" w:color="000000"/>
              <w:bottom w:val="single" w:sz="4" w:space="0" w:color="000000"/>
            </w:tcBorders>
          </w:tcPr>
          <w:p w:rsidR="0056194E" w:rsidRDefault="0056194E" w:rsidP="00AF6714">
            <w:pPr>
              <w:autoSpaceDE w:val="0"/>
              <w:snapToGrid w:val="0"/>
              <w:spacing w:before="40" w:after="40"/>
              <w:jc w:val="both"/>
            </w:pPr>
            <w:r>
              <w:rPr>
                <w:rFonts w:ascii="Arial" w:hAnsi="Arial" w:cs="Arial"/>
                <w:color w:val="000000"/>
                <w:sz w:val="20"/>
                <w:szCs w:val="20"/>
              </w:rPr>
              <w:t>Incidencia de efectos adversos.</w:t>
            </w:r>
          </w:p>
        </w:tc>
        <w:tc>
          <w:tcPr>
            <w:tcW w:w="1613"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F6714">
            <w:pPr>
              <w:autoSpaceDE w:val="0"/>
              <w:snapToGrid w:val="0"/>
              <w:spacing w:before="40" w:after="40"/>
              <w:jc w:val="both"/>
            </w:pPr>
            <w:r>
              <w:rPr>
                <w:rFonts w:ascii="Arial" w:hAnsi="Arial" w:cs="Arial"/>
                <w:color w:val="000000"/>
                <w:sz w:val="20"/>
                <w:szCs w:val="20"/>
              </w:rPr>
              <w:t>Final</w:t>
            </w:r>
          </w:p>
        </w:tc>
      </w:tr>
      <w:tr w:rsidR="0056194E" w:rsidRPr="00683AE2" w:rsidTr="00AF6714">
        <w:tc>
          <w:tcPr>
            <w:tcW w:w="9113" w:type="dxa"/>
            <w:gridSpan w:val="4"/>
            <w:tcBorders>
              <w:top w:val="single" w:sz="4" w:space="0" w:color="000000"/>
              <w:left w:val="single" w:sz="4" w:space="0" w:color="000000"/>
              <w:bottom w:val="single" w:sz="4" w:space="0" w:color="000000"/>
              <w:right w:val="single" w:sz="4" w:space="0" w:color="000000"/>
            </w:tcBorders>
          </w:tcPr>
          <w:p w:rsidR="0056194E" w:rsidRPr="006A311C" w:rsidRDefault="0056194E" w:rsidP="00AF6714">
            <w:pPr>
              <w:autoSpaceDE w:val="0"/>
              <w:snapToGrid w:val="0"/>
              <w:spacing w:before="40" w:after="40"/>
              <w:jc w:val="both"/>
              <w:rPr>
                <w:lang w:val="en-GB"/>
              </w:rPr>
            </w:pPr>
            <w:r>
              <w:rPr>
                <w:rFonts w:ascii="Arial" w:hAnsi="Arial" w:cs="Arial"/>
                <w:color w:val="000000"/>
                <w:sz w:val="20"/>
                <w:szCs w:val="20"/>
                <w:lang w:val="en-US"/>
              </w:rPr>
              <w:t>RECIST: Response Evaluation Criteria in Solid Tumors; FACT-P: Functional Assessment of Cancer Therapy Prostate</w:t>
            </w:r>
          </w:p>
        </w:tc>
      </w:tr>
    </w:tbl>
    <w:p w:rsidR="0056194E" w:rsidRPr="00233B47" w:rsidRDefault="0056194E">
      <w:pPr>
        <w:jc w:val="both"/>
        <w:rPr>
          <w:rFonts w:ascii="Arial" w:hAnsi="Arial" w:cs="Arial"/>
          <w:color w:val="000080"/>
          <w:sz w:val="20"/>
          <w:szCs w:val="20"/>
          <w:lang w:val="en-GB"/>
        </w:rPr>
      </w:pPr>
    </w:p>
    <w:tbl>
      <w:tblPr>
        <w:tblW w:w="0" w:type="auto"/>
        <w:tblInd w:w="-18" w:type="dxa"/>
        <w:tblLayout w:type="fixed"/>
        <w:tblLook w:val="0000"/>
      </w:tblPr>
      <w:tblGrid>
        <w:gridCol w:w="1605"/>
        <w:gridCol w:w="1815"/>
        <w:gridCol w:w="4185"/>
        <w:gridCol w:w="1365"/>
      </w:tblGrid>
      <w:tr w:rsidR="0056194E">
        <w:tc>
          <w:tcPr>
            <w:tcW w:w="8970"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Pr="00233B47" w:rsidRDefault="0056194E">
            <w:pPr>
              <w:tabs>
                <w:tab w:val="left" w:pos="2924"/>
              </w:tabs>
              <w:autoSpaceDE w:val="0"/>
              <w:jc w:val="both"/>
            </w:pPr>
            <w:r w:rsidRPr="00233B47">
              <w:rPr>
                <w:rFonts w:ascii="Arial" w:hAnsi="Arial" w:cs="Arial"/>
                <w:b/>
                <w:color w:val="000000"/>
                <w:sz w:val="20"/>
                <w:szCs w:val="20"/>
              </w:rPr>
              <w:t xml:space="preserve">Variables empleadas en el ensayo clínico  </w:t>
            </w:r>
            <w:r w:rsidRPr="00233B47">
              <w:rPr>
                <w:rFonts w:ascii="Arial" w:hAnsi="Arial" w:cs="Arial"/>
                <w:b/>
                <w:bCs/>
                <w:color w:val="000000"/>
                <w:sz w:val="20"/>
                <w:szCs w:val="20"/>
              </w:rPr>
              <w:t>STAMPEDE</w:t>
            </w:r>
            <w:r w:rsidRPr="00233B47">
              <w:rPr>
                <w:rFonts w:ascii="Arial" w:hAnsi="Arial" w:cs="Arial"/>
                <w:b/>
                <w:bCs/>
                <w:color w:val="000000"/>
                <w:sz w:val="20"/>
                <w:szCs w:val="20"/>
                <w:vertAlign w:val="superscript"/>
              </w:rPr>
              <w:t>16</w:t>
            </w:r>
          </w:p>
        </w:tc>
      </w:tr>
      <w:tr w:rsidR="0056194E">
        <w:trPr>
          <w:trHeight w:val="522"/>
        </w:trPr>
        <w:tc>
          <w:tcPr>
            <w:tcW w:w="1605" w:type="dxa"/>
            <w:tcBorders>
              <w:top w:val="single" w:sz="4" w:space="0" w:color="000000"/>
              <w:left w:val="single" w:sz="4" w:space="0" w:color="000000"/>
              <w:bottom w:val="single" w:sz="4" w:space="0" w:color="000000"/>
            </w:tcBorders>
            <w:shd w:val="clear" w:color="auto" w:fill="D9D9D9"/>
          </w:tcPr>
          <w:p w:rsidR="0056194E" w:rsidRPr="00233B47" w:rsidRDefault="0056194E">
            <w:pPr>
              <w:autoSpaceDE w:val="0"/>
              <w:jc w:val="both"/>
            </w:pPr>
            <w:r w:rsidRPr="00233B47">
              <w:rPr>
                <w:rFonts w:ascii="Arial" w:hAnsi="Arial" w:cs="Arial"/>
                <w:b/>
                <w:bCs/>
                <w:color w:val="000000"/>
                <w:sz w:val="20"/>
                <w:szCs w:val="20"/>
              </w:rPr>
              <w:t>EFICACIA</w:t>
            </w:r>
          </w:p>
        </w:tc>
        <w:tc>
          <w:tcPr>
            <w:tcW w:w="1815" w:type="dxa"/>
            <w:tcBorders>
              <w:top w:val="single" w:sz="4" w:space="0" w:color="000000"/>
              <w:left w:val="single" w:sz="4" w:space="0" w:color="000000"/>
              <w:bottom w:val="single" w:sz="4" w:space="0" w:color="000000"/>
            </w:tcBorders>
            <w:shd w:val="clear" w:color="auto" w:fill="D9D9D9"/>
          </w:tcPr>
          <w:p w:rsidR="0056194E" w:rsidRPr="00233B47" w:rsidRDefault="0056194E">
            <w:pPr>
              <w:autoSpaceDE w:val="0"/>
              <w:jc w:val="both"/>
            </w:pPr>
            <w:r w:rsidRPr="00233B47">
              <w:rPr>
                <w:rFonts w:ascii="Arial" w:hAnsi="Arial" w:cs="Arial"/>
                <w:b/>
                <w:bCs/>
                <w:color w:val="000000"/>
                <w:sz w:val="20"/>
                <w:szCs w:val="20"/>
              </w:rPr>
              <w:t xml:space="preserve">Enunciado </w:t>
            </w:r>
          </w:p>
        </w:tc>
        <w:tc>
          <w:tcPr>
            <w:tcW w:w="4185" w:type="dxa"/>
            <w:tcBorders>
              <w:top w:val="single" w:sz="4" w:space="0" w:color="000000"/>
              <w:left w:val="single" w:sz="4" w:space="0" w:color="000000"/>
              <w:bottom w:val="single" w:sz="4" w:space="0" w:color="000000"/>
            </w:tcBorders>
            <w:shd w:val="clear" w:color="auto" w:fill="D9D9D9"/>
          </w:tcPr>
          <w:p w:rsidR="0056194E" w:rsidRPr="00233B47" w:rsidRDefault="0056194E">
            <w:pPr>
              <w:autoSpaceDE w:val="0"/>
              <w:jc w:val="both"/>
            </w:pPr>
            <w:r w:rsidRPr="00233B47">
              <w:rPr>
                <w:rFonts w:ascii="Arial" w:hAnsi="Arial" w:cs="Arial"/>
                <w:b/>
                <w:bCs/>
                <w:color w:val="000000"/>
                <w:sz w:val="20"/>
                <w:szCs w:val="20"/>
              </w:rPr>
              <w:t xml:space="preserve">Descripción </w:t>
            </w:r>
          </w:p>
        </w:tc>
        <w:tc>
          <w:tcPr>
            <w:tcW w:w="1365" w:type="dxa"/>
            <w:tcBorders>
              <w:top w:val="single" w:sz="4" w:space="0" w:color="000000"/>
              <w:left w:val="single" w:sz="4" w:space="0" w:color="000000"/>
              <w:bottom w:val="single" w:sz="4" w:space="0" w:color="000000"/>
              <w:right w:val="single" w:sz="4" w:space="0" w:color="000000"/>
            </w:tcBorders>
            <w:shd w:val="clear" w:color="auto" w:fill="D9D9D9"/>
          </w:tcPr>
          <w:p w:rsidR="0056194E" w:rsidRPr="00233B47" w:rsidRDefault="0056194E">
            <w:pPr>
              <w:tabs>
                <w:tab w:val="left" w:pos="2924"/>
              </w:tabs>
              <w:autoSpaceDE w:val="0"/>
              <w:ind w:left="34" w:hanging="34"/>
              <w:jc w:val="both"/>
            </w:pPr>
            <w:r w:rsidRPr="00233B47">
              <w:rPr>
                <w:rFonts w:ascii="Arial" w:hAnsi="Arial" w:cs="Arial"/>
                <w:b/>
                <w:bCs/>
                <w:color w:val="000000"/>
                <w:sz w:val="20"/>
                <w:szCs w:val="20"/>
              </w:rPr>
              <w:t>Variable intermedia o final</w:t>
            </w:r>
          </w:p>
        </w:tc>
      </w:tr>
      <w:tr w:rsidR="0056194E">
        <w:trPr>
          <w:cantSplit/>
        </w:trPr>
        <w:tc>
          <w:tcPr>
            <w:tcW w:w="1605" w:type="dxa"/>
            <w:vMerge w:val="restart"/>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color w:val="000000"/>
                <w:sz w:val="20"/>
                <w:szCs w:val="20"/>
              </w:rPr>
              <w:t>Variable primaria</w:t>
            </w:r>
          </w:p>
        </w:tc>
        <w:tc>
          <w:tcPr>
            <w:tcW w:w="181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color w:val="000000"/>
                <w:sz w:val="20"/>
                <w:szCs w:val="20"/>
              </w:rPr>
              <w:t>Supervivencia global (SG)</w:t>
            </w:r>
          </w:p>
        </w:tc>
        <w:tc>
          <w:tcPr>
            <w:tcW w:w="418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Tiempo desde la aleatorización hasta la muerte por cualquier causa.</w:t>
            </w:r>
          </w:p>
        </w:tc>
        <w:tc>
          <w:tcPr>
            <w:tcW w:w="1365" w:type="dxa"/>
            <w:tcBorders>
              <w:top w:val="single" w:sz="4" w:space="0" w:color="000000"/>
              <w:left w:val="single" w:sz="4" w:space="0" w:color="000000"/>
              <w:bottom w:val="single" w:sz="4" w:space="0" w:color="000000"/>
              <w:right w:val="single" w:sz="4" w:space="0" w:color="000000"/>
            </w:tcBorders>
            <w:shd w:val="clear" w:color="auto" w:fill="CCFFCC"/>
          </w:tcPr>
          <w:p w:rsidR="0056194E" w:rsidRPr="00233B47" w:rsidRDefault="0056194E">
            <w:pPr>
              <w:tabs>
                <w:tab w:val="left" w:pos="2924"/>
              </w:tabs>
              <w:autoSpaceDE w:val="0"/>
              <w:spacing w:before="40" w:after="40"/>
              <w:ind w:left="34"/>
              <w:jc w:val="both"/>
            </w:pPr>
            <w:r w:rsidRPr="00233B47">
              <w:rPr>
                <w:rFonts w:ascii="Arial" w:hAnsi="Arial" w:cs="Arial"/>
                <w:color w:val="000000"/>
                <w:sz w:val="20"/>
                <w:szCs w:val="20"/>
              </w:rPr>
              <w:t>Final</w:t>
            </w:r>
          </w:p>
        </w:tc>
      </w:tr>
      <w:tr w:rsidR="0056194E">
        <w:trPr>
          <w:cantSplit/>
        </w:trPr>
        <w:tc>
          <w:tcPr>
            <w:tcW w:w="1605" w:type="dxa"/>
            <w:vMerge/>
            <w:tcBorders>
              <w:top w:val="single" w:sz="4" w:space="0" w:color="000000"/>
              <w:left w:val="single" w:sz="4" w:space="0" w:color="000000"/>
              <w:bottom w:val="single" w:sz="4" w:space="0" w:color="000000"/>
            </w:tcBorders>
          </w:tcPr>
          <w:p w:rsidR="0056194E" w:rsidRPr="00233B47" w:rsidRDefault="0056194E">
            <w:pPr>
              <w:autoSpaceDE w:val="0"/>
              <w:snapToGrid w:val="0"/>
              <w:spacing w:before="40" w:after="40"/>
              <w:jc w:val="both"/>
            </w:pPr>
          </w:p>
        </w:tc>
        <w:tc>
          <w:tcPr>
            <w:tcW w:w="181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color w:val="000000"/>
                <w:sz w:val="20"/>
                <w:szCs w:val="20"/>
              </w:rPr>
              <w:t>Supervivencia sin fallo de tratamiento (SSFT)</w:t>
            </w:r>
          </w:p>
        </w:tc>
        <w:tc>
          <w:tcPr>
            <w:tcW w:w="418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Tiempo desde la aleatorización hasta la progresión bioquímica, progresión local (nódulos linfáticos), metástasis distantes o muerte por cáncer de próstata.</w:t>
            </w:r>
          </w:p>
        </w:tc>
        <w:tc>
          <w:tcPr>
            <w:tcW w:w="1365" w:type="dxa"/>
            <w:tcBorders>
              <w:top w:val="single" w:sz="4" w:space="0" w:color="000000"/>
              <w:left w:val="single" w:sz="4" w:space="0" w:color="000000"/>
              <w:bottom w:val="single" w:sz="4" w:space="0" w:color="000000"/>
              <w:right w:val="single" w:sz="4" w:space="0" w:color="000000"/>
            </w:tcBorders>
            <w:shd w:val="clear" w:color="auto" w:fill="CCFFCC"/>
          </w:tcPr>
          <w:p w:rsidR="0056194E" w:rsidRPr="00233B47" w:rsidRDefault="0056194E">
            <w:pPr>
              <w:tabs>
                <w:tab w:val="left" w:pos="2924"/>
              </w:tabs>
              <w:autoSpaceDE w:val="0"/>
              <w:spacing w:before="40" w:after="40"/>
              <w:ind w:left="34"/>
              <w:jc w:val="both"/>
            </w:pPr>
            <w:r w:rsidRPr="00233B47">
              <w:rPr>
                <w:rFonts w:ascii="Arial" w:hAnsi="Arial" w:cs="Arial"/>
                <w:color w:val="000000"/>
                <w:sz w:val="20"/>
                <w:szCs w:val="20"/>
              </w:rPr>
              <w:t>Intermedia</w:t>
            </w:r>
          </w:p>
        </w:tc>
      </w:tr>
      <w:tr w:rsidR="0056194E">
        <w:trPr>
          <w:cantSplit/>
        </w:trPr>
        <w:tc>
          <w:tcPr>
            <w:tcW w:w="1605" w:type="dxa"/>
            <w:vMerge w:val="restart"/>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color w:val="000000"/>
                <w:sz w:val="20"/>
                <w:szCs w:val="20"/>
              </w:rPr>
              <w:t>Variables secundarias</w:t>
            </w:r>
          </w:p>
          <w:p w:rsidR="0056194E" w:rsidRPr="00233B47" w:rsidRDefault="0056194E">
            <w:pPr>
              <w:autoSpaceDE w:val="0"/>
              <w:jc w:val="both"/>
            </w:pPr>
          </w:p>
        </w:tc>
        <w:tc>
          <w:tcPr>
            <w:tcW w:w="181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 xml:space="preserve">Eventos relacionados con el esqueleto </w:t>
            </w:r>
          </w:p>
        </w:tc>
        <w:tc>
          <w:tcPr>
            <w:tcW w:w="418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Tiempo desde la aleatorización hasta el primer evento relacionado con el esqueleto.</w:t>
            </w:r>
          </w:p>
        </w:tc>
        <w:tc>
          <w:tcPr>
            <w:tcW w:w="1365" w:type="dxa"/>
            <w:tcBorders>
              <w:top w:val="single" w:sz="4" w:space="0" w:color="000000"/>
              <w:left w:val="single" w:sz="4" w:space="0" w:color="000000"/>
              <w:bottom w:val="single" w:sz="4" w:space="0" w:color="000000"/>
              <w:right w:val="single" w:sz="4" w:space="0" w:color="000000"/>
            </w:tcBorders>
            <w:shd w:val="clear" w:color="auto" w:fill="CCFFCC"/>
          </w:tcPr>
          <w:p w:rsidR="0056194E" w:rsidRPr="00233B47" w:rsidRDefault="0056194E">
            <w:pPr>
              <w:tabs>
                <w:tab w:val="left" w:pos="2924"/>
              </w:tabs>
              <w:autoSpaceDE w:val="0"/>
              <w:spacing w:before="40" w:after="40"/>
              <w:ind w:left="34"/>
              <w:jc w:val="both"/>
            </w:pPr>
            <w:r w:rsidRPr="00233B47">
              <w:rPr>
                <w:rFonts w:ascii="Arial" w:hAnsi="Arial" w:cs="Arial"/>
                <w:color w:val="000000"/>
                <w:sz w:val="20"/>
                <w:szCs w:val="20"/>
              </w:rPr>
              <w:t>Intermedia</w:t>
            </w:r>
          </w:p>
        </w:tc>
      </w:tr>
      <w:tr w:rsidR="0056194E">
        <w:trPr>
          <w:cantSplit/>
        </w:trPr>
        <w:tc>
          <w:tcPr>
            <w:tcW w:w="1605" w:type="dxa"/>
            <w:vMerge/>
            <w:tcBorders>
              <w:top w:val="single" w:sz="4" w:space="0" w:color="000000"/>
              <w:left w:val="single" w:sz="4" w:space="0" w:color="000000"/>
              <w:bottom w:val="single" w:sz="4" w:space="0" w:color="000000"/>
            </w:tcBorders>
          </w:tcPr>
          <w:p w:rsidR="0056194E" w:rsidRPr="00233B47" w:rsidRDefault="0056194E">
            <w:pPr>
              <w:autoSpaceDE w:val="0"/>
              <w:snapToGrid w:val="0"/>
              <w:spacing w:before="40" w:after="40"/>
              <w:jc w:val="both"/>
            </w:pPr>
          </w:p>
        </w:tc>
        <w:tc>
          <w:tcPr>
            <w:tcW w:w="181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Supervivencia libre de progresión (SLP)</w:t>
            </w:r>
          </w:p>
        </w:tc>
        <w:tc>
          <w:tcPr>
            <w:tcW w:w="4185" w:type="dxa"/>
            <w:tcBorders>
              <w:top w:val="single" w:sz="4" w:space="0" w:color="000000"/>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Tiempo desde la aleatorización hasta progresión local (nódulos linfáticos), metástasis distantes o muerte por cáncer de próstata.</w:t>
            </w:r>
          </w:p>
        </w:tc>
        <w:tc>
          <w:tcPr>
            <w:tcW w:w="1365" w:type="dxa"/>
            <w:tcBorders>
              <w:top w:val="single" w:sz="4" w:space="0" w:color="000000"/>
              <w:left w:val="single" w:sz="4" w:space="0" w:color="000000"/>
              <w:bottom w:val="single" w:sz="4" w:space="0" w:color="000000"/>
              <w:right w:val="single" w:sz="4" w:space="0" w:color="000000"/>
            </w:tcBorders>
            <w:shd w:val="clear" w:color="auto" w:fill="CCFFCC"/>
          </w:tcPr>
          <w:p w:rsidR="0056194E" w:rsidRPr="00233B47" w:rsidRDefault="0056194E">
            <w:pPr>
              <w:tabs>
                <w:tab w:val="left" w:pos="2924"/>
              </w:tabs>
              <w:autoSpaceDE w:val="0"/>
              <w:spacing w:before="40" w:after="40"/>
              <w:ind w:left="34"/>
              <w:jc w:val="both"/>
            </w:pPr>
            <w:r w:rsidRPr="00233B47">
              <w:rPr>
                <w:rFonts w:ascii="Arial" w:hAnsi="Arial" w:cs="Arial"/>
                <w:color w:val="000000"/>
                <w:sz w:val="20"/>
                <w:szCs w:val="20"/>
              </w:rPr>
              <w:t>Intermedia</w:t>
            </w:r>
          </w:p>
        </w:tc>
      </w:tr>
      <w:tr w:rsidR="0056194E">
        <w:trPr>
          <w:cantSplit/>
        </w:trPr>
        <w:tc>
          <w:tcPr>
            <w:tcW w:w="1605" w:type="dxa"/>
            <w:vMerge/>
            <w:tcBorders>
              <w:top w:val="single" w:sz="4" w:space="0" w:color="000000"/>
              <w:left w:val="single" w:sz="4" w:space="0" w:color="000000"/>
              <w:bottom w:val="single" w:sz="4" w:space="0" w:color="000000"/>
            </w:tcBorders>
          </w:tcPr>
          <w:p w:rsidR="0056194E" w:rsidRPr="00233B47" w:rsidRDefault="0056194E">
            <w:pPr>
              <w:autoSpaceDE w:val="0"/>
              <w:snapToGrid w:val="0"/>
              <w:jc w:val="both"/>
            </w:pPr>
          </w:p>
        </w:tc>
        <w:tc>
          <w:tcPr>
            <w:tcW w:w="1815" w:type="dxa"/>
            <w:tcBorders>
              <w:top w:val="single" w:sz="4" w:space="0" w:color="000000"/>
              <w:left w:val="single" w:sz="4" w:space="0" w:color="000000"/>
              <w:bottom w:val="single" w:sz="4" w:space="0" w:color="000000"/>
            </w:tcBorders>
          </w:tcPr>
          <w:p w:rsidR="0056194E" w:rsidRPr="00233B47" w:rsidRDefault="0056194E">
            <w:pPr>
              <w:autoSpaceDE w:val="0"/>
              <w:snapToGrid w:val="0"/>
              <w:jc w:val="both"/>
            </w:pPr>
            <w:r w:rsidRPr="00233B47">
              <w:rPr>
                <w:rFonts w:ascii="Arial" w:hAnsi="Arial" w:cs="Arial"/>
                <w:color w:val="000000"/>
                <w:sz w:val="20"/>
                <w:szCs w:val="20"/>
              </w:rPr>
              <w:t>Supervivencia específica de la enfermedad</w:t>
            </w:r>
          </w:p>
        </w:tc>
        <w:tc>
          <w:tcPr>
            <w:tcW w:w="4185" w:type="dxa"/>
            <w:tcBorders>
              <w:top w:val="single" w:sz="4" w:space="0" w:color="000000"/>
              <w:left w:val="single" w:sz="4" w:space="0" w:color="000000"/>
              <w:bottom w:val="single" w:sz="4" w:space="0" w:color="000000"/>
            </w:tcBorders>
          </w:tcPr>
          <w:p w:rsidR="0056194E" w:rsidRPr="00233B47" w:rsidRDefault="0056194E">
            <w:pPr>
              <w:autoSpaceDE w:val="0"/>
              <w:snapToGrid w:val="0"/>
              <w:spacing w:before="40" w:after="40"/>
              <w:jc w:val="both"/>
            </w:pPr>
            <w:r w:rsidRPr="00233B47">
              <w:rPr>
                <w:rFonts w:ascii="Arial" w:hAnsi="Arial" w:cs="Arial"/>
                <w:sz w:val="20"/>
                <w:szCs w:val="20"/>
              </w:rPr>
              <w:t>Tiempo desde la aleatorización hasta la muerte por cáncer de próstata.</w:t>
            </w:r>
          </w:p>
          <w:p w:rsidR="0056194E" w:rsidRPr="00233B47" w:rsidRDefault="0056194E">
            <w:pPr>
              <w:autoSpaceDE w:val="0"/>
              <w:snapToGrid w:val="0"/>
              <w:spacing w:before="40" w:after="40"/>
              <w:jc w:val="both"/>
            </w:pPr>
          </w:p>
        </w:tc>
        <w:tc>
          <w:tcPr>
            <w:tcW w:w="1365" w:type="dxa"/>
            <w:tcBorders>
              <w:top w:val="single" w:sz="4" w:space="0" w:color="000000"/>
              <w:left w:val="single" w:sz="4" w:space="0" w:color="000000"/>
              <w:bottom w:val="single" w:sz="4" w:space="0" w:color="000000"/>
              <w:right w:val="single" w:sz="4" w:space="0" w:color="000000"/>
            </w:tcBorders>
            <w:shd w:val="clear" w:color="auto" w:fill="CCFFCC"/>
          </w:tcPr>
          <w:p w:rsidR="0056194E" w:rsidRPr="00233B47" w:rsidRDefault="0056194E">
            <w:pPr>
              <w:tabs>
                <w:tab w:val="left" w:pos="2924"/>
              </w:tabs>
              <w:autoSpaceDE w:val="0"/>
              <w:snapToGrid w:val="0"/>
              <w:spacing w:before="40" w:after="40"/>
              <w:ind w:left="34"/>
              <w:jc w:val="both"/>
            </w:pPr>
            <w:r w:rsidRPr="00233B47">
              <w:rPr>
                <w:rFonts w:ascii="Arial" w:hAnsi="Arial" w:cs="Arial"/>
                <w:color w:val="000000"/>
                <w:sz w:val="20"/>
                <w:szCs w:val="20"/>
              </w:rPr>
              <w:t>Final</w:t>
            </w:r>
          </w:p>
        </w:tc>
      </w:tr>
      <w:tr w:rsidR="0056194E">
        <w:tc>
          <w:tcPr>
            <w:tcW w:w="1605" w:type="dxa"/>
            <w:tcBorders>
              <w:left w:val="single" w:sz="4" w:space="0" w:color="000000"/>
              <w:bottom w:val="single" w:sz="4" w:space="0" w:color="000000"/>
            </w:tcBorders>
          </w:tcPr>
          <w:p w:rsidR="0056194E" w:rsidRPr="00233B47" w:rsidRDefault="0056194E">
            <w:pPr>
              <w:autoSpaceDE w:val="0"/>
              <w:spacing w:before="40" w:after="40"/>
              <w:jc w:val="both"/>
              <w:rPr>
                <w:rFonts w:ascii="Arial" w:hAnsi="Arial" w:cs="Arial"/>
                <w:sz w:val="20"/>
                <w:szCs w:val="20"/>
              </w:rPr>
            </w:pPr>
            <w:r w:rsidRPr="00233B47">
              <w:rPr>
                <w:rFonts w:ascii="Arial" w:hAnsi="Arial" w:cs="Arial"/>
                <w:sz w:val="20"/>
                <w:szCs w:val="20"/>
              </w:rPr>
              <w:t xml:space="preserve">Variables </w:t>
            </w:r>
          </w:p>
          <w:p w:rsidR="0056194E" w:rsidRPr="00233B47" w:rsidRDefault="0056194E">
            <w:pPr>
              <w:autoSpaceDE w:val="0"/>
              <w:spacing w:before="40" w:after="40"/>
              <w:jc w:val="both"/>
            </w:pPr>
            <w:r w:rsidRPr="00233B47">
              <w:rPr>
                <w:rFonts w:ascii="Arial" w:hAnsi="Arial" w:cs="Arial"/>
                <w:sz w:val="20"/>
                <w:szCs w:val="20"/>
              </w:rPr>
              <w:t>exploratorias</w:t>
            </w:r>
          </w:p>
        </w:tc>
        <w:tc>
          <w:tcPr>
            <w:tcW w:w="1815" w:type="dxa"/>
            <w:tcBorders>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Calidad de vida</w:t>
            </w:r>
          </w:p>
          <w:p w:rsidR="0056194E" w:rsidRPr="00233B47" w:rsidRDefault="0056194E">
            <w:pPr>
              <w:autoSpaceDE w:val="0"/>
              <w:spacing w:before="40" w:after="40"/>
              <w:jc w:val="both"/>
            </w:pPr>
          </w:p>
        </w:tc>
        <w:tc>
          <w:tcPr>
            <w:tcW w:w="4185" w:type="dxa"/>
            <w:tcBorders>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sz w:val="20"/>
                <w:szCs w:val="20"/>
              </w:rPr>
              <w:t>Calidad de vida medida por cuestionario EORTC QLQ-C30</w:t>
            </w:r>
          </w:p>
        </w:tc>
        <w:tc>
          <w:tcPr>
            <w:tcW w:w="1365" w:type="dxa"/>
            <w:tcBorders>
              <w:left w:val="single" w:sz="4" w:space="0" w:color="000000"/>
              <w:bottom w:val="single" w:sz="4" w:space="0" w:color="000000"/>
              <w:right w:val="single" w:sz="4" w:space="0" w:color="000000"/>
            </w:tcBorders>
            <w:shd w:val="clear" w:color="auto" w:fill="CCFFCC"/>
          </w:tcPr>
          <w:p w:rsidR="0056194E" w:rsidRPr="00233B47" w:rsidRDefault="0056194E">
            <w:pPr>
              <w:tabs>
                <w:tab w:val="left" w:pos="2924"/>
              </w:tabs>
              <w:autoSpaceDE w:val="0"/>
              <w:spacing w:before="40" w:after="40"/>
              <w:ind w:left="34"/>
              <w:jc w:val="both"/>
            </w:pPr>
            <w:r w:rsidRPr="00233B47">
              <w:rPr>
                <w:rFonts w:ascii="Arial" w:hAnsi="Arial" w:cs="Arial"/>
                <w:color w:val="000000"/>
                <w:sz w:val="20"/>
                <w:szCs w:val="20"/>
              </w:rPr>
              <w:t>Final</w:t>
            </w:r>
          </w:p>
          <w:p w:rsidR="0056194E" w:rsidRPr="00233B47" w:rsidRDefault="0056194E">
            <w:pPr>
              <w:tabs>
                <w:tab w:val="left" w:pos="2924"/>
              </w:tabs>
              <w:autoSpaceDE w:val="0"/>
              <w:spacing w:before="40" w:after="40"/>
              <w:ind w:left="34"/>
              <w:jc w:val="both"/>
            </w:pPr>
          </w:p>
        </w:tc>
      </w:tr>
      <w:tr w:rsidR="0056194E">
        <w:tc>
          <w:tcPr>
            <w:tcW w:w="1605" w:type="dxa"/>
            <w:tcBorders>
              <w:top w:val="single" w:sz="4" w:space="0" w:color="000000"/>
              <w:left w:val="single" w:sz="4" w:space="0" w:color="000000"/>
              <w:bottom w:val="single" w:sz="4" w:space="0" w:color="000000"/>
            </w:tcBorders>
            <w:shd w:val="clear" w:color="auto" w:fill="D9D9D9"/>
          </w:tcPr>
          <w:p w:rsidR="0056194E" w:rsidRPr="00233B47" w:rsidRDefault="0056194E">
            <w:pPr>
              <w:autoSpaceDE w:val="0"/>
              <w:jc w:val="both"/>
            </w:pPr>
            <w:r w:rsidRPr="00233B47">
              <w:rPr>
                <w:rFonts w:ascii="Arial" w:hAnsi="Arial" w:cs="Arial"/>
                <w:b/>
                <w:bCs/>
                <w:color w:val="000000"/>
                <w:sz w:val="20"/>
                <w:szCs w:val="20"/>
              </w:rPr>
              <w:t>SEGURIDAD</w:t>
            </w:r>
          </w:p>
        </w:tc>
        <w:tc>
          <w:tcPr>
            <w:tcW w:w="1815" w:type="dxa"/>
            <w:tcBorders>
              <w:top w:val="single" w:sz="4" w:space="0" w:color="000000"/>
              <w:left w:val="single" w:sz="4" w:space="0" w:color="000000"/>
              <w:bottom w:val="single" w:sz="4" w:space="0" w:color="000000"/>
            </w:tcBorders>
            <w:shd w:val="clear" w:color="auto" w:fill="D9D9D9"/>
          </w:tcPr>
          <w:p w:rsidR="0056194E" w:rsidRPr="00233B47" w:rsidRDefault="0056194E">
            <w:pPr>
              <w:autoSpaceDE w:val="0"/>
              <w:jc w:val="both"/>
            </w:pPr>
            <w:r w:rsidRPr="00233B47">
              <w:rPr>
                <w:rFonts w:ascii="Arial" w:hAnsi="Arial" w:cs="Arial"/>
                <w:b/>
                <w:bCs/>
                <w:color w:val="000000"/>
                <w:sz w:val="20"/>
                <w:szCs w:val="20"/>
              </w:rPr>
              <w:t xml:space="preserve">Enunciado </w:t>
            </w:r>
          </w:p>
        </w:tc>
        <w:tc>
          <w:tcPr>
            <w:tcW w:w="4185" w:type="dxa"/>
            <w:tcBorders>
              <w:top w:val="single" w:sz="4" w:space="0" w:color="000000"/>
              <w:left w:val="single" w:sz="4" w:space="0" w:color="000000"/>
              <w:bottom w:val="single" w:sz="4" w:space="0" w:color="000000"/>
            </w:tcBorders>
            <w:shd w:val="clear" w:color="auto" w:fill="D9D9D9"/>
          </w:tcPr>
          <w:p w:rsidR="0056194E" w:rsidRPr="00233B47" w:rsidRDefault="0056194E">
            <w:pPr>
              <w:autoSpaceDE w:val="0"/>
              <w:jc w:val="both"/>
            </w:pPr>
            <w:r w:rsidRPr="00233B47">
              <w:rPr>
                <w:rFonts w:ascii="Arial" w:hAnsi="Arial" w:cs="Arial"/>
                <w:b/>
                <w:bCs/>
                <w:color w:val="000000"/>
                <w:sz w:val="20"/>
                <w:szCs w:val="20"/>
              </w:rPr>
              <w:t xml:space="preserve">Descripción </w:t>
            </w:r>
          </w:p>
          <w:p w:rsidR="0056194E" w:rsidRPr="00233B47" w:rsidRDefault="0056194E">
            <w:pPr>
              <w:autoSpaceDE w:val="0"/>
              <w:jc w:val="both"/>
            </w:pPr>
          </w:p>
        </w:tc>
        <w:tc>
          <w:tcPr>
            <w:tcW w:w="1365" w:type="dxa"/>
            <w:tcBorders>
              <w:top w:val="single" w:sz="4" w:space="0" w:color="000000"/>
              <w:left w:val="single" w:sz="4" w:space="0" w:color="000000"/>
              <w:bottom w:val="single" w:sz="4" w:space="0" w:color="000000"/>
              <w:right w:val="single" w:sz="4" w:space="0" w:color="000000"/>
            </w:tcBorders>
            <w:shd w:val="clear" w:color="auto" w:fill="D9D9D9"/>
          </w:tcPr>
          <w:p w:rsidR="0056194E" w:rsidRPr="00233B47" w:rsidRDefault="0056194E">
            <w:pPr>
              <w:tabs>
                <w:tab w:val="left" w:pos="2924"/>
              </w:tabs>
              <w:autoSpaceDE w:val="0"/>
              <w:ind w:left="34" w:hanging="34"/>
              <w:jc w:val="both"/>
            </w:pPr>
            <w:r w:rsidRPr="00233B47">
              <w:rPr>
                <w:rFonts w:ascii="Arial" w:hAnsi="Arial" w:cs="Arial"/>
                <w:b/>
                <w:bCs/>
                <w:color w:val="000000"/>
                <w:sz w:val="20"/>
                <w:szCs w:val="20"/>
              </w:rPr>
              <w:t>Variable intermedia o final</w:t>
            </w:r>
          </w:p>
        </w:tc>
      </w:tr>
      <w:tr w:rsidR="0056194E">
        <w:tc>
          <w:tcPr>
            <w:tcW w:w="1605" w:type="dxa"/>
            <w:tcBorders>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color w:val="000000"/>
                <w:sz w:val="20"/>
                <w:szCs w:val="20"/>
              </w:rPr>
              <w:t xml:space="preserve">Variable secundaria </w:t>
            </w:r>
          </w:p>
        </w:tc>
        <w:tc>
          <w:tcPr>
            <w:tcW w:w="1815" w:type="dxa"/>
            <w:tcBorders>
              <w:left w:val="single" w:sz="4" w:space="0" w:color="000000"/>
              <w:bottom w:val="single" w:sz="4" w:space="0" w:color="000000"/>
            </w:tcBorders>
          </w:tcPr>
          <w:p w:rsidR="0056194E" w:rsidRPr="00233B47" w:rsidRDefault="0056194E">
            <w:pPr>
              <w:autoSpaceDE w:val="0"/>
              <w:spacing w:before="40" w:after="40"/>
              <w:jc w:val="both"/>
            </w:pPr>
            <w:r w:rsidRPr="00233B47">
              <w:rPr>
                <w:rFonts w:ascii="Arial" w:hAnsi="Arial" w:cs="Arial"/>
                <w:color w:val="000000"/>
                <w:sz w:val="20"/>
                <w:szCs w:val="20"/>
              </w:rPr>
              <w:t>Toxicidad</w:t>
            </w:r>
          </w:p>
        </w:tc>
        <w:tc>
          <w:tcPr>
            <w:tcW w:w="4185" w:type="dxa"/>
            <w:tcBorders>
              <w:left w:val="single" w:sz="4" w:space="0" w:color="000000"/>
              <w:bottom w:val="single" w:sz="4" w:space="0" w:color="000000"/>
            </w:tcBorders>
          </w:tcPr>
          <w:p w:rsidR="0056194E" w:rsidRPr="00233B47" w:rsidRDefault="0056194E">
            <w:pPr>
              <w:autoSpaceDE w:val="0"/>
              <w:snapToGrid w:val="0"/>
              <w:spacing w:before="40" w:after="40"/>
              <w:jc w:val="both"/>
            </w:pPr>
            <w:r w:rsidRPr="00233B47">
              <w:rPr>
                <w:rFonts w:ascii="Arial" w:hAnsi="Arial" w:cs="Arial"/>
                <w:color w:val="000000"/>
                <w:sz w:val="20"/>
                <w:szCs w:val="20"/>
              </w:rPr>
              <w:t>Incidencia de eventos adversos.</w:t>
            </w:r>
          </w:p>
        </w:tc>
        <w:tc>
          <w:tcPr>
            <w:tcW w:w="1365" w:type="dxa"/>
            <w:tcBorders>
              <w:top w:val="single" w:sz="4" w:space="0" w:color="000000"/>
              <w:left w:val="single" w:sz="4" w:space="0" w:color="000000"/>
              <w:bottom w:val="single" w:sz="4" w:space="0" w:color="000000"/>
              <w:right w:val="single" w:sz="4" w:space="0" w:color="000000"/>
            </w:tcBorders>
            <w:shd w:val="clear" w:color="auto" w:fill="CCFFCC"/>
          </w:tcPr>
          <w:p w:rsidR="0056194E" w:rsidRPr="00233B47" w:rsidRDefault="0056194E">
            <w:pPr>
              <w:autoSpaceDE w:val="0"/>
              <w:spacing w:before="40" w:after="40"/>
              <w:jc w:val="both"/>
            </w:pPr>
            <w:r w:rsidRPr="00233B47">
              <w:rPr>
                <w:rFonts w:ascii="Arial" w:hAnsi="Arial" w:cs="Arial"/>
                <w:color w:val="000000"/>
                <w:sz w:val="20"/>
                <w:szCs w:val="20"/>
              </w:rPr>
              <w:t>Final</w:t>
            </w:r>
          </w:p>
        </w:tc>
      </w:tr>
      <w:tr w:rsidR="0056194E" w:rsidRPr="00683AE2">
        <w:trPr>
          <w:trHeight w:val="152"/>
        </w:trPr>
        <w:tc>
          <w:tcPr>
            <w:tcW w:w="8970" w:type="dxa"/>
            <w:gridSpan w:val="4"/>
            <w:tcBorders>
              <w:top w:val="single" w:sz="4" w:space="0" w:color="000000"/>
              <w:left w:val="single" w:sz="4" w:space="0" w:color="000000"/>
              <w:bottom w:val="single" w:sz="4" w:space="0" w:color="000000"/>
              <w:right w:val="single" w:sz="4" w:space="0" w:color="000000"/>
            </w:tcBorders>
          </w:tcPr>
          <w:p w:rsidR="0056194E" w:rsidRPr="00233B47" w:rsidRDefault="0056194E">
            <w:pPr>
              <w:autoSpaceDE w:val="0"/>
              <w:snapToGrid w:val="0"/>
              <w:spacing w:before="40"/>
              <w:jc w:val="both"/>
              <w:rPr>
                <w:lang w:val="en-GB"/>
              </w:rPr>
            </w:pPr>
            <w:r w:rsidRPr="00233B47">
              <w:rPr>
                <w:rFonts w:ascii="Arial" w:hAnsi="Arial" w:cs="Arial"/>
                <w:color w:val="000000"/>
                <w:sz w:val="20"/>
                <w:szCs w:val="20"/>
                <w:lang w:val="en-US"/>
              </w:rPr>
              <w:t>EORTC QLQ-C30</w:t>
            </w:r>
            <w:r w:rsidRPr="00233B47">
              <w:rPr>
                <w:rFonts w:ascii="Arial" w:hAnsi="Arial" w:cs="Arial"/>
                <w:color w:val="000080"/>
                <w:sz w:val="20"/>
                <w:szCs w:val="20"/>
                <w:lang w:val="en-US"/>
              </w:rPr>
              <w:t xml:space="preserve">: </w:t>
            </w:r>
            <w:r w:rsidRPr="00233B47">
              <w:rPr>
                <w:rFonts w:ascii="Arial" w:hAnsi="Arial" w:cs="Arial"/>
                <w:color w:val="000000"/>
                <w:sz w:val="20"/>
                <w:szCs w:val="20"/>
                <w:lang w:val="en-US"/>
              </w:rPr>
              <w:t>European Organization for Research and Treatment of Cancer, quality life questionnaire</w:t>
            </w:r>
            <w:r w:rsidRPr="00233B47">
              <w:rPr>
                <w:rFonts w:ascii="Arial" w:hAnsi="Arial" w:cs="Arial"/>
                <w:color w:val="000080"/>
                <w:sz w:val="20"/>
                <w:szCs w:val="20"/>
                <w:lang w:val="en-US"/>
              </w:rPr>
              <w:t>.</w:t>
            </w:r>
          </w:p>
        </w:tc>
      </w:tr>
    </w:tbl>
    <w:p w:rsidR="0056194E" w:rsidRDefault="0056194E">
      <w:pPr>
        <w:autoSpaceDE w:val="0"/>
        <w:jc w:val="both"/>
        <w:rPr>
          <w:rFonts w:ascii="Arial" w:hAnsi="Arial" w:cs="Arial"/>
          <w:color w:val="000080"/>
          <w:sz w:val="20"/>
          <w:szCs w:val="20"/>
          <w:lang w:val="en-US"/>
        </w:rPr>
      </w:pPr>
    </w:p>
    <w:p w:rsidR="0056194E" w:rsidRDefault="0056194E">
      <w:pPr>
        <w:jc w:val="both"/>
        <w:rPr>
          <w:rFonts w:ascii="Arial" w:hAnsi="Arial" w:cs="Arial"/>
          <w:color w:val="0000FF"/>
          <w:sz w:val="20"/>
          <w:szCs w:val="20"/>
          <w:u w:val="single"/>
          <w:lang w:val="en-US"/>
        </w:rPr>
      </w:pPr>
    </w:p>
    <w:p w:rsidR="0056194E" w:rsidRDefault="0056194E">
      <w:pPr>
        <w:jc w:val="both"/>
        <w:rPr>
          <w:rFonts w:ascii="Arial" w:hAnsi="Arial" w:cs="Arial"/>
          <w:color w:val="0000FF"/>
          <w:sz w:val="20"/>
          <w:szCs w:val="20"/>
          <w:u w:val="single"/>
          <w:lang w:val="en-US"/>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20" w:name="_Toc536608336"/>
      <w:r>
        <w:rPr>
          <w:sz w:val="20"/>
        </w:rPr>
        <w:t>5.2.a Resultados de los ensayos clínicos</w:t>
      </w:r>
      <w:bookmarkEnd w:id="20"/>
      <w:r>
        <w:rPr>
          <w:sz w:val="20"/>
        </w:rPr>
        <w:t xml:space="preserve"> </w:t>
      </w:r>
    </w:p>
    <w:p w:rsidR="0056194E" w:rsidRDefault="0056194E">
      <w:pPr>
        <w:jc w:val="both"/>
        <w:rPr>
          <w:rFonts w:ascii="Arial" w:hAnsi="Arial" w:cs="Arial"/>
          <w:b/>
          <w:bCs/>
          <w:color w:val="000080"/>
          <w:sz w:val="20"/>
          <w:szCs w:val="20"/>
          <w:u w:val="single"/>
        </w:rPr>
      </w:pPr>
    </w:p>
    <w:tbl>
      <w:tblPr>
        <w:tblW w:w="0" w:type="auto"/>
        <w:tblInd w:w="70" w:type="dxa"/>
        <w:tblLayout w:type="fixed"/>
        <w:tblCellMar>
          <w:left w:w="70" w:type="dxa"/>
          <w:right w:w="70" w:type="dxa"/>
        </w:tblCellMar>
        <w:tblLook w:val="0000"/>
      </w:tblPr>
      <w:tblGrid>
        <w:gridCol w:w="2497"/>
        <w:gridCol w:w="1112"/>
        <w:gridCol w:w="1401"/>
        <w:gridCol w:w="1751"/>
        <w:gridCol w:w="548"/>
        <w:gridCol w:w="1604"/>
      </w:tblGrid>
      <w:tr w:rsidR="0056194E" w:rsidRPr="00683AE2">
        <w:trPr>
          <w:trHeight w:val="40"/>
        </w:trPr>
        <w:tc>
          <w:tcPr>
            <w:tcW w:w="8913" w:type="dxa"/>
            <w:gridSpan w:val="6"/>
            <w:tcBorders>
              <w:top w:val="single" w:sz="4" w:space="0" w:color="000000"/>
              <w:left w:val="single" w:sz="4" w:space="0" w:color="000000"/>
              <w:bottom w:val="single" w:sz="4" w:space="0" w:color="000000"/>
              <w:right w:val="single" w:sz="4" w:space="0" w:color="000000"/>
            </w:tcBorders>
            <w:shd w:val="clear" w:color="auto" w:fill="CCFFCC"/>
          </w:tcPr>
          <w:p w:rsidR="0056194E" w:rsidRPr="00730D01" w:rsidRDefault="0056194E">
            <w:pPr>
              <w:jc w:val="both"/>
              <w:rPr>
                <w:lang w:val="en-US"/>
              </w:rPr>
            </w:pPr>
            <w:r>
              <w:rPr>
                <w:rFonts w:ascii="Arial" w:hAnsi="Arial" w:cs="Arial"/>
                <w:b/>
                <w:i/>
                <w:sz w:val="20"/>
                <w:szCs w:val="20"/>
                <w:lang w:val="en-US"/>
              </w:rPr>
              <w:t xml:space="preserve">LATITUDE (pivotal). </w:t>
            </w:r>
            <w:r>
              <w:rPr>
                <w:rFonts w:ascii="Arial" w:hAnsi="Arial" w:cs="Arial"/>
                <w:b/>
                <w:i/>
                <w:color w:val="000000"/>
                <w:sz w:val="20"/>
                <w:szCs w:val="20"/>
                <w:lang w:val="en-US"/>
              </w:rPr>
              <w:t>Abiraterone plus Prednisone in Metastatic, Castration-Sensitive Prostate Cancer</w:t>
            </w:r>
            <w:r>
              <w:rPr>
                <w:rFonts w:ascii="Arial" w:hAnsi="Arial" w:cs="Arial"/>
                <w:b/>
                <w:i/>
                <w:color w:val="000000"/>
                <w:sz w:val="20"/>
                <w:szCs w:val="20"/>
                <w:vertAlign w:val="superscript"/>
                <w:lang w:val="en-US"/>
              </w:rPr>
              <w:t>17</w:t>
            </w:r>
          </w:p>
        </w:tc>
      </w:tr>
      <w:tr w:rsidR="0056194E">
        <w:trPr>
          <w:trHeight w:val="298"/>
        </w:trPr>
        <w:tc>
          <w:tcPr>
            <w:tcW w:w="8913" w:type="dxa"/>
            <w:gridSpan w:val="6"/>
            <w:tcBorders>
              <w:top w:val="single" w:sz="4" w:space="0" w:color="000000"/>
              <w:left w:val="single" w:sz="4" w:space="0" w:color="000000"/>
              <w:bottom w:val="single" w:sz="4" w:space="0" w:color="000000"/>
              <w:right w:val="single" w:sz="4" w:space="0" w:color="000000"/>
            </w:tcBorders>
          </w:tcPr>
          <w:p w:rsidR="0056194E" w:rsidRDefault="0056194E">
            <w:pPr>
              <w:jc w:val="both"/>
              <w:rPr>
                <w:rFonts w:ascii="Arial" w:hAnsi="Arial" w:cs="Arial"/>
                <w:sz w:val="18"/>
                <w:szCs w:val="18"/>
              </w:rPr>
            </w:pPr>
            <w:r>
              <w:rPr>
                <w:rFonts w:ascii="Arial" w:hAnsi="Arial" w:cs="Arial"/>
                <w:sz w:val="18"/>
                <w:szCs w:val="18"/>
              </w:rPr>
              <w:t>-Nº de pacientes: 1119</w:t>
            </w:r>
          </w:p>
          <w:p w:rsidR="0056194E" w:rsidRDefault="0056194E">
            <w:pPr>
              <w:jc w:val="both"/>
              <w:rPr>
                <w:rFonts w:ascii="Arial" w:hAnsi="Arial" w:cs="Arial"/>
                <w:sz w:val="18"/>
                <w:szCs w:val="18"/>
              </w:rPr>
            </w:pPr>
            <w:r>
              <w:rPr>
                <w:rFonts w:ascii="Arial" w:hAnsi="Arial" w:cs="Arial"/>
                <w:sz w:val="18"/>
                <w:szCs w:val="18"/>
              </w:rPr>
              <w:t>-Diseño: Fase III, aleatorizado, doble ciego, controlado con placebo.</w:t>
            </w:r>
          </w:p>
          <w:p w:rsidR="0056194E" w:rsidRDefault="0056194E">
            <w:pPr>
              <w:jc w:val="both"/>
              <w:rPr>
                <w:rFonts w:ascii="Arial" w:hAnsi="Arial" w:cs="Arial"/>
                <w:sz w:val="18"/>
                <w:szCs w:val="18"/>
              </w:rPr>
            </w:pPr>
            <w:r>
              <w:rPr>
                <w:rFonts w:ascii="Arial" w:hAnsi="Arial" w:cs="Arial"/>
                <w:sz w:val="18"/>
                <w:szCs w:val="18"/>
              </w:rPr>
              <w:t>-Tratamiento grupo activo: Abiraterona + terapia de deprivación androgénica</w:t>
            </w:r>
          </w:p>
          <w:p w:rsidR="0056194E" w:rsidRDefault="0056194E">
            <w:pPr>
              <w:jc w:val="both"/>
              <w:rPr>
                <w:rFonts w:ascii="Arial" w:hAnsi="Arial" w:cs="Arial"/>
                <w:sz w:val="18"/>
                <w:szCs w:val="18"/>
              </w:rPr>
            </w:pPr>
            <w:r>
              <w:rPr>
                <w:rFonts w:ascii="Arial" w:hAnsi="Arial" w:cs="Arial"/>
                <w:sz w:val="18"/>
                <w:szCs w:val="18"/>
              </w:rPr>
              <w:t>-Tratamiento grupo control: Placebo+ terapia de deprivación androgénica</w:t>
            </w:r>
          </w:p>
          <w:p w:rsidR="0056194E" w:rsidRDefault="0056194E">
            <w:pPr>
              <w:jc w:val="both"/>
              <w:rPr>
                <w:rFonts w:ascii="Arial" w:hAnsi="Arial" w:cs="Arial"/>
                <w:sz w:val="18"/>
                <w:szCs w:val="18"/>
              </w:rPr>
            </w:pPr>
            <w:r>
              <w:rPr>
                <w:rFonts w:ascii="Arial" w:hAnsi="Arial" w:cs="Arial"/>
                <w:sz w:val="18"/>
                <w:szCs w:val="18"/>
              </w:rPr>
              <w:t>-Criterios de inclusión: Paciente mayores de 18 años con un diagnóstico menor de 3 meses desde la aleatorización del estudio de cáncer de próstata hormonosensible metastásico de alto riesgo según los criterios RECIST, con función renal, hepática y hematológica correcta, ECOG 0-2, y con al menos dos de los siguientes factores de riesgo: Gleason 8-10, al menos 3 lesiones óseas o al menos 1 metástasis visceral medible.</w:t>
            </w:r>
          </w:p>
          <w:p w:rsidR="0056194E" w:rsidRDefault="0056194E" w:rsidP="00382F34">
            <w:pPr>
              <w:jc w:val="both"/>
              <w:rPr>
                <w:rFonts w:ascii="Arial" w:hAnsi="Arial" w:cs="Arial"/>
                <w:sz w:val="18"/>
                <w:szCs w:val="18"/>
              </w:rPr>
            </w:pPr>
            <w:r>
              <w:rPr>
                <w:rFonts w:ascii="Arial" w:hAnsi="Arial" w:cs="Arial"/>
                <w:sz w:val="18"/>
                <w:szCs w:val="18"/>
              </w:rPr>
              <w:t xml:space="preserve">-Criterios de exclusión: Infección activa u otros que contraindique la administración de prednisona, cualquier condición médica que requiera una administración de corticoides a dosis mayores de 5mg de prednisona al día, hallazgos patológicos de carcinoma de próstata de célula pequeña, metástasis cerebrales conocidas, haber recibido previamente quimioterapia, radioterapia, tratamiento quirúrgico para el cáncer de próstata o más de 3 meses de tratamiento con terapia de deprivación androgénica. Excepción: puede haber recibido un curso de radioterapia paliativa o cirugía para tratar los síntomas derivados de las metástasis si han transcurrido al menos 28 días antes de comenzar con el Ciclo1 Día 1 del ensayo clínico. </w:t>
            </w:r>
            <w:r w:rsidRPr="00382F34">
              <w:rPr>
                <w:rFonts w:ascii="Arial" w:hAnsi="Arial" w:cs="Arial"/>
                <w:sz w:val="18"/>
                <w:szCs w:val="18"/>
              </w:rPr>
              <w:t xml:space="preserve">También se excluyeron aquellos pacientes que tenían algún tipo de enfermedad cardíaca clínicamente significativa evidenciada con infarto de miocardio ó trombosis arterial en los últimos 6 meses, angina severa o inestable, enfermedad cardíaca Clase II-IV según la New York Heart Association (NYHA) ó fracción de eyección cadíaca &lt;50% de la basal., </w:t>
            </w:r>
          </w:p>
          <w:p w:rsidR="0056194E" w:rsidRDefault="0056194E">
            <w:pPr>
              <w:jc w:val="both"/>
              <w:rPr>
                <w:rFonts w:ascii="Arial" w:hAnsi="Arial" w:cs="Arial"/>
                <w:sz w:val="18"/>
                <w:szCs w:val="18"/>
              </w:rPr>
            </w:pPr>
            <w:r>
              <w:rPr>
                <w:rFonts w:ascii="Arial" w:hAnsi="Arial" w:cs="Arial"/>
                <w:sz w:val="18"/>
                <w:szCs w:val="18"/>
              </w:rPr>
              <w:t>-Pérdidas: no descritas.</w:t>
            </w:r>
          </w:p>
          <w:p w:rsidR="0056194E" w:rsidRDefault="0056194E">
            <w:pPr>
              <w:jc w:val="both"/>
              <w:rPr>
                <w:rFonts w:ascii="Arial" w:hAnsi="Arial" w:cs="Arial"/>
                <w:sz w:val="18"/>
                <w:szCs w:val="18"/>
              </w:rPr>
            </w:pPr>
            <w:r>
              <w:rPr>
                <w:rFonts w:ascii="Arial" w:hAnsi="Arial" w:cs="Arial"/>
                <w:sz w:val="18"/>
                <w:szCs w:val="18"/>
              </w:rPr>
              <w:t>-Tipo de análisis: por intención de tratar</w:t>
            </w:r>
          </w:p>
          <w:p w:rsidR="0056194E" w:rsidRDefault="0056194E">
            <w:pPr>
              <w:jc w:val="both"/>
            </w:pPr>
            <w:r>
              <w:rPr>
                <w:rFonts w:ascii="Arial" w:hAnsi="Arial" w:cs="Arial"/>
                <w:sz w:val="18"/>
                <w:szCs w:val="18"/>
              </w:rPr>
              <w:t>-Cálculo de tamaño muestral: Se diseñó el estudio para obtener una potencia estadística del 85% que permita observar un HR 0.81 entre los dos brazos a estudiar.</w:t>
            </w:r>
          </w:p>
        </w:tc>
      </w:tr>
      <w:tr w:rsidR="0056194E">
        <w:trPr>
          <w:cantSplit/>
          <w:trHeight w:val="23"/>
        </w:trPr>
        <w:tc>
          <w:tcPr>
            <w:tcW w:w="8913" w:type="dxa"/>
            <w:gridSpan w:val="6"/>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bCs/>
                <w:i/>
                <w:sz w:val="20"/>
                <w:szCs w:val="20"/>
              </w:rPr>
              <w:t xml:space="preserve">Resultados  </w:t>
            </w:r>
          </w:p>
        </w:tc>
      </w:tr>
      <w:tr w:rsidR="0056194E">
        <w:trPr>
          <w:trHeight w:val="23"/>
        </w:trPr>
        <w:tc>
          <w:tcPr>
            <w:tcW w:w="2497" w:type="dxa"/>
            <w:tcBorders>
              <w:top w:val="single" w:sz="4" w:space="0" w:color="000000"/>
              <w:left w:val="single" w:sz="4" w:space="0" w:color="000000"/>
              <w:bottom w:val="single" w:sz="4" w:space="0" w:color="000000"/>
            </w:tcBorders>
          </w:tcPr>
          <w:p w:rsidR="0056194E" w:rsidRDefault="0056194E">
            <w:pPr>
              <w:jc w:val="both"/>
            </w:pPr>
            <w:r>
              <w:rPr>
                <w:rFonts w:ascii="Arial" w:hAnsi="Arial" w:cs="Arial"/>
                <w:b/>
                <w:i/>
                <w:sz w:val="20"/>
                <w:szCs w:val="20"/>
              </w:rPr>
              <w:t>Variable  evaluada en el estudio</w:t>
            </w:r>
          </w:p>
        </w:tc>
        <w:tc>
          <w:tcPr>
            <w:tcW w:w="1112" w:type="dxa"/>
            <w:tcBorders>
              <w:top w:val="single" w:sz="4" w:space="0" w:color="000000"/>
              <w:left w:val="single" w:sz="4" w:space="0" w:color="000000"/>
              <w:bottom w:val="single" w:sz="4" w:space="0" w:color="000000"/>
            </w:tcBorders>
          </w:tcPr>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Abiraterona</w:t>
            </w:r>
          </w:p>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 TDA</w:t>
            </w:r>
          </w:p>
          <w:p w:rsidR="00396193" w:rsidRPr="00396193" w:rsidRDefault="00396193">
            <w:pPr>
              <w:tabs>
                <w:tab w:val="left" w:pos="1673"/>
              </w:tabs>
              <w:jc w:val="both"/>
              <w:rPr>
                <w:rFonts w:ascii="Arial" w:hAnsi="Arial" w:cs="Arial"/>
                <w:b/>
                <w:i/>
                <w:sz w:val="20"/>
                <w:szCs w:val="20"/>
                <w:lang w:val="pt-BR"/>
              </w:rPr>
            </w:pPr>
            <w:r w:rsidRPr="00396193">
              <w:rPr>
                <w:rFonts w:ascii="Arial" w:hAnsi="Arial" w:cs="Arial"/>
                <w:b/>
                <w:i/>
                <w:sz w:val="20"/>
                <w:szCs w:val="20"/>
                <w:lang w:val="pt-BR"/>
              </w:rPr>
              <w:t>(N=597)</w:t>
            </w:r>
          </w:p>
        </w:tc>
        <w:tc>
          <w:tcPr>
            <w:tcW w:w="1401" w:type="dxa"/>
            <w:tcBorders>
              <w:top w:val="single" w:sz="4" w:space="0" w:color="000000"/>
              <w:left w:val="single" w:sz="4" w:space="0" w:color="000000"/>
              <w:bottom w:val="single" w:sz="4" w:space="0" w:color="000000"/>
            </w:tcBorders>
          </w:tcPr>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 xml:space="preserve">Placebo </w:t>
            </w:r>
          </w:p>
          <w:p w:rsidR="0056194E" w:rsidRPr="00396193" w:rsidRDefault="0056194E">
            <w:pPr>
              <w:tabs>
                <w:tab w:val="left" w:pos="1673"/>
              </w:tabs>
              <w:jc w:val="both"/>
              <w:rPr>
                <w:rFonts w:ascii="Arial" w:hAnsi="Arial" w:cs="Arial"/>
                <w:b/>
                <w:i/>
                <w:sz w:val="20"/>
                <w:szCs w:val="20"/>
                <w:lang w:val="pt-BR"/>
              </w:rPr>
            </w:pPr>
            <w:r>
              <w:rPr>
                <w:rFonts w:ascii="Arial" w:hAnsi="Arial" w:cs="Arial"/>
                <w:b/>
                <w:i/>
                <w:sz w:val="20"/>
                <w:szCs w:val="20"/>
                <w:lang w:val="pt-BR"/>
              </w:rPr>
              <w:t>+ TDA</w:t>
            </w:r>
          </w:p>
          <w:p w:rsidR="0056194E" w:rsidRPr="00396193" w:rsidRDefault="00396193">
            <w:pPr>
              <w:tabs>
                <w:tab w:val="left" w:pos="1673"/>
              </w:tabs>
              <w:jc w:val="both"/>
              <w:rPr>
                <w:rFonts w:ascii="Arial" w:hAnsi="Arial" w:cs="Arial"/>
                <w:b/>
                <w:i/>
                <w:sz w:val="20"/>
                <w:szCs w:val="20"/>
                <w:lang w:val="pt-BR"/>
              </w:rPr>
            </w:pPr>
            <w:r w:rsidRPr="00396193">
              <w:rPr>
                <w:rFonts w:ascii="Arial" w:hAnsi="Arial" w:cs="Arial"/>
                <w:b/>
                <w:i/>
                <w:sz w:val="20"/>
                <w:szCs w:val="20"/>
                <w:lang w:val="pt-BR"/>
              </w:rPr>
              <w:t>(N=602)</w:t>
            </w:r>
          </w:p>
        </w:tc>
        <w:tc>
          <w:tcPr>
            <w:tcW w:w="1751" w:type="dxa"/>
            <w:tcBorders>
              <w:top w:val="single" w:sz="4" w:space="0" w:color="000000"/>
              <w:left w:val="single" w:sz="4" w:space="0" w:color="000000"/>
              <w:bottom w:val="single" w:sz="4" w:space="0" w:color="000000"/>
            </w:tcBorders>
          </w:tcPr>
          <w:p w:rsidR="0056194E" w:rsidRDefault="0056194E">
            <w:pPr>
              <w:tabs>
                <w:tab w:val="left" w:pos="1673"/>
              </w:tabs>
              <w:snapToGrid w:val="0"/>
              <w:jc w:val="both"/>
            </w:pPr>
            <w:r>
              <w:rPr>
                <w:rFonts w:ascii="Arial" w:hAnsi="Arial" w:cs="Arial"/>
                <w:b/>
                <w:i/>
                <w:sz w:val="20"/>
                <w:szCs w:val="20"/>
                <w:lang w:val="pt-BR"/>
              </w:rPr>
              <w:t>Diferencia mediana</w:t>
            </w:r>
          </w:p>
        </w:tc>
        <w:tc>
          <w:tcPr>
            <w:tcW w:w="548" w:type="dxa"/>
            <w:tcBorders>
              <w:top w:val="single" w:sz="4" w:space="0" w:color="000000"/>
              <w:left w:val="single" w:sz="4" w:space="0" w:color="000000"/>
              <w:bottom w:val="single" w:sz="4" w:space="0" w:color="000000"/>
            </w:tcBorders>
          </w:tcPr>
          <w:p w:rsidR="0056194E" w:rsidRDefault="0056194E">
            <w:pPr>
              <w:tabs>
                <w:tab w:val="left" w:pos="1673"/>
              </w:tabs>
              <w:snapToGrid w:val="0"/>
              <w:jc w:val="both"/>
            </w:pPr>
            <w:r>
              <w:rPr>
                <w:rFonts w:ascii="Arial" w:hAnsi="Arial" w:cs="Arial"/>
                <w:b/>
                <w:i/>
                <w:sz w:val="20"/>
                <w:szCs w:val="20"/>
                <w:lang w:val="pt-BR"/>
              </w:rPr>
              <w:t>HR</w:t>
            </w:r>
          </w:p>
        </w:tc>
        <w:tc>
          <w:tcPr>
            <w:tcW w:w="1604" w:type="dxa"/>
            <w:tcBorders>
              <w:top w:val="single" w:sz="4" w:space="0" w:color="000000"/>
              <w:left w:val="single" w:sz="4" w:space="0" w:color="000000"/>
              <w:bottom w:val="single" w:sz="4" w:space="0" w:color="000000"/>
              <w:right w:val="single" w:sz="4" w:space="0" w:color="000000"/>
            </w:tcBorders>
          </w:tcPr>
          <w:p w:rsidR="0056194E" w:rsidRDefault="0056194E">
            <w:pPr>
              <w:snapToGrid w:val="0"/>
              <w:jc w:val="both"/>
            </w:pPr>
            <w:r>
              <w:rPr>
                <w:rFonts w:ascii="Arial" w:hAnsi="Arial" w:cs="Arial"/>
                <w:b/>
                <w:i/>
                <w:sz w:val="20"/>
                <w:szCs w:val="20"/>
                <w:lang w:val="pt-BR"/>
              </w:rPr>
              <w:t>IC 95%</w:t>
            </w:r>
          </w:p>
        </w:tc>
      </w:tr>
      <w:tr w:rsidR="0056194E">
        <w:trPr>
          <w:trHeight w:val="3050"/>
        </w:trPr>
        <w:tc>
          <w:tcPr>
            <w:tcW w:w="2497" w:type="dxa"/>
            <w:tcBorders>
              <w:left w:val="single" w:sz="4" w:space="0" w:color="000000"/>
              <w:bottom w:val="single" w:sz="4" w:space="0" w:color="000000"/>
            </w:tcBorders>
          </w:tcPr>
          <w:p w:rsidR="0056194E" w:rsidRDefault="0056194E">
            <w:pPr>
              <w:snapToGrid w:val="0"/>
              <w:jc w:val="both"/>
              <w:rPr>
                <w:rFonts w:ascii="Arial" w:hAnsi="Arial" w:cs="Arial"/>
                <w:i/>
                <w:sz w:val="18"/>
                <w:szCs w:val="18"/>
              </w:rPr>
            </w:pPr>
            <w:r>
              <w:rPr>
                <w:rFonts w:ascii="Arial" w:hAnsi="Arial" w:cs="Arial"/>
                <w:b/>
                <w:bCs/>
                <w:i/>
                <w:sz w:val="18"/>
                <w:szCs w:val="18"/>
              </w:rPr>
              <w:t xml:space="preserve">Resultado principal </w:t>
            </w:r>
          </w:p>
          <w:p w:rsidR="0056194E" w:rsidRDefault="0056194E" w:rsidP="0071121B">
            <w:pPr>
              <w:snapToGrid w:val="0"/>
              <w:rPr>
                <w:rFonts w:ascii="Arial" w:hAnsi="Arial" w:cs="Arial"/>
                <w:b/>
                <w:bCs/>
                <w:i/>
                <w:sz w:val="18"/>
                <w:szCs w:val="18"/>
              </w:rPr>
            </w:pPr>
          </w:p>
          <w:p w:rsidR="00A975DC" w:rsidRDefault="0056194E" w:rsidP="00577AB2">
            <w:pPr>
              <w:snapToGrid w:val="0"/>
              <w:rPr>
                <w:rFonts w:ascii="Arial" w:hAnsi="Arial" w:cs="Arial"/>
                <w:sz w:val="18"/>
                <w:szCs w:val="18"/>
              </w:rPr>
            </w:pPr>
            <w:r>
              <w:rPr>
                <w:rFonts w:ascii="Arial" w:hAnsi="Arial" w:cs="Arial"/>
                <w:i/>
                <w:sz w:val="18"/>
                <w:szCs w:val="18"/>
              </w:rPr>
              <w:t>-Supervivencia global (mediana)</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sz w:val="18"/>
                <w:szCs w:val="18"/>
              </w:rPr>
            </w:pPr>
            <w:r>
              <w:rPr>
                <w:rFonts w:ascii="Arial" w:hAnsi="Arial" w:cs="Arial"/>
                <w:i/>
                <w:sz w:val="18"/>
                <w:szCs w:val="18"/>
              </w:rPr>
              <w:t>-Supervivencia libre de progresión radiológica (mediana)</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i/>
                <w:sz w:val="18"/>
                <w:szCs w:val="18"/>
              </w:rPr>
            </w:pPr>
            <w:r>
              <w:rPr>
                <w:rFonts w:ascii="Arial" w:hAnsi="Arial" w:cs="Arial"/>
                <w:b/>
                <w:bCs/>
                <w:i/>
                <w:sz w:val="18"/>
                <w:szCs w:val="18"/>
              </w:rPr>
              <w:t>Resultados secundarios de interés</w:t>
            </w:r>
          </w:p>
          <w:p w:rsidR="00A975DC" w:rsidRDefault="00A975DC" w:rsidP="00577AB2">
            <w:pPr>
              <w:snapToGrid w:val="0"/>
              <w:rPr>
                <w:rFonts w:ascii="Arial" w:hAnsi="Arial" w:cs="Arial"/>
                <w:i/>
                <w:sz w:val="18"/>
                <w:szCs w:val="18"/>
              </w:rPr>
            </w:pPr>
          </w:p>
          <w:p w:rsidR="00A975DC" w:rsidRDefault="0056194E" w:rsidP="00577AB2">
            <w:pPr>
              <w:snapToGrid w:val="0"/>
              <w:rPr>
                <w:rFonts w:ascii="Arial" w:hAnsi="Arial" w:cs="Arial"/>
                <w:sz w:val="18"/>
                <w:szCs w:val="18"/>
              </w:rPr>
            </w:pPr>
            <w:r>
              <w:rPr>
                <w:rFonts w:ascii="Arial" w:hAnsi="Arial" w:cs="Arial"/>
                <w:i/>
                <w:sz w:val="18"/>
                <w:szCs w:val="18"/>
              </w:rPr>
              <w:t>-Mediana de tiempo hasta progresión del dolor (meses)</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sz w:val="18"/>
                <w:szCs w:val="18"/>
              </w:rPr>
            </w:pPr>
            <w:r>
              <w:rPr>
                <w:rFonts w:ascii="Arial" w:hAnsi="Arial" w:cs="Arial"/>
                <w:i/>
                <w:sz w:val="18"/>
                <w:szCs w:val="18"/>
              </w:rPr>
              <w:t>-Mediana tiempo hasta progresión bioquímica (↑PSA)</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sz w:val="18"/>
                <w:szCs w:val="18"/>
              </w:rPr>
            </w:pPr>
            <w:r>
              <w:rPr>
                <w:rFonts w:ascii="Arial" w:hAnsi="Arial" w:cs="Arial"/>
                <w:i/>
                <w:sz w:val="18"/>
                <w:szCs w:val="18"/>
              </w:rPr>
              <w:t>-Mediana tiempo hasta evento esquelético sintomático (meses)</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sz w:val="18"/>
                <w:szCs w:val="18"/>
              </w:rPr>
            </w:pPr>
            <w:r>
              <w:rPr>
                <w:rFonts w:ascii="Arial" w:hAnsi="Arial" w:cs="Arial"/>
                <w:i/>
                <w:sz w:val="18"/>
                <w:szCs w:val="18"/>
              </w:rPr>
              <w:t>-Mediana tiempo hasta quimioterapia (meses)</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sz w:val="18"/>
                <w:szCs w:val="18"/>
              </w:rPr>
            </w:pPr>
            <w:r>
              <w:rPr>
                <w:rFonts w:ascii="Arial" w:hAnsi="Arial" w:cs="Arial"/>
                <w:i/>
                <w:sz w:val="18"/>
                <w:szCs w:val="18"/>
              </w:rPr>
              <w:t>-Mediana tiempo hasta siguiente terapia para cáncer de próstata(meses)</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i/>
                <w:sz w:val="18"/>
                <w:szCs w:val="18"/>
              </w:rPr>
            </w:pPr>
            <w:r>
              <w:rPr>
                <w:rFonts w:ascii="Arial" w:hAnsi="Arial" w:cs="Arial"/>
                <w:i/>
                <w:sz w:val="18"/>
                <w:szCs w:val="18"/>
              </w:rPr>
              <w:t>-Pacientes con respuesta PSA (%)</w:t>
            </w:r>
          </w:p>
          <w:p w:rsidR="00A975DC" w:rsidRDefault="00A975DC" w:rsidP="00577AB2">
            <w:pPr>
              <w:snapToGrid w:val="0"/>
              <w:rPr>
                <w:rFonts w:ascii="Arial" w:hAnsi="Arial" w:cs="Arial"/>
                <w:i/>
                <w:sz w:val="18"/>
                <w:szCs w:val="18"/>
              </w:rPr>
            </w:pPr>
          </w:p>
          <w:p w:rsidR="00A975DC" w:rsidRDefault="00A975DC" w:rsidP="00577AB2">
            <w:pPr>
              <w:snapToGrid w:val="0"/>
              <w:rPr>
                <w:rFonts w:ascii="Arial" w:hAnsi="Arial" w:cs="Arial"/>
                <w:i/>
                <w:sz w:val="18"/>
                <w:szCs w:val="18"/>
              </w:rPr>
            </w:pPr>
          </w:p>
          <w:p w:rsidR="00A975DC" w:rsidRDefault="00A975DC" w:rsidP="00577AB2">
            <w:pPr>
              <w:snapToGrid w:val="0"/>
              <w:rPr>
                <w:rFonts w:ascii="Arial" w:hAnsi="Arial" w:cs="Arial"/>
                <w:b/>
                <w:bCs/>
                <w:i/>
                <w:sz w:val="18"/>
                <w:szCs w:val="18"/>
              </w:rPr>
            </w:pPr>
          </w:p>
          <w:p w:rsidR="00A975DC" w:rsidRDefault="0056194E" w:rsidP="00577AB2">
            <w:pPr>
              <w:snapToGrid w:val="0"/>
              <w:rPr>
                <w:rFonts w:ascii="Arial" w:hAnsi="Arial" w:cs="Arial"/>
                <w:i/>
                <w:color w:val="FF0000"/>
                <w:sz w:val="18"/>
                <w:szCs w:val="18"/>
              </w:rPr>
            </w:pPr>
            <w:r>
              <w:rPr>
                <w:rFonts w:ascii="Arial" w:hAnsi="Arial" w:cs="Arial"/>
                <w:b/>
                <w:bCs/>
                <w:i/>
                <w:sz w:val="18"/>
                <w:szCs w:val="18"/>
              </w:rPr>
              <w:t>Resultados por subgrupos*</w:t>
            </w:r>
          </w:p>
          <w:p w:rsidR="00A975DC" w:rsidRDefault="00A975DC" w:rsidP="00577AB2">
            <w:pPr>
              <w:snapToGrid w:val="0"/>
              <w:rPr>
                <w:rFonts w:ascii="Arial" w:hAnsi="Arial" w:cs="Arial"/>
                <w:i/>
                <w:color w:val="000000"/>
                <w:sz w:val="18"/>
                <w:szCs w:val="18"/>
              </w:rPr>
            </w:pPr>
          </w:p>
          <w:p w:rsidR="00A975DC" w:rsidRDefault="0056194E" w:rsidP="00577AB2">
            <w:pPr>
              <w:snapToGrid w:val="0"/>
              <w:rPr>
                <w:rFonts w:ascii="Arial" w:hAnsi="Arial" w:cs="Arial"/>
                <w:color w:val="000000"/>
                <w:sz w:val="18"/>
                <w:szCs w:val="18"/>
              </w:rPr>
            </w:pPr>
            <w:r>
              <w:rPr>
                <w:rFonts w:ascii="Arial" w:hAnsi="Arial" w:cs="Arial"/>
                <w:i/>
                <w:color w:val="000000"/>
                <w:sz w:val="18"/>
                <w:szCs w:val="18"/>
              </w:rPr>
              <w:t>-SG en &lt;65 años</w:t>
            </w:r>
          </w:p>
          <w:p w:rsidR="00A975DC" w:rsidRDefault="00A975DC" w:rsidP="00577AB2">
            <w:pPr>
              <w:snapToGrid w:val="0"/>
              <w:rPr>
                <w:rFonts w:ascii="Arial" w:hAnsi="Arial" w:cs="Arial"/>
                <w:color w:val="000000"/>
                <w:sz w:val="18"/>
                <w:szCs w:val="18"/>
              </w:rPr>
            </w:pPr>
          </w:p>
          <w:p w:rsidR="00A975DC" w:rsidRDefault="0056194E" w:rsidP="00577AB2">
            <w:pPr>
              <w:snapToGrid w:val="0"/>
              <w:rPr>
                <w:rFonts w:ascii="Arial" w:hAnsi="Arial" w:cs="Arial"/>
                <w:color w:val="000000"/>
                <w:sz w:val="18"/>
                <w:szCs w:val="18"/>
              </w:rPr>
            </w:pPr>
            <w:r>
              <w:rPr>
                <w:rFonts w:ascii="Arial" w:hAnsi="Arial" w:cs="Arial"/>
                <w:i/>
                <w:color w:val="000000"/>
                <w:sz w:val="18"/>
                <w:szCs w:val="18"/>
              </w:rPr>
              <w:t>-SG en ≥65 años</w:t>
            </w:r>
          </w:p>
          <w:p w:rsidR="00A975DC" w:rsidRDefault="00A975DC" w:rsidP="00577AB2">
            <w:pPr>
              <w:snapToGrid w:val="0"/>
              <w:rPr>
                <w:rFonts w:ascii="Arial" w:hAnsi="Arial" w:cs="Arial"/>
                <w:color w:val="000000"/>
                <w:sz w:val="18"/>
                <w:szCs w:val="18"/>
              </w:rPr>
            </w:pPr>
          </w:p>
          <w:p w:rsidR="00A975DC" w:rsidRDefault="0056194E" w:rsidP="00577AB2">
            <w:pPr>
              <w:snapToGrid w:val="0"/>
              <w:rPr>
                <w:rFonts w:ascii="Arial" w:hAnsi="Arial" w:cs="Arial"/>
                <w:sz w:val="18"/>
                <w:szCs w:val="18"/>
              </w:rPr>
            </w:pPr>
            <w:r>
              <w:rPr>
                <w:rFonts w:ascii="Arial" w:hAnsi="Arial" w:cs="Arial"/>
                <w:i/>
                <w:color w:val="000000"/>
                <w:sz w:val="18"/>
                <w:szCs w:val="18"/>
              </w:rPr>
              <w:t xml:space="preserve">-SG en ≥75 años </w:t>
            </w:r>
          </w:p>
          <w:p w:rsidR="00A975DC" w:rsidRDefault="00A975DC" w:rsidP="00577AB2">
            <w:pPr>
              <w:snapToGrid w:val="0"/>
              <w:rPr>
                <w:rFonts w:ascii="Arial" w:hAnsi="Arial" w:cs="Arial"/>
                <w:sz w:val="18"/>
                <w:szCs w:val="18"/>
              </w:rPr>
            </w:pPr>
          </w:p>
          <w:p w:rsidR="00A975DC" w:rsidRDefault="0056194E" w:rsidP="00577AB2">
            <w:pPr>
              <w:snapToGrid w:val="0"/>
              <w:rPr>
                <w:rFonts w:ascii="Arial" w:hAnsi="Arial" w:cs="Arial"/>
                <w:color w:val="000000"/>
                <w:sz w:val="18"/>
                <w:szCs w:val="18"/>
              </w:rPr>
            </w:pPr>
            <w:r>
              <w:rPr>
                <w:rFonts w:ascii="Arial" w:hAnsi="Arial" w:cs="Arial"/>
                <w:i/>
                <w:color w:val="000000"/>
                <w:sz w:val="18"/>
                <w:szCs w:val="18"/>
              </w:rPr>
              <w:t>-SG en pacientes con LDH por encima de la mediana</w:t>
            </w:r>
          </w:p>
          <w:p w:rsidR="00A975DC" w:rsidRDefault="00A975DC" w:rsidP="00577AB2">
            <w:pPr>
              <w:snapToGrid w:val="0"/>
              <w:rPr>
                <w:rFonts w:ascii="Arial" w:hAnsi="Arial" w:cs="Arial"/>
                <w:color w:val="000000"/>
                <w:sz w:val="18"/>
                <w:szCs w:val="18"/>
              </w:rPr>
            </w:pPr>
          </w:p>
          <w:p w:rsidR="00A975DC" w:rsidRDefault="0056194E" w:rsidP="00577AB2">
            <w:pPr>
              <w:snapToGrid w:val="0"/>
            </w:pPr>
            <w:r>
              <w:rPr>
                <w:rFonts w:ascii="Arial" w:hAnsi="Arial" w:cs="Arial"/>
                <w:i/>
                <w:color w:val="000000"/>
                <w:sz w:val="18"/>
                <w:szCs w:val="18"/>
              </w:rPr>
              <w:t>-SG en pacientes con LDH por debajo de la mediana</w:t>
            </w:r>
          </w:p>
        </w:tc>
        <w:tc>
          <w:tcPr>
            <w:tcW w:w="1112" w:type="dxa"/>
            <w:tcBorders>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NA</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i/>
                <w:sz w:val="18"/>
                <w:szCs w:val="18"/>
              </w:rPr>
            </w:pPr>
            <w:r>
              <w:rPr>
                <w:rFonts w:ascii="Arial" w:hAnsi="Arial" w:cs="Arial"/>
                <w:sz w:val="18"/>
                <w:szCs w:val="18"/>
              </w:rPr>
              <w:t>33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33,2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91</w:t>
            </w:r>
            <w:r w:rsidR="00396193">
              <w:rPr>
                <w:rFonts w:ascii="Arial" w:hAnsi="Arial" w:cs="Arial"/>
                <w:i/>
                <w:sz w:val="18"/>
                <w:szCs w:val="18"/>
              </w:rPr>
              <w:t xml:space="preserve"> (15,24)</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Pr="006A311C" w:rsidRDefault="0056194E">
            <w:pPr>
              <w:snapToGrid w:val="0"/>
              <w:jc w:val="both"/>
              <w:rPr>
                <w:lang w:val="pt-BR"/>
              </w:rPr>
            </w:pPr>
            <w:r>
              <w:rPr>
                <w:rFonts w:ascii="Arial" w:hAnsi="Arial" w:cs="Arial"/>
                <w:i/>
                <w:sz w:val="18"/>
                <w:szCs w:val="18"/>
              </w:rPr>
              <w:t>NA</w:t>
            </w:r>
          </w:p>
        </w:tc>
        <w:tc>
          <w:tcPr>
            <w:tcW w:w="1401" w:type="dxa"/>
            <w:tcBorders>
              <w:left w:val="single" w:sz="4" w:space="0" w:color="000000"/>
              <w:bottom w:val="single" w:sz="4" w:space="0" w:color="000000"/>
            </w:tcBorders>
          </w:tcPr>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34,7 meses</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i/>
                <w:sz w:val="18"/>
                <w:szCs w:val="18"/>
              </w:rPr>
            </w:pPr>
            <w:r>
              <w:rPr>
                <w:rFonts w:ascii="Arial" w:hAnsi="Arial" w:cs="Arial"/>
                <w:sz w:val="18"/>
                <w:szCs w:val="18"/>
              </w:rPr>
              <w:t>14,8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16,6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7,4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38,9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21,6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67</w:t>
            </w:r>
            <w:r w:rsidR="005065FF">
              <w:rPr>
                <w:rFonts w:ascii="Arial" w:hAnsi="Arial" w:cs="Arial"/>
                <w:i/>
                <w:sz w:val="18"/>
                <w:szCs w:val="18"/>
              </w:rPr>
              <w:t xml:space="preserve"> (11,12)</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NA</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pPr>
            <w:r>
              <w:rPr>
                <w:rFonts w:ascii="Arial" w:hAnsi="Arial" w:cs="Arial"/>
                <w:i/>
                <w:sz w:val="18"/>
                <w:szCs w:val="18"/>
              </w:rPr>
              <w:t>NA</w:t>
            </w:r>
          </w:p>
        </w:tc>
        <w:tc>
          <w:tcPr>
            <w:tcW w:w="1751" w:type="dxa"/>
            <w:tcBorders>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i/>
                <w:sz w:val="18"/>
                <w:szCs w:val="18"/>
              </w:rPr>
            </w:pPr>
            <w:r>
              <w:rPr>
                <w:rFonts w:ascii="Arial" w:hAnsi="Arial" w:cs="Arial"/>
                <w:sz w:val="18"/>
                <w:szCs w:val="18"/>
              </w:rPr>
              <w:t>18,2 meses</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25,8</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w:t>
            </w:r>
          </w:p>
          <w:p w:rsidR="0056194E" w:rsidRDefault="0056194E">
            <w:pPr>
              <w:snapToGrid w:val="0"/>
              <w:jc w:val="both"/>
            </w:pPr>
          </w:p>
        </w:tc>
        <w:tc>
          <w:tcPr>
            <w:tcW w:w="548" w:type="dxa"/>
            <w:tcBorders>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0,62</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i/>
                <w:sz w:val="18"/>
                <w:szCs w:val="18"/>
              </w:rPr>
            </w:pPr>
            <w:r>
              <w:rPr>
                <w:rFonts w:ascii="Arial" w:hAnsi="Arial" w:cs="Arial"/>
                <w:sz w:val="18"/>
                <w:szCs w:val="18"/>
              </w:rPr>
              <w:t>0,47</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0,7</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0,3</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0,7</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0,44</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0,42</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pPr>
            <w:r>
              <w:rPr>
                <w:rFonts w:ascii="Arial" w:hAnsi="Arial" w:cs="Arial"/>
                <w:i/>
                <w:sz w:val="18"/>
                <w:szCs w:val="18"/>
              </w:rPr>
              <w:t>1,36</w:t>
            </w:r>
          </w:p>
        </w:tc>
        <w:tc>
          <w:tcPr>
            <w:tcW w:w="1604" w:type="dxa"/>
            <w:tcBorders>
              <w:left w:val="single" w:sz="4" w:space="0" w:color="000000"/>
              <w:bottom w:val="single" w:sz="4" w:space="0" w:color="000000"/>
              <w:right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0,51-0,76 (p&lt;0,001)</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i/>
                <w:sz w:val="18"/>
                <w:szCs w:val="18"/>
              </w:rPr>
            </w:pPr>
            <w:r>
              <w:rPr>
                <w:rFonts w:ascii="Arial" w:hAnsi="Arial" w:cs="Arial"/>
                <w:sz w:val="18"/>
                <w:szCs w:val="18"/>
              </w:rPr>
              <w:t>0,39-0,55 (p&lt;0,001)</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0,58-0,83</w:t>
            </w:r>
          </w:p>
          <w:p w:rsidR="0056194E" w:rsidRDefault="0056194E">
            <w:pPr>
              <w:snapToGrid w:val="0"/>
              <w:jc w:val="both"/>
              <w:rPr>
                <w:rFonts w:ascii="Arial" w:hAnsi="Arial" w:cs="Arial"/>
                <w:i/>
                <w:sz w:val="18"/>
                <w:szCs w:val="18"/>
              </w:rPr>
            </w:pPr>
            <w:r>
              <w:rPr>
                <w:rFonts w:ascii="Arial" w:hAnsi="Arial" w:cs="Arial"/>
                <w:i/>
                <w:sz w:val="18"/>
                <w:szCs w:val="18"/>
              </w:rPr>
              <w:t>(p&lt;0,001)</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0,26-0,35</w:t>
            </w:r>
          </w:p>
          <w:p w:rsidR="0056194E" w:rsidRDefault="0056194E">
            <w:pPr>
              <w:snapToGrid w:val="0"/>
              <w:jc w:val="both"/>
              <w:rPr>
                <w:rFonts w:ascii="Arial" w:hAnsi="Arial" w:cs="Arial"/>
                <w:i/>
                <w:sz w:val="18"/>
                <w:szCs w:val="18"/>
              </w:rPr>
            </w:pPr>
            <w:r>
              <w:rPr>
                <w:rFonts w:ascii="Arial" w:hAnsi="Arial" w:cs="Arial"/>
                <w:i/>
                <w:sz w:val="18"/>
                <w:szCs w:val="18"/>
              </w:rPr>
              <w:t>(p&lt;0.001)</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0,54-0,92</w:t>
            </w:r>
          </w:p>
          <w:p w:rsidR="0056194E" w:rsidRDefault="0056194E">
            <w:pPr>
              <w:snapToGrid w:val="0"/>
              <w:jc w:val="both"/>
              <w:rPr>
                <w:rFonts w:ascii="Arial" w:hAnsi="Arial" w:cs="Arial"/>
                <w:i/>
                <w:sz w:val="18"/>
                <w:szCs w:val="18"/>
              </w:rPr>
            </w:pPr>
            <w:r>
              <w:rPr>
                <w:rFonts w:ascii="Arial" w:hAnsi="Arial" w:cs="Arial"/>
                <w:i/>
                <w:sz w:val="18"/>
                <w:szCs w:val="18"/>
              </w:rPr>
              <w:t>(p&lt;0,009)</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0,35-0,56</w:t>
            </w:r>
          </w:p>
          <w:p w:rsidR="0056194E" w:rsidRDefault="0056194E">
            <w:pPr>
              <w:snapToGrid w:val="0"/>
              <w:jc w:val="both"/>
              <w:rPr>
                <w:rFonts w:ascii="Arial" w:hAnsi="Arial" w:cs="Arial"/>
                <w:i/>
                <w:sz w:val="18"/>
                <w:szCs w:val="18"/>
              </w:rPr>
            </w:pPr>
            <w:r>
              <w:rPr>
                <w:rFonts w:ascii="Arial" w:hAnsi="Arial" w:cs="Arial"/>
                <w:i/>
                <w:sz w:val="18"/>
                <w:szCs w:val="18"/>
              </w:rPr>
              <w:t>(p&lt;0,001)</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0,35-0,50</w:t>
            </w:r>
          </w:p>
          <w:p w:rsidR="0056194E" w:rsidRDefault="0056194E">
            <w:pPr>
              <w:snapToGrid w:val="0"/>
              <w:jc w:val="both"/>
              <w:rPr>
                <w:rFonts w:ascii="Arial" w:hAnsi="Arial" w:cs="Arial"/>
                <w:i/>
                <w:sz w:val="18"/>
                <w:szCs w:val="18"/>
              </w:rPr>
            </w:pPr>
            <w:r>
              <w:rPr>
                <w:rFonts w:ascii="Arial" w:hAnsi="Arial" w:cs="Arial"/>
                <w:i/>
                <w:sz w:val="18"/>
                <w:szCs w:val="18"/>
              </w:rPr>
              <w:t>(p&lt;0,001)</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1,28-1,45</w:t>
            </w:r>
          </w:p>
          <w:p w:rsidR="0056194E" w:rsidRDefault="0056194E">
            <w:pPr>
              <w:snapToGrid w:val="0"/>
              <w:jc w:val="both"/>
              <w:rPr>
                <w:rFonts w:ascii="Arial" w:hAnsi="Arial" w:cs="Arial"/>
                <w:i/>
                <w:sz w:val="18"/>
                <w:szCs w:val="18"/>
              </w:rPr>
            </w:pPr>
            <w:r>
              <w:rPr>
                <w:rFonts w:ascii="Arial" w:hAnsi="Arial" w:cs="Arial"/>
                <w:i/>
                <w:sz w:val="18"/>
                <w:szCs w:val="18"/>
              </w:rPr>
              <w:t>(p&lt;0,001)</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0,62 (0,45-0,84)</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0,64 (0,49-0,82)</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0,82 (0,53-1,27)</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r>
              <w:rPr>
                <w:rFonts w:ascii="Arial" w:hAnsi="Arial" w:cs="Arial"/>
                <w:i/>
                <w:sz w:val="18"/>
                <w:szCs w:val="18"/>
              </w:rPr>
              <w:t>0,74 (0,56-0,96)</w:t>
            </w:r>
          </w:p>
          <w:p w:rsidR="0056194E" w:rsidRDefault="0056194E">
            <w:pPr>
              <w:snapToGrid w:val="0"/>
              <w:jc w:val="both"/>
              <w:rPr>
                <w:rFonts w:ascii="Arial" w:hAnsi="Arial" w:cs="Arial"/>
                <w:i/>
                <w:sz w:val="18"/>
                <w:szCs w:val="18"/>
              </w:rPr>
            </w:pPr>
          </w:p>
          <w:p w:rsidR="0056194E" w:rsidRDefault="0056194E">
            <w:pPr>
              <w:snapToGrid w:val="0"/>
              <w:jc w:val="both"/>
              <w:rPr>
                <w:rFonts w:ascii="Arial" w:hAnsi="Arial" w:cs="Arial"/>
                <w:i/>
                <w:sz w:val="18"/>
                <w:szCs w:val="18"/>
              </w:rPr>
            </w:pPr>
          </w:p>
          <w:p w:rsidR="0056194E" w:rsidRDefault="0056194E">
            <w:pPr>
              <w:snapToGrid w:val="0"/>
              <w:jc w:val="both"/>
            </w:pPr>
            <w:r>
              <w:rPr>
                <w:rFonts w:ascii="Arial" w:hAnsi="Arial" w:cs="Arial"/>
                <w:i/>
                <w:sz w:val="18"/>
                <w:szCs w:val="18"/>
              </w:rPr>
              <w:t>0,51 (0,38-0,69</w:t>
            </w:r>
          </w:p>
        </w:tc>
      </w:tr>
      <w:tr w:rsidR="0056194E">
        <w:trPr>
          <w:trHeight w:val="71"/>
        </w:trPr>
        <w:tc>
          <w:tcPr>
            <w:tcW w:w="8913" w:type="dxa"/>
            <w:gridSpan w:val="6"/>
            <w:tcBorders>
              <w:top w:val="single" w:sz="4" w:space="0" w:color="000000"/>
              <w:left w:val="single" w:sz="4" w:space="0" w:color="000000"/>
              <w:bottom w:val="single" w:sz="4" w:space="0" w:color="000000"/>
              <w:right w:val="single" w:sz="4" w:space="0" w:color="000000"/>
            </w:tcBorders>
            <w:shd w:val="clear" w:color="auto" w:fill="E6E6E6"/>
          </w:tcPr>
          <w:p w:rsidR="0056194E" w:rsidRDefault="0056194E" w:rsidP="00730D01">
            <w:pPr>
              <w:snapToGrid w:val="0"/>
              <w:jc w:val="both"/>
            </w:pPr>
            <w:r>
              <w:rPr>
                <w:rStyle w:val="Hipervnculo"/>
                <w:rFonts w:ascii="Arial" w:hAnsi="Arial" w:cs="Arial"/>
                <w:i/>
                <w:color w:val="000000"/>
                <w:sz w:val="18"/>
                <w:szCs w:val="18"/>
                <w:u w:val="none"/>
              </w:rPr>
              <w:t>*En esta tabla se han reflejado únicamente los resultados por subgrupos que resultaron interesantes para las conclusiones de nuestro informe o aquellos en los que la interacción fue significativa.</w:t>
            </w:r>
          </w:p>
        </w:tc>
      </w:tr>
    </w:tbl>
    <w:p w:rsidR="0056194E" w:rsidRDefault="0056194E">
      <w:pPr>
        <w:snapToGrid w:val="0"/>
        <w:jc w:val="both"/>
        <w:rPr>
          <w:rFonts w:ascii="Arial" w:hAnsi="Arial" w:cs="Arial"/>
          <w:b/>
          <w:color w:val="000080"/>
          <w:sz w:val="20"/>
          <w:szCs w:val="20"/>
        </w:rPr>
      </w:pPr>
    </w:p>
    <w:p w:rsidR="0056194E" w:rsidRDefault="0056194E">
      <w:pPr>
        <w:snapToGrid w:val="0"/>
        <w:jc w:val="both"/>
        <w:rPr>
          <w:rFonts w:ascii="Arial" w:hAnsi="Arial" w:cs="Arial"/>
          <w:b/>
          <w:color w:val="000080"/>
          <w:sz w:val="20"/>
          <w:szCs w:val="20"/>
        </w:rPr>
      </w:pPr>
    </w:p>
    <w:p w:rsidR="0056194E" w:rsidRDefault="0056194E">
      <w:pPr>
        <w:snapToGrid w:val="0"/>
        <w:jc w:val="both"/>
        <w:rPr>
          <w:rFonts w:ascii="Arial" w:hAnsi="Arial" w:cs="Arial"/>
          <w:b/>
          <w:color w:val="000080"/>
          <w:sz w:val="20"/>
          <w:szCs w:val="20"/>
        </w:rPr>
      </w:pPr>
    </w:p>
    <w:p w:rsidR="0056194E" w:rsidRDefault="0056194E">
      <w:pPr>
        <w:snapToGrid w:val="0"/>
        <w:jc w:val="both"/>
        <w:rPr>
          <w:rFonts w:ascii="Arial" w:hAnsi="Arial" w:cs="Arial"/>
          <w:b/>
          <w:color w:val="000080"/>
          <w:sz w:val="20"/>
          <w:szCs w:val="20"/>
        </w:rPr>
      </w:pPr>
    </w:p>
    <w:p w:rsidR="0056194E" w:rsidRDefault="0056194E">
      <w:pPr>
        <w:snapToGrid w:val="0"/>
        <w:jc w:val="both"/>
        <w:rPr>
          <w:rFonts w:ascii="Arial" w:hAnsi="Arial" w:cs="Arial"/>
          <w:b/>
          <w:color w:val="000080"/>
          <w:sz w:val="20"/>
          <w:szCs w:val="20"/>
        </w:rPr>
      </w:pPr>
    </w:p>
    <w:p w:rsidR="00D038B1" w:rsidRDefault="00D038B1">
      <w:pPr>
        <w:snapToGrid w:val="0"/>
        <w:jc w:val="both"/>
        <w:rPr>
          <w:rFonts w:ascii="Arial" w:hAnsi="Arial" w:cs="Arial"/>
          <w:b/>
          <w:color w:val="000080"/>
          <w:sz w:val="20"/>
          <w:szCs w:val="20"/>
        </w:rPr>
      </w:pPr>
    </w:p>
    <w:p w:rsidR="00D038B1" w:rsidRDefault="00D038B1">
      <w:pPr>
        <w:snapToGrid w:val="0"/>
        <w:jc w:val="both"/>
        <w:rPr>
          <w:rFonts w:ascii="Arial" w:hAnsi="Arial" w:cs="Arial"/>
          <w:b/>
          <w:color w:val="000080"/>
          <w:sz w:val="20"/>
          <w:szCs w:val="20"/>
        </w:rPr>
      </w:pPr>
    </w:p>
    <w:p w:rsidR="00D038B1" w:rsidRDefault="00D038B1">
      <w:pPr>
        <w:snapToGrid w:val="0"/>
        <w:jc w:val="both"/>
        <w:rPr>
          <w:rFonts w:ascii="Arial" w:hAnsi="Arial" w:cs="Arial"/>
          <w:b/>
          <w:color w:val="000080"/>
          <w:sz w:val="20"/>
          <w:szCs w:val="20"/>
        </w:rPr>
      </w:pPr>
    </w:p>
    <w:p w:rsidR="00D038B1" w:rsidRDefault="00D038B1">
      <w:pPr>
        <w:snapToGrid w:val="0"/>
        <w:jc w:val="both"/>
        <w:rPr>
          <w:rFonts w:ascii="Arial" w:hAnsi="Arial" w:cs="Arial"/>
          <w:b/>
          <w:color w:val="000080"/>
          <w:sz w:val="20"/>
          <w:szCs w:val="20"/>
        </w:rPr>
      </w:pPr>
    </w:p>
    <w:p w:rsidR="00D038B1" w:rsidRDefault="00D038B1">
      <w:pPr>
        <w:snapToGrid w:val="0"/>
        <w:jc w:val="both"/>
        <w:rPr>
          <w:rFonts w:ascii="Arial" w:hAnsi="Arial" w:cs="Arial"/>
          <w:b/>
          <w:color w:val="000080"/>
          <w:sz w:val="20"/>
          <w:szCs w:val="20"/>
        </w:rPr>
      </w:pPr>
    </w:p>
    <w:p w:rsidR="00D038B1" w:rsidRDefault="00D038B1">
      <w:pPr>
        <w:snapToGrid w:val="0"/>
        <w:jc w:val="both"/>
        <w:rPr>
          <w:rFonts w:ascii="Arial" w:hAnsi="Arial" w:cs="Arial"/>
          <w:b/>
          <w:color w:val="000080"/>
          <w:sz w:val="20"/>
          <w:szCs w:val="20"/>
        </w:rPr>
      </w:pPr>
    </w:p>
    <w:p w:rsidR="0056194E" w:rsidRDefault="0056194E">
      <w:pPr>
        <w:snapToGrid w:val="0"/>
        <w:jc w:val="both"/>
        <w:rPr>
          <w:rFonts w:ascii="Arial" w:hAnsi="Arial" w:cs="Arial"/>
          <w:b/>
          <w:color w:val="000080"/>
          <w:sz w:val="20"/>
          <w:szCs w:val="20"/>
        </w:rPr>
      </w:pPr>
    </w:p>
    <w:tbl>
      <w:tblPr>
        <w:tblW w:w="10349" w:type="dxa"/>
        <w:tblInd w:w="-753" w:type="dxa"/>
        <w:tblLayout w:type="fixed"/>
        <w:tblLook w:val="0000"/>
      </w:tblPr>
      <w:tblGrid>
        <w:gridCol w:w="5263"/>
        <w:gridCol w:w="5086"/>
      </w:tblGrid>
      <w:tr w:rsidR="0056194E" w:rsidTr="005C6AF8">
        <w:trPr>
          <w:trHeight w:val="213"/>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snapToGrid w:val="0"/>
              <w:jc w:val="both"/>
            </w:pPr>
            <w:r>
              <w:rPr>
                <w:rFonts w:ascii="Arial" w:hAnsi="Arial" w:cs="Arial"/>
                <w:b/>
                <w:bCs/>
                <w:sz w:val="20"/>
                <w:szCs w:val="20"/>
              </w:rPr>
              <w:t>Curvas de SG y SLPr de LATITUDE.</w:t>
            </w:r>
            <w:r>
              <w:rPr>
                <w:rFonts w:ascii="Arial" w:hAnsi="Arial" w:cs="Arial"/>
                <w:sz w:val="20"/>
                <w:szCs w:val="20"/>
              </w:rPr>
              <w:t xml:space="preserve"> Gráficas de supervivencia (Kaplan-Meier)</w:t>
            </w:r>
            <w:r>
              <w:rPr>
                <w:rFonts w:ascii="Arial" w:hAnsi="Arial" w:cs="Arial"/>
                <w:sz w:val="20"/>
                <w:szCs w:val="20"/>
                <w:vertAlign w:val="superscript"/>
              </w:rPr>
              <w:t>17</w:t>
            </w:r>
          </w:p>
        </w:tc>
      </w:tr>
      <w:tr w:rsidR="0056194E" w:rsidTr="005C6AF8">
        <w:trPr>
          <w:trHeight w:val="468"/>
        </w:trPr>
        <w:tc>
          <w:tcPr>
            <w:tcW w:w="5263" w:type="dxa"/>
            <w:tcBorders>
              <w:top w:val="single" w:sz="4" w:space="0" w:color="000000"/>
              <w:left w:val="single" w:sz="4" w:space="0" w:color="000000"/>
              <w:bottom w:val="single" w:sz="4" w:space="0" w:color="000000"/>
            </w:tcBorders>
            <w:shd w:val="clear" w:color="auto" w:fill="E2EFD9"/>
            <w:vAlign w:val="center"/>
          </w:tcPr>
          <w:p w:rsidR="0056194E" w:rsidRDefault="00F33243">
            <w:pPr>
              <w:snapToGrid w:val="0"/>
              <w:jc w:val="both"/>
              <w:rPr>
                <w:rFonts w:ascii="Arial" w:hAnsi="Arial" w:cs="Arial"/>
                <w:color w:val="000080"/>
                <w:sz w:val="20"/>
                <w:szCs w:val="20"/>
              </w:rPr>
            </w:pPr>
            <w:r w:rsidRPr="00F33243">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6" type="#_x0000_t75" style="position:absolute;left:0;text-align:left;margin-left:-4.85pt;margin-top:-166.05pt;width:258.65pt;height:178.55pt;z-index:251645440;visibility:visible;mso-wrap-distance-left:0;mso-wrap-distance-right:0;mso-position-horizontal-relative:text;mso-position-vertical-relative:text" filled="t" stroked="t" strokeweight=".25pt">
                  <v:imagedata r:id="rId9" o:title="" croptop="-59f" cropbottom="-59f" cropleft="-43f" cropright="-43f"/>
                  <w10:wrap type="topAndBottom"/>
                </v:shape>
              </w:pict>
            </w:r>
          </w:p>
          <w:p w:rsidR="0056194E" w:rsidRDefault="0056194E">
            <w:pPr>
              <w:jc w:val="both"/>
              <w:rPr>
                <w:rFonts w:ascii="Arial" w:hAnsi="Arial" w:cs="Arial"/>
                <w:b/>
                <w:color w:val="000080"/>
                <w:sz w:val="20"/>
                <w:szCs w:val="20"/>
              </w:rPr>
            </w:pPr>
            <w:r>
              <w:rPr>
                <w:rFonts w:ascii="Arial" w:hAnsi="Arial" w:cs="Arial"/>
                <w:b/>
                <w:color w:val="000080"/>
                <w:sz w:val="20"/>
                <w:szCs w:val="20"/>
              </w:rPr>
              <w:t>Supervivencia global en todos los pacientes.</w:t>
            </w:r>
          </w:p>
          <w:p w:rsidR="0056194E" w:rsidRDefault="0056194E">
            <w:pPr>
              <w:jc w:val="both"/>
            </w:pPr>
            <w:r>
              <w:rPr>
                <w:rFonts w:ascii="Arial" w:hAnsi="Arial" w:cs="Arial"/>
                <w:b/>
                <w:color w:val="000080"/>
                <w:sz w:val="20"/>
                <w:szCs w:val="20"/>
              </w:rPr>
              <w:t>(NEJM 2017)</w:t>
            </w:r>
          </w:p>
          <w:p w:rsidR="0056194E" w:rsidRDefault="0056194E">
            <w:pPr>
              <w:jc w:val="both"/>
            </w:pPr>
          </w:p>
        </w:tc>
        <w:tc>
          <w:tcPr>
            <w:tcW w:w="508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6194E" w:rsidRDefault="00F33243">
            <w:pPr>
              <w:snapToGrid w:val="0"/>
              <w:jc w:val="both"/>
              <w:rPr>
                <w:rFonts w:ascii="Arial" w:hAnsi="Arial" w:cs="Arial"/>
                <w:color w:val="000080"/>
                <w:sz w:val="20"/>
                <w:szCs w:val="20"/>
                <w:lang w:eastAsia="es-ES"/>
              </w:rPr>
            </w:pPr>
            <w:r w:rsidRPr="00F33243">
              <w:rPr>
                <w:noProof/>
                <w:lang w:eastAsia="es-ES"/>
              </w:rPr>
              <w:pict>
                <v:shape id="Imagen 22" o:spid="_x0000_s1027" type="#_x0000_t75" style="position:absolute;left:0;text-align:left;margin-left:-3.25pt;margin-top:-179.75pt;width:247.5pt;height:179.1pt;z-index:251647488;visibility:visible;mso-wrap-distance-left:0;mso-wrap-distance-right:0;mso-position-horizontal-relative:text;mso-position-vertical-relative:text" filled="t" stroked="t" strokeweight=".25pt">
                  <v:imagedata r:id="rId10" o:title="" croptop="-59f" cropbottom="-59f" cropleft="-43f" cropright="-43f"/>
                  <w10:wrap type="square" side="largest"/>
                </v:shape>
              </w:pict>
            </w:r>
          </w:p>
          <w:p w:rsidR="0056194E" w:rsidRDefault="0056194E">
            <w:pPr>
              <w:jc w:val="both"/>
              <w:rPr>
                <w:rFonts w:ascii="Arial" w:hAnsi="Arial" w:cs="Arial"/>
                <w:b/>
                <w:color w:val="000080"/>
                <w:sz w:val="20"/>
                <w:szCs w:val="20"/>
              </w:rPr>
            </w:pPr>
            <w:r>
              <w:rPr>
                <w:rFonts w:ascii="Arial" w:hAnsi="Arial" w:cs="Arial"/>
                <w:b/>
                <w:color w:val="000080"/>
                <w:sz w:val="20"/>
                <w:szCs w:val="20"/>
              </w:rPr>
              <w:t xml:space="preserve">Supervivencia libre de progresión radiológica </w:t>
            </w:r>
          </w:p>
          <w:p w:rsidR="0056194E" w:rsidRDefault="0056194E">
            <w:pPr>
              <w:jc w:val="both"/>
            </w:pPr>
            <w:r>
              <w:rPr>
                <w:rFonts w:ascii="Arial" w:hAnsi="Arial" w:cs="Arial"/>
                <w:b/>
                <w:color w:val="000080"/>
                <w:sz w:val="20"/>
                <w:szCs w:val="20"/>
              </w:rPr>
              <w:t>(NEJM 2017)</w:t>
            </w:r>
          </w:p>
        </w:tc>
      </w:tr>
    </w:tbl>
    <w:p w:rsidR="0056194E" w:rsidRDefault="0056194E">
      <w:pPr>
        <w:snapToGrid w:val="0"/>
        <w:jc w:val="both"/>
        <w:rPr>
          <w:rFonts w:ascii="Arial" w:hAnsi="Arial" w:cs="Arial"/>
          <w:b/>
          <w:color w:val="000080"/>
          <w:sz w:val="20"/>
          <w:szCs w:val="20"/>
          <w:u w:val="single"/>
        </w:rPr>
      </w:pPr>
    </w:p>
    <w:p w:rsidR="00FC0B62" w:rsidRDefault="00FC0B62">
      <w:pPr>
        <w:snapToGrid w:val="0"/>
        <w:jc w:val="both"/>
        <w:rPr>
          <w:rFonts w:ascii="Arial" w:hAnsi="Arial" w:cs="Arial"/>
          <w:bCs/>
          <w:color w:val="000000"/>
          <w:sz w:val="20"/>
          <w:szCs w:val="20"/>
        </w:rPr>
      </w:pPr>
    </w:p>
    <w:p w:rsidR="00FC0B62" w:rsidRDefault="00C42976">
      <w:pPr>
        <w:snapToGrid w:val="0"/>
        <w:jc w:val="both"/>
        <w:rPr>
          <w:rFonts w:ascii="Arial" w:hAnsi="Arial" w:cs="Arial"/>
          <w:bCs/>
          <w:color w:val="000000"/>
          <w:sz w:val="20"/>
          <w:szCs w:val="20"/>
        </w:rPr>
      </w:pPr>
      <w:r w:rsidRPr="00C57E0E">
        <w:rPr>
          <w:rFonts w:ascii="Arial" w:hAnsi="Arial" w:cs="Arial"/>
          <w:bCs/>
          <w:color w:val="000000"/>
          <w:sz w:val="20"/>
          <w:szCs w:val="20"/>
        </w:rPr>
        <w:t>Actualización 2019</w:t>
      </w:r>
      <w:r w:rsidR="00C57E0E" w:rsidRPr="00C57E0E">
        <w:rPr>
          <w:rFonts w:ascii="Arial" w:hAnsi="Arial" w:cs="Arial"/>
          <w:bCs/>
          <w:color w:val="000000"/>
          <w:sz w:val="20"/>
          <w:szCs w:val="20"/>
          <w:vertAlign w:val="superscript"/>
        </w:rPr>
        <w:t>18</w:t>
      </w:r>
      <w:r w:rsidRPr="00C57E0E">
        <w:rPr>
          <w:rFonts w:ascii="Arial" w:hAnsi="Arial" w:cs="Arial"/>
          <w:bCs/>
          <w:color w:val="000000"/>
          <w:sz w:val="20"/>
          <w:szCs w:val="20"/>
        </w:rPr>
        <w:t xml:space="preserve">: </w:t>
      </w:r>
      <w:r w:rsidR="00164CCD" w:rsidRPr="00C57E0E">
        <w:rPr>
          <w:rFonts w:ascii="Arial" w:hAnsi="Arial" w:cs="Arial"/>
          <w:bCs/>
          <w:color w:val="000000"/>
          <w:sz w:val="20"/>
          <w:szCs w:val="20"/>
        </w:rPr>
        <w:t>en febrero de 2019 se presentó en forma de abstract los resultados finales del estudio LATITUDE. Tras una mediana de seguimiento de 51.8 meses y 618 muertes (275 [46%] grupo activo y 343 [57%] grupo placebo), se observó una mediana de 53.3 meses y 36.5 meses respectivamente HR: 0.7 (95% CI: 0.6-0.8; p&lt;0.0001).</w:t>
      </w:r>
    </w:p>
    <w:p w:rsidR="00FC0B62" w:rsidRDefault="00FC0B62">
      <w:pPr>
        <w:snapToGrid w:val="0"/>
        <w:jc w:val="both"/>
        <w:rPr>
          <w:rFonts w:ascii="Arial" w:hAnsi="Arial" w:cs="Arial"/>
          <w:bCs/>
          <w:i/>
          <w:color w:val="000000"/>
          <w:sz w:val="20"/>
          <w:szCs w:val="20"/>
        </w:rPr>
      </w:pPr>
    </w:p>
    <w:p w:rsidR="0056194E" w:rsidRPr="00FC0B62" w:rsidRDefault="00DE1404">
      <w:pPr>
        <w:snapToGrid w:val="0"/>
        <w:jc w:val="both"/>
        <w:rPr>
          <w:rFonts w:ascii="Arial" w:hAnsi="Arial" w:cs="Arial"/>
          <w:bCs/>
          <w:i/>
          <w:color w:val="000000"/>
          <w:sz w:val="20"/>
          <w:szCs w:val="20"/>
          <w:lang w:val="en-GB"/>
        </w:rPr>
      </w:pPr>
      <w:r w:rsidRPr="00FC0B62">
        <w:rPr>
          <w:rFonts w:ascii="Arial" w:hAnsi="Arial" w:cs="Arial"/>
          <w:bCs/>
          <w:i/>
          <w:color w:val="000000"/>
          <w:sz w:val="20"/>
          <w:szCs w:val="20"/>
        </w:rPr>
        <w:t xml:space="preserve">*** Fizazi K., Tran N., Fein L.E. et al. </w:t>
      </w:r>
      <w:r w:rsidRPr="00FC0B62">
        <w:rPr>
          <w:rFonts w:ascii="Arial" w:hAnsi="Arial" w:cs="Arial"/>
          <w:bCs/>
          <w:i/>
          <w:color w:val="000000"/>
          <w:sz w:val="20"/>
          <w:szCs w:val="20"/>
          <w:lang w:val="en-GB"/>
        </w:rPr>
        <w:t>Final analysis of phase III LATITUDE study in patients (pts) with newly diagnosed high-risk metastatic castration-naïve prostate cancer (NDx-HR mCNPC) treated with abiraterone acetate + prednisone (AA+P) added to androgen deprivation therapy (ADT). J Clin Oncol 37, 2019 (suppl 7S; abstr 141) Disponible en: https://meetinglibrary.asco.org/record/170200/abstract</w:t>
      </w:r>
    </w:p>
    <w:p w:rsidR="00A05F92" w:rsidRDefault="00A05F92">
      <w:pPr>
        <w:snapToGrid w:val="0"/>
        <w:jc w:val="both"/>
        <w:rPr>
          <w:rFonts w:ascii="Arial" w:hAnsi="Arial" w:cs="Arial"/>
          <w:b/>
          <w:color w:val="000080"/>
          <w:sz w:val="20"/>
          <w:szCs w:val="20"/>
          <w:u w:val="single"/>
          <w:lang w:val="en-GB"/>
        </w:rPr>
      </w:pPr>
    </w:p>
    <w:p w:rsidR="00FC0B62" w:rsidRPr="00FC0B62" w:rsidRDefault="00FC0B62">
      <w:pPr>
        <w:snapToGrid w:val="0"/>
        <w:jc w:val="both"/>
        <w:rPr>
          <w:rFonts w:ascii="Arial" w:hAnsi="Arial" w:cs="Arial"/>
          <w:b/>
          <w:color w:val="000080"/>
          <w:sz w:val="20"/>
          <w:szCs w:val="20"/>
          <w:u w:val="single"/>
          <w:lang w:val="en-GB"/>
        </w:rPr>
      </w:pPr>
    </w:p>
    <w:tbl>
      <w:tblPr>
        <w:tblW w:w="0" w:type="auto"/>
        <w:tblInd w:w="-66" w:type="dxa"/>
        <w:tblLayout w:type="fixed"/>
        <w:tblCellMar>
          <w:left w:w="70" w:type="dxa"/>
          <w:right w:w="70" w:type="dxa"/>
        </w:tblCellMar>
        <w:tblLook w:val="0000"/>
      </w:tblPr>
      <w:tblGrid>
        <w:gridCol w:w="2540"/>
        <w:gridCol w:w="1321"/>
        <w:gridCol w:w="1232"/>
        <w:gridCol w:w="1728"/>
        <w:gridCol w:w="541"/>
        <w:gridCol w:w="1709"/>
      </w:tblGrid>
      <w:tr w:rsidR="0056194E" w:rsidRPr="00683AE2" w:rsidTr="00FC0B62">
        <w:trPr>
          <w:trHeight w:val="110"/>
        </w:trPr>
        <w:tc>
          <w:tcPr>
            <w:tcW w:w="9071" w:type="dxa"/>
            <w:gridSpan w:val="6"/>
            <w:tcBorders>
              <w:top w:val="single" w:sz="4" w:space="0" w:color="000000"/>
              <w:left w:val="single" w:sz="4" w:space="0" w:color="000000"/>
              <w:bottom w:val="single" w:sz="4" w:space="0" w:color="000000"/>
              <w:right w:val="single" w:sz="4" w:space="0" w:color="000000"/>
            </w:tcBorders>
            <w:shd w:val="clear" w:color="auto" w:fill="CCFFCC"/>
          </w:tcPr>
          <w:p w:rsidR="0056194E" w:rsidRPr="006A311C" w:rsidRDefault="0056194E" w:rsidP="00BC3E86">
            <w:pPr>
              <w:jc w:val="both"/>
              <w:rPr>
                <w:lang w:val="en-GB"/>
              </w:rPr>
            </w:pPr>
            <w:r>
              <w:rPr>
                <w:rFonts w:ascii="Arial" w:hAnsi="Arial" w:cs="Arial"/>
                <w:b/>
                <w:i/>
                <w:sz w:val="20"/>
                <w:szCs w:val="20"/>
                <w:lang w:val="en-US"/>
              </w:rPr>
              <w:t xml:space="preserve">STAMPEDE. </w:t>
            </w:r>
            <w:r>
              <w:rPr>
                <w:rFonts w:ascii="Arial" w:hAnsi="Arial" w:cs="Arial"/>
                <w:b/>
                <w:bCs/>
                <w:i/>
                <w:color w:val="000000"/>
                <w:sz w:val="20"/>
                <w:szCs w:val="20"/>
                <w:lang w:val="en-US"/>
              </w:rPr>
              <w:t>Abiraterone for Prostate Cancer Not Previously Treated with Hormone Therapy</w:t>
            </w:r>
            <w:r>
              <w:rPr>
                <w:rFonts w:ascii="Arial" w:hAnsi="Arial" w:cs="Arial"/>
                <w:b/>
                <w:bCs/>
                <w:i/>
                <w:color w:val="000000"/>
                <w:sz w:val="20"/>
                <w:szCs w:val="20"/>
                <w:vertAlign w:val="superscript"/>
                <w:lang w:val="en-US"/>
              </w:rPr>
              <w:t>16</w:t>
            </w:r>
          </w:p>
        </w:tc>
      </w:tr>
      <w:tr w:rsidR="0056194E" w:rsidTr="00FC0B62">
        <w:trPr>
          <w:trHeight w:val="111"/>
        </w:trPr>
        <w:tc>
          <w:tcPr>
            <w:tcW w:w="9071" w:type="dxa"/>
            <w:gridSpan w:val="6"/>
            <w:tcBorders>
              <w:left w:val="single" w:sz="4" w:space="0" w:color="000000"/>
              <w:bottom w:val="single" w:sz="4" w:space="0" w:color="000000"/>
              <w:right w:val="single" w:sz="4" w:space="0" w:color="000000"/>
            </w:tcBorders>
          </w:tcPr>
          <w:p w:rsidR="0056194E" w:rsidRDefault="0056194E" w:rsidP="00BC3E86">
            <w:pPr>
              <w:jc w:val="both"/>
              <w:rPr>
                <w:rFonts w:ascii="Arial" w:hAnsi="Arial" w:cs="Arial"/>
                <w:sz w:val="18"/>
                <w:szCs w:val="18"/>
              </w:rPr>
            </w:pPr>
            <w:r>
              <w:rPr>
                <w:rFonts w:ascii="Arial" w:hAnsi="Arial" w:cs="Arial"/>
                <w:sz w:val="18"/>
                <w:szCs w:val="18"/>
              </w:rPr>
              <w:t>-Nº de pacientes: 1917</w:t>
            </w:r>
          </w:p>
          <w:p w:rsidR="0056194E" w:rsidRDefault="0056194E" w:rsidP="00BC3E86">
            <w:pPr>
              <w:jc w:val="both"/>
              <w:rPr>
                <w:rFonts w:ascii="Arial" w:hAnsi="Arial" w:cs="Arial"/>
                <w:sz w:val="18"/>
                <w:szCs w:val="18"/>
              </w:rPr>
            </w:pPr>
            <w:r>
              <w:rPr>
                <w:rFonts w:ascii="Arial" w:hAnsi="Arial" w:cs="Arial"/>
                <w:sz w:val="18"/>
                <w:szCs w:val="18"/>
              </w:rPr>
              <w:t>-Diseño: Fase III, aleatorizado 1:1, abierto, multicéntrico y con 2 brazos de estudio.</w:t>
            </w:r>
          </w:p>
          <w:p w:rsidR="0056194E" w:rsidRDefault="0056194E" w:rsidP="00BC3E86">
            <w:pPr>
              <w:jc w:val="both"/>
              <w:rPr>
                <w:rFonts w:ascii="Arial" w:hAnsi="Arial" w:cs="Arial"/>
                <w:sz w:val="18"/>
                <w:szCs w:val="18"/>
              </w:rPr>
            </w:pPr>
            <w:r>
              <w:rPr>
                <w:rFonts w:ascii="Arial" w:hAnsi="Arial" w:cs="Arial"/>
                <w:sz w:val="18"/>
                <w:szCs w:val="18"/>
              </w:rPr>
              <w:t>-Tratamiento grupo control: ADT (terapia de deprivación de andrógenos).</w:t>
            </w:r>
          </w:p>
          <w:p w:rsidR="0056194E" w:rsidRDefault="0056194E" w:rsidP="00BC3E86">
            <w:pPr>
              <w:jc w:val="both"/>
              <w:rPr>
                <w:rFonts w:ascii="Arial" w:hAnsi="Arial" w:cs="Arial"/>
                <w:sz w:val="18"/>
                <w:szCs w:val="18"/>
              </w:rPr>
            </w:pPr>
            <w:r>
              <w:rPr>
                <w:rFonts w:ascii="Arial" w:hAnsi="Arial" w:cs="Arial"/>
                <w:sz w:val="18"/>
                <w:szCs w:val="18"/>
              </w:rPr>
              <w:t>-Tratamiento grupo activo: Abiraterona+TDA</w:t>
            </w:r>
          </w:p>
          <w:p w:rsidR="0056194E" w:rsidRDefault="0056194E" w:rsidP="00BC3E86">
            <w:pPr>
              <w:jc w:val="both"/>
              <w:rPr>
                <w:rFonts w:ascii="Arial" w:hAnsi="Arial" w:cs="Arial"/>
                <w:sz w:val="18"/>
                <w:szCs w:val="18"/>
              </w:rPr>
            </w:pPr>
            <w:r>
              <w:rPr>
                <w:rFonts w:ascii="Arial" w:hAnsi="Arial" w:cs="Arial"/>
                <w:sz w:val="18"/>
                <w:szCs w:val="18"/>
              </w:rPr>
              <w:t>-Criterios de inclusión: pacientes recientemente diagnosticados de cáncer de próstata como metastásicos, nódulo positivo (N+) o de alto riesgo-localmente avanzados con al menos dos de los siguientes criterios: T3/4, Gleason 8-10 o PSA≥40 ng/ml. También se incluyeron pacientes pretratados con cirugía, radioterapia o ambas en recaída y características de alto riesgo. Los pacientes debían presentar condiciones óptimas para recibir abiraterona, sin antecedentes significativos de enfermedad cardiovascular. Función orgánica, hepática, renal y hematológica adecuada.</w:t>
            </w:r>
          </w:p>
          <w:p w:rsidR="0056194E" w:rsidRDefault="0056194E" w:rsidP="00B31B9F">
            <w:pPr>
              <w:jc w:val="both"/>
              <w:rPr>
                <w:rFonts w:ascii="Arial" w:hAnsi="Arial" w:cs="Arial"/>
                <w:sz w:val="20"/>
                <w:szCs w:val="20"/>
                <w:lang w:eastAsia="ar-SA"/>
              </w:rPr>
            </w:pPr>
            <w:r>
              <w:rPr>
                <w:rFonts w:ascii="Arial" w:hAnsi="Arial" w:cs="Arial"/>
                <w:sz w:val="18"/>
                <w:szCs w:val="18"/>
              </w:rPr>
              <w:t>-Criterios de exclusión: Presencia de metástasis cerebrales o enfermedad leptomeníngea, asi como la presencia previa o actual de otra enfermedad maligna que, a criterio del investigador, pueda interferir en el estudio. Neuropatía periférica sintomática grado 2. Cualquier cirugía realizada en los 4 meses previos. Terapia sistémica previa para el CP localmente avanzado ó metastático excepto: cirugía radical o radioterapia que ahora están en recaída con PSA≥4ng/ml en aumento con tiempo de duplicación menor a 6 meses ó PSA≥20ng/ml</w:t>
            </w:r>
            <w:r>
              <w:rPr>
                <w:sz w:val="18"/>
                <w:szCs w:val="18"/>
              </w:rPr>
              <w:t xml:space="preserve">. </w:t>
            </w:r>
            <w:r w:rsidRPr="00B31B9F">
              <w:rPr>
                <w:rFonts w:ascii="Arial" w:hAnsi="Arial" w:cs="Arial"/>
                <w:sz w:val="18"/>
                <w:szCs w:val="18"/>
              </w:rPr>
              <w:t>Presencia de comorbilidades a nivel cardíaco: angina inestable ó severa, hipertensión arterial no controlada, fallo cardíaco que requiere tratamiento, ó alguno de los siguientes episodios ocurridos durante los 6 meses previos a la aleatorización: infarto de miocardio severo, trombosis arterial e infarto cerebral</w:t>
            </w:r>
            <w:r>
              <w:rPr>
                <w:rFonts w:ascii="Arial" w:hAnsi="Arial" w:cs="Arial"/>
                <w:sz w:val="18"/>
                <w:szCs w:val="18"/>
              </w:rPr>
              <w:t>.</w:t>
            </w:r>
          </w:p>
          <w:p w:rsidR="0056194E" w:rsidRDefault="0056194E" w:rsidP="00BC3E86">
            <w:pPr>
              <w:jc w:val="both"/>
              <w:rPr>
                <w:rFonts w:ascii="Arial" w:hAnsi="Arial" w:cs="Arial"/>
                <w:sz w:val="18"/>
                <w:szCs w:val="18"/>
              </w:rPr>
            </w:pPr>
          </w:p>
          <w:p w:rsidR="0056194E" w:rsidRDefault="0056194E" w:rsidP="00BC3E86">
            <w:pPr>
              <w:jc w:val="both"/>
              <w:rPr>
                <w:rFonts w:ascii="Arial" w:hAnsi="Arial" w:cs="Arial"/>
                <w:sz w:val="18"/>
                <w:szCs w:val="18"/>
              </w:rPr>
            </w:pPr>
            <w:r>
              <w:rPr>
                <w:rFonts w:ascii="Arial" w:hAnsi="Arial" w:cs="Arial"/>
                <w:sz w:val="18"/>
                <w:szCs w:val="18"/>
              </w:rPr>
              <w:t>-Pérdidas: no descritas.</w:t>
            </w:r>
          </w:p>
          <w:p w:rsidR="0056194E" w:rsidRDefault="0056194E" w:rsidP="00BC3E86">
            <w:pPr>
              <w:jc w:val="both"/>
              <w:rPr>
                <w:rFonts w:ascii="Arial" w:hAnsi="Arial" w:cs="Arial"/>
                <w:sz w:val="18"/>
                <w:szCs w:val="18"/>
              </w:rPr>
            </w:pPr>
            <w:r>
              <w:rPr>
                <w:rFonts w:ascii="Arial" w:hAnsi="Arial" w:cs="Arial"/>
                <w:sz w:val="18"/>
                <w:szCs w:val="18"/>
              </w:rPr>
              <w:t>-Tipo de análisis: por intención de tratar.</w:t>
            </w:r>
          </w:p>
          <w:p w:rsidR="0056194E" w:rsidRDefault="0056194E" w:rsidP="00BC3E86">
            <w:pPr>
              <w:jc w:val="both"/>
              <w:rPr>
                <w:rFonts w:ascii="Arial" w:hAnsi="Arial" w:cs="Arial"/>
                <w:sz w:val="18"/>
                <w:szCs w:val="18"/>
              </w:rPr>
            </w:pPr>
            <w:r>
              <w:rPr>
                <w:rFonts w:ascii="Arial" w:hAnsi="Arial" w:cs="Arial"/>
                <w:sz w:val="18"/>
                <w:szCs w:val="18"/>
              </w:rPr>
              <w:t>-Cálculo de tamaño muestral: Se diseñó el estudio para obtener una potencia estadística del 90% que permita observar un HR 0.75 entre los dos brazos a estudiar, asumiendo un error tipo I del 5%.</w:t>
            </w:r>
          </w:p>
          <w:p w:rsidR="0056194E" w:rsidRPr="00773E01" w:rsidRDefault="0056194E" w:rsidP="00BC3E86">
            <w:pPr>
              <w:jc w:val="both"/>
              <w:rPr>
                <w:rFonts w:ascii="Arial" w:hAnsi="Arial" w:cs="Arial"/>
                <w:sz w:val="18"/>
                <w:szCs w:val="18"/>
              </w:rPr>
            </w:pPr>
          </w:p>
        </w:tc>
      </w:tr>
      <w:tr w:rsidR="0056194E" w:rsidTr="00FC0B62">
        <w:trPr>
          <w:trHeight w:val="111"/>
        </w:trPr>
        <w:tc>
          <w:tcPr>
            <w:tcW w:w="2540" w:type="dxa"/>
            <w:tcBorders>
              <w:top w:val="single" w:sz="4" w:space="0" w:color="000000"/>
              <w:left w:val="single" w:sz="4" w:space="0" w:color="000000"/>
              <w:bottom w:val="single" w:sz="4" w:space="0" w:color="000000"/>
            </w:tcBorders>
            <w:shd w:val="clear" w:color="auto" w:fill="CCFFCC"/>
          </w:tcPr>
          <w:p w:rsidR="0056194E" w:rsidRDefault="0056194E" w:rsidP="00BC3E86">
            <w:pPr>
              <w:jc w:val="both"/>
            </w:pPr>
            <w:r>
              <w:rPr>
                <w:rFonts w:ascii="Arial" w:hAnsi="Arial" w:cs="Arial"/>
                <w:b/>
                <w:bCs/>
                <w:i/>
                <w:sz w:val="20"/>
                <w:szCs w:val="20"/>
                <w:lang w:val="es-ES_tradnl"/>
              </w:rPr>
              <w:t xml:space="preserve">Resultados  </w:t>
            </w:r>
          </w:p>
        </w:tc>
        <w:tc>
          <w:tcPr>
            <w:tcW w:w="1321" w:type="dxa"/>
            <w:tcBorders>
              <w:top w:val="single" w:sz="4" w:space="0" w:color="000000"/>
              <w:bottom w:val="single" w:sz="4" w:space="0" w:color="000000"/>
            </w:tcBorders>
            <w:shd w:val="clear" w:color="auto" w:fill="CCFFCC"/>
          </w:tcPr>
          <w:p w:rsidR="0056194E" w:rsidRDefault="0056194E" w:rsidP="00BC3E86">
            <w:pPr>
              <w:snapToGrid w:val="0"/>
              <w:jc w:val="both"/>
            </w:pPr>
          </w:p>
        </w:tc>
        <w:tc>
          <w:tcPr>
            <w:tcW w:w="1232" w:type="dxa"/>
            <w:tcBorders>
              <w:top w:val="single" w:sz="4" w:space="0" w:color="000000"/>
              <w:bottom w:val="single" w:sz="4" w:space="0" w:color="000000"/>
            </w:tcBorders>
            <w:shd w:val="clear" w:color="auto" w:fill="CCFFCC"/>
          </w:tcPr>
          <w:p w:rsidR="0056194E" w:rsidRDefault="0056194E" w:rsidP="00BC3E86">
            <w:pPr>
              <w:snapToGrid w:val="0"/>
              <w:jc w:val="both"/>
            </w:pPr>
          </w:p>
        </w:tc>
        <w:tc>
          <w:tcPr>
            <w:tcW w:w="1728" w:type="dxa"/>
            <w:tcBorders>
              <w:top w:val="single" w:sz="4" w:space="0" w:color="000000"/>
              <w:bottom w:val="single" w:sz="4" w:space="0" w:color="000000"/>
            </w:tcBorders>
            <w:shd w:val="clear" w:color="auto" w:fill="CCFFCC"/>
          </w:tcPr>
          <w:p w:rsidR="0056194E" w:rsidRDefault="0056194E" w:rsidP="00BC3E86">
            <w:pPr>
              <w:snapToGrid w:val="0"/>
              <w:jc w:val="both"/>
            </w:pPr>
          </w:p>
        </w:tc>
        <w:tc>
          <w:tcPr>
            <w:tcW w:w="541" w:type="dxa"/>
            <w:tcBorders>
              <w:top w:val="single" w:sz="4" w:space="0" w:color="000000"/>
              <w:bottom w:val="single" w:sz="4" w:space="0" w:color="000000"/>
            </w:tcBorders>
            <w:shd w:val="clear" w:color="auto" w:fill="CCFFCC"/>
          </w:tcPr>
          <w:p w:rsidR="0056194E" w:rsidRDefault="0056194E" w:rsidP="00BC3E86">
            <w:pPr>
              <w:snapToGrid w:val="0"/>
              <w:jc w:val="both"/>
            </w:pPr>
          </w:p>
        </w:tc>
        <w:tc>
          <w:tcPr>
            <w:tcW w:w="1709" w:type="dxa"/>
            <w:tcBorders>
              <w:top w:val="single" w:sz="4" w:space="0" w:color="000000"/>
              <w:bottom w:val="single" w:sz="4" w:space="0" w:color="000000"/>
              <w:right w:val="single" w:sz="4" w:space="0" w:color="000000"/>
            </w:tcBorders>
            <w:shd w:val="clear" w:color="auto" w:fill="CCFFCC"/>
          </w:tcPr>
          <w:p w:rsidR="0056194E" w:rsidRDefault="0056194E" w:rsidP="00BC3E86">
            <w:pPr>
              <w:snapToGrid w:val="0"/>
              <w:jc w:val="both"/>
            </w:pPr>
          </w:p>
        </w:tc>
      </w:tr>
      <w:tr w:rsidR="0056194E" w:rsidTr="00FC0B62">
        <w:trPr>
          <w:trHeight w:val="111"/>
        </w:trPr>
        <w:tc>
          <w:tcPr>
            <w:tcW w:w="2540" w:type="dxa"/>
            <w:tcBorders>
              <w:left w:val="single" w:sz="4" w:space="0" w:color="000000"/>
              <w:bottom w:val="single" w:sz="4" w:space="0" w:color="000000"/>
            </w:tcBorders>
            <w:shd w:val="clear" w:color="auto" w:fill="FFFFFF"/>
          </w:tcPr>
          <w:p w:rsidR="0056194E" w:rsidRDefault="0056194E" w:rsidP="00BC3E86">
            <w:pPr>
              <w:jc w:val="both"/>
            </w:pPr>
            <w:r>
              <w:rPr>
                <w:rFonts w:ascii="Arial" w:hAnsi="Arial" w:cs="Arial"/>
                <w:b/>
                <w:i/>
                <w:sz w:val="20"/>
                <w:szCs w:val="20"/>
              </w:rPr>
              <w:t>Variable  evaluada en el estudio</w:t>
            </w:r>
          </w:p>
        </w:tc>
        <w:tc>
          <w:tcPr>
            <w:tcW w:w="1321" w:type="dxa"/>
            <w:tcBorders>
              <w:left w:val="single" w:sz="4" w:space="0" w:color="000000"/>
              <w:bottom w:val="single" w:sz="4" w:space="0" w:color="000000"/>
            </w:tcBorders>
            <w:shd w:val="clear" w:color="auto" w:fill="FFFFFF"/>
          </w:tcPr>
          <w:p w:rsidR="0056194E" w:rsidRDefault="0056194E" w:rsidP="00BC3E86">
            <w:pPr>
              <w:tabs>
                <w:tab w:val="left" w:pos="1673"/>
              </w:tabs>
              <w:jc w:val="both"/>
              <w:rPr>
                <w:rFonts w:ascii="Arial" w:hAnsi="Arial" w:cs="Arial"/>
                <w:b/>
                <w:i/>
                <w:sz w:val="20"/>
                <w:szCs w:val="20"/>
                <w:lang w:val="pt-BR"/>
              </w:rPr>
            </w:pPr>
            <w:r>
              <w:rPr>
                <w:rFonts w:ascii="Arial" w:hAnsi="Arial" w:cs="Arial"/>
                <w:b/>
                <w:i/>
                <w:sz w:val="20"/>
                <w:szCs w:val="20"/>
                <w:lang w:val="pt-BR"/>
              </w:rPr>
              <w:t>Abiraterona</w:t>
            </w:r>
          </w:p>
          <w:p w:rsidR="0056194E" w:rsidRDefault="0056194E" w:rsidP="00BC3E86">
            <w:pPr>
              <w:tabs>
                <w:tab w:val="left" w:pos="1673"/>
              </w:tabs>
              <w:jc w:val="both"/>
              <w:rPr>
                <w:rFonts w:ascii="Arial" w:hAnsi="Arial" w:cs="Arial"/>
                <w:b/>
                <w:i/>
                <w:sz w:val="20"/>
                <w:szCs w:val="20"/>
                <w:lang w:val="pt-BR"/>
              </w:rPr>
            </w:pPr>
            <w:r>
              <w:rPr>
                <w:rFonts w:ascii="Arial" w:hAnsi="Arial" w:cs="Arial"/>
                <w:b/>
                <w:i/>
                <w:sz w:val="20"/>
                <w:szCs w:val="20"/>
                <w:lang w:val="pt-BR"/>
              </w:rPr>
              <w:t>+TDA</w:t>
            </w:r>
          </w:p>
          <w:p w:rsidR="005065FF" w:rsidRPr="005065FF" w:rsidRDefault="005065FF" w:rsidP="00BC3E86">
            <w:pPr>
              <w:tabs>
                <w:tab w:val="left" w:pos="1673"/>
              </w:tabs>
              <w:jc w:val="both"/>
              <w:rPr>
                <w:rFonts w:ascii="Arial" w:hAnsi="Arial" w:cs="Arial"/>
                <w:b/>
                <w:i/>
                <w:sz w:val="20"/>
                <w:szCs w:val="20"/>
                <w:lang w:val="pt-BR"/>
              </w:rPr>
            </w:pPr>
            <w:r w:rsidRPr="005065FF">
              <w:rPr>
                <w:rFonts w:ascii="Arial" w:hAnsi="Arial" w:cs="Arial"/>
                <w:b/>
                <w:i/>
                <w:sz w:val="20"/>
                <w:szCs w:val="20"/>
                <w:lang w:val="pt-BR"/>
              </w:rPr>
              <w:t>(N=960)</w:t>
            </w:r>
          </w:p>
        </w:tc>
        <w:tc>
          <w:tcPr>
            <w:tcW w:w="1232" w:type="dxa"/>
            <w:tcBorders>
              <w:left w:val="single" w:sz="4" w:space="0" w:color="000000"/>
              <w:bottom w:val="single" w:sz="4" w:space="0" w:color="000000"/>
            </w:tcBorders>
            <w:shd w:val="clear" w:color="auto" w:fill="FFFFFF"/>
          </w:tcPr>
          <w:p w:rsidR="0056194E" w:rsidRPr="005065FF" w:rsidRDefault="0056194E" w:rsidP="00BC3E86">
            <w:pPr>
              <w:tabs>
                <w:tab w:val="left" w:pos="1673"/>
              </w:tabs>
              <w:jc w:val="both"/>
              <w:rPr>
                <w:rFonts w:ascii="Arial" w:hAnsi="Arial" w:cs="Arial"/>
                <w:b/>
                <w:i/>
                <w:sz w:val="20"/>
                <w:szCs w:val="20"/>
                <w:lang w:val="pt-BR"/>
              </w:rPr>
            </w:pPr>
            <w:r>
              <w:rPr>
                <w:rFonts w:ascii="Arial" w:hAnsi="Arial" w:cs="Arial"/>
                <w:b/>
                <w:i/>
                <w:sz w:val="20"/>
                <w:szCs w:val="20"/>
                <w:lang w:val="pt-BR"/>
              </w:rPr>
              <w:t>TDA</w:t>
            </w:r>
          </w:p>
          <w:p w:rsidR="0056194E" w:rsidRPr="005065FF" w:rsidRDefault="005065FF" w:rsidP="00BC3E86">
            <w:pPr>
              <w:tabs>
                <w:tab w:val="left" w:pos="1673"/>
              </w:tabs>
              <w:jc w:val="both"/>
              <w:rPr>
                <w:rFonts w:ascii="Arial" w:hAnsi="Arial" w:cs="Arial"/>
                <w:b/>
                <w:i/>
                <w:sz w:val="20"/>
                <w:szCs w:val="20"/>
                <w:lang w:val="pt-BR"/>
              </w:rPr>
            </w:pPr>
            <w:r w:rsidRPr="005065FF">
              <w:rPr>
                <w:rFonts w:ascii="Arial" w:hAnsi="Arial" w:cs="Arial"/>
                <w:b/>
                <w:i/>
                <w:sz w:val="20"/>
                <w:szCs w:val="20"/>
                <w:lang w:val="pt-BR"/>
              </w:rPr>
              <w:t>(N=957)</w:t>
            </w:r>
          </w:p>
        </w:tc>
        <w:tc>
          <w:tcPr>
            <w:tcW w:w="1728" w:type="dxa"/>
            <w:tcBorders>
              <w:left w:val="single" w:sz="4" w:space="0" w:color="000000"/>
              <w:bottom w:val="single" w:sz="4" w:space="0" w:color="000000"/>
            </w:tcBorders>
            <w:shd w:val="clear" w:color="auto" w:fill="FFFFFF"/>
          </w:tcPr>
          <w:p w:rsidR="0056194E" w:rsidRDefault="0056194E" w:rsidP="00BC3E86">
            <w:pPr>
              <w:tabs>
                <w:tab w:val="left" w:pos="1673"/>
              </w:tabs>
              <w:snapToGrid w:val="0"/>
              <w:jc w:val="both"/>
            </w:pPr>
            <w:r>
              <w:rPr>
                <w:rFonts w:ascii="Arial" w:hAnsi="Arial" w:cs="Arial"/>
                <w:b/>
                <w:i/>
                <w:sz w:val="20"/>
                <w:szCs w:val="20"/>
                <w:lang w:val="pt-BR"/>
              </w:rPr>
              <w:t>Diferencia mediana</w:t>
            </w:r>
          </w:p>
        </w:tc>
        <w:tc>
          <w:tcPr>
            <w:tcW w:w="541" w:type="dxa"/>
            <w:tcBorders>
              <w:left w:val="single" w:sz="4" w:space="0" w:color="000000"/>
              <w:bottom w:val="single" w:sz="4" w:space="0" w:color="000000"/>
            </w:tcBorders>
            <w:shd w:val="clear" w:color="auto" w:fill="FFFFFF"/>
          </w:tcPr>
          <w:p w:rsidR="0056194E" w:rsidRDefault="0056194E" w:rsidP="00BC3E86">
            <w:pPr>
              <w:tabs>
                <w:tab w:val="left" w:pos="1673"/>
              </w:tabs>
              <w:snapToGrid w:val="0"/>
              <w:jc w:val="both"/>
            </w:pPr>
            <w:r>
              <w:rPr>
                <w:rFonts w:ascii="Arial" w:hAnsi="Arial" w:cs="Arial"/>
                <w:b/>
                <w:i/>
                <w:sz w:val="20"/>
                <w:szCs w:val="20"/>
                <w:lang w:val="pt-BR"/>
              </w:rPr>
              <w:t>HR</w:t>
            </w:r>
          </w:p>
          <w:p w:rsidR="0056194E" w:rsidRDefault="0056194E" w:rsidP="00BC3E86">
            <w:pPr>
              <w:tabs>
                <w:tab w:val="left" w:pos="1673"/>
              </w:tabs>
              <w:snapToGrid w:val="0"/>
              <w:jc w:val="both"/>
            </w:pPr>
          </w:p>
        </w:tc>
        <w:tc>
          <w:tcPr>
            <w:tcW w:w="1709" w:type="dxa"/>
            <w:tcBorders>
              <w:left w:val="single" w:sz="4" w:space="0" w:color="000000"/>
              <w:bottom w:val="single" w:sz="4" w:space="0" w:color="000000"/>
              <w:right w:val="single" w:sz="4" w:space="0" w:color="000000"/>
            </w:tcBorders>
            <w:shd w:val="clear" w:color="auto" w:fill="FFFFFF"/>
          </w:tcPr>
          <w:p w:rsidR="0056194E" w:rsidRDefault="0056194E" w:rsidP="00BC3E86">
            <w:pPr>
              <w:snapToGrid w:val="0"/>
              <w:jc w:val="both"/>
            </w:pPr>
            <w:r>
              <w:rPr>
                <w:rFonts w:ascii="Arial" w:hAnsi="Arial" w:cs="Arial"/>
                <w:b/>
                <w:i/>
                <w:sz w:val="20"/>
                <w:szCs w:val="20"/>
                <w:lang w:val="pt-BR"/>
              </w:rPr>
              <w:t>IC (95%)</w:t>
            </w:r>
          </w:p>
        </w:tc>
      </w:tr>
      <w:tr w:rsidR="0056194E" w:rsidTr="00FC0B62">
        <w:trPr>
          <w:trHeight w:val="6960"/>
        </w:trPr>
        <w:tc>
          <w:tcPr>
            <w:tcW w:w="2540" w:type="dxa"/>
            <w:vMerge w:val="restart"/>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i/>
                <w:sz w:val="18"/>
                <w:szCs w:val="18"/>
              </w:rPr>
            </w:pPr>
            <w:r>
              <w:rPr>
                <w:rFonts w:ascii="Arial" w:hAnsi="Arial" w:cs="Arial"/>
                <w:b/>
                <w:bCs/>
                <w:i/>
                <w:sz w:val="18"/>
                <w:szCs w:val="18"/>
              </w:rPr>
              <w:t>Resultados principales</w:t>
            </w:r>
          </w:p>
          <w:p w:rsidR="0056194E" w:rsidRDefault="0056194E" w:rsidP="00BC3E86">
            <w:pPr>
              <w:snapToGrid w:val="0"/>
              <w:jc w:val="both"/>
              <w:rPr>
                <w:rFonts w:ascii="Arial" w:hAnsi="Arial" w:cs="Arial"/>
                <w:sz w:val="18"/>
                <w:szCs w:val="18"/>
              </w:rPr>
            </w:pPr>
            <w:r>
              <w:rPr>
                <w:rFonts w:ascii="Arial" w:hAnsi="Arial" w:cs="Arial"/>
                <w:i/>
                <w:sz w:val="18"/>
                <w:szCs w:val="18"/>
              </w:rPr>
              <w:t>-Supervivencia global(SG) (mediana)</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sz w:val="18"/>
                <w:szCs w:val="18"/>
              </w:rPr>
            </w:pPr>
            <w:r>
              <w:rPr>
                <w:rFonts w:ascii="Arial" w:hAnsi="Arial" w:cs="Arial"/>
                <w:i/>
                <w:sz w:val="18"/>
                <w:szCs w:val="18"/>
              </w:rPr>
              <w:t>-Supervivencia a los 3 años (%)</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sz w:val="18"/>
                <w:szCs w:val="18"/>
              </w:rPr>
            </w:pPr>
            <w:r>
              <w:rPr>
                <w:rFonts w:ascii="Arial" w:hAnsi="Arial" w:cs="Arial"/>
                <w:i/>
                <w:sz w:val="18"/>
                <w:szCs w:val="18"/>
              </w:rPr>
              <w:t>-Supervivencia sin fallo de tratamiento (SSFT) (mediana)</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sz w:val="18"/>
                <w:szCs w:val="18"/>
              </w:rPr>
            </w:pPr>
            <w:r>
              <w:rPr>
                <w:rFonts w:ascii="Arial" w:hAnsi="Arial" w:cs="Arial"/>
                <w:i/>
                <w:sz w:val="18"/>
                <w:szCs w:val="18"/>
              </w:rPr>
              <w:t>-Supervivencia sin fallo de tratamiento a los 3 años</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i/>
                <w:color w:val="000000"/>
                <w:sz w:val="18"/>
                <w:szCs w:val="18"/>
              </w:rPr>
            </w:pPr>
            <w:r>
              <w:rPr>
                <w:rFonts w:ascii="Arial" w:hAnsi="Arial" w:cs="Arial"/>
                <w:i/>
                <w:color w:val="000000"/>
                <w:sz w:val="18"/>
                <w:szCs w:val="18"/>
              </w:rPr>
              <w:t>-Supervivencia sin fallo de tratamiento*(mediana)</w:t>
            </w:r>
          </w:p>
          <w:p w:rsidR="0056194E" w:rsidRDefault="0056194E" w:rsidP="00BC3E86">
            <w:pPr>
              <w:snapToGrid w:val="0"/>
              <w:jc w:val="both"/>
              <w:rPr>
                <w:rFonts w:ascii="Arial" w:hAnsi="Arial" w:cs="Arial"/>
                <w:i/>
                <w:color w:val="000000"/>
                <w:sz w:val="18"/>
                <w:szCs w:val="18"/>
              </w:rPr>
            </w:pPr>
          </w:p>
          <w:p w:rsidR="0056194E" w:rsidRDefault="0056194E" w:rsidP="00BC3E86">
            <w:pPr>
              <w:snapToGrid w:val="0"/>
              <w:jc w:val="both"/>
              <w:rPr>
                <w:rFonts w:ascii="Arial" w:hAnsi="Arial" w:cs="Arial"/>
                <w:i/>
                <w:sz w:val="18"/>
                <w:szCs w:val="18"/>
              </w:rPr>
            </w:pPr>
            <w:r>
              <w:rPr>
                <w:rFonts w:ascii="Arial" w:hAnsi="Arial" w:cs="Arial"/>
                <w:b/>
                <w:bCs/>
                <w:i/>
                <w:sz w:val="18"/>
                <w:szCs w:val="18"/>
              </w:rPr>
              <w:t>Resultados secundarios de interés</w:t>
            </w:r>
          </w:p>
          <w:p w:rsidR="0056194E" w:rsidRDefault="0056194E" w:rsidP="00BC3E86">
            <w:pPr>
              <w:snapToGrid w:val="0"/>
              <w:jc w:val="both"/>
              <w:rPr>
                <w:rFonts w:ascii="Arial" w:hAnsi="Arial" w:cs="Arial"/>
                <w:i/>
                <w:sz w:val="18"/>
                <w:szCs w:val="18"/>
              </w:rPr>
            </w:pPr>
            <w:r>
              <w:rPr>
                <w:rFonts w:ascii="Arial" w:hAnsi="Arial" w:cs="Arial"/>
                <w:i/>
                <w:sz w:val="18"/>
                <w:szCs w:val="18"/>
              </w:rPr>
              <w:t>-Supervivencia libre de progresión (mediana)</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-Supervivencia libre de progresión a los 3 años (%)</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sz w:val="18"/>
                <w:szCs w:val="18"/>
              </w:rPr>
            </w:pPr>
            <w:r>
              <w:rPr>
                <w:rFonts w:ascii="Arial" w:hAnsi="Arial" w:cs="Arial"/>
                <w:i/>
                <w:sz w:val="18"/>
                <w:szCs w:val="18"/>
              </w:rPr>
              <w:t>-Tiempo hasta evento esquelético sintomático (mediana)</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 de tiempo sin evento adverso relacionado con el esqueleto a los 3 años</w:t>
            </w:r>
          </w:p>
          <w:p w:rsidR="0056194E" w:rsidRDefault="0056194E" w:rsidP="00BC3E86">
            <w:pPr>
              <w:snapToGrid w:val="0"/>
              <w:jc w:val="both"/>
              <w:rPr>
                <w:rFonts w:ascii="Arial" w:hAnsi="Arial" w:cs="Arial"/>
                <w:b/>
                <w:bCs/>
                <w:i/>
                <w:sz w:val="18"/>
                <w:szCs w:val="18"/>
              </w:rPr>
            </w:pPr>
          </w:p>
          <w:p w:rsidR="0056194E" w:rsidRDefault="0056194E" w:rsidP="00BC3E86">
            <w:pPr>
              <w:snapToGrid w:val="0"/>
              <w:jc w:val="both"/>
              <w:rPr>
                <w:rFonts w:ascii="Arial" w:hAnsi="Arial" w:cs="Arial"/>
                <w:b/>
                <w:bCs/>
                <w:i/>
                <w:sz w:val="18"/>
                <w:szCs w:val="18"/>
              </w:rPr>
            </w:pPr>
          </w:p>
          <w:p w:rsidR="0056194E" w:rsidRDefault="0056194E" w:rsidP="00BC3E86">
            <w:pPr>
              <w:snapToGrid w:val="0"/>
              <w:jc w:val="both"/>
              <w:rPr>
                <w:rFonts w:ascii="Arial" w:hAnsi="Arial" w:cs="Arial"/>
                <w:b/>
                <w:bCs/>
                <w:i/>
                <w:sz w:val="18"/>
                <w:szCs w:val="18"/>
              </w:rPr>
            </w:pPr>
          </w:p>
          <w:p w:rsidR="0056194E" w:rsidRDefault="0056194E" w:rsidP="00BC3E86">
            <w:pPr>
              <w:snapToGrid w:val="0"/>
              <w:jc w:val="both"/>
              <w:rPr>
                <w:rFonts w:ascii="Arial" w:hAnsi="Arial" w:cs="Arial"/>
                <w:i/>
                <w:sz w:val="18"/>
                <w:szCs w:val="18"/>
              </w:rPr>
            </w:pPr>
            <w:r>
              <w:rPr>
                <w:rFonts w:ascii="Arial" w:hAnsi="Arial" w:cs="Arial"/>
                <w:b/>
                <w:bCs/>
                <w:i/>
                <w:sz w:val="18"/>
                <w:szCs w:val="18"/>
              </w:rPr>
              <w:t>Resultados por subgrupos</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sz w:val="18"/>
                <w:szCs w:val="18"/>
              </w:rPr>
            </w:pPr>
            <w:r>
              <w:rPr>
                <w:rFonts w:ascii="Arial" w:hAnsi="Arial" w:cs="Arial"/>
                <w:i/>
                <w:sz w:val="18"/>
                <w:szCs w:val="18"/>
              </w:rPr>
              <w:t>-SG en pacientes metastásicos (mediana)</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-SG  en pacientes no metastásicos (mediana)</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-SSFT en pacientes metastásicos (mediana)</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-SSFT en pacientes no metastásicos (mediana)</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-SG en pacientes &lt;70 años.</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-SG en pacientes &gt;70 años.</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-SSFT en pacientes &lt;70 años.</w:t>
            </w:r>
          </w:p>
          <w:p w:rsidR="0056194E" w:rsidRDefault="0056194E" w:rsidP="00BC3E86">
            <w:pPr>
              <w:snapToGrid w:val="0"/>
              <w:jc w:val="both"/>
              <w:rPr>
                <w:rFonts w:ascii="Arial" w:hAnsi="Arial" w:cs="Arial"/>
                <w:i/>
                <w:sz w:val="18"/>
                <w:szCs w:val="18"/>
              </w:rPr>
            </w:pPr>
          </w:p>
          <w:p w:rsidR="0056194E" w:rsidRDefault="0056194E" w:rsidP="00BC3E86">
            <w:pPr>
              <w:snapToGrid w:val="0"/>
              <w:jc w:val="both"/>
            </w:pPr>
            <w:r>
              <w:rPr>
                <w:rFonts w:ascii="Arial" w:hAnsi="Arial" w:cs="Arial"/>
                <w:i/>
                <w:sz w:val="18"/>
                <w:szCs w:val="18"/>
              </w:rPr>
              <w:t>-SSFT en pacientes  &gt;70 años.</w:t>
            </w:r>
          </w:p>
        </w:tc>
        <w:tc>
          <w:tcPr>
            <w:tcW w:w="1321" w:type="dxa"/>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b/>
                <w:i/>
                <w:color w:val="000000"/>
                <w:sz w:val="18"/>
                <w:szCs w:val="18"/>
                <w:lang w:eastAsia="es-ES"/>
              </w:rPr>
            </w:pPr>
          </w:p>
          <w:p w:rsidR="0056194E" w:rsidRDefault="0056194E" w:rsidP="00BC3E86">
            <w:pPr>
              <w:snapToGrid w:val="0"/>
              <w:jc w:val="both"/>
              <w:rPr>
                <w:rFonts w:ascii="Arial" w:hAnsi="Arial" w:cs="Arial"/>
                <w:b/>
                <w:i/>
                <w:color w:val="000000"/>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83%</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75%</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43,9  meses</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80%</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88%</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Pr="006A311C" w:rsidRDefault="0056194E" w:rsidP="00BC3E86">
            <w:pPr>
              <w:snapToGrid w:val="0"/>
              <w:jc w:val="both"/>
              <w:rPr>
                <w:lang w:val="pt-BR"/>
              </w:rPr>
            </w:pPr>
          </w:p>
        </w:tc>
        <w:tc>
          <w:tcPr>
            <w:tcW w:w="1232" w:type="dxa"/>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76%</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45%</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30 meses</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62%</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Pr="006A311C" w:rsidRDefault="0056194E" w:rsidP="00BC3E86">
            <w:pPr>
              <w:snapToGrid w:val="0"/>
              <w:jc w:val="both"/>
              <w:rPr>
                <w:lang w:val="pt-BR"/>
              </w:rPr>
            </w:pPr>
            <w:r>
              <w:rPr>
                <w:rFonts w:ascii="Arial" w:hAnsi="Arial" w:cs="Arial"/>
                <w:b/>
                <w:i/>
                <w:sz w:val="18"/>
                <w:szCs w:val="18"/>
                <w:lang w:eastAsia="es-ES"/>
              </w:rPr>
              <w:t>78%</w:t>
            </w:r>
          </w:p>
          <w:p w:rsidR="0056194E" w:rsidRPr="006A311C" w:rsidRDefault="0056194E" w:rsidP="00BC3E86">
            <w:pPr>
              <w:snapToGrid w:val="0"/>
              <w:jc w:val="both"/>
              <w:rPr>
                <w:lang w:val="pt-BR"/>
              </w:rPr>
            </w:pPr>
          </w:p>
        </w:tc>
        <w:tc>
          <w:tcPr>
            <w:tcW w:w="1728" w:type="dxa"/>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i/>
                <w:sz w:val="18"/>
                <w:szCs w:val="18"/>
              </w:rPr>
            </w:pPr>
            <w:r>
              <w:rPr>
                <w:rFonts w:ascii="Arial" w:hAnsi="Arial" w:cs="Arial"/>
                <w:i/>
                <w:sz w:val="18"/>
                <w:szCs w:val="18"/>
              </w:rPr>
              <w:t>---</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13,9 meses</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pPr>
            <w:r>
              <w:rPr>
                <w:rFonts w:ascii="Arial" w:hAnsi="Arial" w:cs="Arial"/>
                <w:b/>
                <w:i/>
                <w:sz w:val="18"/>
                <w:szCs w:val="18"/>
                <w:lang w:eastAsia="es-ES"/>
              </w:rPr>
              <w:t>---</w:t>
            </w:r>
          </w:p>
        </w:tc>
        <w:tc>
          <w:tcPr>
            <w:tcW w:w="541" w:type="dxa"/>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0,63</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r>
              <w:rPr>
                <w:rFonts w:ascii="Arial" w:hAnsi="Arial" w:cs="Arial"/>
                <w:i/>
                <w:sz w:val="18"/>
                <w:szCs w:val="18"/>
              </w:rPr>
              <w:t>0,29</w:t>
            </w: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0,40</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pPr>
            <w:r>
              <w:rPr>
                <w:rFonts w:ascii="Arial" w:hAnsi="Arial" w:cs="Arial"/>
                <w:i/>
                <w:sz w:val="18"/>
                <w:szCs w:val="18"/>
                <w:lang w:val="es-ES_tradnl"/>
              </w:rPr>
              <w:t>0,46</w:t>
            </w:r>
          </w:p>
          <w:p w:rsidR="0056194E" w:rsidRDefault="0056194E" w:rsidP="00BC3E86">
            <w:pPr>
              <w:snapToGrid w:val="0"/>
              <w:jc w:val="both"/>
            </w:pPr>
          </w:p>
        </w:tc>
        <w:tc>
          <w:tcPr>
            <w:tcW w:w="1709" w:type="dxa"/>
            <w:tcBorders>
              <w:left w:val="single" w:sz="4" w:space="0" w:color="000000"/>
              <w:bottom w:val="single" w:sz="4" w:space="0" w:color="000000"/>
              <w:right w:val="single" w:sz="4" w:space="0" w:color="000000"/>
            </w:tcBorders>
            <w:shd w:val="clear" w:color="auto" w:fill="FFFFFF"/>
          </w:tcPr>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0,52-0,76</w:t>
            </w: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(p&lt;0,001)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0,25-0,34</w:t>
            </w: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(p&lt;0,001)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0,34-0,47</w:t>
            </w: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(p&lt;0,001)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0,37-0,58</w:t>
            </w:r>
          </w:p>
          <w:p w:rsidR="0056194E" w:rsidRDefault="0056194E" w:rsidP="00BC3E86">
            <w:pPr>
              <w:snapToGrid w:val="0"/>
              <w:jc w:val="both"/>
            </w:pPr>
            <w:r>
              <w:rPr>
                <w:rFonts w:ascii="Arial" w:hAnsi="Arial" w:cs="Arial"/>
                <w:i/>
                <w:sz w:val="18"/>
                <w:szCs w:val="18"/>
                <w:lang w:val="es-ES_tradnl"/>
              </w:rPr>
              <w:t>(p&lt;0,001)</w:t>
            </w:r>
          </w:p>
          <w:p w:rsidR="0056194E" w:rsidRDefault="0056194E" w:rsidP="00BC3E86">
            <w:pPr>
              <w:snapToGrid w:val="0"/>
              <w:jc w:val="both"/>
            </w:pPr>
          </w:p>
        </w:tc>
      </w:tr>
      <w:tr w:rsidR="0056194E" w:rsidTr="00FC0B62">
        <w:trPr>
          <w:trHeight w:val="2951"/>
        </w:trPr>
        <w:tc>
          <w:tcPr>
            <w:tcW w:w="2540" w:type="dxa"/>
            <w:vMerge/>
            <w:tcBorders>
              <w:left w:val="single" w:sz="4" w:space="0" w:color="000000"/>
              <w:bottom w:val="single" w:sz="4" w:space="0" w:color="000000"/>
            </w:tcBorders>
            <w:shd w:val="clear" w:color="auto" w:fill="FFFFFF"/>
          </w:tcPr>
          <w:p w:rsidR="0056194E" w:rsidRDefault="0056194E" w:rsidP="00BC3E86">
            <w:pPr>
              <w:snapToGrid w:val="0"/>
              <w:jc w:val="both"/>
            </w:pPr>
          </w:p>
        </w:tc>
        <w:tc>
          <w:tcPr>
            <w:tcW w:w="1321" w:type="dxa"/>
            <w:tcBorders>
              <w:left w:val="single" w:sz="4" w:space="0" w:color="000000"/>
              <w:bottom w:val="single" w:sz="4" w:space="0" w:color="000000"/>
            </w:tcBorders>
            <w:shd w:val="clear" w:color="auto" w:fill="FFFFFF"/>
          </w:tcPr>
          <w:p w:rsidR="0056194E" w:rsidRPr="006A311C" w:rsidRDefault="0056194E" w:rsidP="00BC3E86">
            <w:pPr>
              <w:snapToGrid w:val="0"/>
              <w:jc w:val="both"/>
              <w:rPr>
                <w:rFonts w:ascii="Arial" w:hAnsi="Arial" w:cs="Arial"/>
                <w:i/>
                <w:sz w:val="20"/>
                <w:szCs w:val="20"/>
                <w:lang w:val="pt-BR"/>
              </w:rPr>
            </w:pPr>
          </w:p>
          <w:p w:rsidR="0056194E" w:rsidRDefault="0056194E" w:rsidP="00BC3E86">
            <w:pPr>
              <w:jc w:val="both"/>
              <w:rPr>
                <w:rFonts w:ascii="Arial" w:hAnsi="Arial" w:cs="Arial"/>
                <w:b/>
                <w:i/>
                <w:sz w:val="18"/>
                <w:szCs w:val="18"/>
                <w:lang w:eastAsia="es-ES"/>
              </w:rPr>
            </w:pPr>
          </w:p>
          <w:p w:rsidR="0056194E" w:rsidRPr="006A311C" w:rsidRDefault="0056194E" w:rsidP="00BC3E86">
            <w:pPr>
              <w:jc w:val="both"/>
              <w:rPr>
                <w:rFonts w:ascii="Arial" w:hAnsi="Arial" w:cs="Arial"/>
                <w:i/>
                <w:sz w:val="20"/>
                <w:szCs w:val="20"/>
                <w:lang w:val="pt-BR"/>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jc w:val="both"/>
            </w:pPr>
            <w:r>
              <w:rPr>
                <w:rFonts w:ascii="Arial" w:hAnsi="Arial" w:cs="Arial"/>
                <w:b/>
                <w:i/>
                <w:sz w:val="18"/>
                <w:szCs w:val="18"/>
                <w:lang w:eastAsia="es-ES"/>
              </w:rPr>
              <w:t>NA</w:t>
            </w:r>
          </w:p>
        </w:tc>
        <w:tc>
          <w:tcPr>
            <w:tcW w:w="1232" w:type="dxa"/>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NA</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jc w:val="both"/>
            </w:pPr>
            <w:r>
              <w:rPr>
                <w:rFonts w:ascii="Arial" w:hAnsi="Arial" w:cs="Arial"/>
                <w:b/>
                <w:i/>
                <w:sz w:val="18"/>
                <w:szCs w:val="18"/>
                <w:lang w:eastAsia="es-ES"/>
              </w:rPr>
              <w:t>NA</w:t>
            </w:r>
          </w:p>
        </w:tc>
        <w:tc>
          <w:tcPr>
            <w:tcW w:w="1728" w:type="dxa"/>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b/>
                <w:i/>
                <w:sz w:val="18"/>
                <w:szCs w:val="18"/>
                <w:lang w:eastAsia="es-ES"/>
              </w:rPr>
            </w:pPr>
            <w:r>
              <w:rPr>
                <w:rFonts w:ascii="Arial" w:hAnsi="Arial" w:cs="Arial"/>
                <w:b/>
                <w:i/>
                <w:sz w:val="18"/>
                <w:szCs w:val="18"/>
                <w:lang w:eastAsia="es-ES"/>
              </w:rPr>
              <w:t>---</w:t>
            </w:r>
          </w:p>
          <w:p w:rsidR="0056194E" w:rsidRDefault="0056194E" w:rsidP="00BC3E86">
            <w:pPr>
              <w:snapToGrid w:val="0"/>
              <w:jc w:val="both"/>
              <w:rPr>
                <w:rFonts w:ascii="Arial" w:hAnsi="Arial" w:cs="Arial"/>
                <w:b/>
                <w:i/>
                <w:sz w:val="18"/>
                <w:szCs w:val="18"/>
                <w:lang w:eastAsia="es-ES"/>
              </w:rPr>
            </w:pPr>
          </w:p>
          <w:p w:rsidR="0056194E" w:rsidRDefault="0056194E" w:rsidP="00BC3E86">
            <w:pPr>
              <w:snapToGrid w:val="0"/>
              <w:jc w:val="both"/>
              <w:rPr>
                <w:rFonts w:ascii="Arial" w:hAnsi="Arial" w:cs="Arial"/>
                <w:sz w:val="18"/>
                <w:szCs w:val="18"/>
              </w:rPr>
            </w:pPr>
            <w:r>
              <w:rPr>
                <w:rFonts w:ascii="Arial" w:hAnsi="Arial" w:cs="Arial"/>
                <w:sz w:val="18"/>
                <w:szCs w:val="18"/>
              </w:rPr>
              <w:t>---</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sz w:val="18"/>
                <w:szCs w:val="18"/>
              </w:rPr>
            </w:pPr>
            <w:r>
              <w:rPr>
                <w:rFonts w:ascii="Arial" w:hAnsi="Arial" w:cs="Arial"/>
                <w:sz w:val="18"/>
                <w:szCs w:val="18"/>
              </w:rPr>
              <w:t>---</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sz w:val="18"/>
                <w:szCs w:val="18"/>
              </w:rPr>
            </w:pPr>
            <w:r>
              <w:rPr>
                <w:rFonts w:ascii="Arial" w:hAnsi="Arial" w:cs="Arial"/>
                <w:sz w:val="18"/>
                <w:szCs w:val="18"/>
              </w:rPr>
              <w:t>---</w:t>
            </w:r>
          </w:p>
          <w:p w:rsidR="0056194E" w:rsidRDefault="0056194E" w:rsidP="00BC3E86">
            <w:pPr>
              <w:snapToGrid w:val="0"/>
              <w:jc w:val="both"/>
              <w:rPr>
                <w:rFonts w:ascii="Arial" w:hAnsi="Arial" w:cs="Arial"/>
                <w:sz w:val="18"/>
                <w:szCs w:val="18"/>
              </w:rPr>
            </w:pPr>
          </w:p>
          <w:p w:rsidR="0056194E" w:rsidRDefault="0056194E" w:rsidP="00BC3E86">
            <w:pPr>
              <w:snapToGrid w:val="0"/>
              <w:jc w:val="both"/>
              <w:rPr>
                <w:rFonts w:ascii="Arial" w:hAnsi="Arial" w:cs="Arial"/>
                <w:sz w:val="18"/>
                <w:szCs w:val="18"/>
              </w:rPr>
            </w:pPr>
          </w:p>
          <w:p w:rsidR="0056194E" w:rsidRDefault="0056194E" w:rsidP="00BC3E86">
            <w:pPr>
              <w:jc w:val="both"/>
            </w:pPr>
            <w:r>
              <w:rPr>
                <w:rFonts w:ascii="Arial" w:hAnsi="Arial" w:cs="Arial"/>
                <w:sz w:val="18"/>
                <w:szCs w:val="18"/>
              </w:rPr>
              <w:t>---</w:t>
            </w:r>
          </w:p>
        </w:tc>
        <w:tc>
          <w:tcPr>
            <w:tcW w:w="541" w:type="dxa"/>
            <w:tcBorders>
              <w:left w:val="single" w:sz="4" w:space="0" w:color="000000"/>
              <w:bottom w:val="single" w:sz="4" w:space="0" w:color="000000"/>
            </w:tcBorders>
            <w:shd w:val="clear" w:color="auto" w:fill="FFFFFF"/>
          </w:tcPr>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0,61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0,75</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0,31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0,21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0.51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0.94</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0.26</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jc w:val="both"/>
            </w:pPr>
            <w:r>
              <w:rPr>
                <w:rFonts w:ascii="Arial" w:hAnsi="Arial" w:cs="Arial"/>
                <w:i/>
                <w:sz w:val="18"/>
                <w:szCs w:val="18"/>
                <w:lang w:val="es-ES_tradnl"/>
              </w:rPr>
              <w:t>0.36</w:t>
            </w:r>
          </w:p>
        </w:tc>
        <w:tc>
          <w:tcPr>
            <w:tcW w:w="1709" w:type="dxa"/>
            <w:tcBorders>
              <w:left w:val="single" w:sz="4" w:space="0" w:color="000000"/>
              <w:bottom w:val="single" w:sz="4" w:space="0" w:color="000000"/>
              <w:right w:val="single" w:sz="4" w:space="0" w:color="000000"/>
            </w:tcBorders>
            <w:shd w:val="clear" w:color="auto" w:fill="FFFFFF"/>
          </w:tcPr>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0,49-0,75)</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(0,48-1.18)</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(0,26-0,37)</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(0,15-0,31)</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(0.4-0.65)</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(0.69-1.29)</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r>
              <w:rPr>
                <w:rFonts w:ascii="Arial" w:hAnsi="Arial" w:cs="Arial"/>
                <w:i/>
                <w:sz w:val="18"/>
                <w:szCs w:val="18"/>
                <w:lang w:val="es-ES_tradnl"/>
              </w:rPr>
              <w:t>(0.22-0.32)</w:t>
            </w: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rPr>
                <w:rFonts w:ascii="Arial" w:hAnsi="Arial" w:cs="Arial"/>
                <w:i/>
                <w:sz w:val="18"/>
                <w:szCs w:val="18"/>
                <w:lang w:val="es-ES_tradnl"/>
              </w:rPr>
            </w:pPr>
          </w:p>
          <w:p w:rsidR="0056194E" w:rsidRDefault="0056194E" w:rsidP="00BC3E86">
            <w:pPr>
              <w:snapToGrid w:val="0"/>
              <w:jc w:val="both"/>
            </w:pPr>
            <w:r>
              <w:rPr>
                <w:rFonts w:ascii="Arial" w:hAnsi="Arial" w:cs="Arial"/>
                <w:i/>
                <w:sz w:val="18"/>
                <w:szCs w:val="18"/>
                <w:lang w:val="es-ES_tradnl"/>
              </w:rPr>
              <w:t>(0.28-0.47)</w:t>
            </w:r>
          </w:p>
          <w:p w:rsidR="0056194E" w:rsidRDefault="0056194E" w:rsidP="00BC3E86">
            <w:pPr>
              <w:snapToGrid w:val="0"/>
              <w:jc w:val="both"/>
            </w:pPr>
          </w:p>
        </w:tc>
      </w:tr>
      <w:tr w:rsidR="0056194E" w:rsidTr="00FC0B62">
        <w:trPr>
          <w:trHeight w:val="283"/>
        </w:trPr>
        <w:tc>
          <w:tcPr>
            <w:tcW w:w="9071" w:type="dxa"/>
            <w:gridSpan w:val="6"/>
            <w:tcBorders>
              <w:top w:val="single" w:sz="4" w:space="0" w:color="000000"/>
              <w:left w:val="single" w:sz="4" w:space="0" w:color="000000"/>
              <w:bottom w:val="single" w:sz="4" w:space="0" w:color="000000"/>
              <w:right w:val="single" w:sz="4" w:space="0" w:color="000000"/>
            </w:tcBorders>
            <w:shd w:val="clear" w:color="auto" w:fill="E6E6E6"/>
          </w:tcPr>
          <w:p w:rsidR="0056194E" w:rsidRDefault="0056194E" w:rsidP="00BC3E86">
            <w:pPr>
              <w:jc w:val="both"/>
            </w:pPr>
            <w:r>
              <w:rPr>
                <w:rStyle w:val="Hipervnculo"/>
                <w:rFonts w:ascii="Arial" w:hAnsi="Arial" w:cs="Arial"/>
                <w:color w:val="000000"/>
                <w:sz w:val="18"/>
                <w:szCs w:val="18"/>
                <w:u w:val="none"/>
              </w:rPr>
              <w:t>*Se utilizó un modelo para calcular la media truncada ajustada a los primeros 54 meses de la supervivencia libre de progresión, ya que se observó una importante evidencia de falta de proporcionalidad a lo largo de la curva con el uso del hazard ratio.</w:t>
            </w:r>
          </w:p>
        </w:tc>
      </w:tr>
    </w:tbl>
    <w:p w:rsidR="0056194E" w:rsidRDefault="0056194E" w:rsidP="00730D01">
      <w:pPr>
        <w:jc w:val="both"/>
        <w:rPr>
          <w:rFonts w:ascii="Arial" w:hAnsi="Arial" w:cs="Arial"/>
          <w:b/>
          <w:bCs/>
          <w:color w:val="000080"/>
          <w:sz w:val="20"/>
          <w:szCs w:val="20"/>
          <w:u w:val="single"/>
        </w:rPr>
      </w:pPr>
    </w:p>
    <w:p w:rsidR="00FC0B62" w:rsidRDefault="00FC0B62" w:rsidP="00730D01">
      <w:pPr>
        <w:jc w:val="both"/>
        <w:rPr>
          <w:rFonts w:ascii="Arial" w:hAnsi="Arial" w:cs="Arial"/>
          <w:b/>
          <w:bCs/>
          <w:color w:val="000080"/>
          <w:sz w:val="20"/>
          <w:szCs w:val="20"/>
          <w:u w:val="single"/>
        </w:rPr>
      </w:pPr>
    </w:p>
    <w:tbl>
      <w:tblPr>
        <w:tblW w:w="0" w:type="auto"/>
        <w:tblInd w:w="-28" w:type="dxa"/>
        <w:tblLayout w:type="fixed"/>
        <w:tblLook w:val="0000"/>
      </w:tblPr>
      <w:tblGrid>
        <w:gridCol w:w="4946"/>
        <w:gridCol w:w="4839"/>
      </w:tblGrid>
      <w:tr w:rsidR="0056194E">
        <w:trPr>
          <w:trHeight w:val="417"/>
        </w:trPr>
        <w:tc>
          <w:tcPr>
            <w:tcW w:w="9785" w:type="dxa"/>
            <w:gridSpan w:val="2"/>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BC3E86">
            <w:pPr>
              <w:snapToGrid w:val="0"/>
              <w:jc w:val="both"/>
              <w:rPr>
                <w:rFonts w:ascii="Arial" w:hAnsi="Arial" w:cs="Arial"/>
                <w:b/>
                <w:bCs/>
                <w:sz w:val="20"/>
                <w:szCs w:val="20"/>
              </w:rPr>
            </w:pPr>
          </w:p>
          <w:p w:rsidR="0056194E" w:rsidRDefault="0056194E" w:rsidP="00BC3E86">
            <w:pPr>
              <w:snapToGrid w:val="0"/>
              <w:jc w:val="both"/>
            </w:pPr>
            <w:r>
              <w:rPr>
                <w:rFonts w:ascii="Arial" w:hAnsi="Arial" w:cs="Arial"/>
                <w:b/>
                <w:bCs/>
                <w:sz w:val="20"/>
                <w:szCs w:val="20"/>
              </w:rPr>
              <w:t>Curvas de SG y SSFT de STAMPEDE.</w:t>
            </w:r>
            <w:r>
              <w:rPr>
                <w:rFonts w:ascii="Arial" w:hAnsi="Arial" w:cs="Arial"/>
                <w:sz w:val="20"/>
                <w:szCs w:val="20"/>
              </w:rPr>
              <w:t xml:space="preserve"> Gráficas de supervivencia (Kaplan-Meier)</w:t>
            </w:r>
            <w:r>
              <w:rPr>
                <w:rFonts w:ascii="Arial" w:hAnsi="Arial" w:cs="Arial"/>
                <w:sz w:val="20"/>
                <w:szCs w:val="20"/>
                <w:vertAlign w:val="superscript"/>
              </w:rPr>
              <w:t>16</w:t>
            </w:r>
          </w:p>
          <w:p w:rsidR="0056194E" w:rsidRDefault="0056194E" w:rsidP="00BC3E86">
            <w:pPr>
              <w:jc w:val="both"/>
            </w:pPr>
          </w:p>
        </w:tc>
      </w:tr>
      <w:tr w:rsidR="0056194E">
        <w:trPr>
          <w:trHeight w:val="453"/>
        </w:trPr>
        <w:tc>
          <w:tcPr>
            <w:tcW w:w="4946" w:type="dxa"/>
            <w:tcBorders>
              <w:top w:val="single" w:sz="4" w:space="0" w:color="000000"/>
              <w:left w:val="single" w:sz="4" w:space="0" w:color="000000"/>
              <w:bottom w:val="single" w:sz="4" w:space="0" w:color="000000"/>
            </w:tcBorders>
            <w:shd w:val="clear" w:color="auto" w:fill="E2EFD9"/>
            <w:vAlign w:val="center"/>
          </w:tcPr>
          <w:p w:rsidR="0056194E" w:rsidRDefault="0056194E" w:rsidP="00BC3E86">
            <w:pPr>
              <w:jc w:val="both"/>
              <w:rPr>
                <w:rFonts w:ascii="Arial" w:hAnsi="Arial" w:cs="Arial"/>
                <w:color w:val="000080"/>
                <w:sz w:val="18"/>
                <w:szCs w:val="18"/>
              </w:rPr>
            </w:pPr>
            <w:r>
              <w:rPr>
                <w:rFonts w:ascii="Arial" w:hAnsi="Arial" w:cs="Arial"/>
                <w:color w:val="000080"/>
                <w:sz w:val="18"/>
                <w:szCs w:val="18"/>
              </w:rPr>
              <w:t>Supervivencia global en todos los pacientes.</w:t>
            </w:r>
          </w:p>
          <w:p w:rsidR="0056194E" w:rsidRDefault="0056194E" w:rsidP="00BC3E86">
            <w:pPr>
              <w:jc w:val="both"/>
            </w:pPr>
            <w:r>
              <w:rPr>
                <w:rFonts w:ascii="Arial" w:hAnsi="Arial" w:cs="Arial"/>
                <w:color w:val="000080"/>
                <w:sz w:val="18"/>
                <w:szCs w:val="18"/>
              </w:rPr>
              <w:t>(NEJM 2017)</w:t>
            </w:r>
          </w:p>
        </w:tc>
        <w:tc>
          <w:tcPr>
            <w:tcW w:w="483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6194E" w:rsidRDefault="0056194E" w:rsidP="00BC3E86">
            <w:pPr>
              <w:jc w:val="both"/>
              <w:rPr>
                <w:rFonts w:ascii="Arial" w:hAnsi="Arial" w:cs="Arial"/>
                <w:color w:val="000080"/>
                <w:sz w:val="18"/>
                <w:szCs w:val="18"/>
              </w:rPr>
            </w:pPr>
            <w:r>
              <w:rPr>
                <w:rFonts w:ascii="Arial" w:hAnsi="Arial" w:cs="Arial"/>
                <w:color w:val="000080"/>
                <w:sz w:val="18"/>
                <w:szCs w:val="18"/>
              </w:rPr>
              <w:t xml:space="preserve">Supervivencia sin fallo a tratamiento en todos los pacientes.  </w:t>
            </w:r>
          </w:p>
          <w:p w:rsidR="0056194E" w:rsidRDefault="0056194E" w:rsidP="00BC3E86">
            <w:pPr>
              <w:jc w:val="both"/>
            </w:pPr>
            <w:r>
              <w:rPr>
                <w:rFonts w:ascii="Arial" w:hAnsi="Arial" w:cs="Arial"/>
                <w:color w:val="000080"/>
                <w:sz w:val="18"/>
                <w:szCs w:val="18"/>
              </w:rPr>
              <w:t>(NEJM 2017)</w:t>
            </w:r>
          </w:p>
        </w:tc>
      </w:tr>
    </w:tbl>
    <w:p w:rsidR="0056194E" w:rsidRDefault="00F33243" w:rsidP="00730D01">
      <w:pPr>
        <w:jc w:val="both"/>
        <w:rPr>
          <w:rFonts w:ascii="Arial" w:hAnsi="Arial" w:cs="Arial"/>
          <w:b/>
          <w:bCs/>
          <w:color w:val="000080"/>
          <w:sz w:val="20"/>
          <w:szCs w:val="20"/>
          <w:u w:val="single"/>
        </w:rPr>
      </w:pPr>
      <w:r w:rsidRPr="00F33243">
        <w:rPr>
          <w:noProof/>
          <w:lang w:eastAsia="es-ES"/>
        </w:rPr>
        <w:pict>
          <v:shape id="Imagen 39" o:spid="_x0000_s1028" type="#_x0000_t75" style="position:absolute;left:0;text-align:left;margin-left:-4.65pt;margin-top:1.15pt;width:483.75pt;height:198.15pt;z-index:251649536;visibility:visible;mso-wrap-distance-left:0;mso-wrap-distance-right:0;mso-position-horizontal-relative:text;mso-position-vertical-relative:text" filled="t" stroked="t" strokeweight=".25pt">
            <v:imagedata r:id="rId11" o:title="" croptop="-78f" cropbottom="-78f" cropleft="-36f" cropright="-36f"/>
            <w10:wrap type="square" side="largest"/>
          </v:shape>
        </w:pict>
      </w:r>
    </w:p>
    <w:p w:rsidR="0056194E" w:rsidRDefault="0056194E">
      <w:pPr>
        <w:snapToGrid w:val="0"/>
        <w:jc w:val="both"/>
        <w:rPr>
          <w:rFonts w:ascii="Arial" w:hAnsi="Arial" w:cs="Arial"/>
          <w:b/>
          <w:bCs/>
          <w:color w:val="000080"/>
          <w:sz w:val="20"/>
          <w:szCs w:val="20"/>
          <w:u w:val="single"/>
        </w:rPr>
      </w:pPr>
    </w:p>
    <w:p w:rsidR="0056194E" w:rsidRDefault="0056194E">
      <w:pPr>
        <w:snapToGrid w:val="0"/>
        <w:jc w:val="both"/>
        <w:rPr>
          <w:rFonts w:ascii="Arial" w:hAnsi="Arial" w:cs="Arial"/>
          <w:b/>
          <w:color w:val="000080"/>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80"/>
          <w:sz w:val="20"/>
        </w:rPr>
      </w:pPr>
      <w:bookmarkStart w:id="21" w:name="_Toc536608337"/>
      <w:r>
        <w:rPr>
          <w:sz w:val="20"/>
        </w:rPr>
        <w:t>5.2.b Evaluación de la validez y de la utilidad práctica de los resultados</w:t>
      </w:r>
      <w:bookmarkEnd w:id="21"/>
      <w:r>
        <w:rPr>
          <w:sz w:val="20"/>
        </w:rPr>
        <w:t xml:space="preserve"> </w:t>
      </w:r>
    </w:p>
    <w:p w:rsidR="0056194E" w:rsidRDefault="0056194E">
      <w:pPr>
        <w:jc w:val="both"/>
        <w:rPr>
          <w:rFonts w:ascii="Arial" w:hAnsi="Arial" w:cs="Arial"/>
          <w:bCs/>
          <w:color w:val="000080"/>
          <w:sz w:val="20"/>
          <w:szCs w:val="20"/>
        </w:rPr>
      </w:pPr>
    </w:p>
    <w:p w:rsidR="0056194E" w:rsidRDefault="0056194E">
      <w:pPr>
        <w:pStyle w:val="Textoindependiente33"/>
        <w:pBdr>
          <w:top w:val="single" w:sz="4" w:space="1" w:color="000000"/>
          <w:left w:val="single" w:sz="4" w:space="4" w:color="000000"/>
          <w:bottom w:val="single" w:sz="4" w:space="1" w:color="000000"/>
          <w:right w:val="single" w:sz="4" w:space="4" w:color="000000"/>
        </w:pBdr>
        <w:jc w:val="both"/>
        <w:rPr>
          <w:bCs/>
          <w:color w:val="000080"/>
          <w:sz w:val="20"/>
        </w:rPr>
      </w:pPr>
      <w:r>
        <w:rPr>
          <w:b/>
          <w:bCs/>
          <w:sz w:val="20"/>
        </w:rPr>
        <w:t>A. Validez interna. Limitaciones de diseño y/o comentarios:</w:t>
      </w:r>
    </w:p>
    <w:p w:rsidR="0056194E" w:rsidRDefault="0056194E">
      <w:pPr>
        <w:pStyle w:val="Textoindependiente32"/>
        <w:jc w:val="both"/>
        <w:rPr>
          <w:rFonts w:ascii="Arial" w:hAnsi="Arial" w:cs="Arial"/>
          <w:bCs/>
          <w:color w:val="000080"/>
          <w:sz w:val="20"/>
          <w:szCs w:val="20"/>
        </w:rPr>
      </w:pPr>
    </w:p>
    <w:p w:rsidR="0056194E" w:rsidRDefault="0056194E">
      <w:pPr>
        <w:jc w:val="both"/>
        <w:rPr>
          <w:rFonts w:ascii="Arial" w:hAnsi="Arial" w:cs="Arial"/>
          <w:sz w:val="20"/>
          <w:szCs w:val="20"/>
        </w:rPr>
      </w:pPr>
      <w:r>
        <w:rPr>
          <w:rFonts w:ascii="Arial" w:hAnsi="Arial" w:cs="Arial"/>
          <w:bCs/>
          <w:color w:val="000000"/>
          <w:sz w:val="20"/>
          <w:szCs w:val="20"/>
        </w:rPr>
        <w:t>La principal limitación del estudio STAMPEDE es la no realización de cegamiento, tanto de los pacientes como de los investigadores.</w:t>
      </w:r>
      <w:r w:rsidR="005065FF">
        <w:rPr>
          <w:rFonts w:ascii="Arial" w:hAnsi="Arial" w:cs="Arial"/>
          <w:bCs/>
          <w:color w:val="000000"/>
          <w:sz w:val="20"/>
          <w:szCs w:val="20"/>
        </w:rPr>
        <w:t xml:space="preserve"> Este diseño podría afectar a la variable SLP, aunque no a la SG. Aún así, este sesgo queda reducido en este estudio ya que existe un comité independiente de evaluación de los resultados.</w:t>
      </w:r>
      <w:r>
        <w:rPr>
          <w:rFonts w:ascii="Arial" w:hAnsi="Arial" w:cs="Arial"/>
          <w:bCs/>
          <w:color w:val="000000"/>
          <w:sz w:val="20"/>
          <w:szCs w:val="20"/>
        </w:rPr>
        <w:t xml:space="preserve"> En el estudio LATITUDE no encontramos limitaciones de este tipo ya que su diseño es de doble ciego.</w:t>
      </w:r>
    </w:p>
    <w:p w:rsidR="0056194E" w:rsidRDefault="0056194E">
      <w:pPr>
        <w:jc w:val="both"/>
        <w:rPr>
          <w:b/>
          <w:bCs/>
          <w:sz w:val="20"/>
        </w:rPr>
      </w:pPr>
    </w:p>
    <w:p w:rsidR="0056194E" w:rsidRDefault="0056194E">
      <w:pPr>
        <w:pStyle w:val="Textoindependiente33"/>
        <w:pBdr>
          <w:top w:val="single" w:sz="4" w:space="1" w:color="000000"/>
          <w:left w:val="single" w:sz="4" w:space="4" w:color="000000"/>
          <w:bottom w:val="single" w:sz="4" w:space="1" w:color="000000"/>
          <w:right w:val="single" w:sz="4" w:space="4" w:color="000000"/>
        </w:pBdr>
        <w:jc w:val="both"/>
        <w:rPr>
          <w:bCs/>
          <w:color w:val="000080"/>
          <w:sz w:val="20"/>
        </w:rPr>
      </w:pPr>
      <w:r>
        <w:rPr>
          <w:b/>
          <w:bCs/>
          <w:sz w:val="20"/>
        </w:rPr>
        <w:t>B. Aplicabilidad del ensayo a la práctica del hospital</w:t>
      </w:r>
    </w:p>
    <w:p w:rsidR="0056194E" w:rsidRDefault="0056194E">
      <w:pPr>
        <w:pStyle w:val="Textoindependiente33"/>
        <w:jc w:val="both"/>
        <w:rPr>
          <w:bCs/>
          <w:color w:val="000080"/>
          <w:sz w:val="20"/>
        </w:rPr>
      </w:pPr>
    </w:p>
    <w:p w:rsidR="0056194E" w:rsidRDefault="0056194E">
      <w:pPr>
        <w:pStyle w:val="Textoindependiente32"/>
        <w:jc w:val="both"/>
        <w:rPr>
          <w:rFonts w:ascii="Arial" w:hAnsi="Arial" w:cs="Arial"/>
          <w:sz w:val="20"/>
          <w:szCs w:val="20"/>
        </w:rPr>
      </w:pPr>
      <w:r>
        <w:rPr>
          <w:rFonts w:ascii="Arial" w:hAnsi="Arial" w:cs="Arial"/>
          <w:sz w:val="20"/>
          <w:szCs w:val="20"/>
        </w:rPr>
        <w:t xml:space="preserve">Los objetivos principales de ambos estudios fueron determinar el beneficio del uso de abiraterona en combinación con ADT en términos de supervivencia global y supervivencia libre de progresión radiológica (LATITUDE) o supervivencia sin fallo a tratamiento (STAMPEDE) en comparación con el uso de ADT en monoterapia en pacientes con cáncer de próstata hormono-sensible. En el estudio LATITUDE sólo se incluyeron pacientes metastáticos, mientras que en el estudio STAMPEDE se incluyeron pacientes metastásicos y no metastásicos, </w:t>
      </w:r>
      <w:r w:rsidRPr="008049FE">
        <w:rPr>
          <w:rFonts w:ascii="Arial" w:hAnsi="Arial" w:cs="Arial"/>
          <w:sz w:val="20"/>
          <w:szCs w:val="20"/>
        </w:rPr>
        <w:t>nódulo positivo (N+) o de alto riesgo-localmente avanzados con al menos dos de los siguientes criterios: T3/4, Gleason 8-10 o PSA</w:t>
      </w:r>
      <w:r w:rsidRPr="0063474A">
        <w:rPr>
          <w:rFonts w:ascii="Arial" w:hAnsi="Arial" w:cs="Arial"/>
          <w:sz w:val="20"/>
          <w:szCs w:val="20"/>
        </w:rPr>
        <w:t>≥</w:t>
      </w:r>
      <w:r w:rsidRPr="008049FE">
        <w:rPr>
          <w:rFonts w:ascii="Arial" w:hAnsi="Arial" w:cs="Arial"/>
          <w:sz w:val="20"/>
          <w:szCs w:val="20"/>
        </w:rPr>
        <w:t>40 ng/ml.</w:t>
      </w:r>
      <w:r w:rsidR="004C221E">
        <w:rPr>
          <w:rFonts w:ascii="Arial" w:hAnsi="Arial" w:cs="Arial"/>
          <w:sz w:val="20"/>
          <w:szCs w:val="20"/>
        </w:rPr>
        <w:t xml:space="preserve"> </w:t>
      </w:r>
      <w:r>
        <w:rPr>
          <w:rFonts w:ascii="Arial" w:hAnsi="Arial" w:cs="Arial"/>
          <w:sz w:val="20"/>
          <w:szCs w:val="20"/>
        </w:rPr>
        <w:t>Los objetivos secundarios y exploratorios fueron determinar el beneficio de abiraterona en los marcadores clínicamente relevantes de progresión de la enfermedad y calidad de vida.</w:t>
      </w:r>
    </w:p>
    <w:p w:rsidR="0056194E" w:rsidRDefault="0056194E">
      <w:pPr>
        <w:pStyle w:val="Textoindependiente32"/>
        <w:jc w:val="both"/>
        <w:rPr>
          <w:rFonts w:ascii="Arial" w:hAnsi="Arial" w:cs="Arial"/>
          <w:sz w:val="20"/>
          <w:szCs w:val="20"/>
        </w:rPr>
      </w:pPr>
    </w:p>
    <w:p w:rsidR="0056194E" w:rsidRDefault="0056194E">
      <w:pPr>
        <w:pStyle w:val="Textoindependiente32"/>
        <w:jc w:val="both"/>
        <w:rPr>
          <w:rFonts w:ascii="Arial" w:hAnsi="Arial" w:cs="Arial"/>
          <w:sz w:val="20"/>
          <w:szCs w:val="20"/>
        </w:rPr>
      </w:pPr>
      <w:r>
        <w:rPr>
          <w:rFonts w:ascii="Arial" w:hAnsi="Arial" w:cs="Arial"/>
          <w:sz w:val="20"/>
          <w:szCs w:val="20"/>
        </w:rPr>
        <w:t>El comparador es el adecuado, ya que la hormonoterapia es el primer escalón de tratamiento en el inicio de la enfermedad, así como el tiempo y la pauta habitual de dicho tratamiento. Falta una comparación directa entre abiraterona y docetaxel, opción de elevada eficacia demostrada, empleada habitualmente en la práctica actual, aunque carezca de indicación aprobada por carencia de interés comercial.</w:t>
      </w:r>
    </w:p>
    <w:p w:rsidR="0056194E" w:rsidRDefault="0056194E">
      <w:pPr>
        <w:pStyle w:val="Textoindependiente32"/>
        <w:jc w:val="both"/>
        <w:rPr>
          <w:rFonts w:ascii="Arial" w:hAnsi="Arial" w:cs="Arial"/>
          <w:sz w:val="20"/>
          <w:szCs w:val="20"/>
        </w:rPr>
      </w:pPr>
    </w:p>
    <w:p w:rsidR="0056194E" w:rsidRDefault="0056194E" w:rsidP="00AA6946">
      <w:pPr>
        <w:jc w:val="both"/>
        <w:rPr>
          <w:rFonts w:ascii="Arial" w:hAnsi="Arial" w:cs="Arial"/>
          <w:sz w:val="20"/>
          <w:szCs w:val="20"/>
          <w:lang w:eastAsia="ar-SA"/>
        </w:rPr>
      </w:pPr>
      <w:r>
        <w:rPr>
          <w:rFonts w:ascii="Arial" w:hAnsi="Arial" w:cs="Arial"/>
          <w:sz w:val="20"/>
          <w:szCs w:val="20"/>
          <w:lang w:eastAsia="ar-SA"/>
        </w:rPr>
        <w:t>En el estudio LATITUDE</w:t>
      </w:r>
      <w:r>
        <w:rPr>
          <w:rFonts w:ascii="Arial" w:hAnsi="Arial" w:cs="Arial"/>
          <w:sz w:val="20"/>
          <w:szCs w:val="20"/>
          <w:vertAlign w:val="superscript"/>
          <w:lang w:eastAsia="ar-SA"/>
        </w:rPr>
        <w:t>17</w:t>
      </w:r>
      <w:r>
        <w:rPr>
          <w:rFonts w:ascii="Arial" w:hAnsi="Arial" w:cs="Arial"/>
          <w:sz w:val="20"/>
          <w:szCs w:val="20"/>
          <w:lang w:eastAsia="ar-SA"/>
        </w:rPr>
        <w:t xml:space="preserve"> la mediana de edad en el brazo experimental fue de 68 años (rango de 38-89) y de 67 años (rango de 33-92) en el brazo control. El 98% de los pacientes tenían una puntuación Gleason ≥8. </w:t>
      </w:r>
    </w:p>
    <w:p w:rsidR="0056194E" w:rsidRDefault="0056194E" w:rsidP="00AA6946">
      <w:pPr>
        <w:jc w:val="both"/>
        <w:rPr>
          <w:rFonts w:ascii="Arial" w:hAnsi="Arial" w:cs="Arial"/>
          <w:color w:val="000000"/>
          <w:sz w:val="20"/>
          <w:szCs w:val="20"/>
          <w:lang w:eastAsia="ar-SA"/>
        </w:rPr>
      </w:pPr>
    </w:p>
    <w:p w:rsidR="0056194E" w:rsidRPr="00B31B9F" w:rsidRDefault="0056194E" w:rsidP="00B31B9F">
      <w:pPr>
        <w:jc w:val="both"/>
        <w:rPr>
          <w:rFonts w:ascii="Arial" w:hAnsi="Arial" w:cs="Arial"/>
          <w:color w:val="000000"/>
          <w:sz w:val="20"/>
          <w:szCs w:val="20"/>
          <w:lang w:eastAsia="ar-SA"/>
        </w:rPr>
      </w:pPr>
      <w:r>
        <w:rPr>
          <w:rFonts w:ascii="Arial" w:hAnsi="Arial" w:cs="Arial"/>
          <w:color w:val="000000"/>
          <w:sz w:val="20"/>
          <w:szCs w:val="20"/>
          <w:lang w:eastAsia="ar-SA"/>
        </w:rPr>
        <w:t xml:space="preserve">En general, todos los pacientes incluidos presentaron condiciones óptimas para recibir tratamiento con abiraterona  A destacar entre los criterios de exclusión tener algún tipo de enfermedad cardíaca clínicamente significativa evidenciada con infarto de miocardio ó trombosis arterial en los últimos 6 meses, angina severa o inestable, enfermedad cardíaca Clase II-IV según la New York Heart Association (NYHA) ó fracción de eyección cadíaca &lt;50% de la basal, haber recibido quimioterapia previa, radioterapia o cirugía para el cáncer de próstata metastásico (aunque se permitió haber recibido un curso de radioterapia paliativa o cirugía para paliar síntomas relacionados con la presencia de metástasis). </w:t>
      </w:r>
    </w:p>
    <w:p w:rsidR="0056194E" w:rsidRDefault="0056194E" w:rsidP="00AA6946">
      <w:pPr>
        <w:jc w:val="both"/>
        <w:rPr>
          <w:rFonts w:ascii="Arial" w:hAnsi="Arial" w:cs="Arial"/>
          <w:color w:val="000000"/>
          <w:sz w:val="20"/>
          <w:szCs w:val="20"/>
          <w:lang w:eastAsia="ar-SA"/>
        </w:rPr>
      </w:pPr>
    </w:p>
    <w:p w:rsidR="0056194E" w:rsidRPr="008049FE" w:rsidRDefault="0056194E" w:rsidP="00AA6946">
      <w:pPr>
        <w:jc w:val="both"/>
        <w:rPr>
          <w:rFonts w:ascii="Arial" w:hAnsi="Arial" w:cs="Arial"/>
          <w:color w:val="000000"/>
          <w:sz w:val="20"/>
          <w:szCs w:val="20"/>
          <w:lang w:eastAsia="ar-SA"/>
        </w:rPr>
      </w:pPr>
      <w:r w:rsidRPr="008049FE">
        <w:rPr>
          <w:rFonts w:ascii="Arial" w:hAnsi="Arial" w:cs="Arial"/>
          <w:color w:val="000000"/>
          <w:sz w:val="20"/>
          <w:szCs w:val="20"/>
          <w:lang w:eastAsia="ar-SA"/>
        </w:rPr>
        <w:t xml:space="preserve">Llama la atención que en el apéndice del estudio LATITUDE donde se especifican las características basales de la población y sus proporciones en ambos brazos del ensayo (Supplementary Table S3. Demographic and BaselineDiseaseCharacteristics) no </w:t>
      </w:r>
      <w:r>
        <w:rPr>
          <w:rFonts w:ascii="Arial" w:hAnsi="Arial" w:cs="Arial"/>
          <w:color w:val="000000"/>
          <w:sz w:val="20"/>
          <w:szCs w:val="20"/>
          <w:lang w:eastAsia="ar-SA"/>
        </w:rPr>
        <w:t xml:space="preserve">se </w:t>
      </w:r>
      <w:r w:rsidRPr="008049FE">
        <w:rPr>
          <w:rFonts w:ascii="Arial" w:hAnsi="Arial" w:cs="Arial"/>
          <w:color w:val="000000"/>
          <w:sz w:val="20"/>
          <w:szCs w:val="20"/>
          <w:lang w:eastAsia="ar-SA"/>
        </w:rPr>
        <w:t>especifica la proporción de pacientes que presenta ECOG 0 con respecto a ECOG 1-2, mientras que sí encontramos un análisis por subgrupos estratificados en puntuación ECOG.</w:t>
      </w:r>
    </w:p>
    <w:p w:rsidR="0056194E" w:rsidRDefault="0056194E">
      <w:pPr>
        <w:pStyle w:val="Textoindependiente32"/>
        <w:jc w:val="both"/>
        <w:rPr>
          <w:rFonts w:ascii="Arial" w:hAnsi="Arial" w:cs="Arial"/>
          <w:sz w:val="20"/>
          <w:szCs w:val="20"/>
        </w:rPr>
      </w:pPr>
    </w:p>
    <w:p w:rsidR="0056194E" w:rsidRDefault="0056194E">
      <w:pPr>
        <w:jc w:val="both"/>
        <w:rPr>
          <w:rFonts w:ascii="Arial" w:hAnsi="Arial" w:cs="Arial"/>
          <w:sz w:val="20"/>
          <w:szCs w:val="20"/>
          <w:lang w:eastAsia="ar-SA"/>
        </w:rPr>
      </w:pPr>
      <w:r>
        <w:rPr>
          <w:rFonts w:ascii="Arial" w:hAnsi="Arial" w:cs="Arial"/>
          <w:sz w:val="20"/>
          <w:szCs w:val="20"/>
          <w:lang w:eastAsia="ar-SA"/>
        </w:rPr>
        <w:t>En el estudio STAMPEDE</w:t>
      </w:r>
      <w:r>
        <w:rPr>
          <w:rFonts w:ascii="Arial" w:hAnsi="Arial" w:cs="Arial"/>
          <w:sz w:val="20"/>
          <w:szCs w:val="20"/>
          <w:vertAlign w:val="superscript"/>
          <w:lang w:eastAsia="ar-SA"/>
        </w:rPr>
        <w:t xml:space="preserve">16 </w:t>
      </w:r>
      <w:r>
        <w:rPr>
          <w:rFonts w:ascii="Arial" w:hAnsi="Arial" w:cs="Arial"/>
          <w:sz w:val="20"/>
          <w:szCs w:val="20"/>
          <w:lang w:eastAsia="ar-SA"/>
        </w:rPr>
        <w:t>la mediana de edad fue de 67 años (rango de 39 a 84) en el grupo de ADT en monoterapia vs. 67 años (rango 42 a 85) en el grupo ADT+ abiraterona y la mediana de nivel de PSA (ng/ml) previo a la TDA fue de 56 (rango de 0 a 10.530) y 51 (rango de 0 a 21.460) respectivamente. El 78% de los pacientes en ambos brazos presentaban un ECOG 0 y un 75% una puntuación de Gleason ≥8. Se incluyeron pacientes sin metástasis (48%) y en los pacientes con metástasis no se distinguió entre enfermedad de alto o bajo volumen.</w:t>
      </w:r>
    </w:p>
    <w:p w:rsidR="0056194E" w:rsidRDefault="0056194E" w:rsidP="00D67803">
      <w:pPr>
        <w:jc w:val="both"/>
        <w:rPr>
          <w:rFonts w:ascii="Arial" w:hAnsi="Arial" w:cs="Arial"/>
          <w:sz w:val="20"/>
          <w:szCs w:val="20"/>
          <w:lang w:eastAsia="ar-SA"/>
        </w:rPr>
      </w:pPr>
      <w:r>
        <w:rPr>
          <w:rFonts w:ascii="Arial" w:hAnsi="Arial" w:cs="Arial"/>
          <w:sz w:val="20"/>
          <w:szCs w:val="20"/>
          <w:lang w:eastAsia="ar-SA"/>
        </w:rPr>
        <w:t xml:space="preserve">En general, todos los pacientes incluidos presentaron condiciones óptimas para recibir tratamiento con abiraterona. A destacar entre los criterios de exclusión las comorbilidades a nivel cardíaco: angina inestable ó severa, hipertensión arterial no controlada, fallo cardíaco que requiere tratamiento, ó alguno de los siguientes episodios ocurridos durante los 6 meses previos a la aleatorización: infarto de miocardio severo, trombosis arterial e infarto cerebral. </w:t>
      </w:r>
    </w:p>
    <w:p w:rsidR="0056194E" w:rsidRDefault="0056194E">
      <w:pPr>
        <w:jc w:val="both"/>
        <w:rPr>
          <w:rFonts w:ascii="Arial" w:hAnsi="Arial" w:cs="Arial"/>
          <w:sz w:val="20"/>
          <w:szCs w:val="20"/>
          <w:lang w:eastAsia="ar-SA"/>
        </w:rPr>
      </w:pPr>
    </w:p>
    <w:p w:rsidR="0056194E" w:rsidRDefault="0056194E" w:rsidP="00D67803">
      <w:pPr>
        <w:jc w:val="both"/>
        <w:rPr>
          <w:rFonts w:ascii="Arial" w:hAnsi="Arial" w:cs="Arial"/>
          <w:bCs/>
          <w:color w:val="0000FF"/>
          <w:sz w:val="20"/>
          <w:szCs w:val="20"/>
          <w:u w:val="single"/>
        </w:rPr>
      </w:pPr>
    </w:p>
    <w:p w:rsidR="0056194E" w:rsidRDefault="0056194E">
      <w:pPr>
        <w:pStyle w:val="Textoindependiente33"/>
        <w:pBdr>
          <w:top w:val="single" w:sz="4" w:space="1" w:color="000000"/>
          <w:left w:val="single" w:sz="4" w:space="4" w:color="000000"/>
          <w:bottom w:val="single" w:sz="4" w:space="1" w:color="000000"/>
          <w:right w:val="single" w:sz="4" w:space="4" w:color="000000"/>
        </w:pBdr>
        <w:jc w:val="both"/>
        <w:rPr>
          <w:bCs/>
          <w:color w:val="333300"/>
          <w:sz w:val="20"/>
        </w:rPr>
      </w:pPr>
      <w:r>
        <w:rPr>
          <w:b/>
          <w:bCs/>
          <w:sz w:val="20"/>
        </w:rPr>
        <w:t>C. Relevancia clínica de los resultados</w:t>
      </w:r>
    </w:p>
    <w:p w:rsidR="0056194E" w:rsidRDefault="0056194E">
      <w:pPr>
        <w:pStyle w:val="Textoindependiente33"/>
        <w:jc w:val="both"/>
        <w:rPr>
          <w:bCs/>
          <w:color w:val="333300"/>
          <w:sz w:val="20"/>
        </w:rPr>
      </w:pPr>
    </w:p>
    <w:p w:rsidR="0056194E" w:rsidRDefault="0056194E">
      <w:pPr>
        <w:pStyle w:val="Textoindependiente33"/>
        <w:pBdr>
          <w:top w:val="single" w:sz="4" w:space="1" w:color="000000"/>
          <w:left w:val="single" w:sz="4" w:space="4" w:color="000000"/>
          <w:bottom w:val="single" w:sz="4" w:space="1" w:color="000000"/>
          <w:right w:val="single" w:sz="4" w:space="4" w:color="000000"/>
        </w:pBdr>
        <w:jc w:val="both"/>
        <w:rPr>
          <w:color w:val="000080"/>
          <w:sz w:val="20"/>
        </w:rPr>
      </w:pPr>
      <w:r>
        <w:rPr>
          <w:b/>
          <w:bCs/>
          <w:sz w:val="20"/>
        </w:rPr>
        <w:t xml:space="preserve">C.1 Valorar si la magnitud del efecto del tratamiento es de relevancia clínica. </w:t>
      </w:r>
    </w:p>
    <w:p w:rsidR="0056194E" w:rsidRDefault="0056194E">
      <w:pPr>
        <w:pStyle w:val="Textoindependiente33"/>
        <w:ind w:left="708"/>
        <w:jc w:val="both"/>
        <w:rPr>
          <w:color w:val="000080"/>
          <w:sz w:val="20"/>
        </w:rPr>
      </w:pPr>
    </w:p>
    <w:p w:rsidR="0056194E" w:rsidRDefault="0056194E">
      <w:pPr>
        <w:jc w:val="both"/>
        <w:rPr>
          <w:rFonts w:ascii="Arial" w:hAnsi="Arial" w:cs="Arial"/>
          <w:color w:val="000000"/>
          <w:sz w:val="20"/>
          <w:szCs w:val="20"/>
        </w:rPr>
      </w:pPr>
      <w:r>
        <w:rPr>
          <w:rFonts w:ascii="Arial" w:hAnsi="Arial" w:cs="Arial"/>
          <w:color w:val="000000"/>
          <w:sz w:val="20"/>
          <w:szCs w:val="20"/>
        </w:rPr>
        <w:t>El objetivo principal es la variable de máxima relevancia clínica (supervivencia global).</w:t>
      </w:r>
    </w:p>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r>
        <w:rPr>
          <w:rFonts w:ascii="Arial" w:hAnsi="Arial" w:cs="Arial"/>
          <w:b/>
          <w:bCs/>
          <w:color w:val="000000"/>
          <w:sz w:val="20"/>
          <w:szCs w:val="20"/>
          <w:u w:val="single"/>
        </w:rPr>
        <w:t>a) LATITUDE</w:t>
      </w:r>
    </w:p>
    <w:p w:rsidR="0056194E" w:rsidRDefault="0056194E">
      <w:pPr>
        <w:jc w:val="both"/>
        <w:rPr>
          <w:rFonts w:ascii="Arial" w:hAnsi="Arial" w:cs="Arial"/>
          <w:color w:val="000000"/>
          <w:sz w:val="20"/>
          <w:szCs w:val="20"/>
        </w:rPr>
      </w:pPr>
    </w:p>
    <w:p w:rsidR="0056194E" w:rsidRDefault="0056194E">
      <w:pPr>
        <w:jc w:val="both"/>
        <w:rPr>
          <w:rFonts w:ascii="Arial" w:hAnsi="Arial" w:cs="Arial"/>
          <w:sz w:val="20"/>
          <w:szCs w:val="20"/>
        </w:rPr>
      </w:pPr>
      <w:r>
        <w:rPr>
          <w:rFonts w:ascii="Arial" w:hAnsi="Arial" w:cs="Arial"/>
          <w:color w:val="000000"/>
          <w:sz w:val="20"/>
          <w:szCs w:val="20"/>
        </w:rPr>
        <w:t>En el ensayo LATITUDE el análisis de SG es aún inmaduro en el brazo experimental, mientras que en la curva de SLPr ya se han alcanzado las medianas.</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Style w:val="Hipervnculo"/>
          <w:rFonts w:ascii="Arial" w:hAnsi="Arial" w:cs="Arial"/>
          <w:b/>
          <w:bCs/>
          <w:color w:val="000000"/>
          <w:sz w:val="20"/>
          <w:szCs w:val="20"/>
        </w:rPr>
        <w:t>Análisis global</w:t>
      </w:r>
    </w:p>
    <w:p w:rsidR="0056194E" w:rsidRDefault="0056194E">
      <w:pPr>
        <w:jc w:val="both"/>
        <w:rPr>
          <w:rFonts w:ascii="Arial" w:hAnsi="Arial" w:cs="Arial"/>
          <w:sz w:val="20"/>
          <w:szCs w:val="20"/>
        </w:rPr>
      </w:pPr>
    </w:p>
    <w:p w:rsidR="0056194E" w:rsidRDefault="0056194E">
      <w:pPr>
        <w:jc w:val="both"/>
        <w:rPr>
          <w:rFonts w:ascii="Arial" w:hAnsi="Arial" w:cs="Arial"/>
          <w:color w:val="000000"/>
          <w:sz w:val="20"/>
          <w:szCs w:val="20"/>
        </w:rPr>
      </w:pPr>
      <w:r>
        <w:rPr>
          <w:rFonts w:ascii="Arial" w:hAnsi="Arial" w:cs="Arial"/>
          <w:color w:val="000000"/>
          <w:sz w:val="20"/>
          <w:szCs w:val="20"/>
        </w:rPr>
        <w:t>En la curva de SG se alcanzó una mediana de 34,7 meses para el grupo placebo y aún no se ha alcanzado para el grupo de abiraterona, con un HR de 0,62 (IC 95% 0,51-0,76). Por otra parte, en la curva de SLPr encontramos una diferencia de medianas entre los dos brazos de 18,2 meses con un HR de 0,47 (IC 95% 0,39-0,55). Con estos resultados y aunque la curva de SG no se encuentra aún madura, se puede afirmar que los pacientes se benefician claramente del tratamiento con abiraterona.</w:t>
      </w:r>
    </w:p>
    <w:p w:rsidR="0056194E" w:rsidRDefault="0056194E">
      <w:pPr>
        <w:jc w:val="both"/>
        <w:rPr>
          <w:rFonts w:ascii="Arial" w:hAnsi="Arial" w:cs="Arial"/>
          <w:color w:val="000000"/>
          <w:sz w:val="20"/>
          <w:szCs w:val="20"/>
        </w:rPr>
      </w:pPr>
    </w:p>
    <w:p w:rsidR="0056194E" w:rsidRDefault="0056194E">
      <w:pPr>
        <w:jc w:val="both"/>
        <w:rPr>
          <w:rFonts w:ascii="Arial" w:hAnsi="Arial" w:cs="Arial"/>
          <w:sz w:val="20"/>
          <w:szCs w:val="20"/>
        </w:rPr>
      </w:pPr>
      <w:r>
        <w:rPr>
          <w:rStyle w:val="Hipervnculo"/>
          <w:rFonts w:ascii="Arial" w:hAnsi="Arial" w:cs="Arial"/>
          <w:b/>
          <w:bCs/>
          <w:color w:val="000000"/>
          <w:sz w:val="20"/>
          <w:szCs w:val="20"/>
        </w:rPr>
        <w:t>Análisis por subgrupos del ensayo LATITUDE</w:t>
      </w:r>
    </w:p>
    <w:p w:rsidR="0056194E" w:rsidRDefault="0056194E">
      <w:pPr>
        <w:jc w:val="both"/>
        <w:rPr>
          <w:rFonts w:ascii="Arial" w:hAnsi="Arial" w:cs="Arial"/>
          <w:sz w:val="20"/>
          <w:szCs w:val="20"/>
        </w:rPr>
      </w:pPr>
    </w:p>
    <w:p w:rsidR="0056194E" w:rsidRDefault="0056194E">
      <w:pPr>
        <w:jc w:val="both"/>
        <w:rPr>
          <w:rFonts w:ascii="Arial" w:hAnsi="Arial" w:cs="Arial"/>
          <w:i/>
          <w:sz w:val="20"/>
          <w:szCs w:val="20"/>
        </w:rPr>
      </w:pPr>
      <w:r>
        <w:rPr>
          <w:rStyle w:val="Hipervnculo"/>
          <w:rFonts w:ascii="Arial" w:hAnsi="Arial" w:cs="Arial"/>
          <w:bCs/>
          <w:i/>
          <w:color w:val="000000"/>
          <w:sz w:val="20"/>
          <w:szCs w:val="20"/>
        </w:rPr>
        <w:t>Supervivencia global</w:t>
      </w:r>
    </w:p>
    <w:p w:rsidR="0056194E" w:rsidRDefault="0056194E">
      <w:pPr>
        <w:jc w:val="both"/>
        <w:rPr>
          <w:rFonts w:ascii="Arial" w:hAnsi="Arial" w:cs="Arial"/>
          <w:i/>
          <w:sz w:val="20"/>
          <w:szCs w:val="20"/>
        </w:rPr>
      </w:pPr>
    </w:p>
    <w:p w:rsidR="0056194E" w:rsidRDefault="0056194E">
      <w:pPr>
        <w:jc w:val="both"/>
        <w:rPr>
          <w:rFonts w:ascii="Arial" w:hAnsi="Arial" w:cs="Arial"/>
          <w:sz w:val="20"/>
          <w:szCs w:val="20"/>
        </w:rPr>
      </w:pPr>
      <w:r>
        <w:rPr>
          <w:rStyle w:val="Hipervnculo"/>
          <w:rFonts w:ascii="Arial" w:hAnsi="Arial" w:cs="Arial"/>
          <w:color w:val="000000"/>
          <w:sz w:val="20"/>
          <w:szCs w:val="20"/>
          <w:u w:val="none"/>
        </w:rPr>
        <w:t>En el análisis forest</w:t>
      </w:r>
      <w:r w:rsidR="00627DE0">
        <w:rPr>
          <w:rStyle w:val="Hipervnculo"/>
          <w:rFonts w:ascii="Arial" w:hAnsi="Arial" w:cs="Arial"/>
          <w:color w:val="000000"/>
          <w:sz w:val="20"/>
          <w:szCs w:val="20"/>
          <w:u w:val="none"/>
        </w:rPr>
        <w:t xml:space="preserve"> </w:t>
      </w:r>
      <w:r>
        <w:rPr>
          <w:rStyle w:val="Hipervnculo"/>
          <w:rFonts w:ascii="Arial" w:hAnsi="Arial" w:cs="Arial"/>
          <w:color w:val="000000"/>
          <w:sz w:val="20"/>
          <w:szCs w:val="20"/>
          <w:u w:val="none"/>
        </w:rPr>
        <w:t xml:space="preserve">plot de la curva de SG, encontramos: </w:t>
      </w:r>
    </w:p>
    <w:p w:rsidR="0056194E" w:rsidRDefault="0056194E">
      <w:pPr>
        <w:ind w:left="360"/>
        <w:jc w:val="both"/>
        <w:rPr>
          <w:rFonts w:ascii="Arial" w:hAnsi="Arial" w:cs="Arial"/>
          <w:sz w:val="20"/>
          <w:szCs w:val="20"/>
        </w:rPr>
      </w:pPr>
    </w:p>
    <w:p w:rsidR="0056194E" w:rsidRDefault="0056194E">
      <w:pPr>
        <w:numPr>
          <w:ilvl w:val="0"/>
          <w:numId w:val="11"/>
        </w:numPr>
        <w:jc w:val="both"/>
      </w:pPr>
      <w:r>
        <w:rPr>
          <w:rStyle w:val="Hipervnculo"/>
          <w:rFonts w:ascii="Arial" w:hAnsi="Arial" w:cs="Arial"/>
          <w:color w:val="auto"/>
          <w:sz w:val="20"/>
          <w:szCs w:val="20"/>
          <w:u w:val="none"/>
        </w:rPr>
        <w:t>No existe interacción significativa en subgrupos de edad (p=0,28).</w:t>
      </w:r>
    </w:p>
    <w:p w:rsidR="0056194E" w:rsidRDefault="0056194E">
      <w:pPr>
        <w:ind w:left="360"/>
        <w:jc w:val="both"/>
      </w:pPr>
    </w:p>
    <w:p w:rsidR="0056194E" w:rsidRPr="00AA6946" w:rsidRDefault="0056194E" w:rsidP="00AA6946">
      <w:pPr>
        <w:numPr>
          <w:ilvl w:val="0"/>
          <w:numId w:val="11"/>
        </w:numPr>
        <w:jc w:val="both"/>
        <w:rPr>
          <w:rFonts w:ascii="Arial" w:hAnsi="Arial" w:cs="Arial"/>
          <w:color w:val="000000"/>
          <w:sz w:val="20"/>
          <w:szCs w:val="20"/>
        </w:rPr>
      </w:pPr>
      <w:r>
        <w:rPr>
          <w:rStyle w:val="Hipervnculo"/>
          <w:rFonts w:ascii="Arial" w:hAnsi="Arial" w:cs="Arial"/>
          <w:color w:val="000000"/>
          <w:sz w:val="20"/>
          <w:szCs w:val="20"/>
          <w:u w:val="none"/>
        </w:rPr>
        <w:t>Dentro del subgrupo según niveles de LDH, encontramos un HR de 0,74 (IC 95% 0,56-0,96) para el subgrupo de pacientes con niveles de LDH por encima de la mediana y un HR de 0,51 (IC 95% 0,38-0,69) para el subgrupo de pacientes con LDH por debajo de la mediana. La p-interacción entre ambos grupos podría ser significativa (0,069; cálculo propio) (si consideramos significativo para la interacción hasta 0,1). Pese a que los niveles de LDH se emplean como marcador inespecífico en el pronóstico de varios tipos de cáncer, no hemos hallado en la literatura plausabilidad biológica que explique la interacción. Este subgrupo se pre-especificó en el protocolo del ensayo. En cuanto a la consistencia externa de este hallazgo, no es posible comprobarla, ya que el análisis por subgrupos con referencia al nivel de LDH no se realiza en el otro estudio disponible. Sí existe cierta consistencia interna, ya que la interacción aparece también en la variable de SLP.</w:t>
      </w:r>
      <w:r w:rsidR="00A05F92">
        <w:rPr>
          <w:rStyle w:val="Hipervnculo"/>
          <w:rFonts w:ascii="Arial" w:hAnsi="Arial" w:cs="Arial"/>
          <w:color w:val="000000"/>
          <w:sz w:val="20"/>
          <w:szCs w:val="20"/>
          <w:u w:val="none"/>
        </w:rPr>
        <w:t xml:space="preserve"> </w:t>
      </w:r>
      <w:r>
        <w:rPr>
          <w:rStyle w:val="Hipervnculo"/>
          <w:rFonts w:ascii="Arial" w:hAnsi="Arial" w:cs="Arial"/>
          <w:color w:val="000000"/>
          <w:sz w:val="20"/>
          <w:szCs w:val="20"/>
          <w:u w:val="none"/>
        </w:rPr>
        <w:t>Por tanto, no se puede afirmar que los</w:t>
      </w:r>
      <w:r w:rsidR="00C63482">
        <w:rPr>
          <w:rStyle w:val="Hipervnculo"/>
          <w:rFonts w:ascii="Arial" w:hAnsi="Arial" w:cs="Arial"/>
          <w:color w:val="000000"/>
          <w:sz w:val="20"/>
          <w:szCs w:val="20"/>
          <w:u w:val="none"/>
        </w:rPr>
        <w:t xml:space="preserve"> </w:t>
      </w:r>
      <w:r>
        <w:rPr>
          <w:rStyle w:val="Hipervnculo"/>
          <w:rFonts w:ascii="Arial" w:hAnsi="Arial" w:cs="Arial"/>
          <w:color w:val="000000"/>
          <w:sz w:val="20"/>
          <w:szCs w:val="20"/>
          <w:u w:val="none"/>
        </w:rPr>
        <w:t>pacientes con niveles de LDH por encima de la mediana se vayan a beneficiar menos que los que presentan niveles de LDH por debajo de la mediana</w:t>
      </w:r>
      <w:r w:rsidR="005065FF">
        <w:rPr>
          <w:rStyle w:val="Hipervnculo"/>
          <w:rFonts w:ascii="Arial" w:hAnsi="Arial" w:cs="Arial"/>
          <w:color w:val="000000"/>
          <w:sz w:val="20"/>
          <w:szCs w:val="20"/>
          <w:u w:val="none"/>
        </w:rPr>
        <w:t>. Los dos subgrupos de pacientes se benefician del tratamiento, pues en los dos existe interacción intragrupal.</w:t>
      </w:r>
    </w:p>
    <w:p w:rsidR="0056194E" w:rsidRPr="00AA6946" w:rsidRDefault="0056194E">
      <w:pPr>
        <w:numPr>
          <w:ilvl w:val="0"/>
          <w:numId w:val="11"/>
        </w:numPr>
        <w:jc w:val="both"/>
        <w:rPr>
          <w:rFonts w:ascii="Arial" w:hAnsi="Arial" w:cs="Arial"/>
          <w:b/>
          <w:bCs/>
          <w:color w:val="000000"/>
          <w:sz w:val="20"/>
          <w:szCs w:val="20"/>
        </w:rPr>
      </w:pPr>
      <w:r w:rsidRPr="00AA6946">
        <w:rPr>
          <w:rStyle w:val="Hipervnculo"/>
          <w:rFonts w:ascii="Arial" w:hAnsi="Arial" w:cs="Arial"/>
          <w:color w:val="000000"/>
          <w:sz w:val="20"/>
          <w:szCs w:val="20"/>
          <w:u w:val="none"/>
        </w:rPr>
        <w:t>En el subgrupo por regiones, al analizar los HR, obtenemos una p-interacción no significativa (0,11</w:t>
      </w:r>
      <w:r>
        <w:rPr>
          <w:rStyle w:val="Hipervnculo"/>
          <w:rFonts w:ascii="Arial" w:hAnsi="Arial" w:cs="Arial"/>
          <w:color w:val="000000"/>
          <w:sz w:val="20"/>
          <w:szCs w:val="20"/>
          <w:u w:val="none"/>
        </w:rPr>
        <w:t>; cálculo propio</w:t>
      </w:r>
      <w:r w:rsidRPr="00AA6946">
        <w:rPr>
          <w:rStyle w:val="Hipervnculo"/>
          <w:rFonts w:ascii="Arial" w:hAnsi="Arial" w:cs="Arial"/>
          <w:color w:val="000000"/>
          <w:sz w:val="20"/>
          <w:szCs w:val="20"/>
          <w:u w:val="none"/>
        </w:rPr>
        <w:t>)</w:t>
      </w:r>
      <w:r>
        <w:rPr>
          <w:rStyle w:val="Hipervnculo"/>
          <w:rFonts w:ascii="Arial" w:hAnsi="Arial" w:cs="Arial"/>
          <w:color w:val="000000"/>
          <w:sz w:val="20"/>
          <w:szCs w:val="20"/>
          <w:u w:val="none"/>
          <w:vertAlign w:val="superscript"/>
        </w:rPr>
        <w:t>1</w:t>
      </w:r>
      <w:r w:rsidR="00E331EC">
        <w:rPr>
          <w:rStyle w:val="Hipervnculo"/>
          <w:rFonts w:ascii="Arial" w:hAnsi="Arial" w:cs="Arial"/>
          <w:color w:val="000000"/>
          <w:sz w:val="20"/>
          <w:szCs w:val="20"/>
          <w:u w:val="none"/>
          <w:vertAlign w:val="superscript"/>
        </w:rPr>
        <w:t>9</w:t>
      </w:r>
      <w:r w:rsidRPr="00AA6946">
        <w:rPr>
          <w:rStyle w:val="Hipervnculo"/>
          <w:rFonts w:ascii="Arial" w:hAnsi="Arial" w:cs="Arial"/>
          <w:color w:val="000000"/>
          <w:sz w:val="20"/>
          <w:szCs w:val="20"/>
          <w:u w:val="none"/>
        </w:rPr>
        <w:t>.</w:t>
      </w:r>
    </w:p>
    <w:p w:rsidR="0056194E" w:rsidRPr="00AA6946" w:rsidRDefault="0056194E">
      <w:pPr>
        <w:jc w:val="both"/>
        <w:rPr>
          <w:rFonts w:ascii="Arial" w:hAnsi="Arial" w:cs="Arial"/>
          <w:b/>
          <w:bCs/>
          <w:color w:val="000000"/>
          <w:sz w:val="20"/>
          <w:szCs w:val="20"/>
        </w:rPr>
      </w:pPr>
    </w:p>
    <w:p w:rsidR="0056194E" w:rsidRPr="00AA6946" w:rsidRDefault="0056194E">
      <w:pPr>
        <w:jc w:val="both"/>
        <w:rPr>
          <w:rFonts w:ascii="Arial" w:hAnsi="Arial" w:cs="Arial"/>
          <w:b/>
          <w:bCs/>
          <w:color w:val="000000"/>
          <w:sz w:val="20"/>
          <w:szCs w:val="20"/>
        </w:rPr>
      </w:pPr>
    </w:p>
    <w:tbl>
      <w:tblPr>
        <w:tblW w:w="10065" w:type="dxa"/>
        <w:tblInd w:w="-459" w:type="dxa"/>
        <w:tblLayout w:type="fixed"/>
        <w:tblLook w:val="0000"/>
      </w:tblPr>
      <w:tblGrid>
        <w:gridCol w:w="10065"/>
      </w:tblGrid>
      <w:tr w:rsidR="0056194E" w:rsidRPr="00AA6946" w:rsidTr="00FC0B62">
        <w:trPr>
          <w:trHeight w:val="5572"/>
        </w:trPr>
        <w:tc>
          <w:tcPr>
            <w:tcW w:w="10065" w:type="dxa"/>
            <w:tcBorders>
              <w:top w:val="single" w:sz="4" w:space="0" w:color="000000"/>
              <w:left w:val="single" w:sz="4" w:space="0" w:color="000000"/>
              <w:bottom w:val="single" w:sz="4" w:space="0" w:color="000000"/>
              <w:right w:val="single" w:sz="4" w:space="0" w:color="000000"/>
            </w:tcBorders>
            <w:shd w:val="clear" w:color="auto" w:fill="CCFFCC"/>
          </w:tcPr>
          <w:p w:rsidR="0056194E" w:rsidRPr="00AA6946" w:rsidRDefault="0056194E">
            <w:pPr>
              <w:snapToGrid w:val="0"/>
              <w:jc w:val="both"/>
              <w:rPr>
                <w:rFonts w:ascii="Arial" w:hAnsi="Arial" w:cs="Arial"/>
                <w:color w:val="000000"/>
                <w:sz w:val="20"/>
                <w:szCs w:val="20"/>
              </w:rPr>
            </w:pPr>
            <w:r w:rsidRPr="00AA6946">
              <w:rPr>
                <w:rFonts w:ascii="Arial" w:hAnsi="Arial" w:cs="Arial"/>
                <w:b/>
                <w:bCs/>
                <w:color w:val="000000"/>
                <w:sz w:val="20"/>
                <w:szCs w:val="20"/>
              </w:rPr>
              <w:t>Forest-plot de los resultados por subgrupos en supervivencia global del ensayo LATITUDE</w:t>
            </w:r>
            <w:r w:rsidRPr="00AA6946">
              <w:rPr>
                <w:rFonts w:ascii="Arial" w:hAnsi="Arial" w:cs="Arial"/>
                <w:b/>
                <w:bCs/>
                <w:color w:val="000000"/>
                <w:sz w:val="20"/>
                <w:szCs w:val="20"/>
                <w:vertAlign w:val="superscript"/>
              </w:rPr>
              <w:t>17</w:t>
            </w:r>
            <w:r w:rsidRPr="00AA6946">
              <w:rPr>
                <w:rFonts w:ascii="Arial" w:hAnsi="Arial" w:cs="Arial"/>
                <w:b/>
                <w:bCs/>
                <w:color w:val="000000"/>
                <w:sz w:val="20"/>
                <w:szCs w:val="20"/>
              </w:rPr>
              <w:t>.</w:t>
            </w:r>
          </w:p>
          <w:p w:rsidR="0056194E" w:rsidRPr="00AA6946" w:rsidRDefault="00980F0B">
            <w:pPr>
              <w:snapToGrid w:val="0"/>
              <w:jc w:val="both"/>
              <w:rPr>
                <w:rFonts w:ascii="Arial" w:hAnsi="Arial" w:cs="Arial"/>
                <w:color w:val="000000"/>
                <w:sz w:val="20"/>
                <w:szCs w:val="20"/>
              </w:rPr>
            </w:pPr>
            <w:r w:rsidRPr="00F33243">
              <w:rPr>
                <w:rFonts w:ascii="Arial" w:hAnsi="Arial" w:cs="Arial"/>
                <w:noProof/>
                <w:color w:val="000000"/>
                <w:sz w:val="20"/>
                <w:szCs w:val="20"/>
                <w:lang w:eastAsia="es-ES"/>
              </w:rPr>
              <w:pict>
                <v:shape id="Imagen 1" o:spid="_x0000_i1025" type="#_x0000_t75" style="width:490.05pt;height:233.2pt;visibility:visible" filled="t">
                  <v:imagedata r:id="rId12" o:title=""/>
                </v:shape>
              </w:pict>
            </w:r>
          </w:p>
        </w:tc>
      </w:tr>
    </w:tbl>
    <w:p w:rsidR="0056194E" w:rsidRPr="00AA6946" w:rsidRDefault="0056194E">
      <w:pPr>
        <w:jc w:val="both"/>
        <w:rPr>
          <w:rFonts w:ascii="Arial" w:hAnsi="Arial" w:cs="Arial"/>
          <w:b/>
          <w:bCs/>
          <w:color w:val="000000"/>
          <w:sz w:val="20"/>
          <w:szCs w:val="20"/>
        </w:rPr>
      </w:pPr>
    </w:p>
    <w:p w:rsidR="0056194E" w:rsidRPr="00AA6946" w:rsidRDefault="0056194E">
      <w:pPr>
        <w:jc w:val="both"/>
        <w:rPr>
          <w:rFonts w:ascii="Arial" w:hAnsi="Arial" w:cs="Arial"/>
          <w:b/>
          <w:bCs/>
          <w:color w:val="000000"/>
          <w:sz w:val="20"/>
          <w:szCs w:val="20"/>
        </w:rPr>
      </w:pPr>
    </w:p>
    <w:p w:rsidR="0056194E" w:rsidRPr="00AA6946" w:rsidRDefault="0056194E">
      <w:pPr>
        <w:jc w:val="both"/>
        <w:rPr>
          <w:rFonts w:ascii="Arial" w:hAnsi="Arial" w:cs="Arial"/>
          <w:b/>
          <w:bCs/>
          <w:i/>
          <w:color w:val="000000"/>
          <w:sz w:val="20"/>
          <w:szCs w:val="20"/>
        </w:rPr>
      </w:pPr>
      <w:r w:rsidRPr="00AA6946">
        <w:rPr>
          <w:rStyle w:val="Hipervnculo"/>
          <w:rFonts w:ascii="Arial" w:hAnsi="Arial" w:cs="Arial"/>
          <w:bCs/>
          <w:i/>
          <w:color w:val="000000"/>
          <w:sz w:val="20"/>
          <w:szCs w:val="20"/>
          <w:u w:val="none"/>
        </w:rPr>
        <w:t>Supervivencia libre de progresión radiológica</w:t>
      </w:r>
    </w:p>
    <w:p w:rsidR="0056194E" w:rsidRPr="00AA6946" w:rsidRDefault="0056194E">
      <w:pPr>
        <w:jc w:val="both"/>
        <w:rPr>
          <w:rFonts w:ascii="Arial" w:hAnsi="Arial" w:cs="Arial"/>
          <w:b/>
          <w:bCs/>
          <w:i/>
          <w:color w:val="000000"/>
          <w:sz w:val="20"/>
          <w:szCs w:val="20"/>
        </w:rPr>
      </w:pPr>
    </w:p>
    <w:p w:rsidR="0056194E" w:rsidRPr="00AA6946" w:rsidRDefault="0056194E">
      <w:pPr>
        <w:jc w:val="both"/>
        <w:rPr>
          <w:rFonts w:ascii="Arial" w:hAnsi="Arial" w:cs="Arial"/>
          <w:color w:val="000000"/>
          <w:sz w:val="20"/>
          <w:szCs w:val="20"/>
        </w:rPr>
      </w:pPr>
      <w:r w:rsidRPr="00AA6946">
        <w:rPr>
          <w:rFonts w:ascii="Arial" w:hAnsi="Arial" w:cs="Arial"/>
          <w:color w:val="000000"/>
          <w:sz w:val="20"/>
          <w:szCs w:val="20"/>
        </w:rPr>
        <w:t>En el análisis forestplot de SLPr encontramos:</w:t>
      </w:r>
    </w:p>
    <w:p w:rsidR="0056194E" w:rsidRPr="00AA6946" w:rsidRDefault="0056194E">
      <w:pPr>
        <w:jc w:val="both"/>
        <w:rPr>
          <w:rFonts w:ascii="Arial" w:hAnsi="Arial" w:cs="Arial"/>
          <w:color w:val="000000"/>
          <w:sz w:val="20"/>
          <w:szCs w:val="20"/>
        </w:rPr>
      </w:pPr>
    </w:p>
    <w:p w:rsidR="0056194E" w:rsidRPr="00AA6946" w:rsidRDefault="0056194E">
      <w:pPr>
        <w:numPr>
          <w:ilvl w:val="0"/>
          <w:numId w:val="9"/>
        </w:numPr>
        <w:jc w:val="both"/>
        <w:rPr>
          <w:rFonts w:ascii="Arial" w:hAnsi="Arial" w:cs="Arial"/>
          <w:color w:val="000000"/>
          <w:sz w:val="20"/>
          <w:szCs w:val="20"/>
        </w:rPr>
      </w:pPr>
      <w:r w:rsidRPr="00AA6946">
        <w:rPr>
          <w:rFonts w:ascii="Arial" w:hAnsi="Arial" w:cs="Arial"/>
          <w:color w:val="000000"/>
          <w:sz w:val="20"/>
          <w:szCs w:val="20"/>
        </w:rPr>
        <w:t>No existe</w:t>
      </w:r>
      <w:r w:rsidRPr="00AA6946">
        <w:rPr>
          <w:rStyle w:val="Hipervnculo"/>
          <w:rFonts w:ascii="Arial" w:hAnsi="Arial" w:cs="Arial"/>
          <w:color w:val="000000"/>
          <w:sz w:val="20"/>
          <w:szCs w:val="20"/>
          <w:u w:val="none"/>
        </w:rPr>
        <w:t xml:space="preserve"> interacción significativa en subgrupos de edad (p= 0,11).</w:t>
      </w:r>
    </w:p>
    <w:p w:rsidR="0056194E" w:rsidRPr="00AA6946" w:rsidRDefault="0056194E">
      <w:pPr>
        <w:ind w:left="360"/>
        <w:jc w:val="both"/>
        <w:rPr>
          <w:rFonts w:ascii="Arial" w:hAnsi="Arial" w:cs="Arial"/>
          <w:color w:val="000000"/>
          <w:sz w:val="20"/>
          <w:szCs w:val="20"/>
        </w:rPr>
      </w:pPr>
    </w:p>
    <w:p w:rsidR="0056194E" w:rsidRPr="00AA6946" w:rsidRDefault="0056194E">
      <w:pPr>
        <w:numPr>
          <w:ilvl w:val="0"/>
          <w:numId w:val="9"/>
        </w:numPr>
        <w:jc w:val="both"/>
        <w:rPr>
          <w:rFonts w:ascii="Arial" w:hAnsi="Arial" w:cs="Arial"/>
          <w:color w:val="000000"/>
          <w:sz w:val="20"/>
          <w:szCs w:val="20"/>
        </w:rPr>
      </w:pPr>
      <w:r w:rsidRPr="00AA6946">
        <w:rPr>
          <w:rFonts w:ascii="Arial" w:hAnsi="Arial" w:cs="Arial"/>
          <w:color w:val="000000"/>
          <w:sz w:val="20"/>
          <w:szCs w:val="20"/>
        </w:rPr>
        <w:t xml:space="preserve">Existe </w:t>
      </w:r>
      <w:r w:rsidRPr="00AA6946">
        <w:rPr>
          <w:rStyle w:val="Hipervnculo"/>
          <w:rFonts w:ascii="Arial" w:hAnsi="Arial" w:cs="Arial"/>
          <w:color w:val="000000"/>
          <w:sz w:val="20"/>
          <w:szCs w:val="20"/>
          <w:u w:val="none"/>
        </w:rPr>
        <w:t xml:space="preserve">interacción </w:t>
      </w:r>
      <w:r>
        <w:rPr>
          <w:rStyle w:val="Hipervnculo"/>
          <w:rFonts w:ascii="Arial" w:hAnsi="Arial" w:cs="Arial"/>
          <w:color w:val="000000"/>
          <w:sz w:val="20"/>
          <w:szCs w:val="20"/>
          <w:u w:val="none"/>
        </w:rPr>
        <w:t xml:space="preserve">en los </w:t>
      </w:r>
      <w:r w:rsidRPr="00AA6946">
        <w:rPr>
          <w:rStyle w:val="Hipervnculo"/>
          <w:rFonts w:ascii="Arial" w:hAnsi="Arial" w:cs="Arial"/>
          <w:color w:val="000000"/>
          <w:sz w:val="20"/>
          <w:szCs w:val="20"/>
          <w:u w:val="none"/>
        </w:rPr>
        <w:t xml:space="preserve">subgrupos </w:t>
      </w:r>
      <w:r>
        <w:rPr>
          <w:rStyle w:val="Hipervnculo"/>
          <w:rFonts w:ascii="Arial" w:hAnsi="Arial" w:cs="Arial"/>
          <w:color w:val="000000"/>
          <w:sz w:val="20"/>
          <w:szCs w:val="20"/>
          <w:u w:val="none"/>
        </w:rPr>
        <w:t>de</w:t>
      </w:r>
      <w:r w:rsidRPr="00AA6946">
        <w:rPr>
          <w:rStyle w:val="Hipervnculo"/>
          <w:rFonts w:ascii="Arial" w:hAnsi="Arial" w:cs="Arial"/>
          <w:color w:val="000000"/>
          <w:sz w:val="20"/>
          <w:szCs w:val="20"/>
          <w:u w:val="none"/>
        </w:rPr>
        <w:t xml:space="preserve"> pacientes estratificados según su ECOG encontrándonos un HR de 0,4 (IC 95% 0,32-0,5) en el subgrupo de pacientes con ECOG 0, y un HR de 0,55 (IC 95% 0,44-0,7) en el subgrupo de pacientes ECOG 1-2 (p-interacción 0,05). Esta interacción no se da en SG por lo que no </w:t>
      </w:r>
      <w:r>
        <w:rPr>
          <w:rStyle w:val="Hipervnculo"/>
          <w:rFonts w:ascii="Arial" w:hAnsi="Arial" w:cs="Arial"/>
          <w:color w:val="000000"/>
          <w:sz w:val="20"/>
          <w:szCs w:val="20"/>
          <w:u w:val="none"/>
        </w:rPr>
        <w:t>la consideramos como</w:t>
      </w:r>
      <w:r w:rsidRPr="00AA6946">
        <w:rPr>
          <w:rStyle w:val="Hipervnculo"/>
          <w:rFonts w:ascii="Arial" w:hAnsi="Arial" w:cs="Arial"/>
          <w:color w:val="000000"/>
          <w:sz w:val="20"/>
          <w:szCs w:val="20"/>
          <w:u w:val="none"/>
        </w:rPr>
        <w:t xml:space="preserve"> relevante en nuestro informe.</w:t>
      </w:r>
    </w:p>
    <w:p w:rsidR="0056194E" w:rsidRPr="00AA6946" w:rsidRDefault="0056194E">
      <w:pPr>
        <w:ind w:left="360"/>
        <w:jc w:val="both"/>
        <w:rPr>
          <w:rFonts w:ascii="Arial" w:hAnsi="Arial" w:cs="Arial"/>
          <w:color w:val="000000"/>
          <w:sz w:val="20"/>
          <w:szCs w:val="20"/>
        </w:rPr>
      </w:pPr>
    </w:p>
    <w:p w:rsidR="0056194E" w:rsidRDefault="0056194E">
      <w:pPr>
        <w:numPr>
          <w:ilvl w:val="0"/>
          <w:numId w:val="9"/>
        </w:numPr>
        <w:jc w:val="both"/>
        <w:rPr>
          <w:rFonts w:ascii="Arial" w:hAnsi="Arial" w:cs="Arial"/>
          <w:color w:val="000000"/>
          <w:sz w:val="20"/>
          <w:szCs w:val="20"/>
        </w:rPr>
      </w:pPr>
      <w:r w:rsidRPr="00AA6946">
        <w:rPr>
          <w:rFonts w:ascii="Arial" w:hAnsi="Arial" w:cs="Arial"/>
          <w:color w:val="000000"/>
          <w:sz w:val="20"/>
          <w:szCs w:val="20"/>
        </w:rPr>
        <w:t xml:space="preserve">En el subgrupo de pacientes con niveles de LDH por encima y por debajo de la mediana </w:t>
      </w:r>
      <w:r>
        <w:rPr>
          <w:rFonts w:ascii="Arial" w:hAnsi="Arial" w:cs="Arial"/>
          <w:color w:val="000000"/>
          <w:sz w:val="20"/>
          <w:szCs w:val="20"/>
        </w:rPr>
        <w:t>encontramos un HR 0,58 (IC 95% 0,46-0,73) y HR 0,36 (IC 95% 0,28-0,47) respectivamente con una p-interacción de 0,007 que es consistente con el hallazgo en supervivencia global.</w:t>
      </w:r>
    </w:p>
    <w:p w:rsidR="0056194E" w:rsidRDefault="0056194E">
      <w:pPr>
        <w:ind w:left="720"/>
        <w:jc w:val="both"/>
        <w:rPr>
          <w:rFonts w:ascii="Arial" w:hAnsi="Arial" w:cs="Arial"/>
          <w:color w:val="000000"/>
          <w:sz w:val="20"/>
          <w:szCs w:val="20"/>
        </w:rPr>
      </w:pPr>
    </w:p>
    <w:p w:rsidR="0056194E" w:rsidRDefault="0056194E">
      <w:pPr>
        <w:numPr>
          <w:ilvl w:val="0"/>
          <w:numId w:val="9"/>
        </w:numPr>
        <w:jc w:val="both"/>
        <w:rPr>
          <w:rFonts w:ascii="Arial" w:hAnsi="Arial" w:cs="Arial"/>
          <w:color w:val="000000"/>
          <w:sz w:val="20"/>
          <w:szCs w:val="20"/>
        </w:rPr>
      </w:pPr>
      <w:r>
        <w:rPr>
          <w:rFonts w:ascii="Arial" w:hAnsi="Arial" w:cs="Arial"/>
          <w:color w:val="000000"/>
          <w:sz w:val="20"/>
          <w:szCs w:val="20"/>
        </w:rPr>
        <w:t>También encontramos interacción significativa entre los subgrupos de distintas regiones geográficas (0,005). Esta interacción no la encontramos en el análisis por subgrupos de SG por lo que no la consideramos relevante para el posicionamiento.</w:t>
      </w:r>
    </w:p>
    <w:p w:rsidR="0056194E" w:rsidRDefault="0056194E">
      <w:pPr>
        <w:ind w:left="720"/>
        <w:jc w:val="both"/>
        <w:rPr>
          <w:rFonts w:ascii="Arial" w:hAnsi="Arial" w:cs="Arial"/>
          <w:color w:val="000000"/>
          <w:sz w:val="20"/>
          <w:szCs w:val="20"/>
        </w:rPr>
      </w:pPr>
    </w:p>
    <w:p w:rsidR="0056194E" w:rsidRDefault="0056194E">
      <w:pPr>
        <w:jc w:val="both"/>
        <w:rPr>
          <w:rFonts w:ascii="Arial" w:hAnsi="Arial" w:cs="Arial"/>
          <w:color w:val="0000FF"/>
          <w:sz w:val="20"/>
          <w:szCs w:val="20"/>
        </w:rPr>
      </w:pPr>
    </w:p>
    <w:tbl>
      <w:tblPr>
        <w:tblW w:w="10206" w:type="dxa"/>
        <w:tblInd w:w="-459" w:type="dxa"/>
        <w:tblLayout w:type="fixed"/>
        <w:tblLook w:val="0000"/>
      </w:tblPr>
      <w:tblGrid>
        <w:gridCol w:w="10206"/>
      </w:tblGrid>
      <w:tr w:rsidR="0056194E" w:rsidTr="00FC0B62">
        <w:trPr>
          <w:trHeight w:val="5251"/>
        </w:trPr>
        <w:tc>
          <w:tcPr>
            <w:tcW w:w="10206"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F33243">
            <w:pPr>
              <w:snapToGrid w:val="0"/>
              <w:jc w:val="both"/>
            </w:pPr>
            <w:r>
              <w:rPr>
                <w:noProof/>
                <w:lang w:eastAsia="es-ES"/>
              </w:rPr>
              <w:pict>
                <v:shape id="Imagen 16" o:spid="_x0000_s1029" type="#_x0000_t75" style="position:absolute;left:0;text-align:left;margin-left:-.55pt;margin-top:31.9pt;width:487.7pt;height:225.05pt;z-index:251644416;visibility:visible;mso-wrap-distance-left:0;mso-wrap-distance-right:0" filled="t">
                  <v:imagedata r:id="rId13" o:title="" croptop="-104f" cropbottom="-104f" cropleft="-104f" cropright="-104f"/>
                  <w10:wrap type="square" side="largest"/>
                </v:shape>
              </w:pict>
            </w:r>
            <w:r w:rsidR="0056194E">
              <w:rPr>
                <w:rFonts w:ascii="Arial" w:hAnsi="Arial" w:cs="Arial"/>
                <w:b/>
                <w:bCs/>
                <w:sz w:val="18"/>
                <w:szCs w:val="18"/>
              </w:rPr>
              <w:t>Forest-plot de los resultados por subgrupos en supervivencia libre de progresión radiológica del ensayo LATITUDE</w:t>
            </w:r>
            <w:r w:rsidR="0056194E">
              <w:rPr>
                <w:rFonts w:ascii="Arial" w:hAnsi="Arial" w:cs="Arial"/>
                <w:b/>
                <w:bCs/>
                <w:sz w:val="18"/>
                <w:szCs w:val="18"/>
                <w:vertAlign w:val="superscript"/>
              </w:rPr>
              <w:t>17</w:t>
            </w:r>
            <w:r w:rsidR="0056194E">
              <w:rPr>
                <w:rFonts w:ascii="Arial" w:hAnsi="Arial" w:cs="Arial"/>
                <w:b/>
                <w:bCs/>
                <w:sz w:val="18"/>
                <w:szCs w:val="18"/>
              </w:rPr>
              <w:t>.</w:t>
            </w:r>
          </w:p>
        </w:tc>
      </w:tr>
    </w:tbl>
    <w:p w:rsidR="0056194E" w:rsidRDefault="0056194E">
      <w:pPr>
        <w:jc w:val="both"/>
        <w:rPr>
          <w:rFonts w:ascii="Arial" w:hAnsi="Arial" w:cs="Arial"/>
          <w:color w:val="000000"/>
          <w:sz w:val="20"/>
          <w:szCs w:val="20"/>
        </w:rPr>
      </w:pPr>
    </w:p>
    <w:p w:rsidR="0056194E" w:rsidRDefault="0056194E" w:rsidP="00AA6946">
      <w:pPr>
        <w:jc w:val="both"/>
        <w:rPr>
          <w:rFonts w:ascii="Arial" w:hAnsi="Arial" w:cs="Arial"/>
          <w:color w:val="000000"/>
          <w:sz w:val="20"/>
          <w:szCs w:val="20"/>
        </w:rPr>
      </w:pPr>
      <w:r>
        <w:rPr>
          <w:rFonts w:ascii="Arial" w:hAnsi="Arial" w:cs="Arial"/>
          <w:b/>
          <w:bCs/>
          <w:color w:val="000000"/>
          <w:sz w:val="20"/>
          <w:szCs w:val="20"/>
          <w:u w:val="single"/>
        </w:rPr>
        <w:t>b) STAMPEDE</w:t>
      </w:r>
    </w:p>
    <w:p w:rsidR="0056194E" w:rsidRDefault="0056194E" w:rsidP="00AA6946">
      <w:pPr>
        <w:jc w:val="both"/>
        <w:rPr>
          <w:rFonts w:ascii="Arial" w:hAnsi="Arial" w:cs="Arial"/>
          <w:color w:val="000000"/>
          <w:sz w:val="20"/>
          <w:szCs w:val="20"/>
        </w:rPr>
      </w:pPr>
    </w:p>
    <w:p w:rsidR="0056194E" w:rsidRDefault="0056194E" w:rsidP="00AA6946">
      <w:pPr>
        <w:jc w:val="both"/>
        <w:rPr>
          <w:rFonts w:ascii="Arial" w:hAnsi="Arial" w:cs="Arial"/>
          <w:b/>
          <w:bCs/>
          <w:color w:val="000000"/>
          <w:sz w:val="20"/>
          <w:szCs w:val="20"/>
          <w:u w:val="single"/>
        </w:rPr>
      </w:pPr>
      <w:r>
        <w:rPr>
          <w:rFonts w:ascii="Arial" w:hAnsi="Arial" w:cs="Arial"/>
          <w:color w:val="000000"/>
          <w:sz w:val="20"/>
          <w:szCs w:val="20"/>
        </w:rPr>
        <w:t xml:space="preserve">En el ensayo STAMPEDE las curvas de SG y SSFT son aún inmaduras. </w:t>
      </w:r>
    </w:p>
    <w:p w:rsidR="0056194E" w:rsidRDefault="0056194E" w:rsidP="00AA6946">
      <w:pPr>
        <w:jc w:val="both"/>
        <w:rPr>
          <w:rFonts w:ascii="Arial" w:hAnsi="Arial" w:cs="Arial"/>
          <w:b/>
          <w:bCs/>
          <w:color w:val="000000"/>
          <w:sz w:val="20"/>
          <w:szCs w:val="20"/>
          <w:u w:val="single"/>
        </w:rPr>
      </w:pPr>
    </w:p>
    <w:p w:rsidR="0056194E" w:rsidRDefault="0056194E" w:rsidP="00AA6946">
      <w:pPr>
        <w:jc w:val="both"/>
        <w:rPr>
          <w:rFonts w:ascii="Arial" w:hAnsi="Arial" w:cs="Arial"/>
          <w:b/>
          <w:bCs/>
          <w:color w:val="000000"/>
          <w:sz w:val="20"/>
          <w:szCs w:val="20"/>
          <w:u w:val="single"/>
        </w:rPr>
      </w:pPr>
      <w:r>
        <w:rPr>
          <w:rFonts w:ascii="Arial" w:hAnsi="Arial" w:cs="Arial"/>
          <w:b/>
          <w:bCs/>
          <w:color w:val="000000"/>
          <w:sz w:val="20"/>
          <w:szCs w:val="20"/>
          <w:u w:val="single"/>
        </w:rPr>
        <w:t>Análisis global</w:t>
      </w:r>
    </w:p>
    <w:p w:rsidR="0056194E" w:rsidRDefault="0056194E" w:rsidP="00AA6946">
      <w:pPr>
        <w:jc w:val="both"/>
        <w:rPr>
          <w:rFonts w:ascii="Arial" w:hAnsi="Arial" w:cs="Arial"/>
          <w:b/>
          <w:bCs/>
          <w:color w:val="000000"/>
          <w:sz w:val="20"/>
          <w:szCs w:val="20"/>
          <w:u w:val="single"/>
        </w:rPr>
      </w:pPr>
    </w:p>
    <w:p w:rsidR="0056194E" w:rsidRDefault="0056194E" w:rsidP="00AA6946">
      <w:pPr>
        <w:numPr>
          <w:ilvl w:val="0"/>
          <w:numId w:val="10"/>
        </w:numPr>
        <w:jc w:val="both"/>
        <w:rPr>
          <w:rFonts w:ascii="Arial" w:hAnsi="Arial" w:cs="Arial"/>
          <w:sz w:val="20"/>
          <w:szCs w:val="20"/>
        </w:rPr>
      </w:pPr>
      <w:r>
        <w:rPr>
          <w:rFonts w:ascii="Arial" w:hAnsi="Arial" w:cs="Arial"/>
          <w:color w:val="000000"/>
          <w:sz w:val="20"/>
          <w:szCs w:val="20"/>
        </w:rPr>
        <w:t>El análisis de SG correspondiente a todos los pacientes del estudio presenta un HR de 0,63 (IC 95% 0,52-0,76). Puesto que no se han alcanzado las medianas, habría que esperar a unos datos de supervivencia global más maduros para aclarar el beneficio neto del tratamiento. Sin embargo, teniendo en cuenta el HR de la SG de todos los pacientes y que se trata de una situación clínica con una supervivencia bastante prolongada en el tiempo, está claro que el beneficio es muy relevante.</w:t>
      </w:r>
    </w:p>
    <w:p w:rsidR="0056194E" w:rsidRDefault="0056194E" w:rsidP="00AA6946">
      <w:pPr>
        <w:ind w:left="360"/>
        <w:jc w:val="both"/>
        <w:rPr>
          <w:rFonts w:ascii="Arial" w:hAnsi="Arial" w:cs="Arial"/>
          <w:sz w:val="20"/>
          <w:szCs w:val="20"/>
        </w:rPr>
      </w:pPr>
    </w:p>
    <w:p w:rsidR="0056194E" w:rsidRDefault="0056194E" w:rsidP="00AA6946">
      <w:pPr>
        <w:numPr>
          <w:ilvl w:val="0"/>
          <w:numId w:val="10"/>
        </w:numPr>
        <w:jc w:val="both"/>
        <w:rPr>
          <w:rFonts w:ascii="Arial" w:hAnsi="Arial" w:cs="Arial"/>
          <w:color w:val="000000"/>
          <w:sz w:val="20"/>
          <w:szCs w:val="20"/>
        </w:rPr>
      </w:pPr>
      <w:r>
        <w:rPr>
          <w:rFonts w:ascii="Arial" w:hAnsi="Arial" w:cs="Arial"/>
          <w:color w:val="000000"/>
          <w:sz w:val="20"/>
          <w:szCs w:val="20"/>
        </w:rPr>
        <w:t xml:space="preserve">En la curva de SSFT de todos los pacientes se ha alcanzado la mediana para el brazo control pero no para el brazo experimental, con un HR de 0,29 (IC 95% 0,25-0,34). </w:t>
      </w:r>
    </w:p>
    <w:p w:rsidR="0056194E" w:rsidRDefault="0056194E" w:rsidP="00AA6946">
      <w:pPr>
        <w:jc w:val="both"/>
        <w:rPr>
          <w:rFonts w:ascii="Arial" w:hAnsi="Arial" w:cs="Arial"/>
          <w:color w:val="000000"/>
          <w:sz w:val="20"/>
          <w:szCs w:val="20"/>
        </w:rPr>
      </w:pPr>
    </w:p>
    <w:p w:rsidR="0056194E" w:rsidRDefault="0056194E" w:rsidP="00AA6946">
      <w:pPr>
        <w:jc w:val="both"/>
        <w:rPr>
          <w:rFonts w:ascii="Arial" w:hAnsi="Arial" w:cs="Arial"/>
          <w:color w:val="000000"/>
          <w:sz w:val="20"/>
          <w:szCs w:val="20"/>
        </w:rPr>
      </w:pPr>
      <w:r>
        <w:rPr>
          <w:rFonts w:ascii="Arial" w:hAnsi="Arial" w:cs="Arial"/>
          <w:b/>
          <w:bCs/>
          <w:color w:val="000000"/>
          <w:sz w:val="20"/>
          <w:szCs w:val="20"/>
          <w:u w:val="single"/>
        </w:rPr>
        <w:t>Análisis por subgrupos</w:t>
      </w:r>
    </w:p>
    <w:p w:rsidR="0056194E" w:rsidRDefault="0056194E" w:rsidP="00AA6946">
      <w:pPr>
        <w:jc w:val="both"/>
        <w:rPr>
          <w:rFonts w:ascii="Arial" w:hAnsi="Arial" w:cs="Arial"/>
          <w:color w:val="000000"/>
          <w:sz w:val="20"/>
          <w:szCs w:val="20"/>
        </w:rPr>
      </w:pPr>
    </w:p>
    <w:p w:rsidR="0056194E" w:rsidRDefault="0056194E" w:rsidP="00AA6946">
      <w:pPr>
        <w:jc w:val="both"/>
        <w:rPr>
          <w:rFonts w:ascii="Arial" w:hAnsi="Arial" w:cs="Arial"/>
          <w:i/>
          <w:color w:val="000000"/>
          <w:sz w:val="20"/>
          <w:szCs w:val="20"/>
        </w:rPr>
      </w:pPr>
      <w:r>
        <w:rPr>
          <w:rFonts w:ascii="Arial" w:hAnsi="Arial" w:cs="Arial"/>
          <w:bCs/>
          <w:i/>
          <w:color w:val="000000"/>
          <w:sz w:val="20"/>
          <w:szCs w:val="20"/>
          <w:u w:val="single"/>
        </w:rPr>
        <w:t>Supervivencia global</w:t>
      </w:r>
    </w:p>
    <w:p w:rsidR="0056194E" w:rsidRDefault="0056194E" w:rsidP="00AA6946">
      <w:pPr>
        <w:jc w:val="both"/>
        <w:rPr>
          <w:rFonts w:ascii="Arial" w:hAnsi="Arial" w:cs="Arial"/>
          <w:i/>
          <w:color w:val="000000"/>
          <w:sz w:val="20"/>
          <w:szCs w:val="20"/>
        </w:rPr>
      </w:pPr>
    </w:p>
    <w:p w:rsidR="0056194E" w:rsidRDefault="0056194E" w:rsidP="00AA6946">
      <w:pPr>
        <w:jc w:val="both"/>
        <w:rPr>
          <w:rFonts w:ascii="Arial" w:hAnsi="Arial" w:cs="Arial"/>
          <w:color w:val="000000"/>
          <w:sz w:val="20"/>
          <w:szCs w:val="20"/>
        </w:rPr>
      </w:pPr>
      <w:r>
        <w:rPr>
          <w:rFonts w:ascii="Arial" w:hAnsi="Arial" w:cs="Arial"/>
          <w:color w:val="000000"/>
          <w:sz w:val="20"/>
          <w:szCs w:val="20"/>
        </w:rPr>
        <w:t>En el forest-plot de SG encontramos algunas diferencias por subgrupos:</w:t>
      </w:r>
    </w:p>
    <w:p w:rsidR="0056194E" w:rsidRDefault="0056194E" w:rsidP="00AA6946">
      <w:pPr>
        <w:jc w:val="both"/>
        <w:rPr>
          <w:rFonts w:ascii="Arial" w:hAnsi="Arial" w:cs="Arial"/>
          <w:color w:val="000000"/>
          <w:sz w:val="20"/>
          <w:szCs w:val="20"/>
        </w:rPr>
      </w:pPr>
    </w:p>
    <w:p w:rsidR="0056194E" w:rsidRDefault="0056194E" w:rsidP="00AA6946">
      <w:pPr>
        <w:numPr>
          <w:ilvl w:val="0"/>
          <w:numId w:val="8"/>
        </w:numPr>
        <w:jc w:val="both"/>
        <w:rPr>
          <w:rFonts w:ascii="Arial" w:hAnsi="Arial" w:cs="Arial"/>
          <w:sz w:val="20"/>
          <w:szCs w:val="20"/>
        </w:rPr>
      </w:pPr>
      <w:r>
        <w:rPr>
          <w:rFonts w:ascii="Arial" w:hAnsi="Arial" w:cs="Arial"/>
          <w:color w:val="000000"/>
          <w:sz w:val="20"/>
          <w:szCs w:val="20"/>
        </w:rPr>
        <w:t xml:space="preserve">En el subgrupo de pacientes no metastásicos encontramos un HR de 0,75 (IC 95% 0,48-1,18)  y un HR de 0,61 (IC 95% 0,49-0,75) para el subgrupo de pacientes con enfermedad metastásica, con una p-interacción no significativa (0,37). Por los datos de SG disponibles, no hay evidencia de que haya distinto comportamiento entre estos dos subgrupos, pero debido a que el subgrupo de pacientes no metastásicos presenta una supervivencia mucho más prolongada que el de metastásicos, se puede afirmar que el estudio aún se encuentra muy inmaduro como para confirmar que no hay diferencias entre ambos subgrupos. </w:t>
      </w:r>
    </w:p>
    <w:p w:rsidR="0056194E" w:rsidRDefault="0056194E" w:rsidP="00AA6946">
      <w:pPr>
        <w:ind w:left="360"/>
        <w:jc w:val="both"/>
        <w:rPr>
          <w:rFonts w:ascii="Arial" w:hAnsi="Arial" w:cs="Arial"/>
          <w:sz w:val="20"/>
          <w:szCs w:val="20"/>
        </w:rPr>
      </w:pPr>
    </w:p>
    <w:p w:rsidR="0056194E" w:rsidRDefault="0056194E" w:rsidP="00AA6946">
      <w:pPr>
        <w:numPr>
          <w:ilvl w:val="0"/>
          <w:numId w:val="8"/>
        </w:numPr>
        <w:jc w:val="both"/>
        <w:rPr>
          <w:rFonts w:ascii="Arial" w:hAnsi="Arial" w:cs="Arial"/>
          <w:sz w:val="20"/>
          <w:szCs w:val="20"/>
        </w:rPr>
      </w:pPr>
      <w:r>
        <w:rPr>
          <w:rFonts w:ascii="Arial" w:hAnsi="Arial" w:cs="Arial"/>
          <w:color w:val="000000"/>
          <w:sz w:val="20"/>
          <w:szCs w:val="20"/>
        </w:rPr>
        <w:t>S</w:t>
      </w:r>
      <w:r w:rsidR="00627DE0">
        <w:rPr>
          <w:rFonts w:ascii="Arial" w:hAnsi="Arial" w:cs="Arial"/>
          <w:color w:val="000000"/>
          <w:sz w:val="20"/>
          <w:szCs w:val="20"/>
        </w:rPr>
        <w:t>í</w:t>
      </w:r>
      <w:r>
        <w:rPr>
          <w:rFonts w:ascii="Arial" w:hAnsi="Arial" w:cs="Arial"/>
          <w:color w:val="000000"/>
          <w:sz w:val="20"/>
          <w:szCs w:val="20"/>
        </w:rPr>
        <w:t xml:space="preserve"> encontramos diferencias significativas entre los subgrupos por edad, &lt;70 años y ≥70 años, con un HR de 0,51 (IC 95% 0,4-0,65) y 0,94 (IC 95% 0,69-1,2) respectivamente y con una p-interacción significativa (0,003). Esta interacción se observa también en SSFT (0,004)</w:t>
      </w:r>
      <w:r>
        <w:rPr>
          <w:rFonts w:ascii="Arial" w:hAnsi="Arial" w:cs="Arial"/>
          <w:sz w:val="20"/>
          <w:szCs w:val="20"/>
        </w:rPr>
        <w:t xml:space="preserve">. La plausibilidad biológica de esta interacción entre subgrupos de edad, asi como su consistencia con otros estudios será comentada más adelante ya que podría ser un hecho relevante a la hora de posicionar abiraterona en esta </w:t>
      </w:r>
      <w:r w:rsidR="00D038B1">
        <w:rPr>
          <w:rFonts w:ascii="Arial" w:hAnsi="Arial" w:cs="Arial"/>
          <w:sz w:val="20"/>
          <w:szCs w:val="20"/>
        </w:rPr>
        <w:t>indicación.</w:t>
      </w:r>
    </w:p>
    <w:p w:rsidR="0056194E" w:rsidRDefault="0056194E" w:rsidP="00AA6946">
      <w:pPr>
        <w:ind w:left="720"/>
        <w:jc w:val="both"/>
        <w:rPr>
          <w:rFonts w:ascii="Arial" w:hAnsi="Arial" w:cs="Arial"/>
          <w:sz w:val="20"/>
          <w:szCs w:val="20"/>
        </w:rPr>
      </w:pPr>
    </w:p>
    <w:tbl>
      <w:tblPr>
        <w:tblW w:w="8789" w:type="dxa"/>
        <w:tblInd w:w="108" w:type="dxa"/>
        <w:tblLayout w:type="fixed"/>
        <w:tblLook w:val="0000"/>
      </w:tblPr>
      <w:tblGrid>
        <w:gridCol w:w="4429"/>
        <w:gridCol w:w="4360"/>
      </w:tblGrid>
      <w:tr w:rsidR="0056194E">
        <w:trPr>
          <w:trHeight w:val="322"/>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BC3E86">
            <w:pPr>
              <w:snapToGrid w:val="0"/>
              <w:jc w:val="both"/>
            </w:pPr>
            <w:r>
              <w:rPr>
                <w:rFonts w:ascii="Arial" w:hAnsi="Arial" w:cs="Arial"/>
                <w:b/>
                <w:bCs/>
                <w:sz w:val="18"/>
                <w:szCs w:val="18"/>
              </w:rPr>
              <w:t>Gráficas con representación de resultados por subgrupos del ensayo STAMPEDE.</w:t>
            </w:r>
            <w:r>
              <w:rPr>
                <w:rFonts w:ascii="Arial" w:hAnsi="Arial" w:cs="Arial"/>
                <w:sz w:val="18"/>
                <w:szCs w:val="18"/>
              </w:rPr>
              <w:t xml:space="preserve"> Gráficas de supervivencia (Kaplan-Meier)</w:t>
            </w:r>
            <w:r>
              <w:rPr>
                <w:rFonts w:ascii="Arial" w:hAnsi="Arial" w:cs="Arial"/>
                <w:sz w:val="18"/>
                <w:szCs w:val="18"/>
                <w:vertAlign w:val="superscript"/>
              </w:rPr>
              <w:t>16</w:t>
            </w:r>
          </w:p>
        </w:tc>
      </w:tr>
      <w:tr w:rsidR="0056194E">
        <w:trPr>
          <w:trHeight w:val="308"/>
        </w:trPr>
        <w:tc>
          <w:tcPr>
            <w:tcW w:w="4429" w:type="dxa"/>
            <w:tcBorders>
              <w:top w:val="single" w:sz="4" w:space="0" w:color="000000"/>
              <w:left w:val="single" w:sz="4" w:space="0" w:color="000000"/>
              <w:bottom w:val="single" w:sz="4" w:space="0" w:color="000000"/>
            </w:tcBorders>
            <w:shd w:val="clear" w:color="auto" w:fill="E2EFD9"/>
            <w:vAlign w:val="center"/>
          </w:tcPr>
          <w:p w:rsidR="0056194E" w:rsidRDefault="0056194E" w:rsidP="00BC3E86">
            <w:pPr>
              <w:jc w:val="both"/>
              <w:rPr>
                <w:rFonts w:ascii="Arial" w:hAnsi="Arial" w:cs="Arial"/>
                <w:color w:val="000080"/>
                <w:sz w:val="16"/>
                <w:szCs w:val="16"/>
              </w:rPr>
            </w:pPr>
            <w:r>
              <w:rPr>
                <w:rFonts w:ascii="Arial" w:hAnsi="Arial" w:cs="Arial"/>
                <w:color w:val="000080"/>
                <w:sz w:val="16"/>
                <w:szCs w:val="16"/>
              </w:rPr>
              <w:t>Supervivencia global en pacientes metastásicos (arriba) y no metastásicos (debajo).</w:t>
            </w:r>
          </w:p>
          <w:p w:rsidR="0056194E" w:rsidRDefault="0056194E" w:rsidP="00BC3E86">
            <w:pPr>
              <w:jc w:val="both"/>
            </w:pPr>
            <w:r>
              <w:rPr>
                <w:rFonts w:ascii="Arial" w:hAnsi="Arial" w:cs="Arial"/>
                <w:color w:val="000080"/>
                <w:sz w:val="16"/>
                <w:szCs w:val="16"/>
              </w:rPr>
              <w:t>(NEJM 2017)</w:t>
            </w:r>
          </w:p>
        </w:tc>
        <w:tc>
          <w:tcPr>
            <w:tcW w:w="436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6194E" w:rsidRDefault="0056194E" w:rsidP="00BC3E86">
            <w:pPr>
              <w:jc w:val="both"/>
              <w:rPr>
                <w:rFonts w:ascii="Arial" w:hAnsi="Arial" w:cs="Arial"/>
                <w:color w:val="000080"/>
                <w:sz w:val="16"/>
                <w:szCs w:val="16"/>
              </w:rPr>
            </w:pPr>
            <w:r>
              <w:rPr>
                <w:rFonts w:ascii="Arial" w:hAnsi="Arial" w:cs="Arial"/>
                <w:color w:val="000080"/>
                <w:sz w:val="16"/>
                <w:szCs w:val="16"/>
              </w:rPr>
              <w:t>Supervivencia sin fallo a tratamiento en pacientes metastásicos (arriba) y no metastásicos (debajo)</w:t>
            </w:r>
          </w:p>
          <w:p w:rsidR="0056194E" w:rsidRDefault="0056194E" w:rsidP="00BC3E86">
            <w:pPr>
              <w:jc w:val="both"/>
            </w:pPr>
            <w:r>
              <w:rPr>
                <w:rFonts w:ascii="Arial" w:hAnsi="Arial" w:cs="Arial"/>
                <w:color w:val="000080"/>
                <w:sz w:val="16"/>
                <w:szCs w:val="16"/>
              </w:rPr>
              <w:t>(NEJM 2017)</w:t>
            </w:r>
          </w:p>
        </w:tc>
      </w:tr>
    </w:tbl>
    <w:p w:rsidR="0056194E" w:rsidRDefault="00F33243" w:rsidP="00AA6946">
      <w:pPr>
        <w:jc w:val="both"/>
        <w:rPr>
          <w:rFonts w:ascii="Arial" w:hAnsi="Arial" w:cs="Arial"/>
          <w:color w:val="0000FF"/>
          <w:sz w:val="20"/>
          <w:szCs w:val="20"/>
        </w:rPr>
      </w:pPr>
      <w:r w:rsidRPr="00F33243">
        <w:rPr>
          <w:noProof/>
          <w:lang w:eastAsia="es-ES"/>
        </w:rPr>
        <w:pict>
          <v:shape id="Imagen 40" o:spid="_x0000_s1030" type="#_x0000_t75" style="position:absolute;left:0;text-align:left;margin-left:1.8pt;margin-top:2.6pt;width:435.1pt;height:285.5pt;z-index:251650560;visibility:visible;mso-wrap-distance-left:0;mso-wrap-distance-right:0;mso-position-horizontal-relative:text;mso-position-vertical-relative:text" filled="t" stroked="t" strokeweight=".25pt">
            <v:imagedata r:id="rId14" o:title="" croptop="-22f" cropbottom="-22f" cropleft="-18f" cropright="-18f"/>
            <w10:wrap type="square" side="largest"/>
          </v:shape>
        </w:pict>
      </w:r>
    </w:p>
    <w:p w:rsidR="0056194E" w:rsidRDefault="0056194E" w:rsidP="00AA6946">
      <w:pPr>
        <w:jc w:val="both"/>
        <w:rPr>
          <w:rFonts w:ascii="Arial" w:hAnsi="Arial" w:cs="Arial"/>
          <w:color w:val="0000FF"/>
          <w:sz w:val="20"/>
          <w:szCs w:val="20"/>
        </w:rPr>
      </w:pPr>
    </w:p>
    <w:tbl>
      <w:tblPr>
        <w:tblW w:w="10209" w:type="dxa"/>
        <w:tblInd w:w="-459" w:type="dxa"/>
        <w:tblLayout w:type="fixed"/>
        <w:tblLook w:val="0000"/>
      </w:tblPr>
      <w:tblGrid>
        <w:gridCol w:w="10209"/>
      </w:tblGrid>
      <w:tr w:rsidR="0056194E">
        <w:trPr>
          <w:trHeight w:val="299"/>
        </w:trPr>
        <w:tc>
          <w:tcPr>
            <w:tcW w:w="10209"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F33243" w:rsidP="00BC3E86">
            <w:pPr>
              <w:snapToGrid w:val="0"/>
              <w:jc w:val="both"/>
            </w:pPr>
            <w:r>
              <w:rPr>
                <w:noProof/>
                <w:lang w:eastAsia="es-ES"/>
              </w:rPr>
              <w:pict>
                <v:shape id="Imagen 41" o:spid="_x0000_s1031" type="#_x0000_t75" style="position:absolute;left:0;text-align:left;margin-left:-4.95pt;margin-top:16.45pt;width:507.8pt;height:269.7pt;z-index:251651584;visibility:visible;mso-wrap-distance-left:0;mso-wrap-distance-right:0" filled="t" stroked="t" strokeweight=".25pt">
                  <v:imagedata r:id="rId15" o:title="" croptop="-111f" cropbottom="-111f" cropleft="-73f" cropright="-73f"/>
                  <w10:wrap type="square" side="largest"/>
                </v:shape>
              </w:pict>
            </w:r>
            <w:r w:rsidR="0056194E">
              <w:rPr>
                <w:rFonts w:ascii="Arial" w:hAnsi="Arial" w:cs="Arial"/>
                <w:b/>
                <w:bCs/>
                <w:sz w:val="18"/>
                <w:szCs w:val="18"/>
              </w:rPr>
              <w:t>Forest-plot de los resultados por subgrupos en supervivencia global del ensayo STAMPEDE</w:t>
            </w:r>
            <w:r w:rsidR="0056194E">
              <w:rPr>
                <w:rFonts w:ascii="Arial" w:hAnsi="Arial" w:cs="Arial"/>
                <w:b/>
                <w:bCs/>
                <w:sz w:val="18"/>
                <w:szCs w:val="18"/>
                <w:vertAlign w:val="superscript"/>
              </w:rPr>
              <w:t>16</w:t>
            </w:r>
            <w:r w:rsidR="0056194E">
              <w:rPr>
                <w:rFonts w:ascii="Arial" w:hAnsi="Arial" w:cs="Arial"/>
                <w:b/>
                <w:bCs/>
                <w:sz w:val="18"/>
                <w:szCs w:val="18"/>
              </w:rPr>
              <w:t>.</w:t>
            </w:r>
          </w:p>
        </w:tc>
      </w:tr>
    </w:tbl>
    <w:p w:rsidR="0056194E" w:rsidRDefault="0056194E" w:rsidP="00AA6946">
      <w:pPr>
        <w:jc w:val="both"/>
        <w:rPr>
          <w:rFonts w:ascii="Arial" w:hAnsi="Arial" w:cs="Arial"/>
          <w:sz w:val="20"/>
          <w:szCs w:val="20"/>
        </w:rPr>
      </w:pPr>
    </w:p>
    <w:p w:rsidR="0056194E" w:rsidRDefault="0056194E" w:rsidP="00AA6946">
      <w:pPr>
        <w:jc w:val="both"/>
        <w:rPr>
          <w:rFonts w:ascii="Arial" w:hAnsi="Arial" w:cs="Arial"/>
          <w:bCs/>
          <w:i/>
          <w:color w:val="000000"/>
          <w:sz w:val="20"/>
          <w:szCs w:val="20"/>
          <w:u w:val="single"/>
        </w:rPr>
      </w:pPr>
    </w:p>
    <w:p w:rsidR="0056194E" w:rsidRDefault="0056194E" w:rsidP="00AA6946">
      <w:pPr>
        <w:jc w:val="both"/>
        <w:rPr>
          <w:rFonts w:ascii="Arial" w:hAnsi="Arial" w:cs="Arial"/>
          <w:b/>
          <w:bCs/>
          <w:i/>
          <w:color w:val="000000"/>
          <w:sz w:val="20"/>
          <w:szCs w:val="20"/>
          <w:u w:val="single"/>
        </w:rPr>
      </w:pPr>
      <w:r>
        <w:rPr>
          <w:rFonts w:ascii="Arial" w:hAnsi="Arial" w:cs="Arial"/>
          <w:bCs/>
          <w:i/>
          <w:color w:val="000000"/>
          <w:sz w:val="20"/>
          <w:szCs w:val="20"/>
          <w:u w:val="single"/>
        </w:rPr>
        <w:t>Supervivencia sin fallo de tratamiento</w:t>
      </w:r>
    </w:p>
    <w:p w:rsidR="0056194E" w:rsidRDefault="0056194E" w:rsidP="00AA6946">
      <w:pPr>
        <w:jc w:val="both"/>
        <w:rPr>
          <w:rFonts w:ascii="Arial" w:hAnsi="Arial" w:cs="Arial"/>
          <w:b/>
          <w:bCs/>
          <w:i/>
          <w:color w:val="000000"/>
          <w:sz w:val="20"/>
          <w:szCs w:val="20"/>
          <w:u w:val="single"/>
        </w:rPr>
      </w:pPr>
    </w:p>
    <w:p w:rsidR="0056194E" w:rsidRDefault="0056194E" w:rsidP="00AA6946">
      <w:pPr>
        <w:jc w:val="both"/>
        <w:rPr>
          <w:rFonts w:ascii="Arial" w:hAnsi="Arial" w:cs="Arial"/>
          <w:color w:val="000000"/>
          <w:sz w:val="20"/>
          <w:szCs w:val="20"/>
        </w:rPr>
      </w:pPr>
      <w:r>
        <w:rPr>
          <w:rFonts w:ascii="Arial" w:hAnsi="Arial" w:cs="Arial"/>
          <w:color w:val="000000"/>
          <w:sz w:val="20"/>
          <w:szCs w:val="20"/>
        </w:rPr>
        <w:t>En el análisis forest-plot de la SSFT se observa:</w:t>
      </w:r>
    </w:p>
    <w:p w:rsidR="0056194E" w:rsidRDefault="0056194E" w:rsidP="00AA6946">
      <w:pPr>
        <w:jc w:val="both"/>
        <w:rPr>
          <w:rFonts w:ascii="Arial" w:hAnsi="Arial" w:cs="Arial"/>
          <w:color w:val="000000"/>
          <w:sz w:val="20"/>
          <w:szCs w:val="20"/>
        </w:rPr>
      </w:pPr>
    </w:p>
    <w:p w:rsidR="0056194E" w:rsidRDefault="0056194E" w:rsidP="00AA6946">
      <w:pPr>
        <w:numPr>
          <w:ilvl w:val="0"/>
          <w:numId w:val="7"/>
        </w:numPr>
        <w:jc w:val="both"/>
        <w:rPr>
          <w:rFonts w:ascii="Arial" w:hAnsi="Arial" w:cs="Arial"/>
          <w:sz w:val="20"/>
          <w:szCs w:val="20"/>
        </w:rPr>
      </w:pPr>
      <w:r>
        <w:rPr>
          <w:rFonts w:ascii="Arial" w:hAnsi="Arial" w:cs="Arial"/>
          <w:color w:val="000000"/>
          <w:sz w:val="20"/>
          <w:szCs w:val="20"/>
        </w:rPr>
        <w:t>Tanto los pacientes no metastásicos como los metastásicos se benefician claramente del tratamiento, con un HR de 0,21 (0,15-0,31) y 0,31 (0,26-0,37) respectivamente, y una p-interacción significativa entre ambos subgrupos (0,08) que pone de manifiesto que los pacientes no metastásicos podrían presentar un beneficio incluso superior que los pacientes metastásicos. No obstante, este hecho podría estar influido por que los pacientes no metastásicos presentan un pronóstico mucho más favorable que los metastáticos.</w:t>
      </w:r>
      <w:r w:rsidR="00627DE0">
        <w:rPr>
          <w:rFonts w:ascii="Arial" w:hAnsi="Arial" w:cs="Arial"/>
          <w:color w:val="000000"/>
          <w:sz w:val="20"/>
          <w:szCs w:val="20"/>
        </w:rPr>
        <w:t xml:space="preserve"> </w:t>
      </w:r>
      <w:r>
        <w:rPr>
          <w:rFonts w:ascii="Arial" w:hAnsi="Arial" w:cs="Arial"/>
          <w:color w:val="000000"/>
          <w:sz w:val="20"/>
          <w:szCs w:val="20"/>
        </w:rPr>
        <w:t>Habría que esperar a unos resultados más maduros en SSFT y SG para poder confirmar que estos subgrupos responden de forma diferente al tratamiento.</w:t>
      </w:r>
    </w:p>
    <w:p w:rsidR="0056194E" w:rsidRDefault="0056194E" w:rsidP="00AA6946">
      <w:pPr>
        <w:ind w:left="360"/>
        <w:jc w:val="both"/>
        <w:rPr>
          <w:rFonts w:ascii="Arial" w:hAnsi="Arial" w:cs="Arial"/>
          <w:sz w:val="20"/>
          <w:szCs w:val="20"/>
        </w:rPr>
      </w:pPr>
    </w:p>
    <w:p w:rsidR="0056194E" w:rsidRDefault="0056194E" w:rsidP="00AA6946">
      <w:pPr>
        <w:numPr>
          <w:ilvl w:val="0"/>
          <w:numId w:val="7"/>
        </w:numPr>
        <w:jc w:val="both"/>
        <w:rPr>
          <w:rFonts w:ascii="Arial" w:hAnsi="Arial" w:cs="Arial"/>
          <w:sz w:val="20"/>
          <w:szCs w:val="20"/>
        </w:rPr>
      </w:pPr>
      <w:r>
        <w:rPr>
          <w:rFonts w:ascii="Arial" w:hAnsi="Arial" w:cs="Arial"/>
          <w:color w:val="000000"/>
          <w:sz w:val="20"/>
          <w:szCs w:val="20"/>
        </w:rPr>
        <w:t>Encontramos una p-interacción significativa (0,04) en la comparación de subgrupos por edad, con un HR 0,26 (0,22-0,32) para &lt;70 años y  de 0,36 (0,28-0,47) en ≥70 años, igual que ocurre en SG.</w:t>
      </w:r>
    </w:p>
    <w:p w:rsidR="0056194E" w:rsidRDefault="0056194E" w:rsidP="00AA6946">
      <w:pPr>
        <w:jc w:val="both"/>
        <w:rPr>
          <w:rFonts w:ascii="Arial" w:hAnsi="Arial" w:cs="Arial"/>
          <w:sz w:val="20"/>
          <w:szCs w:val="20"/>
        </w:rPr>
      </w:pPr>
    </w:p>
    <w:p w:rsidR="0056194E" w:rsidRDefault="0056194E" w:rsidP="00AA6946">
      <w:pPr>
        <w:numPr>
          <w:ilvl w:val="0"/>
          <w:numId w:val="7"/>
        </w:numPr>
        <w:jc w:val="both"/>
        <w:rPr>
          <w:rFonts w:ascii="Arial" w:hAnsi="Arial" w:cs="Arial"/>
          <w:sz w:val="20"/>
          <w:szCs w:val="20"/>
        </w:rPr>
      </w:pPr>
      <w:r>
        <w:rPr>
          <w:rFonts w:ascii="Arial" w:hAnsi="Arial" w:cs="Arial"/>
          <w:color w:val="000000"/>
          <w:sz w:val="20"/>
          <w:szCs w:val="20"/>
        </w:rPr>
        <w:t>También encontramos diferencias estadísticamente significativas (p-interacción 0,02) entre subgrupos con y sin radioterapia planificada, con un HR 0,31 (0,26-0,36) para aquellos pacientes que no presentaban RT planificada y un HR 0,18 (0,12-0,28) en aquellos que sí.</w:t>
      </w:r>
    </w:p>
    <w:p w:rsidR="0056194E" w:rsidRDefault="0056194E" w:rsidP="00AA6946">
      <w:pPr>
        <w:jc w:val="both"/>
        <w:rPr>
          <w:rFonts w:ascii="Arial" w:hAnsi="Arial" w:cs="Arial"/>
          <w:color w:val="0000FF"/>
          <w:sz w:val="20"/>
          <w:szCs w:val="20"/>
        </w:rPr>
      </w:pPr>
    </w:p>
    <w:tbl>
      <w:tblPr>
        <w:tblW w:w="10065" w:type="dxa"/>
        <w:tblInd w:w="-459" w:type="dxa"/>
        <w:tblLayout w:type="fixed"/>
        <w:tblLook w:val="0000"/>
      </w:tblPr>
      <w:tblGrid>
        <w:gridCol w:w="10065"/>
      </w:tblGrid>
      <w:tr w:rsidR="0056194E">
        <w:trPr>
          <w:trHeight w:val="5117"/>
        </w:trPr>
        <w:tc>
          <w:tcPr>
            <w:tcW w:w="10065"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BC3E86">
            <w:pPr>
              <w:snapToGrid w:val="0"/>
              <w:jc w:val="both"/>
            </w:pPr>
            <w:r>
              <w:rPr>
                <w:rFonts w:ascii="Arial" w:hAnsi="Arial" w:cs="Arial"/>
                <w:b/>
                <w:bCs/>
                <w:sz w:val="18"/>
                <w:szCs w:val="18"/>
              </w:rPr>
              <w:t>Forest-plot de los resultados por subgrupos en supervivencia sin fallo a tratamiento del ensayo STAMPEDE</w:t>
            </w:r>
            <w:r>
              <w:rPr>
                <w:rFonts w:ascii="Arial" w:hAnsi="Arial" w:cs="Arial"/>
                <w:b/>
                <w:bCs/>
                <w:sz w:val="18"/>
                <w:szCs w:val="18"/>
                <w:vertAlign w:val="superscript"/>
              </w:rPr>
              <w:t>16</w:t>
            </w:r>
            <w:r>
              <w:rPr>
                <w:rFonts w:ascii="Arial" w:hAnsi="Arial" w:cs="Arial"/>
                <w:b/>
                <w:bCs/>
                <w:sz w:val="18"/>
                <w:szCs w:val="18"/>
              </w:rPr>
              <w:t>.</w:t>
            </w:r>
          </w:p>
          <w:p w:rsidR="0056194E" w:rsidRDefault="00F33243" w:rsidP="00BC3E86">
            <w:pPr>
              <w:snapToGrid w:val="0"/>
              <w:jc w:val="both"/>
            </w:pPr>
            <w:r>
              <w:rPr>
                <w:noProof/>
                <w:lang w:eastAsia="es-ES"/>
              </w:rPr>
              <w:pict>
                <v:shape id="Imagen 42" o:spid="_x0000_s1032" type="#_x0000_t75" style="position:absolute;left:0;text-align:left;margin-left:5.8pt;margin-top:3.75pt;width:481pt;height:236pt;z-index:251652608;visibility:visible;mso-wrap-distance-left:0;mso-wrap-distance-right:0" filled="t">
                  <v:imagedata r:id="rId16" o:title="" croptop="-123f" cropbottom="-123f" cropleft="-79f" cropright="-79f"/>
                  <w10:wrap type="square" side="largest"/>
                </v:shape>
              </w:pict>
            </w:r>
          </w:p>
        </w:tc>
      </w:tr>
    </w:tbl>
    <w:p w:rsidR="0056194E" w:rsidRDefault="0056194E">
      <w:pPr>
        <w:jc w:val="both"/>
        <w:rPr>
          <w:rFonts w:ascii="Arial" w:hAnsi="Arial" w:cs="Arial"/>
          <w:sz w:val="20"/>
          <w:szCs w:val="20"/>
        </w:rPr>
      </w:pPr>
    </w:p>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r>
        <w:rPr>
          <w:rFonts w:ascii="Arial" w:hAnsi="Arial" w:cs="Arial"/>
          <w:b/>
          <w:bCs/>
          <w:color w:val="000000"/>
          <w:sz w:val="20"/>
          <w:szCs w:val="20"/>
          <w:u w:val="single"/>
        </w:rPr>
        <w:t>Conclusiones del análisis por subgrupos de ambos estudios.</w:t>
      </w:r>
    </w:p>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r>
        <w:rPr>
          <w:rFonts w:ascii="Arial" w:hAnsi="Arial" w:cs="Arial"/>
          <w:color w:val="000000"/>
          <w:sz w:val="20"/>
          <w:szCs w:val="20"/>
        </w:rPr>
        <w:t>En conclusión, si nos referimos a la variable de máxima relevancia clínica (supervivencia global), se puede afirmar que en el estudio STAMPEDE se pone de manifiesto una clara diferencia entre subgrupos de edad, algo que no sucede en el estudio LATITUDE. En este no se presenta interacción significativa, si bien los resultados no serían incompatibles con un</w:t>
      </w:r>
      <w:r w:rsidR="00627DE0">
        <w:rPr>
          <w:rFonts w:ascii="Arial" w:hAnsi="Arial" w:cs="Arial"/>
          <w:color w:val="000000"/>
          <w:sz w:val="20"/>
          <w:szCs w:val="20"/>
        </w:rPr>
        <w:t>a</w:t>
      </w:r>
      <w:r>
        <w:rPr>
          <w:rFonts w:ascii="Arial" w:hAnsi="Arial" w:cs="Arial"/>
          <w:color w:val="000000"/>
          <w:sz w:val="20"/>
          <w:szCs w:val="20"/>
        </w:rPr>
        <w:t xml:space="preserve"> menor eficacia en pacientes más mayores. En el meta análisis descrito más adelante (apartado 5.3.a) en el que se incluyeron ambos ensayos clínicos, el resultado combinado arroja una diferencia significativa por subgrupos de edad. </w:t>
      </w:r>
    </w:p>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r>
        <w:rPr>
          <w:rFonts w:ascii="Arial" w:hAnsi="Arial" w:cs="Arial"/>
          <w:color w:val="000000"/>
          <w:sz w:val="20"/>
          <w:szCs w:val="20"/>
        </w:rPr>
        <w:t>No se ha encontrado en la literatura previa una hipótesis que explique por qué se produce esta diferencia en subgrupos de edades. Podría tener relación con una enfermedad más agresiva en los pacientes más jóvenes, lo cual es compatible con los datos del estudio. Sería posible que, en pacientes mayores, la enfermedad pueda controlarse más satisfactoriamente empleando únicamente TDA, mientras que en pacientes más jóvenes, ya sea por el avance más rápido de la enfermedad o por su mayor actividad hormonal (o ambas razones) sea necesario añadir abiraterona a la TDA para controlar mejor los niveles de testosterona. Esto podría explicar que en este subgrupo de pacientes haya un mayor beneficio de la adición de abiraterona que en los pacientes mayores. Esta hipótesis se apoya en los ensayos clínicos más recientes de abiraterona en CPHS</w:t>
      </w:r>
      <w:r w:rsidR="00A05F92">
        <w:rPr>
          <w:rFonts w:ascii="Arial" w:hAnsi="Arial" w:cs="Arial"/>
          <w:color w:val="000000"/>
          <w:sz w:val="20"/>
          <w:szCs w:val="20"/>
        </w:rPr>
        <w:t>:</w:t>
      </w:r>
      <w:r>
        <w:rPr>
          <w:rFonts w:ascii="Arial" w:hAnsi="Arial" w:cs="Arial"/>
          <w:color w:val="000000"/>
          <w:sz w:val="20"/>
          <w:szCs w:val="20"/>
        </w:rPr>
        <w:t xml:space="preserve"> </w:t>
      </w:r>
      <w:r w:rsidR="00A05F92">
        <w:rPr>
          <w:rFonts w:ascii="Arial" w:hAnsi="Arial" w:cs="Arial"/>
          <w:color w:val="000000"/>
          <w:sz w:val="20"/>
          <w:szCs w:val="20"/>
        </w:rPr>
        <w:t xml:space="preserve">en el estudio STAMPEDE </w:t>
      </w:r>
      <w:r>
        <w:rPr>
          <w:rFonts w:ascii="Arial" w:hAnsi="Arial" w:cs="Arial"/>
          <w:color w:val="000000"/>
          <w:sz w:val="20"/>
          <w:szCs w:val="20"/>
        </w:rPr>
        <w:t>encontramos que hay más eventos en el grupo control (TDA monoterapia) en pacientes jóvenes que en pacientes mayores</w:t>
      </w:r>
      <w:r w:rsidR="004F11F1">
        <w:rPr>
          <w:rFonts w:ascii="Arial" w:hAnsi="Arial" w:cs="Arial"/>
          <w:color w:val="000000"/>
          <w:sz w:val="20"/>
          <w:szCs w:val="20"/>
        </w:rPr>
        <w:t xml:space="preserve"> </w:t>
      </w:r>
      <w:r w:rsidR="00A05F92" w:rsidRPr="004F11F1">
        <w:rPr>
          <w:rFonts w:ascii="Arial" w:hAnsi="Arial" w:cs="Arial"/>
          <w:color w:val="000000"/>
          <w:sz w:val="20"/>
          <w:szCs w:val="20"/>
        </w:rPr>
        <w:t>y</w:t>
      </w:r>
      <w:r>
        <w:rPr>
          <w:rFonts w:ascii="Arial" w:hAnsi="Arial" w:cs="Arial"/>
          <w:color w:val="000000"/>
          <w:sz w:val="20"/>
          <w:szCs w:val="20"/>
        </w:rPr>
        <w:t xml:space="preserve"> en el estudio LATITUDE, que estratifica a los pacientes en 3 rangos de edad (&lt;65 años, 65-75 años y &gt;75 años)</w:t>
      </w:r>
      <w:r w:rsidR="00A05F92">
        <w:rPr>
          <w:rFonts w:ascii="Arial" w:hAnsi="Arial" w:cs="Arial"/>
          <w:color w:val="000000"/>
          <w:sz w:val="20"/>
          <w:szCs w:val="20"/>
        </w:rPr>
        <w:t>,</w:t>
      </w:r>
      <w:r>
        <w:rPr>
          <w:rFonts w:ascii="Arial" w:hAnsi="Arial" w:cs="Arial"/>
          <w:color w:val="000000"/>
          <w:sz w:val="20"/>
          <w:szCs w:val="20"/>
        </w:rPr>
        <w:t xml:space="preserve"> se observa un gradiente en el que los pacientes se benefician menos del tratamiento con abiraterona cuanto mayor es su edad.</w:t>
      </w:r>
      <w:r w:rsidR="00A05F92">
        <w:rPr>
          <w:rFonts w:ascii="Arial" w:hAnsi="Arial" w:cs="Arial"/>
          <w:color w:val="000000"/>
          <w:sz w:val="20"/>
          <w:szCs w:val="20"/>
        </w:rPr>
        <w:t xml:space="preserve"> </w:t>
      </w:r>
      <w:r>
        <w:rPr>
          <w:rFonts w:ascii="Arial" w:hAnsi="Arial" w:cs="Arial"/>
          <w:color w:val="000000"/>
          <w:sz w:val="20"/>
          <w:szCs w:val="20"/>
        </w:rPr>
        <w:t>Este análisis por subgrupos de edad se completa más adelante al exponer los resultados del metaanálisis.</w:t>
      </w:r>
    </w:p>
    <w:p w:rsidR="0056194E" w:rsidRDefault="0056194E">
      <w:pPr>
        <w:jc w:val="both"/>
        <w:rPr>
          <w:rFonts w:ascii="Arial" w:hAnsi="Arial" w:cs="Arial"/>
          <w:color w:val="000000"/>
          <w:sz w:val="20"/>
          <w:szCs w:val="20"/>
        </w:rPr>
      </w:pPr>
    </w:p>
    <w:p w:rsidR="0056194E" w:rsidRDefault="0056194E">
      <w:pPr>
        <w:jc w:val="both"/>
        <w:rPr>
          <w:rFonts w:ascii="Arial" w:hAnsi="Arial" w:cs="Arial"/>
          <w:b/>
          <w:bCs/>
          <w:color w:val="000080"/>
          <w:sz w:val="20"/>
          <w:szCs w:val="20"/>
          <w:u w:val="single"/>
        </w:rPr>
      </w:pPr>
      <w:r>
        <w:rPr>
          <w:rFonts w:ascii="Arial" w:hAnsi="Arial" w:cs="Arial"/>
          <w:color w:val="000000"/>
          <w:sz w:val="20"/>
          <w:szCs w:val="20"/>
        </w:rPr>
        <w:t>En cuanto al nivel de LDH, al analizar el forest-plot del estudio LATITUDE, encontramos que existe una posible interacción significativa (0,07) (si consideramos el límite 0,1 para que la interacción sea significativa) entre aquellos pacientes que tenían niveles de LDH por encima y por debajo de la mediana al inicio del tratamiento. Esta enzima es un marcador comúnmente utilizado para realizar el seguimiento de ciertos tipos de neoplasias, pero es inespecífica. Carecemos de evidencia de consistencia entre ambos ensayos al no disponer de datos de subgrupos en el otro estudio, y no se encuentra una hipótesis plausible para explicar el hallazgo. En consecuencia, se considera que no sería aplicable para el posicionamiento.</w:t>
      </w:r>
    </w:p>
    <w:p w:rsidR="0056194E" w:rsidRDefault="0056194E">
      <w:pPr>
        <w:jc w:val="both"/>
        <w:rPr>
          <w:rFonts w:ascii="Arial" w:hAnsi="Arial" w:cs="Arial"/>
          <w:b/>
          <w:bCs/>
          <w:color w:val="000080"/>
          <w:sz w:val="20"/>
          <w:szCs w:val="20"/>
          <w:u w:val="single"/>
        </w:rPr>
      </w:pPr>
    </w:p>
    <w:p w:rsidR="0056194E" w:rsidRDefault="0056194E">
      <w:pPr>
        <w:pStyle w:val="Textoindependiente33"/>
        <w:pBdr>
          <w:top w:val="single" w:sz="4" w:space="1" w:color="000000"/>
          <w:left w:val="single" w:sz="4" w:space="4" w:color="000000"/>
          <w:bottom w:val="single" w:sz="4" w:space="1" w:color="000000"/>
          <w:right w:val="single" w:sz="4" w:space="4" w:color="000000"/>
        </w:pBdr>
        <w:jc w:val="both"/>
        <w:rPr>
          <w:bCs/>
          <w:color w:val="000080"/>
          <w:sz w:val="20"/>
        </w:rPr>
      </w:pPr>
      <w:r>
        <w:rPr>
          <w:b/>
          <w:bCs/>
          <w:sz w:val="20"/>
        </w:rPr>
        <w:t xml:space="preserve">C.2 La evidencia de equivalencia terapéutica. </w:t>
      </w:r>
    </w:p>
    <w:p w:rsidR="0056194E" w:rsidRDefault="0056194E">
      <w:pPr>
        <w:pStyle w:val="Textoindependiente33"/>
        <w:ind w:left="708"/>
        <w:jc w:val="both"/>
        <w:rPr>
          <w:bCs/>
          <w:color w:val="000080"/>
          <w:sz w:val="20"/>
        </w:rPr>
      </w:pPr>
    </w:p>
    <w:p w:rsidR="0056194E" w:rsidRDefault="0056194E">
      <w:pPr>
        <w:pStyle w:val="Textoindependiente33"/>
        <w:jc w:val="both"/>
        <w:rPr>
          <w:b/>
          <w:bCs/>
          <w:color w:val="0000FF"/>
          <w:sz w:val="20"/>
          <w:u w:val="single"/>
        </w:rPr>
      </w:pPr>
      <w:r>
        <w:rPr>
          <w:color w:val="000000"/>
          <w:sz w:val="20"/>
        </w:rPr>
        <w:t>No procede.</w:t>
      </w:r>
    </w:p>
    <w:p w:rsidR="0056194E" w:rsidRDefault="0056194E">
      <w:pPr>
        <w:pStyle w:val="Textoindependiente33"/>
        <w:jc w:val="both"/>
        <w:rPr>
          <w:b/>
          <w:bCs/>
          <w:color w:val="0000FF"/>
          <w:sz w:val="20"/>
          <w:u w:val="single"/>
        </w:rPr>
      </w:pPr>
    </w:p>
    <w:p w:rsidR="0056194E" w:rsidRDefault="0056194E">
      <w:pPr>
        <w:pStyle w:val="Textoindependiente33"/>
        <w:pBdr>
          <w:top w:val="single" w:sz="4" w:space="1" w:color="000000"/>
          <w:left w:val="single" w:sz="4" w:space="4" w:color="000000"/>
          <w:bottom w:val="single" w:sz="4" w:space="1" w:color="000000"/>
          <w:right w:val="single" w:sz="4" w:space="4" w:color="000000"/>
        </w:pBdr>
        <w:jc w:val="both"/>
        <w:rPr>
          <w:bCs/>
          <w:color w:val="000080"/>
          <w:sz w:val="20"/>
        </w:rPr>
      </w:pPr>
      <w:r>
        <w:rPr>
          <w:b/>
          <w:bCs/>
          <w:sz w:val="20"/>
        </w:rPr>
        <w:t xml:space="preserve">C.3 Alternativas terapéuticas equivalentes (ATE) </w:t>
      </w:r>
    </w:p>
    <w:p w:rsidR="0056194E" w:rsidRDefault="0056194E">
      <w:pPr>
        <w:pStyle w:val="Textoindependiente33"/>
        <w:ind w:left="708"/>
        <w:jc w:val="both"/>
        <w:rPr>
          <w:bCs/>
          <w:color w:val="000080"/>
          <w:sz w:val="20"/>
        </w:rPr>
      </w:pPr>
    </w:p>
    <w:p w:rsidR="0056194E" w:rsidRDefault="0056194E">
      <w:pPr>
        <w:pStyle w:val="Textoindependiente33"/>
        <w:jc w:val="both"/>
        <w:rPr>
          <w:b/>
          <w:bCs/>
          <w:color w:val="FF0000"/>
          <w:sz w:val="20"/>
          <w:u w:val="single"/>
        </w:rPr>
      </w:pPr>
      <w:r>
        <w:rPr>
          <w:color w:val="000000"/>
          <w:sz w:val="20"/>
        </w:rPr>
        <w:t>No procede.</w:t>
      </w:r>
    </w:p>
    <w:p w:rsidR="0056194E" w:rsidRDefault="0056194E">
      <w:pPr>
        <w:jc w:val="both"/>
        <w:rPr>
          <w:rFonts w:ascii="Arial" w:hAnsi="Arial" w:cs="Arial"/>
          <w:b/>
          <w:bCs/>
          <w:color w:val="FF0000"/>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00"/>
          <w:sz w:val="20"/>
        </w:rPr>
      </w:pPr>
      <w:bookmarkStart w:id="22" w:name="_Toc536608338"/>
      <w:r>
        <w:rPr>
          <w:sz w:val="20"/>
        </w:rPr>
        <w:t>5.2.c Evaluación de las pruebas de cribado utilizadas</w:t>
      </w:r>
      <w:bookmarkEnd w:id="22"/>
      <w:r>
        <w:rPr>
          <w:sz w:val="20"/>
        </w:rPr>
        <w:t xml:space="preserve"> </w:t>
      </w:r>
    </w:p>
    <w:p w:rsidR="0056194E" w:rsidRDefault="0056194E">
      <w:pPr>
        <w:jc w:val="both"/>
        <w:rPr>
          <w:rFonts w:ascii="Arial" w:hAnsi="Arial" w:cs="Arial"/>
          <w:color w:val="000000"/>
          <w:sz w:val="20"/>
          <w:szCs w:val="20"/>
        </w:rPr>
      </w:pPr>
    </w:p>
    <w:p w:rsidR="0056194E" w:rsidRDefault="0056194E">
      <w:pPr>
        <w:numPr>
          <w:ilvl w:val="0"/>
          <w:numId w:val="4"/>
        </w:numPr>
        <w:tabs>
          <w:tab w:val="left" w:pos="0"/>
          <w:tab w:val="left" w:pos="142"/>
        </w:tabs>
        <w:ind w:left="0" w:firstLine="0"/>
        <w:jc w:val="both"/>
        <w:rPr>
          <w:rFonts w:ascii="Arial" w:hAnsi="Arial" w:cs="Arial"/>
          <w:sz w:val="20"/>
          <w:szCs w:val="20"/>
        </w:rPr>
      </w:pPr>
      <w:r>
        <w:rPr>
          <w:rFonts w:ascii="Arial" w:hAnsi="Arial" w:cs="Arial"/>
          <w:color w:val="000000"/>
          <w:sz w:val="20"/>
          <w:szCs w:val="20"/>
        </w:rPr>
        <w:t>No se han utilizado más pruebas de cribado que las determinaciones clínicas y diagnóstico por imagen, disponibles en general en nuestro medio.</w:t>
      </w:r>
    </w:p>
    <w:p w:rsidR="0056194E" w:rsidRDefault="0056194E">
      <w:pPr>
        <w:jc w:val="both"/>
        <w:rPr>
          <w:rFonts w:ascii="Arial" w:hAnsi="Arial" w:cs="Arial"/>
          <w:bCs/>
          <w:color w:val="0000FF"/>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80"/>
          <w:sz w:val="20"/>
        </w:rPr>
      </w:pPr>
      <w:bookmarkStart w:id="23" w:name="_Toc536608339"/>
      <w:r>
        <w:rPr>
          <w:sz w:val="20"/>
        </w:rPr>
        <w:t xml:space="preserve">5.3 Revisiones sistemáticas publicadas, comparaciones indirectas y sus conclusiones </w:t>
      </w:r>
      <w:r>
        <w:rPr>
          <w:color w:val="000080"/>
          <w:sz w:val="20"/>
        </w:rPr>
        <w:t>.</w:t>
      </w:r>
      <w:bookmarkEnd w:id="23"/>
      <w:r>
        <w:rPr>
          <w:color w:val="000080"/>
          <w:sz w:val="20"/>
        </w:rPr>
        <w:t xml:space="preserve"> </w:t>
      </w:r>
    </w:p>
    <w:p w:rsidR="0056194E" w:rsidRDefault="0056194E" w:rsidP="005C0147">
      <w:pPr>
        <w:autoSpaceDE w:val="0"/>
        <w:jc w:val="both"/>
        <w:rPr>
          <w:rFonts w:ascii="Arial" w:hAnsi="Arial" w:cs="Arial"/>
          <w:color w:val="000080"/>
          <w:sz w:val="20"/>
          <w:szCs w:val="20"/>
        </w:rPr>
      </w:pPr>
    </w:p>
    <w:p w:rsidR="0056194E" w:rsidRDefault="0056194E" w:rsidP="005C0147">
      <w:pPr>
        <w:autoSpaceDE w:val="0"/>
        <w:jc w:val="both"/>
        <w:rPr>
          <w:rFonts w:ascii="Arial" w:hAnsi="Arial" w:cs="Arial"/>
          <w:sz w:val="20"/>
          <w:szCs w:val="20"/>
        </w:rPr>
      </w:pPr>
      <w:r>
        <w:rPr>
          <w:rFonts w:ascii="Arial" w:hAnsi="Arial" w:cs="Arial"/>
          <w:sz w:val="20"/>
          <w:szCs w:val="20"/>
        </w:rPr>
        <w:t xml:space="preserve">Se han encontrado dos metaanálisis que incluyen abiraterona en esta indicación. Uno de ellos es un metaanálisis clásico que incluye ambos estudios, STAMPEDE y LATITUDE, y el otro es un network meta análisis que realiza una comparación indirecta de abiraterona frente a docetaxel, ambos combinados con TDA en CPHS. </w:t>
      </w:r>
    </w:p>
    <w:p w:rsidR="0056194E" w:rsidRDefault="0056194E">
      <w:pPr>
        <w:jc w:val="both"/>
        <w:rPr>
          <w:rFonts w:ascii="Arial" w:hAnsi="Arial" w:cs="Arial"/>
          <w:color w:val="000080"/>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FF0000"/>
          <w:sz w:val="20"/>
        </w:rPr>
      </w:pPr>
      <w:bookmarkStart w:id="24" w:name="_Toc536608340"/>
      <w:r>
        <w:rPr>
          <w:sz w:val="20"/>
        </w:rPr>
        <w:t>5.3.a Revisiones sistemáticas publicadas</w:t>
      </w:r>
      <w:bookmarkEnd w:id="24"/>
    </w:p>
    <w:p w:rsidR="0056194E" w:rsidRDefault="0056194E">
      <w:pPr>
        <w:jc w:val="both"/>
        <w:rPr>
          <w:rFonts w:ascii="Arial" w:hAnsi="Arial" w:cs="Arial"/>
          <w:b/>
          <w:i/>
          <w:sz w:val="20"/>
          <w:szCs w:val="20"/>
          <w:lang w:val="en-US"/>
        </w:rPr>
      </w:pPr>
    </w:p>
    <w:tbl>
      <w:tblPr>
        <w:tblW w:w="0" w:type="auto"/>
        <w:tblInd w:w="-56" w:type="dxa"/>
        <w:tblLayout w:type="fixed"/>
        <w:tblCellMar>
          <w:left w:w="70" w:type="dxa"/>
          <w:right w:w="70" w:type="dxa"/>
        </w:tblCellMar>
        <w:tblLook w:val="0000"/>
      </w:tblPr>
      <w:tblGrid>
        <w:gridCol w:w="2670"/>
        <w:gridCol w:w="1415"/>
        <w:gridCol w:w="1240"/>
        <w:gridCol w:w="1995"/>
        <w:gridCol w:w="1625"/>
      </w:tblGrid>
      <w:tr w:rsidR="0056194E" w:rsidRPr="00683AE2">
        <w:tc>
          <w:tcPr>
            <w:tcW w:w="8945" w:type="dxa"/>
            <w:gridSpan w:val="5"/>
            <w:tcBorders>
              <w:top w:val="single" w:sz="4" w:space="0" w:color="000000"/>
              <w:left w:val="single" w:sz="4" w:space="0" w:color="000000"/>
              <w:bottom w:val="single" w:sz="4" w:space="0" w:color="000000"/>
              <w:right w:val="single" w:sz="4" w:space="0" w:color="000000"/>
            </w:tcBorders>
            <w:shd w:val="clear" w:color="auto" w:fill="CCFFCC"/>
          </w:tcPr>
          <w:p w:rsidR="0056194E" w:rsidRPr="006A311C" w:rsidRDefault="0056194E">
            <w:pPr>
              <w:autoSpaceDE w:val="0"/>
              <w:jc w:val="both"/>
              <w:rPr>
                <w:lang w:val="en-GB"/>
              </w:rPr>
            </w:pPr>
            <w:r>
              <w:rPr>
                <w:rFonts w:ascii="Arial" w:hAnsi="Arial" w:cs="Arial"/>
                <w:b/>
                <w:i/>
                <w:sz w:val="20"/>
                <w:szCs w:val="20"/>
                <w:lang w:val="en-US"/>
              </w:rPr>
              <w:t xml:space="preserve">Referencia: </w:t>
            </w:r>
            <w:r>
              <w:rPr>
                <w:rFonts w:ascii="Arial" w:hAnsi="Arial" w:cs="Arial"/>
                <w:b/>
                <w:bCs/>
                <w:i/>
                <w:sz w:val="20"/>
                <w:szCs w:val="20"/>
                <w:lang w:val="en-US"/>
              </w:rPr>
              <w:t>Adding abiraterone to androgen deprivation therapy in men with metastatic hormone-sensitive prostate cancer: A systematic review and meta-analysis</w:t>
            </w:r>
            <w:r w:rsidR="00E331EC">
              <w:rPr>
                <w:rFonts w:ascii="Arial" w:hAnsi="Arial" w:cs="Arial"/>
                <w:b/>
                <w:bCs/>
                <w:i/>
                <w:sz w:val="20"/>
                <w:szCs w:val="20"/>
                <w:vertAlign w:val="superscript"/>
                <w:lang w:val="en-US"/>
              </w:rPr>
              <w:t>20</w:t>
            </w:r>
          </w:p>
        </w:tc>
      </w:tr>
      <w:tr w:rsidR="0056194E">
        <w:tc>
          <w:tcPr>
            <w:tcW w:w="8945" w:type="dxa"/>
            <w:gridSpan w:val="5"/>
            <w:tcBorders>
              <w:top w:val="single" w:sz="4" w:space="0" w:color="000000"/>
              <w:left w:val="single" w:sz="4" w:space="0" w:color="000000"/>
              <w:bottom w:val="single" w:sz="4" w:space="0" w:color="000000"/>
              <w:right w:val="single" w:sz="4" w:space="0" w:color="000000"/>
            </w:tcBorders>
          </w:tcPr>
          <w:p w:rsidR="0056194E" w:rsidRDefault="0056194E">
            <w:pPr>
              <w:jc w:val="both"/>
              <w:rPr>
                <w:rFonts w:ascii="Arial" w:hAnsi="Arial" w:cs="Arial"/>
                <w:i/>
                <w:iCs/>
                <w:sz w:val="20"/>
                <w:szCs w:val="20"/>
              </w:rPr>
            </w:pPr>
            <w:r>
              <w:rPr>
                <w:rFonts w:ascii="Arial" w:hAnsi="Arial" w:cs="Arial"/>
                <w:i/>
                <w:sz w:val="20"/>
                <w:szCs w:val="20"/>
                <w:lang w:val="es-ES_tradnl"/>
              </w:rPr>
              <w:t xml:space="preserve">Se pretende ver el efecto de la adición de abiraterona a la TDA en los distintos ensayos clínicos controlados y aleatorizados en términos de supervivencia global y supervivencia libre de progresión. </w:t>
            </w:r>
            <w:r>
              <w:rPr>
                <w:rFonts w:ascii="Arial" w:hAnsi="Arial" w:cs="Arial"/>
                <w:i/>
                <w:iCs/>
                <w:sz w:val="20"/>
                <w:szCs w:val="20"/>
              </w:rPr>
              <w:t xml:space="preserve">Nº de ensayos: de los 3 ensayos encontrados en la búsqueda: PEACE-1, STAMPEDE Y LATITUDE se incluyeron sólo los 2 últimos para el meta análisis, ya que PEACE-1 aún se encontraba en fase de reclutamiento. En el estudio LATITUDE se incluyeron pacientes con diagnóstico de cáncer de próstata hormono sensible metastásico. En el estudio STAMPEDE se incluyeron pacientes diagnosticados de CPHS metastásicos y no metastásicos, pero para hacer el metaanálisis se tuvieron en cuenta solamente los pacientes metastásicos. </w:t>
            </w:r>
          </w:p>
          <w:p w:rsidR="0056194E" w:rsidRDefault="0056194E">
            <w:pPr>
              <w:jc w:val="both"/>
              <w:rPr>
                <w:rFonts w:ascii="Arial" w:hAnsi="Arial" w:cs="Arial"/>
                <w:i/>
                <w:iCs/>
                <w:sz w:val="20"/>
                <w:szCs w:val="20"/>
                <w:lang w:val="es-ES_tradnl"/>
              </w:rPr>
            </w:pPr>
            <w:r>
              <w:rPr>
                <w:rFonts w:ascii="Arial" w:hAnsi="Arial" w:cs="Arial"/>
                <w:i/>
                <w:iCs/>
                <w:sz w:val="20"/>
                <w:szCs w:val="20"/>
              </w:rPr>
              <w:t>Nº de pacientes: 2201 pacientes de los cuales 61 habían recibido previamente tratamiento localizado. El resto eran pacientes de nuevo diagnóstico.</w:t>
            </w:r>
          </w:p>
          <w:p w:rsidR="0056194E" w:rsidRDefault="0056194E">
            <w:pPr>
              <w:jc w:val="both"/>
              <w:rPr>
                <w:rFonts w:ascii="Arial" w:hAnsi="Arial" w:cs="Arial"/>
                <w:i/>
                <w:iCs/>
                <w:sz w:val="20"/>
                <w:szCs w:val="20"/>
                <w:lang w:val="es-ES_tradnl"/>
              </w:rPr>
            </w:pPr>
            <w:r>
              <w:rPr>
                <w:rFonts w:ascii="Arial" w:hAnsi="Arial" w:cs="Arial"/>
                <w:i/>
                <w:iCs/>
                <w:sz w:val="20"/>
                <w:szCs w:val="20"/>
                <w:lang w:val="es-ES_tradnl"/>
              </w:rPr>
              <w:t>Criterios de inclusión: ensayos clínicos controlados y aleatorizados de pacientes con cáncer de próstata hormono sensible metastásico, en los que se compare abiraterona más la terapia de cuidados estándares (hormonoterapia+/-Rt) frente a la terapia estándar.</w:t>
            </w:r>
          </w:p>
          <w:p w:rsidR="0056194E" w:rsidRDefault="0056194E">
            <w:pPr>
              <w:jc w:val="both"/>
              <w:rPr>
                <w:rFonts w:ascii="Arial" w:hAnsi="Arial" w:cs="Arial"/>
                <w:i/>
                <w:iCs/>
                <w:sz w:val="20"/>
                <w:szCs w:val="20"/>
                <w:lang w:val="es-ES_tradnl"/>
              </w:rPr>
            </w:pPr>
            <w:r>
              <w:rPr>
                <w:rFonts w:ascii="Arial" w:hAnsi="Arial" w:cs="Arial"/>
                <w:i/>
                <w:iCs/>
                <w:sz w:val="20"/>
                <w:szCs w:val="20"/>
                <w:lang w:val="es-ES_tradnl"/>
              </w:rPr>
              <w:t>Criterios de exclusión: ensayos clínicos con tratamiento adicional solamente en el grupo control (se admitían tratamientos adicionales si se encontraban en todos los brazos del ensayo. Ensayos en pacientes con cáncer de próstata que habían mostrado fallo al tratamiento con TDA o ensayos de pacientes con cáncer de próstata resistente a la castración.</w:t>
            </w:r>
          </w:p>
          <w:p w:rsidR="0056194E" w:rsidRPr="008A4315" w:rsidRDefault="0056194E">
            <w:pPr>
              <w:jc w:val="both"/>
              <w:rPr>
                <w:rFonts w:ascii="Arial" w:hAnsi="Arial" w:cs="Arial"/>
                <w:i/>
                <w:iCs/>
                <w:sz w:val="18"/>
                <w:szCs w:val="18"/>
                <w:lang w:val="es-ES_tradnl"/>
              </w:rPr>
            </w:pPr>
            <w:r>
              <w:rPr>
                <w:rFonts w:ascii="Arial" w:hAnsi="Arial" w:cs="Arial"/>
                <w:i/>
                <w:iCs/>
                <w:sz w:val="20"/>
                <w:szCs w:val="20"/>
                <w:lang w:val="es-ES_tradnl"/>
              </w:rPr>
              <w:t>Tratamiento grupo activo y Tratamiento grupo control: tratamiento con abiraterona y tratamientocon TDA.</w:t>
            </w:r>
          </w:p>
        </w:tc>
      </w:tr>
      <w:tr w:rsidR="0056194E">
        <w:trPr>
          <w:trHeight w:val="261"/>
        </w:trPr>
        <w:tc>
          <w:tcPr>
            <w:tcW w:w="8945" w:type="dxa"/>
            <w:gridSpan w:val="5"/>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bCs/>
                <w:sz w:val="18"/>
                <w:szCs w:val="18"/>
                <w:lang w:val="es-ES_tradnl"/>
              </w:rPr>
              <w:t>Resultados</w:t>
            </w:r>
          </w:p>
        </w:tc>
      </w:tr>
      <w:tr w:rsidR="0056194E">
        <w:trPr>
          <w:trHeight w:val="1055"/>
        </w:trPr>
        <w:tc>
          <w:tcPr>
            <w:tcW w:w="2670" w:type="dxa"/>
            <w:tcBorders>
              <w:top w:val="single" w:sz="4" w:space="0" w:color="000000"/>
              <w:left w:val="single" w:sz="4" w:space="0" w:color="000000"/>
              <w:bottom w:val="single" w:sz="4" w:space="0" w:color="000000"/>
            </w:tcBorders>
          </w:tcPr>
          <w:p w:rsidR="0056194E" w:rsidRDefault="0056194E">
            <w:pPr>
              <w:jc w:val="both"/>
              <w:rPr>
                <w:rFonts w:ascii="Arial" w:hAnsi="Arial" w:cs="Arial"/>
                <w:b/>
                <w:i/>
                <w:sz w:val="20"/>
                <w:szCs w:val="20"/>
              </w:rPr>
            </w:pPr>
            <w:r>
              <w:rPr>
                <w:rFonts w:ascii="Arial" w:hAnsi="Arial" w:cs="Arial"/>
                <w:b/>
                <w:i/>
                <w:sz w:val="20"/>
                <w:szCs w:val="20"/>
              </w:rPr>
              <w:t>Variable evaluada en</w:t>
            </w:r>
          </w:p>
          <w:p w:rsidR="0056194E" w:rsidRDefault="0056194E">
            <w:pPr>
              <w:jc w:val="both"/>
            </w:pPr>
            <w:r>
              <w:rPr>
                <w:rFonts w:ascii="Arial" w:hAnsi="Arial" w:cs="Arial"/>
                <w:b/>
                <w:i/>
                <w:sz w:val="20"/>
                <w:szCs w:val="20"/>
              </w:rPr>
              <w:t>el metaanálisis</w:t>
            </w:r>
          </w:p>
        </w:tc>
        <w:tc>
          <w:tcPr>
            <w:tcW w:w="1415" w:type="dxa"/>
            <w:tcBorders>
              <w:top w:val="single" w:sz="4" w:space="0" w:color="000000"/>
              <w:left w:val="single" w:sz="4" w:space="0" w:color="000000"/>
              <w:bottom w:val="single" w:sz="4" w:space="0" w:color="000000"/>
            </w:tcBorders>
          </w:tcPr>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Abiraterona + ADT</w:t>
            </w:r>
          </w:p>
          <w:p w:rsidR="0056194E" w:rsidRPr="006A311C" w:rsidRDefault="0056194E">
            <w:pPr>
              <w:tabs>
                <w:tab w:val="left" w:pos="1673"/>
              </w:tabs>
              <w:jc w:val="both"/>
              <w:rPr>
                <w:lang w:val="pt-BR"/>
              </w:rPr>
            </w:pPr>
            <w:r>
              <w:rPr>
                <w:rFonts w:ascii="Arial" w:hAnsi="Arial" w:cs="Arial"/>
                <w:b/>
                <w:i/>
                <w:sz w:val="20"/>
                <w:szCs w:val="20"/>
                <w:lang w:val="pt-BR"/>
              </w:rPr>
              <w:t>nº eventos/ nº pacientes</w:t>
            </w:r>
          </w:p>
        </w:tc>
        <w:tc>
          <w:tcPr>
            <w:tcW w:w="1240" w:type="dxa"/>
            <w:tcBorders>
              <w:top w:val="single" w:sz="4" w:space="0" w:color="000000"/>
              <w:left w:val="single" w:sz="4" w:space="0" w:color="000000"/>
              <w:bottom w:val="single" w:sz="4" w:space="0" w:color="000000"/>
            </w:tcBorders>
          </w:tcPr>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ADT</w:t>
            </w:r>
          </w:p>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nº eventos/</w:t>
            </w:r>
          </w:p>
          <w:p w:rsidR="0056194E" w:rsidRPr="006A311C" w:rsidRDefault="0056194E">
            <w:pPr>
              <w:tabs>
                <w:tab w:val="left" w:pos="1673"/>
              </w:tabs>
              <w:jc w:val="both"/>
              <w:rPr>
                <w:lang w:val="pt-BR"/>
              </w:rPr>
            </w:pPr>
            <w:r>
              <w:rPr>
                <w:rFonts w:ascii="Arial" w:hAnsi="Arial" w:cs="Arial"/>
                <w:b/>
                <w:i/>
                <w:sz w:val="20"/>
                <w:szCs w:val="20"/>
                <w:lang w:val="pt-BR"/>
              </w:rPr>
              <w:t>nº pacientes</w:t>
            </w:r>
          </w:p>
        </w:tc>
        <w:tc>
          <w:tcPr>
            <w:tcW w:w="1995" w:type="dxa"/>
            <w:tcBorders>
              <w:top w:val="single" w:sz="4" w:space="0" w:color="000000"/>
              <w:left w:val="single" w:sz="4" w:space="0" w:color="000000"/>
              <w:bottom w:val="single" w:sz="4" w:space="0" w:color="000000"/>
            </w:tcBorders>
          </w:tcPr>
          <w:p w:rsidR="0056194E" w:rsidRDefault="0056194E">
            <w:pPr>
              <w:tabs>
                <w:tab w:val="left" w:pos="1673"/>
              </w:tabs>
              <w:jc w:val="both"/>
            </w:pPr>
            <w:r>
              <w:rPr>
                <w:rFonts w:ascii="Arial" w:hAnsi="Arial" w:cs="Arial"/>
                <w:b/>
                <w:i/>
                <w:sz w:val="20"/>
                <w:szCs w:val="20"/>
                <w:lang w:val="en-GB"/>
              </w:rPr>
              <w:t>HR (IC 95%)</w:t>
            </w:r>
          </w:p>
        </w:tc>
        <w:tc>
          <w:tcPr>
            <w:tcW w:w="1625" w:type="dxa"/>
            <w:tcBorders>
              <w:top w:val="single" w:sz="4" w:space="0" w:color="000000"/>
              <w:left w:val="single" w:sz="4" w:space="0" w:color="000000"/>
              <w:bottom w:val="single" w:sz="4" w:space="0" w:color="000000"/>
              <w:right w:val="single" w:sz="4" w:space="0" w:color="000000"/>
            </w:tcBorders>
          </w:tcPr>
          <w:p w:rsidR="0056194E" w:rsidRDefault="0056194E">
            <w:pPr>
              <w:tabs>
                <w:tab w:val="left" w:pos="1673"/>
              </w:tabs>
              <w:jc w:val="both"/>
              <w:rPr>
                <w:rFonts w:ascii="Arial" w:hAnsi="Arial" w:cs="Arial"/>
                <w:b/>
                <w:i/>
                <w:sz w:val="20"/>
                <w:szCs w:val="20"/>
                <w:lang w:val="en-GB"/>
              </w:rPr>
            </w:pPr>
            <w:r>
              <w:rPr>
                <w:rFonts w:ascii="Arial" w:hAnsi="Arial" w:cs="Arial"/>
                <w:b/>
                <w:i/>
                <w:sz w:val="20"/>
                <w:szCs w:val="20"/>
                <w:lang w:val="en-GB"/>
              </w:rPr>
              <w:t>HR global (IC 95%)</w:t>
            </w:r>
          </w:p>
          <w:p w:rsidR="0056194E" w:rsidRDefault="0056194E">
            <w:pPr>
              <w:tabs>
                <w:tab w:val="left" w:pos="1673"/>
              </w:tabs>
              <w:jc w:val="both"/>
              <w:rPr>
                <w:rFonts w:ascii="Arial" w:hAnsi="Arial" w:cs="Arial"/>
                <w:b/>
                <w:i/>
                <w:sz w:val="20"/>
                <w:szCs w:val="20"/>
                <w:lang w:val="en-GB"/>
              </w:rPr>
            </w:pPr>
          </w:p>
          <w:p w:rsidR="0056194E" w:rsidRDefault="0056194E">
            <w:pPr>
              <w:tabs>
                <w:tab w:val="left" w:pos="1673"/>
              </w:tabs>
              <w:jc w:val="both"/>
            </w:pPr>
          </w:p>
        </w:tc>
      </w:tr>
      <w:tr w:rsidR="0056194E">
        <w:trPr>
          <w:trHeight w:val="1307"/>
        </w:trPr>
        <w:tc>
          <w:tcPr>
            <w:tcW w:w="2670"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b/>
                <w:i/>
                <w:sz w:val="20"/>
                <w:szCs w:val="20"/>
              </w:rPr>
            </w:pPr>
          </w:p>
          <w:p w:rsidR="0056194E" w:rsidRDefault="0056194E">
            <w:pPr>
              <w:snapToGrid w:val="0"/>
              <w:jc w:val="both"/>
              <w:rPr>
                <w:rFonts w:ascii="Arial" w:hAnsi="Arial" w:cs="Arial"/>
                <w:i/>
                <w:sz w:val="20"/>
                <w:szCs w:val="20"/>
              </w:rPr>
            </w:pPr>
            <w:r>
              <w:rPr>
                <w:rFonts w:ascii="Arial" w:hAnsi="Arial" w:cs="Arial"/>
                <w:i/>
                <w:sz w:val="20"/>
                <w:szCs w:val="20"/>
                <w:u w:val="single"/>
              </w:rPr>
              <w:t xml:space="preserve">Resultado principal </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sz w:val="20"/>
                <w:szCs w:val="20"/>
              </w:rPr>
            </w:pPr>
            <w:r>
              <w:rPr>
                <w:rFonts w:ascii="Arial" w:hAnsi="Arial" w:cs="Arial"/>
                <w:i/>
                <w:sz w:val="20"/>
                <w:szCs w:val="20"/>
              </w:rPr>
              <w:t>-Supervivencia global STAMPEDE</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-Supervivencia global LATITUDE</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-Supervivencia global meta análisis</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u w:val="single"/>
              </w:rPr>
              <w:t>Resultados secundarios de interés</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-Supervivencia libre de progresión (clínica/radiológica)</w:t>
            </w:r>
          </w:p>
          <w:p w:rsidR="0056194E" w:rsidRDefault="0056194E">
            <w:pPr>
              <w:snapToGrid w:val="0"/>
              <w:jc w:val="both"/>
              <w:rPr>
                <w:rFonts w:ascii="Arial" w:hAnsi="Arial" w:cs="Arial"/>
                <w:i/>
                <w:sz w:val="20"/>
                <w:szCs w:val="20"/>
              </w:rPr>
            </w:pPr>
            <w:r>
              <w:rPr>
                <w:rFonts w:ascii="Arial" w:hAnsi="Arial" w:cs="Arial"/>
                <w:i/>
                <w:sz w:val="20"/>
                <w:szCs w:val="20"/>
              </w:rPr>
              <w:t>STAMPEDE</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-Supervivencia libre de progresión (clínica/radiológica) LATITUDE</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pPr>
            <w:r>
              <w:rPr>
                <w:rFonts w:ascii="Arial" w:hAnsi="Arial" w:cs="Arial"/>
                <w:i/>
                <w:sz w:val="20"/>
                <w:szCs w:val="20"/>
              </w:rPr>
              <w:t>-Supervivencia libre de progresión (clínica/radiológica)meta análisis</w:t>
            </w:r>
          </w:p>
          <w:p w:rsidR="0056194E" w:rsidRDefault="0056194E">
            <w:pPr>
              <w:snapToGrid w:val="0"/>
              <w:jc w:val="both"/>
            </w:pPr>
          </w:p>
        </w:tc>
        <w:tc>
          <w:tcPr>
            <w:tcW w:w="1415" w:type="dxa"/>
            <w:tcBorders>
              <w:top w:val="single" w:sz="4" w:space="0" w:color="000000"/>
              <w:left w:val="single" w:sz="4" w:space="0" w:color="000000"/>
              <w:bottom w:val="single" w:sz="4" w:space="0" w:color="000000"/>
            </w:tcBorders>
          </w:tcPr>
          <w:p w:rsidR="0056194E" w:rsidRPr="006A311C" w:rsidRDefault="0056194E">
            <w:pPr>
              <w:snapToGrid w:val="0"/>
              <w:jc w:val="both"/>
              <w:rPr>
                <w:rFonts w:ascii="Arial" w:hAnsi="Arial" w:cs="Arial"/>
                <w:i/>
                <w:sz w:val="20"/>
                <w:szCs w:val="20"/>
              </w:rPr>
            </w:pPr>
          </w:p>
          <w:p w:rsidR="0056194E" w:rsidRPr="006A311C"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Pr="006A311C"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lang w:val="fr-FR"/>
              </w:rPr>
              <w:t>150/500</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169/597</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lang w:val="fr-FR"/>
              </w:rPr>
            </w:pPr>
            <w:r>
              <w:rPr>
                <w:rFonts w:ascii="Arial" w:hAnsi="Arial" w:cs="Arial"/>
                <w:i/>
                <w:sz w:val="20"/>
                <w:szCs w:val="20"/>
              </w:rPr>
              <w:t>319/1097</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173/500</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239/597</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pPr>
            <w:r>
              <w:rPr>
                <w:rFonts w:ascii="Arial" w:hAnsi="Arial" w:cs="Arial"/>
                <w:i/>
                <w:sz w:val="20"/>
                <w:szCs w:val="20"/>
              </w:rPr>
              <w:t>412/1097</w:t>
            </w:r>
          </w:p>
        </w:tc>
        <w:tc>
          <w:tcPr>
            <w:tcW w:w="1240"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218/502</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237/602</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lang w:val="fr-FR"/>
              </w:rPr>
            </w:pPr>
            <w:r>
              <w:rPr>
                <w:rFonts w:ascii="Arial" w:hAnsi="Arial" w:cs="Arial"/>
                <w:i/>
                <w:sz w:val="20"/>
                <w:szCs w:val="20"/>
              </w:rPr>
              <w:t>455/1104</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rPr>
            </w:pPr>
            <w:r>
              <w:rPr>
                <w:rFonts w:ascii="Arial" w:hAnsi="Arial" w:cs="Arial"/>
                <w:i/>
                <w:sz w:val="20"/>
                <w:szCs w:val="20"/>
              </w:rPr>
              <w:t>301/502</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354/602</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655/1104</w:t>
            </w:r>
          </w:p>
          <w:p w:rsidR="0056194E" w:rsidRDefault="0056194E">
            <w:pPr>
              <w:snapToGrid w:val="0"/>
              <w:jc w:val="both"/>
              <w:rPr>
                <w:rFonts w:ascii="Arial" w:hAnsi="Arial" w:cs="Arial"/>
                <w:i/>
                <w:sz w:val="20"/>
                <w:szCs w:val="20"/>
              </w:rPr>
            </w:pPr>
          </w:p>
          <w:p w:rsidR="0056194E" w:rsidRDefault="0056194E">
            <w:pPr>
              <w:snapToGrid w:val="0"/>
              <w:jc w:val="both"/>
            </w:pPr>
          </w:p>
        </w:tc>
        <w:tc>
          <w:tcPr>
            <w:tcW w:w="1995"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 xml:space="preserve">0,61 </w:t>
            </w:r>
          </w:p>
          <w:p w:rsidR="0056194E" w:rsidRDefault="0056194E">
            <w:pPr>
              <w:snapToGrid w:val="0"/>
              <w:jc w:val="both"/>
              <w:rPr>
                <w:rFonts w:ascii="Arial" w:hAnsi="Arial" w:cs="Arial"/>
                <w:i/>
                <w:sz w:val="20"/>
                <w:szCs w:val="20"/>
              </w:rPr>
            </w:pPr>
            <w:r>
              <w:rPr>
                <w:rFonts w:ascii="Arial" w:hAnsi="Arial" w:cs="Arial"/>
                <w:i/>
                <w:sz w:val="20"/>
                <w:szCs w:val="20"/>
              </w:rPr>
              <w:t>(0,49-0,75)</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 xml:space="preserve">0,62 </w:t>
            </w:r>
          </w:p>
          <w:p w:rsidR="0056194E" w:rsidRDefault="0056194E">
            <w:pPr>
              <w:snapToGrid w:val="0"/>
              <w:jc w:val="both"/>
              <w:rPr>
                <w:rFonts w:ascii="Arial" w:hAnsi="Arial" w:cs="Arial"/>
                <w:i/>
                <w:sz w:val="20"/>
                <w:szCs w:val="20"/>
              </w:rPr>
            </w:pPr>
            <w:r>
              <w:rPr>
                <w:rFonts w:ascii="Arial" w:hAnsi="Arial" w:cs="Arial"/>
                <w:i/>
                <w:sz w:val="20"/>
                <w:szCs w:val="20"/>
              </w:rPr>
              <w:t>(0,51-0,76)</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 xml:space="preserve">0,43 </w:t>
            </w:r>
          </w:p>
          <w:p w:rsidR="0056194E" w:rsidRDefault="0056194E">
            <w:pPr>
              <w:snapToGrid w:val="0"/>
              <w:jc w:val="both"/>
              <w:rPr>
                <w:rFonts w:ascii="Arial" w:hAnsi="Arial" w:cs="Arial"/>
                <w:i/>
                <w:sz w:val="20"/>
                <w:szCs w:val="20"/>
              </w:rPr>
            </w:pPr>
            <w:r>
              <w:rPr>
                <w:rFonts w:ascii="Arial" w:hAnsi="Arial" w:cs="Arial"/>
                <w:i/>
                <w:sz w:val="20"/>
                <w:szCs w:val="20"/>
              </w:rPr>
              <w:t>(0,36-0,52)</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 xml:space="preserve">0,47 </w:t>
            </w:r>
          </w:p>
          <w:p w:rsidR="0056194E" w:rsidRDefault="0056194E">
            <w:pPr>
              <w:snapToGrid w:val="0"/>
              <w:jc w:val="both"/>
              <w:rPr>
                <w:rFonts w:ascii="Arial" w:hAnsi="Arial" w:cs="Arial"/>
                <w:i/>
                <w:sz w:val="20"/>
                <w:szCs w:val="20"/>
              </w:rPr>
            </w:pPr>
            <w:r>
              <w:rPr>
                <w:rFonts w:ascii="Arial" w:hAnsi="Arial" w:cs="Arial"/>
                <w:i/>
                <w:sz w:val="20"/>
                <w:szCs w:val="20"/>
              </w:rPr>
              <w:t>(0,39-0,55)</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pPr>
          </w:p>
        </w:tc>
        <w:tc>
          <w:tcPr>
            <w:tcW w:w="1625" w:type="dxa"/>
            <w:tcBorders>
              <w:top w:val="single" w:sz="4" w:space="0" w:color="000000"/>
              <w:left w:val="single" w:sz="4" w:space="0" w:color="000000"/>
              <w:bottom w:val="single" w:sz="4" w:space="0" w:color="000000"/>
              <w:right w:val="single" w:sz="4" w:space="0" w:color="000000"/>
            </w:tcBorders>
          </w:tcPr>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lang w:val="fr-FR"/>
              </w:rPr>
            </w:pPr>
            <w:r>
              <w:rPr>
                <w:rFonts w:ascii="Arial" w:hAnsi="Arial" w:cs="Arial"/>
                <w:i/>
                <w:sz w:val="20"/>
                <w:szCs w:val="20"/>
              </w:rPr>
              <w:t>0,62 (0,53- 0,71)</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p>
          <w:p w:rsidR="0056194E" w:rsidRDefault="0056194E">
            <w:pPr>
              <w:snapToGrid w:val="0"/>
              <w:jc w:val="both"/>
            </w:pPr>
            <w:r>
              <w:rPr>
                <w:rFonts w:ascii="Arial" w:hAnsi="Arial" w:cs="Arial"/>
                <w:i/>
                <w:sz w:val="20"/>
                <w:szCs w:val="20"/>
              </w:rPr>
              <w:t>0,45 (0,40, 0,51)</w:t>
            </w:r>
          </w:p>
        </w:tc>
      </w:tr>
      <w:tr w:rsidR="0056194E">
        <w:trPr>
          <w:trHeight w:val="458"/>
        </w:trPr>
        <w:tc>
          <w:tcPr>
            <w:tcW w:w="8945" w:type="dxa"/>
            <w:gridSpan w:val="5"/>
            <w:tcBorders>
              <w:top w:val="single" w:sz="4" w:space="0" w:color="000000"/>
              <w:left w:val="single" w:sz="4" w:space="0" w:color="000000"/>
              <w:bottom w:val="single" w:sz="4" w:space="0" w:color="000000"/>
              <w:right w:val="single" w:sz="4" w:space="0" w:color="000000"/>
            </w:tcBorders>
            <w:vAlign w:val="center"/>
          </w:tcPr>
          <w:p w:rsidR="0056194E" w:rsidRDefault="0056194E" w:rsidP="00B77460">
            <w:pPr>
              <w:snapToGrid w:val="0"/>
              <w:jc w:val="both"/>
            </w:pPr>
            <w:r>
              <w:rPr>
                <w:rFonts w:ascii="Arial" w:hAnsi="Arial" w:cs="Arial"/>
                <w:i/>
                <w:sz w:val="18"/>
                <w:szCs w:val="18"/>
                <w:lang w:val="es-ES_tradnl"/>
              </w:rPr>
              <w:t xml:space="preserve">Se han revisado los distintos </w:t>
            </w:r>
            <w:r>
              <w:rPr>
                <w:rFonts w:ascii="Arial" w:hAnsi="Arial" w:cs="Arial"/>
                <w:b/>
                <w:bCs/>
                <w:i/>
                <w:sz w:val="18"/>
                <w:szCs w:val="18"/>
                <w:u w:val="single"/>
                <w:lang w:val="es-ES_tradnl"/>
              </w:rPr>
              <w:t>resultados por subgrupos</w:t>
            </w:r>
            <w:r>
              <w:rPr>
                <w:rFonts w:ascii="Arial" w:hAnsi="Arial" w:cs="Arial"/>
                <w:i/>
                <w:sz w:val="18"/>
                <w:szCs w:val="18"/>
                <w:lang w:val="es-ES_tradnl"/>
              </w:rPr>
              <w:t xml:space="preserve"> (edad, puntuación Gleason, ECOG y estadío nodular). Los que ofrecen resultados significativos, en este caso los subgrupos de edad,se exponen a continuación.</w:t>
            </w:r>
          </w:p>
        </w:tc>
      </w:tr>
    </w:tbl>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r>
        <w:rPr>
          <w:rFonts w:ascii="Arial" w:hAnsi="Arial" w:cs="Arial"/>
          <w:color w:val="000000"/>
          <w:sz w:val="20"/>
          <w:szCs w:val="20"/>
        </w:rPr>
        <w:t xml:space="preserve">Para la consistencia de los efectos del tratamiento entre los diferentes ensayos clínicos se usó la prueba de χ2 y el estadístico </w:t>
      </w:r>
      <w:r>
        <w:rPr>
          <w:rFonts w:ascii="Arial" w:hAnsi="Arial" w:cs="Arial"/>
          <w:bCs/>
          <w:color w:val="000000"/>
          <w:sz w:val="20"/>
          <w:szCs w:val="20"/>
        </w:rPr>
        <w:t>I</w:t>
      </w:r>
      <w:r>
        <w:rPr>
          <w:rFonts w:ascii="Arial" w:hAnsi="Arial" w:cs="Arial"/>
          <w:bCs/>
          <w:color w:val="000000"/>
          <w:sz w:val="20"/>
          <w:szCs w:val="20"/>
          <w:vertAlign w:val="superscript"/>
        </w:rPr>
        <w:t>2</w:t>
      </w:r>
      <w:r>
        <w:rPr>
          <w:rFonts w:ascii="Arial" w:hAnsi="Arial" w:cs="Arial"/>
          <w:color w:val="000000"/>
          <w:sz w:val="20"/>
          <w:szCs w:val="20"/>
        </w:rPr>
        <w:t>. Los resultados de los estudios fueron homogéneos con un I</w:t>
      </w:r>
      <w:r>
        <w:rPr>
          <w:rFonts w:ascii="Arial" w:hAnsi="Arial" w:cs="Arial"/>
          <w:color w:val="000000"/>
          <w:sz w:val="20"/>
          <w:szCs w:val="20"/>
          <w:vertAlign w:val="superscript"/>
        </w:rPr>
        <w:t>2</w:t>
      </w:r>
      <w:r>
        <w:rPr>
          <w:rFonts w:ascii="Arial" w:hAnsi="Arial" w:cs="Arial"/>
          <w:color w:val="000000"/>
          <w:sz w:val="20"/>
          <w:szCs w:val="20"/>
        </w:rPr>
        <w:t xml:space="preserve"> (heterogeneidad) de 0%. Se pre-especificó un análisis de subgrupos según la edad, ECOG, estadío nodular, puntuación Gleason, tipo de hormonoterapia (agonista/antagonista LHRH, orquiectomía), localización de las metástasis, y evolución de la enfermedad (nuevo diagnóstico ó recaída tras tratamiento local con intención curativa).</w:t>
      </w:r>
    </w:p>
    <w:p w:rsidR="0056194E" w:rsidRDefault="0056194E">
      <w:pPr>
        <w:jc w:val="both"/>
        <w:rPr>
          <w:rFonts w:ascii="Arial" w:hAnsi="Arial" w:cs="Arial"/>
          <w:color w:val="000000"/>
          <w:sz w:val="20"/>
          <w:szCs w:val="20"/>
        </w:rPr>
      </w:pPr>
    </w:p>
    <w:p w:rsidR="0056194E" w:rsidRDefault="0056194E">
      <w:pPr>
        <w:jc w:val="both"/>
        <w:rPr>
          <w:rFonts w:ascii="Arial" w:hAnsi="Arial" w:cs="Arial"/>
          <w:sz w:val="20"/>
          <w:szCs w:val="20"/>
        </w:rPr>
      </w:pPr>
      <w:r>
        <w:rPr>
          <w:rFonts w:ascii="Arial" w:hAnsi="Arial" w:cs="Arial"/>
          <w:color w:val="000000"/>
          <w:sz w:val="20"/>
          <w:szCs w:val="20"/>
        </w:rPr>
        <w:t xml:space="preserve">En este meta análisis se hacen dos análisis distintos por subgrupos de edad, dividiendo la población en 2 o 3 grupos etarios. Al dividirla en menores o mayores de 70 años, se observa peor resultado en los mayores de 70 años en el estudio STAMPEDE, y dudoso en el LATITUDE. El resultado combinado presenta interacción significativa desfavorable a los pacientes mayores de 70 años, en los que no se confirma beneficio significativo con la adición de abiraterona. Se hace otro análisis dividiendo la población en menores de 65 años, mayores de 75, y la edad intermedia. En el meta análisis, se observa interacción  significativa (p&lt;0,05) que muestra menor eficacia en pacientes con más de 65 años. La carencia de beneficio es más clara en los mayores de 75 años, en los que no aparece evidencia de eficacia. En pacientes de 65-75 años la diferencia de beneficio es más dudosa; los datos son compatibles con el beneficio, pero menor que en los menores de 65 años. </w:t>
      </w:r>
    </w:p>
    <w:p w:rsidR="0056194E" w:rsidRDefault="0056194E">
      <w:pPr>
        <w:jc w:val="both"/>
        <w:rPr>
          <w:rFonts w:ascii="Arial" w:hAnsi="Arial" w:cs="Arial"/>
          <w:sz w:val="20"/>
          <w:szCs w:val="20"/>
        </w:rPr>
      </w:pPr>
    </w:p>
    <w:p w:rsidR="0056194E" w:rsidRDefault="0056194E">
      <w:pPr>
        <w:jc w:val="both"/>
        <w:rPr>
          <w:rFonts w:ascii="Arial" w:hAnsi="Arial" w:cs="Arial"/>
          <w:color w:val="000000"/>
          <w:sz w:val="20"/>
          <w:szCs w:val="20"/>
        </w:rPr>
      </w:pPr>
      <w:r>
        <w:rPr>
          <w:rFonts w:ascii="Arial" w:hAnsi="Arial" w:cs="Arial"/>
          <w:color w:val="000000"/>
          <w:sz w:val="20"/>
          <w:szCs w:val="20"/>
        </w:rPr>
        <w:t>En la gráfica expuesta a continuación se muestran, a la izquierda, los resultados por subgrupos de cada estudio. A la derecha, la comparación del beneficio en SG en grupos de mayor edad vs. el resto, en cada estudio y en la combinación de los resultados de ambos estudios. Ambos análisis por subgrupos etarios (con 2 o 3 categorías) muestran una diferencia estadísticamente significativa, puesto que el resultado combinado no alcanza el valor neutro.</w:t>
      </w:r>
    </w:p>
    <w:p w:rsidR="0056194E" w:rsidRDefault="0056194E">
      <w:pPr>
        <w:jc w:val="both"/>
        <w:rPr>
          <w:rFonts w:ascii="Arial" w:hAnsi="Arial" w:cs="Arial"/>
          <w:color w:val="000000"/>
          <w:sz w:val="20"/>
          <w:szCs w:val="20"/>
        </w:rPr>
      </w:pPr>
    </w:p>
    <w:p w:rsidR="0056194E" w:rsidRDefault="0056194E">
      <w:pPr>
        <w:jc w:val="both"/>
        <w:rPr>
          <w:rFonts w:ascii="Arial" w:hAnsi="Arial" w:cs="Arial"/>
          <w:sz w:val="20"/>
          <w:szCs w:val="20"/>
        </w:rPr>
      </w:pPr>
      <w:r>
        <w:rPr>
          <w:rFonts w:ascii="Arial" w:hAnsi="Arial" w:cs="Arial"/>
          <w:color w:val="000000"/>
          <w:sz w:val="20"/>
          <w:szCs w:val="20"/>
        </w:rPr>
        <w:t>Siendo un análisis preespecificado, con interacción significativa, consistente, y con una plausibilidad biológica al menos no descartable, parece que estas diferencias podrían ser aplicables con cautela en la práctica clínica, especialmente si el tratamiento con abiraterona resultase muy tóxico o presentara un coste inaceptable, y en tanto no se disponga de datos para confirmar o desechar la diferencia encontrada. En general, parece que el beneficio es dudoso en pacientes con más de 75 años, en los que adelantar el uso de abiraterona podría no aportar beneficio en supervivencia. Los que tienen edad inferior parecen beneficiarse, con mayor eficacia para los menores de 70 años.</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tbl>
      <w:tblPr>
        <w:tblW w:w="10348" w:type="dxa"/>
        <w:tblInd w:w="-459" w:type="dxa"/>
        <w:tblLayout w:type="fixed"/>
        <w:tblLook w:val="0000"/>
      </w:tblPr>
      <w:tblGrid>
        <w:gridCol w:w="10348"/>
      </w:tblGrid>
      <w:tr w:rsidR="0056194E" w:rsidTr="00FC0B62">
        <w:trPr>
          <w:trHeight w:val="6233"/>
        </w:trPr>
        <w:tc>
          <w:tcPr>
            <w:tcW w:w="10348" w:type="dxa"/>
            <w:tcBorders>
              <w:top w:val="single" w:sz="4" w:space="0" w:color="000000"/>
              <w:left w:val="single" w:sz="4" w:space="0" w:color="000000"/>
              <w:bottom w:val="single" w:sz="4" w:space="0" w:color="000000"/>
              <w:right w:val="single" w:sz="4" w:space="0" w:color="000000"/>
            </w:tcBorders>
            <w:shd w:val="clear" w:color="auto" w:fill="CCFFCC"/>
          </w:tcPr>
          <w:p w:rsidR="0056194E" w:rsidRDefault="00F33243">
            <w:pPr>
              <w:snapToGrid w:val="0"/>
              <w:jc w:val="both"/>
            </w:pPr>
            <w:r>
              <w:rPr>
                <w:noProof/>
                <w:lang w:eastAsia="es-ES"/>
              </w:rPr>
              <w:pict>
                <v:shape id="Imagen 21" o:spid="_x0000_s1033" type="#_x0000_t75" style="position:absolute;left:0;text-align:left;margin-left:6.7pt;margin-top:46.4pt;width:507.1pt;height:261.25pt;z-index:251646464;visibility:visible;mso-wrap-distance-left:0;mso-wrap-distance-right:0" filled="t" stroked="t" strokeweight=".25pt">
                  <v:imagedata r:id="rId17" o:title="" croptop="-108f" cropbottom="-108f" cropleft="-66f" cropright="-66f"/>
                  <w10:wrap type="square" side="largest"/>
                </v:shape>
              </w:pict>
            </w:r>
            <w:r w:rsidR="0056194E">
              <w:rPr>
                <w:rFonts w:ascii="Arial" w:hAnsi="Arial" w:cs="Arial"/>
                <w:b/>
                <w:bCs/>
                <w:sz w:val="20"/>
                <w:szCs w:val="20"/>
              </w:rPr>
              <w:t>Gráfica obtenida del meta-análisis</w:t>
            </w:r>
            <w:r w:rsidR="00E331EC">
              <w:rPr>
                <w:rFonts w:ascii="Arial" w:hAnsi="Arial" w:cs="Arial"/>
                <w:b/>
                <w:bCs/>
                <w:sz w:val="20"/>
                <w:szCs w:val="20"/>
                <w:vertAlign w:val="superscript"/>
              </w:rPr>
              <w:t>20</w:t>
            </w:r>
            <w:r w:rsidR="0056194E">
              <w:rPr>
                <w:rFonts w:ascii="Arial" w:hAnsi="Arial" w:cs="Arial"/>
                <w:b/>
                <w:bCs/>
                <w:sz w:val="20"/>
                <w:szCs w:val="20"/>
              </w:rPr>
              <w:t xml:space="preserve"> que incluye los estudio LATITUDE y STAMPEDE. Efecto de añadir abiraterona a TDA en SG (arriba) y SSFT (debajo), estratificados por edad.</w:t>
            </w:r>
          </w:p>
        </w:tc>
      </w:tr>
    </w:tbl>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highlight w:val="yellow"/>
        </w:rPr>
      </w:pPr>
      <w:bookmarkStart w:id="25" w:name="_Toc536608341"/>
      <w:r>
        <w:rPr>
          <w:sz w:val="20"/>
        </w:rPr>
        <w:t>5.3.b Comparaciones indirectas (CCII)</w:t>
      </w:r>
      <w:bookmarkEnd w:id="25"/>
    </w:p>
    <w:p w:rsidR="0056194E" w:rsidRDefault="0056194E">
      <w:pPr>
        <w:jc w:val="both"/>
        <w:rPr>
          <w:rFonts w:ascii="Arial" w:hAnsi="Arial" w:cs="Arial"/>
          <w:b/>
          <w:bCs/>
          <w:sz w:val="20"/>
          <w:szCs w:val="20"/>
          <w:highlight w:val="yellow"/>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FF0000"/>
          <w:sz w:val="20"/>
        </w:rPr>
      </w:pPr>
      <w:bookmarkStart w:id="26" w:name="_Toc536608342"/>
      <w:r>
        <w:rPr>
          <w:sz w:val="20"/>
        </w:rPr>
        <w:t>5.3.b.1 Comparaciones Indirectas publicadas</w:t>
      </w:r>
      <w:bookmarkEnd w:id="26"/>
    </w:p>
    <w:p w:rsidR="0056194E" w:rsidRDefault="0056194E">
      <w:pPr>
        <w:jc w:val="both"/>
        <w:rPr>
          <w:rFonts w:ascii="Arial" w:hAnsi="Arial" w:cs="Arial"/>
          <w:b/>
          <w:bCs/>
          <w:color w:val="FF0000"/>
          <w:sz w:val="20"/>
          <w:szCs w:val="20"/>
        </w:rPr>
      </w:pPr>
    </w:p>
    <w:p w:rsidR="0056194E" w:rsidRDefault="00B64E1F">
      <w:pPr>
        <w:jc w:val="both"/>
        <w:rPr>
          <w:rFonts w:ascii="Arial" w:hAnsi="Arial" w:cs="Arial"/>
          <w:sz w:val="20"/>
          <w:szCs w:val="20"/>
        </w:rPr>
      </w:pPr>
      <w:r>
        <w:rPr>
          <w:rFonts w:ascii="Arial" w:hAnsi="Arial" w:cs="Arial"/>
          <w:sz w:val="20"/>
          <w:szCs w:val="20"/>
        </w:rPr>
        <w:t>En fecha 15/01/2019</w:t>
      </w:r>
      <w:r w:rsidR="0056194E">
        <w:rPr>
          <w:rFonts w:ascii="Arial" w:hAnsi="Arial" w:cs="Arial"/>
          <w:sz w:val="20"/>
          <w:szCs w:val="20"/>
        </w:rPr>
        <w:t xml:space="preserve"> se realizó búsqueda bibliográfica en Medline. Se dispone de </w:t>
      </w:r>
      <w:r w:rsidR="004D2E32">
        <w:rPr>
          <w:rFonts w:ascii="Arial" w:hAnsi="Arial" w:cs="Arial"/>
          <w:sz w:val="20"/>
          <w:szCs w:val="20"/>
        </w:rPr>
        <w:t>2</w:t>
      </w:r>
      <w:r w:rsidR="0056194E">
        <w:rPr>
          <w:rFonts w:ascii="Arial" w:hAnsi="Arial" w:cs="Arial"/>
          <w:sz w:val="20"/>
          <w:szCs w:val="20"/>
        </w:rPr>
        <w:t xml:space="preserve"> network metanálisis y de una comparación directa </w:t>
      </w:r>
      <w:r w:rsidR="0056194E" w:rsidRPr="00167E89">
        <w:rPr>
          <w:rFonts w:ascii="Arial" w:hAnsi="Arial" w:cs="Arial"/>
          <w:i/>
          <w:sz w:val="20"/>
          <w:szCs w:val="20"/>
        </w:rPr>
        <w:t>post hoc</w:t>
      </w:r>
      <w:r w:rsidR="0056194E">
        <w:rPr>
          <w:rFonts w:ascii="Arial" w:hAnsi="Arial" w:cs="Arial"/>
          <w:sz w:val="20"/>
          <w:szCs w:val="20"/>
        </w:rPr>
        <w:t>.</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tbl>
      <w:tblPr>
        <w:tblW w:w="0" w:type="auto"/>
        <w:tblInd w:w="-41" w:type="dxa"/>
        <w:tblLayout w:type="fixed"/>
        <w:tblCellMar>
          <w:left w:w="70" w:type="dxa"/>
          <w:right w:w="70" w:type="dxa"/>
        </w:tblCellMar>
        <w:tblLook w:val="0000"/>
      </w:tblPr>
      <w:tblGrid>
        <w:gridCol w:w="1695"/>
        <w:gridCol w:w="1620"/>
        <w:gridCol w:w="1740"/>
        <w:gridCol w:w="3900"/>
      </w:tblGrid>
      <w:tr w:rsidR="0056194E" w:rsidRPr="00683AE2">
        <w:trPr>
          <w:cantSplit/>
        </w:trPr>
        <w:tc>
          <w:tcPr>
            <w:tcW w:w="8955"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Pr="008774CB" w:rsidRDefault="0056194E">
            <w:pPr>
              <w:pStyle w:val="Textoindependiente"/>
              <w:jc w:val="both"/>
              <w:rPr>
                <w:rFonts w:ascii="Arial" w:hAnsi="Arial" w:cs="Arial"/>
                <w:b/>
                <w:bCs/>
                <w:color w:val="000000"/>
                <w:sz w:val="18"/>
                <w:szCs w:val="18"/>
                <w:lang w:val="en-US"/>
              </w:rPr>
            </w:pPr>
            <w:r w:rsidRPr="008774CB">
              <w:rPr>
                <w:rFonts w:ascii="Arial" w:hAnsi="Arial" w:cs="Arial"/>
                <w:b/>
                <w:bCs/>
                <w:sz w:val="18"/>
                <w:szCs w:val="18"/>
                <w:lang w:val="en-US"/>
              </w:rPr>
              <w:t xml:space="preserve">RESULTADOS DE LA COMPARACION INDIRECTA PUBLICADA: </w:t>
            </w:r>
            <w:r>
              <w:rPr>
                <w:rFonts w:ascii="Arial" w:hAnsi="Arial" w:cs="Arial"/>
                <w:b/>
                <w:bCs/>
                <w:sz w:val="18"/>
                <w:szCs w:val="18"/>
                <w:vertAlign w:val="superscript"/>
                <w:lang w:val="en-US"/>
              </w:rPr>
              <w:t>2</w:t>
            </w:r>
            <w:r w:rsidR="008503B4">
              <w:rPr>
                <w:rFonts w:ascii="Arial" w:hAnsi="Arial" w:cs="Arial"/>
                <w:b/>
                <w:bCs/>
                <w:sz w:val="18"/>
                <w:szCs w:val="18"/>
                <w:vertAlign w:val="superscript"/>
                <w:lang w:val="en-US"/>
              </w:rPr>
              <w:t>1</w:t>
            </w:r>
            <w:r w:rsidRPr="008774CB">
              <w:rPr>
                <w:rFonts w:ascii="Arial" w:hAnsi="Arial" w:cs="Arial"/>
                <w:b/>
                <w:bCs/>
                <w:sz w:val="18"/>
                <w:szCs w:val="18"/>
                <w:lang w:val="en-US"/>
              </w:rPr>
              <w:t>Comparison of Abiraterone Acetate and Docetaxel with Androgen Deprivation Therapy in High-risk and Metastatic Hormone-naïve Prostate Cancer: A Systematic Review and Network Meta-analysis.</w:t>
            </w:r>
          </w:p>
          <w:p w:rsidR="0056194E" w:rsidRPr="008774CB" w:rsidRDefault="0056194E">
            <w:pPr>
              <w:pStyle w:val="Textoindependiente"/>
              <w:jc w:val="both"/>
              <w:rPr>
                <w:lang w:val="en-US"/>
              </w:rPr>
            </w:pPr>
            <w:r w:rsidRPr="008774CB">
              <w:rPr>
                <w:rFonts w:ascii="Arial" w:hAnsi="Arial" w:cs="Arial"/>
                <w:b/>
                <w:bCs/>
                <w:color w:val="000000"/>
                <w:sz w:val="18"/>
                <w:szCs w:val="18"/>
                <w:lang w:val="en-US"/>
              </w:rPr>
              <w:t xml:space="preserve">Referencia: </w:t>
            </w:r>
            <w:r w:rsidRPr="008774CB">
              <w:rPr>
                <w:rFonts w:ascii="Arial" w:hAnsi="Arial" w:cs="Arial"/>
                <w:bCs/>
                <w:sz w:val="18"/>
                <w:szCs w:val="18"/>
                <w:lang w:val="en-US"/>
              </w:rPr>
              <w:t>Wallis CJD, Klaassen Z, Bhindi B, Goldberg H, Chandrasekar T, Farrell AM, et al.</w:t>
            </w:r>
          </w:p>
        </w:tc>
      </w:tr>
      <w:tr w:rsidR="0056194E">
        <w:trPr>
          <w:cantSplit/>
          <w:trHeight w:val="923"/>
        </w:trPr>
        <w:tc>
          <w:tcPr>
            <w:tcW w:w="1695" w:type="dxa"/>
            <w:tcBorders>
              <w:top w:val="single" w:sz="4" w:space="0" w:color="000000"/>
              <w:left w:val="single" w:sz="4" w:space="0" w:color="000000"/>
              <w:bottom w:val="single" w:sz="4" w:space="0" w:color="000000"/>
            </w:tcBorders>
            <w:shd w:val="clear" w:color="auto" w:fill="E0E0E0"/>
          </w:tcPr>
          <w:p w:rsidR="0056194E" w:rsidRPr="00577AB2" w:rsidRDefault="0056194E">
            <w:pPr>
              <w:pStyle w:val="Textoindependiente"/>
              <w:jc w:val="center"/>
              <w:rPr>
                <w:rFonts w:ascii="Arial" w:hAnsi="Arial" w:cs="Arial"/>
                <w:b/>
                <w:bCs/>
                <w:sz w:val="18"/>
                <w:szCs w:val="18"/>
                <w:lang w:val="en-GB"/>
              </w:rPr>
            </w:pPr>
          </w:p>
          <w:p w:rsidR="0056194E" w:rsidRDefault="0056194E">
            <w:pPr>
              <w:pStyle w:val="Textoindependiente"/>
              <w:jc w:val="center"/>
            </w:pPr>
            <w:r>
              <w:rPr>
                <w:rFonts w:ascii="Arial" w:hAnsi="Arial" w:cs="Arial"/>
                <w:b/>
                <w:bCs/>
                <w:sz w:val="18"/>
                <w:szCs w:val="18"/>
              </w:rPr>
              <w:t>Variable principal estudiada</w:t>
            </w:r>
          </w:p>
        </w:tc>
        <w:tc>
          <w:tcPr>
            <w:tcW w:w="1620" w:type="dxa"/>
            <w:tcBorders>
              <w:top w:val="single" w:sz="4" w:space="0" w:color="000000"/>
              <w:left w:val="single" w:sz="4" w:space="0" w:color="000000"/>
              <w:bottom w:val="single" w:sz="4" w:space="0" w:color="000000"/>
            </w:tcBorders>
            <w:shd w:val="clear" w:color="auto" w:fill="E0E0E0"/>
          </w:tcPr>
          <w:p w:rsidR="0056194E" w:rsidRDefault="0056194E">
            <w:pPr>
              <w:pStyle w:val="Textoindependiente"/>
              <w:jc w:val="center"/>
              <w:rPr>
                <w:rFonts w:ascii="Arial" w:hAnsi="Arial" w:cs="Arial"/>
                <w:b/>
                <w:bCs/>
                <w:sz w:val="18"/>
                <w:szCs w:val="18"/>
              </w:rPr>
            </w:pPr>
          </w:p>
          <w:p w:rsidR="0056194E" w:rsidRDefault="0056194E">
            <w:pPr>
              <w:pStyle w:val="Textoindependiente"/>
              <w:jc w:val="center"/>
              <w:rPr>
                <w:rFonts w:ascii="Arial" w:hAnsi="Arial" w:cs="Arial"/>
                <w:sz w:val="18"/>
                <w:szCs w:val="18"/>
              </w:rPr>
            </w:pPr>
            <w:r>
              <w:rPr>
                <w:rFonts w:ascii="Arial" w:hAnsi="Arial" w:cs="Arial"/>
                <w:b/>
                <w:bCs/>
                <w:sz w:val="18"/>
                <w:szCs w:val="18"/>
              </w:rPr>
              <w:t xml:space="preserve">Docetaxel+TDA / TDA  </w:t>
            </w:r>
          </w:p>
          <w:p w:rsidR="0056194E" w:rsidRDefault="0056194E">
            <w:pPr>
              <w:pStyle w:val="Textoindependiente"/>
              <w:jc w:val="both"/>
              <w:rPr>
                <w:rFonts w:ascii="Arial" w:hAnsi="Arial" w:cs="Arial"/>
                <w:sz w:val="18"/>
                <w:szCs w:val="18"/>
              </w:rPr>
            </w:pPr>
          </w:p>
          <w:p w:rsidR="0056194E" w:rsidRDefault="0056194E">
            <w:pPr>
              <w:pStyle w:val="Textoindependiente"/>
              <w:jc w:val="both"/>
            </w:pPr>
            <w:r>
              <w:rPr>
                <w:rFonts w:ascii="Arial" w:hAnsi="Arial" w:cs="Arial"/>
                <w:b/>
                <w:bCs/>
                <w:sz w:val="18"/>
                <w:szCs w:val="18"/>
              </w:rPr>
              <w:t>(HR IC 95%)</w:t>
            </w:r>
          </w:p>
        </w:tc>
        <w:tc>
          <w:tcPr>
            <w:tcW w:w="1740" w:type="dxa"/>
            <w:tcBorders>
              <w:top w:val="single" w:sz="4" w:space="0" w:color="000000"/>
              <w:left w:val="single" w:sz="4" w:space="0" w:color="000000"/>
              <w:bottom w:val="single" w:sz="4" w:space="0" w:color="000000"/>
            </w:tcBorders>
            <w:shd w:val="clear" w:color="auto" w:fill="E0E0E0"/>
          </w:tcPr>
          <w:p w:rsidR="0056194E" w:rsidRDefault="0056194E">
            <w:pPr>
              <w:pStyle w:val="Textoindependiente"/>
              <w:jc w:val="center"/>
              <w:rPr>
                <w:rFonts w:ascii="Arial" w:hAnsi="Arial" w:cs="Arial"/>
                <w:b/>
                <w:bCs/>
                <w:sz w:val="18"/>
                <w:szCs w:val="18"/>
                <w:lang w:val="it-IT"/>
              </w:rPr>
            </w:pPr>
          </w:p>
          <w:p w:rsidR="0056194E" w:rsidRPr="006A311C" w:rsidRDefault="0056194E">
            <w:pPr>
              <w:pStyle w:val="Textoindependiente"/>
              <w:jc w:val="center"/>
              <w:rPr>
                <w:rFonts w:ascii="Arial" w:hAnsi="Arial" w:cs="Arial"/>
                <w:sz w:val="18"/>
                <w:szCs w:val="18"/>
                <w:lang w:val="it-IT"/>
              </w:rPr>
            </w:pPr>
            <w:r w:rsidRPr="006A311C">
              <w:rPr>
                <w:rFonts w:ascii="Arial" w:hAnsi="Arial" w:cs="Arial"/>
                <w:b/>
                <w:bCs/>
                <w:sz w:val="18"/>
                <w:szCs w:val="18"/>
                <w:lang w:val="it-IT"/>
              </w:rPr>
              <w:t xml:space="preserve">Abiraterona+TDA / TDA </w:t>
            </w:r>
          </w:p>
          <w:p w:rsidR="0056194E" w:rsidRPr="006A311C" w:rsidRDefault="0056194E">
            <w:pPr>
              <w:pStyle w:val="Textoindependiente"/>
              <w:jc w:val="center"/>
              <w:rPr>
                <w:rFonts w:ascii="Arial" w:hAnsi="Arial" w:cs="Arial"/>
                <w:sz w:val="18"/>
                <w:szCs w:val="18"/>
                <w:lang w:val="it-IT"/>
              </w:rPr>
            </w:pPr>
          </w:p>
          <w:p w:rsidR="0056194E" w:rsidRPr="006A311C" w:rsidRDefault="0056194E">
            <w:pPr>
              <w:pStyle w:val="Textoindependiente"/>
              <w:jc w:val="center"/>
              <w:rPr>
                <w:lang w:val="it-IT"/>
              </w:rPr>
            </w:pPr>
            <w:r w:rsidRPr="006A311C">
              <w:rPr>
                <w:rFonts w:ascii="Arial" w:hAnsi="Arial" w:cs="Arial"/>
                <w:b/>
                <w:bCs/>
                <w:sz w:val="18"/>
                <w:szCs w:val="18"/>
                <w:lang w:val="it-IT"/>
              </w:rPr>
              <w:t>(HR IC 95%)</w:t>
            </w:r>
          </w:p>
        </w:tc>
        <w:tc>
          <w:tcPr>
            <w:tcW w:w="3900" w:type="dxa"/>
            <w:tcBorders>
              <w:top w:val="single" w:sz="4" w:space="0" w:color="000000"/>
              <w:left w:val="single" w:sz="4" w:space="0" w:color="000000"/>
              <w:bottom w:val="single" w:sz="4" w:space="0" w:color="000000"/>
              <w:right w:val="single" w:sz="4" w:space="0" w:color="000000"/>
            </w:tcBorders>
            <w:shd w:val="clear" w:color="auto" w:fill="E0E0E0"/>
          </w:tcPr>
          <w:p w:rsidR="0056194E" w:rsidRDefault="0056194E">
            <w:pPr>
              <w:pStyle w:val="Textoindependiente"/>
              <w:jc w:val="center"/>
              <w:rPr>
                <w:rFonts w:ascii="Arial" w:hAnsi="Arial" w:cs="Arial"/>
                <w:b/>
                <w:bCs/>
                <w:sz w:val="18"/>
                <w:szCs w:val="18"/>
              </w:rPr>
            </w:pPr>
          </w:p>
          <w:p w:rsidR="0056194E" w:rsidRDefault="0056194E">
            <w:pPr>
              <w:pStyle w:val="Textoindependiente"/>
              <w:jc w:val="center"/>
              <w:rPr>
                <w:rFonts w:ascii="Arial" w:hAnsi="Arial" w:cs="Arial"/>
                <w:b/>
                <w:bCs/>
                <w:sz w:val="18"/>
                <w:szCs w:val="18"/>
              </w:rPr>
            </w:pPr>
            <w:r>
              <w:rPr>
                <w:rFonts w:ascii="Arial" w:hAnsi="Arial" w:cs="Arial"/>
                <w:b/>
                <w:bCs/>
                <w:sz w:val="18"/>
                <w:szCs w:val="18"/>
              </w:rPr>
              <w:t>COMPARACIÓN INDIRECTA Abiraterona/Docetaxel</w:t>
            </w:r>
          </w:p>
          <w:p w:rsidR="0056194E" w:rsidRDefault="0056194E">
            <w:pPr>
              <w:pStyle w:val="Textoindependiente"/>
              <w:jc w:val="center"/>
              <w:rPr>
                <w:rFonts w:ascii="Arial" w:hAnsi="Arial" w:cs="Arial"/>
                <w:b/>
                <w:bCs/>
                <w:sz w:val="18"/>
                <w:szCs w:val="18"/>
              </w:rPr>
            </w:pPr>
          </w:p>
          <w:p w:rsidR="0056194E" w:rsidRDefault="0056194E">
            <w:pPr>
              <w:pStyle w:val="Textoindependiente"/>
              <w:jc w:val="center"/>
              <w:rPr>
                <w:rFonts w:ascii="Arial" w:hAnsi="Arial" w:cs="Arial"/>
                <w:sz w:val="18"/>
                <w:szCs w:val="18"/>
              </w:rPr>
            </w:pPr>
            <w:r>
              <w:rPr>
                <w:rFonts w:ascii="Arial" w:hAnsi="Arial" w:cs="Arial"/>
                <w:b/>
                <w:bCs/>
                <w:sz w:val="18"/>
                <w:szCs w:val="18"/>
              </w:rPr>
              <w:t>(HR IC 95%)</w:t>
            </w:r>
          </w:p>
          <w:p w:rsidR="0056194E" w:rsidRDefault="0056194E">
            <w:pPr>
              <w:pStyle w:val="Textoindependiente"/>
              <w:snapToGrid w:val="0"/>
              <w:jc w:val="center"/>
              <w:rPr>
                <w:rFonts w:ascii="Arial" w:hAnsi="Arial" w:cs="Arial"/>
                <w:sz w:val="18"/>
                <w:szCs w:val="18"/>
              </w:rPr>
            </w:pPr>
          </w:p>
          <w:p w:rsidR="0056194E" w:rsidRDefault="0056194E">
            <w:pPr>
              <w:pStyle w:val="Textoindependiente"/>
              <w:jc w:val="center"/>
            </w:pPr>
          </w:p>
        </w:tc>
      </w:tr>
      <w:tr w:rsidR="0056194E">
        <w:trPr>
          <w:cantSplit/>
          <w:trHeight w:val="218"/>
        </w:trPr>
        <w:tc>
          <w:tcPr>
            <w:tcW w:w="1695" w:type="dxa"/>
            <w:tcBorders>
              <w:top w:val="single" w:sz="4" w:space="0" w:color="000000"/>
              <w:left w:val="single" w:sz="4" w:space="0" w:color="000000"/>
              <w:bottom w:val="single" w:sz="4" w:space="0" w:color="000000"/>
            </w:tcBorders>
          </w:tcPr>
          <w:p w:rsidR="0056194E" w:rsidRDefault="0056194E">
            <w:pPr>
              <w:pStyle w:val="Textoindependiente"/>
              <w:snapToGrid w:val="0"/>
              <w:jc w:val="both"/>
              <w:rPr>
                <w:rFonts w:ascii="Arial" w:hAnsi="Arial" w:cs="Arial"/>
                <w:sz w:val="16"/>
                <w:szCs w:val="16"/>
              </w:rPr>
            </w:pPr>
          </w:p>
          <w:p w:rsidR="0056194E" w:rsidRDefault="0056194E">
            <w:pPr>
              <w:pStyle w:val="Textoindependiente"/>
              <w:snapToGrid w:val="0"/>
              <w:jc w:val="both"/>
            </w:pPr>
            <w:r>
              <w:rPr>
                <w:rFonts w:ascii="Arial" w:hAnsi="Arial" w:cs="Arial"/>
                <w:sz w:val="16"/>
                <w:szCs w:val="16"/>
                <w:lang w:val="en-US"/>
              </w:rPr>
              <w:t>Supervivencia global</w:t>
            </w:r>
          </w:p>
          <w:p w:rsidR="0056194E" w:rsidRDefault="0056194E">
            <w:pPr>
              <w:pStyle w:val="Textoindependiente"/>
              <w:snapToGrid w:val="0"/>
              <w:jc w:val="both"/>
            </w:pPr>
          </w:p>
        </w:tc>
        <w:tc>
          <w:tcPr>
            <w:tcW w:w="1620" w:type="dxa"/>
            <w:tcBorders>
              <w:top w:val="single" w:sz="4" w:space="0" w:color="000000"/>
              <w:left w:val="single" w:sz="4" w:space="0" w:color="000000"/>
              <w:bottom w:val="single" w:sz="4" w:space="0" w:color="000000"/>
            </w:tcBorders>
          </w:tcPr>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jc w:val="both"/>
            </w:pPr>
            <w:r>
              <w:rPr>
                <w:rFonts w:ascii="Arial" w:hAnsi="Arial" w:cs="Arial"/>
                <w:sz w:val="16"/>
                <w:szCs w:val="16"/>
                <w:lang w:val="en-US"/>
              </w:rPr>
              <w:t>0,75 (0,63-0,91)</w:t>
            </w:r>
          </w:p>
        </w:tc>
        <w:tc>
          <w:tcPr>
            <w:tcW w:w="1740" w:type="dxa"/>
            <w:tcBorders>
              <w:top w:val="single" w:sz="4" w:space="0" w:color="000000"/>
              <w:left w:val="single" w:sz="4" w:space="0" w:color="000000"/>
              <w:bottom w:val="single" w:sz="4" w:space="0" w:color="000000"/>
            </w:tcBorders>
          </w:tcPr>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pPr>
            <w:r>
              <w:rPr>
                <w:rFonts w:ascii="Arial" w:hAnsi="Arial" w:cs="Arial"/>
                <w:sz w:val="16"/>
                <w:szCs w:val="16"/>
                <w:lang w:val="en-US"/>
              </w:rPr>
              <w:t>0,63 (0,55-0,72)</w:t>
            </w:r>
          </w:p>
        </w:tc>
        <w:tc>
          <w:tcPr>
            <w:tcW w:w="3900" w:type="dxa"/>
            <w:tcBorders>
              <w:top w:val="single" w:sz="4" w:space="0" w:color="000000"/>
              <w:left w:val="single" w:sz="4" w:space="0" w:color="000000"/>
              <w:bottom w:val="single" w:sz="4" w:space="0" w:color="000000"/>
              <w:right w:val="single" w:sz="4" w:space="0" w:color="000000"/>
            </w:tcBorders>
          </w:tcPr>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pPr>
            <w:r>
              <w:rPr>
                <w:rFonts w:ascii="Arial" w:hAnsi="Arial" w:cs="Arial"/>
                <w:sz w:val="16"/>
                <w:szCs w:val="16"/>
                <w:lang w:val="en-US"/>
              </w:rPr>
              <w:t>0,84 (0,67-1,06)</w:t>
            </w:r>
          </w:p>
        </w:tc>
      </w:tr>
      <w:tr w:rsidR="0056194E">
        <w:trPr>
          <w:cantSplit/>
        </w:trPr>
        <w:tc>
          <w:tcPr>
            <w:tcW w:w="8955" w:type="dxa"/>
            <w:gridSpan w:val="4"/>
            <w:tcBorders>
              <w:top w:val="single" w:sz="4" w:space="0" w:color="000000"/>
              <w:left w:val="single" w:sz="4" w:space="0" w:color="000000"/>
              <w:bottom w:val="single" w:sz="4" w:space="0" w:color="000000"/>
              <w:right w:val="single" w:sz="4" w:space="0" w:color="000000"/>
            </w:tcBorders>
            <w:shd w:val="clear" w:color="auto" w:fill="E0E0E0"/>
          </w:tcPr>
          <w:p w:rsidR="0056194E" w:rsidRDefault="0056194E">
            <w:pPr>
              <w:pStyle w:val="Textoindependiente"/>
              <w:snapToGrid w:val="0"/>
              <w:jc w:val="both"/>
            </w:pPr>
            <w:r>
              <w:rPr>
                <w:rFonts w:ascii="Arial" w:hAnsi="Arial" w:cs="Arial"/>
                <w:b/>
                <w:sz w:val="20"/>
                <w:lang w:val="en-US"/>
              </w:rPr>
              <w:t>Resultados por subgrupos</w:t>
            </w:r>
          </w:p>
        </w:tc>
      </w:tr>
      <w:tr w:rsidR="0056194E">
        <w:trPr>
          <w:cantSplit/>
        </w:trPr>
        <w:tc>
          <w:tcPr>
            <w:tcW w:w="1695" w:type="dxa"/>
            <w:tcBorders>
              <w:top w:val="single" w:sz="4" w:space="0" w:color="000000"/>
              <w:left w:val="single" w:sz="4" w:space="0" w:color="000000"/>
              <w:bottom w:val="single" w:sz="4" w:space="0" w:color="000000"/>
            </w:tcBorders>
          </w:tcPr>
          <w:p w:rsidR="0056194E" w:rsidRDefault="0056194E">
            <w:pPr>
              <w:pStyle w:val="Textoindependiente"/>
              <w:snapToGrid w:val="0"/>
              <w:jc w:val="both"/>
              <w:rPr>
                <w:rFonts w:ascii="Arial" w:hAnsi="Arial" w:cs="Arial"/>
                <w:b/>
                <w:sz w:val="16"/>
                <w:szCs w:val="16"/>
              </w:rPr>
            </w:pPr>
          </w:p>
          <w:p w:rsidR="0056194E" w:rsidRDefault="0056194E">
            <w:pPr>
              <w:pStyle w:val="Textoindependiente"/>
              <w:snapToGrid w:val="0"/>
              <w:jc w:val="both"/>
              <w:rPr>
                <w:rFonts w:ascii="Arial" w:hAnsi="Arial" w:cs="Arial"/>
                <w:sz w:val="16"/>
                <w:szCs w:val="16"/>
              </w:rPr>
            </w:pPr>
            <w:r>
              <w:rPr>
                <w:rFonts w:ascii="Arial" w:hAnsi="Arial" w:cs="Arial"/>
                <w:sz w:val="16"/>
                <w:szCs w:val="16"/>
              </w:rPr>
              <w:t>SG en pacientes jóvenes</w:t>
            </w:r>
          </w:p>
          <w:p w:rsidR="0056194E" w:rsidRDefault="0056194E">
            <w:pPr>
              <w:pStyle w:val="Textoindependiente"/>
              <w:snapToGrid w:val="0"/>
              <w:jc w:val="both"/>
              <w:rPr>
                <w:rFonts w:ascii="Arial" w:hAnsi="Arial" w:cs="Arial"/>
                <w:sz w:val="16"/>
                <w:szCs w:val="16"/>
              </w:rPr>
            </w:pPr>
          </w:p>
          <w:p w:rsidR="0056194E" w:rsidRDefault="0056194E">
            <w:pPr>
              <w:pStyle w:val="Textoindependiente"/>
              <w:snapToGrid w:val="0"/>
              <w:jc w:val="both"/>
            </w:pPr>
            <w:r>
              <w:rPr>
                <w:rFonts w:ascii="Arial" w:hAnsi="Arial" w:cs="Arial"/>
                <w:sz w:val="16"/>
                <w:szCs w:val="16"/>
              </w:rPr>
              <w:t>SG en pacientes mayores</w:t>
            </w:r>
          </w:p>
          <w:p w:rsidR="0056194E" w:rsidRDefault="0056194E">
            <w:pPr>
              <w:pStyle w:val="Textoindependiente"/>
              <w:snapToGrid w:val="0"/>
              <w:jc w:val="both"/>
            </w:pPr>
          </w:p>
        </w:tc>
        <w:tc>
          <w:tcPr>
            <w:tcW w:w="1620" w:type="dxa"/>
            <w:tcBorders>
              <w:top w:val="single" w:sz="4" w:space="0" w:color="000000"/>
              <w:left w:val="single" w:sz="4" w:space="0" w:color="000000"/>
              <w:bottom w:val="single" w:sz="4" w:space="0" w:color="000000"/>
            </w:tcBorders>
          </w:tcPr>
          <w:p w:rsidR="0056194E" w:rsidRDefault="0056194E">
            <w:pPr>
              <w:pStyle w:val="Textoindependiente"/>
              <w:snapToGrid w:val="0"/>
              <w:jc w:val="both"/>
              <w:rPr>
                <w:rFonts w:ascii="Arial" w:hAnsi="Arial" w:cs="Arial"/>
                <w:sz w:val="16"/>
                <w:szCs w:val="16"/>
              </w:rPr>
            </w:pPr>
          </w:p>
          <w:p w:rsidR="0056194E" w:rsidRDefault="0056194E">
            <w:pPr>
              <w:pStyle w:val="Textoindependiente"/>
              <w:snapToGrid w:val="0"/>
              <w:jc w:val="both"/>
              <w:rPr>
                <w:rFonts w:ascii="Arial" w:hAnsi="Arial" w:cs="Arial"/>
                <w:sz w:val="16"/>
                <w:szCs w:val="16"/>
              </w:rPr>
            </w:pPr>
          </w:p>
          <w:p w:rsidR="0056194E" w:rsidRDefault="0056194E">
            <w:pPr>
              <w:pStyle w:val="Textoindependiente"/>
              <w:snapToGrid w:val="0"/>
              <w:jc w:val="both"/>
              <w:rPr>
                <w:rFonts w:ascii="Arial" w:hAnsi="Arial" w:cs="Arial"/>
                <w:sz w:val="16"/>
                <w:szCs w:val="16"/>
                <w:lang w:val="en-US"/>
              </w:rPr>
            </w:pPr>
            <w:r>
              <w:rPr>
                <w:rFonts w:ascii="Arial" w:hAnsi="Arial" w:cs="Arial"/>
                <w:sz w:val="16"/>
                <w:szCs w:val="16"/>
                <w:lang w:val="en-US"/>
              </w:rPr>
              <w:t>0,71 (0,60-0,85)</w:t>
            </w: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pPr>
            <w:r>
              <w:rPr>
                <w:rFonts w:ascii="Arial" w:hAnsi="Arial" w:cs="Arial"/>
                <w:sz w:val="16"/>
                <w:szCs w:val="16"/>
                <w:lang w:val="en-US"/>
              </w:rPr>
              <w:t>0,65 (0,32-1,33)</w:t>
            </w:r>
          </w:p>
        </w:tc>
        <w:tc>
          <w:tcPr>
            <w:tcW w:w="1740" w:type="dxa"/>
            <w:tcBorders>
              <w:top w:val="single" w:sz="4" w:space="0" w:color="000000"/>
              <w:left w:val="single" w:sz="4" w:space="0" w:color="000000"/>
              <w:bottom w:val="single" w:sz="4" w:space="0" w:color="000000"/>
            </w:tcBorders>
          </w:tcPr>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rPr>
                <w:rFonts w:ascii="Arial" w:hAnsi="Arial" w:cs="Arial"/>
                <w:sz w:val="16"/>
                <w:szCs w:val="16"/>
                <w:lang w:val="en-US"/>
              </w:rPr>
            </w:pPr>
            <w:r>
              <w:rPr>
                <w:rFonts w:ascii="Arial" w:hAnsi="Arial" w:cs="Arial"/>
                <w:sz w:val="16"/>
                <w:szCs w:val="16"/>
                <w:lang w:val="en-US"/>
              </w:rPr>
              <w:t>0,55 (0,45-0,66)</w:t>
            </w: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pPr>
            <w:r>
              <w:rPr>
                <w:rFonts w:ascii="Arial" w:hAnsi="Arial" w:cs="Arial"/>
                <w:sz w:val="16"/>
                <w:szCs w:val="16"/>
                <w:lang w:val="en-US"/>
              </w:rPr>
              <w:t>0,77 (0,53-1,12)</w:t>
            </w:r>
          </w:p>
        </w:tc>
        <w:tc>
          <w:tcPr>
            <w:tcW w:w="3900" w:type="dxa"/>
            <w:tcBorders>
              <w:top w:val="single" w:sz="4" w:space="0" w:color="000000"/>
              <w:left w:val="single" w:sz="4" w:space="0" w:color="000000"/>
              <w:bottom w:val="single" w:sz="4" w:space="0" w:color="000000"/>
              <w:right w:val="single" w:sz="4" w:space="0" w:color="000000"/>
            </w:tcBorders>
          </w:tcPr>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rPr>
                <w:rFonts w:ascii="Arial" w:hAnsi="Arial" w:cs="Arial"/>
                <w:sz w:val="16"/>
                <w:szCs w:val="16"/>
                <w:lang w:val="en-US"/>
              </w:rPr>
            </w:pPr>
            <w:r>
              <w:rPr>
                <w:rFonts w:ascii="Arial" w:hAnsi="Arial" w:cs="Arial"/>
                <w:sz w:val="16"/>
                <w:szCs w:val="16"/>
                <w:lang w:val="en-US"/>
              </w:rPr>
              <w:t>0,77 (0,6-1,004)</w:t>
            </w: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rPr>
                <w:rFonts w:ascii="Arial" w:hAnsi="Arial" w:cs="Arial"/>
                <w:sz w:val="16"/>
                <w:szCs w:val="16"/>
                <w:lang w:val="en-US"/>
              </w:rPr>
            </w:pPr>
          </w:p>
          <w:p w:rsidR="0056194E" w:rsidRDefault="0056194E">
            <w:pPr>
              <w:pStyle w:val="Textoindependiente"/>
              <w:snapToGrid w:val="0"/>
              <w:jc w:val="both"/>
            </w:pPr>
            <w:r>
              <w:rPr>
                <w:rFonts w:ascii="Arial" w:hAnsi="Arial" w:cs="Arial"/>
                <w:sz w:val="16"/>
                <w:szCs w:val="16"/>
                <w:lang w:val="en-US"/>
              </w:rPr>
              <w:t>1,18 (0,53-2,65)</w:t>
            </w:r>
          </w:p>
        </w:tc>
      </w:tr>
      <w:tr w:rsidR="0056194E" w:rsidRPr="00980F0B">
        <w:trPr>
          <w:cantSplit/>
        </w:trPr>
        <w:tc>
          <w:tcPr>
            <w:tcW w:w="8955" w:type="dxa"/>
            <w:gridSpan w:val="4"/>
            <w:tcBorders>
              <w:top w:val="single" w:sz="4" w:space="0" w:color="000000"/>
              <w:left w:val="single" w:sz="4" w:space="0" w:color="000000"/>
              <w:bottom w:val="single" w:sz="4" w:space="0" w:color="000000"/>
              <w:right w:val="single" w:sz="4" w:space="0" w:color="000000"/>
            </w:tcBorders>
            <w:shd w:val="clear" w:color="auto" w:fill="D6E3BC"/>
          </w:tcPr>
          <w:p w:rsidR="0056194E" w:rsidRPr="006A311C" w:rsidRDefault="0056194E">
            <w:pPr>
              <w:pStyle w:val="Textoindependiente"/>
              <w:jc w:val="both"/>
              <w:rPr>
                <w:rFonts w:ascii="Arial" w:hAnsi="Arial" w:cs="Arial"/>
                <w:b/>
                <w:bCs/>
                <w:sz w:val="18"/>
                <w:szCs w:val="18"/>
                <w:vertAlign w:val="superscript"/>
              </w:rPr>
            </w:pPr>
            <w:r>
              <w:rPr>
                <w:rFonts w:ascii="Arial" w:hAnsi="Arial" w:cs="Arial"/>
                <w:b/>
                <w:bCs/>
                <w:sz w:val="18"/>
                <w:szCs w:val="18"/>
              </w:rPr>
              <w:t xml:space="preserve">RESULTADOS DE LA COMPARACIÓN DIRECTA . </w:t>
            </w:r>
          </w:p>
          <w:p w:rsidR="0056194E" w:rsidRPr="006A311C" w:rsidRDefault="0056194E">
            <w:pPr>
              <w:pStyle w:val="Textoindependiente"/>
              <w:jc w:val="both"/>
              <w:rPr>
                <w:lang w:val="fr-FR"/>
              </w:rPr>
            </w:pPr>
            <w:r>
              <w:rPr>
                <w:rFonts w:ascii="Arial" w:hAnsi="Arial" w:cs="Arial"/>
                <w:b/>
                <w:bCs/>
                <w:sz w:val="18"/>
                <w:szCs w:val="18"/>
                <w:vertAlign w:val="superscript"/>
                <w:lang w:val="en-US"/>
              </w:rPr>
              <w:t>2</w:t>
            </w:r>
            <w:r w:rsidR="008503B4">
              <w:rPr>
                <w:rFonts w:ascii="Arial" w:hAnsi="Arial" w:cs="Arial"/>
                <w:b/>
                <w:bCs/>
                <w:sz w:val="18"/>
                <w:szCs w:val="18"/>
                <w:vertAlign w:val="superscript"/>
                <w:lang w:val="en-US"/>
              </w:rPr>
              <w:t>2</w:t>
            </w:r>
            <w:r>
              <w:rPr>
                <w:rFonts w:ascii="Arial" w:hAnsi="Arial" w:cs="Arial"/>
                <w:b/>
                <w:bCs/>
                <w:sz w:val="18"/>
                <w:szCs w:val="18"/>
                <w:lang w:val="en-US"/>
              </w:rPr>
              <w:t xml:space="preserve">ESMO Conference Platform [Internet]. [cited 2017 Nov 20]. </w:t>
            </w:r>
            <w:r>
              <w:rPr>
                <w:rFonts w:ascii="Arial" w:hAnsi="Arial" w:cs="Arial"/>
                <w:b/>
                <w:bCs/>
                <w:sz w:val="18"/>
                <w:szCs w:val="18"/>
                <w:lang w:val="fr-FR"/>
              </w:rPr>
              <w:t>Available from: </w:t>
            </w:r>
            <w:hyperlink r:id="rId18" w:anchor="2Bb390Yf" w:history="1">
              <w:r>
                <w:rPr>
                  <w:rStyle w:val="Hipervnculo"/>
                  <w:rFonts w:ascii="Arial" w:hAnsi="Arial" w:cs="Arial"/>
                  <w:b/>
                  <w:bCs/>
                  <w:color w:val="auto"/>
                  <w:sz w:val="18"/>
                  <w:szCs w:val="18"/>
                  <w:lang w:val="fr-FR"/>
                </w:rPr>
                <w:t>https://cslide.ctimeetingtech.com/library/esmo/browse/itinerary/5404/2017-09-08#2Bb390Yf</w:t>
              </w:r>
            </w:hyperlink>
            <w:r>
              <w:rPr>
                <w:rFonts w:ascii="Arial" w:hAnsi="Arial" w:cs="Arial"/>
                <w:b/>
                <w:bCs/>
                <w:sz w:val="18"/>
                <w:szCs w:val="18"/>
                <w:lang w:val="fr-FR"/>
              </w:rPr>
              <w:t xml:space="preserve"> .</w:t>
            </w:r>
          </w:p>
        </w:tc>
      </w:tr>
      <w:tr w:rsidR="0056194E">
        <w:trPr>
          <w:cantSplit/>
          <w:trHeight w:val="280"/>
        </w:trPr>
        <w:tc>
          <w:tcPr>
            <w:tcW w:w="1695" w:type="dxa"/>
            <w:tcBorders>
              <w:top w:val="single" w:sz="4" w:space="0" w:color="000000"/>
              <w:left w:val="single" w:sz="4" w:space="0" w:color="000000"/>
              <w:bottom w:val="single" w:sz="4" w:space="0" w:color="000000"/>
            </w:tcBorders>
            <w:shd w:val="clear" w:color="auto" w:fill="D9D9D9"/>
          </w:tcPr>
          <w:p w:rsidR="0056194E" w:rsidRDefault="0056194E">
            <w:pPr>
              <w:pStyle w:val="Textoindependiente"/>
              <w:jc w:val="both"/>
            </w:pPr>
            <w:r>
              <w:rPr>
                <w:rFonts w:ascii="Arial" w:hAnsi="Arial" w:cs="Arial"/>
                <w:b/>
                <w:bCs/>
                <w:sz w:val="18"/>
                <w:szCs w:val="18"/>
              </w:rPr>
              <w:t>Variables prinicipales</w:t>
            </w:r>
          </w:p>
        </w:tc>
        <w:tc>
          <w:tcPr>
            <w:tcW w:w="1620" w:type="dxa"/>
            <w:tcBorders>
              <w:top w:val="single" w:sz="4" w:space="0" w:color="000000"/>
              <w:left w:val="single" w:sz="4" w:space="0" w:color="000000"/>
              <w:bottom w:val="single" w:sz="4" w:space="0" w:color="000000"/>
            </w:tcBorders>
            <w:shd w:val="clear" w:color="auto" w:fill="D9D9D9"/>
          </w:tcPr>
          <w:p w:rsidR="0056194E" w:rsidRPr="006A311C" w:rsidRDefault="0056194E">
            <w:pPr>
              <w:pStyle w:val="Textoindependiente"/>
              <w:jc w:val="both"/>
              <w:rPr>
                <w:rFonts w:ascii="Arial" w:hAnsi="Arial" w:cs="Arial"/>
                <w:b/>
                <w:bCs/>
                <w:sz w:val="18"/>
                <w:szCs w:val="18"/>
                <w:lang w:val="pt-BR"/>
              </w:rPr>
            </w:pPr>
            <w:r w:rsidRPr="006A311C">
              <w:rPr>
                <w:rFonts w:ascii="Arial" w:hAnsi="Arial" w:cs="Arial"/>
                <w:b/>
                <w:bCs/>
                <w:sz w:val="18"/>
                <w:szCs w:val="18"/>
                <w:lang w:val="pt-BR"/>
              </w:rPr>
              <w:t>Docetaxel</w:t>
            </w:r>
          </w:p>
          <w:p w:rsidR="0056194E" w:rsidRPr="006A311C" w:rsidRDefault="0056194E">
            <w:pPr>
              <w:pStyle w:val="Textoindependiente"/>
              <w:jc w:val="both"/>
              <w:rPr>
                <w:lang w:val="pt-BR"/>
              </w:rPr>
            </w:pPr>
            <w:r w:rsidRPr="006A311C">
              <w:rPr>
                <w:rFonts w:ascii="Arial" w:hAnsi="Arial" w:cs="Arial"/>
                <w:b/>
                <w:bCs/>
                <w:sz w:val="18"/>
                <w:szCs w:val="18"/>
                <w:lang w:val="pt-BR"/>
              </w:rPr>
              <w:t>n.º eventos/n total</w:t>
            </w:r>
          </w:p>
        </w:tc>
        <w:tc>
          <w:tcPr>
            <w:tcW w:w="1740" w:type="dxa"/>
            <w:tcBorders>
              <w:top w:val="single" w:sz="4" w:space="0" w:color="000000"/>
              <w:left w:val="single" w:sz="4" w:space="0" w:color="000000"/>
              <w:bottom w:val="single" w:sz="4" w:space="0" w:color="000000"/>
            </w:tcBorders>
            <w:shd w:val="clear" w:color="auto" w:fill="D9D9D9"/>
          </w:tcPr>
          <w:p w:rsidR="0056194E" w:rsidRPr="006A311C" w:rsidRDefault="0056194E">
            <w:pPr>
              <w:pStyle w:val="Textoindependiente"/>
              <w:jc w:val="both"/>
              <w:rPr>
                <w:rFonts w:ascii="Arial" w:hAnsi="Arial" w:cs="Arial"/>
                <w:b/>
                <w:bCs/>
                <w:sz w:val="18"/>
                <w:szCs w:val="18"/>
                <w:lang w:val="pt-BR"/>
              </w:rPr>
            </w:pPr>
            <w:r w:rsidRPr="006A311C">
              <w:rPr>
                <w:rFonts w:ascii="Arial" w:hAnsi="Arial" w:cs="Arial"/>
                <w:b/>
                <w:bCs/>
                <w:sz w:val="18"/>
                <w:szCs w:val="18"/>
                <w:lang w:val="pt-BR"/>
              </w:rPr>
              <w:t>Abiraterona</w:t>
            </w:r>
          </w:p>
          <w:p w:rsidR="0056194E" w:rsidRPr="006A311C" w:rsidRDefault="0056194E">
            <w:pPr>
              <w:pStyle w:val="Textoindependiente"/>
              <w:jc w:val="both"/>
              <w:rPr>
                <w:lang w:val="pt-BR"/>
              </w:rPr>
            </w:pPr>
            <w:r w:rsidRPr="006A311C">
              <w:rPr>
                <w:rFonts w:ascii="Arial" w:hAnsi="Arial" w:cs="Arial"/>
                <w:b/>
                <w:bCs/>
                <w:sz w:val="18"/>
                <w:szCs w:val="18"/>
                <w:lang w:val="pt-BR"/>
              </w:rPr>
              <w:t>n.º eventos/n total</w:t>
            </w:r>
          </w:p>
          <w:p w:rsidR="0056194E" w:rsidRPr="006A311C" w:rsidRDefault="0056194E">
            <w:pPr>
              <w:pStyle w:val="Textoindependiente"/>
              <w:jc w:val="both"/>
              <w:rPr>
                <w:lang w:val="pt-BR"/>
              </w:rPr>
            </w:pPr>
          </w:p>
        </w:tc>
        <w:tc>
          <w:tcPr>
            <w:tcW w:w="3900" w:type="dxa"/>
            <w:tcBorders>
              <w:top w:val="single" w:sz="4" w:space="0" w:color="000000"/>
              <w:left w:val="single" w:sz="4" w:space="0" w:color="000000"/>
              <w:bottom w:val="single" w:sz="4" w:space="0" w:color="000000"/>
              <w:right w:val="single" w:sz="4" w:space="0" w:color="000000"/>
            </w:tcBorders>
            <w:shd w:val="clear" w:color="auto" w:fill="D9D9D9"/>
          </w:tcPr>
          <w:p w:rsidR="0056194E" w:rsidRPr="006A311C" w:rsidRDefault="0056194E">
            <w:pPr>
              <w:pStyle w:val="Textoindependiente"/>
              <w:snapToGrid w:val="0"/>
              <w:jc w:val="both"/>
              <w:rPr>
                <w:rFonts w:ascii="Arial" w:hAnsi="Arial" w:cs="Arial"/>
                <w:b/>
                <w:bCs/>
                <w:sz w:val="18"/>
                <w:szCs w:val="18"/>
                <w:lang w:val="pt-BR"/>
              </w:rPr>
            </w:pPr>
          </w:p>
          <w:p w:rsidR="0056194E" w:rsidRDefault="0056194E">
            <w:pPr>
              <w:pStyle w:val="Textoindependiente"/>
              <w:jc w:val="both"/>
            </w:pPr>
            <w:r>
              <w:rPr>
                <w:rFonts w:ascii="Arial" w:hAnsi="Arial" w:cs="Arial"/>
                <w:b/>
                <w:bCs/>
                <w:sz w:val="18"/>
                <w:szCs w:val="18"/>
              </w:rPr>
              <w:t>HR (IC 95%)</w:t>
            </w:r>
          </w:p>
        </w:tc>
      </w:tr>
      <w:tr w:rsidR="0056194E">
        <w:trPr>
          <w:cantSplit/>
          <w:trHeight w:val="927"/>
        </w:trPr>
        <w:tc>
          <w:tcPr>
            <w:tcW w:w="1695"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6"/>
                <w:szCs w:val="16"/>
                <w:lang w:val="en-US"/>
              </w:rPr>
            </w:pPr>
          </w:p>
          <w:p w:rsidR="0056194E" w:rsidRDefault="0056194E">
            <w:pPr>
              <w:snapToGrid w:val="0"/>
              <w:jc w:val="both"/>
              <w:rPr>
                <w:rFonts w:ascii="Arial" w:hAnsi="Arial" w:cs="Arial"/>
                <w:sz w:val="16"/>
                <w:szCs w:val="16"/>
                <w:lang w:val="en-US"/>
              </w:rPr>
            </w:pPr>
            <w:r>
              <w:rPr>
                <w:rFonts w:ascii="Arial" w:hAnsi="Arial" w:cs="Arial"/>
                <w:sz w:val="16"/>
                <w:szCs w:val="16"/>
                <w:lang w:val="en-US"/>
              </w:rPr>
              <w:t>SG</w:t>
            </w:r>
          </w:p>
          <w:p w:rsidR="0056194E" w:rsidRDefault="0056194E">
            <w:pPr>
              <w:snapToGrid w:val="0"/>
              <w:jc w:val="both"/>
              <w:rPr>
                <w:rFonts w:ascii="Arial" w:hAnsi="Arial" w:cs="Arial"/>
                <w:sz w:val="16"/>
                <w:szCs w:val="16"/>
                <w:lang w:val="en-US"/>
              </w:rPr>
            </w:pPr>
          </w:p>
          <w:p w:rsidR="0056194E" w:rsidRDefault="0056194E">
            <w:pPr>
              <w:snapToGrid w:val="0"/>
              <w:jc w:val="both"/>
            </w:pPr>
            <w:r>
              <w:rPr>
                <w:rFonts w:ascii="Arial" w:hAnsi="Arial" w:cs="Arial"/>
                <w:sz w:val="16"/>
                <w:szCs w:val="16"/>
                <w:lang w:val="en-US"/>
              </w:rPr>
              <w:t>SSFT</w:t>
            </w:r>
          </w:p>
        </w:tc>
        <w:tc>
          <w:tcPr>
            <w:tcW w:w="1620"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6"/>
                <w:szCs w:val="16"/>
                <w:lang w:val="en-US"/>
              </w:rPr>
            </w:pPr>
          </w:p>
          <w:p w:rsidR="0056194E" w:rsidRDefault="0056194E">
            <w:pPr>
              <w:snapToGrid w:val="0"/>
              <w:jc w:val="both"/>
              <w:rPr>
                <w:rFonts w:ascii="Arial" w:hAnsi="Arial" w:cs="Arial"/>
                <w:sz w:val="16"/>
                <w:szCs w:val="16"/>
                <w:lang w:val="en-US"/>
              </w:rPr>
            </w:pPr>
            <w:r>
              <w:rPr>
                <w:rFonts w:ascii="Arial" w:hAnsi="Arial" w:cs="Arial"/>
                <w:sz w:val="16"/>
                <w:szCs w:val="16"/>
                <w:lang w:val="en-US"/>
              </w:rPr>
              <w:t>45/189 (23,80%)</w:t>
            </w:r>
          </w:p>
          <w:p w:rsidR="0056194E" w:rsidRDefault="0056194E">
            <w:pPr>
              <w:snapToGrid w:val="0"/>
              <w:jc w:val="both"/>
              <w:rPr>
                <w:rFonts w:ascii="Arial" w:hAnsi="Arial" w:cs="Arial"/>
                <w:sz w:val="16"/>
                <w:szCs w:val="16"/>
                <w:lang w:val="en-US"/>
              </w:rPr>
            </w:pPr>
          </w:p>
          <w:p w:rsidR="0056194E" w:rsidRDefault="0056194E">
            <w:pPr>
              <w:snapToGrid w:val="0"/>
              <w:jc w:val="both"/>
            </w:pPr>
            <w:r>
              <w:rPr>
                <w:rFonts w:ascii="Arial" w:hAnsi="Arial" w:cs="Arial"/>
                <w:sz w:val="16"/>
                <w:szCs w:val="16"/>
                <w:lang w:val="en-US"/>
              </w:rPr>
              <w:t>No disponible</w:t>
            </w:r>
          </w:p>
        </w:tc>
        <w:tc>
          <w:tcPr>
            <w:tcW w:w="1740"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6"/>
                <w:szCs w:val="16"/>
                <w:lang w:val="en-US"/>
              </w:rPr>
            </w:pPr>
          </w:p>
          <w:p w:rsidR="0056194E" w:rsidRDefault="0056194E">
            <w:pPr>
              <w:jc w:val="both"/>
              <w:rPr>
                <w:rFonts w:ascii="Arial" w:hAnsi="Arial" w:cs="Arial"/>
                <w:sz w:val="16"/>
                <w:szCs w:val="16"/>
                <w:lang w:val="en-US"/>
              </w:rPr>
            </w:pPr>
            <w:r>
              <w:rPr>
                <w:rFonts w:ascii="Arial" w:hAnsi="Arial" w:cs="Arial"/>
                <w:sz w:val="16"/>
                <w:szCs w:val="16"/>
                <w:lang w:val="en-US"/>
              </w:rPr>
              <w:t>111/377 (29,44%)</w:t>
            </w:r>
          </w:p>
          <w:p w:rsidR="0056194E" w:rsidRDefault="0056194E">
            <w:pPr>
              <w:jc w:val="both"/>
              <w:rPr>
                <w:rFonts w:ascii="Arial" w:hAnsi="Arial" w:cs="Arial"/>
                <w:sz w:val="16"/>
                <w:szCs w:val="16"/>
                <w:lang w:val="en-US"/>
              </w:rPr>
            </w:pPr>
          </w:p>
          <w:p w:rsidR="0056194E" w:rsidRDefault="0056194E">
            <w:pPr>
              <w:jc w:val="both"/>
            </w:pPr>
            <w:r>
              <w:rPr>
                <w:rFonts w:ascii="Arial" w:hAnsi="Arial" w:cs="Arial"/>
                <w:sz w:val="16"/>
                <w:szCs w:val="16"/>
                <w:lang w:val="en-US"/>
              </w:rPr>
              <w:t>No disponible</w:t>
            </w:r>
          </w:p>
        </w:tc>
        <w:tc>
          <w:tcPr>
            <w:tcW w:w="3900" w:type="dxa"/>
            <w:tcBorders>
              <w:top w:val="single" w:sz="4" w:space="0" w:color="000000"/>
              <w:left w:val="single" w:sz="4" w:space="0" w:color="000000"/>
              <w:bottom w:val="single" w:sz="4" w:space="0" w:color="000000"/>
              <w:right w:val="single" w:sz="4" w:space="0" w:color="000000"/>
            </w:tcBorders>
          </w:tcPr>
          <w:p w:rsidR="0056194E" w:rsidRDefault="0056194E">
            <w:pPr>
              <w:snapToGrid w:val="0"/>
              <w:jc w:val="both"/>
              <w:rPr>
                <w:rFonts w:ascii="Arial" w:hAnsi="Arial" w:cs="Arial"/>
                <w:sz w:val="16"/>
                <w:szCs w:val="16"/>
                <w:lang w:val="en-US"/>
              </w:rPr>
            </w:pPr>
          </w:p>
          <w:p w:rsidR="0056194E" w:rsidRDefault="0056194E">
            <w:pPr>
              <w:jc w:val="both"/>
              <w:rPr>
                <w:rFonts w:ascii="Arial" w:hAnsi="Arial" w:cs="Arial"/>
                <w:sz w:val="16"/>
                <w:szCs w:val="16"/>
                <w:lang w:val="en-US"/>
              </w:rPr>
            </w:pPr>
            <w:r>
              <w:rPr>
                <w:rFonts w:ascii="Arial" w:hAnsi="Arial" w:cs="Arial"/>
                <w:sz w:val="16"/>
                <w:szCs w:val="16"/>
                <w:lang w:val="en-US"/>
              </w:rPr>
              <w:t>1,16 (0,82-1,65)</w:t>
            </w:r>
          </w:p>
          <w:p w:rsidR="0056194E" w:rsidRDefault="0056194E">
            <w:pPr>
              <w:jc w:val="both"/>
              <w:rPr>
                <w:rFonts w:ascii="Arial" w:hAnsi="Arial" w:cs="Arial"/>
                <w:sz w:val="16"/>
                <w:szCs w:val="16"/>
                <w:lang w:val="en-US"/>
              </w:rPr>
            </w:pPr>
          </w:p>
          <w:p w:rsidR="0056194E" w:rsidRDefault="004F11F1">
            <w:pPr>
              <w:pStyle w:val="Textoindependiente"/>
              <w:snapToGrid w:val="0"/>
              <w:jc w:val="both"/>
              <w:rPr>
                <w:rFonts w:ascii="Arial" w:hAnsi="Arial" w:cs="Arial"/>
                <w:sz w:val="16"/>
                <w:szCs w:val="16"/>
                <w:lang w:val="en-US"/>
              </w:rPr>
            </w:pPr>
            <w:r w:rsidRPr="00577AB2">
              <w:rPr>
                <w:rFonts w:ascii="Arial" w:hAnsi="Arial" w:cs="Arial"/>
                <w:sz w:val="16"/>
                <w:szCs w:val="16"/>
                <w:lang w:val="en-US"/>
              </w:rPr>
              <w:t>0.51 (0.39-0.67</w:t>
            </w:r>
            <w:r w:rsidR="009F7FE3">
              <w:rPr>
                <w:rFonts w:ascii="Arial" w:hAnsi="Arial" w:cs="Arial"/>
                <w:sz w:val="16"/>
                <w:szCs w:val="16"/>
                <w:lang w:val="en-US"/>
              </w:rPr>
              <w:t>)</w:t>
            </w:r>
          </w:p>
          <w:p w:rsidR="0056194E" w:rsidRDefault="0056194E">
            <w:pPr>
              <w:pStyle w:val="Textoindependiente"/>
              <w:jc w:val="both"/>
            </w:pPr>
          </w:p>
        </w:tc>
      </w:tr>
      <w:tr w:rsidR="0056194E">
        <w:trPr>
          <w:cantSplit/>
          <w:trHeight w:val="525"/>
        </w:trPr>
        <w:tc>
          <w:tcPr>
            <w:tcW w:w="8955" w:type="dxa"/>
            <w:gridSpan w:val="4"/>
            <w:tcBorders>
              <w:top w:val="single" w:sz="4" w:space="0" w:color="000000"/>
              <w:left w:val="single" w:sz="4" w:space="0" w:color="000000"/>
              <w:bottom w:val="single" w:sz="4" w:space="0" w:color="000000"/>
              <w:right w:val="single" w:sz="4" w:space="0" w:color="000000"/>
            </w:tcBorders>
            <w:shd w:val="clear" w:color="auto" w:fill="E6E6E6"/>
          </w:tcPr>
          <w:p w:rsidR="0056194E" w:rsidRDefault="0056194E">
            <w:pPr>
              <w:pStyle w:val="Textoindependiente"/>
              <w:jc w:val="both"/>
              <w:rPr>
                <w:rFonts w:ascii="Arial" w:hAnsi="Arial" w:cs="Arial"/>
                <w:b/>
                <w:bCs/>
                <w:sz w:val="18"/>
                <w:szCs w:val="18"/>
              </w:rPr>
            </w:pPr>
            <w:r>
              <w:rPr>
                <w:rFonts w:ascii="Arial" w:hAnsi="Arial" w:cs="Arial"/>
                <w:b/>
                <w:bCs/>
                <w:sz w:val="18"/>
                <w:szCs w:val="18"/>
              </w:rPr>
              <w:t>INTERPRETACIÓN DE LOS RESULTADOS DE LA COMPARACIÓN INDIRECTA</w:t>
            </w:r>
          </w:p>
          <w:p w:rsidR="0056194E" w:rsidRDefault="0056194E">
            <w:pPr>
              <w:pStyle w:val="Textoindependiente"/>
              <w:jc w:val="both"/>
            </w:pPr>
            <w:r>
              <w:rPr>
                <w:rFonts w:ascii="Arial" w:hAnsi="Arial" w:cs="Arial"/>
                <w:b/>
                <w:bCs/>
                <w:sz w:val="18"/>
                <w:szCs w:val="18"/>
              </w:rPr>
              <w:t xml:space="preserve">Se interpretan correctamente                           SI  </w:t>
            </w:r>
            <w:r w:rsidR="00F33243" w:rsidRPr="00F33243">
              <w:rPr>
                <w:rFonts w:cs="Arial"/>
                <w:b/>
                <w:bCs/>
                <w:noProof/>
                <w:sz w:val="18"/>
                <w:szCs w:val="18"/>
              </w:rPr>
            </w:r>
            <w:r w:rsidR="00F33243" w:rsidRPr="00F33243">
              <w:rPr>
                <w:rFonts w:cs="Arial"/>
                <w:b/>
                <w:bCs/>
                <w:noProof/>
                <w:sz w:val="18"/>
                <w:szCs w:val="18"/>
              </w:rPr>
              <w:pict>
                <v:shapetype id="_x0000_t202" coordsize="21600,21600" o:spt="202" path="m,l,21600r21600,l21600,xe">
                  <v:stroke joinstyle="miter"/>
                  <v:path gradientshapeok="t" o:connecttype="rect"/>
                </v:shapetype>
                <v:shape id=" 18" o:spid="_x0000_s1077"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
                          <w:t>X</w:t>
                        </w:r>
                      </w:p>
                    </w:txbxContent>
                  </v:textbox>
                  <w10:wrap type="none"/>
                  <w10:anchorlock/>
                </v:shape>
              </w:pict>
            </w:r>
            <w:r>
              <w:rPr>
                <w:rFonts w:ascii="Arial" w:hAnsi="Arial" w:cs="Arial"/>
                <w:b/>
                <w:bCs/>
                <w:sz w:val="18"/>
                <w:szCs w:val="18"/>
              </w:rPr>
              <w:t xml:space="preserve">           NO   </w:t>
            </w:r>
            <w:r w:rsidR="00F33243" w:rsidRPr="00F33243">
              <w:rPr>
                <w:rFonts w:cs="Arial"/>
                <w:b/>
                <w:bCs/>
                <w:noProof/>
                <w:sz w:val="18"/>
                <w:szCs w:val="18"/>
                <w:lang w:eastAsia="es-ES"/>
              </w:rPr>
            </w:r>
            <w:r w:rsidR="00F33243" w:rsidRPr="00F33243">
              <w:rPr>
                <w:rFonts w:cs="Arial"/>
                <w:b/>
                <w:bCs/>
                <w:noProof/>
                <w:sz w:val="18"/>
                <w:szCs w:val="18"/>
                <w:lang w:eastAsia="es-ES"/>
              </w:rPr>
              <w:pict>
                <v:shape id=" 5" o:spid="_x0000_s1076"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r>
              <w:rPr>
                <w:rFonts w:ascii="Arial" w:hAnsi="Arial" w:cs="Arial"/>
                <w:b/>
                <w:bCs/>
                <w:sz w:val="18"/>
                <w:szCs w:val="18"/>
              </w:rPr>
              <w:t xml:space="preserve">           Dudoso </w:t>
            </w:r>
            <w:r w:rsidR="00F33243" w:rsidRPr="00F33243">
              <w:rPr>
                <w:rFonts w:cs="Arial"/>
                <w:noProof/>
                <w:sz w:val="18"/>
                <w:szCs w:val="18"/>
                <w:lang w:eastAsia="es-ES"/>
              </w:rPr>
            </w:r>
            <w:r w:rsidR="00F33243" w:rsidRPr="00F33243">
              <w:rPr>
                <w:rFonts w:cs="Arial"/>
                <w:noProof/>
                <w:sz w:val="18"/>
                <w:szCs w:val="18"/>
                <w:lang w:eastAsia="es-ES"/>
              </w:rPr>
              <w:pict>
                <v:shape id=" 2" o:spid="_x0000_s1075"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p>
        </w:tc>
      </w:tr>
      <w:tr w:rsidR="0056194E">
        <w:trPr>
          <w:cantSplit/>
        </w:trPr>
        <w:tc>
          <w:tcPr>
            <w:tcW w:w="8955" w:type="dxa"/>
            <w:gridSpan w:val="4"/>
            <w:tcBorders>
              <w:top w:val="single" w:sz="4" w:space="0" w:color="000000"/>
              <w:left w:val="single" w:sz="4" w:space="0" w:color="000000"/>
              <w:bottom w:val="single" w:sz="4" w:space="0" w:color="000000"/>
              <w:right w:val="single" w:sz="4" w:space="0" w:color="000000"/>
            </w:tcBorders>
          </w:tcPr>
          <w:p w:rsidR="0056194E" w:rsidRDefault="0056194E">
            <w:pPr>
              <w:pStyle w:val="Textoindependiente"/>
              <w:jc w:val="both"/>
              <w:rPr>
                <w:rFonts w:ascii="Arial" w:hAnsi="Arial" w:cs="Arial"/>
                <w:sz w:val="18"/>
                <w:szCs w:val="18"/>
              </w:rPr>
            </w:pPr>
            <w:r>
              <w:rPr>
                <w:rFonts w:ascii="Arial" w:hAnsi="Arial" w:cs="Arial"/>
                <w:sz w:val="18"/>
                <w:szCs w:val="18"/>
              </w:rPr>
              <w:t>Cómo se interpretaron:</w:t>
            </w:r>
          </w:p>
          <w:p w:rsidR="0056194E" w:rsidRDefault="0056194E">
            <w:pPr>
              <w:pStyle w:val="Textoindependiente"/>
              <w:jc w:val="both"/>
              <w:rPr>
                <w:rFonts w:ascii="Arial" w:hAnsi="Arial" w:cs="Arial"/>
                <w:sz w:val="18"/>
                <w:szCs w:val="18"/>
              </w:rPr>
            </w:pPr>
            <w:r>
              <w:rPr>
                <w:rFonts w:ascii="Arial" w:hAnsi="Arial" w:cs="Arial"/>
                <w:sz w:val="18"/>
                <w:szCs w:val="18"/>
              </w:rPr>
              <w:t xml:space="preserve">Se discutió la heterogeneidad              </w:t>
            </w:r>
            <w:r>
              <w:rPr>
                <w:rFonts w:ascii="Arial" w:hAnsi="Arial" w:cs="Arial"/>
                <w:b/>
                <w:bCs/>
                <w:sz w:val="18"/>
                <w:szCs w:val="18"/>
              </w:rPr>
              <w:t xml:space="preserve">SI   </w:t>
            </w:r>
            <w:r w:rsidR="00F33243" w:rsidRPr="00F33243">
              <w:rPr>
                <w:rFonts w:cs="Arial"/>
                <w:b/>
                <w:bCs/>
                <w:noProof/>
                <w:sz w:val="18"/>
                <w:szCs w:val="18"/>
                <w:lang w:eastAsia="es-ES"/>
              </w:rPr>
            </w:r>
            <w:r w:rsidR="00F33243" w:rsidRPr="00F33243">
              <w:rPr>
                <w:rFonts w:cs="Arial"/>
                <w:b/>
                <w:bCs/>
                <w:noProof/>
                <w:sz w:val="18"/>
                <w:szCs w:val="18"/>
                <w:lang w:eastAsia="es-ES"/>
              </w:rPr>
              <w:pict>
                <v:shape id="_x0000_s1074"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
                          <w:t>X</w:t>
                        </w:r>
                      </w:p>
                    </w:txbxContent>
                  </v:textbox>
                  <w10:wrap type="none"/>
                  <w10:anchorlock/>
                </v:shape>
              </w:pict>
            </w:r>
            <w:r>
              <w:rPr>
                <w:rFonts w:ascii="Arial" w:hAnsi="Arial" w:cs="Arial"/>
                <w:b/>
                <w:bCs/>
                <w:sz w:val="18"/>
                <w:szCs w:val="18"/>
              </w:rPr>
              <w:t xml:space="preserve">             NO  </w:t>
            </w:r>
            <w:r w:rsidR="00F33243" w:rsidRPr="00F33243">
              <w:rPr>
                <w:rFonts w:cs="Arial"/>
                <w:b/>
                <w:bCs/>
                <w:noProof/>
                <w:sz w:val="18"/>
                <w:szCs w:val="18"/>
                <w:lang w:eastAsia="es-ES"/>
              </w:rPr>
            </w:r>
            <w:r w:rsidR="00F33243" w:rsidRPr="00F33243">
              <w:rPr>
                <w:rFonts w:cs="Arial"/>
                <w:b/>
                <w:bCs/>
                <w:noProof/>
                <w:sz w:val="18"/>
                <w:szCs w:val="18"/>
                <w:lang w:eastAsia="es-ES"/>
              </w:rPr>
              <w:pict>
                <v:shape id="_x0000_s1073"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r>
              <w:rPr>
                <w:rFonts w:ascii="Arial" w:hAnsi="Arial" w:cs="Arial"/>
                <w:b/>
                <w:bCs/>
                <w:sz w:val="18"/>
                <w:szCs w:val="18"/>
              </w:rPr>
              <w:t xml:space="preserve">             Dudoso </w:t>
            </w:r>
            <w:r w:rsidR="00F33243" w:rsidRPr="00F33243">
              <w:rPr>
                <w:rFonts w:cs="Arial"/>
                <w:b/>
                <w:bCs/>
                <w:noProof/>
                <w:sz w:val="18"/>
                <w:szCs w:val="18"/>
                <w:lang w:eastAsia="es-ES"/>
              </w:rPr>
            </w:r>
            <w:r w:rsidR="00F33243" w:rsidRPr="00F33243">
              <w:rPr>
                <w:rFonts w:cs="Arial"/>
                <w:b/>
                <w:bCs/>
                <w:noProof/>
                <w:sz w:val="18"/>
                <w:szCs w:val="18"/>
                <w:lang w:eastAsia="es-ES"/>
              </w:rPr>
              <w:pict>
                <v:shape id="_x0000_s1072"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p>
          <w:p w:rsidR="0056194E" w:rsidRDefault="0056194E">
            <w:pPr>
              <w:pStyle w:val="Textoindependiente"/>
              <w:jc w:val="both"/>
              <w:rPr>
                <w:rFonts w:ascii="Arial" w:hAnsi="Arial" w:cs="Arial"/>
                <w:b/>
                <w:bCs/>
                <w:sz w:val="18"/>
                <w:szCs w:val="18"/>
              </w:rPr>
            </w:pPr>
            <w:r>
              <w:rPr>
                <w:rFonts w:ascii="Arial" w:hAnsi="Arial" w:cs="Arial"/>
                <w:sz w:val="18"/>
                <w:szCs w:val="18"/>
              </w:rPr>
              <w:t xml:space="preserve">Se realizó análisis de sensibilidad  (reanálisis cambiando datos de partida de la comparación)   </w:t>
            </w:r>
          </w:p>
          <w:p w:rsidR="0056194E" w:rsidRDefault="0056194E">
            <w:pPr>
              <w:pStyle w:val="Textoindependiente"/>
              <w:jc w:val="both"/>
            </w:pPr>
            <w:r>
              <w:rPr>
                <w:rFonts w:ascii="Arial" w:hAnsi="Arial" w:cs="Arial"/>
                <w:b/>
                <w:bCs/>
                <w:sz w:val="18"/>
                <w:szCs w:val="18"/>
              </w:rPr>
              <w:t xml:space="preserve">SI  </w:t>
            </w:r>
            <w:r w:rsidR="00F33243" w:rsidRPr="00F33243">
              <w:rPr>
                <w:rFonts w:cs="Arial"/>
                <w:b/>
                <w:bCs/>
                <w:noProof/>
                <w:sz w:val="18"/>
                <w:szCs w:val="18"/>
                <w:lang w:eastAsia="es-ES"/>
              </w:rPr>
            </w:r>
            <w:r w:rsidR="00F33243" w:rsidRPr="00F33243">
              <w:rPr>
                <w:rFonts w:cs="Arial"/>
                <w:b/>
                <w:bCs/>
                <w:noProof/>
                <w:sz w:val="18"/>
                <w:szCs w:val="18"/>
                <w:lang w:eastAsia="es-ES"/>
              </w:rPr>
              <w:pict>
                <v:shape id="_x0000_s1071"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
                          <w:t>X</w:t>
                        </w:r>
                      </w:p>
                    </w:txbxContent>
                  </v:textbox>
                  <w10:wrap type="none"/>
                  <w10:anchorlock/>
                </v:shape>
              </w:pict>
            </w:r>
            <w:r>
              <w:rPr>
                <w:rFonts w:ascii="Arial" w:hAnsi="Arial" w:cs="Arial"/>
                <w:b/>
                <w:bCs/>
                <w:sz w:val="18"/>
                <w:szCs w:val="18"/>
              </w:rPr>
              <w:t xml:space="preserve">              NO </w:t>
            </w:r>
            <w:r w:rsidR="00F33243" w:rsidRPr="00F33243">
              <w:rPr>
                <w:rFonts w:cs="Arial"/>
                <w:b/>
                <w:bCs/>
                <w:noProof/>
                <w:sz w:val="18"/>
                <w:szCs w:val="18"/>
                <w:lang w:eastAsia="es-ES"/>
              </w:rPr>
            </w:r>
            <w:r w:rsidR="00F33243" w:rsidRPr="00F33243">
              <w:rPr>
                <w:rFonts w:cs="Arial"/>
                <w:b/>
                <w:bCs/>
                <w:noProof/>
                <w:sz w:val="18"/>
                <w:szCs w:val="18"/>
                <w:lang w:eastAsia="es-ES"/>
              </w:rPr>
              <w:pict>
                <v:shape id="_x0000_s1070"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p>
        </w:tc>
      </w:tr>
      <w:tr w:rsidR="0056194E">
        <w:trPr>
          <w:cantSplit/>
        </w:trPr>
        <w:tc>
          <w:tcPr>
            <w:tcW w:w="8955" w:type="dxa"/>
            <w:gridSpan w:val="4"/>
            <w:tcBorders>
              <w:top w:val="single" w:sz="4" w:space="0" w:color="000000"/>
              <w:left w:val="single" w:sz="4" w:space="0" w:color="000000"/>
              <w:bottom w:val="single" w:sz="4" w:space="0" w:color="000000"/>
              <w:right w:val="single" w:sz="4" w:space="0" w:color="000000"/>
            </w:tcBorders>
          </w:tcPr>
          <w:p w:rsidR="0056194E" w:rsidRDefault="0056194E">
            <w:pPr>
              <w:pStyle w:val="Textoindependiente"/>
              <w:jc w:val="both"/>
              <w:rPr>
                <w:rFonts w:ascii="Arial" w:hAnsi="Arial" w:cs="Arial"/>
                <w:sz w:val="16"/>
                <w:szCs w:val="16"/>
              </w:rPr>
            </w:pPr>
            <w:r>
              <w:rPr>
                <w:rFonts w:ascii="Arial" w:hAnsi="Arial" w:cs="Arial"/>
                <w:sz w:val="16"/>
                <w:szCs w:val="16"/>
              </w:rPr>
              <w:t xml:space="preserve">Otros comentarios: </w:t>
            </w:r>
          </w:p>
          <w:p w:rsidR="0056194E" w:rsidRDefault="0056194E">
            <w:pPr>
              <w:pStyle w:val="Textoindependiente"/>
              <w:jc w:val="both"/>
            </w:pPr>
            <w:r>
              <w:rPr>
                <w:rFonts w:ascii="Arial" w:hAnsi="Arial" w:cs="Arial"/>
                <w:sz w:val="16"/>
                <w:szCs w:val="16"/>
              </w:rPr>
              <w:t>I</w:t>
            </w:r>
            <w:r>
              <w:rPr>
                <w:rFonts w:ascii="Arial" w:hAnsi="Arial" w:cs="Arial"/>
                <w:sz w:val="16"/>
                <w:szCs w:val="16"/>
                <w:vertAlign w:val="superscript"/>
              </w:rPr>
              <w:t>2</w:t>
            </w:r>
            <w:r>
              <w:rPr>
                <w:rFonts w:ascii="Arial" w:hAnsi="Arial" w:cs="Arial"/>
                <w:sz w:val="16"/>
                <w:szCs w:val="16"/>
              </w:rPr>
              <w:t>=51%</w:t>
            </w:r>
          </w:p>
        </w:tc>
      </w:tr>
      <w:tr w:rsidR="0056194E">
        <w:trPr>
          <w:cantSplit/>
        </w:trPr>
        <w:tc>
          <w:tcPr>
            <w:tcW w:w="8955" w:type="dxa"/>
            <w:gridSpan w:val="4"/>
            <w:tcBorders>
              <w:top w:val="single" w:sz="4" w:space="0" w:color="000000"/>
              <w:left w:val="single" w:sz="4" w:space="0" w:color="000000"/>
              <w:bottom w:val="single" w:sz="4" w:space="0" w:color="000000"/>
              <w:right w:val="single" w:sz="4" w:space="0" w:color="000000"/>
            </w:tcBorders>
          </w:tcPr>
          <w:p w:rsidR="0056194E" w:rsidRDefault="0056194E">
            <w:pPr>
              <w:pStyle w:val="Textoindependiente"/>
              <w:jc w:val="both"/>
            </w:pPr>
            <w:r>
              <w:rPr>
                <w:rFonts w:ascii="Arial" w:hAnsi="Arial" w:cs="Arial"/>
                <w:sz w:val="16"/>
                <w:szCs w:val="16"/>
              </w:rPr>
              <w:t xml:space="preserve">Está justificada la comparación indirecta:  </w:t>
            </w:r>
            <w:r>
              <w:rPr>
                <w:rFonts w:ascii="Arial" w:hAnsi="Arial" w:cs="Arial"/>
                <w:b/>
                <w:bCs/>
                <w:sz w:val="16"/>
                <w:szCs w:val="16"/>
              </w:rPr>
              <w:t xml:space="preserve">SI </w:t>
            </w:r>
            <w:r w:rsidR="00F33243" w:rsidRPr="00F33243">
              <w:rPr>
                <w:rFonts w:cs="Arial"/>
                <w:b/>
                <w:bCs/>
                <w:noProof/>
                <w:sz w:val="16"/>
                <w:szCs w:val="16"/>
                <w:lang w:eastAsia="es-ES"/>
              </w:rPr>
            </w:r>
            <w:r w:rsidR="00F33243" w:rsidRPr="00F33243">
              <w:rPr>
                <w:rFonts w:cs="Arial"/>
                <w:b/>
                <w:bCs/>
                <w:noProof/>
                <w:sz w:val="16"/>
                <w:szCs w:val="16"/>
                <w:lang w:eastAsia="es-ES"/>
              </w:rPr>
              <w:pict>
                <v:shape id="_x0000_s1069"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
                          <w:t>X</w:t>
                        </w:r>
                      </w:p>
                    </w:txbxContent>
                  </v:textbox>
                  <w10:wrap type="none"/>
                  <w10:anchorlock/>
                </v:shape>
              </w:pict>
            </w:r>
            <w:r>
              <w:rPr>
                <w:rFonts w:ascii="Arial" w:hAnsi="Arial" w:cs="Arial"/>
                <w:b/>
                <w:bCs/>
                <w:sz w:val="16"/>
                <w:szCs w:val="16"/>
              </w:rPr>
              <w:t xml:space="preserve">              NO   </w:t>
            </w:r>
            <w:r w:rsidR="00F33243" w:rsidRPr="00F33243">
              <w:rPr>
                <w:rFonts w:cs="Arial"/>
                <w:b/>
                <w:bCs/>
                <w:noProof/>
                <w:sz w:val="16"/>
                <w:szCs w:val="16"/>
                <w:lang w:eastAsia="es-ES"/>
              </w:rPr>
            </w:r>
            <w:r w:rsidR="00F33243" w:rsidRPr="00F33243">
              <w:rPr>
                <w:rFonts w:cs="Arial"/>
                <w:b/>
                <w:bCs/>
                <w:noProof/>
                <w:sz w:val="16"/>
                <w:szCs w:val="16"/>
                <w:lang w:eastAsia="es-ES"/>
              </w:rPr>
              <w:pict>
                <v:shape id="_x0000_s1068"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r>
              <w:rPr>
                <w:rFonts w:ascii="Arial" w:hAnsi="Arial" w:cs="Arial"/>
                <w:b/>
                <w:bCs/>
                <w:sz w:val="16"/>
                <w:szCs w:val="16"/>
              </w:rPr>
              <w:t xml:space="preserve">            Dudoso  </w:t>
            </w:r>
            <w:r w:rsidR="00F33243" w:rsidRPr="00F33243">
              <w:rPr>
                <w:rFonts w:cs="Arial"/>
                <w:noProof/>
                <w:sz w:val="16"/>
                <w:szCs w:val="16"/>
                <w:lang w:eastAsia="es-ES"/>
              </w:rPr>
            </w:r>
            <w:r w:rsidR="00F33243" w:rsidRPr="00F33243">
              <w:rPr>
                <w:rFonts w:cs="Arial"/>
                <w:noProof/>
                <w:sz w:val="16"/>
                <w:szCs w:val="16"/>
                <w:lang w:eastAsia="es-ES"/>
              </w:rPr>
              <w:pict>
                <v:shape id="_x0000_s1067"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p>
        </w:tc>
      </w:tr>
      <w:tr w:rsidR="0056194E">
        <w:trPr>
          <w:cantSplit/>
          <w:trHeight w:val="390"/>
        </w:trPr>
        <w:tc>
          <w:tcPr>
            <w:tcW w:w="8955" w:type="dxa"/>
            <w:gridSpan w:val="4"/>
            <w:tcBorders>
              <w:top w:val="single" w:sz="4" w:space="0" w:color="000000"/>
              <w:left w:val="single" w:sz="4" w:space="0" w:color="000000"/>
              <w:bottom w:val="single" w:sz="4" w:space="0" w:color="000000"/>
              <w:right w:val="single" w:sz="4" w:space="0" w:color="000000"/>
            </w:tcBorders>
          </w:tcPr>
          <w:p w:rsidR="0056194E" w:rsidRDefault="0056194E">
            <w:pPr>
              <w:pStyle w:val="Textoindependiente"/>
              <w:jc w:val="both"/>
              <w:rPr>
                <w:rFonts w:ascii="Arial" w:hAnsi="Arial" w:cs="Arial"/>
                <w:sz w:val="16"/>
                <w:szCs w:val="16"/>
              </w:rPr>
            </w:pPr>
            <w:r>
              <w:rPr>
                <w:rFonts w:ascii="Arial" w:hAnsi="Arial" w:cs="Arial"/>
                <w:sz w:val="16"/>
                <w:szCs w:val="16"/>
              </w:rPr>
              <w:t xml:space="preserve">Realizada por: Laboratorio fabricante       </w:t>
            </w:r>
            <w:r w:rsidR="00F33243" w:rsidRPr="00F33243">
              <w:rPr>
                <w:rFonts w:cs="Arial"/>
                <w:noProof/>
                <w:sz w:val="16"/>
                <w:szCs w:val="16"/>
                <w:lang w:eastAsia="es-ES"/>
              </w:rPr>
            </w:r>
            <w:r w:rsidR="00F33243" w:rsidRPr="00F33243">
              <w:rPr>
                <w:rFonts w:cs="Arial"/>
                <w:noProof/>
                <w:sz w:val="16"/>
                <w:szCs w:val="16"/>
                <w:lang w:eastAsia="es-ES"/>
              </w:rPr>
              <w:pict>
                <v:shape id="_x0000_s1066"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r>
              <w:rPr>
                <w:rFonts w:ascii="Arial" w:hAnsi="Arial" w:cs="Arial"/>
                <w:sz w:val="16"/>
                <w:szCs w:val="16"/>
              </w:rPr>
              <w:t xml:space="preserve">       Patrocinada por laboratorio </w:t>
            </w:r>
            <w:r w:rsidR="00F33243" w:rsidRPr="00F33243">
              <w:rPr>
                <w:rFonts w:cs="Arial"/>
                <w:noProof/>
                <w:sz w:val="16"/>
                <w:szCs w:val="16"/>
                <w:lang w:eastAsia="es-ES"/>
              </w:rPr>
            </w:r>
            <w:r w:rsidR="00F33243" w:rsidRPr="00F33243">
              <w:rPr>
                <w:rFonts w:cs="Arial"/>
                <w:noProof/>
                <w:sz w:val="16"/>
                <w:szCs w:val="16"/>
                <w:lang w:eastAsia="es-ES"/>
              </w:rPr>
              <w:pict>
                <v:shape id="_x0000_s1065"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txbxContent>
                  </v:textbox>
                  <w10:wrap type="none"/>
                  <w10:anchorlock/>
                </v:shape>
              </w:pict>
            </w:r>
            <w:r>
              <w:rPr>
                <w:rFonts w:ascii="Arial" w:hAnsi="Arial" w:cs="Arial"/>
                <w:sz w:val="16"/>
                <w:szCs w:val="16"/>
              </w:rPr>
              <w:t xml:space="preserve">   Organismo independiente  </w:t>
            </w:r>
            <w:r w:rsidR="00F33243" w:rsidRPr="00F33243">
              <w:rPr>
                <w:rFonts w:cs="Arial"/>
                <w:noProof/>
                <w:sz w:val="16"/>
                <w:szCs w:val="16"/>
                <w:lang w:eastAsia="es-ES"/>
              </w:rPr>
            </w:r>
            <w:r w:rsidR="00F33243" w:rsidRPr="00F33243">
              <w:rPr>
                <w:rFonts w:cs="Arial"/>
                <w:noProof/>
                <w:sz w:val="16"/>
                <w:szCs w:val="16"/>
                <w:lang w:eastAsia="es-ES"/>
              </w:rPr>
              <w:pict>
                <v:shape id="_x0000_s1064"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
                          <w:t>X</w:t>
                        </w:r>
                      </w:p>
                    </w:txbxContent>
                  </v:textbox>
                  <w10:wrap type="none"/>
                  <w10:anchorlock/>
                </v:shape>
              </w:pict>
            </w:r>
          </w:p>
          <w:p w:rsidR="0056194E" w:rsidRDefault="0056194E">
            <w:pPr>
              <w:pStyle w:val="Textoindependiente"/>
              <w:jc w:val="both"/>
            </w:pPr>
            <w:r>
              <w:rPr>
                <w:rFonts w:ascii="Arial" w:hAnsi="Arial" w:cs="Arial"/>
                <w:sz w:val="16"/>
                <w:szCs w:val="16"/>
              </w:rPr>
              <w:t>Nombre:</w:t>
            </w:r>
          </w:p>
        </w:tc>
      </w:tr>
    </w:tbl>
    <w:p w:rsidR="0056194E" w:rsidRDefault="0056194E">
      <w:pPr>
        <w:jc w:val="both"/>
        <w:rPr>
          <w:rFonts w:ascii="Arial" w:hAnsi="Arial" w:cs="Arial"/>
          <w:bCs/>
          <w:color w:val="000080"/>
          <w:sz w:val="20"/>
          <w:szCs w:val="20"/>
          <w:highlight w:val="yellow"/>
        </w:rPr>
      </w:pPr>
    </w:p>
    <w:p w:rsidR="0056194E" w:rsidRDefault="0056194E">
      <w:pPr>
        <w:jc w:val="both"/>
        <w:rPr>
          <w:rFonts w:ascii="Arial" w:hAnsi="Arial" w:cs="Arial"/>
          <w:bCs/>
          <w:color w:val="000000"/>
          <w:sz w:val="20"/>
          <w:szCs w:val="20"/>
        </w:rPr>
      </w:pPr>
      <w:r>
        <w:rPr>
          <w:rFonts w:ascii="Arial" w:hAnsi="Arial" w:cs="Arial"/>
          <w:bCs/>
          <w:color w:val="000000"/>
          <w:sz w:val="20"/>
          <w:szCs w:val="20"/>
        </w:rPr>
        <w:t>Según los resultados del Network meta análisis puede afirmarse que no hay diferencia estadísticamente significativa entre Abiraterona+TDA y Docetaxel+TDA en términos de SG.</w:t>
      </w:r>
    </w:p>
    <w:p w:rsidR="0056194E" w:rsidRDefault="0056194E">
      <w:pPr>
        <w:jc w:val="both"/>
        <w:rPr>
          <w:rFonts w:ascii="Arial" w:hAnsi="Arial" w:cs="Arial"/>
          <w:bCs/>
          <w:color w:val="000000"/>
          <w:sz w:val="20"/>
          <w:szCs w:val="20"/>
          <w:highlight w:val="yellow"/>
        </w:rPr>
      </w:pPr>
      <w:r>
        <w:rPr>
          <w:rFonts w:ascii="Arial" w:hAnsi="Arial" w:cs="Arial"/>
          <w:bCs/>
          <w:color w:val="000000"/>
          <w:sz w:val="20"/>
          <w:szCs w:val="20"/>
        </w:rPr>
        <w:t>En su análisis por subgrupos se encontró una interacción significativa favorable al uso de abiraterona en los pacientes d</w:t>
      </w:r>
      <w:r w:rsidR="00745F4D">
        <w:rPr>
          <w:rFonts w:ascii="Arial" w:hAnsi="Arial" w:cs="Arial"/>
          <w:bCs/>
          <w:color w:val="000000"/>
          <w:sz w:val="20"/>
          <w:szCs w:val="20"/>
        </w:rPr>
        <w:t>enominados como jóvenes (en todos los estudios se definió como menores de 70 años menos en el estudio de Fizazi et al. el cual uso el corte de 65 años)</w:t>
      </w:r>
      <w:r>
        <w:rPr>
          <w:rFonts w:ascii="Arial" w:hAnsi="Arial" w:cs="Arial"/>
          <w:bCs/>
          <w:color w:val="000000"/>
          <w:sz w:val="20"/>
          <w:szCs w:val="20"/>
        </w:rPr>
        <w:t>. Sin embargo, los resultados no alcanzaron significación estadística (HR 0,77, IC 95% 0,60-1,004</w:t>
      </w:r>
      <w:r w:rsidR="00745F4D">
        <w:rPr>
          <w:rFonts w:ascii="Arial" w:hAnsi="Arial" w:cs="Arial"/>
          <w:bCs/>
          <w:color w:val="000000"/>
          <w:sz w:val="20"/>
          <w:szCs w:val="20"/>
        </w:rPr>
        <w:t xml:space="preserve"> </w:t>
      </w:r>
      <w:r>
        <w:rPr>
          <w:rFonts w:ascii="Arial" w:hAnsi="Arial" w:cs="Arial"/>
          <w:bCs/>
          <w:color w:val="000000"/>
          <w:sz w:val="20"/>
          <w:szCs w:val="20"/>
        </w:rPr>
        <w:t>para abiraterona vs. docetaxel en pacientes de menor edad).</w:t>
      </w:r>
      <w:r w:rsidR="00745F4D">
        <w:rPr>
          <w:rFonts w:ascii="Arial" w:hAnsi="Arial" w:cs="Arial"/>
          <w:bCs/>
          <w:color w:val="000000"/>
          <w:sz w:val="20"/>
          <w:szCs w:val="20"/>
        </w:rPr>
        <w:t xml:space="preserve"> </w:t>
      </w:r>
    </w:p>
    <w:p w:rsidR="0056194E" w:rsidRDefault="0056194E">
      <w:pPr>
        <w:jc w:val="both"/>
        <w:rPr>
          <w:rFonts w:ascii="Arial" w:hAnsi="Arial" w:cs="Arial"/>
          <w:bCs/>
          <w:color w:val="000000"/>
          <w:sz w:val="20"/>
          <w:szCs w:val="20"/>
          <w:highlight w:val="yellow"/>
        </w:rPr>
      </w:pPr>
    </w:p>
    <w:p w:rsidR="00BC6223" w:rsidRDefault="0056194E" w:rsidP="00BC6223">
      <w:pPr>
        <w:jc w:val="both"/>
        <w:rPr>
          <w:rFonts w:ascii="Arial" w:hAnsi="Arial" w:cs="Arial"/>
          <w:bCs/>
          <w:color w:val="000000"/>
          <w:sz w:val="20"/>
          <w:szCs w:val="20"/>
        </w:rPr>
      </w:pPr>
      <w:r>
        <w:rPr>
          <w:rFonts w:ascii="Arial" w:hAnsi="Arial" w:cs="Arial"/>
          <w:bCs/>
          <w:color w:val="000000"/>
          <w:sz w:val="20"/>
          <w:szCs w:val="20"/>
        </w:rPr>
        <w:t xml:space="preserve">La comparación directa </w:t>
      </w:r>
      <w:r w:rsidRPr="008774CB">
        <w:rPr>
          <w:rFonts w:ascii="Arial" w:hAnsi="Arial" w:cs="Arial"/>
          <w:bCs/>
          <w:i/>
          <w:color w:val="000000"/>
          <w:sz w:val="20"/>
          <w:szCs w:val="20"/>
        </w:rPr>
        <w:t>post hoc</w:t>
      </w:r>
      <w:r>
        <w:rPr>
          <w:rFonts w:ascii="Arial" w:hAnsi="Arial" w:cs="Arial"/>
          <w:bCs/>
          <w:color w:val="000000"/>
          <w:sz w:val="20"/>
          <w:szCs w:val="20"/>
        </w:rPr>
        <w:t xml:space="preserve"> citada fue realizada por los propios investigadores del estudio STAMPEDE. </w:t>
      </w:r>
      <w:r w:rsidR="009B4CFB">
        <w:rPr>
          <w:rFonts w:ascii="Arial" w:hAnsi="Arial" w:cs="Arial"/>
          <w:bCs/>
          <w:color w:val="000000"/>
          <w:sz w:val="20"/>
          <w:szCs w:val="20"/>
        </w:rPr>
        <w:t xml:space="preserve">Posteriormente </w:t>
      </w:r>
      <w:r w:rsidR="00BC6223">
        <w:rPr>
          <w:rFonts w:ascii="Arial" w:hAnsi="Arial" w:cs="Arial"/>
          <w:bCs/>
          <w:color w:val="000000"/>
          <w:sz w:val="20"/>
          <w:szCs w:val="20"/>
        </w:rPr>
        <w:t>en</w:t>
      </w:r>
      <w:r w:rsidR="009B4CFB">
        <w:rPr>
          <w:rFonts w:ascii="Arial" w:hAnsi="Arial" w:cs="Arial"/>
          <w:bCs/>
          <w:color w:val="000000"/>
          <w:sz w:val="20"/>
          <w:szCs w:val="20"/>
        </w:rPr>
        <w:t xml:space="preserve"> el artículo </w:t>
      </w:r>
      <w:r w:rsidR="00BC6223">
        <w:rPr>
          <w:rFonts w:ascii="Arial" w:hAnsi="Arial" w:cs="Arial"/>
          <w:bCs/>
          <w:color w:val="000000"/>
          <w:sz w:val="20"/>
          <w:szCs w:val="20"/>
        </w:rPr>
        <w:t xml:space="preserve">de </w:t>
      </w:r>
      <w:r w:rsidR="00BC6223" w:rsidRPr="00BC6223">
        <w:rPr>
          <w:rFonts w:ascii="Arial" w:hAnsi="Arial" w:cs="Arial"/>
          <w:bCs/>
          <w:color w:val="000000"/>
          <w:sz w:val="20"/>
          <w:szCs w:val="20"/>
        </w:rPr>
        <w:t xml:space="preserve">Sydes, M.R. et </w:t>
      </w:r>
      <w:r w:rsidR="00BC6223">
        <w:rPr>
          <w:rFonts w:ascii="Arial" w:hAnsi="Arial" w:cs="Arial"/>
          <w:bCs/>
          <w:color w:val="000000"/>
          <w:sz w:val="20"/>
          <w:szCs w:val="20"/>
        </w:rPr>
        <w:t>col</w:t>
      </w:r>
      <w:r w:rsidR="00BC6223" w:rsidRPr="00BC6223">
        <w:rPr>
          <w:rFonts w:ascii="Arial" w:hAnsi="Arial" w:cs="Arial"/>
          <w:bCs/>
          <w:color w:val="000000"/>
          <w:sz w:val="20"/>
          <w:szCs w:val="20"/>
        </w:rPr>
        <w:t>.</w:t>
      </w:r>
      <w:r w:rsidR="00BC6223">
        <w:rPr>
          <w:rFonts w:ascii="Arial" w:hAnsi="Arial" w:cs="Arial"/>
          <w:bCs/>
          <w:color w:val="000000"/>
          <w:sz w:val="20"/>
          <w:szCs w:val="20"/>
        </w:rPr>
        <w:t xml:space="preserve"> “</w:t>
      </w:r>
      <w:r w:rsidR="00BC6223" w:rsidRPr="00BC6223">
        <w:rPr>
          <w:rFonts w:ascii="Arial" w:hAnsi="Arial" w:cs="Arial"/>
          <w:bCs/>
          <w:color w:val="000000"/>
          <w:sz w:val="20"/>
          <w:szCs w:val="20"/>
        </w:rPr>
        <w:t>Adding abiraterone or docetaxel to long-term</w:t>
      </w:r>
      <w:r w:rsidR="00BC6223">
        <w:rPr>
          <w:rFonts w:ascii="Arial" w:hAnsi="Arial" w:cs="Arial"/>
          <w:bCs/>
          <w:color w:val="000000"/>
          <w:sz w:val="20"/>
          <w:szCs w:val="20"/>
        </w:rPr>
        <w:t xml:space="preserve"> </w:t>
      </w:r>
      <w:r w:rsidR="00BC6223" w:rsidRPr="00BC6223">
        <w:rPr>
          <w:rFonts w:ascii="Arial" w:hAnsi="Arial" w:cs="Arial"/>
          <w:bCs/>
          <w:color w:val="000000"/>
          <w:sz w:val="20"/>
          <w:szCs w:val="20"/>
        </w:rPr>
        <w:t>hormone therapy for prostate cancer: directly</w:t>
      </w:r>
      <w:r w:rsidR="00BC6223">
        <w:rPr>
          <w:rFonts w:ascii="Arial" w:hAnsi="Arial" w:cs="Arial"/>
          <w:bCs/>
          <w:color w:val="000000"/>
          <w:sz w:val="20"/>
          <w:szCs w:val="20"/>
        </w:rPr>
        <w:t xml:space="preserve"> </w:t>
      </w:r>
      <w:r w:rsidR="00BC6223" w:rsidRPr="00BC6223">
        <w:rPr>
          <w:rFonts w:ascii="Arial" w:hAnsi="Arial" w:cs="Arial"/>
          <w:bCs/>
          <w:color w:val="000000"/>
          <w:sz w:val="20"/>
          <w:szCs w:val="20"/>
        </w:rPr>
        <w:t>randomised data from the STAMPEDE multi-arm,</w:t>
      </w:r>
      <w:r w:rsidR="00BC6223">
        <w:rPr>
          <w:rFonts w:ascii="Arial" w:hAnsi="Arial" w:cs="Arial"/>
          <w:bCs/>
          <w:color w:val="000000"/>
          <w:sz w:val="20"/>
          <w:szCs w:val="20"/>
        </w:rPr>
        <w:t xml:space="preserve"> </w:t>
      </w:r>
      <w:r w:rsidR="00BC6223" w:rsidRPr="00BC6223">
        <w:rPr>
          <w:rFonts w:ascii="Arial" w:hAnsi="Arial" w:cs="Arial"/>
          <w:bCs/>
          <w:color w:val="000000"/>
          <w:sz w:val="20"/>
          <w:szCs w:val="20"/>
        </w:rPr>
        <w:t>multi-stage platform protocol</w:t>
      </w:r>
      <w:r w:rsidR="00BC6223">
        <w:rPr>
          <w:rFonts w:ascii="Arial" w:hAnsi="Arial" w:cs="Arial"/>
          <w:bCs/>
          <w:color w:val="000000"/>
          <w:sz w:val="20"/>
          <w:szCs w:val="20"/>
        </w:rPr>
        <w:t>”**** se describieron</w:t>
      </w:r>
      <w:r w:rsidR="004841D4">
        <w:rPr>
          <w:rFonts w:ascii="Arial" w:hAnsi="Arial" w:cs="Arial"/>
          <w:bCs/>
          <w:color w:val="000000"/>
          <w:sz w:val="20"/>
          <w:szCs w:val="20"/>
        </w:rPr>
        <w:t xml:space="preserve"> las variables</w:t>
      </w:r>
      <w:r w:rsidR="00BC6223">
        <w:rPr>
          <w:rFonts w:ascii="Arial" w:hAnsi="Arial" w:cs="Arial"/>
          <w:bCs/>
          <w:color w:val="000000"/>
          <w:sz w:val="20"/>
          <w:szCs w:val="20"/>
        </w:rPr>
        <w:t xml:space="preserve"> ampliamente </w:t>
      </w:r>
      <w:r w:rsidR="004841D4">
        <w:rPr>
          <w:rFonts w:ascii="Arial" w:hAnsi="Arial" w:cs="Arial"/>
          <w:bCs/>
          <w:color w:val="000000"/>
          <w:sz w:val="20"/>
          <w:szCs w:val="20"/>
        </w:rPr>
        <w:t xml:space="preserve">de </w:t>
      </w:r>
      <w:r w:rsidR="00BC6223">
        <w:rPr>
          <w:rFonts w:ascii="Arial" w:hAnsi="Arial" w:cs="Arial"/>
          <w:bCs/>
          <w:color w:val="000000"/>
          <w:sz w:val="20"/>
          <w:szCs w:val="20"/>
        </w:rPr>
        <w:t>esta comparación directa.</w:t>
      </w:r>
      <w:r w:rsidR="00BC6223" w:rsidRPr="00BC6223">
        <w:rPr>
          <w:rFonts w:ascii="Arial" w:hAnsi="Arial" w:cs="Arial"/>
          <w:bCs/>
          <w:color w:val="000000"/>
          <w:sz w:val="20"/>
          <w:szCs w:val="20"/>
        </w:rPr>
        <w:t xml:space="preserve"> </w:t>
      </w:r>
      <w:r w:rsidR="00BC6223">
        <w:rPr>
          <w:rFonts w:ascii="Arial" w:hAnsi="Arial" w:cs="Arial"/>
          <w:bCs/>
          <w:color w:val="000000"/>
          <w:sz w:val="20"/>
          <w:szCs w:val="20"/>
        </w:rPr>
        <w:t>En SG no se ve una diferencia significativa de uno respecto a otro</w:t>
      </w:r>
      <w:r w:rsidR="00AE5AE1" w:rsidRPr="00AE5AE1">
        <w:rPr>
          <w:rFonts w:ascii="Arial" w:hAnsi="Arial" w:cs="Arial"/>
          <w:bCs/>
          <w:color w:val="000000"/>
          <w:sz w:val="20"/>
          <w:szCs w:val="20"/>
        </w:rPr>
        <w:t xml:space="preserve">, </w:t>
      </w:r>
      <w:r w:rsidR="004841D4" w:rsidRPr="004841D4">
        <w:rPr>
          <w:rFonts w:ascii="Arial" w:hAnsi="Arial" w:cs="Arial"/>
          <w:bCs/>
          <w:color w:val="000000"/>
          <w:sz w:val="20"/>
          <w:szCs w:val="20"/>
        </w:rPr>
        <w:t>HR</w:t>
      </w:r>
      <w:r w:rsidR="004841D4">
        <w:rPr>
          <w:rFonts w:ascii="Arial" w:hAnsi="Arial" w:cs="Arial"/>
          <w:bCs/>
          <w:color w:val="000000"/>
          <w:sz w:val="20"/>
          <w:szCs w:val="20"/>
        </w:rPr>
        <w:t>=</w:t>
      </w:r>
      <w:r w:rsidR="004841D4" w:rsidRPr="004841D4">
        <w:rPr>
          <w:rFonts w:ascii="Arial" w:hAnsi="Arial" w:cs="Arial"/>
          <w:bCs/>
          <w:color w:val="000000"/>
          <w:sz w:val="20"/>
          <w:szCs w:val="20"/>
        </w:rPr>
        <w:t>1.16 (95% CI 0.82–1.65)</w:t>
      </w:r>
      <w:r w:rsidR="004841D4">
        <w:rPr>
          <w:rFonts w:ascii="Arial" w:hAnsi="Arial" w:cs="Arial"/>
          <w:bCs/>
          <w:color w:val="000000"/>
          <w:sz w:val="20"/>
          <w:szCs w:val="20"/>
        </w:rPr>
        <w:t xml:space="preserve"> </w:t>
      </w:r>
      <w:r w:rsidR="00BC6223">
        <w:rPr>
          <w:rFonts w:ascii="Arial" w:hAnsi="Arial" w:cs="Arial"/>
          <w:bCs/>
          <w:color w:val="000000"/>
          <w:sz w:val="20"/>
          <w:szCs w:val="20"/>
        </w:rPr>
        <w:t>. S</w:t>
      </w:r>
      <w:r w:rsidR="00BC6223" w:rsidRPr="00BC6223">
        <w:rPr>
          <w:rFonts w:ascii="Arial" w:hAnsi="Arial" w:cs="Arial"/>
          <w:bCs/>
          <w:color w:val="000000"/>
          <w:sz w:val="20"/>
          <w:szCs w:val="20"/>
        </w:rPr>
        <w:t>í se observaron diferencias estadísticamente significativas a favor de abiraterona tanto en la SSFT</w:t>
      </w:r>
      <w:r w:rsidR="00AE5AE1">
        <w:rPr>
          <w:rFonts w:ascii="Arial" w:hAnsi="Arial" w:cs="Arial"/>
          <w:bCs/>
          <w:color w:val="000000"/>
          <w:sz w:val="20"/>
          <w:szCs w:val="20"/>
        </w:rPr>
        <w:t xml:space="preserve">, </w:t>
      </w:r>
      <w:r w:rsidR="00BC6223" w:rsidRPr="00BC6223">
        <w:rPr>
          <w:rFonts w:ascii="Arial" w:hAnsi="Arial" w:cs="Arial"/>
          <w:bCs/>
          <w:color w:val="000000"/>
          <w:sz w:val="20"/>
          <w:szCs w:val="20"/>
        </w:rPr>
        <w:t>HR= 0,51 (95% IC 0,39–0,67; p&lt;0,001) como en la SLPr</w:t>
      </w:r>
      <w:r w:rsidR="00AE5AE1">
        <w:rPr>
          <w:rFonts w:ascii="Arial" w:hAnsi="Arial" w:cs="Arial"/>
          <w:bCs/>
          <w:color w:val="000000"/>
          <w:sz w:val="20"/>
          <w:szCs w:val="20"/>
        </w:rPr>
        <w:t xml:space="preserve">, </w:t>
      </w:r>
      <w:r w:rsidR="00BC6223" w:rsidRPr="00BC6223">
        <w:rPr>
          <w:rFonts w:ascii="Arial" w:hAnsi="Arial" w:cs="Arial"/>
          <w:bCs/>
          <w:color w:val="000000"/>
          <w:sz w:val="20"/>
          <w:szCs w:val="20"/>
        </w:rPr>
        <w:t>HR= 0,65 (95% CI 0.48–0,88; p=0,005). A pesar de ello hay que tener en cuenta que e</w:t>
      </w:r>
      <w:r>
        <w:rPr>
          <w:rFonts w:ascii="Arial" w:hAnsi="Arial" w:cs="Arial"/>
          <w:bCs/>
          <w:color w:val="000000"/>
          <w:sz w:val="20"/>
          <w:szCs w:val="20"/>
        </w:rPr>
        <w:t xml:space="preserve">l análisis se llevó a cabo incluyendo a los pacientes del brazo de docetaxel y del brazo de abiraterona </w:t>
      </w:r>
      <w:r w:rsidR="00B0316A">
        <w:rPr>
          <w:rFonts w:ascii="Arial" w:hAnsi="Arial" w:cs="Arial"/>
          <w:bCs/>
          <w:color w:val="000000"/>
          <w:sz w:val="20"/>
          <w:szCs w:val="20"/>
        </w:rPr>
        <w:t xml:space="preserve">únicamente </w:t>
      </w:r>
      <w:r>
        <w:rPr>
          <w:rFonts w:ascii="Arial" w:hAnsi="Arial" w:cs="Arial"/>
          <w:bCs/>
          <w:color w:val="000000"/>
          <w:sz w:val="20"/>
          <w:szCs w:val="20"/>
        </w:rPr>
        <w:t>que se solaparon en el tiempo</w:t>
      </w:r>
      <w:r w:rsidR="00AE5AE1">
        <w:rPr>
          <w:rFonts w:ascii="Arial" w:hAnsi="Arial" w:cs="Arial"/>
          <w:bCs/>
          <w:color w:val="000000"/>
          <w:sz w:val="20"/>
          <w:szCs w:val="20"/>
        </w:rPr>
        <w:t>,</w:t>
      </w:r>
      <w:r>
        <w:rPr>
          <w:rFonts w:ascii="Arial" w:hAnsi="Arial" w:cs="Arial"/>
          <w:bCs/>
          <w:color w:val="000000"/>
          <w:sz w:val="20"/>
          <w:szCs w:val="20"/>
        </w:rPr>
        <w:t xml:space="preserve"> </w:t>
      </w:r>
      <w:r w:rsidR="00BC6223">
        <w:rPr>
          <w:rFonts w:ascii="Arial" w:hAnsi="Arial" w:cs="Arial"/>
          <w:bCs/>
          <w:color w:val="000000"/>
          <w:sz w:val="20"/>
          <w:szCs w:val="20"/>
        </w:rPr>
        <w:t>cuya</w:t>
      </w:r>
      <w:r w:rsidR="00BC6223" w:rsidRPr="00BC6223">
        <w:rPr>
          <w:rFonts w:ascii="Arial" w:hAnsi="Arial" w:cs="Arial"/>
          <w:bCs/>
          <w:color w:val="000000"/>
          <w:sz w:val="20"/>
          <w:szCs w:val="20"/>
        </w:rPr>
        <w:t xml:space="preserve"> superposición </w:t>
      </w:r>
      <w:r w:rsidR="00BC6223">
        <w:rPr>
          <w:rFonts w:ascii="Arial" w:hAnsi="Arial" w:cs="Arial"/>
          <w:bCs/>
          <w:color w:val="000000"/>
          <w:sz w:val="20"/>
          <w:szCs w:val="20"/>
        </w:rPr>
        <w:t>fue</w:t>
      </w:r>
      <w:r w:rsidR="00BC6223" w:rsidRPr="00BC6223">
        <w:rPr>
          <w:rFonts w:ascii="Arial" w:hAnsi="Arial" w:cs="Arial"/>
          <w:bCs/>
          <w:color w:val="000000"/>
          <w:sz w:val="20"/>
          <w:szCs w:val="20"/>
        </w:rPr>
        <w:t xml:space="preserve"> solo</w:t>
      </w:r>
      <w:r w:rsidR="00AE5AE1">
        <w:rPr>
          <w:rFonts w:ascii="Arial" w:hAnsi="Arial" w:cs="Arial"/>
          <w:bCs/>
          <w:color w:val="000000"/>
          <w:sz w:val="20"/>
          <w:szCs w:val="20"/>
        </w:rPr>
        <w:t xml:space="preserve"> de</w:t>
      </w:r>
      <w:r w:rsidR="00BC6223" w:rsidRPr="00BC6223">
        <w:rPr>
          <w:rFonts w:ascii="Arial" w:hAnsi="Arial" w:cs="Arial"/>
          <w:bCs/>
          <w:color w:val="000000"/>
          <w:sz w:val="20"/>
          <w:szCs w:val="20"/>
        </w:rPr>
        <w:t xml:space="preserve"> 17 meses</w:t>
      </w:r>
      <w:r w:rsidR="00BC6223">
        <w:rPr>
          <w:rFonts w:ascii="Arial" w:hAnsi="Arial" w:cs="Arial"/>
          <w:bCs/>
          <w:color w:val="000000"/>
          <w:sz w:val="20"/>
          <w:szCs w:val="20"/>
        </w:rPr>
        <w:t xml:space="preserve"> y la inclusión de un total de</w:t>
      </w:r>
      <w:r w:rsidR="00BC6223" w:rsidRPr="00BC6223">
        <w:rPr>
          <w:rFonts w:ascii="Arial" w:hAnsi="Arial" w:cs="Arial"/>
          <w:bCs/>
          <w:color w:val="000000"/>
          <w:sz w:val="20"/>
          <w:szCs w:val="20"/>
        </w:rPr>
        <w:t xml:space="preserve"> 566 pacientes.</w:t>
      </w:r>
      <w:r w:rsidR="00BC6223">
        <w:rPr>
          <w:rFonts w:ascii="Arial" w:hAnsi="Arial" w:cs="Arial"/>
          <w:bCs/>
          <w:color w:val="000000"/>
          <w:sz w:val="20"/>
          <w:szCs w:val="20"/>
        </w:rPr>
        <w:t xml:space="preserve"> No hubo un cálculo formal de tamaño muestral  para realizar dicha comparación tal como se indica en el artículo. </w:t>
      </w:r>
      <w:r>
        <w:rPr>
          <w:rFonts w:ascii="Arial" w:hAnsi="Arial" w:cs="Arial"/>
          <w:bCs/>
          <w:color w:val="000000"/>
          <w:sz w:val="20"/>
          <w:szCs w:val="20"/>
        </w:rPr>
        <w:t xml:space="preserve">El número de pacientes es reducido, por lo que el análisis tiene una potencia estadística baja y el resultado </w:t>
      </w:r>
      <w:r w:rsidR="00BC6223">
        <w:rPr>
          <w:rFonts w:ascii="Arial" w:hAnsi="Arial" w:cs="Arial"/>
          <w:bCs/>
          <w:color w:val="000000"/>
          <w:sz w:val="20"/>
          <w:szCs w:val="20"/>
        </w:rPr>
        <w:t>puede ser</w:t>
      </w:r>
      <w:r>
        <w:rPr>
          <w:rFonts w:ascii="Arial" w:hAnsi="Arial" w:cs="Arial"/>
          <w:bCs/>
          <w:color w:val="000000"/>
          <w:sz w:val="20"/>
          <w:szCs w:val="20"/>
        </w:rPr>
        <w:t xml:space="preserve"> poco preciso. </w:t>
      </w:r>
    </w:p>
    <w:p w:rsidR="00BC6223" w:rsidRDefault="00BC6223" w:rsidP="00BC6223">
      <w:pPr>
        <w:jc w:val="both"/>
        <w:rPr>
          <w:rFonts w:ascii="Arial" w:hAnsi="Arial" w:cs="Arial"/>
          <w:bCs/>
          <w:color w:val="000000"/>
          <w:sz w:val="20"/>
          <w:szCs w:val="20"/>
        </w:rPr>
      </w:pPr>
    </w:p>
    <w:p w:rsidR="0056194E" w:rsidRDefault="0056194E" w:rsidP="00BC6223">
      <w:pPr>
        <w:jc w:val="both"/>
        <w:rPr>
          <w:rFonts w:ascii="Arial" w:hAnsi="Arial" w:cs="Arial"/>
          <w:bCs/>
          <w:color w:val="000000"/>
          <w:sz w:val="20"/>
          <w:szCs w:val="20"/>
        </w:rPr>
      </w:pPr>
      <w:r>
        <w:rPr>
          <w:rFonts w:ascii="Arial" w:hAnsi="Arial" w:cs="Arial"/>
          <w:bCs/>
          <w:color w:val="000000"/>
          <w:sz w:val="20"/>
          <w:szCs w:val="20"/>
        </w:rPr>
        <w:t>Es por ello que más adelante se realiza una comparación indirecta de elaboración propia combinando</w:t>
      </w:r>
      <w:r w:rsidR="00745F4D">
        <w:rPr>
          <w:rFonts w:ascii="Arial" w:hAnsi="Arial" w:cs="Arial"/>
          <w:bCs/>
          <w:color w:val="000000"/>
          <w:sz w:val="20"/>
          <w:szCs w:val="20"/>
        </w:rPr>
        <w:t xml:space="preserve"> </w:t>
      </w:r>
      <w:r>
        <w:rPr>
          <w:rFonts w:ascii="Arial" w:hAnsi="Arial" w:cs="Arial"/>
          <w:bCs/>
          <w:color w:val="000000"/>
          <w:sz w:val="20"/>
          <w:szCs w:val="20"/>
        </w:rPr>
        <w:t xml:space="preserve">los resultados de esos dos brazos frente a TDA sola, </w:t>
      </w:r>
      <w:r w:rsidRPr="00874DB5">
        <w:rPr>
          <w:rFonts w:ascii="Arial" w:hAnsi="Arial" w:cs="Arial"/>
          <w:bCs/>
          <w:color w:val="000000"/>
          <w:sz w:val="20"/>
          <w:szCs w:val="20"/>
          <w:u w:val="single"/>
        </w:rPr>
        <w:t>a lo largo de todo el estudio</w:t>
      </w:r>
      <w:r>
        <w:rPr>
          <w:rFonts w:ascii="Arial" w:hAnsi="Arial" w:cs="Arial"/>
          <w:bCs/>
          <w:color w:val="000000"/>
          <w:sz w:val="20"/>
          <w:szCs w:val="20"/>
        </w:rPr>
        <w:t xml:space="preserve"> STAMPEDE.</w:t>
      </w:r>
    </w:p>
    <w:p w:rsidR="0056194E" w:rsidRPr="006C3687" w:rsidRDefault="0056194E">
      <w:pPr>
        <w:jc w:val="both"/>
        <w:rPr>
          <w:rFonts w:ascii="Arial" w:hAnsi="Arial" w:cs="Arial"/>
          <w:bCs/>
          <w:color w:val="000000"/>
          <w:sz w:val="20"/>
          <w:szCs w:val="20"/>
        </w:rPr>
      </w:pPr>
    </w:p>
    <w:tbl>
      <w:tblPr>
        <w:tblW w:w="9640" w:type="dxa"/>
        <w:tblInd w:w="-176" w:type="dxa"/>
        <w:tblLayout w:type="fixed"/>
        <w:tblLook w:val="0000"/>
      </w:tblPr>
      <w:tblGrid>
        <w:gridCol w:w="9640"/>
      </w:tblGrid>
      <w:tr w:rsidR="0056194E" w:rsidRPr="006C3687">
        <w:trPr>
          <w:trHeight w:val="5127"/>
        </w:trPr>
        <w:tc>
          <w:tcPr>
            <w:tcW w:w="9640" w:type="dxa"/>
            <w:tcBorders>
              <w:top w:val="single" w:sz="4" w:space="0" w:color="000000"/>
              <w:left w:val="single" w:sz="4" w:space="0" w:color="000000"/>
              <w:bottom w:val="single" w:sz="4" w:space="0" w:color="000000"/>
              <w:right w:val="single" w:sz="4" w:space="0" w:color="000000"/>
            </w:tcBorders>
            <w:shd w:val="clear" w:color="auto" w:fill="CCFFCC"/>
          </w:tcPr>
          <w:p w:rsidR="0056194E" w:rsidRPr="006C3687" w:rsidRDefault="00F33243">
            <w:pPr>
              <w:snapToGrid w:val="0"/>
              <w:jc w:val="both"/>
              <w:rPr>
                <w:sz w:val="20"/>
                <w:szCs w:val="20"/>
              </w:rPr>
            </w:pPr>
            <w:r w:rsidRPr="00F33243">
              <w:rPr>
                <w:noProof/>
                <w:lang w:eastAsia="es-ES"/>
              </w:rPr>
              <w:pict>
                <v:shape id="Imagen 24" o:spid="_x0000_s1048" type="#_x0000_t75" style="position:absolute;left:0;text-align:left;margin-left:5.15pt;margin-top:14.5pt;width:462.45pt;height:234.7pt;z-index:251648512;visibility:visible;mso-wrap-distance-left:0;mso-wrap-distance-right:0" filled="t">
                  <v:imagedata r:id="rId19" o:title="" croptop="-126f" cropbottom="-126f" cropleft="-68f" cropright="-68f"/>
                  <w10:wrap type="square" side="largest"/>
                </v:shape>
              </w:pict>
            </w:r>
            <w:r w:rsidR="0056194E" w:rsidRPr="006C3687">
              <w:rPr>
                <w:rFonts w:ascii="Arial" w:hAnsi="Arial" w:cs="Arial"/>
                <w:b/>
                <w:bCs/>
                <w:sz w:val="20"/>
                <w:szCs w:val="20"/>
              </w:rPr>
              <w:t>Resultados del Network meta-análisis</w:t>
            </w:r>
            <w:r w:rsidR="0056194E">
              <w:rPr>
                <w:rFonts w:ascii="Arial" w:hAnsi="Arial" w:cs="Arial"/>
                <w:b/>
                <w:bCs/>
                <w:sz w:val="20"/>
                <w:szCs w:val="20"/>
                <w:vertAlign w:val="superscript"/>
              </w:rPr>
              <w:t>20</w:t>
            </w:r>
            <w:r w:rsidR="0056194E" w:rsidRPr="006C3687">
              <w:rPr>
                <w:rFonts w:ascii="Arial" w:hAnsi="Arial" w:cs="Arial"/>
                <w:b/>
                <w:bCs/>
                <w:sz w:val="20"/>
                <w:szCs w:val="20"/>
              </w:rPr>
              <w:t xml:space="preserve"> que compara docetaxel vs abiraterona. </w:t>
            </w:r>
          </w:p>
        </w:tc>
      </w:tr>
    </w:tbl>
    <w:p w:rsidR="0056194E" w:rsidRDefault="0056194E">
      <w:pPr>
        <w:jc w:val="both"/>
        <w:rPr>
          <w:rFonts w:ascii="Arial" w:hAnsi="Arial" w:cs="Arial"/>
          <w:color w:val="000080"/>
          <w:sz w:val="20"/>
          <w:szCs w:val="20"/>
        </w:rPr>
      </w:pPr>
    </w:p>
    <w:tbl>
      <w:tblPr>
        <w:tblW w:w="8955" w:type="dxa"/>
        <w:tblInd w:w="-41" w:type="dxa"/>
        <w:tblLayout w:type="fixed"/>
        <w:tblCellMar>
          <w:left w:w="70" w:type="dxa"/>
          <w:right w:w="70" w:type="dxa"/>
        </w:tblCellMar>
        <w:tblLook w:val="0000"/>
      </w:tblPr>
      <w:tblGrid>
        <w:gridCol w:w="1695"/>
        <w:gridCol w:w="1620"/>
        <w:gridCol w:w="1740"/>
        <w:gridCol w:w="3900"/>
      </w:tblGrid>
      <w:tr w:rsidR="004D2E32" w:rsidRPr="00683AE2" w:rsidTr="004D2E32">
        <w:trPr>
          <w:cantSplit/>
        </w:trPr>
        <w:tc>
          <w:tcPr>
            <w:tcW w:w="8955" w:type="dxa"/>
            <w:gridSpan w:val="4"/>
            <w:tcBorders>
              <w:top w:val="single" w:sz="4" w:space="0" w:color="000000"/>
              <w:left w:val="single" w:sz="4" w:space="0" w:color="000000"/>
              <w:bottom w:val="single" w:sz="4" w:space="0" w:color="000000"/>
              <w:right w:val="single" w:sz="4" w:space="0" w:color="000000"/>
            </w:tcBorders>
            <w:shd w:val="clear" w:color="auto" w:fill="CCFFCC"/>
          </w:tcPr>
          <w:p w:rsidR="004D2E32" w:rsidRPr="008774CB" w:rsidRDefault="004D2E32" w:rsidP="00A42A3B">
            <w:pPr>
              <w:pStyle w:val="Textoindependiente"/>
              <w:jc w:val="both"/>
              <w:rPr>
                <w:rFonts w:ascii="Arial" w:hAnsi="Arial" w:cs="Arial"/>
                <w:b/>
                <w:bCs/>
                <w:color w:val="000000"/>
                <w:sz w:val="18"/>
                <w:szCs w:val="18"/>
                <w:lang w:val="en-US"/>
              </w:rPr>
            </w:pPr>
            <w:r w:rsidRPr="008774CB">
              <w:rPr>
                <w:rFonts w:ascii="Arial" w:hAnsi="Arial" w:cs="Arial"/>
                <w:b/>
                <w:bCs/>
                <w:sz w:val="18"/>
                <w:szCs w:val="18"/>
                <w:lang w:val="en-US"/>
              </w:rPr>
              <w:t xml:space="preserve">RESULTADOS DE LA COMPARACION INDIRECTA PUBLICADA: </w:t>
            </w:r>
            <w:r w:rsidR="008503B4" w:rsidRPr="008503B4">
              <w:rPr>
                <w:rFonts w:ascii="Arial" w:hAnsi="Arial" w:cs="Arial"/>
                <w:b/>
                <w:bCs/>
                <w:sz w:val="18"/>
                <w:szCs w:val="18"/>
                <w:vertAlign w:val="superscript"/>
                <w:lang w:val="en-US"/>
              </w:rPr>
              <w:t>23</w:t>
            </w:r>
            <w:r w:rsidR="00A42A3B" w:rsidRPr="00A42A3B">
              <w:rPr>
                <w:rFonts w:ascii="Arial" w:hAnsi="Arial" w:cs="Arial"/>
                <w:b/>
                <w:bCs/>
                <w:sz w:val="18"/>
                <w:szCs w:val="18"/>
                <w:lang w:val="en-US"/>
              </w:rPr>
              <w:t>Abiraterone acetate/androgen deprivation</w:t>
            </w:r>
            <w:r w:rsidR="00A42A3B">
              <w:rPr>
                <w:rFonts w:ascii="Arial" w:hAnsi="Arial" w:cs="Arial"/>
                <w:b/>
                <w:bCs/>
                <w:sz w:val="18"/>
                <w:szCs w:val="18"/>
                <w:lang w:val="en-US"/>
              </w:rPr>
              <w:t xml:space="preserve"> </w:t>
            </w:r>
            <w:r w:rsidR="00A42A3B" w:rsidRPr="00A42A3B">
              <w:rPr>
                <w:rFonts w:ascii="Arial" w:hAnsi="Arial" w:cs="Arial"/>
                <w:b/>
                <w:bCs/>
                <w:sz w:val="18"/>
                <w:szCs w:val="18"/>
                <w:lang w:val="en-US"/>
              </w:rPr>
              <w:t>therapy combination versus docetaxel/androgen</w:t>
            </w:r>
            <w:r w:rsidR="00A42A3B">
              <w:rPr>
                <w:rFonts w:ascii="Arial" w:hAnsi="Arial" w:cs="Arial"/>
                <w:b/>
                <w:bCs/>
                <w:sz w:val="18"/>
                <w:szCs w:val="18"/>
                <w:lang w:val="en-US"/>
              </w:rPr>
              <w:t xml:space="preserve"> </w:t>
            </w:r>
            <w:r w:rsidR="00A42A3B" w:rsidRPr="00A42A3B">
              <w:rPr>
                <w:rFonts w:ascii="Arial" w:hAnsi="Arial" w:cs="Arial"/>
                <w:b/>
                <w:bCs/>
                <w:sz w:val="18"/>
                <w:szCs w:val="18"/>
                <w:lang w:val="en-US"/>
              </w:rPr>
              <w:t>deprivation therapy combination in advanced</w:t>
            </w:r>
            <w:r w:rsidR="00A42A3B">
              <w:rPr>
                <w:rFonts w:ascii="Arial" w:hAnsi="Arial" w:cs="Arial"/>
                <w:b/>
                <w:bCs/>
                <w:sz w:val="18"/>
                <w:szCs w:val="18"/>
                <w:lang w:val="en-US"/>
              </w:rPr>
              <w:t xml:space="preserve"> </w:t>
            </w:r>
            <w:r w:rsidR="00A42A3B" w:rsidRPr="00A42A3B">
              <w:rPr>
                <w:rFonts w:ascii="Arial" w:hAnsi="Arial" w:cs="Arial"/>
                <w:b/>
                <w:bCs/>
                <w:sz w:val="18"/>
                <w:szCs w:val="18"/>
                <w:lang w:val="en-US"/>
              </w:rPr>
              <w:t>hormone-sensitive prostate cancer: a network</w:t>
            </w:r>
            <w:r w:rsidR="00A42A3B">
              <w:rPr>
                <w:rFonts w:ascii="Arial" w:hAnsi="Arial" w:cs="Arial"/>
                <w:b/>
                <w:bCs/>
                <w:sz w:val="18"/>
                <w:szCs w:val="18"/>
                <w:lang w:val="en-US"/>
              </w:rPr>
              <w:t xml:space="preserve"> </w:t>
            </w:r>
            <w:r w:rsidR="00A42A3B" w:rsidRPr="00A42A3B">
              <w:rPr>
                <w:rFonts w:ascii="Arial" w:hAnsi="Arial" w:cs="Arial"/>
                <w:b/>
                <w:bCs/>
                <w:sz w:val="18"/>
                <w:szCs w:val="18"/>
                <w:lang w:val="en-US"/>
              </w:rPr>
              <w:t>meta-analysis on safety and efficacy</w:t>
            </w:r>
          </w:p>
          <w:p w:rsidR="004D2E32" w:rsidRPr="008774CB" w:rsidRDefault="004D2E32" w:rsidP="00FC0B62">
            <w:pPr>
              <w:pStyle w:val="Textoindependiente"/>
              <w:jc w:val="both"/>
              <w:rPr>
                <w:lang w:val="en-US"/>
              </w:rPr>
            </w:pPr>
            <w:r w:rsidRPr="008774CB">
              <w:rPr>
                <w:rFonts w:ascii="Arial" w:hAnsi="Arial" w:cs="Arial"/>
                <w:b/>
                <w:bCs/>
                <w:color w:val="000000"/>
                <w:sz w:val="18"/>
                <w:szCs w:val="18"/>
                <w:lang w:val="en-US"/>
              </w:rPr>
              <w:t xml:space="preserve">Referencia: </w:t>
            </w:r>
            <w:r w:rsidR="00A42A3B" w:rsidRPr="00A42A3B">
              <w:rPr>
                <w:rFonts w:ascii="Arial" w:hAnsi="Arial" w:cs="Arial"/>
                <w:bCs/>
                <w:sz w:val="18"/>
                <w:szCs w:val="18"/>
                <w:lang w:val="en-US"/>
              </w:rPr>
              <w:t>Loay Kassem, Kyrillus S. Shohdy &amp; Omar Abdel-Rahman</w:t>
            </w:r>
          </w:p>
        </w:tc>
      </w:tr>
      <w:tr w:rsidR="004D2E32" w:rsidTr="004D2E32">
        <w:trPr>
          <w:cantSplit/>
          <w:trHeight w:val="923"/>
        </w:trPr>
        <w:tc>
          <w:tcPr>
            <w:tcW w:w="1695" w:type="dxa"/>
            <w:tcBorders>
              <w:top w:val="single" w:sz="4" w:space="0" w:color="000000"/>
              <w:left w:val="single" w:sz="4" w:space="0" w:color="000000"/>
              <w:bottom w:val="single" w:sz="4" w:space="0" w:color="000000"/>
            </w:tcBorders>
            <w:shd w:val="clear" w:color="auto" w:fill="E0E0E0"/>
          </w:tcPr>
          <w:p w:rsidR="004D2E32" w:rsidRPr="00577AB2" w:rsidRDefault="004D2E32" w:rsidP="00FC0B62">
            <w:pPr>
              <w:pStyle w:val="Textoindependiente"/>
              <w:jc w:val="center"/>
              <w:rPr>
                <w:rFonts w:ascii="Arial" w:hAnsi="Arial" w:cs="Arial"/>
                <w:b/>
                <w:bCs/>
                <w:sz w:val="18"/>
                <w:szCs w:val="18"/>
                <w:lang w:val="en-GB"/>
              </w:rPr>
            </w:pPr>
          </w:p>
          <w:p w:rsidR="004D2E32" w:rsidRDefault="004D2E32" w:rsidP="00FC0B62">
            <w:pPr>
              <w:pStyle w:val="Textoindependiente"/>
              <w:jc w:val="center"/>
            </w:pPr>
            <w:r>
              <w:rPr>
                <w:rFonts w:ascii="Arial" w:hAnsi="Arial" w:cs="Arial"/>
                <w:b/>
                <w:bCs/>
                <w:sz w:val="18"/>
                <w:szCs w:val="18"/>
              </w:rPr>
              <w:t>Variable principal estudiada</w:t>
            </w:r>
          </w:p>
        </w:tc>
        <w:tc>
          <w:tcPr>
            <w:tcW w:w="1620" w:type="dxa"/>
            <w:tcBorders>
              <w:top w:val="single" w:sz="4" w:space="0" w:color="000000"/>
              <w:left w:val="single" w:sz="4" w:space="0" w:color="000000"/>
              <w:bottom w:val="single" w:sz="4" w:space="0" w:color="000000"/>
            </w:tcBorders>
            <w:shd w:val="clear" w:color="auto" w:fill="E0E0E0"/>
          </w:tcPr>
          <w:p w:rsidR="004D2E32" w:rsidRDefault="004D2E32" w:rsidP="00FC0B62">
            <w:pPr>
              <w:pStyle w:val="Textoindependiente"/>
              <w:jc w:val="center"/>
              <w:rPr>
                <w:rFonts w:ascii="Arial" w:hAnsi="Arial" w:cs="Arial"/>
                <w:b/>
                <w:bCs/>
                <w:sz w:val="18"/>
                <w:szCs w:val="18"/>
              </w:rPr>
            </w:pPr>
          </w:p>
          <w:p w:rsidR="004D2E32" w:rsidRDefault="004D2E32" w:rsidP="00FC0B62">
            <w:pPr>
              <w:pStyle w:val="Textoindependiente"/>
              <w:jc w:val="center"/>
              <w:rPr>
                <w:rFonts w:ascii="Arial" w:hAnsi="Arial" w:cs="Arial"/>
                <w:sz w:val="18"/>
                <w:szCs w:val="18"/>
              </w:rPr>
            </w:pPr>
            <w:r>
              <w:rPr>
                <w:rFonts w:ascii="Arial" w:hAnsi="Arial" w:cs="Arial"/>
                <w:b/>
                <w:bCs/>
                <w:sz w:val="18"/>
                <w:szCs w:val="18"/>
              </w:rPr>
              <w:t xml:space="preserve">Docetaxel+TDA / TDA  </w:t>
            </w:r>
          </w:p>
          <w:p w:rsidR="004D2E32" w:rsidRDefault="004D2E32" w:rsidP="00FC0B62">
            <w:pPr>
              <w:pStyle w:val="Textoindependiente"/>
              <w:jc w:val="both"/>
              <w:rPr>
                <w:rFonts w:ascii="Arial" w:hAnsi="Arial" w:cs="Arial"/>
                <w:sz w:val="18"/>
                <w:szCs w:val="18"/>
              </w:rPr>
            </w:pPr>
          </w:p>
          <w:p w:rsidR="004D2E32" w:rsidRDefault="004D2E32" w:rsidP="00FC0B62">
            <w:pPr>
              <w:pStyle w:val="Textoindependiente"/>
              <w:jc w:val="both"/>
            </w:pPr>
            <w:r>
              <w:rPr>
                <w:rFonts w:ascii="Arial" w:hAnsi="Arial" w:cs="Arial"/>
                <w:b/>
                <w:bCs/>
                <w:sz w:val="18"/>
                <w:szCs w:val="18"/>
              </w:rPr>
              <w:t>(HR IC 95%)</w:t>
            </w:r>
          </w:p>
        </w:tc>
        <w:tc>
          <w:tcPr>
            <w:tcW w:w="1740" w:type="dxa"/>
            <w:tcBorders>
              <w:top w:val="single" w:sz="4" w:space="0" w:color="000000"/>
              <w:left w:val="single" w:sz="4" w:space="0" w:color="000000"/>
              <w:bottom w:val="single" w:sz="4" w:space="0" w:color="000000"/>
            </w:tcBorders>
            <w:shd w:val="clear" w:color="auto" w:fill="E0E0E0"/>
          </w:tcPr>
          <w:p w:rsidR="004D2E32" w:rsidRDefault="004D2E32" w:rsidP="00FC0B62">
            <w:pPr>
              <w:pStyle w:val="Textoindependiente"/>
              <w:jc w:val="center"/>
              <w:rPr>
                <w:rFonts w:ascii="Arial" w:hAnsi="Arial" w:cs="Arial"/>
                <w:b/>
                <w:bCs/>
                <w:sz w:val="18"/>
                <w:szCs w:val="18"/>
                <w:lang w:val="it-IT"/>
              </w:rPr>
            </w:pPr>
          </w:p>
          <w:p w:rsidR="004D2E32" w:rsidRPr="006A311C" w:rsidRDefault="004D2E32" w:rsidP="00FC0B62">
            <w:pPr>
              <w:pStyle w:val="Textoindependiente"/>
              <w:jc w:val="center"/>
              <w:rPr>
                <w:rFonts w:ascii="Arial" w:hAnsi="Arial" w:cs="Arial"/>
                <w:sz w:val="18"/>
                <w:szCs w:val="18"/>
                <w:lang w:val="it-IT"/>
              </w:rPr>
            </w:pPr>
            <w:r w:rsidRPr="006A311C">
              <w:rPr>
                <w:rFonts w:ascii="Arial" w:hAnsi="Arial" w:cs="Arial"/>
                <w:b/>
                <w:bCs/>
                <w:sz w:val="18"/>
                <w:szCs w:val="18"/>
                <w:lang w:val="it-IT"/>
              </w:rPr>
              <w:t xml:space="preserve">Abiraterona+TDA / TDA </w:t>
            </w:r>
          </w:p>
          <w:p w:rsidR="004D2E32" w:rsidRPr="006A311C" w:rsidRDefault="004D2E32" w:rsidP="00FC0B62">
            <w:pPr>
              <w:pStyle w:val="Textoindependiente"/>
              <w:jc w:val="center"/>
              <w:rPr>
                <w:rFonts w:ascii="Arial" w:hAnsi="Arial" w:cs="Arial"/>
                <w:sz w:val="18"/>
                <w:szCs w:val="18"/>
                <w:lang w:val="it-IT"/>
              </w:rPr>
            </w:pPr>
          </w:p>
          <w:p w:rsidR="004D2E32" w:rsidRPr="006A311C" w:rsidRDefault="004D2E32" w:rsidP="00FC0B62">
            <w:pPr>
              <w:pStyle w:val="Textoindependiente"/>
              <w:jc w:val="center"/>
              <w:rPr>
                <w:lang w:val="it-IT"/>
              </w:rPr>
            </w:pPr>
            <w:r w:rsidRPr="006A311C">
              <w:rPr>
                <w:rFonts w:ascii="Arial" w:hAnsi="Arial" w:cs="Arial"/>
                <w:b/>
                <w:bCs/>
                <w:sz w:val="18"/>
                <w:szCs w:val="18"/>
                <w:lang w:val="it-IT"/>
              </w:rPr>
              <w:t>(HR IC 95%)</w:t>
            </w:r>
          </w:p>
        </w:tc>
        <w:tc>
          <w:tcPr>
            <w:tcW w:w="3900" w:type="dxa"/>
            <w:tcBorders>
              <w:top w:val="single" w:sz="4" w:space="0" w:color="000000"/>
              <w:left w:val="single" w:sz="4" w:space="0" w:color="000000"/>
              <w:bottom w:val="single" w:sz="4" w:space="0" w:color="000000"/>
              <w:right w:val="single" w:sz="4" w:space="0" w:color="000000"/>
            </w:tcBorders>
            <w:shd w:val="clear" w:color="auto" w:fill="E0E0E0"/>
          </w:tcPr>
          <w:p w:rsidR="004D2E32" w:rsidRDefault="004D2E32" w:rsidP="00FC0B62">
            <w:pPr>
              <w:pStyle w:val="Textoindependiente"/>
              <w:jc w:val="center"/>
              <w:rPr>
                <w:rFonts w:ascii="Arial" w:hAnsi="Arial" w:cs="Arial"/>
                <w:b/>
                <w:bCs/>
                <w:sz w:val="18"/>
                <w:szCs w:val="18"/>
              </w:rPr>
            </w:pPr>
          </w:p>
          <w:p w:rsidR="00A42A3B" w:rsidRDefault="004D2E32" w:rsidP="00FC0B62">
            <w:pPr>
              <w:pStyle w:val="Textoindependiente"/>
              <w:jc w:val="center"/>
              <w:rPr>
                <w:rFonts w:ascii="Arial" w:hAnsi="Arial" w:cs="Arial"/>
                <w:b/>
                <w:bCs/>
                <w:sz w:val="18"/>
                <w:szCs w:val="18"/>
              </w:rPr>
            </w:pPr>
            <w:r>
              <w:rPr>
                <w:rFonts w:ascii="Arial" w:hAnsi="Arial" w:cs="Arial"/>
                <w:b/>
                <w:bCs/>
                <w:sz w:val="18"/>
                <w:szCs w:val="18"/>
              </w:rPr>
              <w:t xml:space="preserve">COMPARACIÓN INDIRECTA </w:t>
            </w:r>
          </w:p>
          <w:p w:rsidR="004D2E32" w:rsidRDefault="00A42A3B" w:rsidP="00FC0B62">
            <w:pPr>
              <w:pStyle w:val="Textoindependiente"/>
              <w:jc w:val="center"/>
              <w:rPr>
                <w:rFonts w:ascii="Arial" w:hAnsi="Arial" w:cs="Arial"/>
                <w:b/>
                <w:bCs/>
                <w:sz w:val="18"/>
                <w:szCs w:val="18"/>
              </w:rPr>
            </w:pPr>
            <w:r>
              <w:rPr>
                <w:rFonts w:ascii="Arial" w:hAnsi="Arial" w:cs="Arial"/>
                <w:b/>
                <w:bCs/>
                <w:sz w:val="18"/>
                <w:szCs w:val="18"/>
              </w:rPr>
              <w:t>Docetaxel/</w:t>
            </w:r>
            <w:r w:rsidR="004D2E32">
              <w:rPr>
                <w:rFonts w:ascii="Arial" w:hAnsi="Arial" w:cs="Arial"/>
                <w:b/>
                <w:bCs/>
                <w:sz w:val="18"/>
                <w:szCs w:val="18"/>
              </w:rPr>
              <w:t>Abiraterona</w:t>
            </w:r>
          </w:p>
          <w:p w:rsidR="004D2E32" w:rsidRDefault="004D2E32" w:rsidP="00FC0B62">
            <w:pPr>
              <w:pStyle w:val="Textoindependiente"/>
              <w:jc w:val="center"/>
              <w:rPr>
                <w:rFonts w:ascii="Arial" w:hAnsi="Arial" w:cs="Arial"/>
                <w:b/>
                <w:bCs/>
                <w:sz w:val="18"/>
                <w:szCs w:val="18"/>
              </w:rPr>
            </w:pPr>
          </w:p>
          <w:p w:rsidR="004D2E32" w:rsidRDefault="004D2E32" w:rsidP="00FC0B62">
            <w:pPr>
              <w:pStyle w:val="Textoindependiente"/>
              <w:jc w:val="center"/>
              <w:rPr>
                <w:rFonts w:ascii="Arial" w:hAnsi="Arial" w:cs="Arial"/>
                <w:sz w:val="18"/>
                <w:szCs w:val="18"/>
              </w:rPr>
            </w:pPr>
            <w:r>
              <w:rPr>
                <w:rFonts w:ascii="Arial" w:hAnsi="Arial" w:cs="Arial"/>
                <w:b/>
                <w:bCs/>
                <w:sz w:val="18"/>
                <w:szCs w:val="18"/>
              </w:rPr>
              <w:t>(HR IC 95%)</w:t>
            </w:r>
          </w:p>
          <w:p w:rsidR="004D2E32" w:rsidRDefault="004D2E32" w:rsidP="00FC0B62">
            <w:pPr>
              <w:pStyle w:val="Textoindependiente"/>
              <w:snapToGrid w:val="0"/>
              <w:jc w:val="center"/>
              <w:rPr>
                <w:rFonts w:ascii="Arial" w:hAnsi="Arial" w:cs="Arial"/>
                <w:sz w:val="18"/>
                <w:szCs w:val="18"/>
              </w:rPr>
            </w:pPr>
          </w:p>
          <w:p w:rsidR="004D2E32" w:rsidRDefault="004D2E32" w:rsidP="00FC0B62">
            <w:pPr>
              <w:pStyle w:val="Textoindependiente"/>
              <w:jc w:val="center"/>
            </w:pPr>
          </w:p>
        </w:tc>
      </w:tr>
      <w:tr w:rsidR="004D2E32" w:rsidTr="004D2E32">
        <w:trPr>
          <w:cantSplit/>
          <w:trHeight w:val="218"/>
        </w:trPr>
        <w:tc>
          <w:tcPr>
            <w:tcW w:w="1695" w:type="dxa"/>
            <w:tcBorders>
              <w:top w:val="single" w:sz="4" w:space="0" w:color="000000"/>
              <w:left w:val="single" w:sz="4" w:space="0" w:color="000000"/>
              <w:bottom w:val="single" w:sz="4" w:space="0" w:color="000000"/>
            </w:tcBorders>
          </w:tcPr>
          <w:p w:rsidR="004D2E32" w:rsidRDefault="004D2E32" w:rsidP="00FC0B62">
            <w:pPr>
              <w:pStyle w:val="Textoindependiente"/>
              <w:snapToGrid w:val="0"/>
              <w:jc w:val="both"/>
              <w:rPr>
                <w:rFonts w:ascii="Arial" w:hAnsi="Arial" w:cs="Arial"/>
                <w:sz w:val="16"/>
                <w:szCs w:val="16"/>
              </w:rPr>
            </w:pPr>
          </w:p>
          <w:p w:rsidR="004D2E32" w:rsidRDefault="004D2E32" w:rsidP="00FC0B62">
            <w:pPr>
              <w:pStyle w:val="Textoindependiente"/>
              <w:snapToGrid w:val="0"/>
              <w:jc w:val="both"/>
            </w:pPr>
            <w:r>
              <w:rPr>
                <w:rFonts w:ascii="Arial" w:hAnsi="Arial" w:cs="Arial"/>
                <w:sz w:val="16"/>
                <w:szCs w:val="16"/>
                <w:lang w:val="en-US"/>
              </w:rPr>
              <w:t>Supervivencia global</w:t>
            </w:r>
          </w:p>
          <w:p w:rsidR="004D2E32" w:rsidRDefault="004D2E32" w:rsidP="00FC0B62">
            <w:pPr>
              <w:pStyle w:val="Textoindependiente"/>
              <w:snapToGrid w:val="0"/>
              <w:jc w:val="both"/>
            </w:pPr>
          </w:p>
        </w:tc>
        <w:tc>
          <w:tcPr>
            <w:tcW w:w="1620" w:type="dxa"/>
            <w:tcBorders>
              <w:top w:val="single" w:sz="4" w:space="0" w:color="000000"/>
              <w:left w:val="single" w:sz="4" w:space="0" w:color="000000"/>
              <w:bottom w:val="single" w:sz="4" w:space="0" w:color="000000"/>
            </w:tcBorders>
          </w:tcPr>
          <w:p w:rsidR="004D2E32" w:rsidRDefault="004D2E32" w:rsidP="00FC0B62">
            <w:pPr>
              <w:pStyle w:val="Textoindependiente"/>
              <w:snapToGrid w:val="0"/>
              <w:jc w:val="both"/>
              <w:rPr>
                <w:rFonts w:ascii="Arial" w:hAnsi="Arial" w:cs="Arial"/>
                <w:sz w:val="16"/>
                <w:szCs w:val="16"/>
                <w:lang w:val="en-US"/>
              </w:rPr>
            </w:pPr>
          </w:p>
          <w:p w:rsidR="004D2E32" w:rsidRDefault="004D2E32" w:rsidP="00FC0B62">
            <w:pPr>
              <w:pStyle w:val="Textoindependiente"/>
              <w:jc w:val="both"/>
            </w:pPr>
            <w:r>
              <w:rPr>
                <w:rFonts w:ascii="Arial" w:hAnsi="Arial" w:cs="Arial"/>
                <w:sz w:val="16"/>
                <w:szCs w:val="16"/>
                <w:lang w:val="en-US"/>
              </w:rPr>
              <w:t>0,7</w:t>
            </w:r>
            <w:r w:rsidR="00A42A3B">
              <w:rPr>
                <w:rFonts w:ascii="Arial" w:hAnsi="Arial" w:cs="Arial"/>
                <w:sz w:val="16"/>
                <w:szCs w:val="16"/>
                <w:lang w:val="en-US"/>
              </w:rPr>
              <w:t>47</w:t>
            </w:r>
            <w:r>
              <w:rPr>
                <w:rFonts w:ascii="Arial" w:hAnsi="Arial" w:cs="Arial"/>
                <w:sz w:val="16"/>
                <w:szCs w:val="16"/>
                <w:lang w:val="en-US"/>
              </w:rPr>
              <w:t xml:space="preserve"> (0,6</w:t>
            </w:r>
            <w:r w:rsidR="00A42A3B">
              <w:rPr>
                <w:rFonts w:ascii="Arial" w:hAnsi="Arial" w:cs="Arial"/>
                <w:sz w:val="16"/>
                <w:szCs w:val="16"/>
                <w:lang w:val="en-US"/>
              </w:rPr>
              <w:t>48</w:t>
            </w:r>
            <w:r>
              <w:rPr>
                <w:rFonts w:ascii="Arial" w:hAnsi="Arial" w:cs="Arial"/>
                <w:sz w:val="16"/>
                <w:szCs w:val="16"/>
                <w:lang w:val="en-US"/>
              </w:rPr>
              <w:t>-0,</w:t>
            </w:r>
            <w:r w:rsidR="00A42A3B">
              <w:rPr>
                <w:rFonts w:ascii="Arial" w:hAnsi="Arial" w:cs="Arial"/>
                <w:sz w:val="16"/>
                <w:szCs w:val="16"/>
                <w:lang w:val="en-US"/>
              </w:rPr>
              <w:t>862</w:t>
            </w:r>
            <w:r>
              <w:rPr>
                <w:rFonts w:ascii="Arial" w:hAnsi="Arial" w:cs="Arial"/>
                <w:sz w:val="16"/>
                <w:szCs w:val="16"/>
                <w:lang w:val="en-US"/>
              </w:rPr>
              <w:t>)</w:t>
            </w:r>
          </w:p>
        </w:tc>
        <w:tc>
          <w:tcPr>
            <w:tcW w:w="1740" w:type="dxa"/>
            <w:tcBorders>
              <w:top w:val="single" w:sz="4" w:space="0" w:color="000000"/>
              <w:left w:val="single" w:sz="4" w:space="0" w:color="000000"/>
              <w:bottom w:val="single" w:sz="4" w:space="0" w:color="000000"/>
            </w:tcBorders>
          </w:tcPr>
          <w:p w:rsidR="004D2E32" w:rsidRDefault="004D2E32" w:rsidP="00FC0B62">
            <w:pPr>
              <w:pStyle w:val="Textoindependiente"/>
              <w:snapToGrid w:val="0"/>
              <w:jc w:val="both"/>
              <w:rPr>
                <w:rFonts w:ascii="Arial" w:hAnsi="Arial" w:cs="Arial"/>
                <w:sz w:val="16"/>
                <w:szCs w:val="16"/>
                <w:lang w:val="en-US"/>
              </w:rPr>
            </w:pPr>
          </w:p>
          <w:p w:rsidR="004D2E32" w:rsidRDefault="004D2E32" w:rsidP="00FC0B62">
            <w:pPr>
              <w:pStyle w:val="Textoindependiente"/>
              <w:snapToGrid w:val="0"/>
              <w:jc w:val="both"/>
            </w:pPr>
            <w:r>
              <w:rPr>
                <w:rFonts w:ascii="Arial" w:hAnsi="Arial" w:cs="Arial"/>
                <w:sz w:val="16"/>
                <w:szCs w:val="16"/>
                <w:lang w:val="en-US"/>
              </w:rPr>
              <w:t>0,</w:t>
            </w:r>
            <w:r w:rsidR="00A42A3B">
              <w:rPr>
                <w:rFonts w:ascii="Arial" w:hAnsi="Arial" w:cs="Arial"/>
                <w:sz w:val="16"/>
                <w:szCs w:val="16"/>
                <w:lang w:val="en-US"/>
              </w:rPr>
              <w:t>625</w:t>
            </w:r>
            <w:r>
              <w:rPr>
                <w:rFonts w:ascii="Arial" w:hAnsi="Arial" w:cs="Arial"/>
                <w:sz w:val="16"/>
                <w:szCs w:val="16"/>
                <w:lang w:val="en-US"/>
              </w:rPr>
              <w:t xml:space="preserve"> (0,5</w:t>
            </w:r>
            <w:r w:rsidR="00A42A3B">
              <w:rPr>
                <w:rFonts w:ascii="Arial" w:hAnsi="Arial" w:cs="Arial"/>
                <w:sz w:val="16"/>
                <w:szCs w:val="16"/>
                <w:lang w:val="en-US"/>
              </w:rPr>
              <w:t>45</w:t>
            </w:r>
            <w:r>
              <w:rPr>
                <w:rFonts w:ascii="Arial" w:hAnsi="Arial" w:cs="Arial"/>
                <w:sz w:val="16"/>
                <w:szCs w:val="16"/>
                <w:lang w:val="en-US"/>
              </w:rPr>
              <w:t>-0,7</w:t>
            </w:r>
            <w:r w:rsidR="00A42A3B">
              <w:rPr>
                <w:rFonts w:ascii="Arial" w:hAnsi="Arial" w:cs="Arial"/>
                <w:sz w:val="16"/>
                <w:szCs w:val="16"/>
                <w:lang w:val="en-US"/>
              </w:rPr>
              <w:t>17</w:t>
            </w:r>
            <w:r>
              <w:rPr>
                <w:rFonts w:ascii="Arial" w:hAnsi="Arial" w:cs="Arial"/>
                <w:sz w:val="16"/>
                <w:szCs w:val="16"/>
                <w:lang w:val="en-US"/>
              </w:rPr>
              <w:t>)</w:t>
            </w:r>
          </w:p>
        </w:tc>
        <w:tc>
          <w:tcPr>
            <w:tcW w:w="3900" w:type="dxa"/>
            <w:tcBorders>
              <w:top w:val="single" w:sz="4" w:space="0" w:color="000000"/>
              <w:left w:val="single" w:sz="4" w:space="0" w:color="000000"/>
              <w:bottom w:val="single" w:sz="4" w:space="0" w:color="000000"/>
              <w:right w:val="single" w:sz="4" w:space="0" w:color="000000"/>
            </w:tcBorders>
          </w:tcPr>
          <w:p w:rsidR="004D2E32" w:rsidRDefault="004D2E32" w:rsidP="00FC0B62">
            <w:pPr>
              <w:pStyle w:val="Textoindependiente"/>
              <w:snapToGrid w:val="0"/>
              <w:jc w:val="both"/>
              <w:rPr>
                <w:rFonts w:ascii="Arial" w:hAnsi="Arial" w:cs="Arial"/>
                <w:sz w:val="16"/>
                <w:szCs w:val="16"/>
                <w:lang w:val="en-US"/>
              </w:rPr>
            </w:pPr>
          </w:p>
          <w:p w:rsidR="004D2E32" w:rsidRDefault="00A42A3B" w:rsidP="00FC0B62">
            <w:pPr>
              <w:pStyle w:val="Textoindependiente"/>
              <w:snapToGrid w:val="0"/>
              <w:jc w:val="both"/>
            </w:pPr>
            <w:r w:rsidRPr="00A42A3B">
              <w:rPr>
                <w:rFonts w:ascii="Arial" w:hAnsi="Arial" w:cs="Arial"/>
                <w:sz w:val="16"/>
                <w:szCs w:val="16"/>
                <w:lang w:val="en-US"/>
              </w:rPr>
              <w:t>1.195 (0.980-1.456)</w:t>
            </w:r>
          </w:p>
        </w:tc>
      </w:tr>
      <w:tr w:rsidR="004D2E32" w:rsidTr="004D2E32">
        <w:trPr>
          <w:cantSplit/>
        </w:trPr>
        <w:tc>
          <w:tcPr>
            <w:tcW w:w="8955" w:type="dxa"/>
            <w:gridSpan w:val="4"/>
            <w:tcBorders>
              <w:top w:val="single" w:sz="4" w:space="0" w:color="000000"/>
              <w:left w:val="single" w:sz="4" w:space="0" w:color="000000"/>
              <w:bottom w:val="single" w:sz="4" w:space="0" w:color="000000"/>
              <w:right w:val="single" w:sz="4" w:space="0" w:color="000000"/>
            </w:tcBorders>
          </w:tcPr>
          <w:p w:rsidR="004D2E32" w:rsidRDefault="004D2E32" w:rsidP="00FC0B62">
            <w:pPr>
              <w:pStyle w:val="Textoindependiente"/>
              <w:jc w:val="both"/>
              <w:rPr>
                <w:rFonts w:ascii="Arial" w:hAnsi="Arial" w:cs="Arial"/>
                <w:sz w:val="18"/>
                <w:szCs w:val="18"/>
              </w:rPr>
            </w:pPr>
            <w:r>
              <w:rPr>
                <w:rFonts w:ascii="Arial" w:hAnsi="Arial" w:cs="Arial"/>
                <w:sz w:val="18"/>
                <w:szCs w:val="18"/>
              </w:rPr>
              <w:t>Cómo se interpretaron:</w:t>
            </w:r>
          </w:p>
          <w:p w:rsidR="004D2E32" w:rsidRDefault="004D2E32" w:rsidP="00FC0B62">
            <w:pPr>
              <w:pStyle w:val="Textoindependiente"/>
              <w:jc w:val="both"/>
              <w:rPr>
                <w:rFonts w:ascii="Arial" w:hAnsi="Arial" w:cs="Arial"/>
                <w:sz w:val="18"/>
                <w:szCs w:val="18"/>
              </w:rPr>
            </w:pPr>
            <w:r>
              <w:rPr>
                <w:rFonts w:ascii="Arial" w:hAnsi="Arial" w:cs="Arial"/>
                <w:sz w:val="18"/>
                <w:szCs w:val="18"/>
              </w:rPr>
              <w:t xml:space="preserve">Se discutió la heterogeneidad              </w:t>
            </w:r>
            <w:r>
              <w:rPr>
                <w:rFonts w:ascii="Arial" w:hAnsi="Arial" w:cs="Arial"/>
                <w:b/>
                <w:bCs/>
                <w:sz w:val="18"/>
                <w:szCs w:val="18"/>
              </w:rPr>
              <w:t xml:space="preserve">SI   </w:t>
            </w:r>
            <w:r w:rsidR="00F33243" w:rsidRPr="00F33243">
              <w:rPr>
                <w:rFonts w:cs="Arial"/>
                <w:b/>
                <w:bCs/>
                <w:noProof/>
                <w:sz w:val="18"/>
                <w:szCs w:val="18"/>
                <w:lang w:eastAsia="es-ES"/>
              </w:rPr>
            </w:r>
            <w:r w:rsidR="00F33243" w:rsidRPr="00F33243">
              <w:rPr>
                <w:rFonts w:cs="Arial"/>
                <w:b/>
                <w:bCs/>
                <w:noProof/>
                <w:sz w:val="18"/>
                <w:szCs w:val="18"/>
                <w:lang w:eastAsia="es-ES"/>
              </w:rPr>
              <w:pict>
                <v:shape id=" 4" o:spid="_x0000_s1063"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txbxContent>
                  </v:textbox>
                  <w10:wrap type="none"/>
                  <w10:anchorlock/>
                </v:shape>
              </w:pict>
            </w:r>
            <w:r>
              <w:rPr>
                <w:rFonts w:ascii="Arial" w:hAnsi="Arial" w:cs="Arial"/>
                <w:b/>
                <w:bCs/>
                <w:sz w:val="18"/>
                <w:szCs w:val="18"/>
              </w:rPr>
              <w:t xml:space="preserve">             NO  </w:t>
            </w:r>
            <w:r w:rsidR="00F33243" w:rsidRPr="00F33243">
              <w:rPr>
                <w:rFonts w:cs="Arial"/>
                <w:b/>
                <w:bCs/>
                <w:noProof/>
                <w:sz w:val="18"/>
                <w:szCs w:val="18"/>
                <w:lang w:eastAsia="es-ES"/>
              </w:rPr>
            </w:r>
            <w:r w:rsidR="00F33243" w:rsidRPr="00F33243">
              <w:rPr>
                <w:rFonts w:cs="Arial"/>
                <w:b/>
                <w:bCs/>
                <w:noProof/>
                <w:sz w:val="18"/>
                <w:szCs w:val="18"/>
                <w:lang w:eastAsia="es-ES"/>
              </w:rPr>
              <w:pict>
                <v:shape id=" 6" o:spid="_x0000_s1062"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r>
                          <w:t>x</w:t>
                        </w:r>
                      </w:p>
                    </w:txbxContent>
                  </v:textbox>
                  <w10:wrap type="none"/>
                  <w10:anchorlock/>
                </v:shape>
              </w:pict>
            </w:r>
            <w:r>
              <w:rPr>
                <w:rFonts w:ascii="Arial" w:hAnsi="Arial" w:cs="Arial"/>
                <w:b/>
                <w:bCs/>
                <w:sz w:val="18"/>
                <w:szCs w:val="18"/>
              </w:rPr>
              <w:t xml:space="preserve">             Dudoso </w:t>
            </w:r>
            <w:r w:rsidR="00F33243" w:rsidRPr="00F33243">
              <w:rPr>
                <w:rFonts w:cs="Arial"/>
                <w:b/>
                <w:bCs/>
                <w:noProof/>
                <w:sz w:val="18"/>
                <w:szCs w:val="18"/>
                <w:lang w:eastAsia="es-ES"/>
              </w:rPr>
            </w:r>
            <w:r w:rsidR="00F33243" w:rsidRPr="00F33243">
              <w:rPr>
                <w:rFonts w:cs="Arial"/>
                <w:b/>
                <w:bCs/>
                <w:noProof/>
                <w:sz w:val="18"/>
                <w:szCs w:val="18"/>
                <w:lang w:eastAsia="es-ES"/>
              </w:rPr>
              <w:pict>
                <v:shape id=" 7" o:spid="_x0000_s1061"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txbxContent>
                  </v:textbox>
                  <w10:wrap type="none"/>
                  <w10:anchorlock/>
                </v:shape>
              </w:pict>
            </w:r>
          </w:p>
          <w:p w:rsidR="004D2E32" w:rsidRDefault="004D2E32" w:rsidP="00FC0B62">
            <w:pPr>
              <w:pStyle w:val="Textoindependiente"/>
              <w:jc w:val="both"/>
              <w:rPr>
                <w:rFonts w:ascii="Arial" w:hAnsi="Arial" w:cs="Arial"/>
                <w:b/>
                <w:bCs/>
                <w:sz w:val="18"/>
                <w:szCs w:val="18"/>
              </w:rPr>
            </w:pPr>
            <w:r>
              <w:rPr>
                <w:rFonts w:ascii="Arial" w:hAnsi="Arial" w:cs="Arial"/>
                <w:sz w:val="18"/>
                <w:szCs w:val="18"/>
              </w:rPr>
              <w:t xml:space="preserve">Se realizó análisis de sensibilidad  (reanálisis cambiando datos de partida de la comparación)   </w:t>
            </w:r>
          </w:p>
          <w:p w:rsidR="004D2E32" w:rsidRDefault="004D2E32" w:rsidP="00FC0B62">
            <w:pPr>
              <w:pStyle w:val="Textoindependiente"/>
              <w:jc w:val="both"/>
            </w:pPr>
            <w:r>
              <w:rPr>
                <w:rFonts w:ascii="Arial" w:hAnsi="Arial" w:cs="Arial"/>
                <w:b/>
                <w:bCs/>
                <w:sz w:val="18"/>
                <w:szCs w:val="18"/>
              </w:rPr>
              <w:t xml:space="preserve">SI  </w:t>
            </w:r>
            <w:r w:rsidR="00F33243" w:rsidRPr="00F33243">
              <w:rPr>
                <w:rFonts w:cs="Arial"/>
                <w:b/>
                <w:bCs/>
                <w:noProof/>
                <w:sz w:val="18"/>
                <w:szCs w:val="18"/>
                <w:lang w:eastAsia="es-ES"/>
              </w:rPr>
            </w:r>
            <w:r w:rsidR="00F33243" w:rsidRPr="00F33243">
              <w:rPr>
                <w:rFonts w:cs="Arial"/>
                <w:b/>
                <w:bCs/>
                <w:noProof/>
                <w:sz w:val="18"/>
                <w:szCs w:val="18"/>
                <w:lang w:eastAsia="es-ES"/>
              </w:rPr>
              <w:pict>
                <v:shape id=" 8" o:spid="_x0000_s1060"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txbxContent>
                  </v:textbox>
                  <w10:wrap type="none"/>
                  <w10:anchorlock/>
                </v:shape>
              </w:pict>
            </w:r>
            <w:r>
              <w:rPr>
                <w:rFonts w:ascii="Arial" w:hAnsi="Arial" w:cs="Arial"/>
                <w:b/>
                <w:bCs/>
                <w:sz w:val="18"/>
                <w:szCs w:val="18"/>
              </w:rPr>
              <w:t xml:space="preserve">              NO </w:t>
            </w:r>
            <w:r w:rsidR="00F33243" w:rsidRPr="00F33243">
              <w:rPr>
                <w:rFonts w:cs="Arial"/>
                <w:b/>
                <w:bCs/>
                <w:noProof/>
                <w:sz w:val="18"/>
                <w:szCs w:val="18"/>
                <w:lang w:eastAsia="es-ES"/>
              </w:rPr>
            </w:r>
            <w:r w:rsidR="00F33243" w:rsidRPr="00F33243">
              <w:rPr>
                <w:rFonts w:cs="Arial"/>
                <w:b/>
                <w:bCs/>
                <w:noProof/>
                <w:sz w:val="18"/>
                <w:szCs w:val="18"/>
                <w:lang w:eastAsia="es-ES"/>
              </w:rPr>
              <w:pict>
                <v:shape id=" 9" o:spid="_x0000_s1059"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r>
                          <w:t>x</w:t>
                        </w:r>
                      </w:p>
                    </w:txbxContent>
                  </v:textbox>
                  <w10:wrap type="none"/>
                  <w10:anchorlock/>
                </v:shape>
              </w:pict>
            </w:r>
          </w:p>
        </w:tc>
      </w:tr>
      <w:tr w:rsidR="004D2E32" w:rsidTr="004D2E32">
        <w:trPr>
          <w:cantSplit/>
        </w:trPr>
        <w:tc>
          <w:tcPr>
            <w:tcW w:w="8955" w:type="dxa"/>
            <w:gridSpan w:val="4"/>
            <w:tcBorders>
              <w:top w:val="single" w:sz="4" w:space="0" w:color="000000"/>
              <w:left w:val="single" w:sz="4" w:space="0" w:color="000000"/>
              <w:bottom w:val="single" w:sz="4" w:space="0" w:color="000000"/>
              <w:right w:val="single" w:sz="4" w:space="0" w:color="000000"/>
            </w:tcBorders>
          </w:tcPr>
          <w:p w:rsidR="004D2E32" w:rsidRDefault="004D2E32" w:rsidP="00FC0B62">
            <w:pPr>
              <w:pStyle w:val="Textoindependiente"/>
              <w:jc w:val="both"/>
              <w:rPr>
                <w:rFonts w:ascii="Arial" w:hAnsi="Arial" w:cs="Arial"/>
                <w:sz w:val="16"/>
                <w:szCs w:val="16"/>
              </w:rPr>
            </w:pPr>
            <w:r>
              <w:rPr>
                <w:rFonts w:ascii="Arial" w:hAnsi="Arial" w:cs="Arial"/>
                <w:sz w:val="16"/>
                <w:szCs w:val="16"/>
              </w:rPr>
              <w:t xml:space="preserve">Otros comentarios: </w:t>
            </w:r>
          </w:p>
          <w:p w:rsidR="004D2E32" w:rsidRPr="004D2E32" w:rsidRDefault="004D2E32" w:rsidP="004D2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inherit" w:hAnsi="inherit" w:cs="Courier New"/>
                <w:color w:val="212121"/>
                <w:sz w:val="20"/>
                <w:szCs w:val="20"/>
                <w:lang w:eastAsia="es-ES"/>
              </w:rPr>
            </w:pPr>
            <w:r>
              <w:rPr>
                <w:rFonts w:ascii="Arial" w:hAnsi="Arial" w:cs="Arial"/>
                <w:sz w:val="18"/>
                <w:szCs w:val="18"/>
              </w:rPr>
              <w:t>S</w:t>
            </w:r>
            <w:r w:rsidRPr="004D2E32">
              <w:rPr>
                <w:rFonts w:ascii="Arial" w:hAnsi="Arial" w:cs="Arial"/>
                <w:sz w:val="18"/>
                <w:szCs w:val="18"/>
              </w:rPr>
              <w:t xml:space="preserve">e limitó </w:t>
            </w:r>
            <w:r>
              <w:rPr>
                <w:rFonts w:ascii="Arial" w:hAnsi="Arial" w:cs="Arial"/>
                <w:sz w:val="18"/>
                <w:szCs w:val="18"/>
              </w:rPr>
              <w:t xml:space="preserve">el análisis </w:t>
            </w:r>
            <w:r w:rsidRPr="004D2E32">
              <w:rPr>
                <w:rFonts w:ascii="Arial" w:hAnsi="Arial" w:cs="Arial"/>
                <w:sz w:val="18"/>
                <w:szCs w:val="18"/>
              </w:rPr>
              <w:t xml:space="preserve">a </w:t>
            </w:r>
            <w:r w:rsidR="00A42A3B">
              <w:rPr>
                <w:rFonts w:ascii="Arial" w:hAnsi="Arial" w:cs="Arial"/>
                <w:sz w:val="18"/>
                <w:szCs w:val="18"/>
              </w:rPr>
              <w:t xml:space="preserve">la </w:t>
            </w:r>
            <w:r w:rsidRPr="004D2E32">
              <w:rPr>
                <w:rFonts w:ascii="Arial" w:hAnsi="Arial" w:cs="Arial"/>
                <w:sz w:val="18"/>
                <w:szCs w:val="18"/>
              </w:rPr>
              <w:t>cohorte de pacientes M1</w:t>
            </w:r>
            <w:r w:rsidR="00A42A3B" w:rsidRPr="004D2E32">
              <w:rPr>
                <w:rFonts w:ascii="Arial" w:hAnsi="Arial" w:cs="Arial"/>
                <w:sz w:val="18"/>
                <w:szCs w:val="18"/>
              </w:rPr>
              <w:t xml:space="preserve"> </w:t>
            </w:r>
            <w:r w:rsidR="00A42A3B">
              <w:rPr>
                <w:rFonts w:ascii="Arial" w:hAnsi="Arial" w:cs="Arial"/>
                <w:sz w:val="18"/>
                <w:szCs w:val="18"/>
              </w:rPr>
              <w:t>hormono</w:t>
            </w:r>
            <w:r w:rsidR="00A42A3B" w:rsidRPr="004D2E32">
              <w:rPr>
                <w:rFonts w:ascii="Arial" w:hAnsi="Arial" w:cs="Arial"/>
                <w:sz w:val="18"/>
                <w:szCs w:val="18"/>
              </w:rPr>
              <w:t>sensibles</w:t>
            </w:r>
          </w:p>
          <w:p w:rsidR="004D2E32" w:rsidRDefault="004D2E32" w:rsidP="00FC0B62">
            <w:pPr>
              <w:pStyle w:val="Textoindependiente"/>
              <w:jc w:val="both"/>
            </w:pPr>
          </w:p>
        </w:tc>
      </w:tr>
      <w:tr w:rsidR="004D2E32" w:rsidTr="004D2E32">
        <w:trPr>
          <w:cantSplit/>
        </w:trPr>
        <w:tc>
          <w:tcPr>
            <w:tcW w:w="8955" w:type="dxa"/>
            <w:gridSpan w:val="4"/>
            <w:tcBorders>
              <w:top w:val="single" w:sz="4" w:space="0" w:color="000000"/>
              <w:left w:val="single" w:sz="4" w:space="0" w:color="000000"/>
              <w:bottom w:val="single" w:sz="4" w:space="0" w:color="000000"/>
              <w:right w:val="single" w:sz="4" w:space="0" w:color="000000"/>
            </w:tcBorders>
          </w:tcPr>
          <w:p w:rsidR="004D2E32" w:rsidRDefault="004D2E32" w:rsidP="00FC0B62">
            <w:pPr>
              <w:pStyle w:val="Textoindependiente"/>
              <w:jc w:val="both"/>
            </w:pPr>
            <w:r>
              <w:rPr>
                <w:rFonts w:ascii="Arial" w:hAnsi="Arial" w:cs="Arial"/>
                <w:sz w:val="16"/>
                <w:szCs w:val="16"/>
              </w:rPr>
              <w:t xml:space="preserve">Está justificada la comparación indirecta:  </w:t>
            </w:r>
            <w:r>
              <w:rPr>
                <w:rFonts w:ascii="Arial" w:hAnsi="Arial" w:cs="Arial"/>
                <w:b/>
                <w:bCs/>
                <w:sz w:val="16"/>
                <w:szCs w:val="16"/>
              </w:rPr>
              <w:t xml:space="preserve">SI </w:t>
            </w:r>
            <w:r w:rsidR="00F33243" w:rsidRPr="00F33243">
              <w:rPr>
                <w:rFonts w:cs="Arial"/>
                <w:b/>
                <w:bCs/>
                <w:noProof/>
                <w:sz w:val="16"/>
                <w:szCs w:val="16"/>
                <w:lang w:eastAsia="es-ES"/>
              </w:rPr>
            </w:r>
            <w:r w:rsidR="00F33243" w:rsidRPr="00F33243">
              <w:rPr>
                <w:rFonts w:cs="Arial"/>
                <w:b/>
                <w:bCs/>
                <w:noProof/>
                <w:sz w:val="16"/>
                <w:szCs w:val="16"/>
                <w:lang w:eastAsia="es-ES"/>
              </w:rPr>
              <w:pict>
                <v:shape id=" 10" o:spid="_x0000_s1058"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r>
                          <w:t>X</w:t>
                        </w:r>
                      </w:p>
                    </w:txbxContent>
                  </v:textbox>
                  <w10:wrap type="none"/>
                  <w10:anchorlock/>
                </v:shape>
              </w:pict>
            </w:r>
            <w:r>
              <w:rPr>
                <w:rFonts w:ascii="Arial" w:hAnsi="Arial" w:cs="Arial"/>
                <w:b/>
                <w:bCs/>
                <w:sz w:val="16"/>
                <w:szCs w:val="16"/>
              </w:rPr>
              <w:t xml:space="preserve">              NO   </w:t>
            </w:r>
            <w:r w:rsidR="00F33243" w:rsidRPr="00F33243">
              <w:rPr>
                <w:rFonts w:cs="Arial"/>
                <w:b/>
                <w:bCs/>
                <w:noProof/>
                <w:sz w:val="16"/>
                <w:szCs w:val="16"/>
                <w:lang w:eastAsia="es-ES"/>
              </w:rPr>
            </w:r>
            <w:r w:rsidR="00F33243" w:rsidRPr="00F33243">
              <w:rPr>
                <w:rFonts w:cs="Arial"/>
                <w:b/>
                <w:bCs/>
                <w:noProof/>
                <w:sz w:val="16"/>
                <w:szCs w:val="16"/>
                <w:lang w:eastAsia="es-ES"/>
              </w:rPr>
              <w:pict>
                <v:shape id=" 11" o:spid="_x0000_s1057"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txbxContent>
                  </v:textbox>
                  <w10:wrap type="none"/>
                  <w10:anchorlock/>
                </v:shape>
              </w:pict>
            </w:r>
            <w:r>
              <w:rPr>
                <w:rFonts w:ascii="Arial" w:hAnsi="Arial" w:cs="Arial"/>
                <w:b/>
                <w:bCs/>
                <w:sz w:val="16"/>
                <w:szCs w:val="16"/>
              </w:rPr>
              <w:t xml:space="preserve">            Dudoso  </w:t>
            </w:r>
            <w:r w:rsidR="00F33243" w:rsidRPr="00F33243">
              <w:rPr>
                <w:rFonts w:cs="Arial"/>
                <w:noProof/>
                <w:sz w:val="16"/>
                <w:szCs w:val="16"/>
                <w:lang w:eastAsia="es-ES"/>
              </w:rPr>
            </w:r>
            <w:r w:rsidR="00F33243" w:rsidRPr="00F33243">
              <w:rPr>
                <w:rFonts w:cs="Arial"/>
                <w:noProof/>
                <w:sz w:val="16"/>
                <w:szCs w:val="16"/>
                <w:lang w:eastAsia="es-ES"/>
              </w:rPr>
              <w:pict>
                <v:shape id=" 12" o:spid="_x0000_s1056"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txbxContent>
                  </v:textbox>
                  <w10:wrap type="none"/>
                  <w10:anchorlock/>
                </v:shape>
              </w:pict>
            </w:r>
          </w:p>
        </w:tc>
      </w:tr>
      <w:tr w:rsidR="004D2E32" w:rsidTr="004D2E32">
        <w:trPr>
          <w:cantSplit/>
          <w:trHeight w:val="390"/>
        </w:trPr>
        <w:tc>
          <w:tcPr>
            <w:tcW w:w="8955" w:type="dxa"/>
            <w:gridSpan w:val="4"/>
            <w:tcBorders>
              <w:top w:val="single" w:sz="4" w:space="0" w:color="000000"/>
              <w:left w:val="single" w:sz="4" w:space="0" w:color="000000"/>
              <w:bottom w:val="single" w:sz="4" w:space="0" w:color="000000"/>
              <w:right w:val="single" w:sz="4" w:space="0" w:color="000000"/>
            </w:tcBorders>
          </w:tcPr>
          <w:p w:rsidR="004D2E32" w:rsidRDefault="004D2E32" w:rsidP="00FC0B62">
            <w:pPr>
              <w:pStyle w:val="Textoindependiente"/>
              <w:jc w:val="both"/>
              <w:rPr>
                <w:rFonts w:ascii="Arial" w:hAnsi="Arial" w:cs="Arial"/>
                <w:sz w:val="16"/>
                <w:szCs w:val="16"/>
              </w:rPr>
            </w:pPr>
            <w:r>
              <w:rPr>
                <w:rFonts w:ascii="Arial" w:hAnsi="Arial" w:cs="Arial"/>
                <w:sz w:val="16"/>
                <w:szCs w:val="16"/>
              </w:rPr>
              <w:t xml:space="preserve">Realizada por: Laboratorio fabricante       </w:t>
            </w:r>
            <w:r w:rsidR="00F33243" w:rsidRPr="00F33243">
              <w:rPr>
                <w:rFonts w:cs="Arial"/>
                <w:noProof/>
                <w:sz w:val="16"/>
                <w:szCs w:val="16"/>
                <w:lang w:eastAsia="es-ES"/>
              </w:rPr>
            </w:r>
            <w:r w:rsidR="00F33243" w:rsidRPr="00F33243">
              <w:rPr>
                <w:rFonts w:cs="Arial"/>
                <w:noProof/>
                <w:sz w:val="16"/>
                <w:szCs w:val="16"/>
                <w:lang w:eastAsia="es-ES"/>
              </w:rPr>
              <w:pict>
                <v:shape id=" 13" o:spid="_x0000_s1055"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txbxContent>
                  </v:textbox>
                  <w10:wrap type="none"/>
                  <w10:anchorlock/>
                </v:shape>
              </w:pict>
            </w:r>
            <w:r>
              <w:rPr>
                <w:rFonts w:ascii="Arial" w:hAnsi="Arial" w:cs="Arial"/>
                <w:sz w:val="16"/>
                <w:szCs w:val="16"/>
              </w:rPr>
              <w:t xml:space="preserve">       Patrocinada por laboratorio </w:t>
            </w:r>
            <w:r w:rsidR="00F33243" w:rsidRPr="00F33243">
              <w:rPr>
                <w:rFonts w:cs="Arial"/>
                <w:noProof/>
                <w:sz w:val="16"/>
                <w:szCs w:val="16"/>
                <w:lang w:eastAsia="es-ES"/>
              </w:rPr>
            </w:r>
            <w:r w:rsidR="00F33243" w:rsidRPr="00F33243">
              <w:rPr>
                <w:rFonts w:cs="Arial"/>
                <w:noProof/>
                <w:sz w:val="16"/>
                <w:szCs w:val="16"/>
                <w:lang w:eastAsia="es-ES"/>
              </w:rPr>
              <w:pict>
                <v:shape id=" 14" o:spid="_x0000_s1054"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txbxContent>
                  </v:textbox>
                  <w10:wrap type="none"/>
                  <w10:anchorlock/>
                </v:shape>
              </w:pict>
            </w:r>
            <w:r>
              <w:rPr>
                <w:rFonts w:ascii="Arial" w:hAnsi="Arial" w:cs="Arial"/>
                <w:sz w:val="16"/>
                <w:szCs w:val="16"/>
              </w:rPr>
              <w:t xml:space="preserve">   Organismo independiente  </w:t>
            </w:r>
            <w:r w:rsidR="00F33243" w:rsidRPr="00F33243">
              <w:rPr>
                <w:rFonts w:cs="Arial"/>
                <w:noProof/>
                <w:sz w:val="16"/>
                <w:szCs w:val="16"/>
                <w:lang w:eastAsia="es-ES"/>
              </w:rPr>
            </w:r>
            <w:r w:rsidR="00F33243" w:rsidRPr="00F33243">
              <w:rPr>
                <w:rFonts w:cs="Arial"/>
                <w:noProof/>
                <w:sz w:val="16"/>
                <w:szCs w:val="16"/>
                <w:lang w:eastAsia="es-ES"/>
              </w:rPr>
              <w:pict>
                <v:shape id=" 15" o:spid="_x0000_s1053"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4D2E32">
                        <w:r>
                          <w:t>X</w:t>
                        </w:r>
                      </w:p>
                    </w:txbxContent>
                  </v:textbox>
                  <w10:wrap type="none"/>
                  <w10:anchorlock/>
                </v:shape>
              </w:pict>
            </w:r>
          </w:p>
          <w:p w:rsidR="004D2E32" w:rsidRDefault="004D2E32" w:rsidP="00FC0B62">
            <w:pPr>
              <w:pStyle w:val="Textoindependiente"/>
              <w:jc w:val="both"/>
            </w:pPr>
            <w:r>
              <w:rPr>
                <w:rFonts w:ascii="Arial" w:hAnsi="Arial" w:cs="Arial"/>
                <w:sz w:val="16"/>
                <w:szCs w:val="16"/>
              </w:rPr>
              <w:t>Nombre:</w:t>
            </w:r>
          </w:p>
        </w:tc>
      </w:tr>
    </w:tbl>
    <w:p w:rsidR="004D2E32" w:rsidRDefault="004D2E32">
      <w:pPr>
        <w:jc w:val="both"/>
        <w:rPr>
          <w:rFonts w:ascii="Arial" w:hAnsi="Arial" w:cs="Arial"/>
          <w:color w:val="000080"/>
          <w:sz w:val="20"/>
          <w:szCs w:val="20"/>
        </w:rPr>
      </w:pPr>
    </w:p>
    <w:p w:rsidR="0056194E" w:rsidRDefault="0056194E">
      <w:pPr>
        <w:jc w:val="both"/>
        <w:rPr>
          <w:rFonts w:ascii="Arial" w:hAnsi="Arial" w:cs="Arial"/>
          <w:color w:val="000080"/>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FF0000"/>
          <w:sz w:val="20"/>
        </w:rPr>
      </w:pPr>
      <w:bookmarkStart w:id="27" w:name="_Toc536608343"/>
      <w:r>
        <w:rPr>
          <w:sz w:val="20"/>
        </w:rPr>
        <w:t>5.3.b.2 Comparaciones indirectas de elaboración propia</w:t>
      </w:r>
      <w:bookmarkEnd w:id="27"/>
    </w:p>
    <w:p w:rsidR="0056194E" w:rsidRDefault="0056194E">
      <w:pPr>
        <w:jc w:val="both"/>
        <w:rPr>
          <w:rFonts w:ascii="Arial" w:hAnsi="Arial" w:cs="Arial"/>
          <w:color w:val="111111"/>
          <w:sz w:val="20"/>
          <w:szCs w:val="20"/>
        </w:rPr>
      </w:pPr>
    </w:p>
    <w:p w:rsidR="0056194E" w:rsidRDefault="0056194E">
      <w:pPr>
        <w:jc w:val="both"/>
        <w:rPr>
          <w:rFonts w:ascii="Arial" w:hAnsi="Arial" w:cs="Arial"/>
          <w:color w:val="111111"/>
          <w:sz w:val="20"/>
          <w:szCs w:val="20"/>
        </w:rPr>
      </w:pPr>
      <w:r>
        <w:rPr>
          <w:rFonts w:ascii="Arial" w:hAnsi="Arial" w:cs="Arial"/>
          <w:color w:val="111111"/>
          <w:sz w:val="20"/>
          <w:szCs w:val="20"/>
        </w:rPr>
        <w:t>Dado que los ensayos clínicos STAMPEDE-abiraterona</w:t>
      </w:r>
      <w:r>
        <w:rPr>
          <w:rFonts w:ascii="Arial" w:hAnsi="Arial" w:cs="Arial"/>
          <w:color w:val="111111"/>
          <w:sz w:val="20"/>
          <w:szCs w:val="20"/>
          <w:vertAlign w:val="superscript"/>
        </w:rPr>
        <w:t>16</w:t>
      </w:r>
      <w:r>
        <w:rPr>
          <w:rFonts w:ascii="Arial" w:hAnsi="Arial" w:cs="Arial"/>
          <w:color w:val="111111"/>
          <w:sz w:val="20"/>
          <w:szCs w:val="20"/>
        </w:rPr>
        <w:t xml:space="preserve"> y STAMPEDE-docetaxel</w:t>
      </w:r>
      <w:r>
        <w:rPr>
          <w:rFonts w:ascii="Arial" w:hAnsi="Arial" w:cs="Arial"/>
          <w:color w:val="111111"/>
          <w:sz w:val="20"/>
          <w:szCs w:val="20"/>
          <w:vertAlign w:val="superscript"/>
        </w:rPr>
        <w:t>2</w:t>
      </w:r>
      <w:r w:rsidR="008503B4">
        <w:rPr>
          <w:rFonts w:ascii="Arial" w:hAnsi="Arial" w:cs="Arial"/>
          <w:color w:val="111111"/>
          <w:sz w:val="20"/>
          <w:szCs w:val="20"/>
          <w:vertAlign w:val="superscript"/>
        </w:rPr>
        <w:t>4</w:t>
      </w:r>
      <w:r>
        <w:rPr>
          <w:rFonts w:ascii="Arial" w:hAnsi="Arial" w:cs="Arial"/>
          <w:color w:val="111111"/>
          <w:sz w:val="20"/>
          <w:szCs w:val="20"/>
        </w:rPr>
        <w:t xml:space="preserve"> pertenecen a un mismo proyecto común y se trata de un estudio multicéntrico, multibrazo y multiestadío, se seleccionaron los brazos del mismo (que en realidad constituyen estudios independientes) de abiraterona+TDA vs. TDA y docetaxel+TDA vs. TDA y se realizó una comparación indirecta propia empleando la calculadora Wells 2009 (Método Bucher)</w:t>
      </w:r>
      <w:r>
        <w:rPr>
          <w:rFonts w:ascii="Arial" w:hAnsi="Arial" w:cs="Arial"/>
          <w:color w:val="111111"/>
          <w:sz w:val="20"/>
          <w:szCs w:val="20"/>
          <w:vertAlign w:val="superscript"/>
        </w:rPr>
        <w:t xml:space="preserve"> 2</w:t>
      </w:r>
      <w:r w:rsidR="008503B4">
        <w:rPr>
          <w:rFonts w:ascii="Arial" w:hAnsi="Arial" w:cs="Arial"/>
          <w:color w:val="111111"/>
          <w:sz w:val="20"/>
          <w:szCs w:val="20"/>
          <w:vertAlign w:val="superscript"/>
        </w:rPr>
        <w:t>5</w:t>
      </w:r>
      <w:r>
        <w:rPr>
          <w:rFonts w:ascii="Arial" w:hAnsi="Arial" w:cs="Arial"/>
          <w:color w:val="111111"/>
          <w:sz w:val="20"/>
          <w:szCs w:val="20"/>
        </w:rPr>
        <w:t xml:space="preserve">. Los criterios de inclusión y de exclusión son los mismos y las características basales de la población incluida también, aunque se encontró una diferencia que pudo haber afectado a los resultados de eficacia: en aquellos pacientes que tenían N(-)M(-) la radioterapia fue obligatoria, mientras que en aquellos que tenían N(+) era opcional. Así, nos encontramos que en el STAMPEDE-abiraterona, recibieron radioterapia un 41% de los pacientes del grupo control y un 41% del grupo activo, mientras que en el STAMPEDE-docetaxel recibieron radioterapia un 29% de los pacientes del grupo control y un 28% del grupo activo. Es cierto que dentro de cada estudio la proporción de pacientes con y sin radioterapia estaba equilibrada entre ambos brazos, no obstante, esto puede haber afectado a esta comparación indirecta en favor de abiraterona. </w:t>
      </w:r>
    </w:p>
    <w:p w:rsidR="0056194E" w:rsidRDefault="0056194E">
      <w:pPr>
        <w:jc w:val="both"/>
        <w:rPr>
          <w:rFonts w:ascii="Arial" w:hAnsi="Arial" w:cs="Arial"/>
          <w:b/>
          <w:color w:val="FF0000"/>
          <w:sz w:val="20"/>
          <w:szCs w:val="20"/>
        </w:rPr>
      </w:pPr>
      <w:r>
        <w:rPr>
          <w:rFonts w:ascii="Arial" w:hAnsi="Arial" w:cs="Arial"/>
          <w:color w:val="111111"/>
          <w:sz w:val="20"/>
          <w:szCs w:val="20"/>
        </w:rPr>
        <w:t>Debido a que la indicación de abiraterona en esta fase de la enfermedad se rige por los criterios de inclusión del ensayo clínico LATITUDE, en el que sólo se incluyeron pacientes con CPHS metastásico, hemos realizado una comparación indirecta en SG del total de los pacientes incluidos en ambos estudios STAMPEDE y otra comparación indirecta donde hemos incluido únicamente a los pacientes metastásicos.</w:t>
      </w:r>
    </w:p>
    <w:p w:rsidR="0056194E" w:rsidRDefault="0056194E">
      <w:pPr>
        <w:jc w:val="both"/>
        <w:rPr>
          <w:rFonts w:ascii="Arial" w:hAnsi="Arial" w:cs="Arial"/>
          <w:b/>
          <w:color w:val="FF0000"/>
          <w:sz w:val="20"/>
          <w:szCs w:val="20"/>
        </w:rPr>
      </w:pPr>
    </w:p>
    <w:p w:rsidR="0056194E" w:rsidRDefault="0056194E">
      <w:pPr>
        <w:jc w:val="both"/>
        <w:rPr>
          <w:rFonts w:ascii="Arial" w:hAnsi="Arial" w:cs="Arial"/>
          <w:b/>
          <w:color w:val="111111"/>
          <w:sz w:val="20"/>
          <w:szCs w:val="20"/>
        </w:rPr>
      </w:pPr>
    </w:p>
    <w:p w:rsidR="0056194E" w:rsidRDefault="0056194E">
      <w:pPr>
        <w:jc w:val="both"/>
        <w:rPr>
          <w:rFonts w:ascii="Arial" w:hAnsi="Arial" w:cs="Arial"/>
          <w:b/>
          <w:color w:val="111111"/>
          <w:sz w:val="20"/>
          <w:szCs w:val="20"/>
        </w:rPr>
      </w:pPr>
    </w:p>
    <w:p w:rsidR="0056194E" w:rsidRDefault="0056194E">
      <w:pPr>
        <w:jc w:val="both"/>
        <w:rPr>
          <w:rFonts w:ascii="Arial" w:hAnsi="Arial" w:cs="Arial"/>
          <w:b/>
          <w:color w:val="111111"/>
          <w:sz w:val="20"/>
          <w:szCs w:val="20"/>
        </w:rPr>
      </w:pPr>
    </w:p>
    <w:tbl>
      <w:tblPr>
        <w:tblW w:w="0" w:type="auto"/>
        <w:tblInd w:w="-125" w:type="dxa"/>
        <w:tblLayout w:type="fixed"/>
        <w:tblLook w:val="0000"/>
      </w:tblPr>
      <w:tblGrid>
        <w:gridCol w:w="2567"/>
        <w:gridCol w:w="1457"/>
        <w:gridCol w:w="1482"/>
        <w:gridCol w:w="2259"/>
        <w:gridCol w:w="1542"/>
      </w:tblGrid>
      <w:tr w:rsidR="0056194E">
        <w:tc>
          <w:tcPr>
            <w:tcW w:w="9307" w:type="dxa"/>
            <w:gridSpan w:val="5"/>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rPr>
                <w:rFonts w:ascii="Arial" w:hAnsi="Arial" w:cs="Arial"/>
                <w:b/>
                <w:sz w:val="20"/>
                <w:szCs w:val="20"/>
              </w:rPr>
            </w:pPr>
            <w:r>
              <w:rPr>
                <w:rFonts w:ascii="Arial" w:hAnsi="Arial" w:cs="Arial"/>
                <w:b/>
                <w:sz w:val="20"/>
                <w:szCs w:val="20"/>
              </w:rPr>
              <w:t xml:space="preserve">Tabla </w:t>
            </w:r>
          </w:p>
          <w:p w:rsidR="0056194E" w:rsidRDefault="0056194E">
            <w:pPr>
              <w:jc w:val="both"/>
            </w:pPr>
            <w:r>
              <w:rPr>
                <w:rFonts w:ascii="Arial" w:hAnsi="Arial" w:cs="Arial"/>
                <w:b/>
                <w:sz w:val="20"/>
                <w:szCs w:val="20"/>
              </w:rPr>
              <w:t>COMPARACIÓN INDIRECTA PROPIA (Método Bucher, Calculadora Wells 2009)</w:t>
            </w:r>
            <w:r>
              <w:rPr>
                <w:rFonts w:ascii="Arial" w:hAnsi="Arial" w:cs="Arial"/>
                <w:b/>
                <w:color w:val="111111"/>
                <w:sz w:val="20"/>
                <w:szCs w:val="20"/>
                <w:vertAlign w:val="superscript"/>
              </w:rPr>
              <w:t>2</w:t>
            </w:r>
            <w:r w:rsidR="008503B4">
              <w:rPr>
                <w:rFonts w:ascii="Arial" w:hAnsi="Arial" w:cs="Arial"/>
                <w:b/>
                <w:color w:val="111111"/>
                <w:sz w:val="20"/>
                <w:szCs w:val="20"/>
                <w:vertAlign w:val="superscript"/>
              </w:rPr>
              <w:t>5</w:t>
            </w:r>
          </w:p>
        </w:tc>
      </w:tr>
      <w:tr w:rsidR="0056194E">
        <w:tc>
          <w:tcPr>
            <w:tcW w:w="2567" w:type="dxa"/>
            <w:tcBorders>
              <w:top w:val="single" w:sz="4" w:space="0" w:color="000000"/>
              <w:left w:val="single" w:sz="4" w:space="0" w:color="000000"/>
              <w:bottom w:val="single" w:sz="4" w:space="0" w:color="000000"/>
            </w:tcBorders>
            <w:shd w:val="clear" w:color="auto" w:fill="E6E6E6"/>
          </w:tcPr>
          <w:p w:rsidR="0056194E" w:rsidRDefault="0056194E">
            <w:pPr>
              <w:snapToGrid w:val="0"/>
              <w:jc w:val="both"/>
            </w:pPr>
            <w:r>
              <w:rPr>
                <w:rFonts w:ascii="Arial" w:hAnsi="Arial" w:cs="Arial"/>
                <w:b/>
                <w:sz w:val="20"/>
                <w:szCs w:val="20"/>
              </w:rPr>
              <w:t>ENSAYO CLÍNICO</w:t>
            </w:r>
          </w:p>
        </w:tc>
        <w:tc>
          <w:tcPr>
            <w:tcW w:w="1457" w:type="dxa"/>
            <w:tcBorders>
              <w:top w:val="single" w:sz="4" w:space="0" w:color="000000"/>
              <w:left w:val="single" w:sz="4" w:space="0" w:color="000000"/>
              <w:bottom w:val="single" w:sz="4" w:space="0" w:color="000000"/>
            </w:tcBorders>
            <w:shd w:val="clear" w:color="auto" w:fill="E6E6E6"/>
          </w:tcPr>
          <w:p w:rsidR="0056194E" w:rsidRPr="006A311C" w:rsidRDefault="0056194E">
            <w:pPr>
              <w:jc w:val="both"/>
              <w:rPr>
                <w:lang w:val="pt-BR"/>
              </w:rPr>
            </w:pPr>
            <w:r>
              <w:rPr>
                <w:rFonts w:ascii="Arial" w:hAnsi="Arial" w:cs="Arial"/>
                <w:b/>
                <w:sz w:val="20"/>
                <w:szCs w:val="20"/>
                <w:lang w:val="pt-BR"/>
              </w:rPr>
              <w:t>Eventos tto / Nº de pacientes (n1/N)</w:t>
            </w:r>
          </w:p>
        </w:tc>
        <w:tc>
          <w:tcPr>
            <w:tcW w:w="1482" w:type="dxa"/>
            <w:tcBorders>
              <w:top w:val="single" w:sz="4" w:space="0" w:color="000000"/>
              <w:left w:val="single" w:sz="4" w:space="0" w:color="000000"/>
              <w:bottom w:val="single" w:sz="4" w:space="0" w:color="000000"/>
            </w:tcBorders>
            <w:shd w:val="clear" w:color="auto" w:fill="E6E6E6"/>
          </w:tcPr>
          <w:p w:rsidR="0056194E" w:rsidRPr="006A311C" w:rsidRDefault="0056194E">
            <w:pPr>
              <w:jc w:val="both"/>
              <w:rPr>
                <w:lang w:val="pt-BR"/>
              </w:rPr>
            </w:pPr>
            <w:r>
              <w:rPr>
                <w:rFonts w:ascii="Arial" w:hAnsi="Arial" w:cs="Arial"/>
                <w:b/>
                <w:sz w:val="20"/>
                <w:szCs w:val="20"/>
                <w:lang w:val="pt-BR"/>
              </w:rPr>
              <w:t>Eventos control / Nº de pacientes (n2/N)</w:t>
            </w:r>
          </w:p>
        </w:tc>
        <w:tc>
          <w:tcPr>
            <w:tcW w:w="2259" w:type="dxa"/>
            <w:tcBorders>
              <w:top w:val="single" w:sz="4" w:space="0" w:color="000000"/>
              <w:left w:val="single" w:sz="4" w:space="0" w:color="000000"/>
              <w:bottom w:val="single" w:sz="4" w:space="0" w:color="000000"/>
            </w:tcBorders>
            <w:shd w:val="clear" w:color="auto" w:fill="E6E6E6"/>
          </w:tcPr>
          <w:p w:rsidR="0056194E" w:rsidRDefault="0056194E">
            <w:pPr>
              <w:jc w:val="both"/>
            </w:pPr>
            <w:r>
              <w:rPr>
                <w:rFonts w:ascii="Arial" w:hAnsi="Arial" w:cs="Arial"/>
                <w:b/>
                <w:sz w:val="20"/>
                <w:szCs w:val="20"/>
                <w:lang w:val="de-DE"/>
              </w:rPr>
              <w:t>HR (IC 95%)</w:t>
            </w:r>
          </w:p>
        </w:tc>
        <w:tc>
          <w:tcPr>
            <w:tcW w:w="1542" w:type="dxa"/>
            <w:tcBorders>
              <w:top w:val="single" w:sz="4" w:space="0" w:color="000000"/>
              <w:left w:val="single" w:sz="4" w:space="0" w:color="000000"/>
              <w:bottom w:val="single" w:sz="4" w:space="0" w:color="000000"/>
              <w:right w:val="single" w:sz="4" w:space="0" w:color="000000"/>
            </w:tcBorders>
            <w:shd w:val="clear" w:color="auto" w:fill="E6E6E6"/>
          </w:tcPr>
          <w:p w:rsidR="0056194E" w:rsidRDefault="0056194E">
            <w:pPr>
              <w:jc w:val="both"/>
            </w:pPr>
            <w:r>
              <w:rPr>
                <w:rFonts w:ascii="Arial" w:hAnsi="Arial" w:cs="Arial"/>
                <w:b/>
                <w:sz w:val="20"/>
                <w:szCs w:val="20"/>
              </w:rPr>
              <w:t>p</w:t>
            </w:r>
          </w:p>
        </w:tc>
      </w:tr>
      <w:tr w:rsidR="0056194E">
        <w:tc>
          <w:tcPr>
            <w:tcW w:w="2567"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b/>
                <w:sz w:val="18"/>
                <w:szCs w:val="18"/>
              </w:rPr>
            </w:pPr>
          </w:p>
          <w:p w:rsidR="0056194E" w:rsidRDefault="0056194E">
            <w:pPr>
              <w:jc w:val="both"/>
              <w:rPr>
                <w:rFonts w:ascii="Arial" w:hAnsi="Arial" w:cs="Arial"/>
                <w:b/>
                <w:bCs/>
                <w:i/>
                <w:iCs/>
                <w:sz w:val="18"/>
                <w:szCs w:val="18"/>
              </w:rPr>
            </w:pPr>
            <w:r>
              <w:rPr>
                <w:rFonts w:ascii="Arial" w:hAnsi="Arial" w:cs="Arial"/>
                <w:b/>
                <w:bCs/>
                <w:sz w:val="18"/>
                <w:szCs w:val="18"/>
              </w:rPr>
              <w:t xml:space="preserve">STAMPEDE-BRAZO </w:t>
            </w:r>
            <w:r w:rsidRPr="00CE52DE">
              <w:rPr>
                <w:rFonts w:ascii="Arial" w:hAnsi="Arial" w:cs="Arial"/>
                <w:b/>
                <w:bCs/>
                <w:sz w:val="20"/>
                <w:szCs w:val="20"/>
              </w:rPr>
              <w:t>C</w:t>
            </w:r>
            <w:r>
              <w:rPr>
                <w:rFonts w:ascii="Arial" w:hAnsi="Arial" w:cs="Arial"/>
                <w:b/>
                <w:bCs/>
                <w:sz w:val="20"/>
                <w:szCs w:val="20"/>
                <w:vertAlign w:val="superscript"/>
              </w:rPr>
              <w:t>2</w:t>
            </w:r>
            <w:r w:rsidR="008503B4">
              <w:rPr>
                <w:rFonts w:ascii="Arial" w:hAnsi="Arial" w:cs="Arial"/>
                <w:b/>
                <w:bCs/>
                <w:sz w:val="20"/>
                <w:szCs w:val="20"/>
                <w:vertAlign w:val="superscript"/>
              </w:rPr>
              <w:t>4</w:t>
            </w:r>
          </w:p>
          <w:p w:rsidR="0056194E" w:rsidRDefault="0056194E">
            <w:pPr>
              <w:jc w:val="center"/>
              <w:rPr>
                <w:rFonts w:ascii="Arial" w:hAnsi="Arial" w:cs="Arial"/>
                <w:sz w:val="18"/>
                <w:szCs w:val="18"/>
              </w:rPr>
            </w:pPr>
            <w:r>
              <w:rPr>
                <w:rFonts w:ascii="Arial" w:hAnsi="Arial" w:cs="Arial"/>
                <w:b/>
                <w:bCs/>
                <w:i/>
                <w:iCs/>
                <w:sz w:val="18"/>
                <w:szCs w:val="18"/>
              </w:rPr>
              <w:t>(Docetaxel+TDA vs. TDA)</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r>
              <w:rPr>
                <w:rFonts w:ascii="Arial" w:hAnsi="Arial" w:cs="Arial"/>
                <w:b/>
                <w:bCs/>
                <w:sz w:val="18"/>
                <w:szCs w:val="18"/>
              </w:rPr>
              <w:t>Variable primaria:</w:t>
            </w:r>
          </w:p>
          <w:p w:rsidR="0056194E" w:rsidRDefault="0056194E">
            <w:pPr>
              <w:jc w:val="both"/>
              <w:rPr>
                <w:rFonts w:ascii="Arial" w:hAnsi="Arial" w:cs="Arial"/>
                <w:sz w:val="18"/>
                <w:szCs w:val="18"/>
              </w:rPr>
            </w:pPr>
            <w:r>
              <w:rPr>
                <w:rFonts w:ascii="Arial" w:hAnsi="Arial" w:cs="Arial"/>
                <w:sz w:val="18"/>
                <w:szCs w:val="18"/>
              </w:rPr>
              <w:t>-SG en el total de los pacientes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r>
              <w:rPr>
                <w:rFonts w:ascii="Arial" w:hAnsi="Arial" w:cs="Arial"/>
                <w:sz w:val="18"/>
                <w:szCs w:val="18"/>
              </w:rPr>
              <w:t>-SG en pacientes metastásicos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r>
              <w:rPr>
                <w:rFonts w:ascii="Arial" w:hAnsi="Arial" w:cs="Arial"/>
                <w:b/>
                <w:bCs/>
                <w:sz w:val="18"/>
                <w:szCs w:val="18"/>
              </w:rPr>
              <w:t>Variable secundaria:</w:t>
            </w:r>
          </w:p>
          <w:p w:rsidR="0056194E" w:rsidRDefault="0056194E">
            <w:pPr>
              <w:jc w:val="both"/>
              <w:rPr>
                <w:rFonts w:ascii="Arial" w:hAnsi="Arial" w:cs="Arial"/>
                <w:sz w:val="18"/>
                <w:szCs w:val="18"/>
              </w:rPr>
            </w:pPr>
            <w:r>
              <w:rPr>
                <w:rFonts w:ascii="Arial" w:hAnsi="Arial" w:cs="Arial"/>
                <w:sz w:val="18"/>
                <w:szCs w:val="18"/>
              </w:rPr>
              <w:t>-SSFT en el total de los pacientes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p>
          <w:p w:rsidR="0056194E" w:rsidRDefault="0056194E">
            <w:pPr>
              <w:jc w:val="both"/>
            </w:pPr>
            <w:r>
              <w:rPr>
                <w:rFonts w:ascii="Arial" w:hAnsi="Arial" w:cs="Arial"/>
                <w:sz w:val="18"/>
                <w:szCs w:val="18"/>
              </w:rPr>
              <w:t>-SSFT en pacientes metastásicos</w:t>
            </w:r>
          </w:p>
        </w:tc>
        <w:tc>
          <w:tcPr>
            <w:tcW w:w="1457"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175/592</w:t>
            </w:r>
          </w:p>
          <w:p w:rsidR="0056194E" w:rsidRDefault="0056194E">
            <w:pPr>
              <w:snapToGrid w:val="0"/>
              <w:jc w:val="both"/>
              <w:rPr>
                <w:rFonts w:ascii="Arial" w:hAnsi="Arial" w:cs="Arial"/>
                <w:sz w:val="18"/>
                <w:szCs w:val="18"/>
              </w:rPr>
            </w:pPr>
            <w:r>
              <w:rPr>
                <w:rFonts w:ascii="Arial" w:hAnsi="Arial" w:cs="Arial"/>
                <w:sz w:val="18"/>
                <w:szCs w:val="18"/>
              </w:rPr>
              <w:t>(29,6%)</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144/362</w:t>
            </w:r>
          </w:p>
          <w:p w:rsidR="0056194E" w:rsidRDefault="0056194E">
            <w:pPr>
              <w:snapToGrid w:val="0"/>
              <w:jc w:val="both"/>
              <w:rPr>
                <w:rFonts w:ascii="Arial" w:hAnsi="Arial" w:cs="Arial"/>
                <w:sz w:val="18"/>
                <w:szCs w:val="18"/>
              </w:rPr>
            </w:pPr>
            <w:r>
              <w:rPr>
                <w:rFonts w:ascii="Arial" w:hAnsi="Arial" w:cs="Arial"/>
                <w:sz w:val="18"/>
                <w:szCs w:val="18"/>
              </w:rPr>
              <w:t>(39,8%)</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315/592</w:t>
            </w:r>
          </w:p>
          <w:p w:rsidR="0056194E" w:rsidRDefault="0056194E">
            <w:pPr>
              <w:snapToGrid w:val="0"/>
              <w:jc w:val="both"/>
              <w:rPr>
                <w:rFonts w:ascii="Arial" w:hAnsi="Arial" w:cs="Arial"/>
                <w:sz w:val="18"/>
                <w:szCs w:val="18"/>
              </w:rPr>
            </w:pPr>
            <w:r>
              <w:rPr>
                <w:rFonts w:ascii="Arial" w:hAnsi="Arial" w:cs="Arial"/>
                <w:sz w:val="18"/>
                <w:szCs w:val="18"/>
              </w:rPr>
              <w:t>(53,2%)</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252/362</w:t>
            </w:r>
          </w:p>
          <w:p w:rsidR="0056194E" w:rsidRDefault="0056194E">
            <w:pPr>
              <w:snapToGrid w:val="0"/>
              <w:jc w:val="both"/>
            </w:pPr>
            <w:r>
              <w:rPr>
                <w:rFonts w:ascii="Arial" w:hAnsi="Arial" w:cs="Arial"/>
                <w:sz w:val="18"/>
                <w:szCs w:val="18"/>
              </w:rPr>
              <w:t>(67%)</w:t>
            </w:r>
          </w:p>
          <w:p w:rsidR="0056194E" w:rsidRDefault="0056194E">
            <w:pPr>
              <w:snapToGrid w:val="0"/>
              <w:jc w:val="both"/>
            </w:pPr>
          </w:p>
        </w:tc>
        <w:tc>
          <w:tcPr>
            <w:tcW w:w="1482"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415/1184</w:t>
            </w:r>
          </w:p>
          <w:p w:rsidR="0056194E" w:rsidRDefault="0056194E">
            <w:pPr>
              <w:snapToGrid w:val="0"/>
              <w:jc w:val="both"/>
              <w:rPr>
                <w:rFonts w:ascii="Arial" w:hAnsi="Arial" w:cs="Arial"/>
                <w:sz w:val="18"/>
                <w:szCs w:val="18"/>
              </w:rPr>
            </w:pPr>
            <w:r>
              <w:rPr>
                <w:rFonts w:ascii="Arial" w:hAnsi="Arial" w:cs="Arial"/>
                <w:sz w:val="18"/>
                <w:szCs w:val="18"/>
              </w:rPr>
              <w:t>(35%)</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350/724</w:t>
            </w:r>
          </w:p>
          <w:p w:rsidR="0056194E" w:rsidRDefault="0056194E">
            <w:pPr>
              <w:snapToGrid w:val="0"/>
              <w:jc w:val="both"/>
              <w:rPr>
                <w:rFonts w:ascii="Arial" w:hAnsi="Arial" w:cs="Arial"/>
                <w:sz w:val="18"/>
                <w:szCs w:val="18"/>
              </w:rPr>
            </w:pPr>
            <w:r>
              <w:rPr>
                <w:rFonts w:ascii="Arial" w:hAnsi="Arial" w:cs="Arial"/>
                <w:sz w:val="18"/>
                <w:szCs w:val="18"/>
              </w:rPr>
              <w:t>(48,3%)</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761/1184</w:t>
            </w:r>
          </w:p>
          <w:p w:rsidR="0056194E" w:rsidRDefault="0056194E">
            <w:pPr>
              <w:snapToGrid w:val="0"/>
              <w:jc w:val="both"/>
              <w:rPr>
                <w:rFonts w:ascii="Arial" w:hAnsi="Arial" w:cs="Arial"/>
                <w:sz w:val="18"/>
                <w:szCs w:val="18"/>
              </w:rPr>
            </w:pPr>
            <w:r>
              <w:rPr>
                <w:rFonts w:ascii="Arial" w:hAnsi="Arial" w:cs="Arial"/>
                <w:sz w:val="18"/>
                <w:szCs w:val="18"/>
              </w:rPr>
              <w:t>(64,3%)</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585/724</w:t>
            </w:r>
          </w:p>
          <w:p w:rsidR="0056194E" w:rsidRDefault="0056194E">
            <w:pPr>
              <w:snapToGrid w:val="0"/>
              <w:jc w:val="both"/>
            </w:pPr>
            <w:r>
              <w:rPr>
                <w:rFonts w:ascii="Arial" w:hAnsi="Arial" w:cs="Arial"/>
                <w:sz w:val="18"/>
                <w:szCs w:val="18"/>
              </w:rPr>
              <w:t>(80,8%)</w:t>
            </w:r>
          </w:p>
        </w:tc>
        <w:tc>
          <w:tcPr>
            <w:tcW w:w="2259"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0,78 (0,66-0,93)</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0,76 (0,62-0,92)</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0,61 (0,53-0,70)</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pPr>
            <w:r>
              <w:rPr>
                <w:rFonts w:ascii="Arial" w:hAnsi="Arial" w:cs="Arial"/>
                <w:sz w:val="18"/>
                <w:szCs w:val="18"/>
              </w:rPr>
              <w:t>0,61 (0,53-0,71)</w:t>
            </w:r>
          </w:p>
          <w:p w:rsidR="0056194E" w:rsidRDefault="0056194E">
            <w:pPr>
              <w:snapToGrid w:val="0"/>
              <w:jc w:val="both"/>
            </w:pPr>
          </w:p>
        </w:tc>
        <w:tc>
          <w:tcPr>
            <w:tcW w:w="1542" w:type="dxa"/>
            <w:tcBorders>
              <w:top w:val="single" w:sz="4" w:space="0" w:color="000000"/>
              <w:left w:val="single" w:sz="4" w:space="0" w:color="000000"/>
              <w:bottom w:val="single" w:sz="4" w:space="0" w:color="000000"/>
              <w:right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p=0,006</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sz w:val="18"/>
                <w:szCs w:val="18"/>
              </w:rPr>
            </w:pPr>
          </w:p>
          <w:p w:rsidR="0056194E" w:rsidRDefault="0056194E">
            <w:pPr>
              <w:snapToGrid w:val="0"/>
              <w:jc w:val="both"/>
              <w:rPr>
                <w:sz w:val="18"/>
                <w:szCs w:val="18"/>
              </w:rPr>
            </w:pPr>
          </w:p>
          <w:p w:rsidR="0056194E" w:rsidRDefault="0056194E">
            <w:pPr>
              <w:snapToGrid w:val="0"/>
              <w:jc w:val="both"/>
              <w:rPr>
                <w:sz w:val="18"/>
                <w:szCs w:val="18"/>
              </w:rPr>
            </w:pPr>
          </w:p>
          <w:p w:rsidR="0056194E" w:rsidRDefault="0056194E">
            <w:pPr>
              <w:snapToGrid w:val="0"/>
              <w:jc w:val="both"/>
              <w:rPr>
                <w:rFonts w:ascii="Arial" w:hAnsi="Arial" w:cs="Arial"/>
                <w:sz w:val="18"/>
                <w:szCs w:val="18"/>
              </w:rPr>
            </w:pPr>
            <w:r>
              <w:rPr>
                <w:rFonts w:ascii="Arial" w:hAnsi="Arial" w:cs="Arial"/>
                <w:sz w:val="18"/>
                <w:szCs w:val="18"/>
              </w:rPr>
              <w:t xml:space="preserve">p=0,43x10 </w:t>
            </w:r>
            <w:r>
              <w:rPr>
                <w:rFonts w:ascii="Arial" w:hAnsi="Arial" w:cs="Arial"/>
                <w:sz w:val="18"/>
                <w:szCs w:val="18"/>
                <w:vertAlign w:val="superscript"/>
              </w:rPr>
              <w:t>-13</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pPr>
          </w:p>
        </w:tc>
      </w:tr>
      <w:tr w:rsidR="0056194E">
        <w:tc>
          <w:tcPr>
            <w:tcW w:w="2567"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jc w:val="both"/>
              <w:rPr>
                <w:rFonts w:ascii="Arial" w:hAnsi="Arial" w:cs="Arial"/>
                <w:b/>
                <w:bCs/>
                <w:i/>
                <w:iCs/>
                <w:sz w:val="18"/>
                <w:szCs w:val="18"/>
              </w:rPr>
            </w:pPr>
            <w:r>
              <w:rPr>
                <w:rFonts w:ascii="Arial" w:hAnsi="Arial" w:cs="Arial"/>
                <w:b/>
                <w:bCs/>
                <w:sz w:val="18"/>
                <w:szCs w:val="18"/>
              </w:rPr>
              <w:t>STAMPEDE (BRAZO G)</w:t>
            </w:r>
            <w:r>
              <w:rPr>
                <w:rFonts w:ascii="Arial" w:hAnsi="Arial" w:cs="Arial"/>
                <w:b/>
                <w:bCs/>
                <w:sz w:val="18"/>
                <w:szCs w:val="18"/>
                <w:vertAlign w:val="superscript"/>
              </w:rPr>
              <w:t>16</w:t>
            </w:r>
          </w:p>
          <w:p w:rsidR="0056194E" w:rsidRDefault="0056194E">
            <w:pPr>
              <w:jc w:val="both"/>
              <w:rPr>
                <w:rFonts w:ascii="Arial" w:hAnsi="Arial" w:cs="Arial"/>
                <w:sz w:val="18"/>
                <w:szCs w:val="18"/>
              </w:rPr>
            </w:pPr>
            <w:r>
              <w:rPr>
                <w:rFonts w:ascii="Arial" w:hAnsi="Arial" w:cs="Arial"/>
                <w:b/>
                <w:bCs/>
                <w:i/>
                <w:iCs/>
                <w:sz w:val="18"/>
                <w:szCs w:val="18"/>
              </w:rPr>
              <w:t>(Abiraterona+TDA vs. TDA)</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r>
              <w:rPr>
                <w:rFonts w:ascii="Arial" w:hAnsi="Arial" w:cs="Arial"/>
                <w:b/>
                <w:bCs/>
                <w:sz w:val="18"/>
                <w:szCs w:val="18"/>
              </w:rPr>
              <w:t>Variable primaria:</w:t>
            </w:r>
          </w:p>
          <w:p w:rsidR="0056194E" w:rsidRDefault="0056194E">
            <w:pPr>
              <w:jc w:val="both"/>
              <w:rPr>
                <w:rFonts w:ascii="Arial" w:hAnsi="Arial" w:cs="Arial"/>
                <w:sz w:val="18"/>
                <w:szCs w:val="18"/>
              </w:rPr>
            </w:pPr>
            <w:r>
              <w:rPr>
                <w:rFonts w:ascii="Arial" w:hAnsi="Arial" w:cs="Arial"/>
                <w:sz w:val="18"/>
                <w:szCs w:val="18"/>
              </w:rPr>
              <w:t>-SG en el total de los pacientes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r>
              <w:rPr>
                <w:rFonts w:ascii="Arial" w:hAnsi="Arial" w:cs="Arial"/>
                <w:sz w:val="18"/>
                <w:szCs w:val="18"/>
              </w:rPr>
              <w:t>-SG en pacientes metastásicos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r>
              <w:rPr>
                <w:rFonts w:ascii="Arial" w:hAnsi="Arial" w:cs="Arial"/>
                <w:b/>
                <w:bCs/>
                <w:sz w:val="18"/>
                <w:szCs w:val="18"/>
              </w:rPr>
              <w:t>Variable secundaria:</w:t>
            </w:r>
          </w:p>
          <w:p w:rsidR="0056194E" w:rsidRDefault="0056194E">
            <w:pPr>
              <w:jc w:val="both"/>
              <w:rPr>
                <w:rFonts w:ascii="Arial" w:hAnsi="Arial" w:cs="Arial"/>
                <w:sz w:val="18"/>
                <w:szCs w:val="18"/>
              </w:rPr>
            </w:pPr>
            <w:r>
              <w:rPr>
                <w:rFonts w:ascii="Arial" w:hAnsi="Arial" w:cs="Arial"/>
                <w:sz w:val="18"/>
                <w:szCs w:val="18"/>
              </w:rPr>
              <w:t>-SSFT en el total de los pacientes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r>
              <w:rPr>
                <w:rFonts w:ascii="Arial" w:hAnsi="Arial" w:cs="Arial"/>
                <w:sz w:val="18"/>
                <w:szCs w:val="18"/>
              </w:rPr>
              <w:t>-SSFT en pacientes metastásicos</w:t>
            </w:r>
          </w:p>
          <w:p w:rsidR="0056194E" w:rsidRDefault="0056194E">
            <w:pPr>
              <w:jc w:val="both"/>
            </w:pPr>
          </w:p>
        </w:tc>
        <w:tc>
          <w:tcPr>
            <w:tcW w:w="1457"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184/960</w:t>
            </w:r>
          </w:p>
          <w:p w:rsidR="0056194E" w:rsidRDefault="0056194E">
            <w:pPr>
              <w:snapToGrid w:val="0"/>
              <w:jc w:val="both"/>
              <w:rPr>
                <w:rFonts w:ascii="Arial" w:hAnsi="Arial" w:cs="Arial"/>
                <w:sz w:val="18"/>
                <w:szCs w:val="18"/>
              </w:rPr>
            </w:pPr>
            <w:r>
              <w:rPr>
                <w:rFonts w:ascii="Arial" w:hAnsi="Arial" w:cs="Arial"/>
                <w:sz w:val="18"/>
                <w:szCs w:val="18"/>
              </w:rPr>
              <w:t>(19,16%)</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150/500</w:t>
            </w:r>
          </w:p>
          <w:p w:rsidR="0056194E" w:rsidRDefault="0056194E">
            <w:pPr>
              <w:snapToGrid w:val="0"/>
              <w:jc w:val="both"/>
              <w:rPr>
                <w:rFonts w:ascii="Arial" w:hAnsi="Arial" w:cs="Arial"/>
                <w:sz w:val="18"/>
                <w:szCs w:val="18"/>
              </w:rPr>
            </w:pPr>
            <w:r>
              <w:rPr>
                <w:rFonts w:ascii="Arial" w:hAnsi="Arial" w:cs="Arial"/>
                <w:sz w:val="18"/>
                <w:szCs w:val="18"/>
              </w:rPr>
              <w:t>(30%)</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248/960</w:t>
            </w:r>
          </w:p>
          <w:p w:rsidR="0056194E" w:rsidRDefault="0056194E">
            <w:pPr>
              <w:snapToGrid w:val="0"/>
              <w:jc w:val="both"/>
              <w:rPr>
                <w:rFonts w:ascii="Arial" w:hAnsi="Arial" w:cs="Arial"/>
                <w:sz w:val="18"/>
                <w:szCs w:val="18"/>
              </w:rPr>
            </w:pPr>
            <w:r>
              <w:rPr>
                <w:rFonts w:ascii="Arial" w:hAnsi="Arial" w:cs="Arial"/>
                <w:sz w:val="18"/>
                <w:szCs w:val="18"/>
              </w:rPr>
              <w:t>(25,83%)</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210/500</w:t>
            </w:r>
          </w:p>
          <w:p w:rsidR="0056194E" w:rsidRDefault="0056194E">
            <w:pPr>
              <w:snapToGrid w:val="0"/>
              <w:jc w:val="both"/>
            </w:pPr>
            <w:r>
              <w:rPr>
                <w:rFonts w:ascii="Arial" w:hAnsi="Arial" w:cs="Arial"/>
                <w:sz w:val="18"/>
                <w:szCs w:val="18"/>
              </w:rPr>
              <w:t>(42%)</w:t>
            </w:r>
          </w:p>
        </w:tc>
        <w:tc>
          <w:tcPr>
            <w:tcW w:w="1482"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262/957</w:t>
            </w:r>
          </w:p>
          <w:p w:rsidR="0056194E" w:rsidRDefault="0056194E">
            <w:pPr>
              <w:snapToGrid w:val="0"/>
              <w:jc w:val="both"/>
              <w:rPr>
                <w:rFonts w:ascii="Arial" w:hAnsi="Arial" w:cs="Arial"/>
                <w:sz w:val="18"/>
                <w:szCs w:val="18"/>
              </w:rPr>
            </w:pPr>
            <w:r>
              <w:rPr>
                <w:rFonts w:ascii="Arial" w:hAnsi="Arial" w:cs="Arial"/>
                <w:sz w:val="18"/>
                <w:szCs w:val="18"/>
              </w:rPr>
              <w:t>(27,37%)</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218/502</w:t>
            </w:r>
          </w:p>
          <w:p w:rsidR="0056194E" w:rsidRDefault="0056194E">
            <w:pPr>
              <w:snapToGrid w:val="0"/>
              <w:jc w:val="both"/>
              <w:rPr>
                <w:rFonts w:ascii="Arial" w:hAnsi="Arial" w:cs="Arial"/>
                <w:sz w:val="18"/>
                <w:szCs w:val="18"/>
              </w:rPr>
            </w:pPr>
            <w:r>
              <w:rPr>
                <w:rFonts w:ascii="Arial" w:hAnsi="Arial" w:cs="Arial"/>
                <w:sz w:val="18"/>
                <w:szCs w:val="18"/>
              </w:rPr>
              <w:t>(43,4%)</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535/957</w:t>
            </w:r>
          </w:p>
          <w:p w:rsidR="0056194E" w:rsidRDefault="0056194E">
            <w:pPr>
              <w:snapToGrid w:val="0"/>
              <w:jc w:val="both"/>
              <w:rPr>
                <w:rFonts w:ascii="Arial" w:hAnsi="Arial" w:cs="Arial"/>
                <w:sz w:val="18"/>
                <w:szCs w:val="18"/>
              </w:rPr>
            </w:pPr>
            <w:r>
              <w:rPr>
                <w:rFonts w:ascii="Arial" w:hAnsi="Arial" w:cs="Arial"/>
                <w:sz w:val="18"/>
                <w:szCs w:val="18"/>
              </w:rPr>
              <w:t>(55,90%)</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393/502</w:t>
            </w:r>
          </w:p>
          <w:p w:rsidR="0056194E" w:rsidRPr="006D5C3C" w:rsidRDefault="0056194E">
            <w:pPr>
              <w:snapToGrid w:val="0"/>
              <w:jc w:val="both"/>
              <w:rPr>
                <w:rFonts w:ascii="Arial" w:hAnsi="Arial" w:cs="Arial"/>
                <w:sz w:val="18"/>
                <w:szCs w:val="18"/>
              </w:rPr>
            </w:pPr>
            <w:r>
              <w:rPr>
                <w:rFonts w:ascii="Arial" w:hAnsi="Arial" w:cs="Arial"/>
                <w:sz w:val="18"/>
                <w:szCs w:val="18"/>
              </w:rPr>
              <w:t>(78,3%)</w:t>
            </w:r>
          </w:p>
        </w:tc>
        <w:tc>
          <w:tcPr>
            <w:tcW w:w="2259"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0,63 (0,52-0,76)</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0,61 (0,49-0,75)</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0,29 (0,25-0,34)</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pPr>
            <w:r>
              <w:rPr>
                <w:rFonts w:ascii="Arial" w:hAnsi="Arial" w:cs="Arial"/>
                <w:sz w:val="18"/>
                <w:szCs w:val="18"/>
              </w:rPr>
              <w:t>0,21 (0,15-0,31)</w:t>
            </w:r>
          </w:p>
        </w:tc>
        <w:tc>
          <w:tcPr>
            <w:tcW w:w="1542" w:type="dxa"/>
            <w:tcBorders>
              <w:top w:val="single" w:sz="4" w:space="0" w:color="000000"/>
              <w:left w:val="single" w:sz="4" w:space="0" w:color="000000"/>
              <w:bottom w:val="single" w:sz="4" w:space="0" w:color="000000"/>
              <w:right w:val="single" w:sz="4" w:space="0" w:color="000000"/>
            </w:tcBorders>
          </w:tcPr>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r>
              <w:rPr>
                <w:rFonts w:ascii="Arial" w:hAnsi="Arial" w:cs="Arial"/>
                <w:sz w:val="18"/>
                <w:szCs w:val="18"/>
              </w:rPr>
              <w:t>P&lt;0,001</w:t>
            </w: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rPr>
                <w:rFonts w:ascii="Arial" w:hAnsi="Arial" w:cs="Arial"/>
                <w:sz w:val="18"/>
                <w:szCs w:val="18"/>
              </w:rPr>
            </w:pPr>
          </w:p>
          <w:p w:rsidR="0056194E" w:rsidRDefault="0056194E">
            <w:pPr>
              <w:snapToGrid w:val="0"/>
              <w:jc w:val="both"/>
            </w:pPr>
            <w:r>
              <w:rPr>
                <w:rFonts w:ascii="Arial" w:hAnsi="Arial" w:cs="Arial"/>
                <w:sz w:val="18"/>
                <w:szCs w:val="18"/>
              </w:rPr>
              <w:t>P&lt;0,001</w:t>
            </w:r>
          </w:p>
        </w:tc>
      </w:tr>
      <w:tr w:rsidR="0056194E">
        <w:tc>
          <w:tcPr>
            <w:tcW w:w="9307" w:type="dxa"/>
            <w:gridSpan w:val="5"/>
            <w:tcBorders>
              <w:top w:val="single" w:sz="4" w:space="0" w:color="000000"/>
              <w:left w:val="single" w:sz="4" w:space="0" w:color="000000"/>
              <w:bottom w:val="single" w:sz="4" w:space="0" w:color="000000"/>
              <w:right w:val="single" w:sz="4" w:space="0" w:color="000000"/>
            </w:tcBorders>
            <w:shd w:val="clear" w:color="auto" w:fill="8FF9BF"/>
          </w:tcPr>
          <w:p w:rsidR="0056194E" w:rsidRDefault="0056194E">
            <w:pPr>
              <w:jc w:val="both"/>
            </w:pPr>
            <w:r>
              <w:rPr>
                <w:rFonts w:ascii="Arial" w:hAnsi="Arial" w:cs="Arial"/>
                <w:b/>
                <w:sz w:val="20"/>
                <w:szCs w:val="20"/>
              </w:rPr>
              <w:t>Comparación indirecta ajustada (Método Bucher, Calculadora Wells 2009)</w:t>
            </w:r>
            <w:r>
              <w:rPr>
                <w:rFonts w:ascii="Arial" w:hAnsi="Arial" w:cs="Arial"/>
                <w:b/>
                <w:color w:val="111111"/>
                <w:sz w:val="20"/>
                <w:szCs w:val="20"/>
                <w:vertAlign w:val="superscript"/>
              </w:rPr>
              <w:t>2</w:t>
            </w:r>
            <w:r w:rsidR="008503B4">
              <w:rPr>
                <w:rFonts w:ascii="Arial" w:hAnsi="Arial" w:cs="Arial"/>
                <w:b/>
                <w:color w:val="111111"/>
                <w:sz w:val="20"/>
                <w:szCs w:val="20"/>
                <w:vertAlign w:val="superscript"/>
              </w:rPr>
              <w:t>5</w:t>
            </w:r>
          </w:p>
        </w:tc>
      </w:tr>
      <w:tr w:rsidR="0056194E">
        <w:tc>
          <w:tcPr>
            <w:tcW w:w="2567" w:type="dxa"/>
            <w:tcBorders>
              <w:top w:val="single" w:sz="4" w:space="0" w:color="000000"/>
              <w:left w:val="single" w:sz="4" w:space="0" w:color="000000"/>
              <w:bottom w:val="single" w:sz="4" w:space="0" w:color="000000"/>
            </w:tcBorders>
            <w:shd w:val="clear" w:color="auto" w:fill="D9D9D9"/>
          </w:tcPr>
          <w:p w:rsidR="0056194E" w:rsidRPr="008A306D" w:rsidRDefault="0056194E" w:rsidP="008A306D">
            <w:pPr>
              <w:snapToGrid w:val="0"/>
              <w:jc w:val="both"/>
              <w:rPr>
                <w:rFonts w:ascii="Arial" w:hAnsi="Arial" w:cs="Arial"/>
                <w:b/>
                <w:sz w:val="20"/>
                <w:szCs w:val="20"/>
                <w:lang w:val="it-IT"/>
              </w:rPr>
            </w:pPr>
            <w:r w:rsidRPr="008A306D">
              <w:rPr>
                <w:rFonts w:ascii="Arial" w:hAnsi="Arial" w:cs="Arial"/>
                <w:b/>
                <w:sz w:val="20"/>
                <w:szCs w:val="20"/>
                <w:lang w:val="it-IT"/>
              </w:rPr>
              <w:t>STAMPEDE-abiraterona</w:t>
            </w:r>
          </w:p>
          <w:p w:rsidR="0056194E" w:rsidRPr="008A306D" w:rsidRDefault="0056194E" w:rsidP="008A306D">
            <w:pPr>
              <w:snapToGrid w:val="0"/>
              <w:jc w:val="center"/>
              <w:rPr>
                <w:rFonts w:ascii="Arial" w:hAnsi="Arial" w:cs="Arial"/>
                <w:b/>
                <w:sz w:val="20"/>
                <w:szCs w:val="20"/>
                <w:lang w:val="it-IT"/>
              </w:rPr>
            </w:pPr>
            <w:r w:rsidRPr="008A306D">
              <w:rPr>
                <w:rFonts w:ascii="Arial" w:hAnsi="Arial" w:cs="Arial"/>
                <w:b/>
                <w:sz w:val="20"/>
                <w:szCs w:val="20"/>
                <w:lang w:val="it-IT"/>
              </w:rPr>
              <w:t>vs.</w:t>
            </w:r>
          </w:p>
          <w:p w:rsidR="0056194E" w:rsidRPr="008A306D" w:rsidRDefault="0056194E" w:rsidP="008A306D">
            <w:pPr>
              <w:snapToGrid w:val="0"/>
              <w:jc w:val="both"/>
              <w:rPr>
                <w:rFonts w:ascii="Arial" w:hAnsi="Arial" w:cs="Arial"/>
                <w:b/>
                <w:sz w:val="20"/>
                <w:szCs w:val="20"/>
                <w:lang w:val="it-IT"/>
              </w:rPr>
            </w:pPr>
            <w:r w:rsidRPr="008A306D">
              <w:rPr>
                <w:rFonts w:ascii="Arial" w:hAnsi="Arial" w:cs="Arial"/>
                <w:b/>
                <w:sz w:val="20"/>
                <w:szCs w:val="20"/>
                <w:lang w:val="it-IT"/>
              </w:rPr>
              <w:t>STAMPEDE-docetaxel</w:t>
            </w:r>
          </w:p>
        </w:tc>
        <w:tc>
          <w:tcPr>
            <w:tcW w:w="6740" w:type="dxa"/>
            <w:gridSpan w:val="4"/>
            <w:tcBorders>
              <w:top w:val="single" w:sz="4" w:space="0" w:color="000000"/>
              <w:left w:val="single" w:sz="4" w:space="0" w:color="000000"/>
              <w:bottom w:val="single" w:sz="4" w:space="0" w:color="000000"/>
              <w:right w:val="single" w:sz="4" w:space="0" w:color="000000"/>
            </w:tcBorders>
            <w:shd w:val="clear" w:color="auto" w:fill="D9D9D9"/>
          </w:tcPr>
          <w:p w:rsidR="0056194E" w:rsidRPr="008A306D" w:rsidRDefault="0056194E">
            <w:pPr>
              <w:snapToGrid w:val="0"/>
              <w:jc w:val="center"/>
              <w:rPr>
                <w:rFonts w:ascii="Arial" w:hAnsi="Arial" w:cs="Arial"/>
                <w:b/>
                <w:sz w:val="20"/>
                <w:szCs w:val="20"/>
                <w:lang w:val="it-IT"/>
              </w:rPr>
            </w:pPr>
          </w:p>
          <w:p w:rsidR="0056194E" w:rsidRDefault="0056194E">
            <w:pPr>
              <w:jc w:val="center"/>
              <w:rPr>
                <w:rFonts w:ascii="Arial" w:hAnsi="Arial" w:cs="Arial"/>
                <w:b/>
                <w:sz w:val="20"/>
                <w:szCs w:val="20"/>
                <w:lang w:val="de-DE"/>
              </w:rPr>
            </w:pPr>
            <w:r>
              <w:rPr>
                <w:rFonts w:ascii="Arial" w:hAnsi="Arial" w:cs="Arial"/>
                <w:b/>
                <w:sz w:val="20"/>
                <w:szCs w:val="20"/>
                <w:lang w:val="de-DE"/>
              </w:rPr>
              <w:t>HR (IC 95%)</w:t>
            </w:r>
          </w:p>
          <w:p w:rsidR="0056194E" w:rsidRPr="00815489" w:rsidRDefault="0056194E">
            <w:pPr>
              <w:jc w:val="center"/>
              <w:rPr>
                <w:i/>
                <w:sz w:val="16"/>
                <w:szCs w:val="16"/>
              </w:rPr>
            </w:pPr>
            <w:r w:rsidRPr="00815489">
              <w:rPr>
                <w:rFonts w:ascii="Arial" w:hAnsi="Arial" w:cs="Arial"/>
                <w:i/>
                <w:sz w:val="16"/>
                <w:szCs w:val="16"/>
                <w:lang w:val="de-DE"/>
              </w:rPr>
              <w:t>Los datos inferiores a 1 favorecen a abiraterona sobre docetaxel</w:t>
            </w:r>
          </w:p>
          <w:p w:rsidR="0056194E" w:rsidRDefault="0056194E">
            <w:pPr>
              <w:jc w:val="center"/>
            </w:pPr>
          </w:p>
        </w:tc>
      </w:tr>
      <w:tr w:rsidR="0056194E">
        <w:tc>
          <w:tcPr>
            <w:tcW w:w="2567"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sz w:val="20"/>
                <w:szCs w:val="20"/>
                <w:lang w:val="sv-SE"/>
              </w:rPr>
            </w:pPr>
          </w:p>
          <w:p w:rsidR="0056194E" w:rsidRDefault="0056194E">
            <w:pPr>
              <w:jc w:val="both"/>
              <w:rPr>
                <w:rFonts w:ascii="Arial" w:hAnsi="Arial" w:cs="Arial"/>
                <w:sz w:val="18"/>
                <w:szCs w:val="18"/>
              </w:rPr>
            </w:pPr>
            <w:r>
              <w:rPr>
                <w:rFonts w:ascii="Arial" w:hAnsi="Arial" w:cs="Arial"/>
                <w:b/>
                <w:bCs/>
                <w:sz w:val="18"/>
                <w:szCs w:val="18"/>
              </w:rPr>
              <w:t>Variable primaria:</w:t>
            </w:r>
          </w:p>
          <w:p w:rsidR="0056194E" w:rsidRDefault="0056194E">
            <w:pPr>
              <w:jc w:val="both"/>
              <w:rPr>
                <w:rFonts w:ascii="Arial" w:hAnsi="Arial" w:cs="Arial"/>
                <w:sz w:val="18"/>
                <w:szCs w:val="18"/>
              </w:rPr>
            </w:pPr>
            <w:r>
              <w:rPr>
                <w:rFonts w:ascii="Arial" w:hAnsi="Arial" w:cs="Arial"/>
                <w:sz w:val="18"/>
                <w:szCs w:val="18"/>
              </w:rPr>
              <w:t>-SG en el total de los pacientes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p>
          <w:p w:rsidR="0056194E" w:rsidRDefault="0056194E">
            <w:pPr>
              <w:jc w:val="both"/>
              <w:rPr>
                <w:rFonts w:ascii="Arial" w:hAnsi="Arial" w:cs="Arial"/>
                <w:sz w:val="18"/>
                <w:szCs w:val="18"/>
                <w:lang w:val="sv-SE"/>
              </w:rPr>
            </w:pPr>
            <w:r>
              <w:rPr>
                <w:rFonts w:ascii="Arial" w:hAnsi="Arial" w:cs="Arial"/>
                <w:sz w:val="18"/>
                <w:szCs w:val="18"/>
              </w:rPr>
              <w:t>-SG en pacientes metastásicos</w:t>
            </w:r>
          </w:p>
          <w:p w:rsidR="0056194E" w:rsidRDefault="0056194E">
            <w:pPr>
              <w:jc w:val="both"/>
              <w:rPr>
                <w:rFonts w:ascii="Arial" w:hAnsi="Arial" w:cs="Arial"/>
                <w:sz w:val="18"/>
                <w:szCs w:val="18"/>
                <w:lang w:val="sv-SE"/>
              </w:rPr>
            </w:pPr>
          </w:p>
          <w:p w:rsidR="0056194E" w:rsidRDefault="0056194E">
            <w:pPr>
              <w:jc w:val="both"/>
              <w:rPr>
                <w:rFonts w:ascii="Arial" w:hAnsi="Arial" w:cs="Arial"/>
                <w:sz w:val="20"/>
                <w:szCs w:val="20"/>
                <w:lang w:val="sv-SE"/>
              </w:rPr>
            </w:pPr>
          </w:p>
          <w:p w:rsidR="0056194E" w:rsidRDefault="0056194E">
            <w:pPr>
              <w:jc w:val="both"/>
              <w:rPr>
                <w:rFonts w:ascii="Arial" w:hAnsi="Arial" w:cs="Arial"/>
                <w:sz w:val="18"/>
                <w:szCs w:val="18"/>
              </w:rPr>
            </w:pPr>
            <w:r>
              <w:rPr>
                <w:rFonts w:ascii="Arial" w:hAnsi="Arial" w:cs="Arial"/>
                <w:b/>
                <w:bCs/>
                <w:sz w:val="18"/>
                <w:szCs w:val="18"/>
              </w:rPr>
              <w:t>Variable secundaria:</w:t>
            </w:r>
          </w:p>
          <w:p w:rsidR="0056194E" w:rsidRDefault="0056194E">
            <w:pPr>
              <w:jc w:val="both"/>
              <w:rPr>
                <w:rFonts w:ascii="Arial" w:hAnsi="Arial" w:cs="Arial"/>
                <w:sz w:val="18"/>
                <w:szCs w:val="18"/>
              </w:rPr>
            </w:pPr>
            <w:r>
              <w:rPr>
                <w:rFonts w:ascii="Arial" w:hAnsi="Arial" w:cs="Arial"/>
                <w:sz w:val="18"/>
                <w:szCs w:val="18"/>
              </w:rPr>
              <w:t>-SSFT en el total de los pacientes</w:t>
            </w:r>
          </w:p>
          <w:p w:rsidR="0056194E" w:rsidRDefault="0056194E">
            <w:pPr>
              <w:jc w:val="both"/>
              <w:rPr>
                <w:rFonts w:ascii="Arial" w:hAnsi="Arial" w:cs="Arial"/>
                <w:sz w:val="18"/>
                <w:szCs w:val="18"/>
              </w:rPr>
            </w:pPr>
          </w:p>
          <w:p w:rsidR="0056194E" w:rsidRDefault="0056194E">
            <w:pPr>
              <w:jc w:val="both"/>
              <w:rPr>
                <w:rFonts w:ascii="Arial" w:hAnsi="Arial" w:cs="Arial"/>
                <w:sz w:val="18"/>
                <w:szCs w:val="18"/>
              </w:rPr>
            </w:pPr>
          </w:p>
          <w:p w:rsidR="0056194E" w:rsidRDefault="0056194E">
            <w:pPr>
              <w:jc w:val="both"/>
            </w:pPr>
            <w:r>
              <w:rPr>
                <w:rFonts w:ascii="Arial" w:hAnsi="Arial" w:cs="Arial"/>
                <w:sz w:val="18"/>
                <w:szCs w:val="18"/>
                <w:lang w:val="sv-SE"/>
              </w:rPr>
              <w:t>-SSFT en pacientes metastásicos</w:t>
            </w:r>
          </w:p>
          <w:p w:rsidR="0056194E" w:rsidRDefault="0056194E">
            <w:pPr>
              <w:jc w:val="both"/>
            </w:pPr>
          </w:p>
        </w:tc>
        <w:tc>
          <w:tcPr>
            <w:tcW w:w="6740" w:type="dxa"/>
            <w:gridSpan w:val="4"/>
            <w:tcBorders>
              <w:top w:val="single" w:sz="4" w:space="0" w:color="000000"/>
              <w:left w:val="single" w:sz="4" w:space="0" w:color="000000"/>
              <w:bottom w:val="single" w:sz="4" w:space="0" w:color="000000"/>
              <w:right w:val="single" w:sz="4" w:space="0" w:color="000000"/>
            </w:tcBorders>
          </w:tcPr>
          <w:p w:rsidR="0056194E" w:rsidRDefault="0056194E">
            <w:pPr>
              <w:snapToGrid w:val="0"/>
              <w:jc w:val="center"/>
              <w:rPr>
                <w:rFonts w:ascii="Arial" w:hAnsi="Arial" w:cs="Arial"/>
                <w:sz w:val="20"/>
                <w:szCs w:val="20"/>
                <w:lang w:val="sv-SE"/>
              </w:rPr>
            </w:pPr>
          </w:p>
          <w:p w:rsidR="0056194E" w:rsidRDefault="0056194E">
            <w:pPr>
              <w:snapToGrid w:val="0"/>
              <w:jc w:val="center"/>
              <w:rPr>
                <w:rFonts w:ascii="Arial" w:hAnsi="Arial" w:cs="Arial"/>
                <w:sz w:val="20"/>
                <w:szCs w:val="20"/>
                <w:lang w:val="sv-SE"/>
              </w:rPr>
            </w:pPr>
          </w:p>
          <w:p w:rsidR="0056194E" w:rsidRDefault="0056194E">
            <w:pPr>
              <w:snapToGrid w:val="0"/>
              <w:jc w:val="center"/>
              <w:rPr>
                <w:rFonts w:ascii="Arial" w:hAnsi="Arial" w:cs="Arial"/>
                <w:sz w:val="20"/>
                <w:szCs w:val="20"/>
                <w:lang w:val="sv-SE"/>
              </w:rPr>
            </w:pPr>
            <w:r>
              <w:rPr>
                <w:rFonts w:ascii="Arial" w:hAnsi="Arial" w:cs="Arial"/>
                <w:sz w:val="20"/>
                <w:szCs w:val="20"/>
                <w:lang w:val="sv-SE"/>
              </w:rPr>
              <w:t>0,81 (0,62-1,04)</w:t>
            </w:r>
          </w:p>
          <w:p w:rsidR="0056194E" w:rsidRDefault="0056194E">
            <w:pPr>
              <w:snapToGrid w:val="0"/>
              <w:jc w:val="center"/>
              <w:rPr>
                <w:rFonts w:ascii="Arial" w:hAnsi="Arial" w:cs="Arial"/>
                <w:sz w:val="20"/>
                <w:szCs w:val="20"/>
                <w:lang w:val="sv-SE"/>
              </w:rPr>
            </w:pPr>
          </w:p>
          <w:p w:rsidR="0056194E" w:rsidRDefault="0056194E">
            <w:pPr>
              <w:snapToGrid w:val="0"/>
              <w:jc w:val="center"/>
              <w:rPr>
                <w:rFonts w:ascii="Arial" w:hAnsi="Arial" w:cs="Arial"/>
                <w:sz w:val="20"/>
                <w:szCs w:val="20"/>
                <w:lang w:val="sv-SE"/>
              </w:rPr>
            </w:pPr>
          </w:p>
          <w:p w:rsidR="0056194E" w:rsidRDefault="0056194E">
            <w:pPr>
              <w:snapToGrid w:val="0"/>
              <w:jc w:val="center"/>
              <w:rPr>
                <w:rFonts w:ascii="Arial" w:hAnsi="Arial" w:cs="Arial"/>
                <w:sz w:val="20"/>
                <w:szCs w:val="20"/>
                <w:lang w:val="sv-SE"/>
              </w:rPr>
            </w:pPr>
          </w:p>
          <w:p w:rsidR="0056194E" w:rsidRDefault="0056194E">
            <w:pPr>
              <w:snapToGrid w:val="0"/>
              <w:jc w:val="center"/>
              <w:rPr>
                <w:rFonts w:ascii="Arial" w:hAnsi="Arial" w:cs="Arial"/>
                <w:sz w:val="20"/>
                <w:szCs w:val="20"/>
                <w:lang w:val="sv-SE"/>
              </w:rPr>
            </w:pPr>
            <w:r>
              <w:rPr>
                <w:rFonts w:ascii="Arial" w:hAnsi="Arial" w:cs="Arial"/>
                <w:sz w:val="20"/>
                <w:szCs w:val="20"/>
                <w:lang w:val="sv-SE"/>
              </w:rPr>
              <w:t>0,80 (0,60-1,07)</w:t>
            </w:r>
          </w:p>
          <w:p w:rsidR="0056194E" w:rsidRDefault="0056194E">
            <w:pPr>
              <w:snapToGrid w:val="0"/>
              <w:jc w:val="center"/>
              <w:rPr>
                <w:rFonts w:ascii="Arial" w:hAnsi="Arial" w:cs="Arial"/>
                <w:sz w:val="20"/>
                <w:szCs w:val="20"/>
                <w:lang w:val="sv-SE"/>
              </w:rPr>
            </w:pPr>
          </w:p>
          <w:p w:rsidR="0056194E" w:rsidRDefault="0056194E">
            <w:pPr>
              <w:snapToGrid w:val="0"/>
              <w:jc w:val="center"/>
              <w:rPr>
                <w:rFonts w:ascii="Arial" w:hAnsi="Arial" w:cs="Arial"/>
                <w:sz w:val="20"/>
                <w:szCs w:val="20"/>
                <w:lang w:val="sv-SE"/>
              </w:rPr>
            </w:pPr>
          </w:p>
          <w:p w:rsidR="0056194E" w:rsidRDefault="0056194E">
            <w:pPr>
              <w:snapToGrid w:val="0"/>
              <w:jc w:val="center"/>
              <w:rPr>
                <w:rFonts w:ascii="Arial" w:hAnsi="Arial" w:cs="Arial"/>
                <w:sz w:val="20"/>
                <w:szCs w:val="20"/>
                <w:lang w:val="sv-SE"/>
              </w:rPr>
            </w:pPr>
          </w:p>
          <w:p w:rsidR="0056194E" w:rsidRDefault="0056194E">
            <w:pPr>
              <w:snapToGrid w:val="0"/>
              <w:jc w:val="center"/>
            </w:pPr>
            <w:r>
              <w:rPr>
                <w:rFonts w:ascii="Arial" w:hAnsi="Arial" w:cs="Arial"/>
                <w:sz w:val="20"/>
                <w:szCs w:val="20"/>
                <w:lang w:val="sv-SE"/>
              </w:rPr>
              <w:t>0,47 (0,39-0,58)</w:t>
            </w:r>
          </w:p>
          <w:p w:rsidR="0056194E" w:rsidRDefault="0056194E">
            <w:pPr>
              <w:snapToGrid w:val="0"/>
              <w:jc w:val="center"/>
            </w:pPr>
          </w:p>
          <w:p w:rsidR="0056194E" w:rsidRDefault="0056194E">
            <w:pPr>
              <w:snapToGrid w:val="0"/>
              <w:jc w:val="center"/>
            </w:pPr>
          </w:p>
          <w:p w:rsidR="0056194E" w:rsidRDefault="0056194E">
            <w:pPr>
              <w:snapToGrid w:val="0"/>
              <w:jc w:val="center"/>
              <w:rPr>
                <w:rFonts w:ascii="Arial" w:hAnsi="Arial" w:cs="Arial"/>
                <w:sz w:val="20"/>
                <w:szCs w:val="20"/>
                <w:lang w:val="sv-SE"/>
              </w:rPr>
            </w:pPr>
          </w:p>
          <w:p w:rsidR="0056194E" w:rsidRDefault="0056194E">
            <w:pPr>
              <w:snapToGrid w:val="0"/>
              <w:jc w:val="center"/>
            </w:pPr>
            <w:r>
              <w:rPr>
                <w:rFonts w:ascii="Arial" w:hAnsi="Arial" w:cs="Arial"/>
                <w:sz w:val="20"/>
                <w:szCs w:val="20"/>
                <w:lang w:val="sv-SE"/>
              </w:rPr>
              <w:t>0,34 (0,23-0,51)</w:t>
            </w:r>
          </w:p>
        </w:tc>
      </w:tr>
    </w:tbl>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p w:rsidR="0056194E" w:rsidRPr="00A45C3B" w:rsidRDefault="0056194E">
      <w:pPr>
        <w:jc w:val="both"/>
        <w:rPr>
          <w:rFonts w:ascii="Arial" w:hAnsi="Arial" w:cs="Arial"/>
          <w:sz w:val="20"/>
          <w:szCs w:val="20"/>
        </w:rPr>
      </w:pPr>
      <w:r>
        <w:rPr>
          <w:rFonts w:ascii="Arial" w:hAnsi="Arial" w:cs="Arial"/>
          <w:sz w:val="20"/>
          <w:szCs w:val="20"/>
        </w:rPr>
        <w:t>Según los resultados de esta comparación indirecta propia, no se alcanza diferencia significativa de eficacia (supervivencia global) entre abiraterona y docetaxel, tanto en el global de los pacientes como en el subgrupo de pacientes metastáticos. Además, como se comenta anteriormente, encontramos un posible sesgo en nuestros resultados de la comparación indirecta, ya que una mayor proporción de pacientes en el STAMPEDE-abiraterona recibieron radioterapia.</w:t>
      </w:r>
    </w:p>
    <w:p w:rsidR="0056194E" w:rsidRDefault="0056194E">
      <w:pPr>
        <w:jc w:val="both"/>
        <w:rPr>
          <w:rFonts w:ascii="Arial" w:hAnsi="Arial" w:cs="Arial"/>
          <w:color w:val="FF0000"/>
          <w:sz w:val="20"/>
          <w:szCs w:val="20"/>
        </w:rPr>
      </w:pPr>
    </w:p>
    <w:p w:rsidR="0056194E" w:rsidRDefault="0056194E" w:rsidP="00C06F6F">
      <w:pPr>
        <w:shd w:val="clear" w:color="auto" w:fill="FFFFFF"/>
        <w:rPr>
          <w:rFonts w:ascii="Arial" w:hAnsi="Arial" w:cs="Arial"/>
          <w:sz w:val="20"/>
          <w:szCs w:val="20"/>
        </w:rPr>
      </w:pPr>
      <w:r>
        <w:rPr>
          <w:rFonts w:ascii="Arial" w:hAnsi="Arial" w:cs="Arial"/>
          <w:sz w:val="20"/>
          <w:szCs w:val="20"/>
        </w:rPr>
        <w:t xml:space="preserve">Al analizar esta comparación indirecta propia de los dos brazos de STAMPEDE con respecto al análisis </w:t>
      </w:r>
      <w:r w:rsidRPr="00815489">
        <w:rPr>
          <w:rFonts w:ascii="Arial" w:hAnsi="Arial" w:cs="Arial"/>
          <w:i/>
          <w:sz w:val="20"/>
          <w:szCs w:val="20"/>
        </w:rPr>
        <w:t>post hoc</w:t>
      </w:r>
      <w:r>
        <w:rPr>
          <w:rFonts w:ascii="Arial" w:hAnsi="Arial" w:cs="Arial"/>
          <w:i/>
          <w:sz w:val="20"/>
          <w:szCs w:val="20"/>
        </w:rPr>
        <w:t xml:space="preserve"> </w:t>
      </w:r>
      <w:r>
        <w:rPr>
          <w:rFonts w:ascii="Arial" w:hAnsi="Arial" w:cs="Arial"/>
          <w:sz w:val="20"/>
          <w:szCs w:val="20"/>
        </w:rPr>
        <w:t xml:space="preserve">del STAMPEDE citado en el apartado 5.3.b.1, nos encontramos los siguientes resultados: </w:t>
      </w:r>
    </w:p>
    <w:p w:rsidR="0056194E" w:rsidRDefault="0056194E" w:rsidP="00C06F6F">
      <w:pPr>
        <w:shd w:val="clear" w:color="auto" w:fill="FFFFFF"/>
        <w:rPr>
          <w:rFonts w:ascii="Arial" w:hAnsi="Arial" w:cs="Arial"/>
          <w:sz w:val="20"/>
          <w:szCs w:val="20"/>
        </w:rPr>
      </w:pPr>
    </w:p>
    <w:p w:rsidR="0056194E" w:rsidRDefault="0056194E" w:rsidP="00C06F6F">
      <w:pPr>
        <w:shd w:val="clear" w:color="auto" w:fill="FFFFFF"/>
        <w:rPr>
          <w:rFonts w:ascii="Arial" w:hAnsi="Arial" w:cs="Arial"/>
          <w:sz w:val="20"/>
          <w:szCs w:val="20"/>
        </w:rPr>
      </w:pPr>
    </w:p>
    <w:p w:rsidR="0056194E" w:rsidRPr="00143FB6" w:rsidRDefault="0056194E" w:rsidP="00C06F6F">
      <w:pPr>
        <w:shd w:val="clear" w:color="auto" w:fill="FFFFFF"/>
        <w:rPr>
          <w:rFonts w:ascii="Arial" w:hAnsi="Arial" w:cs="Arial"/>
          <w:sz w:val="20"/>
          <w:szCs w:val="20"/>
        </w:rPr>
      </w:pPr>
      <w:r w:rsidRPr="00143FB6">
        <w:rPr>
          <w:rFonts w:ascii="Arial" w:hAnsi="Arial" w:cs="Arial"/>
          <w:sz w:val="20"/>
          <w:szCs w:val="20"/>
        </w:rPr>
        <w:t>SSFT de la CD: HR 0.51 (0.39-0.67)</w:t>
      </w:r>
    </w:p>
    <w:p w:rsidR="0056194E" w:rsidRPr="00143FB6" w:rsidRDefault="0056194E" w:rsidP="00C06F6F">
      <w:pPr>
        <w:shd w:val="clear" w:color="auto" w:fill="FFFFFF"/>
        <w:suppressAutoHyphens w:val="0"/>
        <w:rPr>
          <w:rFonts w:ascii="Arial" w:hAnsi="Arial" w:cs="Arial"/>
          <w:sz w:val="20"/>
          <w:szCs w:val="20"/>
        </w:rPr>
      </w:pPr>
      <w:r w:rsidRPr="00143FB6">
        <w:rPr>
          <w:rFonts w:ascii="Arial" w:hAnsi="Arial" w:cs="Arial"/>
          <w:sz w:val="20"/>
          <w:szCs w:val="20"/>
        </w:rPr>
        <w:t>SSFT de nuestra CI: HR 0.47 (0.39-0.58)</w:t>
      </w:r>
    </w:p>
    <w:p w:rsidR="0056194E" w:rsidRPr="00143FB6" w:rsidRDefault="0056194E" w:rsidP="00C06F6F">
      <w:pPr>
        <w:shd w:val="clear" w:color="auto" w:fill="FFFFFF"/>
        <w:suppressAutoHyphens w:val="0"/>
        <w:rPr>
          <w:rFonts w:ascii="Arial" w:hAnsi="Arial" w:cs="Arial"/>
          <w:sz w:val="20"/>
          <w:szCs w:val="20"/>
        </w:rPr>
      </w:pPr>
    </w:p>
    <w:p w:rsidR="0056194E" w:rsidRDefault="0056194E" w:rsidP="00C06F6F">
      <w:pPr>
        <w:shd w:val="clear" w:color="auto" w:fill="FFFFFF"/>
        <w:suppressAutoHyphens w:val="0"/>
        <w:rPr>
          <w:rFonts w:ascii="Arial" w:hAnsi="Arial" w:cs="Arial"/>
          <w:sz w:val="20"/>
          <w:szCs w:val="20"/>
        </w:rPr>
      </w:pPr>
      <w:r w:rsidRPr="00143FB6">
        <w:rPr>
          <w:rFonts w:ascii="Arial" w:hAnsi="Arial" w:cs="Arial"/>
          <w:sz w:val="20"/>
          <w:szCs w:val="20"/>
        </w:rPr>
        <w:t>I2: 0%, Qp: 0.23, p=0,633</w:t>
      </w:r>
    </w:p>
    <w:p w:rsidR="0056194E" w:rsidRPr="00143FB6" w:rsidRDefault="0056194E" w:rsidP="00C06F6F">
      <w:pPr>
        <w:shd w:val="clear" w:color="auto" w:fill="FFFFFF"/>
        <w:suppressAutoHyphens w:val="0"/>
        <w:rPr>
          <w:rFonts w:ascii="Arial" w:hAnsi="Arial" w:cs="Arial"/>
          <w:sz w:val="20"/>
          <w:szCs w:val="20"/>
        </w:rPr>
      </w:pPr>
    </w:p>
    <w:p w:rsidR="0056194E" w:rsidRDefault="0056194E" w:rsidP="00C06F6F">
      <w:pPr>
        <w:jc w:val="both"/>
        <w:rPr>
          <w:rFonts w:ascii="Arial" w:hAnsi="Arial" w:cs="Arial"/>
          <w:sz w:val="20"/>
          <w:szCs w:val="20"/>
        </w:rPr>
      </w:pPr>
      <w:r>
        <w:rPr>
          <w:rFonts w:ascii="Arial" w:hAnsi="Arial" w:cs="Arial"/>
          <w:sz w:val="20"/>
          <w:szCs w:val="20"/>
        </w:rPr>
        <w:t>Se observa que los resultados son muy heterogéneos lo que puede explicarse ya que el período de estudio de la comparación directa transcurrió cuando ambos brazos estuvieron solapados,  y el de la comparación indirecta propia constituye un intervalo de tiempo mucho más amplio en el que no se solapan plenamente ambos tratamientos en el tiempo, las terapias disponibles a lo largo de este período (aparición y consolidación de nuevas terapias al principio y final del período de estudio) puede haber afectado al resultado en SG. Esta hipótesis puede confirmarse si además observamos que no existe heterogeneidad entre la SSFT de ambas comparaciones (I</w:t>
      </w:r>
      <w:r>
        <w:rPr>
          <w:rFonts w:ascii="Arial" w:hAnsi="Arial" w:cs="Arial"/>
          <w:sz w:val="20"/>
          <w:szCs w:val="20"/>
          <w:vertAlign w:val="superscript"/>
        </w:rPr>
        <w:t>2</w:t>
      </w:r>
      <w:r>
        <w:rPr>
          <w:rFonts w:ascii="Arial" w:hAnsi="Arial" w:cs="Arial"/>
          <w:sz w:val="20"/>
          <w:szCs w:val="20"/>
        </w:rPr>
        <w:t>=0%, Qp=0,23, p=0,633), dado que esta no se ve afectada por las terapias posteriores.</w:t>
      </w:r>
    </w:p>
    <w:p w:rsidR="0056194E" w:rsidRDefault="0056194E">
      <w:pPr>
        <w:jc w:val="both"/>
        <w:rPr>
          <w:rFonts w:ascii="Arial" w:hAnsi="Arial" w:cs="Arial"/>
          <w:sz w:val="20"/>
          <w:szCs w:val="20"/>
        </w:rPr>
      </w:pPr>
    </w:p>
    <w:p w:rsidR="0056194E" w:rsidRDefault="0056194E">
      <w:pPr>
        <w:jc w:val="both"/>
        <w:rPr>
          <w:rFonts w:ascii="Arial" w:hAnsi="Arial" w:cs="Arial"/>
          <w:b/>
          <w:color w:val="0000FF"/>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FF"/>
          <w:sz w:val="20"/>
        </w:rPr>
      </w:pPr>
      <w:bookmarkStart w:id="28" w:name="_Toc536608344"/>
      <w:r>
        <w:rPr>
          <w:sz w:val="20"/>
        </w:rPr>
        <w:t>5.4 Evaluación de fuentes secundarias</w:t>
      </w:r>
      <w:bookmarkEnd w:id="28"/>
      <w:r>
        <w:rPr>
          <w:sz w:val="20"/>
        </w:rPr>
        <w:t xml:space="preserve"> </w:t>
      </w:r>
    </w:p>
    <w:p w:rsidR="0056194E" w:rsidRDefault="0056194E">
      <w:pPr>
        <w:jc w:val="both"/>
        <w:rPr>
          <w:rFonts w:ascii="Arial" w:hAnsi="Arial" w:cs="Arial"/>
          <w:b/>
          <w:bCs/>
          <w:color w:val="0000FF"/>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29" w:name="_Toc536608345"/>
      <w:r>
        <w:rPr>
          <w:sz w:val="20"/>
        </w:rPr>
        <w:t>5.4.1 Guías de Práctica clínica</w:t>
      </w:r>
      <w:bookmarkEnd w:id="29"/>
      <w:r>
        <w:rPr>
          <w:sz w:val="20"/>
        </w:rPr>
        <w:t xml:space="preserve"> </w:t>
      </w:r>
    </w:p>
    <w:p w:rsidR="0056194E" w:rsidRDefault="0056194E">
      <w:pPr>
        <w:tabs>
          <w:tab w:val="center" w:pos="284"/>
          <w:tab w:val="right" w:pos="8504"/>
        </w:tabs>
        <w:autoSpaceDE w:val="0"/>
        <w:spacing w:after="160"/>
        <w:ind w:left="720"/>
        <w:jc w:val="both"/>
        <w:rPr>
          <w:rFonts w:ascii="Arial" w:hAnsi="Arial" w:cs="Arial"/>
          <w:sz w:val="20"/>
          <w:szCs w:val="20"/>
        </w:rPr>
      </w:pPr>
    </w:p>
    <w:p w:rsidR="0056194E" w:rsidRDefault="0056194E">
      <w:pPr>
        <w:numPr>
          <w:ilvl w:val="0"/>
          <w:numId w:val="11"/>
        </w:numPr>
        <w:tabs>
          <w:tab w:val="center" w:pos="0"/>
          <w:tab w:val="right" w:pos="8504"/>
        </w:tabs>
        <w:autoSpaceDE w:val="0"/>
        <w:spacing w:after="160"/>
        <w:jc w:val="both"/>
        <w:rPr>
          <w:rFonts w:ascii="Arial" w:hAnsi="Arial" w:cs="Arial"/>
          <w:sz w:val="20"/>
          <w:szCs w:val="20"/>
        </w:rPr>
      </w:pPr>
      <w:r>
        <w:rPr>
          <w:rFonts w:ascii="Arial" w:hAnsi="Arial" w:cs="Arial"/>
          <w:sz w:val="20"/>
          <w:szCs w:val="20"/>
        </w:rPr>
        <w:t xml:space="preserve">En la última actualización de las Guías de la </w:t>
      </w:r>
      <w:r>
        <w:rPr>
          <w:rFonts w:ascii="Arial" w:hAnsi="Arial" w:cs="Arial"/>
          <w:b/>
          <w:sz w:val="20"/>
          <w:szCs w:val="20"/>
        </w:rPr>
        <w:t xml:space="preserve">NCCN </w:t>
      </w:r>
      <w:r>
        <w:rPr>
          <w:rFonts w:ascii="Arial" w:hAnsi="Arial" w:cs="Arial"/>
          <w:sz w:val="20"/>
          <w:szCs w:val="20"/>
        </w:rPr>
        <w:t>(National Comprehensive Cancer Network) Versión</w:t>
      </w:r>
      <w:r w:rsidR="00E56ABD">
        <w:rPr>
          <w:rFonts w:ascii="Arial" w:hAnsi="Arial" w:cs="Arial"/>
          <w:sz w:val="20"/>
          <w:szCs w:val="20"/>
        </w:rPr>
        <w:t xml:space="preserve"> 4.</w:t>
      </w:r>
      <w:r>
        <w:rPr>
          <w:rFonts w:ascii="Arial" w:hAnsi="Arial" w:cs="Arial"/>
          <w:sz w:val="20"/>
          <w:szCs w:val="20"/>
        </w:rPr>
        <w:t>201</w:t>
      </w:r>
      <w:r w:rsidR="00E56ABD">
        <w:rPr>
          <w:rFonts w:ascii="Arial" w:hAnsi="Arial" w:cs="Arial"/>
          <w:sz w:val="20"/>
          <w:szCs w:val="20"/>
        </w:rPr>
        <w:t>8</w:t>
      </w:r>
      <w:r>
        <w:rPr>
          <w:rFonts w:ascii="Arial" w:hAnsi="Arial" w:cs="Arial"/>
          <w:sz w:val="20"/>
          <w:szCs w:val="20"/>
        </w:rPr>
        <w:t xml:space="preserve"> sobre cáncer de próstata</w:t>
      </w:r>
      <w:r>
        <w:rPr>
          <w:rFonts w:ascii="Arial" w:hAnsi="Arial" w:cs="Arial"/>
          <w:sz w:val="20"/>
          <w:szCs w:val="20"/>
          <w:vertAlign w:val="superscript"/>
        </w:rPr>
        <w:t>2</w:t>
      </w:r>
      <w:r w:rsidR="008503B4">
        <w:rPr>
          <w:rFonts w:ascii="Arial" w:hAnsi="Arial" w:cs="Arial"/>
          <w:sz w:val="20"/>
          <w:szCs w:val="20"/>
          <w:vertAlign w:val="superscript"/>
        </w:rPr>
        <w:t>6</w:t>
      </w:r>
      <w:r>
        <w:rPr>
          <w:rFonts w:ascii="Arial" w:hAnsi="Arial" w:cs="Arial"/>
          <w:sz w:val="20"/>
          <w:szCs w:val="20"/>
        </w:rPr>
        <w:t xml:space="preserve"> [consultada realizada a fecha de </w:t>
      </w:r>
      <w:r w:rsidR="00E56ABD">
        <w:rPr>
          <w:rFonts w:ascii="Arial" w:hAnsi="Arial" w:cs="Arial"/>
          <w:sz w:val="20"/>
          <w:szCs w:val="20"/>
        </w:rPr>
        <w:t>10</w:t>
      </w:r>
      <w:r>
        <w:rPr>
          <w:rFonts w:ascii="Arial" w:hAnsi="Arial" w:cs="Arial"/>
          <w:sz w:val="20"/>
          <w:szCs w:val="20"/>
        </w:rPr>
        <w:t xml:space="preserve"> de </w:t>
      </w:r>
      <w:r w:rsidR="00E56ABD">
        <w:rPr>
          <w:rFonts w:ascii="Arial" w:hAnsi="Arial" w:cs="Arial"/>
          <w:sz w:val="20"/>
          <w:szCs w:val="20"/>
        </w:rPr>
        <w:t>enero</w:t>
      </w:r>
      <w:r>
        <w:rPr>
          <w:rFonts w:ascii="Arial" w:hAnsi="Arial" w:cs="Arial"/>
          <w:sz w:val="20"/>
          <w:szCs w:val="20"/>
        </w:rPr>
        <w:t xml:space="preserve"> de 201</w:t>
      </w:r>
      <w:r w:rsidR="00E56ABD">
        <w:rPr>
          <w:rFonts w:ascii="Arial" w:hAnsi="Arial" w:cs="Arial"/>
          <w:sz w:val="20"/>
          <w:szCs w:val="20"/>
        </w:rPr>
        <w:t>8</w:t>
      </w:r>
      <w:r>
        <w:rPr>
          <w:rFonts w:ascii="Arial" w:hAnsi="Arial" w:cs="Arial"/>
          <w:sz w:val="20"/>
          <w:szCs w:val="20"/>
        </w:rPr>
        <w:t xml:space="preserve">] </w:t>
      </w:r>
      <w:r w:rsidR="00E56ABD">
        <w:rPr>
          <w:rFonts w:ascii="Arial" w:hAnsi="Arial" w:cs="Arial"/>
          <w:sz w:val="20"/>
          <w:szCs w:val="20"/>
        </w:rPr>
        <w:t xml:space="preserve">tanto la </w:t>
      </w:r>
      <w:r w:rsidR="000643AF">
        <w:rPr>
          <w:rFonts w:ascii="Arial" w:hAnsi="Arial" w:cs="Arial"/>
          <w:sz w:val="20"/>
          <w:szCs w:val="20"/>
        </w:rPr>
        <w:t>adición de</w:t>
      </w:r>
      <w:r w:rsidR="00E56ABD">
        <w:rPr>
          <w:rFonts w:ascii="Arial" w:hAnsi="Arial" w:cs="Arial"/>
          <w:sz w:val="20"/>
          <w:szCs w:val="20"/>
        </w:rPr>
        <w:t xml:space="preserve"> docetaxel como </w:t>
      </w:r>
      <w:r w:rsidR="000643AF">
        <w:rPr>
          <w:rFonts w:ascii="Arial" w:hAnsi="Arial" w:cs="Arial"/>
          <w:sz w:val="20"/>
          <w:szCs w:val="20"/>
        </w:rPr>
        <w:t>la adición de a</w:t>
      </w:r>
      <w:r w:rsidR="00E56ABD">
        <w:rPr>
          <w:rFonts w:ascii="Arial" w:hAnsi="Arial" w:cs="Arial"/>
          <w:sz w:val="20"/>
          <w:szCs w:val="20"/>
        </w:rPr>
        <w:t xml:space="preserve">biraterona </w:t>
      </w:r>
      <w:r w:rsidR="000643AF">
        <w:rPr>
          <w:rFonts w:ascii="Arial" w:hAnsi="Arial" w:cs="Arial"/>
          <w:sz w:val="20"/>
          <w:szCs w:val="20"/>
        </w:rPr>
        <w:t xml:space="preserve">a la TDA las considera similares en términos de eficacia y seguridad. Según la categorización de dicha guía se les da categoría 1, es decir, decisión basada en el más alto nivel de evidencia y consenso entre el panel de expertos. </w:t>
      </w:r>
    </w:p>
    <w:p w:rsidR="00B54233" w:rsidRPr="00E740C4" w:rsidRDefault="0056194E" w:rsidP="00B54233">
      <w:pPr>
        <w:numPr>
          <w:ilvl w:val="0"/>
          <w:numId w:val="11"/>
        </w:numPr>
        <w:tabs>
          <w:tab w:val="center" w:pos="0"/>
          <w:tab w:val="right" w:pos="8504"/>
        </w:tabs>
        <w:autoSpaceDE w:val="0"/>
        <w:spacing w:after="160"/>
        <w:jc w:val="both"/>
        <w:rPr>
          <w:rFonts w:ascii="Arial" w:hAnsi="Arial" w:cs="Arial"/>
          <w:sz w:val="20"/>
          <w:szCs w:val="20"/>
        </w:rPr>
      </w:pPr>
      <w:r>
        <w:rPr>
          <w:rFonts w:ascii="Arial" w:hAnsi="Arial" w:cs="Arial"/>
          <w:sz w:val="20"/>
          <w:szCs w:val="20"/>
        </w:rPr>
        <w:t xml:space="preserve">En el </w:t>
      </w:r>
      <w:r>
        <w:rPr>
          <w:rFonts w:ascii="Arial" w:hAnsi="Arial" w:cs="Arial"/>
          <w:b/>
          <w:bCs/>
          <w:sz w:val="20"/>
          <w:szCs w:val="20"/>
        </w:rPr>
        <w:t>NICE</w:t>
      </w:r>
      <w:r w:rsidR="00D44157" w:rsidRPr="00D44157">
        <w:rPr>
          <w:rFonts w:ascii="Arial" w:hAnsi="Arial" w:cs="Arial"/>
          <w:b/>
          <w:bCs/>
          <w:sz w:val="20"/>
          <w:szCs w:val="20"/>
          <w:vertAlign w:val="superscript"/>
        </w:rPr>
        <w:t>2</w:t>
      </w:r>
      <w:r w:rsidR="008503B4">
        <w:rPr>
          <w:rFonts w:ascii="Arial" w:hAnsi="Arial" w:cs="Arial"/>
          <w:b/>
          <w:bCs/>
          <w:sz w:val="20"/>
          <w:szCs w:val="20"/>
          <w:vertAlign w:val="superscript"/>
        </w:rPr>
        <w:t>7</w:t>
      </w:r>
      <w:r>
        <w:rPr>
          <w:rFonts w:ascii="Arial" w:hAnsi="Arial" w:cs="Arial"/>
          <w:sz w:val="20"/>
          <w:szCs w:val="20"/>
        </w:rPr>
        <w:t xml:space="preserve"> </w:t>
      </w:r>
      <w:r w:rsidR="00B54233">
        <w:rPr>
          <w:rFonts w:ascii="Arial" w:hAnsi="Arial" w:cs="Arial"/>
          <w:sz w:val="20"/>
          <w:szCs w:val="20"/>
        </w:rPr>
        <w:t xml:space="preserve">se estaba realizando </w:t>
      </w:r>
      <w:r>
        <w:rPr>
          <w:rFonts w:ascii="Arial" w:hAnsi="Arial" w:cs="Arial"/>
          <w:sz w:val="20"/>
          <w:szCs w:val="20"/>
        </w:rPr>
        <w:t>el proyecto “</w:t>
      </w:r>
      <w:r>
        <w:rPr>
          <w:rFonts w:ascii="Arial" w:hAnsi="Arial" w:cs="Arial"/>
          <w:color w:val="0E0E0E"/>
          <w:sz w:val="20"/>
          <w:szCs w:val="20"/>
        </w:rPr>
        <w:t>Abiraterone for treating</w:t>
      </w:r>
      <w:r w:rsidR="00A55ECE">
        <w:rPr>
          <w:rFonts w:ascii="Arial" w:hAnsi="Arial" w:cs="Arial"/>
          <w:color w:val="0E0E0E"/>
          <w:sz w:val="20"/>
          <w:szCs w:val="20"/>
        </w:rPr>
        <w:t xml:space="preserve"> </w:t>
      </w:r>
      <w:r>
        <w:rPr>
          <w:rFonts w:ascii="Arial" w:hAnsi="Arial" w:cs="Arial"/>
          <w:color w:val="0E0E0E"/>
          <w:sz w:val="20"/>
          <w:szCs w:val="20"/>
        </w:rPr>
        <w:t>newly</w:t>
      </w:r>
      <w:r w:rsidR="00A55ECE">
        <w:rPr>
          <w:rFonts w:ascii="Arial" w:hAnsi="Arial" w:cs="Arial"/>
          <w:color w:val="0E0E0E"/>
          <w:sz w:val="20"/>
          <w:szCs w:val="20"/>
        </w:rPr>
        <w:t xml:space="preserve"> </w:t>
      </w:r>
      <w:r>
        <w:rPr>
          <w:rFonts w:ascii="Arial" w:hAnsi="Arial" w:cs="Arial"/>
          <w:color w:val="0E0E0E"/>
          <w:sz w:val="20"/>
          <w:szCs w:val="20"/>
        </w:rPr>
        <w:t xml:space="preserve">diagnosed metastatic hormone-naive prostate cancer [ID945]” </w:t>
      </w:r>
      <w:r>
        <w:rPr>
          <w:rFonts w:ascii="Arial" w:hAnsi="Arial" w:cs="Arial"/>
          <w:sz w:val="20"/>
          <w:szCs w:val="20"/>
        </w:rPr>
        <w:t>de actualización de la guía de práctica clínica en cáncer de próstata</w:t>
      </w:r>
      <w:r w:rsidR="00B54233">
        <w:rPr>
          <w:rFonts w:ascii="Arial" w:hAnsi="Arial" w:cs="Arial"/>
          <w:sz w:val="20"/>
          <w:szCs w:val="20"/>
        </w:rPr>
        <w:t xml:space="preserve">. A fecha de 14 de noviembre de 2018, el proyecto ha sido suspendido en espera </w:t>
      </w:r>
      <w:r w:rsidR="00B54233" w:rsidRPr="00A113AF">
        <w:rPr>
          <w:rFonts w:ascii="Arial" w:hAnsi="Arial" w:cs="Arial"/>
          <w:sz w:val="20"/>
          <w:szCs w:val="20"/>
        </w:rPr>
        <w:t>de la confirmación del laboratorio del precio de abiraterona en esta indicación</w:t>
      </w:r>
      <w:r w:rsidR="00B54233">
        <w:rPr>
          <w:rFonts w:ascii="Arial" w:hAnsi="Arial" w:cs="Arial"/>
          <w:sz w:val="20"/>
          <w:szCs w:val="20"/>
        </w:rPr>
        <w:t>.</w:t>
      </w:r>
      <w:r w:rsidR="00B54233">
        <w:rPr>
          <w:sz w:val="20"/>
        </w:rPr>
        <w:t xml:space="preserve"> </w:t>
      </w:r>
      <w:r w:rsidR="00B54233" w:rsidRPr="00A113AF">
        <w:rPr>
          <w:rFonts w:ascii="Arial" w:hAnsi="Arial" w:cs="Arial"/>
          <w:sz w:val="20"/>
          <w:szCs w:val="20"/>
        </w:rPr>
        <w:t>Es interesante consignar, aunque el documento sea provisional</w:t>
      </w:r>
      <w:r w:rsidR="00A113AF">
        <w:rPr>
          <w:rFonts w:ascii="Arial" w:hAnsi="Arial" w:cs="Arial"/>
          <w:sz w:val="20"/>
          <w:szCs w:val="20"/>
        </w:rPr>
        <w:t>,</w:t>
      </w:r>
      <w:r w:rsidR="00B54233" w:rsidRPr="00A113AF">
        <w:rPr>
          <w:rFonts w:ascii="Arial" w:hAnsi="Arial" w:cs="Arial"/>
          <w:sz w:val="20"/>
          <w:szCs w:val="20"/>
        </w:rPr>
        <w:t xml:space="preserve"> las siguientes cuestiones:</w:t>
      </w:r>
    </w:p>
    <w:p w:rsidR="00B54233" w:rsidRPr="00A113AF" w:rsidRDefault="00B54233" w:rsidP="00A113AF">
      <w:pPr>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sidRPr="00A113AF">
        <w:rPr>
          <w:rFonts w:ascii="Arial" w:hAnsi="Arial" w:cs="Arial"/>
          <w:sz w:val="20"/>
          <w:szCs w:val="20"/>
        </w:rPr>
        <w:t xml:space="preserve">Abiraterona más TDA no se recomienda </w:t>
      </w:r>
      <w:r w:rsidR="00E740C4" w:rsidRPr="00A113AF">
        <w:rPr>
          <w:rFonts w:ascii="Arial" w:hAnsi="Arial" w:cs="Arial"/>
          <w:sz w:val="20"/>
          <w:szCs w:val="20"/>
        </w:rPr>
        <w:t xml:space="preserve">en pacientes no tratados previamente con cáncer de próstata metastásico sensible </w:t>
      </w:r>
      <w:r w:rsidRPr="00A113AF">
        <w:rPr>
          <w:rFonts w:ascii="Arial" w:hAnsi="Arial" w:cs="Arial"/>
          <w:sz w:val="20"/>
          <w:szCs w:val="20"/>
        </w:rPr>
        <w:t>de alto riesgo en adultos.</w:t>
      </w:r>
    </w:p>
    <w:p w:rsidR="00E740C4" w:rsidRPr="00A113AF" w:rsidRDefault="00E740C4" w:rsidP="00A113AF">
      <w:pPr>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sidRPr="00A113AF">
        <w:rPr>
          <w:rFonts w:ascii="Arial" w:hAnsi="Arial" w:cs="Arial"/>
          <w:sz w:val="20"/>
          <w:szCs w:val="20"/>
        </w:rPr>
        <w:t>Esta recomendación excluye a los pacientes que ya iniciaron el tratamiento con abiraterona antes de la publicación de esta guía.</w:t>
      </w:r>
    </w:p>
    <w:p w:rsidR="00E740C4" w:rsidRDefault="00E740C4" w:rsidP="00E740C4">
      <w:pPr>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sidRPr="00A113AF">
        <w:rPr>
          <w:rFonts w:ascii="Arial" w:hAnsi="Arial" w:cs="Arial"/>
          <w:sz w:val="20"/>
          <w:szCs w:val="20"/>
        </w:rPr>
        <w:t xml:space="preserve">Una de las conclusiones que destaca el documento es la importancia de la elección de la primera línea de tratamiento ya que condiciona los tratamientos </w:t>
      </w:r>
      <w:r>
        <w:rPr>
          <w:rFonts w:ascii="Arial" w:hAnsi="Arial" w:cs="Arial"/>
          <w:sz w:val="20"/>
          <w:szCs w:val="20"/>
        </w:rPr>
        <w:t>posteriores</w:t>
      </w:r>
      <w:r w:rsidRPr="00A113AF">
        <w:rPr>
          <w:rFonts w:ascii="Arial" w:hAnsi="Arial" w:cs="Arial"/>
          <w:sz w:val="20"/>
          <w:szCs w:val="20"/>
        </w:rPr>
        <w:t>. En el caso de utilizar abiraterona + TDA, se tendría</w:t>
      </w:r>
      <w:r>
        <w:rPr>
          <w:rFonts w:ascii="Arial" w:hAnsi="Arial" w:cs="Arial"/>
          <w:sz w:val="20"/>
          <w:szCs w:val="20"/>
        </w:rPr>
        <w:t>n</w:t>
      </w:r>
      <w:r w:rsidRPr="00A113AF">
        <w:rPr>
          <w:rFonts w:ascii="Arial" w:hAnsi="Arial" w:cs="Arial"/>
          <w:sz w:val="20"/>
          <w:szCs w:val="20"/>
        </w:rPr>
        <w:t xml:space="preserve"> menos opciones terapéuticas en las siguientes líneas que si se tratase</w:t>
      </w:r>
      <w:r w:rsidR="00A113AF">
        <w:rPr>
          <w:rFonts w:ascii="Arial" w:hAnsi="Arial" w:cs="Arial"/>
          <w:sz w:val="20"/>
          <w:szCs w:val="20"/>
        </w:rPr>
        <w:t>n</w:t>
      </w:r>
      <w:r w:rsidRPr="00A113AF">
        <w:rPr>
          <w:rFonts w:ascii="Arial" w:hAnsi="Arial" w:cs="Arial"/>
          <w:sz w:val="20"/>
          <w:szCs w:val="20"/>
        </w:rPr>
        <w:t xml:space="preserve"> con TDA</w:t>
      </w:r>
      <w:r>
        <w:rPr>
          <w:rFonts w:ascii="Arial" w:hAnsi="Arial" w:cs="Arial"/>
          <w:sz w:val="20"/>
          <w:szCs w:val="20"/>
        </w:rPr>
        <w:t xml:space="preserve"> en monoterapia o docetaxel + TDA.</w:t>
      </w:r>
    </w:p>
    <w:p w:rsidR="00A113AF" w:rsidRDefault="00A113AF" w:rsidP="00085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p>
    <w:p w:rsidR="00E740C4"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Pr>
          <w:rFonts w:ascii="Arial" w:hAnsi="Arial" w:cs="Arial"/>
          <w:sz w:val="20"/>
          <w:szCs w:val="20"/>
        </w:rPr>
        <w:t>Posibles secuenciaciones terapéuticas:</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B7"/>
      </w:r>
      <w:r w:rsidRPr="00A113AF">
        <w:rPr>
          <w:rFonts w:ascii="Arial" w:hAnsi="Arial" w:cs="Arial"/>
          <w:sz w:val="20"/>
          <w:szCs w:val="20"/>
        </w:rPr>
        <w:t xml:space="preserve"> </w:t>
      </w:r>
      <w:r>
        <w:rPr>
          <w:rFonts w:ascii="Arial" w:hAnsi="Arial" w:cs="Arial"/>
          <w:sz w:val="20"/>
          <w:szCs w:val="20"/>
        </w:rPr>
        <w:t>Después de TDA en monoterapia:</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Pr>
          <w:rFonts w:ascii="Arial" w:hAnsi="Arial" w:cs="Arial"/>
          <w:sz w:val="20"/>
          <w:szCs w:val="20"/>
        </w:rPr>
        <w:t xml:space="preserve"> Abira</w:t>
      </w:r>
      <w:r w:rsidRPr="00A113AF">
        <w:rPr>
          <w:rFonts w:ascii="Arial" w:hAnsi="Arial" w:cs="Arial"/>
          <w:sz w:val="20"/>
          <w:szCs w:val="20"/>
        </w:rPr>
        <w:t>teron</w:t>
      </w:r>
      <w:r>
        <w:rPr>
          <w:rFonts w:ascii="Arial" w:hAnsi="Arial" w:cs="Arial"/>
          <w:sz w:val="20"/>
          <w:szCs w:val="20"/>
        </w:rPr>
        <w:t>a</w:t>
      </w:r>
      <w:r w:rsidRPr="00A113AF">
        <w:rPr>
          <w:rFonts w:ascii="Arial" w:hAnsi="Arial" w:cs="Arial"/>
          <w:sz w:val="20"/>
          <w:szCs w:val="20"/>
        </w:rPr>
        <w:t xml:space="preserve"> o enzalutamid</w:t>
      </w:r>
      <w:r>
        <w:rPr>
          <w:rFonts w:ascii="Arial" w:hAnsi="Arial" w:cs="Arial"/>
          <w:sz w:val="20"/>
          <w:szCs w:val="20"/>
        </w:rPr>
        <w:t>a</w:t>
      </w:r>
      <w:r w:rsidRPr="00A113AF">
        <w:rPr>
          <w:rFonts w:ascii="Arial" w:hAnsi="Arial" w:cs="Arial"/>
          <w:sz w:val="20"/>
          <w:szCs w:val="20"/>
        </w:rPr>
        <w:t xml:space="preserve"> (</w:t>
      </w:r>
      <w:r>
        <w:rPr>
          <w:rFonts w:ascii="Arial" w:hAnsi="Arial" w:cs="Arial"/>
          <w:sz w:val="20"/>
          <w:szCs w:val="20"/>
        </w:rPr>
        <w:t>antes o después de</w:t>
      </w:r>
      <w:r w:rsidRPr="00A113AF">
        <w:rPr>
          <w:rFonts w:ascii="Arial" w:hAnsi="Arial" w:cs="Arial"/>
          <w:sz w:val="20"/>
          <w:szCs w:val="20"/>
        </w:rPr>
        <w:t xml:space="preserve"> docetaxel) </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2D"/>
      </w:r>
      <w:r w:rsidRPr="00A113AF">
        <w:rPr>
          <w:rFonts w:ascii="Arial" w:hAnsi="Arial" w:cs="Arial"/>
          <w:sz w:val="20"/>
          <w:szCs w:val="20"/>
        </w:rPr>
        <w:t xml:space="preserve"> </w:t>
      </w:r>
      <w:r>
        <w:rPr>
          <w:rFonts w:ascii="Arial" w:hAnsi="Arial" w:cs="Arial"/>
          <w:sz w:val="20"/>
          <w:szCs w:val="20"/>
        </w:rPr>
        <w:t>D</w:t>
      </w:r>
      <w:r w:rsidRPr="00A113AF">
        <w:rPr>
          <w:rFonts w:ascii="Arial" w:hAnsi="Arial" w:cs="Arial"/>
          <w:sz w:val="20"/>
          <w:szCs w:val="20"/>
        </w:rPr>
        <w:t xml:space="preserve">ocetaxel </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2D"/>
      </w:r>
      <w:r w:rsidRPr="00A113AF">
        <w:rPr>
          <w:rFonts w:ascii="Arial" w:hAnsi="Arial" w:cs="Arial"/>
          <w:sz w:val="20"/>
          <w:szCs w:val="20"/>
        </w:rPr>
        <w:t xml:space="preserve"> </w:t>
      </w:r>
      <w:r>
        <w:rPr>
          <w:rFonts w:ascii="Arial" w:hAnsi="Arial" w:cs="Arial"/>
          <w:sz w:val="20"/>
          <w:szCs w:val="20"/>
        </w:rPr>
        <w:t xml:space="preserve">Otros tratamientos como </w:t>
      </w:r>
      <w:r w:rsidRPr="00A113AF">
        <w:rPr>
          <w:rFonts w:ascii="Arial" w:hAnsi="Arial" w:cs="Arial"/>
          <w:sz w:val="20"/>
          <w:szCs w:val="20"/>
        </w:rPr>
        <w:t>cabazitaxel o radi</w:t>
      </w:r>
      <w:r>
        <w:rPr>
          <w:rFonts w:ascii="Arial" w:hAnsi="Arial" w:cs="Arial"/>
          <w:sz w:val="20"/>
          <w:szCs w:val="20"/>
        </w:rPr>
        <w:t>o</w:t>
      </w:r>
      <w:r w:rsidRPr="00A113AF">
        <w:rPr>
          <w:rFonts w:ascii="Arial" w:hAnsi="Arial" w:cs="Arial"/>
          <w:sz w:val="20"/>
          <w:szCs w:val="20"/>
        </w:rPr>
        <w:t xml:space="preserve">-223. </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B7"/>
      </w:r>
      <w:r w:rsidRPr="00A113AF">
        <w:rPr>
          <w:rFonts w:ascii="Arial" w:hAnsi="Arial" w:cs="Arial"/>
          <w:sz w:val="20"/>
          <w:szCs w:val="20"/>
        </w:rPr>
        <w:t xml:space="preserve"> </w:t>
      </w:r>
      <w:r>
        <w:rPr>
          <w:rFonts w:ascii="Arial" w:hAnsi="Arial" w:cs="Arial"/>
          <w:sz w:val="20"/>
          <w:szCs w:val="20"/>
        </w:rPr>
        <w:t>Después de docetaxel + TDA</w:t>
      </w:r>
      <w:r w:rsidRPr="00A113AF">
        <w:rPr>
          <w:rFonts w:ascii="Arial" w:hAnsi="Arial" w:cs="Arial"/>
          <w:sz w:val="20"/>
          <w:szCs w:val="20"/>
        </w:rPr>
        <w:t xml:space="preserve">: </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Pr>
          <w:rFonts w:ascii="Arial" w:hAnsi="Arial" w:cs="Arial"/>
          <w:sz w:val="20"/>
          <w:szCs w:val="20"/>
        </w:rPr>
        <w:t xml:space="preserve"> Abira</w:t>
      </w:r>
      <w:r w:rsidRPr="00D46ED8">
        <w:rPr>
          <w:rFonts w:ascii="Arial" w:hAnsi="Arial" w:cs="Arial"/>
          <w:sz w:val="20"/>
          <w:szCs w:val="20"/>
        </w:rPr>
        <w:t>teron</w:t>
      </w:r>
      <w:r>
        <w:rPr>
          <w:rFonts w:ascii="Arial" w:hAnsi="Arial" w:cs="Arial"/>
          <w:sz w:val="20"/>
          <w:szCs w:val="20"/>
        </w:rPr>
        <w:t>a</w:t>
      </w:r>
      <w:r w:rsidRPr="00D46ED8">
        <w:rPr>
          <w:rFonts w:ascii="Arial" w:hAnsi="Arial" w:cs="Arial"/>
          <w:sz w:val="20"/>
          <w:szCs w:val="20"/>
        </w:rPr>
        <w:t xml:space="preserve"> o enzalutamid</w:t>
      </w:r>
      <w:r>
        <w:rPr>
          <w:rFonts w:ascii="Arial" w:hAnsi="Arial" w:cs="Arial"/>
          <w:sz w:val="20"/>
          <w:szCs w:val="20"/>
        </w:rPr>
        <w:t>a</w:t>
      </w:r>
      <w:r w:rsidRPr="00D46ED8">
        <w:rPr>
          <w:rFonts w:ascii="Arial" w:hAnsi="Arial" w:cs="Arial"/>
          <w:sz w:val="20"/>
          <w:szCs w:val="20"/>
        </w:rPr>
        <w:t xml:space="preserve"> (</w:t>
      </w:r>
      <w:r>
        <w:rPr>
          <w:rFonts w:ascii="Arial" w:hAnsi="Arial" w:cs="Arial"/>
          <w:sz w:val="20"/>
          <w:szCs w:val="20"/>
        </w:rPr>
        <w:t>antes o después de</w:t>
      </w:r>
      <w:r w:rsidRPr="00D46ED8">
        <w:rPr>
          <w:rFonts w:ascii="Arial" w:hAnsi="Arial" w:cs="Arial"/>
          <w:sz w:val="20"/>
          <w:szCs w:val="20"/>
        </w:rPr>
        <w:t xml:space="preserve"> docetaxel) </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sidRPr="00D46ED8">
        <w:rPr>
          <w:rFonts w:ascii="Arial" w:hAnsi="Arial" w:cs="Arial"/>
          <w:sz w:val="20"/>
          <w:szCs w:val="20"/>
        </w:rPr>
        <w:t xml:space="preserve"> </w:t>
      </w:r>
      <w:r>
        <w:rPr>
          <w:rFonts w:ascii="Arial" w:hAnsi="Arial" w:cs="Arial"/>
          <w:sz w:val="20"/>
          <w:szCs w:val="20"/>
        </w:rPr>
        <w:t>D</w:t>
      </w:r>
      <w:r w:rsidRPr="00D46ED8">
        <w:rPr>
          <w:rFonts w:ascii="Arial" w:hAnsi="Arial" w:cs="Arial"/>
          <w:sz w:val="20"/>
          <w:szCs w:val="20"/>
        </w:rPr>
        <w:t xml:space="preserve">ocetaxel </w:t>
      </w:r>
      <w:r>
        <w:rPr>
          <w:rFonts w:ascii="Arial" w:hAnsi="Arial" w:cs="Arial"/>
          <w:sz w:val="20"/>
          <w:szCs w:val="20"/>
        </w:rPr>
        <w:t>de nuevo</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2D"/>
      </w:r>
      <w:r w:rsidRPr="00A113AF">
        <w:rPr>
          <w:rFonts w:ascii="Arial" w:hAnsi="Arial" w:cs="Arial"/>
          <w:sz w:val="20"/>
          <w:szCs w:val="20"/>
        </w:rPr>
        <w:t xml:space="preserve"> </w:t>
      </w:r>
      <w:r w:rsidRPr="00D46ED8">
        <w:rPr>
          <w:rFonts w:ascii="Arial" w:hAnsi="Arial" w:cs="Arial"/>
          <w:sz w:val="20"/>
          <w:szCs w:val="20"/>
        </w:rPr>
        <w:sym w:font="Symbol" w:char="F02D"/>
      </w:r>
      <w:r w:rsidRPr="00D46ED8">
        <w:rPr>
          <w:rFonts w:ascii="Arial" w:hAnsi="Arial" w:cs="Arial"/>
          <w:sz w:val="20"/>
          <w:szCs w:val="20"/>
        </w:rPr>
        <w:t xml:space="preserve"> </w:t>
      </w:r>
      <w:r>
        <w:rPr>
          <w:rFonts w:ascii="Arial" w:hAnsi="Arial" w:cs="Arial"/>
          <w:sz w:val="20"/>
          <w:szCs w:val="20"/>
        </w:rPr>
        <w:t xml:space="preserve">Otros tratamientos como </w:t>
      </w:r>
      <w:r w:rsidRPr="00D46ED8">
        <w:rPr>
          <w:rFonts w:ascii="Arial" w:hAnsi="Arial" w:cs="Arial"/>
          <w:sz w:val="20"/>
          <w:szCs w:val="20"/>
        </w:rPr>
        <w:t>cabazitaxel o radi</w:t>
      </w:r>
      <w:r>
        <w:rPr>
          <w:rFonts w:ascii="Arial" w:hAnsi="Arial" w:cs="Arial"/>
          <w:sz w:val="20"/>
          <w:szCs w:val="20"/>
        </w:rPr>
        <w:t>o</w:t>
      </w:r>
      <w:r w:rsidRPr="00D46ED8">
        <w:rPr>
          <w:rFonts w:ascii="Arial" w:hAnsi="Arial" w:cs="Arial"/>
          <w:sz w:val="20"/>
          <w:szCs w:val="20"/>
        </w:rPr>
        <w:t>-223</w:t>
      </w:r>
    </w:p>
    <w:p w:rsidR="00A113AF" w:rsidRP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B7"/>
      </w:r>
      <w:r w:rsidRPr="00A113AF">
        <w:rPr>
          <w:rFonts w:ascii="Arial" w:hAnsi="Arial" w:cs="Arial"/>
          <w:sz w:val="20"/>
          <w:szCs w:val="20"/>
        </w:rPr>
        <w:t xml:space="preserve"> </w:t>
      </w:r>
      <w:r>
        <w:rPr>
          <w:rFonts w:ascii="Arial" w:hAnsi="Arial" w:cs="Arial"/>
          <w:sz w:val="20"/>
          <w:szCs w:val="20"/>
        </w:rPr>
        <w:t>Después de abiraterona + TDA</w:t>
      </w:r>
      <w:r w:rsidRPr="00A113AF">
        <w:rPr>
          <w:rFonts w:ascii="Arial" w:hAnsi="Arial" w:cs="Arial"/>
          <w:sz w:val="20"/>
          <w:szCs w:val="20"/>
        </w:rPr>
        <w:t>:</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sidRPr="00D46ED8">
        <w:rPr>
          <w:rFonts w:ascii="Arial" w:hAnsi="Arial" w:cs="Arial"/>
          <w:sz w:val="20"/>
          <w:szCs w:val="20"/>
        </w:rPr>
        <w:t xml:space="preserve"> </w:t>
      </w:r>
      <w:r>
        <w:rPr>
          <w:rFonts w:ascii="Arial" w:hAnsi="Arial" w:cs="Arial"/>
          <w:sz w:val="20"/>
          <w:szCs w:val="20"/>
        </w:rPr>
        <w:t>D</w:t>
      </w:r>
      <w:r w:rsidRPr="00D46ED8">
        <w:rPr>
          <w:rFonts w:ascii="Arial" w:hAnsi="Arial" w:cs="Arial"/>
          <w:sz w:val="20"/>
          <w:szCs w:val="20"/>
        </w:rPr>
        <w:t xml:space="preserve">ocetaxel </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sidRPr="00D46ED8">
        <w:rPr>
          <w:rFonts w:ascii="Arial" w:hAnsi="Arial" w:cs="Arial"/>
          <w:sz w:val="20"/>
          <w:szCs w:val="20"/>
        </w:rPr>
        <w:t xml:space="preserve"> </w:t>
      </w:r>
      <w:r>
        <w:rPr>
          <w:rFonts w:ascii="Arial" w:hAnsi="Arial" w:cs="Arial"/>
          <w:sz w:val="20"/>
          <w:szCs w:val="20"/>
        </w:rPr>
        <w:t xml:space="preserve">Otros tratamientos como </w:t>
      </w:r>
      <w:r w:rsidRPr="00D46ED8">
        <w:rPr>
          <w:rFonts w:ascii="Arial" w:hAnsi="Arial" w:cs="Arial"/>
          <w:sz w:val="20"/>
          <w:szCs w:val="20"/>
        </w:rPr>
        <w:t>cabazitaxel o radi</w:t>
      </w:r>
      <w:r>
        <w:rPr>
          <w:rFonts w:ascii="Arial" w:hAnsi="Arial" w:cs="Arial"/>
          <w:sz w:val="20"/>
          <w:szCs w:val="20"/>
        </w:rPr>
        <w:t>o</w:t>
      </w:r>
      <w:r w:rsidRPr="00D46ED8">
        <w:rPr>
          <w:rFonts w:ascii="Arial" w:hAnsi="Arial" w:cs="Arial"/>
          <w:sz w:val="20"/>
          <w:szCs w:val="20"/>
        </w:rPr>
        <w:t xml:space="preserve">-223. </w:t>
      </w:r>
    </w:p>
    <w:p w:rsidR="00FE47EB" w:rsidRDefault="00FE47EB"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p>
    <w:p w:rsidR="00FE47EB" w:rsidRDefault="00466EF7" w:rsidP="00466EF7">
      <w:pPr>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 xml:space="preserve">En la guía de la </w:t>
      </w:r>
      <w:r w:rsidRPr="00466EF7">
        <w:rPr>
          <w:rFonts w:ascii="Arial" w:hAnsi="Arial" w:cs="Arial"/>
          <w:b/>
          <w:sz w:val="20"/>
          <w:szCs w:val="20"/>
        </w:rPr>
        <w:t>ESMO</w:t>
      </w:r>
      <w:r w:rsidR="006A7956" w:rsidRPr="006A7956">
        <w:rPr>
          <w:rFonts w:ascii="Arial" w:hAnsi="Arial" w:cs="Arial"/>
          <w:b/>
          <w:sz w:val="20"/>
          <w:szCs w:val="20"/>
          <w:vertAlign w:val="superscript"/>
        </w:rPr>
        <w:t>2</w:t>
      </w:r>
      <w:r w:rsidR="008503B4">
        <w:rPr>
          <w:rFonts w:ascii="Arial" w:hAnsi="Arial" w:cs="Arial"/>
          <w:b/>
          <w:sz w:val="20"/>
          <w:szCs w:val="20"/>
          <w:vertAlign w:val="superscript"/>
        </w:rPr>
        <w:t>8</w:t>
      </w:r>
      <w:r>
        <w:rPr>
          <w:rFonts w:ascii="Arial" w:hAnsi="Arial" w:cs="Arial"/>
          <w:sz w:val="20"/>
          <w:szCs w:val="20"/>
        </w:rPr>
        <w:t xml:space="preserve"> </w:t>
      </w:r>
      <w:r w:rsidRPr="00466EF7">
        <w:rPr>
          <w:rFonts w:ascii="Arial" w:hAnsi="Arial" w:cs="Arial"/>
          <w:sz w:val="20"/>
          <w:szCs w:val="20"/>
        </w:rPr>
        <w:t>(European Society for Medical Oncology)</w:t>
      </w:r>
      <w:r>
        <w:rPr>
          <w:rFonts w:ascii="Arial" w:hAnsi="Arial" w:cs="Arial"/>
          <w:sz w:val="20"/>
          <w:szCs w:val="20"/>
        </w:rPr>
        <w:t xml:space="preserve"> el 28 de septiembre de 2017 se añadió el uso de TDA más Abiraterona/prednisona como una opción de primera línea a considerar en pacientes metastásicos con carcinoma hormonosensible, categoría I A al igual que el uso de docetaxel en el mismo contexto.</w:t>
      </w: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p>
    <w:p w:rsidR="00A113AF" w:rsidRDefault="00A113AF" w:rsidP="00A1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iCs/>
          <w:sz w:val="20"/>
        </w:rPr>
      </w:pPr>
      <w:bookmarkStart w:id="30" w:name="_Toc536608346"/>
      <w:r>
        <w:rPr>
          <w:sz w:val="20"/>
        </w:rPr>
        <w:t>5.4.2 Evaluaciones previas por organismos independientes</w:t>
      </w:r>
      <w:bookmarkEnd w:id="30"/>
    </w:p>
    <w:p w:rsidR="0056194E" w:rsidRDefault="0056194E">
      <w:pPr>
        <w:jc w:val="both"/>
        <w:rPr>
          <w:rFonts w:ascii="Arial" w:hAnsi="Arial" w:cs="Arial"/>
          <w:iCs/>
          <w:sz w:val="20"/>
          <w:szCs w:val="20"/>
        </w:rPr>
      </w:pPr>
      <w:r>
        <w:rPr>
          <w:rFonts w:ascii="Arial" w:hAnsi="Arial" w:cs="Arial"/>
          <w:iCs/>
          <w:sz w:val="20"/>
          <w:szCs w:val="20"/>
        </w:rPr>
        <w:tab/>
      </w:r>
    </w:p>
    <w:p w:rsidR="0056194E" w:rsidRPr="009C50F2" w:rsidRDefault="009C50F2" w:rsidP="00223CE2">
      <w:pPr>
        <w:numPr>
          <w:ilvl w:val="0"/>
          <w:numId w:val="14"/>
        </w:numPr>
        <w:jc w:val="both"/>
        <w:rPr>
          <w:rFonts w:ascii="Arial" w:hAnsi="Arial" w:cs="Arial"/>
          <w:sz w:val="20"/>
          <w:szCs w:val="20"/>
        </w:rPr>
      </w:pPr>
      <w:r w:rsidRPr="009C50F2">
        <w:rPr>
          <w:rFonts w:ascii="Arial" w:hAnsi="Arial" w:cs="Arial"/>
          <w:iCs/>
          <w:sz w:val="20"/>
          <w:szCs w:val="20"/>
        </w:rPr>
        <w:t xml:space="preserve">Cuenta con la indicación de la EMA en </w:t>
      </w:r>
      <w:r w:rsidR="00581D32" w:rsidRPr="009C50F2">
        <w:rPr>
          <w:rFonts w:ascii="Arial" w:hAnsi="Arial" w:cs="Arial"/>
          <w:iCs/>
          <w:sz w:val="20"/>
          <w:szCs w:val="20"/>
        </w:rPr>
        <w:t>el tratamiento en hombres adultos del cáncer de próstata hormonosensible metastásico de nuevo diagnóstico de alto riesgo (CPHSm) en combinación con tratamiento de deprivación de andrógenos (TDA)</w:t>
      </w:r>
      <w:r>
        <w:t>.</w:t>
      </w:r>
    </w:p>
    <w:p w:rsidR="009C50F2" w:rsidRPr="009C50F2" w:rsidRDefault="009C50F2" w:rsidP="009C50F2">
      <w:pPr>
        <w:ind w:left="720"/>
        <w:jc w:val="both"/>
        <w:rPr>
          <w:rFonts w:ascii="Arial" w:hAnsi="Arial" w:cs="Arial"/>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FF"/>
          <w:sz w:val="20"/>
          <w:u w:val="single"/>
        </w:rPr>
      </w:pPr>
      <w:bookmarkStart w:id="31" w:name="_Toc536608347"/>
      <w:r>
        <w:rPr>
          <w:sz w:val="20"/>
        </w:rPr>
        <w:t>5.4.4 Otras fuentes.</w:t>
      </w:r>
      <w:bookmarkEnd w:id="31"/>
    </w:p>
    <w:p w:rsidR="0056194E" w:rsidRDefault="0056194E">
      <w:pPr>
        <w:jc w:val="both"/>
        <w:rPr>
          <w:rFonts w:ascii="Arial" w:hAnsi="Arial" w:cs="Arial"/>
          <w:color w:val="0000FF"/>
          <w:sz w:val="20"/>
          <w:szCs w:val="20"/>
          <w:u w:val="single"/>
        </w:rPr>
      </w:pPr>
    </w:p>
    <w:p w:rsidR="00BD0D09" w:rsidRPr="00BD0D09" w:rsidRDefault="0056194E" w:rsidP="00BD0D09">
      <w:pPr>
        <w:pStyle w:val="HTMLconformatoprevio"/>
        <w:jc w:val="both"/>
        <w:rPr>
          <w:rFonts w:ascii="Arial" w:hAnsi="Arial" w:cs="Arial"/>
          <w:iCs/>
        </w:rPr>
      </w:pPr>
      <w:r>
        <w:rPr>
          <w:rFonts w:ascii="Arial" w:hAnsi="Arial" w:cs="Arial"/>
          <w:b/>
          <w:iCs/>
          <w:color w:val="000000"/>
        </w:rPr>
        <w:t xml:space="preserve">Uptodate: </w:t>
      </w:r>
      <w:r w:rsidR="00BD0D09" w:rsidRPr="00BD0D09">
        <w:rPr>
          <w:rFonts w:ascii="Arial" w:hAnsi="Arial" w:cs="Arial"/>
          <w:iCs/>
        </w:rPr>
        <w:t>se refleja</w:t>
      </w:r>
      <w:r w:rsidR="00BD0D09">
        <w:rPr>
          <w:rFonts w:ascii="Arial" w:hAnsi="Arial" w:cs="Arial"/>
          <w:b/>
          <w:iCs/>
          <w:color w:val="000000"/>
        </w:rPr>
        <w:t xml:space="preserve"> </w:t>
      </w:r>
      <w:r>
        <w:rPr>
          <w:rFonts w:ascii="Arial" w:hAnsi="Arial" w:cs="Arial"/>
          <w:iCs/>
        </w:rPr>
        <w:t>el uso de abiraterona en CPHS</w:t>
      </w:r>
      <w:r w:rsidR="00BD0D09">
        <w:rPr>
          <w:rFonts w:ascii="Arial" w:hAnsi="Arial" w:cs="Arial"/>
          <w:iCs/>
        </w:rPr>
        <w:t>: “</w:t>
      </w:r>
      <w:r w:rsidR="00BD0D09" w:rsidRPr="00BD0D09">
        <w:rPr>
          <w:rFonts w:ascii="Arial" w:hAnsi="Arial" w:cs="Arial"/>
          <w:iCs/>
        </w:rPr>
        <w:t>La combinación de ADT y abiraterona está indicada en hombres con cáncer de próstata metastásico de novo de alto riesgo. Puntuación de Gleason ≥ 8, tres lesiones óseas y enfermedad visceral medible. La combinación de ADT y abiraterona también puede considerarse para pacientes con enfermedad metastásica de bajo riesgo</w:t>
      </w:r>
      <w:r w:rsidR="00BD0D09">
        <w:rPr>
          <w:rFonts w:ascii="Arial" w:hAnsi="Arial" w:cs="Arial"/>
          <w:iCs/>
        </w:rPr>
        <w:t>”.</w:t>
      </w:r>
    </w:p>
    <w:p w:rsidR="0056194E" w:rsidRPr="00A43D05" w:rsidRDefault="0056194E">
      <w:pPr>
        <w:jc w:val="both"/>
        <w:rPr>
          <w:rFonts w:ascii="Arial" w:hAnsi="Arial" w:cs="Arial"/>
          <w:iCs/>
          <w:color w:val="000000"/>
          <w:sz w:val="20"/>
          <w:szCs w:val="20"/>
        </w:rPr>
      </w:pPr>
    </w:p>
    <w:tbl>
      <w:tblPr>
        <w:tblW w:w="0" w:type="auto"/>
        <w:tblInd w:w="-125" w:type="dxa"/>
        <w:tblLayout w:type="fixed"/>
        <w:tblCellMar>
          <w:left w:w="70" w:type="dxa"/>
          <w:right w:w="70" w:type="dxa"/>
        </w:tblCellMar>
        <w:tblLook w:val="0000"/>
      </w:tblPr>
      <w:tblGrid>
        <w:gridCol w:w="9140"/>
      </w:tblGrid>
      <w:tr w:rsidR="0056194E">
        <w:trPr>
          <w:trHeight w:val="228"/>
        </w:trPr>
        <w:tc>
          <w:tcPr>
            <w:tcW w:w="9140"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32" w:name="_Toc536608348"/>
            <w:r>
              <w:t>6. EVALUACIÓN DE LA SEGURIDAD.</w:t>
            </w:r>
            <w:bookmarkEnd w:id="32"/>
            <w:r>
              <w:t xml:space="preserve"> </w:t>
            </w:r>
          </w:p>
        </w:tc>
      </w:tr>
    </w:tbl>
    <w:p w:rsidR="0056194E" w:rsidRDefault="0056194E">
      <w:pPr>
        <w:jc w:val="both"/>
        <w:rPr>
          <w:rFonts w:ascii="Arial" w:hAnsi="Arial" w:cs="Arial"/>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33" w:name="_Toc536608349"/>
      <w:r>
        <w:rPr>
          <w:sz w:val="20"/>
        </w:rPr>
        <w:t>6.1.a Descripción de la búsqueda bibliográfica</w:t>
      </w:r>
      <w:bookmarkEnd w:id="33"/>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El perfil de seguridad de abiraterona se deriva principalmente de los ensayos clínicos descritos y del informe EPAR de la EMA para su primera indicación aprobada (cáncer de próstata metastásico resistente a la castración).</w:t>
      </w:r>
    </w:p>
    <w:p w:rsidR="0056194E" w:rsidRDefault="0056194E">
      <w:pPr>
        <w:jc w:val="both"/>
        <w:rPr>
          <w:rFonts w:ascii="Arial" w:hAnsi="Arial" w:cs="Arial"/>
          <w:color w:val="FF0000"/>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34" w:name="_Toc536608350"/>
      <w:r>
        <w:rPr>
          <w:sz w:val="20"/>
        </w:rPr>
        <w:t>6.1.b Descripción de los efectos adversos más significativos</w:t>
      </w:r>
      <w:bookmarkEnd w:id="34"/>
    </w:p>
    <w:p w:rsidR="0056194E" w:rsidRDefault="0056194E" w:rsidP="009829A6">
      <w:pPr>
        <w:autoSpaceDE w:val="0"/>
        <w:jc w:val="both"/>
        <w:rPr>
          <w:rFonts w:ascii="Arial" w:hAnsi="Arial" w:cs="Arial"/>
          <w:sz w:val="20"/>
          <w:szCs w:val="20"/>
        </w:rPr>
      </w:pPr>
    </w:p>
    <w:p w:rsidR="0056194E" w:rsidRDefault="0056194E" w:rsidP="009829A6">
      <w:pPr>
        <w:autoSpaceDE w:val="0"/>
        <w:jc w:val="both"/>
        <w:rPr>
          <w:rFonts w:ascii="Arial" w:hAnsi="Arial" w:cs="Arial"/>
          <w:sz w:val="20"/>
          <w:szCs w:val="20"/>
        </w:rPr>
      </w:pPr>
      <w:r>
        <w:rPr>
          <w:rFonts w:ascii="Arial" w:hAnsi="Arial" w:cs="Arial"/>
          <w:sz w:val="20"/>
          <w:szCs w:val="20"/>
        </w:rPr>
        <w:t>Según ficha técnica</w:t>
      </w:r>
      <w:r>
        <w:rPr>
          <w:rFonts w:ascii="Arial" w:hAnsi="Arial" w:cs="Arial"/>
          <w:sz w:val="20"/>
          <w:szCs w:val="20"/>
          <w:vertAlign w:val="superscript"/>
        </w:rPr>
        <w:t>1</w:t>
      </w:r>
      <w:r>
        <w:rPr>
          <w:rFonts w:ascii="Arial" w:hAnsi="Arial" w:cs="Arial"/>
          <w:sz w:val="20"/>
          <w:szCs w:val="20"/>
        </w:rPr>
        <w:t>, en el ensayo fase III realizado en pacientes con quimioterapia previa (De Bono et al, 2011), las reacciones adversas esperadas por exceso de mineralocorticoides se observaron con más frecuencia en los pacientes tratados con abiraterona que en los que recibieron placebo: hipopotasemia (17 % vs. 8 %), hipertensión (9 % vs. 7 %) y edema periférico (25 % vs. 17 %). Se observó también hipopotasemia Grado 3 y 4 e hipertensión arterial Grado 3 y 4 de CTCAE en el 4 % y el 1 % de los pacientes tratados con abiraterona, respectivamente. Las reacciones por exceso de mineralocorticoides generalmente se controlaron bien con tratamiento médico. El uso simultáneo de un corticosteroide reduce la incidencia y la intensidad de estas reacciones adversas.</w:t>
      </w:r>
    </w:p>
    <w:p w:rsidR="0056194E" w:rsidRDefault="0056194E" w:rsidP="009829A6">
      <w:pPr>
        <w:autoSpaceDE w:val="0"/>
        <w:jc w:val="both"/>
        <w:rPr>
          <w:rFonts w:ascii="Arial" w:hAnsi="Arial" w:cs="Arial"/>
          <w:sz w:val="20"/>
          <w:szCs w:val="20"/>
        </w:rPr>
      </w:pPr>
    </w:p>
    <w:p w:rsidR="0056194E" w:rsidRDefault="0056194E" w:rsidP="009829A6">
      <w:pPr>
        <w:autoSpaceDE w:val="0"/>
        <w:jc w:val="both"/>
        <w:rPr>
          <w:rFonts w:ascii="Arial" w:hAnsi="Arial" w:cs="Arial"/>
          <w:sz w:val="20"/>
          <w:szCs w:val="20"/>
        </w:rPr>
      </w:pPr>
      <w:r>
        <w:rPr>
          <w:rFonts w:ascii="Arial" w:hAnsi="Arial" w:cs="Arial"/>
          <w:sz w:val="20"/>
          <w:szCs w:val="20"/>
        </w:rPr>
        <w:t>Reacciones adversas Grado 3: hipopotasemia (3 %), infecciones urinarias (2 %), edema periférico (1 %), elevación de la alanina aminotransferasa (1 %), hipertensión (1 %), insuficiencia cardíaca (1 %) y fibrilación ventricular (1 %) hipertrigliceridemia (&lt;1 %), angina de pecho (&lt;1 %).</w:t>
      </w:r>
    </w:p>
    <w:p w:rsidR="0056194E" w:rsidRDefault="0056194E" w:rsidP="009829A6">
      <w:pPr>
        <w:autoSpaceDE w:val="0"/>
        <w:jc w:val="both"/>
        <w:rPr>
          <w:rFonts w:ascii="Arial" w:hAnsi="Arial" w:cs="Arial"/>
          <w:sz w:val="20"/>
          <w:szCs w:val="20"/>
        </w:rPr>
      </w:pPr>
    </w:p>
    <w:p w:rsidR="0056194E" w:rsidRDefault="0056194E" w:rsidP="009829A6">
      <w:pPr>
        <w:autoSpaceDE w:val="0"/>
        <w:jc w:val="both"/>
        <w:rPr>
          <w:rFonts w:ascii="Arial" w:hAnsi="Arial" w:cs="Arial"/>
          <w:sz w:val="20"/>
          <w:szCs w:val="20"/>
        </w:rPr>
      </w:pPr>
      <w:r>
        <w:rPr>
          <w:rFonts w:ascii="Arial" w:hAnsi="Arial" w:cs="Arial"/>
          <w:sz w:val="20"/>
          <w:szCs w:val="20"/>
        </w:rPr>
        <w:t>Reacciones adversas Grado 4: edema periférico (&lt;1 %), hipopotasemia (&lt;1 %), infección urinaria (&lt;1 %) e insuficiencia cardíaca (&lt;1 %).</w:t>
      </w:r>
    </w:p>
    <w:p w:rsidR="0056194E" w:rsidRDefault="0056194E">
      <w:pPr>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Los eventos adversos de abiraterona que se describen a continuación son los descritos en los ensayos clínicos realizados en la indicación evaluada en este informe (estudios LATITUDE y STAMPEDE).</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En el estudio LATITUDE el porcentaje de eventos adversos Grado 3-4 fue del 63% en el grupo de abiraterona y 48% en el grupo placebo. El número de pacientes con eventos adversos graves fue similar en ambos brazos. La frecuencia de eventos adversos que supusieron la discontinuación del tratamiento fue del 12% en el grupo activo y 10% en el grupo control. En el grupo de abiraterona un 32% de los pacientes requirieron una modificación de dosis ó interrupción del tratamiento frente a un 17% del grupo placebo. Respecto a los eventos adversos relacionados con el eje mineralocorticoide, en el grupo de abiraterona ocurrieron un 20% de Grado 3 y un 0% de Grado 4, frente al grupo control donde sucedieron un 10% de Grado 3 y un 0,2% de Grado 4. En cuanto a la hipokalemia Grado 3 y 4, en el grupo activo encontramos un 10% y 0,8%, frente a un 1% y 0,2% respectivamente en el grupo placebo.</w:t>
      </w:r>
    </w:p>
    <w:p w:rsidR="0056194E" w:rsidRDefault="0056194E">
      <w:pPr>
        <w:jc w:val="both"/>
        <w:rPr>
          <w:rFonts w:ascii="Arial" w:hAnsi="Arial" w:cs="Arial"/>
          <w:sz w:val="20"/>
          <w:szCs w:val="20"/>
        </w:rPr>
      </w:pPr>
    </w:p>
    <w:p w:rsidR="0056194E" w:rsidRDefault="0056194E">
      <w:pPr>
        <w:jc w:val="both"/>
        <w:rPr>
          <w:rFonts w:ascii="Arial" w:hAnsi="Arial" w:cs="Arial"/>
          <w:b/>
          <w:sz w:val="20"/>
          <w:szCs w:val="20"/>
          <w:highlight w:val="lightGray"/>
        </w:rPr>
      </w:pPr>
      <w:r>
        <w:rPr>
          <w:rFonts w:ascii="Arial" w:hAnsi="Arial" w:cs="Arial"/>
          <w:sz w:val="20"/>
          <w:szCs w:val="20"/>
        </w:rPr>
        <w:t>En la tabla adjunta se expone la incidencia comparada de efectos adversos que ocurrieron en el estudio STAMPEDE. Los datos descritos en la tabla reflejan la exposición del fármaco abiraterona en combinación con TDA frente a la TDA en monoterapia para la indicación cáncer de próstata metastásico o localizado de alto riesgo al menos expuestos durante 40 meses en estudios controlados.</w:t>
      </w:r>
    </w:p>
    <w:p w:rsidR="0056194E" w:rsidRDefault="0056194E">
      <w:pPr>
        <w:jc w:val="both"/>
        <w:rPr>
          <w:rFonts w:ascii="Arial" w:hAnsi="Arial" w:cs="Arial"/>
          <w:b/>
          <w:sz w:val="20"/>
          <w:szCs w:val="20"/>
          <w:highlight w:val="lightGray"/>
        </w:rPr>
      </w:pPr>
    </w:p>
    <w:p w:rsidR="0056194E" w:rsidRDefault="0056194E">
      <w:pPr>
        <w:jc w:val="both"/>
        <w:rPr>
          <w:rFonts w:ascii="Arial" w:hAnsi="Arial" w:cs="Arial"/>
          <w:b/>
          <w:sz w:val="20"/>
          <w:szCs w:val="20"/>
          <w:highlight w:val="lightGray"/>
        </w:rPr>
      </w:pPr>
    </w:p>
    <w:tbl>
      <w:tblPr>
        <w:tblW w:w="0" w:type="auto"/>
        <w:tblInd w:w="-125" w:type="dxa"/>
        <w:tblLayout w:type="fixed"/>
        <w:tblCellMar>
          <w:left w:w="70" w:type="dxa"/>
          <w:right w:w="70" w:type="dxa"/>
        </w:tblCellMar>
        <w:tblLook w:val="0000"/>
      </w:tblPr>
      <w:tblGrid>
        <w:gridCol w:w="2435"/>
        <w:gridCol w:w="1255"/>
        <w:gridCol w:w="1065"/>
        <w:gridCol w:w="1995"/>
        <w:gridCol w:w="2391"/>
      </w:tblGrid>
      <w:tr w:rsidR="0056194E" w:rsidRPr="00683AE2">
        <w:tc>
          <w:tcPr>
            <w:tcW w:w="9141" w:type="dxa"/>
            <w:gridSpan w:val="5"/>
            <w:tcBorders>
              <w:top w:val="single" w:sz="4" w:space="0" w:color="000000"/>
              <w:left w:val="single" w:sz="4" w:space="0" w:color="000000"/>
              <w:bottom w:val="single" w:sz="4" w:space="0" w:color="000000"/>
              <w:right w:val="single" w:sz="4" w:space="0" w:color="000000"/>
            </w:tcBorders>
            <w:shd w:val="clear" w:color="auto" w:fill="CCFFCC"/>
          </w:tcPr>
          <w:p w:rsidR="0056194E" w:rsidRPr="006A311C" w:rsidRDefault="0056194E">
            <w:pPr>
              <w:jc w:val="both"/>
              <w:rPr>
                <w:lang w:val="en-GB"/>
              </w:rPr>
            </w:pPr>
            <w:r>
              <w:rPr>
                <w:rFonts w:ascii="Arial" w:hAnsi="Arial" w:cs="Arial"/>
                <w:b/>
                <w:i/>
                <w:sz w:val="20"/>
                <w:szCs w:val="20"/>
                <w:lang w:val="en-US"/>
              </w:rPr>
              <w:t xml:space="preserve">STAMPEDE. </w:t>
            </w:r>
            <w:r>
              <w:rPr>
                <w:rFonts w:ascii="Arial" w:hAnsi="Arial" w:cs="Arial"/>
                <w:b/>
                <w:bCs/>
                <w:i/>
                <w:color w:val="000000"/>
                <w:sz w:val="20"/>
                <w:szCs w:val="20"/>
                <w:lang w:val="en-US"/>
              </w:rPr>
              <w:t>Abiraterone for Prostate Cancer Not Previously Treated with Hormone Therapy</w:t>
            </w:r>
            <w:r>
              <w:rPr>
                <w:rFonts w:ascii="Arial" w:hAnsi="Arial" w:cs="Arial"/>
                <w:b/>
                <w:bCs/>
                <w:i/>
                <w:color w:val="000000"/>
                <w:sz w:val="20"/>
                <w:szCs w:val="20"/>
                <w:vertAlign w:val="superscript"/>
                <w:lang w:val="en-US"/>
              </w:rPr>
              <w:t>16</w:t>
            </w:r>
          </w:p>
        </w:tc>
      </w:tr>
      <w:tr w:rsidR="0056194E">
        <w:tc>
          <w:tcPr>
            <w:tcW w:w="9141" w:type="dxa"/>
            <w:gridSpan w:val="5"/>
            <w:tcBorders>
              <w:top w:val="single" w:sz="4" w:space="0" w:color="000000"/>
              <w:left w:val="single" w:sz="4" w:space="0" w:color="000000"/>
              <w:bottom w:val="single" w:sz="4" w:space="0" w:color="000000"/>
              <w:right w:val="single" w:sz="4" w:space="0" w:color="000000"/>
            </w:tcBorders>
          </w:tcPr>
          <w:p w:rsidR="0056194E" w:rsidRDefault="0056194E">
            <w:pPr>
              <w:jc w:val="both"/>
            </w:pPr>
            <w:r>
              <w:rPr>
                <w:rFonts w:ascii="Arial" w:hAnsi="Arial" w:cs="Arial"/>
                <w:sz w:val="20"/>
                <w:szCs w:val="20"/>
              </w:rPr>
              <w:t>Fase III, aleatorizado, abierto, multicéntrico.</w:t>
            </w:r>
          </w:p>
        </w:tc>
      </w:tr>
      <w:tr w:rsidR="0056194E">
        <w:tc>
          <w:tcPr>
            <w:tcW w:w="9141" w:type="dxa"/>
            <w:gridSpan w:val="5"/>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bCs/>
                <w:sz w:val="20"/>
                <w:szCs w:val="20"/>
                <w:lang w:val="es-ES_tradnl"/>
              </w:rPr>
              <w:t>Resultados de seguridad</w:t>
            </w:r>
          </w:p>
        </w:tc>
      </w:tr>
      <w:tr w:rsidR="0056194E">
        <w:trPr>
          <w:trHeight w:val="685"/>
        </w:trPr>
        <w:tc>
          <w:tcPr>
            <w:tcW w:w="2435" w:type="dxa"/>
            <w:tcBorders>
              <w:top w:val="single" w:sz="4" w:space="0" w:color="000000"/>
              <w:left w:val="single" w:sz="4" w:space="0" w:color="000000"/>
              <w:bottom w:val="single" w:sz="4" w:space="0" w:color="000000"/>
            </w:tcBorders>
            <w:vAlign w:val="center"/>
          </w:tcPr>
          <w:p w:rsidR="0056194E" w:rsidRDefault="0056194E">
            <w:pPr>
              <w:jc w:val="both"/>
            </w:pPr>
            <w:r>
              <w:rPr>
                <w:rFonts w:ascii="Arial" w:hAnsi="Arial" w:cs="Arial"/>
                <w:b/>
                <w:i/>
                <w:sz w:val="20"/>
                <w:szCs w:val="20"/>
              </w:rPr>
              <w:t>Variable de seguridad evaluada en el estudio</w:t>
            </w:r>
          </w:p>
        </w:tc>
        <w:tc>
          <w:tcPr>
            <w:tcW w:w="1255" w:type="dxa"/>
            <w:tcBorders>
              <w:top w:val="single" w:sz="4" w:space="0" w:color="000000"/>
              <w:left w:val="single" w:sz="4" w:space="0" w:color="000000"/>
              <w:bottom w:val="single" w:sz="4" w:space="0" w:color="000000"/>
            </w:tcBorders>
            <w:vAlign w:val="center"/>
          </w:tcPr>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Abiraterona+TDA</w:t>
            </w:r>
          </w:p>
          <w:p w:rsidR="0056194E" w:rsidRDefault="0056194E">
            <w:pPr>
              <w:tabs>
                <w:tab w:val="left" w:pos="1673"/>
              </w:tabs>
              <w:jc w:val="both"/>
            </w:pPr>
            <w:r>
              <w:rPr>
                <w:rFonts w:ascii="Arial" w:hAnsi="Arial" w:cs="Arial"/>
                <w:b/>
                <w:i/>
                <w:sz w:val="20"/>
                <w:szCs w:val="20"/>
                <w:lang w:val="pt-BR"/>
              </w:rPr>
              <w:t>N (948)</w:t>
            </w:r>
          </w:p>
        </w:tc>
        <w:tc>
          <w:tcPr>
            <w:tcW w:w="1065" w:type="dxa"/>
            <w:tcBorders>
              <w:top w:val="single" w:sz="4" w:space="0" w:color="000000"/>
              <w:left w:val="single" w:sz="4" w:space="0" w:color="000000"/>
              <w:bottom w:val="single" w:sz="4" w:space="0" w:color="000000"/>
            </w:tcBorders>
            <w:vAlign w:val="center"/>
          </w:tcPr>
          <w:p w:rsidR="0056194E" w:rsidRDefault="0056194E">
            <w:pPr>
              <w:tabs>
                <w:tab w:val="left" w:pos="1673"/>
              </w:tabs>
              <w:jc w:val="both"/>
              <w:rPr>
                <w:rFonts w:ascii="Arial" w:hAnsi="Arial" w:cs="Arial"/>
                <w:b/>
                <w:i/>
                <w:sz w:val="20"/>
                <w:szCs w:val="20"/>
                <w:lang w:val="pt-BR"/>
              </w:rPr>
            </w:pPr>
            <w:r>
              <w:rPr>
                <w:rFonts w:ascii="Arial" w:hAnsi="Arial" w:cs="Arial"/>
                <w:b/>
                <w:i/>
                <w:sz w:val="20"/>
                <w:szCs w:val="20"/>
                <w:lang w:val="pt-BR"/>
              </w:rPr>
              <w:t>TDA</w:t>
            </w:r>
          </w:p>
          <w:p w:rsidR="0056194E" w:rsidRDefault="0056194E">
            <w:pPr>
              <w:tabs>
                <w:tab w:val="left" w:pos="1673"/>
              </w:tabs>
              <w:jc w:val="both"/>
            </w:pPr>
            <w:r>
              <w:rPr>
                <w:rFonts w:ascii="Arial" w:hAnsi="Arial" w:cs="Arial"/>
                <w:b/>
                <w:i/>
                <w:sz w:val="20"/>
                <w:szCs w:val="20"/>
                <w:lang w:val="pt-BR"/>
              </w:rPr>
              <w:t>N (960)</w:t>
            </w:r>
          </w:p>
        </w:tc>
        <w:tc>
          <w:tcPr>
            <w:tcW w:w="1995" w:type="dxa"/>
            <w:tcBorders>
              <w:top w:val="single" w:sz="4" w:space="0" w:color="000000"/>
              <w:left w:val="single" w:sz="4" w:space="0" w:color="000000"/>
              <w:bottom w:val="single" w:sz="4" w:space="0" w:color="000000"/>
            </w:tcBorders>
            <w:vAlign w:val="center"/>
          </w:tcPr>
          <w:p w:rsidR="0056194E" w:rsidRDefault="0056194E">
            <w:pPr>
              <w:tabs>
                <w:tab w:val="left" w:pos="1673"/>
              </w:tabs>
              <w:jc w:val="both"/>
            </w:pPr>
            <w:r>
              <w:rPr>
                <w:rFonts w:ascii="Arial" w:hAnsi="Arial" w:cs="Arial"/>
                <w:b/>
                <w:i/>
                <w:sz w:val="20"/>
                <w:szCs w:val="20"/>
                <w:lang w:val="es-ES_tradnl"/>
              </w:rPr>
              <w:t>RAR (IC 95%)</w:t>
            </w:r>
          </w:p>
          <w:p w:rsidR="0056194E" w:rsidRDefault="0056194E">
            <w:pPr>
              <w:tabs>
                <w:tab w:val="left" w:pos="1673"/>
              </w:tabs>
              <w:jc w:val="both"/>
            </w:pPr>
          </w:p>
        </w:tc>
        <w:tc>
          <w:tcPr>
            <w:tcW w:w="2391" w:type="dxa"/>
            <w:tcBorders>
              <w:top w:val="single" w:sz="4" w:space="0" w:color="000000"/>
              <w:left w:val="single" w:sz="4" w:space="0" w:color="000000"/>
              <w:bottom w:val="single" w:sz="4" w:space="0" w:color="000000"/>
              <w:right w:val="single" w:sz="4" w:space="0" w:color="000000"/>
            </w:tcBorders>
            <w:vAlign w:val="center"/>
          </w:tcPr>
          <w:p w:rsidR="0056194E" w:rsidRDefault="0056194E">
            <w:pPr>
              <w:jc w:val="both"/>
              <w:rPr>
                <w:rFonts w:ascii="Arial" w:hAnsi="Arial" w:cs="Arial"/>
                <w:b/>
                <w:i/>
                <w:sz w:val="20"/>
                <w:szCs w:val="20"/>
                <w:lang w:val="fr-FR"/>
              </w:rPr>
            </w:pPr>
            <w:r>
              <w:rPr>
                <w:rFonts w:ascii="Arial" w:hAnsi="Arial" w:cs="Arial"/>
                <w:b/>
                <w:i/>
                <w:sz w:val="20"/>
                <w:szCs w:val="20"/>
                <w:lang w:val="fr-FR"/>
              </w:rPr>
              <w:t>NNH o NND</w:t>
            </w:r>
          </w:p>
          <w:p w:rsidR="0056194E" w:rsidRDefault="0056194E">
            <w:pPr>
              <w:jc w:val="both"/>
            </w:pPr>
            <w:r>
              <w:rPr>
                <w:rFonts w:ascii="Arial" w:hAnsi="Arial" w:cs="Arial"/>
                <w:b/>
                <w:i/>
                <w:sz w:val="20"/>
                <w:szCs w:val="20"/>
                <w:lang w:val="fr-FR"/>
              </w:rPr>
              <w:t>(IC 95%)</w:t>
            </w:r>
          </w:p>
        </w:tc>
      </w:tr>
      <w:tr w:rsidR="0056194E">
        <w:trPr>
          <w:cantSplit/>
          <w:trHeight w:val="709"/>
        </w:trPr>
        <w:tc>
          <w:tcPr>
            <w:tcW w:w="2435"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i/>
                <w:sz w:val="20"/>
                <w:szCs w:val="20"/>
              </w:rPr>
            </w:pPr>
            <w:r>
              <w:rPr>
                <w:rFonts w:ascii="Arial" w:hAnsi="Arial" w:cs="Arial"/>
                <w:b/>
                <w:bCs/>
                <w:i/>
                <w:sz w:val="20"/>
                <w:szCs w:val="20"/>
              </w:rPr>
              <w:t>% de pacientes con EA</w:t>
            </w:r>
          </w:p>
          <w:p w:rsidR="0056194E" w:rsidRDefault="0056194E">
            <w:pPr>
              <w:snapToGrid w:val="0"/>
              <w:jc w:val="both"/>
              <w:rPr>
                <w:rFonts w:ascii="Arial" w:hAnsi="Arial" w:cs="Arial"/>
                <w:i/>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 Grado 3-5</w:t>
            </w:r>
          </w:p>
          <w:p w:rsidR="0056194E" w:rsidRDefault="0056194E">
            <w:pPr>
              <w:snapToGrid w:val="0"/>
              <w:jc w:val="both"/>
              <w:rPr>
                <w:rFonts w:ascii="Arial" w:hAnsi="Arial" w:cs="Arial"/>
                <w:sz w:val="20"/>
                <w:szCs w:val="20"/>
              </w:rPr>
            </w:pPr>
            <w:r>
              <w:rPr>
                <w:rFonts w:ascii="Arial" w:hAnsi="Arial" w:cs="Arial"/>
                <w:i/>
                <w:sz w:val="20"/>
                <w:szCs w:val="20"/>
              </w:rPr>
              <w:t>- Grado 5</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sz w:val="20"/>
                <w:szCs w:val="20"/>
              </w:rPr>
            </w:pPr>
            <w:r>
              <w:rPr>
                <w:rFonts w:ascii="Arial" w:hAnsi="Arial" w:cs="Arial"/>
                <w:i/>
                <w:sz w:val="20"/>
                <w:szCs w:val="20"/>
              </w:rPr>
              <w:t>-EA endocrinos</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-EA cardiovasculares</w:t>
            </w:r>
          </w:p>
          <w:p w:rsidR="0056194E" w:rsidRDefault="0056194E">
            <w:pPr>
              <w:snapToGrid w:val="0"/>
              <w:jc w:val="both"/>
              <w:rPr>
                <w:rFonts w:ascii="Arial" w:hAnsi="Arial" w:cs="Arial"/>
                <w:i/>
                <w:sz w:val="20"/>
                <w:szCs w:val="20"/>
              </w:rPr>
            </w:pPr>
            <w:r>
              <w:rPr>
                <w:rFonts w:ascii="Arial" w:hAnsi="Arial" w:cs="Arial"/>
                <w:i/>
                <w:sz w:val="20"/>
                <w:szCs w:val="20"/>
              </w:rPr>
              <w:t xml:space="preserve">   -hipertensión</w:t>
            </w:r>
          </w:p>
          <w:p w:rsidR="0056194E" w:rsidRDefault="0056194E">
            <w:pPr>
              <w:snapToGrid w:val="0"/>
              <w:jc w:val="both"/>
              <w:rPr>
                <w:rFonts w:ascii="Arial" w:hAnsi="Arial" w:cs="Arial"/>
                <w:i/>
                <w:sz w:val="20"/>
                <w:szCs w:val="20"/>
              </w:rPr>
            </w:pPr>
            <w:r>
              <w:rPr>
                <w:rFonts w:ascii="Arial" w:hAnsi="Arial" w:cs="Arial"/>
                <w:i/>
                <w:sz w:val="20"/>
                <w:szCs w:val="20"/>
              </w:rPr>
              <w:t xml:space="preserve">   -IAM</w:t>
            </w:r>
          </w:p>
          <w:p w:rsidR="0056194E" w:rsidRDefault="0056194E">
            <w:pPr>
              <w:snapToGrid w:val="0"/>
              <w:jc w:val="both"/>
              <w:rPr>
                <w:rFonts w:ascii="Arial" w:hAnsi="Arial" w:cs="Arial"/>
                <w:sz w:val="20"/>
                <w:szCs w:val="20"/>
              </w:rPr>
            </w:pPr>
            <w:r>
              <w:rPr>
                <w:rFonts w:ascii="Arial" w:hAnsi="Arial" w:cs="Arial"/>
                <w:i/>
                <w:sz w:val="20"/>
                <w:szCs w:val="20"/>
              </w:rPr>
              <w:t xml:space="preserve">   -Arritmia</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sz w:val="20"/>
                <w:szCs w:val="20"/>
              </w:rPr>
            </w:pPr>
            <w:r>
              <w:rPr>
                <w:rFonts w:ascii="Arial" w:hAnsi="Arial" w:cs="Arial"/>
                <w:i/>
                <w:sz w:val="20"/>
                <w:szCs w:val="20"/>
              </w:rPr>
              <w:t>-EA Musculoesqueléticos</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sz w:val="20"/>
                <w:szCs w:val="20"/>
              </w:rPr>
            </w:pPr>
            <w:r>
              <w:rPr>
                <w:rFonts w:ascii="Arial" w:hAnsi="Arial" w:cs="Arial"/>
                <w:i/>
                <w:sz w:val="20"/>
                <w:szCs w:val="20"/>
              </w:rPr>
              <w:t>-EA gastrointestinales</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-EA hepáticos</w:t>
            </w:r>
          </w:p>
          <w:p w:rsidR="0056194E" w:rsidRDefault="0056194E">
            <w:pPr>
              <w:snapToGrid w:val="0"/>
              <w:jc w:val="both"/>
              <w:rPr>
                <w:rFonts w:ascii="Arial" w:hAnsi="Arial" w:cs="Arial"/>
                <w:i/>
                <w:sz w:val="20"/>
                <w:szCs w:val="20"/>
              </w:rPr>
            </w:pPr>
            <w:r>
              <w:rPr>
                <w:rFonts w:ascii="Arial" w:hAnsi="Arial" w:cs="Arial"/>
                <w:i/>
                <w:sz w:val="20"/>
                <w:szCs w:val="20"/>
              </w:rPr>
              <w:t xml:space="preserve">   - Elevación ALT</w:t>
            </w:r>
          </w:p>
          <w:p w:rsidR="0056194E" w:rsidRDefault="0056194E">
            <w:pPr>
              <w:snapToGrid w:val="0"/>
              <w:jc w:val="both"/>
              <w:rPr>
                <w:rFonts w:ascii="Arial" w:hAnsi="Arial" w:cs="Arial"/>
                <w:sz w:val="20"/>
                <w:szCs w:val="20"/>
              </w:rPr>
            </w:pPr>
            <w:r>
              <w:rPr>
                <w:rFonts w:ascii="Arial" w:hAnsi="Arial" w:cs="Arial"/>
                <w:i/>
                <w:sz w:val="20"/>
                <w:szCs w:val="20"/>
              </w:rPr>
              <w:t xml:space="preserve">   - Elevación AST</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-EA generales</w:t>
            </w:r>
          </w:p>
          <w:p w:rsidR="0056194E" w:rsidRDefault="0056194E">
            <w:pPr>
              <w:snapToGrid w:val="0"/>
              <w:jc w:val="both"/>
              <w:rPr>
                <w:rFonts w:ascii="Arial" w:hAnsi="Arial" w:cs="Arial"/>
                <w:i/>
                <w:sz w:val="20"/>
                <w:szCs w:val="20"/>
              </w:rPr>
            </w:pPr>
            <w:r>
              <w:rPr>
                <w:rFonts w:ascii="Arial" w:hAnsi="Arial" w:cs="Arial"/>
                <w:i/>
                <w:sz w:val="20"/>
                <w:szCs w:val="20"/>
              </w:rPr>
              <w:t xml:space="preserve">   - Fatiga</w:t>
            </w:r>
          </w:p>
          <w:p w:rsidR="0056194E" w:rsidRDefault="0056194E">
            <w:pPr>
              <w:snapToGrid w:val="0"/>
              <w:jc w:val="both"/>
              <w:rPr>
                <w:rFonts w:ascii="Arial" w:hAnsi="Arial" w:cs="Arial"/>
                <w:sz w:val="20"/>
                <w:szCs w:val="20"/>
              </w:rPr>
            </w:pPr>
            <w:r>
              <w:rPr>
                <w:rFonts w:ascii="Arial" w:hAnsi="Arial" w:cs="Arial"/>
                <w:i/>
                <w:sz w:val="20"/>
                <w:szCs w:val="20"/>
              </w:rPr>
              <w:t xml:space="preserve">   - Edema</w:t>
            </w:r>
          </w:p>
          <w:p w:rsidR="0056194E" w:rsidRDefault="0056194E">
            <w:pPr>
              <w:snapToGrid w:val="0"/>
              <w:jc w:val="both"/>
              <w:rPr>
                <w:rFonts w:ascii="Arial" w:hAnsi="Arial" w:cs="Arial"/>
                <w:sz w:val="20"/>
                <w:szCs w:val="20"/>
              </w:rPr>
            </w:pPr>
          </w:p>
          <w:p w:rsidR="0056194E" w:rsidRDefault="0056194E">
            <w:pPr>
              <w:snapToGrid w:val="0"/>
              <w:jc w:val="both"/>
              <w:rPr>
                <w:rFonts w:ascii="Arial" w:hAnsi="Arial" w:cs="Arial"/>
                <w:i/>
                <w:sz w:val="20"/>
                <w:szCs w:val="20"/>
              </w:rPr>
            </w:pPr>
            <w:r>
              <w:rPr>
                <w:rFonts w:ascii="Arial" w:hAnsi="Arial" w:cs="Arial"/>
                <w:i/>
                <w:sz w:val="20"/>
                <w:szCs w:val="20"/>
              </w:rPr>
              <w:t>-EA respiratorios</w:t>
            </w:r>
          </w:p>
          <w:p w:rsidR="0056194E" w:rsidRDefault="0056194E">
            <w:pPr>
              <w:snapToGrid w:val="0"/>
              <w:jc w:val="both"/>
              <w:rPr>
                <w:rFonts w:ascii="Arial" w:hAnsi="Arial" w:cs="Arial"/>
                <w:i/>
                <w:sz w:val="20"/>
                <w:szCs w:val="20"/>
              </w:rPr>
            </w:pPr>
            <w:r>
              <w:rPr>
                <w:rFonts w:ascii="Arial" w:hAnsi="Arial" w:cs="Arial"/>
                <w:i/>
                <w:sz w:val="20"/>
                <w:szCs w:val="20"/>
              </w:rPr>
              <w:t xml:space="preserve">   - Disnea</w:t>
            </w:r>
          </w:p>
          <w:p w:rsidR="0056194E" w:rsidRDefault="0056194E">
            <w:pPr>
              <w:snapToGrid w:val="0"/>
              <w:jc w:val="both"/>
            </w:pPr>
            <w:r>
              <w:rPr>
                <w:rFonts w:ascii="Arial" w:hAnsi="Arial" w:cs="Arial"/>
                <w:i/>
                <w:sz w:val="20"/>
                <w:szCs w:val="20"/>
              </w:rPr>
              <w:t xml:space="preserve">   - Hipokalemia</w:t>
            </w:r>
          </w:p>
          <w:p w:rsidR="0056194E" w:rsidRDefault="0056194E">
            <w:pPr>
              <w:snapToGrid w:val="0"/>
              <w:jc w:val="both"/>
            </w:pPr>
          </w:p>
        </w:tc>
        <w:tc>
          <w:tcPr>
            <w:tcW w:w="1255"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47%</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1%</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14%</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10%</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5%</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1%</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1%</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7%</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5%</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7%</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6%</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1%</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5%</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2%</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1%</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5%</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2%</w:t>
            </w:r>
          </w:p>
          <w:p w:rsidR="0056194E" w:rsidRDefault="0056194E">
            <w:pPr>
              <w:snapToGrid w:val="0"/>
              <w:jc w:val="both"/>
            </w:pPr>
            <w:r>
              <w:rPr>
                <w:rFonts w:ascii="Arial" w:hAnsi="Arial" w:cs="Arial"/>
                <w:i/>
                <w:sz w:val="20"/>
                <w:szCs w:val="20"/>
                <w:lang w:val="fr-FR"/>
              </w:rPr>
              <w:t>1%</w:t>
            </w:r>
          </w:p>
        </w:tc>
        <w:tc>
          <w:tcPr>
            <w:tcW w:w="1065"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i/>
                <w:sz w:val="20"/>
                <w:szCs w:val="20"/>
                <w:lang w:val="fr-FR"/>
              </w:rPr>
            </w:pP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33%</w:t>
            </w:r>
          </w:p>
          <w:p w:rsidR="0056194E" w:rsidRDefault="0056194E">
            <w:pPr>
              <w:jc w:val="both"/>
              <w:rPr>
                <w:rFonts w:ascii="Arial" w:hAnsi="Arial" w:cs="Arial"/>
                <w:i/>
                <w:sz w:val="20"/>
                <w:szCs w:val="20"/>
                <w:lang w:val="fr-FR"/>
              </w:rPr>
            </w:pPr>
            <w:r>
              <w:rPr>
                <w:rFonts w:ascii="Arial" w:hAnsi="Arial" w:cs="Arial"/>
                <w:i/>
                <w:sz w:val="20"/>
                <w:szCs w:val="20"/>
                <w:lang w:val="fr-FR"/>
              </w:rPr>
              <w:t>&lt;1%</w:t>
            </w: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14%</w:t>
            </w: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4%</w:t>
            </w:r>
          </w:p>
          <w:p w:rsidR="0056194E" w:rsidRDefault="0056194E">
            <w:pPr>
              <w:jc w:val="both"/>
              <w:rPr>
                <w:rFonts w:ascii="Arial" w:hAnsi="Arial" w:cs="Arial"/>
                <w:i/>
                <w:sz w:val="20"/>
                <w:szCs w:val="20"/>
                <w:lang w:val="fr-FR"/>
              </w:rPr>
            </w:pPr>
            <w:r>
              <w:rPr>
                <w:rFonts w:ascii="Arial" w:hAnsi="Arial" w:cs="Arial"/>
                <w:i/>
                <w:sz w:val="20"/>
                <w:szCs w:val="20"/>
                <w:lang w:val="fr-FR"/>
              </w:rPr>
              <w:t>1%</w:t>
            </w:r>
          </w:p>
          <w:p w:rsidR="0056194E" w:rsidRDefault="0056194E">
            <w:pPr>
              <w:jc w:val="both"/>
              <w:rPr>
                <w:rFonts w:ascii="Arial" w:hAnsi="Arial" w:cs="Arial"/>
                <w:i/>
                <w:sz w:val="20"/>
                <w:szCs w:val="20"/>
                <w:lang w:val="fr-FR"/>
              </w:rPr>
            </w:pPr>
            <w:r>
              <w:rPr>
                <w:rFonts w:ascii="Arial" w:hAnsi="Arial" w:cs="Arial"/>
                <w:i/>
                <w:sz w:val="20"/>
                <w:szCs w:val="20"/>
                <w:lang w:val="fr-FR"/>
              </w:rPr>
              <w:t>1%</w:t>
            </w:r>
          </w:p>
          <w:p w:rsidR="0056194E" w:rsidRDefault="0056194E">
            <w:pPr>
              <w:jc w:val="both"/>
              <w:rPr>
                <w:rFonts w:ascii="Arial" w:hAnsi="Arial" w:cs="Arial"/>
                <w:i/>
                <w:sz w:val="20"/>
                <w:szCs w:val="20"/>
                <w:lang w:val="fr-FR"/>
              </w:rPr>
            </w:pPr>
            <w:r>
              <w:rPr>
                <w:rFonts w:ascii="Arial" w:hAnsi="Arial" w:cs="Arial"/>
                <w:i/>
                <w:sz w:val="20"/>
                <w:szCs w:val="20"/>
                <w:lang w:val="fr-FR"/>
              </w:rPr>
              <w:t>&lt;1%</w:t>
            </w: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5%</w:t>
            </w: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4%</w:t>
            </w: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1%</w:t>
            </w:r>
          </w:p>
          <w:p w:rsidR="0056194E" w:rsidRDefault="0056194E">
            <w:pPr>
              <w:jc w:val="both"/>
              <w:rPr>
                <w:rFonts w:ascii="Arial" w:hAnsi="Arial" w:cs="Arial"/>
                <w:i/>
                <w:sz w:val="20"/>
                <w:szCs w:val="20"/>
                <w:lang w:val="fr-FR"/>
              </w:rPr>
            </w:pPr>
            <w:r>
              <w:rPr>
                <w:rFonts w:ascii="Arial" w:hAnsi="Arial" w:cs="Arial"/>
                <w:i/>
                <w:sz w:val="20"/>
                <w:szCs w:val="20"/>
                <w:lang w:val="fr-FR"/>
              </w:rPr>
              <w:t>&lt;1%</w:t>
            </w:r>
          </w:p>
          <w:p w:rsidR="0056194E" w:rsidRDefault="0056194E">
            <w:pPr>
              <w:jc w:val="both"/>
              <w:rPr>
                <w:rFonts w:ascii="Arial" w:hAnsi="Arial" w:cs="Arial"/>
                <w:i/>
                <w:sz w:val="20"/>
                <w:szCs w:val="20"/>
                <w:lang w:val="fr-FR"/>
              </w:rPr>
            </w:pPr>
            <w:r>
              <w:rPr>
                <w:rFonts w:ascii="Arial" w:hAnsi="Arial" w:cs="Arial"/>
                <w:i/>
                <w:sz w:val="20"/>
                <w:szCs w:val="20"/>
                <w:lang w:val="fr-FR"/>
              </w:rPr>
              <w:t>&lt;1%</w:t>
            </w: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3%</w:t>
            </w:r>
          </w:p>
          <w:p w:rsidR="0056194E" w:rsidRDefault="0056194E">
            <w:pPr>
              <w:jc w:val="both"/>
              <w:rPr>
                <w:rFonts w:ascii="Arial" w:hAnsi="Arial" w:cs="Arial"/>
                <w:i/>
                <w:sz w:val="20"/>
                <w:szCs w:val="20"/>
                <w:lang w:val="fr-FR"/>
              </w:rPr>
            </w:pPr>
            <w:r>
              <w:rPr>
                <w:rFonts w:ascii="Arial" w:hAnsi="Arial" w:cs="Arial"/>
                <w:i/>
                <w:sz w:val="20"/>
                <w:szCs w:val="20"/>
                <w:lang w:val="fr-FR"/>
              </w:rPr>
              <w:t>2%</w:t>
            </w:r>
          </w:p>
          <w:p w:rsidR="0056194E" w:rsidRDefault="0056194E">
            <w:pPr>
              <w:jc w:val="both"/>
              <w:rPr>
                <w:rFonts w:ascii="Arial" w:hAnsi="Arial" w:cs="Arial"/>
                <w:i/>
                <w:sz w:val="20"/>
                <w:szCs w:val="20"/>
                <w:lang w:val="fr-FR"/>
              </w:rPr>
            </w:pPr>
            <w:r>
              <w:rPr>
                <w:rFonts w:ascii="Arial" w:hAnsi="Arial" w:cs="Arial"/>
                <w:i/>
                <w:sz w:val="20"/>
                <w:szCs w:val="20"/>
                <w:lang w:val="fr-FR"/>
              </w:rPr>
              <w:t>0</w:t>
            </w:r>
          </w:p>
          <w:p w:rsidR="0056194E" w:rsidRDefault="0056194E">
            <w:pPr>
              <w:jc w:val="both"/>
              <w:rPr>
                <w:rFonts w:ascii="Arial" w:hAnsi="Arial" w:cs="Arial"/>
                <w:i/>
                <w:sz w:val="20"/>
                <w:szCs w:val="20"/>
                <w:lang w:val="fr-FR"/>
              </w:rPr>
            </w:pPr>
          </w:p>
          <w:p w:rsidR="0056194E" w:rsidRDefault="0056194E">
            <w:pPr>
              <w:jc w:val="both"/>
              <w:rPr>
                <w:rFonts w:ascii="Arial" w:hAnsi="Arial" w:cs="Arial"/>
                <w:i/>
                <w:sz w:val="20"/>
                <w:szCs w:val="20"/>
                <w:lang w:val="fr-FR"/>
              </w:rPr>
            </w:pPr>
            <w:r>
              <w:rPr>
                <w:rFonts w:ascii="Arial" w:hAnsi="Arial" w:cs="Arial"/>
                <w:i/>
                <w:sz w:val="20"/>
                <w:szCs w:val="20"/>
                <w:lang w:val="fr-FR"/>
              </w:rPr>
              <w:t>2%</w:t>
            </w:r>
          </w:p>
          <w:p w:rsidR="0056194E" w:rsidRDefault="0056194E">
            <w:pPr>
              <w:jc w:val="both"/>
              <w:rPr>
                <w:rFonts w:ascii="Arial" w:hAnsi="Arial" w:cs="Arial"/>
                <w:i/>
                <w:sz w:val="20"/>
                <w:szCs w:val="20"/>
                <w:lang w:val="fr-FR"/>
              </w:rPr>
            </w:pPr>
            <w:r>
              <w:rPr>
                <w:rFonts w:ascii="Arial" w:hAnsi="Arial" w:cs="Arial"/>
                <w:i/>
                <w:sz w:val="20"/>
                <w:szCs w:val="20"/>
                <w:lang w:val="fr-FR"/>
              </w:rPr>
              <w:t>1%</w:t>
            </w:r>
          </w:p>
          <w:p w:rsidR="0056194E" w:rsidRDefault="0056194E">
            <w:pPr>
              <w:jc w:val="both"/>
            </w:pPr>
            <w:r>
              <w:rPr>
                <w:rFonts w:ascii="Arial" w:hAnsi="Arial" w:cs="Arial"/>
                <w:i/>
                <w:sz w:val="20"/>
                <w:szCs w:val="20"/>
                <w:lang w:val="fr-FR"/>
              </w:rPr>
              <w:t>&lt;1%</w:t>
            </w:r>
          </w:p>
        </w:tc>
        <w:tc>
          <w:tcPr>
            <w:tcW w:w="1995" w:type="dxa"/>
            <w:tcBorders>
              <w:top w:val="single" w:sz="4" w:space="0" w:color="000000"/>
              <w:left w:val="single" w:sz="4" w:space="0" w:color="000000"/>
              <w:bottom w:val="single" w:sz="4" w:space="0" w:color="000000"/>
            </w:tcBorders>
          </w:tcPr>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14 (9,6-18,3)</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6 (3,72-8,28)</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4 (2,5-5,5)</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2 (0,13-4,13)</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 (0,9-2,9)</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6 (4,3-7,7)</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5 (3,4-6,6)</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2 (0,24-3,8)</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 (0,37-1,63)</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3 (1,3-4,6)</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1 (0,09-2,09)</w:t>
            </w:r>
          </w:p>
          <w:p w:rsidR="0056194E" w:rsidRDefault="0056194E">
            <w:pPr>
              <w:snapToGrid w:val="0"/>
              <w:jc w:val="both"/>
            </w:pPr>
            <w:r>
              <w:rPr>
                <w:rFonts w:ascii="Arial" w:hAnsi="Arial" w:cs="Arial"/>
                <w:i/>
                <w:sz w:val="20"/>
                <w:szCs w:val="20"/>
                <w:lang w:val="fr-FR"/>
              </w:rPr>
              <w:t>----</w:t>
            </w:r>
          </w:p>
        </w:tc>
        <w:tc>
          <w:tcPr>
            <w:tcW w:w="2391" w:type="dxa"/>
            <w:tcBorders>
              <w:top w:val="single" w:sz="4" w:space="0" w:color="000000"/>
              <w:left w:val="single" w:sz="4" w:space="0" w:color="000000"/>
              <w:bottom w:val="single" w:sz="4" w:space="0" w:color="000000"/>
              <w:right w:val="single" w:sz="4" w:space="0" w:color="000000"/>
            </w:tcBorders>
          </w:tcPr>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7 (5,4-10,4)</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17 (12,1-26,9)</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25 (18,1-40,4)</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50 (24,2-766,5)</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100 (35-116,2)</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17 (12,9-23,5)</w:t>
            </w:r>
          </w:p>
          <w:p w:rsidR="0056194E" w:rsidRDefault="0056194E">
            <w:pPr>
              <w:snapToGrid w:val="0"/>
              <w:jc w:val="both"/>
              <w:rPr>
                <w:rFonts w:ascii="Arial" w:hAnsi="Arial" w:cs="Arial"/>
                <w:i/>
                <w:sz w:val="20"/>
                <w:szCs w:val="20"/>
                <w:lang w:val="fr-FR"/>
              </w:rPr>
            </w:pPr>
            <w:r>
              <w:rPr>
                <w:rFonts w:ascii="Arial" w:hAnsi="Arial" w:cs="Arial"/>
                <w:i/>
                <w:sz w:val="20"/>
                <w:szCs w:val="20"/>
                <w:lang w:val="fr-FR"/>
              </w:rPr>
              <w:t>20 (15,1-29,7)</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50 (26,6-412,6)</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100 (61,2-272,77)</w:t>
            </w:r>
          </w:p>
          <w:p w:rsidR="0056194E" w:rsidRDefault="0056194E">
            <w:pPr>
              <w:snapToGrid w:val="0"/>
              <w:jc w:val="both"/>
              <w:rPr>
                <w:rFonts w:ascii="Arial" w:hAnsi="Arial" w:cs="Arial"/>
                <w:i/>
                <w:sz w:val="20"/>
                <w:szCs w:val="20"/>
                <w:lang w:val="fr-FR"/>
              </w:rPr>
            </w:pPr>
          </w:p>
          <w:p w:rsidR="0056194E" w:rsidRDefault="0056194E">
            <w:pPr>
              <w:snapToGrid w:val="0"/>
              <w:jc w:val="both"/>
              <w:rPr>
                <w:rFonts w:ascii="Arial" w:hAnsi="Arial" w:cs="Arial"/>
                <w:i/>
                <w:sz w:val="20"/>
                <w:szCs w:val="20"/>
                <w:lang w:val="fr-FR"/>
              </w:rPr>
            </w:pPr>
            <w:r>
              <w:rPr>
                <w:rFonts w:ascii="Arial" w:hAnsi="Arial" w:cs="Arial"/>
                <w:i/>
                <w:sz w:val="20"/>
                <w:szCs w:val="20"/>
                <w:lang w:val="fr-FR"/>
              </w:rPr>
              <w:t>33 (21,5-73,8)</w:t>
            </w:r>
          </w:p>
          <w:p w:rsidR="0056194E" w:rsidRDefault="0056194E">
            <w:pPr>
              <w:snapToGrid w:val="0"/>
              <w:jc w:val="both"/>
            </w:pPr>
            <w:r>
              <w:rPr>
                <w:rFonts w:ascii="Arial" w:hAnsi="Arial" w:cs="Arial"/>
                <w:i/>
                <w:sz w:val="20"/>
                <w:szCs w:val="20"/>
                <w:lang w:val="fr-FR"/>
              </w:rPr>
              <w:t>100 (47,82-1098,1)</w:t>
            </w:r>
          </w:p>
        </w:tc>
      </w:tr>
    </w:tbl>
    <w:p w:rsidR="0056194E" w:rsidRDefault="0056194E">
      <w:pPr>
        <w:jc w:val="both"/>
        <w:rPr>
          <w:rFonts w:ascii="Arial" w:hAnsi="Arial" w:cs="Arial"/>
          <w:sz w:val="20"/>
          <w:szCs w:val="20"/>
        </w:rPr>
      </w:pPr>
    </w:p>
    <w:p w:rsidR="0056194E" w:rsidRDefault="0056194E">
      <w:pPr>
        <w:jc w:val="both"/>
        <w:rPr>
          <w:rFonts w:ascii="Arial" w:hAnsi="Arial" w:cs="Arial"/>
          <w:color w:val="0000FF"/>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pPr>
      <w:bookmarkStart w:id="35" w:name="_Toc536608351"/>
      <w:r>
        <w:rPr>
          <w:sz w:val="20"/>
        </w:rPr>
        <w:t>6.2 Ensayos Clínicos comparativos.</w:t>
      </w:r>
      <w:bookmarkEnd w:id="35"/>
      <w:r>
        <w:rPr>
          <w:sz w:val="20"/>
        </w:rPr>
        <w:t xml:space="preserve"> </w:t>
      </w:r>
    </w:p>
    <w:p w:rsidR="0056194E" w:rsidRDefault="0056194E">
      <w:pPr>
        <w:jc w:val="both"/>
      </w:pPr>
    </w:p>
    <w:p w:rsidR="0056194E" w:rsidRDefault="0056194E">
      <w:pPr>
        <w:jc w:val="both"/>
        <w:rPr>
          <w:rFonts w:ascii="Arial" w:hAnsi="Arial" w:cs="Arial"/>
          <w:sz w:val="20"/>
          <w:szCs w:val="20"/>
          <w:highlight w:val="yellow"/>
        </w:rPr>
      </w:pPr>
      <w:r>
        <w:rPr>
          <w:rStyle w:val="Hipervnculo"/>
          <w:rFonts w:ascii="Arial" w:hAnsi="Arial" w:cs="Arial"/>
          <w:color w:val="auto"/>
          <w:sz w:val="20"/>
          <w:szCs w:val="20"/>
          <w:u w:val="none"/>
        </w:rPr>
        <w:t>Nada que añadir al apartado anterior.</w:t>
      </w:r>
    </w:p>
    <w:p w:rsidR="0056194E" w:rsidRDefault="0056194E">
      <w:pPr>
        <w:jc w:val="both"/>
        <w:rPr>
          <w:rFonts w:ascii="Arial" w:hAnsi="Arial" w:cs="Arial"/>
          <w:sz w:val="20"/>
          <w:szCs w:val="20"/>
          <w:highlight w:val="yellow"/>
        </w:rPr>
      </w:pPr>
    </w:p>
    <w:p w:rsidR="0056194E" w:rsidRDefault="0056194E">
      <w:pPr>
        <w:pStyle w:val="Ttulo2"/>
        <w:pBdr>
          <w:top w:val="single" w:sz="4" w:space="1" w:color="000000"/>
          <w:left w:val="single" w:sz="4" w:space="4" w:color="000000"/>
          <w:bottom w:val="single" w:sz="4" w:space="1" w:color="000000"/>
          <w:right w:val="single" w:sz="4" w:space="4" w:color="000000"/>
        </w:pBdr>
        <w:rPr>
          <w:b w:val="0"/>
          <w:bCs w:val="0"/>
          <w:sz w:val="20"/>
        </w:rPr>
      </w:pPr>
      <w:bookmarkStart w:id="36" w:name="_Toc536608352"/>
      <w:r>
        <w:rPr>
          <w:sz w:val="20"/>
        </w:rPr>
        <w:t>6.3 Comparación del perfil de seguridad con otras alternativas.</w:t>
      </w:r>
      <w:bookmarkEnd w:id="36"/>
    </w:p>
    <w:p w:rsidR="0056194E" w:rsidRDefault="0056194E">
      <w:pPr>
        <w:pStyle w:val="Ttulo2"/>
        <w:rPr>
          <w:b w:val="0"/>
          <w:bCs w:val="0"/>
          <w:sz w:val="20"/>
        </w:rPr>
      </w:pPr>
    </w:p>
    <w:p w:rsidR="0056194E" w:rsidRDefault="0056194E">
      <w:pPr>
        <w:pStyle w:val="Ttulo2"/>
        <w:rPr>
          <w:sz w:val="20"/>
        </w:rPr>
      </w:pPr>
      <w:bookmarkStart w:id="37" w:name="_Toc536608353"/>
      <w:r>
        <w:rPr>
          <w:b w:val="0"/>
          <w:bCs w:val="0"/>
          <w:sz w:val="20"/>
        </w:rPr>
        <w:t>No existen comparaciones directas sobre el perfil de seguridad de abiraterona con respecto a otras alternativas terapéuticas en esta fase de la enfermedad (docetaxel). En el Network meta análisis descrito en el apartado 5.3.b.1 que comparó de forma indirecta la eficacia de abiraterona+TDA vs. docetaxel+TDA, no se realizó una comparación indirecta de incidencia de efectos adversos, ya que la forma en que se habían recogido los mismos difería mucho, encontrándose diferencias sustancialmente significativas en la tasa de eventos adversos Grado 3-5 en el brazo control (TDA en monoterapia) de los distintos ensayos clínicos incluidos.</w:t>
      </w:r>
      <w:bookmarkEnd w:id="37"/>
    </w:p>
    <w:p w:rsidR="0056194E" w:rsidRDefault="0056194E">
      <w:pPr>
        <w:pStyle w:val="Ttulo2"/>
        <w:rPr>
          <w:sz w:val="20"/>
        </w:rPr>
      </w:pPr>
    </w:p>
    <w:p w:rsidR="0056194E" w:rsidRDefault="0056194E">
      <w:pPr>
        <w:pStyle w:val="Ttulo2"/>
        <w:rPr>
          <w:sz w:val="20"/>
          <w:highlight w:val="yellow"/>
        </w:rPr>
      </w:pPr>
      <w:bookmarkStart w:id="38" w:name="_Toc536608354"/>
      <w:r>
        <w:rPr>
          <w:b w:val="0"/>
          <w:bCs w:val="0"/>
          <w:sz w:val="20"/>
        </w:rPr>
        <w:t xml:space="preserve">No obstante, ya que en términos de eficacia no han mostrado diferencia, sería interesante comparar el perfil de seguridad de abiraterona con respecto a docetaxel. </w:t>
      </w:r>
      <w:r>
        <w:rPr>
          <w:rStyle w:val="Hipervnculo"/>
          <w:rFonts w:cs="Arial"/>
          <w:b w:val="0"/>
          <w:bCs w:val="0"/>
          <w:color w:val="auto"/>
          <w:sz w:val="20"/>
          <w:u w:val="none"/>
        </w:rPr>
        <w:t>Como se comentó en el apartado de comparaciones indirectas, al analizar los ensayos clínicos STAMPEDE-docetaxel y STAMPEDE-abiraterona</w:t>
      </w:r>
      <w:r w:rsidR="00A113AF">
        <w:rPr>
          <w:rStyle w:val="Hipervnculo"/>
          <w:rFonts w:cs="Arial"/>
          <w:b w:val="0"/>
          <w:bCs w:val="0"/>
          <w:color w:val="auto"/>
          <w:sz w:val="20"/>
          <w:u w:val="none"/>
        </w:rPr>
        <w:t xml:space="preserve"> </w:t>
      </w:r>
      <w:r>
        <w:rPr>
          <w:rStyle w:val="Hipervnculo"/>
          <w:rFonts w:cs="Arial"/>
          <w:b w:val="0"/>
          <w:bCs w:val="0"/>
          <w:color w:val="auto"/>
          <w:sz w:val="20"/>
          <w:u w:val="none"/>
        </w:rPr>
        <w:t>se observó que las características basales de la población incluída eran muy similares (a excepción de la proporción de pacientes que recibió radioterapia) y que los efectos adversos se recogieron de forma muy parecida, lo que se confirma al observar que la tasa de eventos adversos en el grupo control es del 32% y 33% respectivamente. Esto nos permite realizar una comparación indirecta propia de la toxicidad de abiraterona frente a docetaxel, ambos en combinación con TDA.</w:t>
      </w:r>
      <w:bookmarkEnd w:id="38"/>
    </w:p>
    <w:p w:rsidR="0056194E" w:rsidRDefault="0056194E">
      <w:pPr>
        <w:jc w:val="both"/>
        <w:rPr>
          <w:rFonts w:ascii="Arial" w:hAnsi="Arial" w:cs="Arial"/>
          <w:sz w:val="20"/>
          <w:szCs w:val="20"/>
          <w:highlight w:val="yellow"/>
        </w:rPr>
      </w:pPr>
    </w:p>
    <w:p w:rsidR="0056194E" w:rsidRDefault="0056194E">
      <w:pPr>
        <w:jc w:val="both"/>
        <w:rPr>
          <w:rFonts w:ascii="Arial" w:hAnsi="Arial" w:cs="Arial"/>
          <w:sz w:val="20"/>
          <w:szCs w:val="20"/>
        </w:rPr>
      </w:pPr>
      <w:r>
        <w:rPr>
          <w:rFonts w:ascii="Arial" w:hAnsi="Arial" w:cs="Arial"/>
          <w:sz w:val="20"/>
          <w:szCs w:val="20"/>
        </w:rPr>
        <w:t xml:space="preserve">En la tabla 6.3.a se observa que las incidencias de efectos adversos en el grupo control de ambos estudios STAMPEDE son bastante similares. Por tanto, tomando el </w:t>
      </w:r>
      <w:r w:rsidR="0006048A">
        <w:rPr>
          <w:rFonts w:ascii="Arial" w:hAnsi="Arial" w:cs="Arial"/>
          <w:sz w:val="20"/>
          <w:szCs w:val="20"/>
        </w:rPr>
        <w:t>I</w:t>
      </w:r>
      <w:r>
        <w:rPr>
          <w:rFonts w:ascii="Arial" w:hAnsi="Arial" w:cs="Arial"/>
          <w:sz w:val="20"/>
          <w:szCs w:val="20"/>
        </w:rPr>
        <w:t>AR de cada uno de estos eventos adversos en cada estudio, realizaremos una comparación indirecta entre ambas incidencias empleando la calculadora de Wells et al.</w:t>
      </w:r>
      <w:r>
        <w:rPr>
          <w:rFonts w:ascii="Arial" w:hAnsi="Arial" w:cs="Arial"/>
          <w:sz w:val="20"/>
          <w:szCs w:val="20"/>
          <w:vertAlign w:val="superscript"/>
        </w:rPr>
        <w:t>2</w:t>
      </w:r>
      <w:r w:rsidR="008503B4">
        <w:rPr>
          <w:rFonts w:ascii="Arial" w:hAnsi="Arial" w:cs="Arial"/>
          <w:sz w:val="20"/>
          <w:szCs w:val="20"/>
          <w:vertAlign w:val="superscript"/>
        </w:rPr>
        <w:t>5</w:t>
      </w:r>
      <w:r>
        <w:rPr>
          <w:rFonts w:ascii="Arial" w:hAnsi="Arial" w:cs="Arial"/>
          <w:sz w:val="20"/>
          <w:szCs w:val="20"/>
        </w:rPr>
        <w:t xml:space="preserve"> (tabla 6.3.b).</w:t>
      </w:r>
    </w:p>
    <w:p w:rsidR="0056194E" w:rsidRDefault="0056194E">
      <w:pPr>
        <w:jc w:val="both"/>
        <w:rPr>
          <w:rFonts w:ascii="Arial" w:hAnsi="Arial" w:cs="Arial"/>
          <w:sz w:val="20"/>
          <w:szCs w:val="20"/>
        </w:rPr>
      </w:pPr>
    </w:p>
    <w:tbl>
      <w:tblPr>
        <w:tblW w:w="9222" w:type="dxa"/>
        <w:tblInd w:w="62" w:type="dxa"/>
        <w:tblLayout w:type="fixed"/>
        <w:tblCellMar>
          <w:left w:w="70" w:type="dxa"/>
          <w:right w:w="70" w:type="dxa"/>
        </w:tblCellMar>
        <w:tblLook w:val="0000"/>
      </w:tblPr>
      <w:tblGrid>
        <w:gridCol w:w="2560"/>
        <w:gridCol w:w="1276"/>
        <w:gridCol w:w="850"/>
        <w:gridCol w:w="1276"/>
        <w:gridCol w:w="992"/>
        <w:gridCol w:w="851"/>
        <w:gridCol w:w="1417"/>
      </w:tblGrid>
      <w:tr w:rsidR="0056194E">
        <w:tc>
          <w:tcPr>
            <w:tcW w:w="9222" w:type="dxa"/>
            <w:gridSpan w:val="7"/>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pStyle w:val="Contenidodelatabla"/>
              <w:jc w:val="both"/>
            </w:pPr>
            <w:r>
              <w:rPr>
                <w:rFonts w:ascii="Arial" w:hAnsi="Arial" w:cs="Arial"/>
                <w:b/>
                <w:i/>
                <w:sz w:val="20"/>
                <w:szCs w:val="20"/>
                <w:lang w:val="es-ES_tradnl"/>
              </w:rPr>
              <w:t>6.3.a. Incidencia de efectos adversos Docetaxel+TDA vs. TDA y Abiraterona+TDA vs. TDA</w:t>
            </w:r>
          </w:p>
        </w:tc>
      </w:tr>
      <w:tr w:rsidR="0056194E" w:rsidRPr="0006048A">
        <w:tblPrEx>
          <w:tblCellMar>
            <w:left w:w="108" w:type="dxa"/>
            <w:right w:w="108" w:type="dxa"/>
          </w:tblCellMar>
        </w:tblPrEx>
        <w:trPr>
          <w:trHeight w:val="1177"/>
        </w:trPr>
        <w:tc>
          <w:tcPr>
            <w:tcW w:w="2560" w:type="dxa"/>
            <w:tcBorders>
              <w:top w:val="single" w:sz="4" w:space="0" w:color="000000"/>
              <w:left w:val="single" w:sz="4" w:space="0" w:color="000000"/>
              <w:bottom w:val="single" w:sz="4" w:space="0" w:color="000000"/>
            </w:tcBorders>
            <w:shd w:val="clear" w:color="auto" w:fill="E6E6E6"/>
          </w:tcPr>
          <w:p w:rsidR="0056194E" w:rsidRPr="00023219" w:rsidRDefault="0056194E">
            <w:pPr>
              <w:pStyle w:val="Contenidodelatabla"/>
              <w:snapToGrid w:val="0"/>
              <w:jc w:val="both"/>
              <w:rPr>
                <w:rFonts w:ascii="Arial" w:hAnsi="Arial" w:cs="Arial"/>
                <w:b/>
                <w:bCs/>
                <w:sz w:val="18"/>
                <w:szCs w:val="18"/>
              </w:rPr>
            </w:pPr>
          </w:p>
          <w:p w:rsidR="0056194E" w:rsidRPr="00023219" w:rsidRDefault="0056194E">
            <w:pPr>
              <w:pStyle w:val="Contenidodelatabla"/>
              <w:jc w:val="both"/>
              <w:rPr>
                <w:rFonts w:ascii="Arial" w:hAnsi="Arial" w:cs="Arial"/>
                <w:b/>
                <w:bCs/>
                <w:sz w:val="18"/>
                <w:szCs w:val="18"/>
              </w:rPr>
            </w:pPr>
            <w:r w:rsidRPr="00023219">
              <w:rPr>
                <w:rFonts w:ascii="Arial" w:hAnsi="Arial" w:cs="Arial"/>
                <w:b/>
                <w:bCs/>
                <w:sz w:val="18"/>
                <w:szCs w:val="18"/>
              </w:rPr>
              <w:t xml:space="preserve">Evento </w:t>
            </w:r>
          </w:p>
          <w:p w:rsidR="0056194E" w:rsidRPr="00023219" w:rsidRDefault="0056194E">
            <w:pPr>
              <w:pStyle w:val="Contenidodelatabla"/>
              <w:jc w:val="both"/>
              <w:rPr>
                <w:sz w:val="18"/>
                <w:szCs w:val="18"/>
              </w:rPr>
            </w:pPr>
            <w:r w:rsidRPr="00023219">
              <w:rPr>
                <w:rFonts w:ascii="Arial" w:hAnsi="Arial" w:cs="Arial"/>
                <w:b/>
                <w:bCs/>
                <w:sz w:val="18"/>
                <w:szCs w:val="18"/>
              </w:rPr>
              <w:t>Adversos</w:t>
            </w:r>
          </w:p>
        </w:tc>
        <w:tc>
          <w:tcPr>
            <w:tcW w:w="1276" w:type="dxa"/>
            <w:tcBorders>
              <w:top w:val="single" w:sz="4" w:space="0" w:color="000000"/>
              <w:left w:val="single" w:sz="4" w:space="0" w:color="000000"/>
              <w:bottom w:val="single" w:sz="4" w:space="0" w:color="000000"/>
            </w:tcBorders>
            <w:shd w:val="clear" w:color="auto" w:fill="E6E6E6"/>
          </w:tcPr>
          <w:p w:rsidR="0056194E" w:rsidRPr="00023219" w:rsidRDefault="0056194E">
            <w:pPr>
              <w:pStyle w:val="Contenidodelatabla"/>
              <w:snapToGrid w:val="0"/>
              <w:jc w:val="both"/>
              <w:rPr>
                <w:rFonts w:ascii="Arial" w:hAnsi="Arial" w:cs="Arial"/>
                <w:b/>
                <w:bCs/>
                <w:sz w:val="18"/>
                <w:szCs w:val="18"/>
              </w:rPr>
            </w:pPr>
          </w:p>
          <w:p w:rsidR="0056194E" w:rsidRPr="00023219" w:rsidRDefault="0056194E">
            <w:pPr>
              <w:pStyle w:val="Contenidodelatabla"/>
              <w:jc w:val="both"/>
              <w:rPr>
                <w:rFonts w:ascii="Arial" w:hAnsi="Arial" w:cs="Arial"/>
                <w:b/>
                <w:bCs/>
                <w:sz w:val="18"/>
                <w:szCs w:val="18"/>
              </w:rPr>
            </w:pPr>
            <w:r w:rsidRPr="00023219">
              <w:rPr>
                <w:rFonts w:ascii="Arial" w:hAnsi="Arial" w:cs="Arial"/>
                <w:b/>
                <w:bCs/>
                <w:sz w:val="18"/>
                <w:szCs w:val="18"/>
                <w:vertAlign w:val="superscript"/>
              </w:rPr>
              <w:t>15</w:t>
            </w:r>
            <w:r w:rsidRPr="00023219">
              <w:rPr>
                <w:rFonts w:ascii="Arial" w:hAnsi="Arial" w:cs="Arial"/>
                <w:b/>
                <w:bCs/>
                <w:sz w:val="18"/>
                <w:szCs w:val="18"/>
              </w:rPr>
              <w:t>Abiraterona</w:t>
            </w:r>
          </w:p>
          <w:p w:rsidR="0056194E" w:rsidRPr="00023219" w:rsidRDefault="0056194E">
            <w:pPr>
              <w:pStyle w:val="Contenidodelatabla"/>
              <w:jc w:val="both"/>
              <w:rPr>
                <w:rFonts w:ascii="Arial" w:hAnsi="Arial" w:cs="Arial"/>
                <w:sz w:val="18"/>
                <w:szCs w:val="18"/>
              </w:rPr>
            </w:pPr>
            <w:r w:rsidRPr="00023219">
              <w:rPr>
                <w:rFonts w:ascii="Arial" w:hAnsi="Arial" w:cs="Arial"/>
                <w:b/>
                <w:bCs/>
                <w:sz w:val="18"/>
                <w:szCs w:val="18"/>
              </w:rPr>
              <w:t>+TDA</w:t>
            </w:r>
          </w:p>
          <w:p w:rsidR="0056194E" w:rsidRPr="00023219" w:rsidRDefault="0056194E">
            <w:pPr>
              <w:pStyle w:val="Contenidodelatabla"/>
              <w:jc w:val="both"/>
              <w:rPr>
                <w:rFonts w:ascii="Arial" w:hAnsi="Arial" w:cs="Arial"/>
                <w:sz w:val="18"/>
                <w:szCs w:val="18"/>
              </w:rPr>
            </w:pPr>
          </w:p>
          <w:p w:rsidR="0056194E" w:rsidRPr="00023219" w:rsidRDefault="0056194E">
            <w:pPr>
              <w:pStyle w:val="Contenidodelatabla"/>
              <w:jc w:val="both"/>
              <w:rPr>
                <w:rFonts w:ascii="Arial" w:hAnsi="Arial" w:cs="Arial"/>
                <w:b/>
                <w:bCs/>
                <w:sz w:val="18"/>
                <w:szCs w:val="18"/>
              </w:rPr>
            </w:pPr>
            <w:r w:rsidRPr="00023219">
              <w:rPr>
                <w:rFonts w:ascii="Arial" w:hAnsi="Arial" w:cs="Arial"/>
                <w:b/>
                <w:bCs/>
                <w:sz w:val="18"/>
                <w:szCs w:val="18"/>
              </w:rPr>
              <w:t xml:space="preserve">% de </w:t>
            </w:r>
          </w:p>
          <w:p w:rsidR="0056194E" w:rsidRPr="00023219" w:rsidRDefault="0056194E">
            <w:pPr>
              <w:pStyle w:val="Contenidodelatabla"/>
              <w:jc w:val="both"/>
              <w:rPr>
                <w:sz w:val="18"/>
                <w:szCs w:val="18"/>
              </w:rPr>
            </w:pPr>
            <w:r w:rsidRPr="00023219">
              <w:rPr>
                <w:rFonts w:ascii="Arial" w:hAnsi="Arial" w:cs="Arial"/>
                <w:b/>
                <w:bCs/>
                <w:sz w:val="18"/>
                <w:szCs w:val="18"/>
              </w:rPr>
              <w:t>eventos</w:t>
            </w:r>
          </w:p>
        </w:tc>
        <w:tc>
          <w:tcPr>
            <w:tcW w:w="850" w:type="dxa"/>
            <w:tcBorders>
              <w:top w:val="single" w:sz="4" w:space="0" w:color="000000"/>
              <w:left w:val="single" w:sz="4" w:space="0" w:color="000000"/>
              <w:bottom w:val="single" w:sz="4" w:space="0" w:color="000000"/>
            </w:tcBorders>
            <w:shd w:val="clear" w:color="auto" w:fill="E6E6E6"/>
          </w:tcPr>
          <w:p w:rsidR="0056194E" w:rsidRPr="00023219" w:rsidRDefault="0056194E">
            <w:pPr>
              <w:pStyle w:val="Contenidodelatabla"/>
              <w:snapToGrid w:val="0"/>
              <w:jc w:val="both"/>
              <w:rPr>
                <w:rFonts w:ascii="Arial" w:hAnsi="Arial" w:cs="Arial"/>
                <w:b/>
                <w:bCs/>
                <w:sz w:val="18"/>
                <w:szCs w:val="18"/>
              </w:rPr>
            </w:pPr>
          </w:p>
          <w:p w:rsidR="0056194E" w:rsidRPr="00023219" w:rsidRDefault="0056194E">
            <w:pPr>
              <w:pStyle w:val="Contenidodelatabla"/>
              <w:snapToGrid w:val="0"/>
              <w:jc w:val="both"/>
              <w:rPr>
                <w:rFonts w:ascii="Arial" w:hAnsi="Arial" w:cs="Arial"/>
                <w:b/>
                <w:bCs/>
                <w:sz w:val="18"/>
                <w:szCs w:val="18"/>
              </w:rPr>
            </w:pPr>
            <w:r w:rsidRPr="00023219">
              <w:rPr>
                <w:rFonts w:ascii="Arial" w:hAnsi="Arial" w:cs="Arial"/>
                <w:b/>
                <w:bCs/>
                <w:sz w:val="18"/>
                <w:szCs w:val="18"/>
                <w:vertAlign w:val="superscript"/>
              </w:rPr>
              <w:t>15</w:t>
            </w:r>
            <w:r w:rsidRPr="00023219">
              <w:rPr>
                <w:rFonts w:ascii="Arial" w:hAnsi="Arial" w:cs="Arial"/>
                <w:b/>
                <w:bCs/>
                <w:sz w:val="18"/>
                <w:szCs w:val="18"/>
              </w:rPr>
              <w:t>TDA</w:t>
            </w:r>
          </w:p>
          <w:p w:rsidR="0056194E" w:rsidRPr="00023219" w:rsidRDefault="0056194E">
            <w:pPr>
              <w:pStyle w:val="Contenidodelatabla"/>
              <w:snapToGrid w:val="0"/>
              <w:jc w:val="both"/>
              <w:rPr>
                <w:rFonts w:ascii="Arial" w:hAnsi="Arial" w:cs="Arial"/>
                <w:b/>
                <w:bCs/>
                <w:sz w:val="18"/>
                <w:szCs w:val="18"/>
              </w:rPr>
            </w:pPr>
          </w:p>
          <w:p w:rsidR="0056194E" w:rsidRPr="00023219" w:rsidRDefault="0056194E">
            <w:pPr>
              <w:pStyle w:val="Contenidodelatabla"/>
              <w:jc w:val="both"/>
              <w:rPr>
                <w:sz w:val="18"/>
                <w:szCs w:val="18"/>
              </w:rPr>
            </w:pPr>
            <w:r w:rsidRPr="00023219">
              <w:rPr>
                <w:rFonts w:ascii="Arial" w:hAnsi="Arial" w:cs="Arial"/>
                <w:b/>
                <w:bCs/>
                <w:sz w:val="18"/>
                <w:szCs w:val="18"/>
              </w:rPr>
              <w:t>% de eventos</w:t>
            </w:r>
          </w:p>
        </w:tc>
        <w:tc>
          <w:tcPr>
            <w:tcW w:w="1276" w:type="dxa"/>
            <w:tcBorders>
              <w:top w:val="single" w:sz="4" w:space="0" w:color="000000"/>
              <w:left w:val="single" w:sz="4" w:space="0" w:color="000000"/>
              <w:bottom w:val="single" w:sz="4" w:space="0" w:color="000000"/>
            </w:tcBorders>
            <w:shd w:val="clear" w:color="auto" w:fill="E6E6E6"/>
          </w:tcPr>
          <w:p w:rsidR="0056194E" w:rsidRPr="00023219" w:rsidRDefault="0056194E">
            <w:pPr>
              <w:pStyle w:val="Contenidodelatabla"/>
              <w:snapToGrid w:val="0"/>
              <w:jc w:val="both"/>
              <w:rPr>
                <w:rFonts w:ascii="Arial" w:hAnsi="Arial" w:cs="Arial"/>
                <w:b/>
                <w:bCs/>
                <w:sz w:val="18"/>
                <w:szCs w:val="18"/>
              </w:rPr>
            </w:pPr>
          </w:p>
          <w:p w:rsidR="0056194E" w:rsidRPr="00023219" w:rsidRDefault="0006048A">
            <w:pPr>
              <w:pStyle w:val="Contenidodelatabla"/>
              <w:snapToGrid w:val="0"/>
              <w:jc w:val="both"/>
              <w:rPr>
                <w:rFonts w:ascii="Arial" w:hAnsi="Arial" w:cs="Arial"/>
                <w:b/>
                <w:bCs/>
                <w:sz w:val="18"/>
                <w:szCs w:val="18"/>
              </w:rPr>
            </w:pPr>
            <w:r>
              <w:rPr>
                <w:rFonts w:ascii="Arial" w:hAnsi="Arial" w:cs="Arial"/>
                <w:b/>
                <w:bCs/>
                <w:sz w:val="18"/>
                <w:szCs w:val="18"/>
              </w:rPr>
              <w:t>I</w:t>
            </w:r>
            <w:r w:rsidR="0056194E" w:rsidRPr="00023219">
              <w:rPr>
                <w:rFonts w:ascii="Arial" w:hAnsi="Arial" w:cs="Arial"/>
                <w:b/>
                <w:bCs/>
                <w:sz w:val="18"/>
                <w:szCs w:val="18"/>
              </w:rPr>
              <w:t>AR</w:t>
            </w:r>
          </w:p>
          <w:p w:rsidR="0056194E" w:rsidRPr="00023219" w:rsidRDefault="0056194E">
            <w:pPr>
              <w:pStyle w:val="Contenidodelatabla"/>
              <w:snapToGrid w:val="0"/>
              <w:jc w:val="both"/>
              <w:rPr>
                <w:rFonts w:ascii="Arial" w:hAnsi="Arial" w:cs="Arial"/>
                <w:b/>
                <w:bCs/>
                <w:sz w:val="18"/>
                <w:szCs w:val="18"/>
              </w:rPr>
            </w:pPr>
            <w:r w:rsidRPr="00023219">
              <w:rPr>
                <w:rFonts w:ascii="Arial" w:hAnsi="Arial" w:cs="Arial"/>
                <w:b/>
                <w:bCs/>
                <w:sz w:val="18"/>
                <w:szCs w:val="18"/>
              </w:rPr>
              <w:t>(IC 95%)</w:t>
            </w:r>
          </w:p>
          <w:p w:rsidR="0056194E" w:rsidRPr="00023219" w:rsidRDefault="0056194E">
            <w:pPr>
              <w:pStyle w:val="Contenidodelatabla"/>
              <w:snapToGrid w:val="0"/>
              <w:jc w:val="both"/>
              <w:rPr>
                <w:sz w:val="18"/>
                <w:szCs w:val="18"/>
              </w:rPr>
            </w:pPr>
            <w:r w:rsidRPr="00023219">
              <w:rPr>
                <w:rFonts w:ascii="Arial" w:hAnsi="Arial" w:cs="Arial"/>
                <w:b/>
                <w:bCs/>
                <w:sz w:val="18"/>
                <w:szCs w:val="18"/>
              </w:rPr>
              <w:t>Abiraterona+TDA Vs TDA</w:t>
            </w:r>
          </w:p>
        </w:tc>
        <w:tc>
          <w:tcPr>
            <w:tcW w:w="992" w:type="dxa"/>
            <w:tcBorders>
              <w:top w:val="single" w:sz="4" w:space="0" w:color="000000"/>
              <w:left w:val="single" w:sz="4" w:space="0" w:color="000000"/>
              <w:bottom w:val="single" w:sz="4" w:space="0" w:color="000000"/>
            </w:tcBorders>
            <w:shd w:val="clear" w:color="auto" w:fill="E6E6E6"/>
          </w:tcPr>
          <w:p w:rsidR="0056194E" w:rsidRPr="00023219" w:rsidRDefault="0056194E">
            <w:pPr>
              <w:pStyle w:val="Contenidodelatabla"/>
              <w:snapToGrid w:val="0"/>
              <w:jc w:val="both"/>
              <w:rPr>
                <w:rFonts w:ascii="Arial" w:hAnsi="Arial" w:cs="Arial"/>
                <w:b/>
                <w:bCs/>
                <w:sz w:val="18"/>
                <w:szCs w:val="18"/>
              </w:rPr>
            </w:pPr>
          </w:p>
          <w:p w:rsidR="0056194E" w:rsidRPr="00023219" w:rsidRDefault="0056194E">
            <w:pPr>
              <w:pStyle w:val="Contenidodelatabla"/>
              <w:jc w:val="both"/>
              <w:rPr>
                <w:rFonts w:ascii="Arial" w:hAnsi="Arial" w:cs="Arial"/>
                <w:b/>
                <w:bCs/>
                <w:sz w:val="18"/>
                <w:szCs w:val="18"/>
              </w:rPr>
            </w:pPr>
            <w:r w:rsidRPr="00023219">
              <w:rPr>
                <w:rFonts w:ascii="Arial" w:hAnsi="Arial" w:cs="Arial"/>
                <w:b/>
                <w:bCs/>
                <w:sz w:val="18"/>
                <w:szCs w:val="18"/>
                <w:vertAlign w:val="superscript"/>
              </w:rPr>
              <w:t>22</w:t>
            </w:r>
            <w:r w:rsidRPr="00023219">
              <w:rPr>
                <w:rFonts w:ascii="Arial" w:hAnsi="Arial" w:cs="Arial"/>
                <w:b/>
                <w:bCs/>
                <w:sz w:val="18"/>
                <w:szCs w:val="18"/>
              </w:rPr>
              <w:t>Docetaxel</w:t>
            </w:r>
          </w:p>
          <w:p w:rsidR="0056194E" w:rsidRPr="00023219" w:rsidRDefault="0056194E">
            <w:pPr>
              <w:pStyle w:val="Contenidodelatabla"/>
              <w:jc w:val="both"/>
              <w:rPr>
                <w:rFonts w:ascii="Arial" w:hAnsi="Arial" w:cs="Arial"/>
                <w:b/>
                <w:bCs/>
                <w:sz w:val="18"/>
                <w:szCs w:val="18"/>
              </w:rPr>
            </w:pPr>
            <w:r w:rsidRPr="00023219">
              <w:rPr>
                <w:rFonts w:ascii="Arial" w:hAnsi="Arial" w:cs="Arial"/>
                <w:b/>
                <w:bCs/>
                <w:sz w:val="18"/>
                <w:szCs w:val="18"/>
              </w:rPr>
              <w:t>+TDA</w:t>
            </w:r>
          </w:p>
          <w:p w:rsidR="0056194E" w:rsidRPr="00023219" w:rsidRDefault="0056194E">
            <w:pPr>
              <w:pStyle w:val="Contenidodelatabla"/>
              <w:jc w:val="both"/>
              <w:rPr>
                <w:rFonts w:ascii="Arial" w:hAnsi="Arial" w:cs="Arial"/>
                <w:b/>
                <w:bCs/>
                <w:sz w:val="18"/>
                <w:szCs w:val="18"/>
              </w:rPr>
            </w:pPr>
          </w:p>
          <w:p w:rsidR="0056194E" w:rsidRPr="00023219" w:rsidRDefault="0056194E">
            <w:pPr>
              <w:pStyle w:val="Contenidodelatabla"/>
              <w:jc w:val="both"/>
              <w:rPr>
                <w:sz w:val="18"/>
                <w:szCs w:val="18"/>
              </w:rPr>
            </w:pPr>
            <w:r w:rsidRPr="00023219">
              <w:rPr>
                <w:rFonts w:ascii="Arial" w:hAnsi="Arial" w:cs="Arial"/>
                <w:b/>
                <w:bCs/>
                <w:sz w:val="18"/>
                <w:szCs w:val="18"/>
              </w:rPr>
              <w:t>% de eventos</w:t>
            </w:r>
          </w:p>
        </w:tc>
        <w:tc>
          <w:tcPr>
            <w:tcW w:w="851" w:type="dxa"/>
            <w:tcBorders>
              <w:top w:val="single" w:sz="4" w:space="0" w:color="000000"/>
              <w:left w:val="single" w:sz="4" w:space="0" w:color="000000"/>
              <w:bottom w:val="single" w:sz="4" w:space="0" w:color="000000"/>
            </w:tcBorders>
            <w:shd w:val="clear" w:color="auto" w:fill="E6E6E6"/>
          </w:tcPr>
          <w:p w:rsidR="0056194E" w:rsidRPr="00023219" w:rsidRDefault="0056194E">
            <w:pPr>
              <w:pStyle w:val="Contenidodelatabla"/>
              <w:snapToGrid w:val="0"/>
              <w:jc w:val="both"/>
              <w:rPr>
                <w:rFonts w:ascii="Arial" w:hAnsi="Arial" w:cs="Arial"/>
                <w:b/>
                <w:bCs/>
                <w:sz w:val="18"/>
                <w:szCs w:val="18"/>
              </w:rPr>
            </w:pPr>
          </w:p>
          <w:p w:rsidR="0056194E" w:rsidRPr="00023219" w:rsidRDefault="0056194E">
            <w:pPr>
              <w:pStyle w:val="Contenidodelatabla"/>
              <w:snapToGrid w:val="0"/>
              <w:jc w:val="both"/>
              <w:rPr>
                <w:rFonts w:ascii="Arial" w:hAnsi="Arial" w:cs="Arial"/>
                <w:b/>
                <w:bCs/>
                <w:sz w:val="18"/>
                <w:szCs w:val="18"/>
              </w:rPr>
            </w:pPr>
            <w:r w:rsidRPr="00023219">
              <w:rPr>
                <w:rFonts w:ascii="Arial" w:hAnsi="Arial" w:cs="Arial"/>
                <w:b/>
                <w:bCs/>
                <w:sz w:val="18"/>
                <w:szCs w:val="18"/>
                <w:vertAlign w:val="superscript"/>
              </w:rPr>
              <w:t>22</w:t>
            </w:r>
            <w:r w:rsidRPr="00023219">
              <w:rPr>
                <w:rFonts w:ascii="Arial" w:hAnsi="Arial" w:cs="Arial"/>
                <w:b/>
                <w:bCs/>
                <w:sz w:val="18"/>
                <w:szCs w:val="18"/>
              </w:rPr>
              <w:t>TDA</w:t>
            </w:r>
          </w:p>
          <w:p w:rsidR="0056194E" w:rsidRPr="00023219" w:rsidRDefault="0056194E">
            <w:pPr>
              <w:pStyle w:val="Contenidodelatabla"/>
              <w:jc w:val="both"/>
              <w:rPr>
                <w:rFonts w:ascii="Arial" w:hAnsi="Arial" w:cs="Arial"/>
                <w:b/>
                <w:bCs/>
                <w:sz w:val="18"/>
                <w:szCs w:val="18"/>
              </w:rPr>
            </w:pPr>
          </w:p>
          <w:p w:rsidR="0056194E" w:rsidRPr="00023219" w:rsidRDefault="0056194E">
            <w:pPr>
              <w:pStyle w:val="Contenidodelatabla"/>
              <w:jc w:val="both"/>
              <w:rPr>
                <w:rFonts w:ascii="Arial" w:hAnsi="Arial" w:cs="Arial"/>
                <w:b/>
                <w:bCs/>
                <w:sz w:val="18"/>
                <w:szCs w:val="18"/>
              </w:rPr>
            </w:pPr>
            <w:r w:rsidRPr="00023219">
              <w:rPr>
                <w:rFonts w:ascii="Arial" w:hAnsi="Arial" w:cs="Arial"/>
                <w:b/>
                <w:bCs/>
                <w:sz w:val="18"/>
                <w:szCs w:val="18"/>
              </w:rPr>
              <w:t xml:space="preserve">%de </w:t>
            </w:r>
          </w:p>
          <w:p w:rsidR="0056194E" w:rsidRPr="00023219" w:rsidRDefault="0056194E">
            <w:pPr>
              <w:pStyle w:val="Contenidodelatabla"/>
              <w:jc w:val="both"/>
              <w:rPr>
                <w:sz w:val="18"/>
                <w:szCs w:val="18"/>
              </w:rPr>
            </w:pPr>
            <w:r w:rsidRPr="00023219">
              <w:rPr>
                <w:rFonts w:ascii="Arial" w:hAnsi="Arial" w:cs="Arial"/>
                <w:b/>
                <w:bCs/>
                <w:sz w:val="18"/>
                <w:szCs w:val="18"/>
              </w:rPr>
              <w:t>eventos</w:t>
            </w:r>
          </w:p>
        </w:tc>
        <w:tc>
          <w:tcPr>
            <w:tcW w:w="1417" w:type="dxa"/>
            <w:tcBorders>
              <w:top w:val="single" w:sz="4" w:space="0" w:color="000000"/>
              <w:left w:val="single" w:sz="4" w:space="0" w:color="000000"/>
              <w:bottom w:val="single" w:sz="4" w:space="0" w:color="000000"/>
              <w:right w:val="single" w:sz="4" w:space="0" w:color="000000"/>
            </w:tcBorders>
            <w:shd w:val="clear" w:color="auto" w:fill="E6E6E6"/>
          </w:tcPr>
          <w:p w:rsidR="0056194E" w:rsidRPr="0006048A" w:rsidRDefault="0056194E">
            <w:pPr>
              <w:pStyle w:val="Contenidodelatabla"/>
              <w:snapToGrid w:val="0"/>
              <w:jc w:val="both"/>
              <w:rPr>
                <w:rFonts w:ascii="Arial" w:hAnsi="Arial" w:cs="Arial"/>
                <w:b/>
                <w:bCs/>
                <w:sz w:val="18"/>
                <w:szCs w:val="18"/>
                <w:lang w:val="en-GB"/>
              </w:rPr>
            </w:pPr>
          </w:p>
          <w:p w:rsidR="0056194E" w:rsidRPr="0006048A" w:rsidRDefault="0006048A">
            <w:pPr>
              <w:pStyle w:val="Contenidodelatabla"/>
              <w:snapToGrid w:val="0"/>
              <w:jc w:val="both"/>
              <w:rPr>
                <w:rFonts w:ascii="Arial" w:hAnsi="Arial" w:cs="Arial"/>
                <w:b/>
                <w:bCs/>
                <w:sz w:val="18"/>
                <w:szCs w:val="18"/>
                <w:lang w:val="en-GB"/>
              </w:rPr>
            </w:pPr>
            <w:r w:rsidRPr="0006048A">
              <w:rPr>
                <w:rFonts w:ascii="Arial" w:hAnsi="Arial" w:cs="Arial"/>
                <w:b/>
                <w:bCs/>
                <w:sz w:val="18"/>
                <w:szCs w:val="18"/>
                <w:lang w:val="en-GB"/>
              </w:rPr>
              <w:t>I</w:t>
            </w:r>
            <w:r w:rsidR="0056194E" w:rsidRPr="0006048A">
              <w:rPr>
                <w:rFonts w:ascii="Arial" w:hAnsi="Arial" w:cs="Arial"/>
                <w:b/>
                <w:bCs/>
                <w:sz w:val="18"/>
                <w:szCs w:val="18"/>
                <w:lang w:val="en-GB"/>
              </w:rPr>
              <w:t>AR</w:t>
            </w:r>
          </w:p>
          <w:p w:rsidR="0056194E" w:rsidRPr="0006048A" w:rsidRDefault="0056194E">
            <w:pPr>
              <w:pStyle w:val="Contenidodelatabla"/>
              <w:snapToGrid w:val="0"/>
              <w:jc w:val="both"/>
              <w:rPr>
                <w:rFonts w:ascii="Arial" w:hAnsi="Arial" w:cs="Arial"/>
                <w:b/>
                <w:bCs/>
                <w:sz w:val="18"/>
                <w:szCs w:val="18"/>
                <w:lang w:val="en-GB"/>
              </w:rPr>
            </w:pPr>
            <w:r w:rsidRPr="0006048A">
              <w:rPr>
                <w:rFonts w:ascii="Arial" w:hAnsi="Arial" w:cs="Arial"/>
                <w:b/>
                <w:bCs/>
                <w:sz w:val="18"/>
                <w:szCs w:val="18"/>
                <w:lang w:val="en-GB"/>
              </w:rPr>
              <w:t>(IC 95%)</w:t>
            </w:r>
          </w:p>
          <w:p w:rsidR="0056194E" w:rsidRPr="0006048A" w:rsidRDefault="0056194E">
            <w:pPr>
              <w:pStyle w:val="Contenidodelatabla"/>
              <w:snapToGrid w:val="0"/>
              <w:jc w:val="both"/>
              <w:rPr>
                <w:sz w:val="18"/>
                <w:szCs w:val="18"/>
                <w:lang w:val="en-GB"/>
              </w:rPr>
            </w:pPr>
            <w:r w:rsidRPr="0006048A">
              <w:rPr>
                <w:rFonts w:ascii="Arial" w:hAnsi="Arial" w:cs="Arial"/>
                <w:b/>
                <w:bCs/>
                <w:sz w:val="18"/>
                <w:szCs w:val="18"/>
                <w:lang w:val="en-GB"/>
              </w:rPr>
              <w:t>Docetaxel+TDA Vs TDA</w:t>
            </w:r>
          </w:p>
        </w:tc>
      </w:tr>
      <w:tr w:rsidR="0056194E">
        <w:tblPrEx>
          <w:tblCellMar>
            <w:top w:w="55" w:type="dxa"/>
            <w:left w:w="55" w:type="dxa"/>
            <w:bottom w:w="55" w:type="dxa"/>
            <w:right w:w="55" w:type="dxa"/>
          </w:tblCellMar>
        </w:tblPrEx>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Grado 3-5</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47%</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33%</w:t>
            </w:r>
          </w:p>
        </w:tc>
        <w:tc>
          <w:tcPr>
            <w:tcW w:w="1276" w:type="dxa"/>
            <w:tcBorders>
              <w:left w:val="single" w:sz="2" w:space="0" w:color="000000"/>
              <w:bottom w:val="single" w:sz="2" w:space="0" w:color="000000"/>
            </w:tcBorders>
            <w:vAlign w:val="center"/>
          </w:tcPr>
          <w:p w:rsidR="0056194E" w:rsidRPr="00023219" w:rsidRDefault="0056194E" w:rsidP="009829A6">
            <w:pPr>
              <w:snapToGrid w:val="0"/>
              <w:jc w:val="center"/>
              <w:rPr>
                <w:sz w:val="18"/>
                <w:szCs w:val="18"/>
              </w:rPr>
            </w:pPr>
            <w:r w:rsidRPr="00023219">
              <w:rPr>
                <w:rFonts w:ascii="Arial" w:hAnsi="Arial" w:cs="Arial"/>
                <w:i/>
                <w:sz w:val="18"/>
                <w:szCs w:val="18"/>
                <w:lang w:val="fr-FR"/>
              </w:rPr>
              <w:t>14 (9,6-18,3)</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52%</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32%</w:t>
            </w:r>
          </w:p>
        </w:tc>
        <w:tc>
          <w:tcPr>
            <w:tcW w:w="1417"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jc w:val="center"/>
              <w:rPr>
                <w:sz w:val="18"/>
                <w:szCs w:val="18"/>
              </w:rPr>
            </w:pPr>
            <w:r w:rsidRPr="00023219">
              <w:rPr>
                <w:rFonts w:ascii="Arial" w:hAnsi="Arial" w:cs="Arial"/>
                <w:i/>
                <w:sz w:val="18"/>
                <w:szCs w:val="18"/>
                <w:lang w:val="fr-FR"/>
              </w:rPr>
              <w:t>20 (15,2-24,8)</w:t>
            </w:r>
          </w:p>
        </w:tc>
      </w:tr>
      <w:tr w:rsidR="0056194E">
        <w:tblPrEx>
          <w:tblCellMar>
            <w:top w:w="55" w:type="dxa"/>
            <w:left w:w="55" w:type="dxa"/>
            <w:bottom w:w="55" w:type="dxa"/>
            <w:right w:w="55" w:type="dxa"/>
          </w:tblCellMar>
        </w:tblPrEx>
        <w:trPr>
          <w:trHeight w:val="211"/>
        </w:trPr>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Desorden endocrino (sofocos, impotencia)</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14%</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14%</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r w:rsidRPr="00023219">
              <w:rPr>
                <w:rFonts w:ascii="Arial" w:hAnsi="Arial" w:cs="Arial"/>
                <w:i/>
                <w:sz w:val="18"/>
                <w:szCs w:val="18"/>
                <w:lang w:val="fr-FR"/>
              </w:rPr>
              <w:t>----</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10%</w:t>
            </w:r>
          </w:p>
          <w:p w:rsidR="0056194E" w:rsidRPr="00023219" w:rsidRDefault="0056194E" w:rsidP="009829A6">
            <w:pPr>
              <w:pStyle w:val="Contenidodelatabla"/>
              <w:snapToGrid w:val="0"/>
              <w:jc w:val="center"/>
              <w:rPr>
                <w:sz w:val="18"/>
                <w:szCs w:val="18"/>
              </w:rPr>
            </w:pP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12%</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jc w:val="center"/>
              <w:rPr>
                <w:sz w:val="18"/>
                <w:szCs w:val="18"/>
              </w:rPr>
            </w:pPr>
            <w:r w:rsidRPr="00023219">
              <w:rPr>
                <w:rFonts w:ascii="Arial" w:hAnsi="Arial" w:cs="Arial"/>
                <w:i/>
                <w:sz w:val="18"/>
                <w:szCs w:val="18"/>
                <w:lang w:val="fr-FR"/>
              </w:rPr>
              <w:t>2 (1-5)</w:t>
            </w:r>
          </w:p>
          <w:p w:rsidR="0056194E" w:rsidRPr="00023219" w:rsidRDefault="0056194E" w:rsidP="009829A6">
            <w:pPr>
              <w:jc w:val="center"/>
              <w:rPr>
                <w:sz w:val="18"/>
                <w:szCs w:val="18"/>
              </w:rPr>
            </w:pPr>
          </w:p>
        </w:tc>
      </w:tr>
      <w:tr w:rsidR="0056194E">
        <w:tblPrEx>
          <w:tblCellMar>
            <w:top w:w="55" w:type="dxa"/>
            <w:left w:w="55" w:type="dxa"/>
            <w:bottom w:w="55" w:type="dxa"/>
            <w:right w:w="55" w:type="dxa"/>
          </w:tblCellMar>
        </w:tblPrEx>
        <w:trPr>
          <w:trHeight w:val="263"/>
        </w:trPr>
        <w:tc>
          <w:tcPr>
            <w:tcW w:w="2560" w:type="dxa"/>
            <w:tcBorders>
              <w:top w:val="single" w:sz="2" w:space="0" w:color="000000"/>
              <w:left w:val="single" w:sz="2" w:space="0" w:color="000000"/>
              <w:bottom w:val="single" w:sz="2" w:space="0" w:color="000000"/>
              <w:right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Neutropenia febril</w:t>
            </w:r>
          </w:p>
        </w:tc>
        <w:tc>
          <w:tcPr>
            <w:tcW w:w="1276"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0%</w:t>
            </w:r>
          </w:p>
        </w:tc>
        <w:tc>
          <w:tcPr>
            <w:tcW w:w="850"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0%</w:t>
            </w:r>
          </w:p>
        </w:tc>
        <w:tc>
          <w:tcPr>
            <w:tcW w:w="1276"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c>
          <w:tcPr>
            <w:tcW w:w="992"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15%</w:t>
            </w:r>
          </w:p>
        </w:tc>
        <w:tc>
          <w:tcPr>
            <w:tcW w:w="851"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w:t>
            </w:r>
          </w:p>
        </w:tc>
        <w:tc>
          <w:tcPr>
            <w:tcW w:w="1417"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jc w:val="center"/>
              <w:rPr>
                <w:sz w:val="18"/>
                <w:szCs w:val="18"/>
              </w:rPr>
            </w:pPr>
            <w:r w:rsidRPr="00023219">
              <w:rPr>
                <w:rFonts w:ascii="Arial" w:hAnsi="Arial" w:cs="Arial"/>
                <w:i/>
                <w:sz w:val="18"/>
                <w:szCs w:val="18"/>
                <w:lang w:val="fr-FR"/>
              </w:rPr>
              <w:t>14 (11,1-16,9)</w:t>
            </w:r>
          </w:p>
        </w:tc>
      </w:tr>
      <w:tr w:rsidR="0056194E">
        <w:tblPrEx>
          <w:tblCellMar>
            <w:top w:w="55" w:type="dxa"/>
            <w:left w:w="55" w:type="dxa"/>
            <w:bottom w:w="55" w:type="dxa"/>
            <w:right w:w="55" w:type="dxa"/>
          </w:tblCellMar>
        </w:tblPrEx>
        <w:trPr>
          <w:trHeight w:val="199"/>
        </w:trPr>
        <w:tc>
          <w:tcPr>
            <w:tcW w:w="2560" w:type="dxa"/>
            <w:tcBorders>
              <w:top w:val="single" w:sz="2" w:space="0" w:color="000000"/>
              <w:left w:val="single" w:sz="2" w:space="0" w:color="000000"/>
              <w:bottom w:val="single" w:sz="2" w:space="0" w:color="000000"/>
              <w:right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Neutropenia</w:t>
            </w:r>
          </w:p>
        </w:tc>
        <w:tc>
          <w:tcPr>
            <w:tcW w:w="1276"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0%</w:t>
            </w:r>
          </w:p>
        </w:tc>
        <w:tc>
          <w:tcPr>
            <w:tcW w:w="1276"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 (0,37-1,63)</w:t>
            </w:r>
          </w:p>
        </w:tc>
        <w:tc>
          <w:tcPr>
            <w:tcW w:w="992"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12%</w:t>
            </w:r>
          </w:p>
        </w:tc>
        <w:tc>
          <w:tcPr>
            <w:tcW w:w="851"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0%</w:t>
            </w:r>
          </w:p>
        </w:tc>
        <w:tc>
          <w:tcPr>
            <w:tcW w:w="1417"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jc w:val="center"/>
              <w:rPr>
                <w:sz w:val="18"/>
                <w:szCs w:val="18"/>
              </w:rPr>
            </w:pPr>
            <w:r w:rsidRPr="00023219">
              <w:rPr>
                <w:rFonts w:ascii="Arial" w:hAnsi="Arial" w:cs="Arial"/>
                <w:i/>
                <w:sz w:val="18"/>
                <w:szCs w:val="18"/>
                <w:lang w:val="fr-FR"/>
              </w:rPr>
              <w:t>12 (9,4-14,6)</w:t>
            </w:r>
          </w:p>
        </w:tc>
      </w:tr>
      <w:tr w:rsidR="0056194E">
        <w:tblPrEx>
          <w:tblCellMar>
            <w:top w:w="55" w:type="dxa"/>
            <w:left w:w="55" w:type="dxa"/>
            <w:bottom w:w="55" w:type="dxa"/>
            <w:right w:w="55" w:type="dxa"/>
          </w:tblCellMar>
        </w:tblPrEx>
        <w:trPr>
          <w:trHeight w:val="101"/>
        </w:trPr>
        <w:tc>
          <w:tcPr>
            <w:tcW w:w="2560" w:type="dxa"/>
            <w:tcBorders>
              <w:top w:val="single" w:sz="2" w:space="0" w:color="000000"/>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Desorden general (letargia, fiebre, astenia)</w:t>
            </w:r>
          </w:p>
        </w:tc>
        <w:tc>
          <w:tcPr>
            <w:tcW w:w="1276"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5%</w:t>
            </w:r>
          </w:p>
        </w:tc>
        <w:tc>
          <w:tcPr>
            <w:tcW w:w="850"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w:t>
            </w:r>
          </w:p>
        </w:tc>
        <w:tc>
          <w:tcPr>
            <w:tcW w:w="1276" w:type="dxa"/>
            <w:tcBorders>
              <w:top w:val="single" w:sz="2" w:space="0" w:color="000000"/>
              <w:left w:val="single" w:sz="2" w:space="0" w:color="000000"/>
              <w:bottom w:val="single" w:sz="2" w:space="0" w:color="000000"/>
            </w:tcBorders>
            <w:vAlign w:val="center"/>
          </w:tcPr>
          <w:p w:rsidR="0056194E" w:rsidRPr="00023219" w:rsidRDefault="0056194E" w:rsidP="009829A6">
            <w:pPr>
              <w:snapToGrid w:val="0"/>
              <w:jc w:val="center"/>
              <w:rPr>
                <w:sz w:val="18"/>
                <w:szCs w:val="18"/>
              </w:rPr>
            </w:pPr>
            <w:r w:rsidRPr="00023219">
              <w:rPr>
                <w:rFonts w:ascii="Arial" w:hAnsi="Arial" w:cs="Arial"/>
                <w:i/>
                <w:sz w:val="18"/>
                <w:szCs w:val="18"/>
                <w:lang w:val="fr-FR"/>
              </w:rPr>
              <w:t>2 (0,24-3,8)</w:t>
            </w:r>
          </w:p>
        </w:tc>
        <w:tc>
          <w:tcPr>
            <w:tcW w:w="992"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7%</w:t>
            </w:r>
          </w:p>
        </w:tc>
        <w:tc>
          <w:tcPr>
            <w:tcW w:w="851"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4%</w:t>
            </w:r>
          </w:p>
        </w:tc>
        <w:tc>
          <w:tcPr>
            <w:tcW w:w="1417"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jc w:val="center"/>
              <w:rPr>
                <w:sz w:val="18"/>
                <w:szCs w:val="18"/>
              </w:rPr>
            </w:pPr>
            <w:r w:rsidRPr="00023219">
              <w:rPr>
                <w:rFonts w:ascii="Arial" w:hAnsi="Arial" w:cs="Arial"/>
                <w:i/>
                <w:sz w:val="18"/>
                <w:szCs w:val="18"/>
                <w:lang w:val="fr-FR"/>
              </w:rPr>
              <w:t>3 (0,7-5,3)</w:t>
            </w:r>
          </w:p>
        </w:tc>
      </w:tr>
      <w:tr w:rsidR="0056194E">
        <w:tblPrEx>
          <w:tblCellMar>
            <w:top w:w="55" w:type="dxa"/>
            <w:left w:w="55" w:type="dxa"/>
            <w:bottom w:w="55" w:type="dxa"/>
            <w:right w:w="55" w:type="dxa"/>
          </w:tblCellMar>
        </w:tblPrEx>
        <w:trPr>
          <w:trHeight w:val="369"/>
        </w:trPr>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Musculoesquelético (dolor óseo, dolor generalizado)</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7%</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5%</w:t>
            </w:r>
          </w:p>
        </w:tc>
        <w:tc>
          <w:tcPr>
            <w:tcW w:w="1276" w:type="dxa"/>
            <w:tcBorders>
              <w:left w:val="single" w:sz="2" w:space="0" w:color="000000"/>
              <w:bottom w:val="single" w:sz="2" w:space="0" w:color="000000"/>
            </w:tcBorders>
            <w:vAlign w:val="center"/>
          </w:tcPr>
          <w:p w:rsidR="0056194E" w:rsidRPr="00023219" w:rsidRDefault="0056194E" w:rsidP="009829A6">
            <w:pPr>
              <w:snapToGrid w:val="0"/>
              <w:jc w:val="center"/>
              <w:rPr>
                <w:rFonts w:ascii="Arial" w:hAnsi="Arial" w:cs="Arial"/>
                <w:i/>
                <w:sz w:val="18"/>
                <w:szCs w:val="18"/>
                <w:lang w:val="fr-FR"/>
              </w:rPr>
            </w:pPr>
            <w:r w:rsidRPr="00023219">
              <w:rPr>
                <w:rFonts w:ascii="Arial" w:hAnsi="Arial" w:cs="Arial"/>
                <w:i/>
                <w:sz w:val="18"/>
                <w:szCs w:val="18"/>
                <w:lang w:val="fr-FR"/>
              </w:rPr>
              <w:t>2 (013-4,13)</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6%</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6%</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r>
      <w:tr w:rsidR="0056194E">
        <w:tblPrEx>
          <w:tblCellMar>
            <w:top w:w="55" w:type="dxa"/>
            <w:left w:w="55" w:type="dxa"/>
            <w:bottom w:w="55" w:type="dxa"/>
            <w:right w:w="55" w:type="dxa"/>
          </w:tblCellMar>
        </w:tblPrEx>
        <w:trPr>
          <w:trHeight w:val="517"/>
        </w:trPr>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Gastrointestinal (diarrea, dolor abdominal, e</w:t>
            </w:r>
            <w:r w:rsidR="00A975DC">
              <w:rPr>
                <w:rFonts w:ascii="Arial" w:hAnsi="Arial" w:cs="Arial"/>
                <w:b/>
                <w:bCs/>
                <w:sz w:val="18"/>
                <w:szCs w:val="18"/>
              </w:rPr>
              <w:t>s</w:t>
            </w:r>
            <w:r w:rsidRPr="00023219">
              <w:rPr>
                <w:rFonts w:ascii="Arial" w:hAnsi="Arial" w:cs="Arial"/>
                <w:b/>
                <w:bCs/>
                <w:sz w:val="18"/>
                <w:szCs w:val="18"/>
              </w:rPr>
              <w:t>treñimiento, vómitos)</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5%</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4%</w:t>
            </w:r>
          </w:p>
        </w:tc>
        <w:tc>
          <w:tcPr>
            <w:tcW w:w="1276" w:type="dxa"/>
            <w:tcBorders>
              <w:left w:val="single" w:sz="2" w:space="0" w:color="000000"/>
              <w:bottom w:val="single" w:sz="2" w:space="0" w:color="000000"/>
            </w:tcBorders>
            <w:vAlign w:val="center"/>
          </w:tcPr>
          <w:p w:rsidR="0056194E" w:rsidRPr="00023219" w:rsidRDefault="0056194E" w:rsidP="009829A6">
            <w:pPr>
              <w:snapToGrid w:val="0"/>
              <w:jc w:val="center"/>
              <w:rPr>
                <w:rFonts w:ascii="Arial" w:hAnsi="Arial" w:cs="Arial"/>
                <w:i/>
                <w:sz w:val="18"/>
                <w:szCs w:val="18"/>
                <w:lang w:val="fr-FR"/>
              </w:rPr>
            </w:pPr>
            <w:r w:rsidRPr="00023219">
              <w:rPr>
                <w:rFonts w:ascii="Arial" w:hAnsi="Arial" w:cs="Arial"/>
                <w:i/>
                <w:sz w:val="18"/>
                <w:szCs w:val="18"/>
                <w:lang w:val="fr-FR"/>
              </w:rPr>
              <w:t>1 (0,9-2,9)</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8%</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5 (2,6-7,4)</w:t>
            </w:r>
          </w:p>
        </w:tc>
      </w:tr>
      <w:tr w:rsidR="0056194E">
        <w:tblPrEx>
          <w:tblCellMar>
            <w:top w:w="55" w:type="dxa"/>
            <w:left w:w="55" w:type="dxa"/>
            <w:bottom w:w="55" w:type="dxa"/>
            <w:right w:w="55" w:type="dxa"/>
          </w:tblCellMar>
        </w:tblPrEx>
        <w:trPr>
          <w:trHeight w:val="129"/>
        </w:trPr>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Renal (deterioro renal, ITU)</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4%</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 (0,6-2,6)</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4%</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6%</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2 (0,1-4,1)</w:t>
            </w:r>
          </w:p>
        </w:tc>
      </w:tr>
      <w:tr w:rsidR="0056194E">
        <w:tblPrEx>
          <w:tblCellMar>
            <w:top w:w="55" w:type="dxa"/>
            <w:left w:w="55" w:type="dxa"/>
            <w:bottom w:w="55" w:type="dxa"/>
            <w:right w:w="55" w:type="dxa"/>
          </w:tblCellMar>
        </w:tblPrEx>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Alteración hepática</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7%</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w:t>
            </w:r>
          </w:p>
        </w:tc>
        <w:tc>
          <w:tcPr>
            <w:tcW w:w="1276" w:type="dxa"/>
            <w:tcBorders>
              <w:left w:val="single" w:sz="2" w:space="0" w:color="000000"/>
              <w:bottom w:val="single" w:sz="2" w:space="0" w:color="000000"/>
            </w:tcBorders>
            <w:vAlign w:val="center"/>
          </w:tcPr>
          <w:p w:rsidR="0056194E" w:rsidRPr="00023219" w:rsidRDefault="0056194E" w:rsidP="009829A6">
            <w:pPr>
              <w:snapToGrid w:val="0"/>
              <w:jc w:val="center"/>
              <w:rPr>
                <w:sz w:val="18"/>
                <w:szCs w:val="18"/>
              </w:rPr>
            </w:pPr>
            <w:r w:rsidRPr="00023219">
              <w:rPr>
                <w:rFonts w:ascii="Arial" w:hAnsi="Arial" w:cs="Arial"/>
                <w:i/>
                <w:sz w:val="18"/>
                <w:szCs w:val="18"/>
                <w:lang w:val="fr-FR"/>
              </w:rPr>
              <w:t>6 (4,3-7,7)</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r>
      <w:tr w:rsidR="0056194E">
        <w:tblPrEx>
          <w:tblCellMar>
            <w:top w:w="55" w:type="dxa"/>
            <w:left w:w="55" w:type="dxa"/>
            <w:bottom w:w="55" w:type="dxa"/>
            <w:right w:w="55" w:type="dxa"/>
          </w:tblCellMar>
        </w:tblPrEx>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Elevación ALT</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6%</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&lt;1%</w:t>
            </w:r>
          </w:p>
        </w:tc>
        <w:tc>
          <w:tcPr>
            <w:tcW w:w="1276" w:type="dxa"/>
            <w:tcBorders>
              <w:left w:val="single" w:sz="2" w:space="0" w:color="000000"/>
              <w:bottom w:val="single" w:sz="2" w:space="0" w:color="000000"/>
            </w:tcBorders>
            <w:vAlign w:val="center"/>
          </w:tcPr>
          <w:p w:rsidR="0056194E" w:rsidRPr="00023219" w:rsidRDefault="0056194E" w:rsidP="009829A6">
            <w:pPr>
              <w:snapToGrid w:val="0"/>
              <w:jc w:val="center"/>
              <w:rPr>
                <w:sz w:val="18"/>
                <w:szCs w:val="18"/>
              </w:rPr>
            </w:pPr>
            <w:r w:rsidRPr="00023219">
              <w:rPr>
                <w:rFonts w:ascii="Arial" w:hAnsi="Arial" w:cs="Arial"/>
                <w:i/>
                <w:sz w:val="18"/>
                <w:szCs w:val="18"/>
                <w:lang w:val="fr-FR"/>
              </w:rPr>
              <w:t>5 (3,4-6,6)</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r>
      <w:tr w:rsidR="0056194E">
        <w:tblPrEx>
          <w:tblCellMar>
            <w:top w:w="55" w:type="dxa"/>
            <w:left w:w="55" w:type="dxa"/>
            <w:bottom w:w="55" w:type="dxa"/>
            <w:right w:w="55" w:type="dxa"/>
          </w:tblCellMar>
        </w:tblPrEx>
        <w:trPr>
          <w:trHeight w:val="99"/>
        </w:trPr>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Elevación AST</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&lt;1%</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r>
      <w:tr w:rsidR="0056194E">
        <w:tblPrEx>
          <w:tblCellMar>
            <w:top w:w="55" w:type="dxa"/>
            <w:left w:w="55" w:type="dxa"/>
            <w:bottom w:w="55" w:type="dxa"/>
            <w:right w:w="55" w:type="dxa"/>
          </w:tblCellMar>
        </w:tblPrEx>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Respiratorio (disnea, infección del tracto respiratorio superior)</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5%</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2%</w:t>
            </w:r>
          </w:p>
        </w:tc>
        <w:tc>
          <w:tcPr>
            <w:tcW w:w="1276" w:type="dxa"/>
            <w:tcBorders>
              <w:left w:val="single" w:sz="2" w:space="0" w:color="000000"/>
              <w:bottom w:val="single" w:sz="2" w:space="0" w:color="000000"/>
            </w:tcBorders>
            <w:vAlign w:val="center"/>
          </w:tcPr>
          <w:p w:rsidR="0056194E" w:rsidRPr="00023219" w:rsidRDefault="0056194E" w:rsidP="009829A6">
            <w:pPr>
              <w:snapToGrid w:val="0"/>
              <w:jc w:val="center"/>
              <w:rPr>
                <w:sz w:val="18"/>
                <w:szCs w:val="18"/>
              </w:rPr>
            </w:pPr>
            <w:r w:rsidRPr="00023219">
              <w:rPr>
                <w:rFonts w:ascii="Arial" w:hAnsi="Arial" w:cs="Arial"/>
                <w:i/>
                <w:sz w:val="18"/>
                <w:szCs w:val="18"/>
                <w:lang w:val="fr-FR"/>
              </w:rPr>
              <w:t>3 (1,3-4,6)</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5%</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2%</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 (1,1-4,9)</w:t>
            </w:r>
          </w:p>
        </w:tc>
      </w:tr>
      <w:tr w:rsidR="0056194E">
        <w:tblPrEx>
          <w:tblCellMar>
            <w:top w:w="55" w:type="dxa"/>
            <w:left w:w="55" w:type="dxa"/>
            <w:bottom w:w="55" w:type="dxa"/>
            <w:right w:w="55" w:type="dxa"/>
          </w:tblCellMar>
        </w:tblPrEx>
        <w:tc>
          <w:tcPr>
            <w:tcW w:w="2560" w:type="dxa"/>
            <w:tcBorders>
              <w:top w:val="single" w:sz="2" w:space="0" w:color="000000"/>
              <w:left w:val="single" w:sz="2" w:space="0" w:color="000000"/>
              <w:bottom w:val="single" w:sz="2" w:space="0" w:color="000000"/>
              <w:right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Cardiovascular (hipertensión, infarto de miocardio, arritmia)</w:t>
            </w:r>
          </w:p>
        </w:tc>
        <w:tc>
          <w:tcPr>
            <w:tcW w:w="1276"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10%</w:t>
            </w:r>
          </w:p>
        </w:tc>
        <w:tc>
          <w:tcPr>
            <w:tcW w:w="850"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4%</w:t>
            </w:r>
          </w:p>
        </w:tc>
        <w:tc>
          <w:tcPr>
            <w:tcW w:w="1276"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snapToGrid w:val="0"/>
              <w:jc w:val="center"/>
              <w:rPr>
                <w:rFonts w:ascii="Arial" w:hAnsi="Arial" w:cs="Arial"/>
                <w:i/>
                <w:sz w:val="18"/>
                <w:szCs w:val="18"/>
                <w:lang w:val="fr-FR"/>
              </w:rPr>
            </w:pPr>
          </w:p>
          <w:p w:rsidR="0056194E" w:rsidRPr="00023219" w:rsidRDefault="0056194E" w:rsidP="009829A6">
            <w:pPr>
              <w:snapToGrid w:val="0"/>
              <w:jc w:val="center"/>
              <w:rPr>
                <w:sz w:val="18"/>
                <w:szCs w:val="18"/>
              </w:rPr>
            </w:pPr>
            <w:r w:rsidRPr="00023219">
              <w:rPr>
                <w:rFonts w:ascii="Arial" w:hAnsi="Arial" w:cs="Arial"/>
                <w:i/>
                <w:sz w:val="18"/>
                <w:szCs w:val="18"/>
                <w:lang w:val="fr-FR"/>
              </w:rPr>
              <w:t>6 (3,72-8,28)</w:t>
            </w:r>
          </w:p>
        </w:tc>
        <w:tc>
          <w:tcPr>
            <w:tcW w:w="992"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w:t>
            </w:r>
          </w:p>
        </w:tc>
        <w:tc>
          <w:tcPr>
            <w:tcW w:w="851"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w:t>
            </w:r>
          </w:p>
        </w:tc>
        <w:tc>
          <w:tcPr>
            <w:tcW w:w="1417"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r>
      <w:tr w:rsidR="0056194E">
        <w:tblPrEx>
          <w:tblCellMar>
            <w:top w:w="55" w:type="dxa"/>
            <w:left w:w="55" w:type="dxa"/>
            <w:bottom w:w="55" w:type="dxa"/>
            <w:right w:w="55" w:type="dxa"/>
          </w:tblCellMar>
        </w:tblPrEx>
        <w:tc>
          <w:tcPr>
            <w:tcW w:w="2560" w:type="dxa"/>
            <w:tcBorders>
              <w:top w:val="single" w:sz="2" w:space="0" w:color="000000"/>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Alteraciones del sistema nervioso (incluyendo neuropatía periférica)</w:t>
            </w:r>
          </w:p>
        </w:tc>
        <w:tc>
          <w:tcPr>
            <w:tcW w:w="1276"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w:t>
            </w:r>
          </w:p>
        </w:tc>
        <w:tc>
          <w:tcPr>
            <w:tcW w:w="850"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2%</w:t>
            </w:r>
          </w:p>
        </w:tc>
        <w:tc>
          <w:tcPr>
            <w:tcW w:w="1276"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 (0,4-2,4)</w:t>
            </w:r>
          </w:p>
        </w:tc>
        <w:tc>
          <w:tcPr>
            <w:tcW w:w="992"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3%</w:t>
            </w:r>
          </w:p>
        </w:tc>
        <w:tc>
          <w:tcPr>
            <w:tcW w:w="851" w:type="dxa"/>
            <w:tcBorders>
              <w:top w:val="single" w:sz="2" w:space="0" w:color="000000"/>
              <w:left w:val="single" w:sz="2" w:space="0" w:color="000000"/>
              <w:bottom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2%</w:t>
            </w:r>
          </w:p>
        </w:tc>
        <w:tc>
          <w:tcPr>
            <w:tcW w:w="1417" w:type="dxa"/>
            <w:tcBorders>
              <w:top w:val="single" w:sz="2" w:space="0" w:color="000000"/>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rFonts w:ascii="Arial" w:hAnsi="Arial" w:cs="Arial"/>
                <w:i/>
                <w:sz w:val="18"/>
                <w:szCs w:val="18"/>
                <w:lang w:val="fr-FR"/>
              </w:rPr>
            </w:pPr>
          </w:p>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 (0,6-2,6)</w:t>
            </w:r>
          </w:p>
        </w:tc>
      </w:tr>
      <w:tr w:rsidR="0056194E">
        <w:tblPrEx>
          <w:tblCellMar>
            <w:top w:w="55" w:type="dxa"/>
            <w:left w:w="55" w:type="dxa"/>
            <w:bottom w:w="55" w:type="dxa"/>
            <w:right w:w="55" w:type="dxa"/>
          </w:tblCellMar>
        </w:tblPrEx>
        <w:trPr>
          <w:trHeight w:val="252"/>
        </w:trPr>
        <w:tc>
          <w:tcPr>
            <w:tcW w:w="2560" w:type="dxa"/>
            <w:tcBorders>
              <w:left w:val="single" w:sz="2" w:space="0" w:color="000000"/>
              <w:bottom w:val="single" w:sz="2" w:space="0" w:color="000000"/>
            </w:tcBorders>
          </w:tcPr>
          <w:p w:rsidR="0056194E" w:rsidRPr="00023219" w:rsidRDefault="0056194E">
            <w:pPr>
              <w:pStyle w:val="Contenidodelatabla"/>
              <w:jc w:val="both"/>
              <w:rPr>
                <w:sz w:val="18"/>
                <w:szCs w:val="18"/>
              </w:rPr>
            </w:pPr>
            <w:r w:rsidRPr="00023219">
              <w:rPr>
                <w:rFonts w:ascii="Arial" w:hAnsi="Arial" w:cs="Arial"/>
                <w:b/>
                <w:bCs/>
                <w:sz w:val="18"/>
                <w:szCs w:val="18"/>
              </w:rPr>
              <w:t>Hipokalemia</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1%</w:t>
            </w:r>
          </w:p>
        </w:tc>
        <w:tc>
          <w:tcPr>
            <w:tcW w:w="850"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&lt;1%</w:t>
            </w:r>
          </w:p>
        </w:tc>
        <w:tc>
          <w:tcPr>
            <w:tcW w:w="1276"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c>
          <w:tcPr>
            <w:tcW w:w="992"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851" w:type="dxa"/>
            <w:tcBorders>
              <w:left w:val="single" w:sz="2" w:space="0" w:color="000000"/>
              <w:bottom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b/>
                <w:bCs/>
                <w:i/>
                <w:sz w:val="18"/>
                <w:szCs w:val="18"/>
                <w:lang w:val="fr-FR"/>
              </w:rPr>
              <w:t>ND</w:t>
            </w:r>
          </w:p>
        </w:tc>
        <w:tc>
          <w:tcPr>
            <w:tcW w:w="1417" w:type="dxa"/>
            <w:tcBorders>
              <w:left w:val="single" w:sz="2" w:space="0" w:color="000000"/>
              <w:bottom w:val="single" w:sz="2" w:space="0" w:color="000000"/>
              <w:right w:val="single" w:sz="2" w:space="0" w:color="000000"/>
            </w:tcBorders>
            <w:vAlign w:val="center"/>
          </w:tcPr>
          <w:p w:rsidR="0056194E" w:rsidRPr="00023219" w:rsidRDefault="0056194E" w:rsidP="009829A6">
            <w:pPr>
              <w:pStyle w:val="Contenidodelatabla"/>
              <w:snapToGrid w:val="0"/>
              <w:jc w:val="center"/>
              <w:rPr>
                <w:sz w:val="18"/>
                <w:szCs w:val="18"/>
              </w:rPr>
            </w:pPr>
            <w:r w:rsidRPr="00023219">
              <w:rPr>
                <w:rFonts w:ascii="Arial" w:hAnsi="Arial" w:cs="Arial"/>
                <w:i/>
                <w:sz w:val="18"/>
                <w:szCs w:val="18"/>
                <w:lang w:val="fr-FR"/>
              </w:rPr>
              <w:t>---</w:t>
            </w:r>
          </w:p>
        </w:tc>
      </w:tr>
    </w:tbl>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tbl>
      <w:tblPr>
        <w:tblW w:w="0" w:type="auto"/>
        <w:tblInd w:w="70" w:type="dxa"/>
        <w:tblLayout w:type="fixed"/>
        <w:tblCellMar>
          <w:left w:w="70" w:type="dxa"/>
          <w:right w:w="70" w:type="dxa"/>
        </w:tblCellMar>
        <w:tblLook w:val="0000"/>
      </w:tblPr>
      <w:tblGrid>
        <w:gridCol w:w="1649"/>
        <w:gridCol w:w="1755"/>
        <w:gridCol w:w="1755"/>
        <w:gridCol w:w="1740"/>
        <w:gridCol w:w="1890"/>
      </w:tblGrid>
      <w:tr w:rsidR="0056194E">
        <w:tc>
          <w:tcPr>
            <w:tcW w:w="8789" w:type="dxa"/>
            <w:gridSpan w:val="5"/>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CE2107">
            <w:pPr>
              <w:pStyle w:val="Contenidodelatabla"/>
              <w:jc w:val="both"/>
            </w:pPr>
            <w:r>
              <w:rPr>
                <w:rFonts w:ascii="Arial" w:hAnsi="Arial" w:cs="Arial"/>
                <w:b/>
                <w:bCs/>
                <w:i/>
                <w:sz w:val="20"/>
                <w:szCs w:val="20"/>
                <w:lang w:val="es-ES_tradnl"/>
              </w:rPr>
              <w:t xml:space="preserve">6.3.b. Comparación indirecta propia de efectos adversos de </w:t>
            </w:r>
            <w:r w:rsidR="00CE2107">
              <w:rPr>
                <w:rFonts w:ascii="Arial" w:hAnsi="Arial" w:cs="Arial"/>
                <w:b/>
                <w:bCs/>
                <w:i/>
                <w:sz w:val="20"/>
                <w:szCs w:val="20"/>
                <w:lang w:val="es-ES_tradnl"/>
              </w:rPr>
              <w:t xml:space="preserve">Docetaxel </w:t>
            </w:r>
            <w:r>
              <w:rPr>
                <w:rFonts w:ascii="Arial" w:hAnsi="Arial" w:cs="Arial"/>
                <w:b/>
                <w:bCs/>
                <w:i/>
                <w:sz w:val="20"/>
                <w:szCs w:val="20"/>
                <w:lang w:val="es-ES_tradnl"/>
              </w:rPr>
              <w:t>vs</w:t>
            </w:r>
            <w:r w:rsidR="00CE2107">
              <w:rPr>
                <w:rFonts w:ascii="Arial" w:hAnsi="Arial" w:cs="Arial"/>
                <w:b/>
                <w:bCs/>
                <w:i/>
                <w:sz w:val="20"/>
                <w:szCs w:val="20"/>
                <w:lang w:val="es-ES_tradnl"/>
              </w:rPr>
              <w:t xml:space="preserve"> Abiraterona</w:t>
            </w:r>
            <w:r>
              <w:rPr>
                <w:rFonts w:ascii="Arial" w:hAnsi="Arial" w:cs="Arial"/>
                <w:b/>
                <w:bCs/>
                <w:i/>
                <w:sz w:val="20"/>
                <w:szCs w:val="20"/>
                <w:lang w:val="es-ES_tradnl"/>
              </w:rPr>
              <w:t>.</w:t>
            </w:r>
          </w:p>
        </w:tc>
      </w:tr>
      <w:tr w:rsidR="0056194E" w:rsidRPr="00683AE2">
        <w:tc>
          <w:tcPr>
            <w:tcW w:w="1649" w:type="dxa"/>
            <w:tcBorders>
              <w:top w:val="single" w:sz="4" w:space="0" w:color="000000"/>
              <w:left w:val="single" w:sz="4" w:space="0" w:color="000000"/>
              <w:bottom w:val="single" w:sz="4" w:space="0" w:color="000000"/>
            </w:tcBorders>
            <w:shd w:val="clear" w:color="auto" w:fill="DDDDDD"/>
          </w:tcPr>
          <w:p w:rsidR="0056194E" w:rsidRDefault="0056194E">
            <w:pPr>
              <w:pStyle w:val="Contenidodelatabla"/>
              <w:jc w:val="both"/>
            </w:pPr>
            <w:r>
              <w:rPr>
                <w:rFonts w:ascii="Arial" w:hAnsi="Arial" w:cs="Arial"/>
                <w:b/>
                <w:bCs/>
                <w:sz w:val="16"/>
                <w:szCs w:val="16"/>
              </w:rPr>
              <w:t>Evento adverso</w:t>
            </w:r>
          </w:p>
        </w:tc>
        <w:tc>
          <w:tcPr>
            <w:tcW w:w="1755" w:type="dxa"/>
            <w:tcBorders>
              <w:top w:val="single" w:sz="4" w:space="0" w:color="000000"/>
              <w:left w:val="single" w:sz="4" w:space="0" w:color="000000"/>
              <w:bottom w:val="single" w:sz="4" w:space="0" w:color="000000"/>
            </w:tcBorders>
            <w:shd w:val="clear" w:color="auto" w:fill="DDDDDD"/>
          </w:tcPr>
          <w:p w:rsidR="0056194E" w:rsidRDefault="0056194E">
            <w:pPr>
              <w:pStyle w:val="Contenidodelatabla"/>
              <w:jc w:val="both"/>
              <w:rPr>
                <w:rFonts w:ascii="Arial" w:hAnsi="Arial" w:cs="Arial"/>
                <w:b/>
                <w:bCs/>
                <w:sz w:val="16"/>
                <w:szCs w:val="16"/>
              </w:rPr>
            </w:pPr>
            <w:r>
              <w:rPr>
                <w:rFonts w:ascii="Arial" w:hAnsi="Arial" w:cs="Arial"/>
                <w:b/>
                <w:bCs/>
                <w:sz w:val="16"/>
                <w:szCs w:val="16"/>
              </w:rPr>
              <w:t xml:space="preserve">Abiraterona </w:t>
            </w:r>
            <w:r w:rsidR="00CE2107">
              <w:rPr>
                <w:rFonts w:ascii="Arial" w:hAnsi="Arial" w:cs="Arial"/>
                <w:b/>
                <w:bCs/>
                <w:sz w:val="16"/>
                <w:szCs w:val="16"/>
              </w:rPr>
              <w:t>I</w:t>
            </w:r>
            <w:r>
              <w:rPr>
                <w:rFonts w:ascii="Arial" w:hAnsi="Arial" w:cs="Arial"/>
                <w:b/>
                <w:bCs/>
                <w:sz w:val="16"/>
                <w:szCs w:val="16"/>
              </w:rPr>
              <w:t xml:space="preserve">AR </w:t>
            </w:r>
          </w:p>
          <w:p w:rsidR="0056194E" w:rsidRDefault="0056194E">
            <w:pPr>
              <w:pStyle w:val="Contenidodelatabla"/>
              <w:jc w:val="both"/>
            </w:pPr>
            <w:r>
              <w:rPr>
                <w:rFonts w:ascii="Arial" w:hAnsi="Arial" w:cs="Arial"/>
                <w:b/>
                <w:bCs/>
                <w:sz w:val="16"/>
                <w:szCs w:val="16"/>
              </w:rPr>
              <w:t>(IC 95%)</w:t>
            </w:r>
          </w:p>
        </w:tc>
        <w:tc>
          <w:tcPr>
            <w:tcW w:w="1755" w:type="dxa"/>
            <w:tcBorders>
              <w:top w:val="single" w:sz="4" w:space="0" w:color="000000"/>
              <w:left w:val="single" w:sz="4" w:space="0" w:color="000000"/>
              <w:bottom w:val="single" w:sz="4" w:space="0" w:color="000000"/>
            </w:tcBorders>
            <w:shd w:val="clear" w:color="auto" w:fill="DDDDDD"/>
          </w:tcPr>
          <w:p w:rsidR="0056194E" w:rsidRDefault="0056194E">
            <w:pPr>
              <w:pStyle w:val="Contenidodelatabla"/>
              <w:jc w:val="both"/>
              <w:rPr>
                <w:rFonts w:ascii="Arial" w:hAnsi="Arial" w:cs="Arial"/>
                <w:b/>
                <w:bCs/>
                <w:sz w:val="16"/>
                <w:szCs w:val="16"/>
              </w:rPr>
            </w:pPr>
            <w:r>
              <w:rPr>
                <w:rFonts w:ascii="Arial" w:hAnsi="Arial" w:cs="Arial"/>
                <w:b/>
                <w:bCs/>
                <w:sz w:val="16"/>
                <w:szCs w:val="16"/>
              </w:rPr>
              <w:t xml:space="preserve">Docetaxel </w:t>
            </w:r>
            <w:r w:rsidR="00CE2107">
              <w:rPr>
                <w:rFonts w:ascii="Arial" w:hAnsi="Arial" w:cs="Arial"/>
                <w:b/>
                <w:bCs/>
                <w:sz w:val="16"/>
                <w:szCs w:val="16"/>
              </w:rPr>
              <w:t>I</w:t>
            </w:r>
            <w:r>
              <w:rPr>
                <w:rFonts w:ascii="Arial" w:hAnsi="Arial" w:cs="Arial"/>
                <w:b/>
                <w:bCs/>
                <w:sz w:val="16"/>
                <w:szCs w:val="16"/>
              </w:rPr>
              <w:t>AR</w:t>
            </w:r>
          </w:p>
          <w:p w:rsidR="0056194E" w:rsidRDefault="0056194E">
            <w:pPr>
              <w:pStyle w:val="Contenidodelatabla"/>
              <w:jc w:val="both"/>
            </w:pPr>
            <w:r>
              <w:rPr>
                <w:rFonts w:ascii="Arial" w:hAnsi="Arial" w:cs="Arial"/>
                <w:b/>
                <w:bCs/>
                <w:sz w:val="16"/>
                <w:szCs w:val="16"/>
              </w:rPr>
              <w:t>(IC 95%)</w:t>
            </w:r>
          </w:p>
        </w:tc>
        <w:tc>
          <w:tcPr>
            <w:tcW w:w="1740" w:type="dxa"/>
            <w:tcBorders>
              <w:top w:val="single" w:sz="4" w:space="0" w:color="000000"/>
              <w:left w:val="single" w:sz="4" w:space="0" w:color="000000"/>
              <w:bottom w:val="single" w:sz="4" w:space="0" w:color="000000"/>
            </w:tcBorders>
            <w:shd w:val="clear" w:color="auto" w:fill="DDDDDD"/>
          </w:tcPr>
          <w:p w:rsidR="0056194E" w:rsidRPr="00CE2107" w:rsidRDefault="00CE2107">
            <w:pPr>
              <w:pStyle w:val="Contenidodelatabla"/>
              <w:jc w:val="both"/>
              <w:rPr>
                <w:rFonts w:ascii="Arial" w:hAnsi="Arial" w:cs="Arial"/>
                <w:b/>
                <w:bCs/>
                <w:sz w:val="16"/>
                <w:szCs w:val="16"/>
                <w:lang w:val="en-GB"/>
              </w:rPr>
            </w:pPr>
            <w:r w:rsidRPr="00CE2107">
              <w:rPr>
                <w:rFonts w:ascii="Arial" w:hAnsi="Arial" w:cs="Arial"/>
                <w:b/>
                <w:bCs/>
                <w:sz w:val="16"/>
                <w:szCs w:val="16"/>
                <w:lang w:val="en-GB"/>
              </w:rPr>
              <w:t>I</w:t>
            </w:r>
            <w:r w:rsidR="0056194E" w:rsidRPr="00CE2107">
              <w:rPr>
                <w:rFonts w:ascii="Arial" w:hAnsi="Arial" w:cs="Arial"/>
                <w:b/>
                <w:bCs/>
                <w:sz w:val="16"/>
                <w:szCs w:val="16"/>
                <w:lang w:val="en-GB"/>
              </w:rPr>
              <w:t xml:space="preserve">AR (IC 95%) </w:t>
            </w:r>
          </w:p>
          <w:p w:rsidR="0056194E" w:rsidRPr="00CE2107" w:rsidRDefault="00CE2107">
            <w:pPr>
              <w:pStyle w:val="Contenidodelatabla"/>
              <w:jc w:val="both"/>
              <w:rPr>
                <w:lang w:val="en-GB"/>
              </w:rPr>
            </w:pPr>
            <w:r w:rsidRPr="00CE2107">
              <w:rPr>
                <w:rFonts w:ascii="Arial" w:hAnsi="Arial" w:cs="Arial"/>
                <w:b/>
                <w:bCs/>
                <w:sz w:val="16"/>
                <w:szCs w:val="16"/>
                <w:lang w:val="en-GB"/>
              </w:rPr>
              <w:t xml:space="preserve">DOC </w:t>
            </w:r>
            <w:r w:rsidR="0056194E" w:rsidRPr="00CE2107">
              <w:rPr>
                <w:rFonts w:ascii="Arial" w:hAnsi="Arial" w:cs="Arial"/>
                <w:b/>
                <w:bCs/>
                <w:sz w:val="16"/>
                <w:szCs w:val="16"/>
                <w:lang w:val="en-GB"/>
              </w:rPr>
              <w:t xml:space="preserve">vs </w:t>
            </w:r>
            <w:r>
              <w:rPr>
                <w:rFonts w:ascii="Arial" w:hAnsi="Arial" w:cs="Arial"/>
                <w:b/>
                <w:bCs/>
                <w:sz w:val="16"/>
                <w:szCs w:val="16"/>
                <w:lang w:val="en-GB"/>
              </w:rPr>
              <w:t>ABI</w:t>
            </w:r>
          </w:p>
        </w:tc>
        <w:tc>
          <w:tcPr>
            <w:tcW w:w="1890" w:type="dxa"/>
            <w:tcBorders>
              <w:top w:val="single" w:sz="4" w:space="0" w:color="000000"/>
              <w:left w:val="single" w:sz="4" w:space="0" w:color="000000"/>
              <w:bottom w:val="single" w:sz="4" w:space="0" w:color="000000"/>
              <w:right w:val="single" w:sz="4" w:space="0" w:color="000000"/>
            </w:tcBorders>
            <w:shd w:val="clear" w:color="auto" w:fill="DDDDDD"/>
          </w:tcPr>
          <w:p w:rsidR="0056194E" w:rsidRPr="0071121B" w:rsidRDefault="0056194E">
            <w:pPr>
              <w:pStyle w:val="Contenidodelatabla"/>
              <w:jc w:val="both"/>
              <w:rPr>
                <w:rFonts w:ascii="Arial" w:hAnsi="Arial" w:cs="Arial"/>
                <w:b/>
                <w:bCs/>
                <w:sz w:val="16"/>
                <w:szCs w:val="16"/>
                <w:lang w:val="en-US"/>
              </w:rPr>
            </w:pPr>
            <w:r w:rsidRPr="0071121B">
              <w:rPr>
                <w:rFonts w:ascii="Arial" w:hAnsi="Arial" w:cs="Arial"/>
                <w:b/>
                <w:bCs/>
                <w:sz w:val="16"/>
                <w:szCs w:val="16"/>
                <w:lang w:val="en-US"/>
              </w:rPr>
              <w:t>NNH (IC 95%)</w:t>
            </w:r>
          </w:p>
          <w:p w:rsidR="0056194E" w:rsidRPr="0056194E" w:rsidRDefault="008C4A33" w:rsidP="008C4A33">
            <w:pPr>
              <w:pStyle w:val="Contenidodelatabla"/>
              <w:jc w:val="both"/>
              <w:rPr>
                <w:lang w:val="en-US"/>
              </w:rPr>
            </w:pPr>
            <w:r>
              <w:rPr>
                <w:rFonts w:ascii="Arial" w:hAnsi="Arial" w:cs="Arial"/>
                <w:b/>
                <w:bCs/>
                <w:sz w:val="16"/>
                <w:szCs w:val="16"/>
                <w:lang w:val="en-US"/>
              </w:rPr>
              <w:t xml:space="preserve">DOC </w:t>
            </w:r>
            <w:r w:rsidR="0056194E" w:rsidRPr="0071121B">
              <w:rPr>
                <w:rFonts w:ascii="Arial" w:hAnsi="Arial" w:cs="Arial"/>
                <w:b/>
                <w:bCs/>
                <w:sz w:val="16"/>
                <w:szCs w:val="16"/>
                <w:lang w:val="en-US"/>
              </w:rPr>
              <w:t xml:space="preserve">vs </w:t>
            </w:r>
            <w:r>
              <w:rPr>
                <w:rFonts w:ascii="Arial" w:hAnsi="Arial" w:cs="Arial"/>
                <w:b/>
                <w:bCs/>
                <w:sz w:val="16"/>
                <w:szCs w:val="16"/>
                <w:lang w:val="en-US"/>
              </w:rPr>
              <w:t>ABI</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Grado 3-5</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14 (9,6-18,3)</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20 (15,2-24,8)</w:t>
            </w:r>
          </w:p>
        </w:tc>
        <w:tc>
          <w:tcPr>
            <w:tcW w:w="1740"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6 (-0,48-12,48)</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16,7 (no significativo)</w:t>
            </w:r>
            <w:r w:rsidR="00A975DC">
              <w:rPr>
                <w:rFonts w:ascii="Arial" w:hAnsi="Arial" w:cs="Arial"/>
                <w:i/>
                <w:sz w:val="16"/>
                <w:szCs w:val="16"/>
                <w:lang w:val="fr-FR"/>
              </w:rPr>
              <w:t>*</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Neutropenia febril</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14 (11,1-16,9)</w:t>
            </w:r>
          </w:p>
        </w:tc>
        <w:tc>
          <w:tcPr>
            <w:tcW w:w="1740"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14 (11,1-16,9)</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jc w:val="center"/>
            </w:pPr>
            <w:r>
              <w:rPr>
                <w:rFonts w:ascii="Arial" w:hAnsi="Arial" w:cs="Arial"/>
                <w:i/>
                <w:sz w:val="16"/>
                <w:szCs w:val="16"/>
                <w:lang w:val="fr-FR"/>
              </w:rPr>
              <w:t>7,14 (5,91-9,0)</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Neutropenia</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 (0,37-1,63)</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12 (9,4-14,6)</w:t>
            </w:r>
          </w:p>
        </w:tc>
        <w:tc>
          <w:tcPr>
            <w:tcW w:w="1740"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11 (8,32-13,67)</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jc w:val="center"/>
            </w:pPr>
            <w:r>
              <w:rPr>
                <w:rFonts w:ascii="Arial" w:hAnsi="Arial" w:cs="Arial"/>
                <w:i/>
                <w:sz w:val="16"/>
                <w:szCs w:val="16"/>
                <w:lang w:val="fr-FR"/>
              </w:rPr>
              <w:t>9,09 (7,31-12,01)</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Cardiovascular</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6 (3,72-8,28)</w:t>
            </w:r>
          </w:p>
        </w:tc>
        <w:tc>
          <w:tcPr>
            <w:tcW w:w="1755" w:type="dxa"/>
            <w:tcBorders>
              <w:left w:val="single" w:sz="2" w:space="0" w:color="000000"/>
              <w:bottom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w:t>
            </w:r>
          </w:p>
        </w:tc>
        <w:tc>
          <w:tcPr>
            <w:tcW w:w="1740" w:type="dxa"/>
            <w:tcBorders>
              <w:left w:val="single" w:sz="2" w:space="0" w:color="000000"/>
              <w:bottom w:val="single" w:sz="2" w:space="0" w:color="000000"/>
            </w:tcBorders>
            <w:vAlign w:val="center"/>
          </w:tcPr>
          <w:p w:rsidR="0056194E" w:rsidRDefault="00A975DC" w:rsidP="00503BDD">
            <w:pPr>
              <w:jc w:val="center"/>
            </w:pPr>
            <w:r>
              <w:rPr>
                <w:rFonts w:ascii="Arial" w:hAnsi="Arial" w:cs="Arial"/>
                <w:i/>
                <w:sz w:val="16"/>
                <w:szCs w:val="16"/>
                <w:lang w:val="fr-FR"/>
              </w:rPr>
              <w:t>-</w:t>
            </w:r>
            <w:r w:rsidR="0056194E">
              <w:rPr>
                <w:rFonts w:ascii="Arial" w:hAnsi="Arial" w:cs="Arial"/>
                <w:i/>
                <w:sz w:val="16"/>
                <w:szCs w:val="16"/>
                <w:lang w:val="fr-FR"/>
              </w:rPr>
              <w:t>6 (</w:t>
            </w:r>
            <w:r>
              <w:rPr>
                <w:rFonts w:ascii="Arial" w:hAnsi="Arial" w:cs="Arial"/>
                <w:i/>
                <w:sz w:val="16"/>
                <w:szCs w:val="16"/>
                <w:lang w:val="fr-FR"/>
              </w:rPr>
              <w:t>-</w:t>
            </w:r>
            <w:r w:rsidR="0056194E">
              <w:rPr>
                <w:rFonts w:ascii="Arial" w:hAnsi="Arial" w:cs="Arial"/>
                <w:i/>
                <w:sz w:val="16"/>
                <w:szCs w:val="16"/>
                <w:lang w:val="fr-FR"/>
              </w:rPr>
              <w:t>3,72-</w:t>
            </w:r>
            <w:r>
              <w:rPr>
                <w:rFonts w:ascii="Arial" w:hAnsi="Arial" w:cs="Arial"/>
                <w:i/>
                <w:sz w:val="16"/>
                <w:szCs w:val="16"/>
                <w:lang w:val="fr-FR"/>
              </w:rPr>
              <w:t>(-) 8,28</w:t>
            </w:r>
            <w:r w:rsidR="0056194E">
              <w:rPr>
                <w:rFonts w:ascii="Arial" w:hAnsi="Arial" w:cs="Arial"/>
                <w:i/>
                <w:sz w:val="16"/>
                <w:szCs w:val="16"/>
                <w:lang w:val="fr-FR"/>
              </w:rPr>
              <w:t>)</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16,67 (12,1-26,9)</w:t>
            </w:r>
          </w:p>
        </w:tc>
      </w:tr>
      <w:tr w:rsidR="0056194E">
        <w:tblPrEx>
          <w:tblCellMar>
            <w:top w:w="55" w:type="dxa"/>
            <w:left w:w="55" w:type="dxa"/>
            <w:bottom w:w="55" w:type="dxa"/>
            <w:right w:w="55" w:type="dxa"/>
          </w:tblCellMar>
        </w:tblPrEx>
        <w:trPr>
          <w:trHeight w:val="471"/>
        </w:trPr>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Desorden endocrino (sofocos, impotencia)</w:t>
            </w:r>
          </w:p>
        </w:tc>
        <w:tc>
          <w:tcPr>
            <w:tcW w:w="1755" w:type="dxa"/>
            <w:tcBorders>
              <w:left w:val="single" w:sz="2" w:space="0" w:color="000000"/>
              <w:bottom w:val="single" w:sz="2" w:space="0" w:color="000000"/>
            </w:tcBorders>
            <w:vAlign w:val="center"/>
          </w:tcPr>
          <w:p w:rsidR="0056194E" w:rsidRDefault="0056194E" w:rsidP="00503BDD">
            <w:pPr>
              <w:jc w:val="center"/>
              <w:rPr>
                <w:rFonts w:ascii="Arial" w:hAnsi="Arial" w:cs="Arial"/>
                <w:i/>
                <w:sz w:val="16"/>
                <w:szCs w:val="16"/>
                <w:lang w:val="fr-FR"/>
              </w:rPr>
            </w:pPr>
          </w:p>
          <w:p w:rsidR="0056194E" w:rsidRDefault="0056194E" w:rsidP="00503BDD">
            <w:pPr>
              <w:jc w:val="center"/>
            </w:pPr>
            <w:r>
              <w:rPr>
                <w:rFonts w:ascii="Arial" w:hAnsi="Arial" w:cs="Arial"/>
                <w:i/>
                <w:sz w:val="16"/>
                <w:szCs w:val="16"/>
                <w:lang w:val="fr-FR"/>
              </w:rPr>
              <w:t>---</w:t>
            </w:r>
          </w:p>
        </w:tc>
        <w:tc>
          <w:tcPr>
            <w:tcW w:w="1755" w:type="dxa"/>
            <w:tcBorders>
              <w:left w:val="single" w:sz="2" w:space="0" w:color="000000"/>
              <w:bottom w:val="single" w:sz="2" w:space="0" w:color="000000"/>
            </w:tcBorders>
            <w:vAlign w:val="center"/>
          </w:tcPr>
          <w:p w:rsidR="0056194E" w:rsidRDefault="0056194E" w:rsidP="00503BDD">
            <w:pPr>
              <w:jc w:val="center"/>
              <w:rPr>
                <w:rFonts w:ascii="Arial" w:hAnsi="Arial" w:cs="Arial"/>
                <w:i/>
                <w:sz w:val="16"/>
                <w:szCs w:val="16"/>
                <w:lang w:val="fr-FR"/>
              </w:rPr>
            </w:pPr>
          </w:p>
          <w:p w:rsidR="0056194E" w:rsidRDefault="0056194E" w:rsidP="00503BDD">
            <w:pPr>
              <w:jc w:val="center"/>
            </w:pPr>
            <w:r>
              <w:rPr>
                <w:rFonts w:ascii="Arial" w:hAnsi="Arial" w:cs="Arial"/>
                <w:i/>
                <w:sz w:val="16"/>
                <w:szCs w:val="16"/>
                <w:lang w:val="fr-FR"/>
              </w:rPr>
              <w:t>2 (1-5)</w:t>
            </w:r>
          </w:p>
        </w:tc>
        <w:tc>
          <w:tcPr>
            <w:tcW w:w="1740" w:type="dxa"/>
            <w:tcBorders>
              <w:left w:val="single" w:sz="2" w:space="0" w:color="000000"/>
              <w:bottom w:val="single" w:sz="2" w:space="0" w:color="000000"/>
            </w:tcBorders>
            <w:vAlign w:val="center"/>
          </w:tcPr>
          <w:p w:rsidR="0056194E" w:rsidRDefault="0056194E" w:rsidP="00503BDD">
            <w:pPr>
              <w:snapToGrid w:val="0"/>
              <w:jc w:val="center"/>
              <w:rPr>
                <w:rFonts w:ascii="Arial" w:hAnsi="Arial" w:cs="Arial"/>
                <w:i/>
                <w:sz w:val="16"/>
                <w:szCs w:val="16"/>
                <w:lang w:val="fr-FR"/>
              </w:rPr>
            </w:pPr>
          </w:p>
          <w:p w:rsidR="0056194E" w:rsidRDefault="0056194E" w:rsidP="00503BDD">
            <w:pPr>
              <w:jc w:val="center"/>
            </w:pPr>
            <w:r>
              <w:rPr>
                <w:rFonts w:ascii="Arial" w:hAnsi="Arial" w:cs="Arial"/>
                <w:i/>
                <w:sz w:val="16"/>
                <w:szCs w:val="16"/>
                <w:lang w:val="fr-FR"/>
              </w:rPr>
              <w:t>2 (1-5)</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jc w:val="center"/>
              <w:rPr>
                <w:rFonts w:ascii="Arial" w:hAnsi="Arial" w:cs="Arial"/>
                <w:i/>
                <w:sz w:val="16"/>
                <w:szCs w:val="16"/>
                <w:lang w:val="fr-FR"/>
              </w:rPr>
            </w:pPr>
          </w:p>
          <w:p w:rsidR="0056194E" w:rsidRDefault="0056194E" w:rsidP="00503BDD">
            <w:pPr>
              <w:pStyle w:val="Contenidodelatabla"/>
              <w:jc w:val="center"/>
            </w:pPr>
            <w:r>
              <w:rPr>
                <w:rFonts w:ascii="Arial" w:hAnsi="Arial" w:cs="Arial"/>
                <w:i/>
                <w:sz w:val="16"/>
                <w:szCs w:val="16"/>
                <w:lang w:val="fr-FR"/>
              </w:rPr>
              <w:t>50 (20-100)</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Desorden general (letargia, fiebre, astenia)</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2 (0,24-3,8)</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3 (0,7-5,3)</w:t>
            </w:r>
          </w:p>
        </w:tc>
        <w:tc>
          <w:tcPr>
            <w:tcW w:w="1740"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 (-1,91-3,91)</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Musculoesquelético (dolor óseo, dolor generalizado)</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2 (0.13-4,13)</w:t>
            </w:r>
          </w:p>
          <w:p w:rsidR="0056194E" w:rsidRDefault="0056194E" w:rsidP="00503BDD">
            <w:pPr>
              <w:jc w:val="center"/>
            </w:pPr>
          </w:p>
        </w:tc>
        <w:tc>
          <w:tcPr>
            <w:tcW w:w="1755" w:type="dxa"/>
            <w:tcBorders>
              <w:left w:val="single" w:sz="2" w:space="0" w:color="000000"/>
              <w:bottom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w:t>
            </w:r>
          </w:p>
        </w:tc>
        <w:tc>
          <w:tcPr>
            <w:tcW w:w="1740" w:type="dxa"/>
            <w:tcBorders>
              <w:left w:val="single" w:sz="2" w:space="0" w:color="000000"/>
              <w:bottom w:val="single" w:sz="2" w:space="0" w:color="000000"/>
            </w:tcBorders>
            <w:vAlign w:val="center"/>
          </w:tcPr>
          <w:p w:rsidR="0056194E" w:rsidRDefault="0056194E" w:rsidP="00503BDD">
            <w:pPr>
              <w:snapToGrid w:val="0"/>
              <w:jc w:val="center"/>
              <w:rPr>
                <w:rFonts w:ascii="Arial" w:hAnsi="Arial" w:cs="Arial"/>
                <w:i/>
                <w:sz w:val="16"/>
                <w:szCs w:val="16"/>
                <w:lang w:val="fr-FR"/>
              </w:rPr>
            </w:pPr>
          </w:p>
          <w:p w:rsidR="0056194E" w:rsidRDefault="00A975DC" w:rsidP="00503BDD">
            <w:pPr>
              <w:jc w:val="center"/>
            </w:pPr>
            <w:r>
              <w:rPr>
                <w:rFonts w:ascii="Arial" w:hAnsi="Arial" w:cs="Arial"/>
                <w:i/>
                <w:sz w:val="16"/>
                <w:szCs w:val="16"/>
                <w:lang w:val="fr-FR"/>
              </w:rPr>
              <w:t>-</w:t>
            </w:r>
            <w:r w:rsidR="0056194E">
              <w:rPr>
                <w:rFonts w:ascii="Arial" w:hAnsi="Arial" w:cs="Arial"/>
                <w:i/>
                <w:sz w:val="16"/>
                <w:szCs w:val="16"/>
                <w:lang w:val="fr-FR"/>
              </w:rPr>
              <w:t>2 (</w:t>
            </w:r>
            <w:r>
              <w:rPr>
                <w:rFonts w:ascii="Arial" w:hAnsi="Arial" w:cs="Arial"/>
                <w:i/>
                <w:sz w:val="16"/>
                <w:szCs w:val="16"/>
                <w:lang w:val="fr-FR"/>
              </w:rPr>
              <w:t>-</w:t>
            </w:r>
            <w:r w:rsidR="0056194E">
              <w:rPr>
                <w:rFonts w:ascii="Arial" w:hAnsi="Arial" w:cs="Arial"/>
                <w:i/>
                <w:sz w:val="16"/>
                <w:szCs w:val="16"/>
                <w:lang w:val="fr-FR"/>
              </w:rPr>
              <w:t>0,13-</w:t>
            </w:r>
            <w:r>
              <w:rPr>
                <w:rFonts w:ascii="Arial" w:hAnsi="Arial" w:cs="Arial"/>
                <w:i/>
                <w:sz w:val="16"/>
                <w:szCs w:val="16"/>
                <w:lang w:val="fr-FR"/>
              </w:rPr>
              <w:t>(-</w:t>
            </w:r>
            <w:r w:rsidR="00B34518">
              <w:rPr>
                <w:rFonts w:ascii="Arial" w:hAnsi="Arial" w:cs="Arial"/>
                <w:i/>
                <w:sz w:val="16"/>
                <w:szCs w:val="16"/>
                <w:lang w:val="fr-FR"/>
              </w:rPr>
              <w:t>) 4,13</w:t>
            </w:r>
            <w:r w:rsidR="0056194E">
              <w:rPr>
                <w:rFonts w:ascii="Arial" w:hAnsi="Arial" w:cs="Arial"/>
                <w:i/>
                <w:sz w:val="16"/>
                <w:szCs w:val="16"/>
                <w:lang w:val="fr-FR"/>
              </w:rPr>
              <w:t>)</w:t>
            </w:r>
          </w:p>
          <w:p w:rsidR="0056194E" w:rsidRDefault="0056194E" w:rsidP="00503BDD">
            <w:pPr>
              <w:jc w:val="center"/>
            </w:pP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50 (24,21-769,23)</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Gastrointestinal (diarrea, dolor abdominal, extreñimiento, vómitos)</w:t>
            </w:r>
          </w:p>
        </w:tc>
        <w:tc>
          <w:tcPr>
            <w:tcW w:w="1755" w:type="dxa"/>
            <w:tcBorders>
              <w:left w:val="single" w:sz="2" w:space="0" w:color="000000"/>
              <w:bottom w:val="single" w:sz="2" w:space="0" w:color="000000"/>
            </w:tcBorders>
            <w:vAlign w:val="center"/>
          </w:tcPr>
          <w:p w:rsidR="0056194E" w:rsidRDefault="0056194E" w:rsidP="00503BDD">
            <w:pPr>
              <w:snapToGrid w:val="0"/>
              <w:jc w:val="center"/>
              <w:rPr>
                <w:rFonts w:ascii="Arial" w:hAnsi="Arial" w:cs="Arial"/>
                <w:i/>
                <w:sz w:val="16"/>
                <w:szCs w:val="16"/>
                <w:lang w:val="fr-FR"/>
              </w:rPr>
            </w:pPr>
          </w:p>
          <w:p w:rsidR="0056194E" w:rsidRDefault="0056194E" w:rsidP="00503BDD">
            <w:pPr>
              <w:jc w:val="center"/>
            </w:pPr>
            <w:r>
              <w:rPr>
                <w:rFonts w:ascii="Arial" w:hAnsi="Arial" w:cs="Arial"/>
                <w:i/>
                <w:sz w:val="16"/>
                <w:szCs w:val="16"/>
                <w:lang w:val="fr-FR"/>
              </w:rPr>
              <w:t>1 (0,9-2,9)</w:t>
            </w:r>
          </w:p>
        </w:tc>
        <w:tc>
          <w:tcPr>
            <w:tcW w:w="1755" w:type="dxa"/>
            <w:tcBorders>
              <w:left w:val="single" w:sz="2" w:space="0" w:color="000000"/>
              <w:bottom w:val="single" w:sz="2" w:space="0" w:color="000000"/>
            </w:tcBorders>
            <w:vAlign w:val="center"/>
          </w:tcPr>
          <w:p w:rsidR="0056194E" w:rsidRDefault="0056194E" w:rsidP="00503BDD">
            <w:pPr>
              <w:pStyle w:val="Contenidodelatabla"/>
              <w:snapToGrid w:val="0"/>
              <w:jc w:val="center"/>
              <w:rPr>
                <w:rFonts w:ascii="Arial" w:hAnsi="Arial" w:cs="Arial"/>
                <w:i/>
                <w:sz w:val="16"/>
                <w:szCs w:val="16"/>
                <w:lang w:val="fr-FR"/>
              </w:rPr>
            </w:pPr>
          </w:p>
          <w:p w:rsidR="0056194E" w:rsidRDefault="0056194E" w:rsidP="00503BDD">
            <w:pPr>
              <w:pStyle w:val="Contenidodelatabla"/>
              <w:jc w:val="center"/>
              <w:rPr>
                <w:rFonts w:ascii="Arial" w:hAnsi="Arial" w:cs="Arial"/>
                <w:i/>
                <w:sz w:val="16"/>
                <w:szCs w:val="16"/>
                <w:lang w:val="fr-FR"/>
              </w:rPr>
            </w:pPr>
          </w:p>
          <w:p w:rsidR="0056194E" w:rsidRDefault="0056194E" w:rsidP="00503BDD">
            <w:pPr>
              <w:pStyle w:val="Contenidodelatabla"/>
              <w:jc w:val="center"/>
            </w:pPr>
            <w:r>
              <w:rPr>
                <w:rFonts w:ascii="Arial" w:hAnsi="Arial" w:cs="Arial"/>
                <w:i/>
                <w:sz w:val="16"/>
                <w:szCs w:val="16"/>
                <w:lang w:val="fr-FR"/>
              </w:rPr>
              <w:t>5 (2,6-7,4)</w:t>
            </w:r>
          </w:p>
        </w:tc>
        <w:tc>
          <w:tcPr>
            <w:tcW w:w="1740" w:type="dxa"/>
            <w:tcBorders>
              <w:left w:val="single" w:sz="2" w:space="0" w:color="000000"/>
              <w:bottom w:val="single" w:sz="2" w:space="0" w:color="000000"/>
            </w:tcBorders>
            <w:vAlign w:val="center"/>
          </w:tcPr>
          <w:p w:rsidR="0056194E" w:rsidRDefault="0056194E" w:rsidP="00503BDD">
            <w:pPr>
              <w:snapToGrid w:val="0"/>
              <w:jc w:val="center"/>
              <w:rPr>
                <w:rFonts w:ascii="Arial" w:hAnsi="Arial" w:cs="Arial"/>
                <w:i/>
                <w:sz w:val="16"/>
                <w:szCs w:val="16"/>
                <w:lang w:val="fr-FR"/>
              </w:rPr>
            </w:pPr>
          </w:p>
          <w:p w:rsidR="0056194E" w:rsidRDefault="0056194E" w:rsidP="00503BDD">
            <w:pPr>
              <w:jc w:val="center"/>
              <w:rPr>
                <w:rFonts w:ascii="Arial" w:hAnsi="Arial" w:cs="Arial"/>
                <w:i/>
                <w:sz w:val="16"/>
                <w:szCs w:val="16"/>
                <w:lang w:val="fr-FR"/>
              </w:rPr>
            </w:pPr>
          </w:p>
          <w:p w:rsidR="0056194E" w:rsidRDefault="0056194E" w:rsidP="00503BDD">
            <w:pPr>
              <w:jc w:val="center"/>
            </w:pPr>
            <w:r>
              <w:rPr>
                <w:rFonts w:ascii="Arial" w:hAnsi="Arial" w:cs="Arial"/>
                <w:i/>
                <w:sz w:val="16"/>
                <w:szCs w:val="16"/>
                <w:lang w:val="fr-FR"/>
              </w:rPr>
              <w:t>4 (1,4-6,6)</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snapToGrid w:val="0"/>
              <w:jc w:val="center"/>
              <w:rPr>
                <w:rFonts w:ascii="Arial" w:hAnsi="Arial" w:cs="Arial"/>
                <w:i/>
                <w:sz w:val="16"/>
                <w:szCs w:val="16"/>
                <w:lang w:val="fr-FR"/>
              </w:rPr>
            </w:pPr>
          </w:p>
          <w:p w:rsidR="0056194E" w:rsidRDefault="0056194E" w:rsidP="00503BDD">
            <w:pPr>
              <w:pStyle w:val="Contenidodelatabla"/>
              <w:jc w:val="center"/>
              <w:rPr>
                <w:rFonts w:ascii="Arial" w:hAnsi="Arial" w:cs="Arial"/>
                <w:i/>
                <w:sz w:val="16"/>
                <w:szCs w:val="16"/>
                <w:lang w:val="fr-FR"/>
              </w:rPr>
            </w:pPr>
          </w:p>
          <w:p w:rsidR="0056194E" w:rsidRDefault="0056194E" w:rsidP="00503BDD">
            <w:pPr>
              <w:pStyle w:val="Contenidodelatabla"/>
              <w:jc w:val="center"/>
            </w:pPr>
            <w:r>
              <w:rPr>
                <w:rFonts w:ascii="Arial" w:hAnsi="Arial" w:cs="Arial"/>
                <w:i/>
                <w:sz w:val="16"/>
                <w:szCs w:val="16"/>
                <w:lang w:val="fr-FR"/>
              </w:rPr>
              <w:t>25 (15,15-71,42)</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Renal (deterioro renal, ITU)</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 (0,6-2,6)</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2 (0,1-4,1)</w:t>
            </w:r>
          </w:p>
        </w:tc>
        <w:tc>
          <w:tcPr>
            <w:tcW w:w="1740"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1 (-1.23-3,23)</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jc w:val="center"/>
            </w:pPr>
            <w:r>
              <w:rPr>
                <w:rFonts w:ascii="Arial" w:hAnsi="Arial" w:cs="Arial"/>
                <w:i/>
                <w:sz w:val="16"/>
                <w:szCs w:val="16"/>
                <w:lang w:val="fr-FR"/>
              </w:rPr>
              <w:t>---</w:t>
            </w:r>
          </w:p>
          <w:p w:rsidR="0056194E" w:rsidRDefault="0056194E" w:rsidP="00503BDD">
            <w:pPr>
              <w:jc w:val="center"/>
            </w:pP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Alteración hepática</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6 (4,3-7,7)</w:t>
            </w:r>
          </w:p>
        </w:tc>
        <w:tc>
          <w:tcPr>
            <w:tcW w:w="1755" w:type="dxa"/>
            <w:tcBorders>
              <w:left w:val="single" w:sz="2" w:space="0" w:color="000000"/>
              <w:bottom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w:t>
            </w:r>
          </w:p>
        </w:tc>
        <w:tc>
          <w:tcPr>
            <w:tcW w:w="1740" w:type="dxa"/>
            <w:tcBorders>
              <w:left w:val="single" w:sz="2" w:space="0" w:color="000000"/>
              <w:bottom w:val="single" w:sz="2" w:space="0" w:color="000000"/>
            </w:tcBorders>
            <w:vAlign w:val="center"/>
          </w:tcPr>
          <w:p w:rsidR="0056194E" w:rsidRDefault="00B34518" w:rsidP="00503BDD">
            <w:pPr>
              <w:jc w:val="center"/>
            </w:pPr>
            <w:r>
              <w:rPr>
                <w:rFonts w:ascii="Arial" w:hAnsi="Arial" w:cs="Arial"/>
                <w:i/>
                <w:sz w:val="16"/>
                <w:szCs w:val="16"/>
                <w:lang w:val="fr-FR"/>
              </w:rPr>
              <w:t>-</w:t>
            </w:r>
            <w:r w:rsidR="0056194E">
              <w:rPr>
                <w:rFonts w:ascii="Arial" w:hAnsi="Arial" w:cs="Arial"/>
                <w:i/>
                <w:sz w:val="16"/>
                <w:szCs w:val="16"/>
                <w:lang w:val="fr-FR"/>
              </w:rPr>
              <w:t>6 (</w:t>
            </w:r>
            <w:r>
              <w:rPr>
                <w:rFonts w:ascii="Arial" w:hAnsi="Arial" w:cs="Arial"/>
                <w:i/>
                <w:sz w:val="16"/>
                <w:szCs w:val="16"/>
                <w:lang w:val="fr-FR"/>
              </w:rPr>
              <w:t>-</w:t>
            </w:r>
            <w:r w:rsidR="0056194E">
              <w:rPr>
                <w:rFonts w:ascii="Arial" w:hAnsi="Arial" w:cs="Arial"/>
                <w:i/>
                <w:sz w:val="16"/>
                <w:szCs w:val="16"/>
                <w:lang w:val="fr-FR"/>
              </w:rPr>
              <w:t>4,3-</w:t>
            </w:r>
            <w:r>
              <w:rPr>
                <w:rFonts w:ascii="Arial" w:hAnsi="Arial" w:cs="Arial"/>
                <w:i/>
                <w:sz w:val="16"/>
                <w:szCs w:val="16"/>
                <w:lang w:val="fr-FR"/>
              </w:rPr>
              <w:t>(-)</w:t>
            </w:r>
            <w:r w:rsidR="0056194E">
              <w:rPr>
                <w:rFonts w:ascii="Arial" w:hAnsi="Arial" w:cs="Arial"/>
                <w:i/>
                <w:sz w:val="16"/>
                <w:szCs w:val="16"/>
                <w:lang w:val="fr-FR"/>
              </w:rPr>
              <w:t>7,7)</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16,7 (12,99 -23,25)</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Elevación ALT</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5 (3,4-6,6)</w:t>
            </w:r>
          </w:p>
        </w:tc>
        <w:tc>
          <w:tcPr>
            <w:tcW w:w="1755" w:type="dxa"/>
            <w:tcBorders>
              <w:left w:val="single" w:sz="2" w:space="0" w:color="000000"/>
              <w:bottom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w:t>
            </w:r>
          </w:p>
        </w:tc>
        <w:tc>
          <w:tcPr>
            <w:tcW w:w="1740" w:type="dxa"/>
            <w:tcBorders>
              <w:left w:val="single" w:sz="2" w:space="0" w:color="000000"/>
              <w:bottom w:val="single" w:sz="2" w:space="0" w:color="000000"/>
            </w:tcBorders>
            <w:vAlign w:val="center"/>
          </w:tcPr>
          <w:p w:rsidR="0056194E" w:rsidRDefault="00B34518" w:rsidP="00503BDD">
            <w:pPr>
              <w:jc w:val="center"/>
            </w:pPr>
            <w:r>
              <w:rPr>
                <w:rFonts w:ascii="Arial" w:hAnsi="Arial" w:cs="Arial"/>
                <w:i/>
                <w:sz w:val="16"/>
                <w:szCs w:val="16"/>
                <w:lang w:val="fr-FR"/>
              </w:rPr>
              <w:t>-</w:t>
            </w:r>
            <w:r w:rsidR="0056194E">
              <w:rPr>
                <w:rFonts w:ascii="Arial" w:hAnsi="Arial" w:cs="Arial"/>
                <w:i/>
                <w:sz w:val="16"/>
                <w:szCs w:val="16"/>
                <w:lang w:val="fr-FR"/>
              </w:rPr>
              <w:t>5 (</w:t>
            </w:r>
            <w:r>
              <w:rPr>
                <w:rFonts w:ascii="Arial" w:hAnsi="Arial" w:cs="Arial"/>
                <w:i/>
                <w:sz w:val="16"/>
                <w:szCs w:val="16"/>
                <w:lang w:val="fr-FR"/>
              </w:rPr>
              <w:t>-</w:t>
            </w:r>
            <w:r w:rsidR="0056194E">
              <w:rPr>
                <w:rFonts w:ascii="Arial" w:hAnsi="Arial" w:cs="Arial"/>
                <w:i/>
                <w:sz w:val="16"/>
                <w:szCs w:val="16"/>
                <w:lang w:val="fr-FR"/>
              </w:rPr>
              <w:t>3,4-</w:t>
            </w:r>
            <w:r>
              <w:rPr>
                <w:rFonts w:ascii="Arial" w:hAnsi="Arial" w:cs="Arial"/>
                <w:i/>
                <w:sz w:val="16"/>
                <w:szCs w:val="16"/>
                <w:lang w:val="fr-FR"/>
              </w:rPr>
              <w:t>(-) 6,6</w:t>
            </w:r>
            <w:r w:rsidR="0056194E">
              <w:rPr>
                <w:rFonts w:ascii="Arial" w:hAnsi="Arial" w:cs="Arial"/>
                <w:i/>
                <w:sz w:val="16"/>
                <w:szCs w:val="16"/>
                <w:lang w:val="fr-FR"/>
              </w:rPr>
              <w:t>)</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20 (15,15-29,41)</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Elevación AST</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w:t>
            </w:r>
          </w:p>
        </w:tc>
        <w:tc>
          <w:tcPr>
            <w:tcW w:w="1740"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jc w:val="center"/>
            </w:pPr>
            <w:r>
              <w:rPr>
                <w:rFonts w:ascii="Arial" w:hAnsi="Arial" w:cs="Arial"/>
                <w:i/>
                <w:sz w:val="16"/>
                <w:szCs w:val="16"/>
                <w:lang w:val="fr-FR"/>
              </w:rPr>
              <w:t>---</w:t>
            </w: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Respiratorio (disnea, infección del tracto respiratorio superior)</w:t>
            </w:r>
          </w:p>
        </w:tc>
        <w:tc>
          <w:tcPr>
            <w:tcW w:w="1755"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3 (1,3-4,6)</w:t>
            </w:r>
          </w:p>
        </w:tc>
        <w:tc>
          <w:tcPr>
            <w:tcW w:w="1755" w:type="dxa"/>
            <w:tcBorders>
              <w:left w:val="single" w:sz="2" w:space="0" w:color="000000"/>
              <w:bottom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3 (1,1-4,9)</w:t>
            </w:r>
          </w:p>
        </w:tc>
        <w:tc>
          <w:tcPr>
            <w:tcW w:w="1740" w:type="dxa"/>
            <w:tcBorders>
              <w:left w:val="single" w:sz="2" w:space="0" w:color="000000"/>
              <w:bottom w:val="single" w:sz="2" w:space="0" w:color="000000"/>
            </w:tcBorders>
            <w:vAlign w:val="center"/>
          </w:tcPr>
          <w:p w:rsidR="0056194E" w:rsidRDefault="0056194E" w:rsidP="00503BDD">
            <w:pPr>
              <w:jc w:val="center"/>
            </w:pPr>
            <w:r>
              <w:rPr>
                <w:rFonts w:ascii="Arial" w:hAnsi="Arial" w:cs="Arial"/>
                <w:i/>
                <w:sz w:val="16"/>
                <w:szCs w:val="16"/>
                <w:lang w:val="fr-FR"/>
              </w:rPr>
              <w:t>0 (-2,52-2,52)</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snapToGrid w:val="0"/>
              <w:jc w:val="center"/>
              <w:rPr>
                <w:rFonts w:ascii="Arial" w:hAnsi="Arial" w:cs="Arial"/>
                <w:i/>
                <w:sz w:val="16"/>
                <w:szCs w:val="16"/>
                <w:lang w:val="fr-FR"/>
              </w:rPr>
            </w:pPr>
          </w:p>
          <w:p w:rsidR="0056194E" w:rsidRDefault="0056194E" w:rsidP="00503BDD">
            <w:pPr>
              <w:pStyle w:val="Contenidodelatabla"/>
              <w:jc w:val="center"/>
              <w:rPr>
                <w:rFonts w:ascii="Arial" w:hAnsi="Arial" w:cs="Arial"/>
                <w:i/>
                <w:sz w:val="16"/>
                <w:szCs w:val="16"/>
                <w:lang w:val="fr-FR"/>
              </w:rPr>
            </w:pPr>
          </w:p>
          <w:p w:rsidR="0056194E" w:rsidRDefault="0056194E" w:rsidP="00503BDD">
            <w:pPr>
              <w:pStyle w:val="Contenidodelatabla"/>
              <w:jc w:val="center"/>
              <w:rPr>
                <w:rFonts w:ascii="Arial" w:hAnsi="Arial" w:cs="Arial"/>
                <w:i/>
                <w:sz w:val="16"/>
                <w:szCs w:val="16"/>
                <w:lang w:val="fr-FR"/>
              </w:rPr>
            </w:pPr>
            <w:r>
              <w:rPr>
                <w:rFonts w:ascii="Arial" w:hAnsi="Arial" w:cs="Arial"/>
                <w:i/>
                <w:sz w:val="16"/>
                <w:szCs w:val="16"/>
                <w:lang w:val="fr-FR"/>
              </w:rPr>
              <w:t>---</w:t>
            </w:r>
          </w:p>
          <w:p w:rsidR="0056194E" w:rsidRDefault="0056194E" w:rsidP="00503BDD">
            <w:pPr>
              <w:pStyle w:val="Contenidodelatabla"/>
              <w:jc w:val="center"/>
              <w:rPr>
                <w:rFonts w:ascii="Arial" w:hAnsi="Arial" w:cs="Arial"/>
                <w:i/>
                <w:sz w:val="16"/>
                <w:szCs w:val="16"/>
                <w:lang w:val="fr-FR"/>
              </w:rPr>
            </w:pPr>
          </w:p>
          <w:p w:rsidR="0056194E" w:rsidRDefault="0056194E" w:rsidP="00503BDD">
            <w:pPr>
              <w:pStyle w:val="Contenidodelatabla"/>
              <w:jc w:val="center"/>
            </w:pPr>
          </w:p>
        </w:tc>
      </w:tr>
      <w:tr w:rsidR="0056194E">
        <w:tblPrEx>
          <w:tblCellMar>
            <w:top w:w="55" w:type="dxa"/>
            <w:left w:w="55" w:type="dxa"/>
            <w:bottom w:w="55" w:type="dxa"/>
            <w:right w:w="55" w:type="dxa"/>
          </w:tblCellMar>
        </w:tblPrEx>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Alteraciones del sistema nervioso (incluyendo neuropatía periférica)</w:t>
            </w:r>
          </w:p>
        </w:tc>
        <w:tc>
          <w:tcPr>
            <w:tcW w:w="1755" w:type="dxa"/>
            <w:tcBorders>
              <w:left w:val="single" w:sz="2" w:space="0" w:color="000000"/>
              <w:bottom w:val="single" w:sz="2" w:space="0" w:color="000000"/>
            </w:tcBorders>
            <w:vAlign w:val="center"/>
          </w:tcPr>
          <w:p w:rsidR="0056194E" w:rsidRPr="006A311C" w:rsidRDefault="0056194E" w:rsidP="00503BDD">
            <w:pPr>
              <w:pStyle w:val="Contenidodelatabla"/>
              <w:snapToGrid w:val="0"/>
              <w:jc w:val="center"/>
              <w:rPr>
                <w:rFonts w:ascii="Arial" w:hAnsi="Arial" w:cs="Arial"/>
                <w:i/>
                <w:sz w:val="16"/>
                <w:szCs w:val="16"/>
              </w:rPr>
            </w:pPr>
          </w:p>
          <w:p w:rsidR="0056194E" w:rsidRDefault="0056194E" w:rsidP="00503BDD">
            <w:pPr>
              <w:pStyle w:val="Contenidodelatabla"/>
              <w:snapToGrid w:val="0"/>
              <w:jc w:val="center"/>
            </w:pPr>
            <w:r>
              <w:rPr>
                <w:rFonts w:ascii="Arial" w:hAnsi="Arial" w:cs="Arial"/>
                <w:i/>
                <w:sz w:val="16"/>
                <w:szCs w:val="16"/>
                <w:lang w:val="fr-FR"/>
              </w:rPr>
              <w:t>1 (0,4-2,4)</w:t>
            </w:r>
          </w:p>
        </w:tc>
        <w:tc>
          <w:tcPr>
            <w:tcW w:w="1755" w:type="dxa"/>
            <w:tcBorders>
              <w:left w:val="single" w:sz="2" w:space="0" w:color="000000"/>
              <w:bottom w:val="single" w:sz="2" w:space="0" w:color="000000"/>
            </w:tcBorders>
            <w:vAlign w:val="center"/>
          </w:tcPr>
          <w:p w:rsidR="0056194E" w:rsidRDefault="0056194E" w:rsidP="00503BDD">
            <w:pPr>
              <w:pStyle w:val="Contenidodelatabla"/>
              <w:snapToGrid w:val="0"/>
              <w:jc w:val="center"/>
              <w:rPr>
                <w:rFonts w:ascii="Arial" w:hAnsi="Arial" w:cs="Arial"/>
                <w:i/>
                <w:sz w:val="16"/>
                <w:szCs w:val="16"/>
                <w:lang w:val="fr-FR"/>
              </w:rPr>
            </w:pPr>
          </w:p>
          <w:p w:rsidR="0056194E" w:rsidRDefault="0056194E" w:rsidP="00503BDD">
            <w:pPr>
              <w:pStyle w:val="Contenidodelatabla"/>
              <w:snapToGrid w:val="0"/>
              <w:jc w:val="center"/>
            </w:pPr>
            <w:r>
              <w:rPr>
                <w:rFonts w:ascii="Arial" w:hAnsi="Arial" w:cs="Arial"/>
                <w:i/>
                <w:sz w:val="16"/>
                <w:szCs w:val="16"/>
                <w:lang w:val="fr-FR"/>
              </w:rPr>
              <w:t>1 (0,6-2,6)</w:t>
            </w:r>
          </w:p>
        </w:tc>
        <w:tc>
          <w:tcPr>
            <w:tcW w:w="1740" w:type="dxa"/>
            <w:tcBorders>
              <w:left w:val="single" w:sz="2" w:space="0" w:color="000000"/>
              <w:bottom w:val="single" w:sz="2" w:space="0" w:color="000000"/>
            </w:tcBorders>
            <w:vAlign w:val="center"/>
          </w:tcPr>
          <w:p w:rsidR="0056194E" w:rsidRDefault="0056194E" w:rsidP="00503BDD">
            <w:pPr>
              <w:snapToGrid w:val="0"/>
              <w:jc w:val="center"/>
              <w:rPr>
                <w:rFonts w:ascii="Arial" w:hAnsi="Arial" w:cs="Arial"/>
                <w:i/>
                <w:sz w:val="16"/>
                <w:szCs w:val="16"/>
                <w:lang w:val="fr-FR"/>
              </w:rPr>
            </w:pPr>
          </w:p>
          <w:p w:rsidR="0056194E" w:rsidRDefault="0056194E" w:rsidP="00503BDD">
            <w:pPr>
              <w:snapToGrid w:val="0"/>
              <w:jc w:val="center"/>
            </w:pPr>
            <w:r>
              <w:rPr>
                <w:rFonts w:ascii="Arial" w:hAnsi="Arial" w:cs="Arial"/>
                <w:i/>
                <w:sz w:val="16"/>
                <w:szCs w:val="16"/>
                <w:lang w:val="fr-FR"/>
              </w:rPr>
              <w:t>0 (-1,4-1,4)</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snapToGrid w:val="0"/>
              <w:jc w:val="center"/>
              <w:rPr>
                <w:rFonts w:ascii="Arial" w:hAnsi="Arial" w:cs="Arial"/>
                <w:i/>
                <w:sz w:val="16"/>
                <w:szCs w:val="16"/>
                <w:lang w:val="fr-FR"/>
              </w:rPr>
            </w:pPr>
          </w:p>
          <w:p w:rsidR="0056194E" w:rsidRDefault="0056194E" w:rsidP="00503BDD">
            <w:pPr>
              <w:pStyle w:val="Contenidodelatabla"/>
              <w:snapToGrid w:val="0"/>
              <w:jc w:val="center"/>
            </w:pPr>
            <w:r>
              <w:rPr>
                <w:rFonts w:ascii="Arial" w:hAnsi="Arial" w:cs="Arial"/>
                <w:i/>
                <w:sz w:val="16"/>
                <w:szCs w:val="16"/>
                <w:lang w:val="fr-FR"/>
              </w:rPr>
              <w:t>---</w:t>
            </w:r>
          </w:p>
        </w:tc>
      </w:tr>
      <w:tr w:rsidR="0056194E">
        <w:tblPrEx>
          <w:tblCellMar>
            <w:top w:w="55" w:type="dxa"/>
            <w:left w:w="55" w:type="dxa"/>
            <w:bottom w:w="55" w:type="dxa"/>
            <w:right w:w="55" w:type="dxa"/>
          </w:tblCellMar>
        </w:tblPrEx>
        <w:trPr>
          <w:trHeight w:val="313"/>
        </w:trPr>
        <w:tc>
          <w:tcPr>
            <w:tcW w:w="1649" w:type="dxa"/>
            <w:tcBorders>
              <w:left w:val="single" w:sz="2" w:space="0" w:color="000000"/>
              <w:bottom w:val="single" w:sz="2" w:space="0" w:color="000000"/>
            </w:tcBorders>
          </w:tcPr>
          <w:p w:rsidR="0056194E" w:rsidRDefault="0056194E">
            <w:pPr>
              <w:pStyle w:val="Contenidodelatabla"/>
              <w:jc w:val="both"/>
            </w:pPr>
            <w:r>
              <w:rPr>
                <w:rFonts w:ascii="Arial" w:hAnsi="Arial" w:cs="Arial"/>
                <w:b/>
                <w:bCs/>
                <w:sz w:val="16"/>
                <w:szCs w:val="16"/>
              </w:rPr>
              <w:t>Hipokalemia</w:t>
            </w:r>
          </w:p>
        </w:tc>
        <w:tc>
          <w:tcPr>
            <w:tcW w:w="1755" w:type="dxa"/>
            <w:tcBorders>
              <w:left w:val="single" w:sz="2" w:space="0" w:color="000000"/>
              <w:bottom w:val="single" w:sz="2" w:space="0" w:color="000000"/>
            </w:tcBorders>
            <w:vAlign w:val="center"/>
          </w:tcPr>
          <w:p w:rsidR="0056194E" w:rsidRDefault="0056194E" w:rsidP="00503BDD">
            <w:pPr>
              <w:pStyle w:val="Contenidodelatabla"/>
              <w:snapToGrid w:val="0"/>
              <w:jc w:val="center"/>
            </w:pPr>
            <w:r>
              <w:rPr>
                <w:rFonts w:ascii="Arial" w:hAnsi="Arial" w:cs="Arial"/>
                <w:i/>
                <w:sz w:val="16"/>
                <w:szCs w:val="16"/>
                <w:lang w:val="fr-FR"/>
              </w:rPr>
              <w:t>---</w:t>
            </w:r>
          </w:p>
        </w:tc>
        <w:tc>
          <w:tcPr>
            <w:tcW w:w="1755" w:type="dxa"/>
            <w:tcBorders>
              <w:left w:val="single" w:sz="2" w:space="0" w:color="000000"/>
              <w:bottom w:val="single" w:sz="2" w:space="0" w:color="000000"/>
            </w:tcBorders>
            <w:vAlign w:val="center"/>
          </w:tcPr>
          <w:p w:rsidR="0056194E" w:rsidRDefault="0056194E" w:rsidP="00503BDD">
            <w:pPr>
              <w:pStyle w:val="Contenidodelatabla"/>
              <w:jc w:val="center"/>
            </w:pPr>
            <w:r>
              <w:rPr>
                <w:rFonts w:ascii="Arial" w:hAnsi="Arial" w:cs="Arial"/>
                <w:i/>
                <w:sz w:val="16"/>
                <w:szCs w:val="16"/>
                <w:lang w:val="fr-FR"/>
              </w:rPr>
              <w:t>---</w:t>
            </w:r>
          </w:p>
        </w:tc>
        <w:tc>
          <w:tcPr>
            <w:tcW w:w="1740" w:type="dxa"/>
            <w:tcBorders>
              <w:left w:val="single" w:sz="2" w:space="0" w:color="000000"/>
              <w:bottom w:val="single" w:sz="2" w:space="0" w:color="000000"/>
            </w:tcBorders>
            <w:vAlign w:val="center"/>
          </w:tcPr>
          <w:p w:rsidR="0056194E" w:rsidRDefault="0056194E" w:rsidP="00503BDD">
            <w:pPr>
              <w:snapToGrid w:val="0"/>
              <w:jc w:val="center"/>
            </w:pPr>
            <w:r>
              <w:rPr>
                <w:rFonts w:ascii="Arial" w:hAnsi="Arial" w:cs="Arial"/>
                <w:i/>
                <w:sz w:val="16"/>
                <w:szCs w:val="16"/>
                <w:lang w:val="fr-FR"/>
              </w:rPr>
              <w:t>---</w:t>
            </w:r>
          </w:p>
        </w:tc>
        <w:tc>
          <w:tcPr>
            <w:tcW w:w="1890" w:type="dxa"/>
            <w:tcBorders>
              <w:left w:val="single" w:sz="2" w:space="0" w:color="000000"/>
              <w:bottom w:val="single" w:sz="2" w:space="0" w:color="000000"/>
              <w:right w:val="single" w:sz="2" w:space="0" w:color="000000"/>
            </w:tcBorders>
            <w:vAlign w:val="center"/>
          </w:tcPr>
          <w:p w:rsidR="0056194E" w:rsidRDefault="0056194E" w:rsidP="00503BDD">
            <w:pPr>
              <w:pStyle w:val="Contenidodelatabla"/>
              <w:snapToGrid w:val="0"/>
              <w:jc w:val="center"/>
            </w:pPr>
            <w:r>
              <w:rPr>
                <w:rFonts w:ascii="Arial" w:hAnsi="Arial" w:cs="Arial"/>
                <w:i/>
                <w:sz w:val="16"/>
                <w:szCs w:val="16"/>
                <w:lang w:val="fr-FR"/>
              </w:rPr>
              <w:t>---</w:t>
            </w:r>
          </w:p>
        </w:tc>
      </w:tr>
    </w:tbl>
    <w:p w:rsidR="0056194E" w:rsidRPr="00D00891" w:rsidRDefault="0056194E">
      <w:pPr>
        <w:jc w:val="both"/>
        <w:rPr>
          <w:rFonts w:ascii="Arial" w:hAnsi="Arial" w:cs="Arial"/>
          <w:i/>
          <w:color w:val="000000"/>
          <w:sz w:val="20"/>
          <w:szCs w:val="20"/>
        </w:rPr>
      </w:pPr>
      <w:r w:rsidRPr="00D00891">
        <w:rPr>
          <w:rFonts w:ascii="Arial" w:hAnsi="Arial" w:cs="Arial"/>
          <w:i/>
          <w:color w:val="000000"/>
          <w:sz w:val="20"/>
          <w:szCs w:val="20"/>
        </w:rPr>
        <w:t>* Aunque la diferencia no es estadísticamente significativa, se ha calculado</w:t>
      </w:r>
      <w:r>
        <w:rPr>
          <w:rFonts w:ascii="Arial" w:hAnsi="Arial" w:cs="Arial"/>
          <w:i/>
          <w:color w:val="000000"/>
          <w:sz w:val="20"/>
          <w:szCs w:val="20"/>
        </w:rPr>
        <w:t xml:space="preserve"> </w:t>
      </w:r>
      <w:r w:rsidRPr="00D00891">
        <w:rPr>
          <w:rFonts w:ascii="Arial" w:hAnsi="Arial" w:cs="Arial"/>
          <w:i/>
          <w:color w:val="000000"/>
          <w:sz w:val="20"/>
          <w:szCs w:val="20"/>
        </w:rPr>
        <w:t xml:space="preserve">el NNH </w:t>
      </w:r>
      <w:r w:rsidR="00A975DC">
        <w:rPr>
          <w:rFonts w:ascii="Arial" w:hAnsi="Arial" w:cs="Arial"/>
          <w:i/>
          <w:color w:val="000000"/>
          <w:sz w:val="20"/>
          <w:szCs w:val="20"/>
        </w:rPr>
        <w:t xml:space="preserve">de los eventos grado 3-5 </w:t>
      </w:r>
      <w:r w:rsidRPr="00D00891">
        <w:rPr>
          <w:rFonts w:ascii="Arial" w:hAnsi="Arial" w:cs="Arial"/>
          <w:i/>
          <w:color w:val="000000"/>
          <w:sz w:val="20"/>
          <w:szCs w:val="20"/>
        </w:rPr>
        <w:t>para análisis posteriores de coste beneficio por un principio de precaución, teniendo en cuenta que la potencia estadística no es suficiente para encontrar diferencias en efectos adversos y que el aumento de reacciones adversas, especialmente las hematológicas, puede ser razonablemente achacado al perfil de docetaxel.</w:t>
      </w:r>
    </w:p>
    <w:p w:rsidR="0056194E" w:rsidRDefault="0056194E">
      <w:pPr>
        <w:jc w:val="both"/>
        <w:rPr>
          <w:rFonts w:ascii="Arial" w:hAnsi="Arial" w:cs="Arial"/>
          <w:color w:val="000000"/>
          <w:sz w:val="20"/>
          <w:szCs w:val="20"/>
        </w:rPr>
      </w:pPr>
    </w:p>
    <w:p w:rsidR="0056194E" w:rsidRDefault="0056194E">
      <w:pPr>
        <w:jc w:val="both"/>
        <w:rPr>
          <w:rStyle w:val="Hipervnculo"/>
          <w:rFonts w:ascii="Arial" w:hAnsi="Arial" w:cs="Arial"/>
          <w:color w:val="auto"/>
          <w:sz w:val="20"/>
          <w:szCs w:val="20"/>
          <w:u w:val="none"/>
        </w:rPr>
      </w:pPr>
      <w:r>
        <w:rPr>
          <w:rStyle w:val="Hipervnculo"/>
          <w:rFonts w:ascii="Arial" w:hAnsi="Arial" w:cs="Arial"/>
          <w:color w:val="auto"/>
          <w:sz w:val="20"/>
          <w:szCs w:val="20"/>
          <w:u w:val="none"/>
        </w:rPr>
        <w:t xml:space="preserve">El NNH (IC 95%) se ha calculado para aquellos </w:t>
      </w:r>
      <w:r w:rsidR="00A975DC">
        <w:rPr>
          <w:rStyle w:val="Hipervnculo"/>
          <w:rFonts w:ascii="Arial" w:hAnsi="Arial" w:cs="Arial"/>
          <w:color w:val="auto"/>
          <w:sz w:val="20"/>
          <w:szCs w:val="20"/>
          <w:u w:val="none"/>
        </w:rPr>
        <w:t>I</w:t>
      </w:r>
      <w:r>
        <w:rPr>
          <w:rStyle w:val="Hipervnculo"/>
          <w:rFonts w:ascii="Arial" w:hAnsi="Arial" w:cs="Arial"/>
          <w:color w:val="auto"/>
          <w:sz w:val="20"/>
          <w:szCs w:val="20"/>
          <w:u w:val="none"/>
        </w:rPr>
        <w:t>AR (IC 95%) obtenidos por comparación indirecta cuyo resultado es significativo.</w:t>
      </w:r>
    </w:p>
    <w:p w:rsidR="0056194E" w:rsidRDefault="0056194E">
      <w:pPr>
        <w:jc w:val="both"/>
        <w:rPr>
          <w:rStyle w:val="Hipervnculo"/>
          <w:rFonts w:ascii="Arial" w:hAnsi="Arial" w:cs="Arial"/>
          <w:color w:val="auto"/>
          <w:sz w:val="20"/>
          <w:szCs w:val="20"/>
          <w:u w:val="none"/>
        </w:rPr>
      </w:pPr>
    </w:p>
    <w:p w:rsidR="00BA5934" w:rsidRPr="006A7956" w:rsidRDefault="00BA5934" w:rsidP="00577AB2">
      <w:pPr>
        <w:jc w:val="both"/>
        <w:rPr>
          <w:rStyle w:val="Hipervnculo"/>
          <w:rFonts w:ascii="Arial" w:hAnsi="Arial" w:cs="Arial"/>
          <w:color w:val="auto"/>
          <w:sz w:val="20"/>
          <w:szCs w:val="20"/>
          <w:u w:val="none"/>
        </w:rPr>
      </w:pPr>
      <w:r w:rsidRPr="006A7956">
        <w:rPr>
          <w:rStyle w:val="Hipervnculo"/>
          <w:rFonts w:ascii="Arial" w:hAnsi="Arial" w:cs="Arial"/>
          <w:color w:val="auto"/>
          <w:sz w:val="20"/>
          <w:szCs w:val="20"/>
          <w:u w:val="none"/>
        </w:rPr>
        <w:t xml:space="preserve">Con respecto a docetaxel, abiraterona parece presentar ventajas en seguridad en cuanto a eventos adversos grado 3-5, principalmente por la aparición de neutropenia febril, eventos gastrointestinales y endocrinos. Presenta desventaja, sin embargo, en eventos cardiovasculares, hepáticos y musculoesqueléticos.  </w:t>
      </w:r>
    </w:p>
    <w:p w:rsidR="0056194E" w:rsidRDefault="0056194E">
      <w:pPr>
        <w:jc w:val="both"/>
        <w:rPr>
          <w:rFonts w:ascii="Arial" w:hAnsi="Arial" w:cs="Arial"/>
          <w:b/>
          <w:bCs/>
          <w:color w:val="FF0000"/>
          <w:sz w:val="20"/>
          <w:szCs w:val="20"/>
          <w:highlight w:val="yellow"/>
        </w:rPr>
      </w:pPr>
    </w:p>
    <w:p w:rsidR="0056194E" w:rsidRDefault="0056194E">
      <w:pPr>
        <w:jc w:val="both"/>
        <w:rPr>
          <w:rFonts w:ascii="Arial" w:hAnsi="Arial" w:cs="Arial"/>
          <w:b/>
          <w:bCs/>
          <w:color w:val="FF0000"/>
          <w:sz w:val="20"/>
          <w:szCs w:val="20"/>
          <w:highlight w:val="yellow"/>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39" w:name="_Toc536608355"/>
      <w:r>
        <w:rPr>
          <w:sz w:val="20"/>
        </w:rPr>
        <w:t>6.4 Fuentes secundarias sobre seguridad</w:t>
      </w:r>
      <w:bookmarkEnd w:id="39"/>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Se realizó una búsqueda de información adicional sobre efectos adversos en las siguientes webs de bases de datos, donde no se encontraron datos adicionales relevantes para el posicionamiento de abiraterona en esta nueva indicación:</w:t>
      </w:r>
    </w:p>
    <w:p w:rsidR="0056194E" w:rsidRDefault="0056194E">
      <w:pPr>
        <w:jc w:val="both"/>
        <w:rPr>
          <w:rFonts w:ascii="Arial" w:hAnsi="Arial" w:cs="Arial"/>
          <w:sz w:val="20"/>
          <w:szCs w:val="20"/>
        </w:rPr>
      </w:pPr>
    </w:p>
    <w:p w:rsidR="0056194E" w:rsidRDefault="0056194E" w:rsidP="00D00891">
      <w:pPr>
        <w:numPr>
          <w:ilvl w:val="0"/>
          <w:numId w:val="12"/>
        </w:numPr>
        <w:rPr>
          <w:rFonts w:ascii="Arial" w:hAnsi="Arial" w:cs="Arial"/>
          <w:sz w:val="20"/>
          <w:szCs w:val="20"/>
        </w:rPr>
      </w:pPr>
      <w:r>
        <w:rPr>
          <w:rFonts w:ascii="Arial" w:hAnsi="Arial" w:cs="Arial"/>
          <w:iCs/>
          <w:sz w:val="20"/>
          <w:szCs w:val="20"/>
        </w:rPr>
        <w:t>Base de datos de la AEMPS: https://www.aemps.gob.es/informa/alertas/medicamentosUsoHumano/home.htm</w:t>
      </w:r>
    </w:p>
    <w:p w:rsidR="0056194E" w:rsidRDefault="0056194E">
      <w:pPr>
        <w:jc w:val="both"/>
        <w:rPr>
          <w:rFonts w:ascii="Arial" w:hAnsi="Arial" w:cs="Arial"/>
          <w:sz w:val="20"/>
          <w:szCs w:val="20"/>
        </w:rPr>
      </w:pPr>
    </w:p>
    <w:p w:rsidR="0056194E" w:rsidRDefault="0056194E">
      <w:pPr>
        <w:numPr>
          <w:ilvl w:val="0"/>
          <w:numId w:val="6"/>
        </w:numPr>
        <w:jc w:val="both"/>
        <w:rPr>
          <w:rFonts w:ascii="Arial" w:hAnsi="Arial" w:cs="Arial"/>
          <w:bCs/>
          <w:sz w:val="20"/>
          <w:szCs w:val="20"/>
        </w:rPr>
      </w:pPr>
      <w:r>
        <w:rPr>
          <w:rFonts w:ascii="Arial" w:hAnsi="Arial" w:cs="Arial"/>
          <w:iCs/>
          <w:sz w:val="20"/>
          <w:szCs w:val="20"/>
        </w:rPr>
        <w:t xml:space="preserve">Base de datos de la EMA con las notificaciones de sospechas de efectos adversos de los medicamentos autorizados a nivel europeo. Disponible en: </w:t>
      </w:r>
      <w:hyperlink r:id="rId20" w:history="1">
        <w:r>
          <w:rPr>
            <w:rStyle w:val="Hipervnculo"/>
            <w:rFonts w:ascii="Arial" w:hAnsi="Arial" w:cs="Arial"/>
            <w:iCs/>
            <w:sz w:val="20"/>
            <w:szCs w:val="20"/>
          </w:rPr>
          <w:t>http://www.adrreports.eu/es</w:t>
        </w:r>
      </w:hyperlink>
    </w:p>
    <w:p w:rsidR="0056194E" w:rsidRDefault="0056194E">
      <w:pPr>
        <w:ind w:left="360"/>
        <w:jc w:val="both"/>
        <w:rPr>
          <w:rFonts w:ascii="Arial" w:hAnsi="Arial" w:cs="Arial"/>
          <w:bCs/>
          <w:sz w:val="20"/>
          <w:szCs w:val="20"/>
        </w:rPr>
      </w:pPr>
    </w:p>
    <w:p w:rsidR="0056194E" w:rsidRDefault="0056194E">
      <w:pPr>
        <w:numPr>
          <w:ilvl w:val="0"/>
          <w:numId w:val="6"/>
        </w:numPr>
        <w:jc w:val="both"/>
        <w:rPr>
          <w:rFonts w:ascii="Arial" w:hAnsi="Arial" w:cs="Arial"/>
          <w:sz w:val="20"/>
          <w:szCs w:val="20"/>
        </w:rPr>
      </w:pPr>
      <w:r>
        <w:rPr>
          <w:rFonts w:ascii="Arial" w:hAnsi="Arial" w:cs="Arial"/>
          <w:bCs/>
          <w:sz w:val="20"/>
          <w:szCs w:val="20"/>
        </w:rPr>
        <w:t>FDA</w:t>
      </w:r>
      <w:r>
        <w:rPr>
          <w:rFonts w:ascii="Arial" w:hAnsi="Arial" w:cs="Arial"/>
          <w:sz w:val="20"/>
          <w:szCs w:val="20"/>
        </w:rPr>
        <w:t>MedWatch, información de la FDA sobre seguridad y programa de notificación de efectos adversos.</w:t>
      </w:r>
      <w:r>
        <w:rPr>
          <w:rFonts w:ascii="Arial" w:hAnsi="Arial" w:cs="Arial"/>
          <w:iCs/>
          <w:sz w:val="20"/>
          <w:szCs w:val="20"/>
        </w:rPr>
        <w:t xml:space="preserve"> Disponible en: </w:t>
      </w:r>
      <w:hyperlink r:id="rId21" w:history="1">
        <w:r>
          <w:rPr>
            <w:rStyle w:val="Hipervnculo"/>
            <w:rFonts w:ascii="Arial" w:hAnsi="Arial" w:cs="Arial"/>
            <w:sz w:val="20"/>
            <w:szCs w:val="20"/>
          </w:rPr>
          <w:t>http://www.fda.gov/Safety/MedWatch/default.htm</w:t>
        </w:r>
      </w:hyperlink>
      <w:hyperlink r:id="rId22" w:history="1">
        <w:r>
          <w:rPr>
            <w:rStyle w:val="Hipervnculo"/>
            <w:rFonts w:ascii="Arial" w:hAnsi="Arial" w:cs="Arial"/>
            <w:sz w:val="20"/>
            <w:szCs w:val="20"/>
            <w:lang w:val="en-US"/>
          </w:rPr>
          <w:t>l</w:t>
        </w:r>
      </w:hyperlink>
    </w:p>
    <w:p w:rsidR="0056194E" w:rsidRDefault="0056194E">
      <w:pPr>
        <w:ind w:left="360"/>
        <w:jc w:val="both"/>
        <w:rPr>
          <w:rFonts w:ascii="Arial" w:hAnsi="Arial" w:cs="Arial"/>
          <w:sz w:val="20"/>
          <w:szCs w:val="20"/>
        </w:rPr>
      </w:pPr>
    </w:p>
    <w:p w:rsidR="0056194E" w:rsidRDefault="0056194E">
      <w:pPr>
        <w:numPr>
          <w:ilvl w:val="0"/>
          <w:numId w:val="6"/>
        </w:numPr>
        <w:jc w:val="both"/>
        <w:rPr>
          <w:rFonts w:ascii="Arial" w:hAnsi="Arial" w:cs="Arial"/>
          <w:sz w:val="20"/>
          <w:szCs w:val="20"/>
        </w:rPr>
      </w:pPr>
      <w:r w:rsidRPr="0071121B">
        <w:rPr>
          <w:rFonts w:ascii="Arial" w:hAnsi="Arial" w:cs="Arial"/>
          <w:bCs/>
          <w:kern w:val="1"/>
          <w:sz w:val="20"/>
          <w:szCs w:val="20"/>
        </w:rPr>
        <w:t>The Canada Vigilance Adverse Reaction Online Database.</w:t>
      </w:r>
      <w:r>
        <w:rPr>
          <w:rFonts w:ascii="Arial" w:hAnsi="Arial" w:cs="Arial"/>
          <w:iCs/>
          <w:sz w:val="20"/>
          <w:szCs w:val="20"/>
        </w:rPr>
        <w:t xml:space="preserve">Disponible en: </w:t>
      </w:r>
      <w:hyperlink r:id="rId23" w:history="1">
        <w:r>
          <w:rPr>
            <w:rStyle w:val="Hipervnculo"/>
            <w:rFonts w:ascii="Arial" w:hAnsi="Arial" w:cs="Arial"/>
            <w:sz w:val="20"/>
            <w:szCs w:val="20"/>
          </w:rPr>
          <w:t>http://www.hc-sc.gc.ca/dhp-mps/medeff/databasdon/index-eng.php</w:t>
        </w:r>
      </w:hyperlink>
    </w:p>
    <w:p w:rsidR="0056194E" w:rsidRDefault="0056194E">
      <w:pPr>
        <w:jc w:val="both"/>
        <w:rPr>
          <w:rFonts w:ascii="Arial" w:hAnsi="Arial" w:cs="Arial"/>
          <w:sz w:val="20"/>
          <w:szCs w:val="20"/>
        </w:rPr>
      </w:pPr>
    </w:p>
    <w:p w:rsidR="0056194E" w:rsidRPr="0071121B" w:rsidRDefault="0056194E">
      <w:pPr>
        <w:numPr>
          <w:ilvl w:val="0"/>
          <w:numId w:val="6"/>
        </w:numPr>
        <w:jc w:val="both"/>
        <w:rPr>
          <w:rFonts w:ascii="Arial" w:hAnsi="Arial" w:cs="Arial"/>
          <w:sz w:val="20"/>
          <w:szCs w:val="20"/>
          <w:lang w:val="en-GB"/>
        </w:rPr>
      </w:pPr>
      <w:r>
        <w:rPr>
          <w:rStyle w:val="organisation-logo"/>
          <w:rFonts w:ascii="Arial" w:hAnsi="Arial" w:cs="Arial"/>
          <w:sz w:val="20"/>
          <w:szCs w:val="20"/>
          <w:lang w:val="en-US"/>
        </w:rPr>
        <w:t>Medicines and Healthcare products Regulatory Agency U, Drug Safety update.</w:t>
      </w:r>
      <w:r w:rsidRPr="0071121B">
        <w:rPr>
          <w:rFonts w:ascii="Arial" w:hAnsi="Arial" w:cs="Arial"/>
          <w:iCs/>
          <w:sz w:val="20"/>
          <w:szCs w:val="20"/>
          <w:lang w:val="en-GB"/>
        </w:rPr>
        <w:t xml:space="preserve">Disponible en: </w:t>
      </w:r>
      <w:hyperlink r:id="rId24" w:history="1">
        <w:r>
          <w:rPr>
            <w:rStyle w:val="Hipervnculo"/>
            <w:rFonts w:ascii="Arial" w:hAnsi="Arial" w:cs="Arial"/>
            <w:sz w:val="20"/>
            <w:szCs w:val="20"/>
            <w:lang w:val="en-US"/>
          </w:rPr>
          <w:t>https://www.gov.uk/drug-safety-update</w:t>
        </w:r>
      </w:hyperlink>
    </w:p>
    <w:p w:rsidR="0056194E" w:rsidRPr="0071121B" w:rsidRDefault="0056194E">
      <w:pPr>
        <w:ind w:left="720"/>
        <w:jc w:val="both"/>
        <w:rPr>
          <w:rFonts w:ascii="Arial" w:hAnsi="Arial" w:cs="Arial"/>
          <w:sz w:val="20"/>
          <w:szCs w:val="20"/>
          <w:lang w:val="en-GB"/>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40" w:name="_Toc536608356"/>
      <w:r>
        <w:rPr>
          <w:sz w:val="20"/>
        </w:rPr>
        <w:t>6.5 Precauciones de empleo en casos especiales</w:t>
      </w:r>
      <w:bookmarkEnd w:id="40"/>
    </w:p>
    <w:p w:rsidR="0056194E" w:rsidRDefault="0056194E">
      <w:pPr>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w:t>
      </w:r>
      <w:r>
        <w:rPr>
          <w:rFonts w:ascii="Arial" w:hAnsi="Arial" w:cs="Arial"/>
          <w:b/>
          <w:sz w:val="20"/>
          <w:szCs w:val="20"/>
        </w:rPr>
        <w:t>Pacientes con patología cardiovascular</w:t>
      </w:r>
      <w:r>
        <w:rPr>
          <w:rFonts w:ascii="Arial" w:hAnsi="Arial" w:cs="Arial"/>
          <w:sz w:val="20"/>
          <w:szCs w:val="20"/>
        </w:rPr>
        <w:t>: Los pacientes con enfermedad cardiovascular previa fueron excluidos de los ensayos. No se ha establecido la seguridad en pacientes con fracción de eyección ventricular izquierda &lt; 50 % o insuficiencia cardíaca de clase III o IV de la NYHA. Antes del tratamiento se debe controlar la hipertensión y corregir la hipopotasemia.</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La abiraterona puede causar hipertensión, hipopotasemia y retención de líquidos como consecuencia del aumento de las concentraciones de mineralocorticoides resultantes de la inhibición del CYP17. La administración simultánea de un corticosteroide suprime el efecto de la hormona adrenocorticotropa (ACTH), reduciendo con ello la incidencia y la intensidad de estas reacciones adversas. Este medicamento se debe administrar con precaución a pacientes con enfermedades subyacentes que puedan verse agravadas por elevaciones de la presión arterial, hipopotasemia (p. Ej., pacientes que estén tomando glucósidos cardiacos), o retención de líquidos (p.ej., pacientes con insuficiencia cardíaca), angina de pecho grave o inestable, infarto de miocardio reciente o arritmia ventricular y pacientes con insuficiencia renal grave. Se debe monitorizar la presión arterial, la potasemia y la retención de líquidos antes del tratamiento y, posteriormente, por lo menos una vez al mes.</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-Hepatotoxicidad</w:t>
      </w:r>
      <w:r>
        <w:rPr>
          <w:rFonts w:ascii="Arial" w:hAnsi="Arial" w:cs="Arial"/>
          <w:sz w:val="20"/>
          <w:szCs w:val="20"/>
        </w:rPr>
        <w:t>: Se deben medir las concentraciones de transaminasas séricas antes de iniciar el tratamiento, cada dos semanas durante los tres primeros meses de tratamiento y posteriormente una vez al mes.</w:t>
      </w:r>
    </w:p>
    <w:p w:rsidR="0056194E" w:rsidRDefault="0056194E">
      <w:pPr>
        <w:autoSpaceDE w:val="0"/>
        <w:jc w:val="both"/>
        <w:rPr>
          <w:rFonts w:ascii="Arial" w:hAnsi="Arial" w:cs="Arial"/>
          <w:sz w:val="20"/>
          <w:szCs w:val="20"/>
        </w:rPr>
      </w:pPr>
      <w:r>
        <w:rPr>
          <w:rFonts w:ascii="Arial" w:hAnsi="Arial" w:cs="Arial"/>
          <w:sz w:val="20"/>
          <w:szCs w:val="20"/>
        </w:rPr>
        <w:t>Si se desarrolla hepatotoxicidad durante el tratamiento (elevación de ALT más de 5 veces por encima del límite superior de la normalidad), se debe suspender el mismo inmediatamente. Una vez que las pruebas de la función hepática vuelvan a los valores basales del paciente, el tratamiento podrá reanudarse con una dosis reducida de 500 mg (dos comprimidos</w:t>
      </w:r>
      <w:r w:rsidR="00163D65">
        <w:rPr>
          <w:rFonts w:ascii="Arial" w:hAnsi="Arial" w:cs="Arial"/>
          <w:sz w:val="20"/>
          <w:szCs w:val="20"/>
        </w:rPr>
        <w:t xml:space="preserve"> de 250 mg o uno de 500 mg</w:t>
      </w:r>
      <w:r>
        <w:rPr>
          <w:rFonts w:ascii="Arial" w:hAnsi="Arial" w:cs="Arial"/>
          <w:sz w:val="20"/>
          <w:szCs w:val="20"/>
        </w:rPr>
        <w:t>) una vez al día. En los pacientes que reanuden el tratamiento, se debe monitorizar las transaminasas séricas como mínimo una vez cada dos semanas durante tres meses y, posteriormente, una vez al mes. Si la hepatotoxicidad reaparece con la dosis reducida de 500 mg al día, se debe interrumpir el tratamiento.</w:t>
      </w:r>
    </w:p>
    <w:p w:rsidR="0056194E" w:rsidRDefault="0056194E" w:rsidP="005553DE">
      <w:pPr>
        <w:autoSpaceDE w:val="0"/>
        <w:jc w:val="both"/>
        <w:rPr>
          <w:rFonts w:ascii="Arial" w:hAnsi="Arial" w:cs="Arial"/>
          <w:sz w:val="20"/>
          <w:szCs w:val="20"/>
        </w:rPr>
      </w:pPr>
      <w:r w:rsidRPr="005553DE">
        <w:rPr>
          <w:rFonts w:ascii="Arial" w:hAnsi="Arial" w:cs="Arial"/>
          <w:sz w:val="20"/>
          <w:szCs w:val="20"/>
        </w:rPr>
        <w:t>Si los pacientes desarrollan hepatotoxicidad grave (ALT o AST 20 veces por encima del LSN) en</w:t>
      </w:r>
      <w:r>
        <w:rPr>
          <w:rFonts w:ascii="Arial" w:hAnsi="Arial" w:cs="Arial"/>
          <w:sz w:val="20"/>
          <w:szCs w:val="20"/>
        </w:rPr>
        <w:t xml:space="preserve"> </w:t>
      </w:r>
      <w:r w:rsidRPr="005553DE">
        <w:rPr>
          <w:rFonts w:ascii="Arial" w:hAnsi="Arial" w:cs="Arial"/>
          <w:sz w:val="20"/>
          <w:szCs w:val="20"/>
        </w:rPr>
        <w:t>cualquier momento durante el tratamiento, se debe suspender el mismo y no se debe reanudar en estos</w:t>
      </w:r>
      <w:r>
        <w:rPr>
          <w:rFonts w:ascii="Arial" w:hAnsi="Arial" w:cs="Arial"/>
          <w:sz w:val="20"/>
          <w:szCs w:val="20"/>
        </w:rPr>
        <w:t xml:space="preserve"> </w:t>
      </w:r>
      <w:r w:rsidRPr="005553DE">
        <w:rPr>
          <w:rFonts w:ascii="Arial" w:hAnsi="Arial" w:cs="Arial"/>
          <w:sz w:val="20"/>
          <w:szCs w:val="20"/>
        </w:rPr>
        <w:t>pacientes.</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No es necesario ajustar la dosis en los pacientes con insuficiencia hepática leve preexistente, Clase A de Child-Pugh.</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Está contraindicada en pacientes con insuficiencia hepática moderada o grave (Child-Pugh Clase B o C) ya que se ha visto un aumento de la exposición sistémica a abiraterona  aproximadamente cuatro veces después de una dosis única oral de 1.000 mg de acetato de abiraterona en los pacientes con clase B y no hay datos clínicos de seguridad ni eficacia de dosis múltiples de acetato de abiraterona administrados a pacientes con insuficiencia hepática moderada o grave (Child-Pugh Clase B o C).</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 xml:space="preserve">Los pacientes con hepatitis vírica activa o sintomática fueron excluidos de los ensayos clínicos; en consecuencia, no existen datos que respalden el uso de abiraterona en esta población. </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-Retirada de corticosteroides</w:t>
      </w:r>
      <w:r>
        <w:rPr>
          <w:rFonts w:ascii="Arial" w:hAnsi="Arial" w:cs="Arial"/>
          <w:sz w:val="20"/>
          <w:szCs w:val="20"/>
        </w:rPr>
        <w:t>: Se recomienda precaución y monitorizar la insuficiencia adrenocortical si los pacientes dejan de tomar prednisona o prednisolona. Si se mantiene el tratamiento con abiraterona después de retirar los corticosteroides, se debe controlar en los pacientes la aparición de síntomas por exceso de mineralocorticoides.</w:t>
      </w:r>
    </w:p>
    <w:p w:rsidR="0056194E" w:rsidRDefault="0056194E">
      <w:pPr>
        <w:autoSpaceDE w:val="0"/>
        <w:jc w:val="both"/>
        <w:rPr>
          <w:rFonts w:ascii="Arial" w:hAnsi="Arial" w:cs="Arial"/>
          <w:sz w:val="20"/>
          <w:szCs w:val="20"/>
        </w:rPr>
      </w:pPr>
      <w:r>
        <w:rPr>
          <w:rFonts w:ascii="Arial" w:hAnsi="Arial" w:cs="Arial"/>
          <w:sz w:val="20"/>
          <w:szCs w:val="20"/>
        </w:rPr>
        <w:t>En pacientes tratados con prednisona o prednisolona que se vean sometidos a más estrés de lo habitual, puede estar indicado un aumento de la dosis de corticosteroides antes, durante y después de la situación estresante.</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-Densidad ósea</w:t>
      </w:r>
      <w:r>
        <w:rPr>
          <w:rFonts w:ascii="Arial" w:hAnsi="Arial" w:cs="Arial"/>
          <w:sz w:val="20"/>
          <w:szCs w:val="20"/>
        </w:rPr>
        <w:t>: en el cáncer de próstata metastásico avanzado (cáncer de próstata resistente a castración) la densidad ósea puede estar reducida. El uso de abiraterona en combinación con un glucocorticoide puede aumentar este efecto.</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-Uso previo con ketoconazol</w:t>
      </w:r>
      <w:r>
        <w:rPr>
          <w:rFonts w:ascii="Arial" w:hAnsi="Arial" w:cs="Arial"/>
          <w:sz w:val="20"/>
          <w:szCs w:val="20"/>
        </w:rPr>
        <w:t>: En pacientes previamente tratados con ketoconazol para cáncer de próstata se pueden esperar menores tasas de respuesta.</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-Intolerancia a los excipientes</w:t>
      </w:r>
      <w:r>
        <w:rPr>
          <w:rFonts w:ascii="Arial" w:hAnsi="Arial" w:cs="Arial"/>
          <w:sz w:val="20"/>
          <w:szCs w:val="20"/>
        </w:rPr>
        <w:t>: contiene lactosa y más de 1 mmol (o 27,2 mg) de sodio por dosis de cuatro comprimidos.</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-Embarazo</w:t>
      </w:r>
      <w:r>
        <w:rPr>
          <w:rFonts w:ascii="Arial" w:hAnsi="Arial" w:cs="Arial"/>
          <w:sz w:val="20"/>
          <w:szCs w:val="20"/>
        </w:rPr>
        <w:t xml:space="preserve">: el medicamento no está indicado en mujeres. Se desconoce si se excreta por leche materna. No se dispone de datos de fertilidad. El paciente debe evitar mantener relaciones sexuales sin usar preservativo con mujeres fértiles o embarazadas. </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-Lactancia</w:t>
      </w:r>
      <w:r>
        <w:rPr>
          <w:rFonts w:ascii="Arial" w:hAnsi="Arial" w:cs="Arial"/>
          <w:sz w:val="20"/>
          <w:szCs w:val="20"/>
        </w:rPr>
        <w:t>: el medicamento no está indicado en mujeres. Se desconoce si se excreta por leche materna.</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-Insuficiencia renal</w:t>
      </w:r>
      <w:r>
        <w:rPr>
          <w:rFonts w:ascii="Arial" w:hAnsi="Arial" w:cs="Arial"/>
          <w:sz w:val="20"/>
          <w:szCs w:val="20"/>
        </w:rPr>
        <w:t>: No es necesario ajustar la dosis. Sin embargo, no existe experiencia clínica en pacientes con cáncer de próstata e insuficiencia renal grave, por lo que se recomienda precaución en estos pacientes.</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b/>
          <w:sz w:val="20"/>
          <w:szCs w:val="20"/>
        </w:rPr>
        <w:t>-Interacciones</w:t>
      </w:r>
      <w:r>
        <w:rPr>
          <w:rFonts w:ascii="Arial" w:hAnsi="Arial" w:cs="Arial"/>
          <w:sz w:val="20"/>
          <w:szCs w:val="20"/>
        </w:rPr>
        <w:t>: La administración con alimentos aumenta significativamente la absorción del acetato de abiraterona.</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Se recomienda precaución cuando se administre conjuntamente con medicamentos activados o metabolizados por el CYP2D6, en especial medicamentos con un índice terapéutico estrecho. Se debe considerar la reducción de la dosis de medicamentos con un índice terapéutico estrecho que sean metabolizados por el CYP2D6 (metoprolol, propranolol, desipramina, venlafaxina, haloperidol, risperidona, propafenona, flecanida, codeína, oxicodona, tramadol, etc). Abiraterona es un sustrato del CYP3A4. Los efectos de inhibidores potentes del CYP3A (p.ej., ketoconazol, itraconazol, claritromicina, atazanavir, nefazodona, saquinavir, telitromicina, ritonavir, indinavir, nelfinavir, voriconazol) o inductores potentes del CYP3A4 (p.ej., fenitoína, carbamazepina, rifampicina, rifabutina, rifapentina, fenobarbital) en la farmacocinética de abiraterona no se han evaluado in vivo. Se recomienda evitar o usar con precaución inhibidores e inductores potentes del CYP3A4 durante el tratamiento.</w:t>
      </w:r>
    </w:p>
    <w:p w:rsidR="0056194E" w:rsidRDefault="0056194E">
      <w:pPr>
        <w:jc w:val="both"/>
        <w:rPr>
          <w:rFonts w:ascii="Arial" w:hAnsi="Arial" w:cs="Arial"/>
          <w:sz w:val="20"/>
          <w:szCs w:val="20"/>
        </w:rPr>
      </w:pPr>
    </w:p>
    <w:p w:rsidR="0056194E" w:rsidRDefault="0056194E">
      <w:pPr>
        <w:jc w:val="both"/>
        <w:rPr>
          <w:rFonts w:ascii="Arial" w:hAnsi="Arial" w:cs="Arial"/>
          <w:color w:val="0000FF"/>
          <w:sz w:val="20"/>
          <w:szCs w:val="20"/>
          <w:u w:val="single"/>
        </w:rPr>
      </w:pPr>
    </w:p>
    <w:p w:rsidR="0056194E" w:rsidRDefault="0056194E">
      <w:pPr>
        <w:pStyle w:val="Encabezado"/>
        <w:tabs>
          <w:tab w:val="clear" w:pos="4252"/>
          <w:tab w:val="clear" w:pos="8504"/>
        </w:tabs>
        <w:jc w:val="both"/>
        <w:rPr>
          <w:rFonts w:ascii="Arial" w:hAnsi="Arial" w:cs="Arial"/>
          <w:color w:val="0000FF"/>
          <w:u w:val="single"/>
        </w:rPr>
      </w:pPr>
    </w:p>
    <w:tbl>
      <w:tblPr>
        <w:tblW w:w="0" w:type="auto"/>
        <w:tblInd w:w="-125" w:type="dxa"/>
        <w:tblLayout w:type="fixed"/>
        <w:tblCellMar>
          <w:left w:w="70" w:type="dxa"/>
          <w:right w:w="70" w:type="dxa"/>
        </w:tblCellMar>
        <w:tblLook w:val="0000"/>
      </w:tblPr>
      <w:tblGrid>
        <w:gridCol w:w="9251"/>
      </w:tblGrid>
      <w:tr w:rsidR="0056194E">
        <w:tc>
          <w:tcPr>
            <w:tcW w:w="9251"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41" w:name="_Toc536608357"/>
            <w:r>
              <w:t>7. AREA ECONÓMICA</w:t>
            </w:r>
            <w:bookmarkEnd w:id="41"/>
          </w:p>
        </w:tc>
      </w:tr>
    </w:tbl>
    <w:p w:rsidR="0056194E" w:rsidRDefault="0056194E">
      <w:pPr>
        <w:jc w:val="both"/>
        <w:rPr>
          <w:rFonts w:ascii="Arial" w:hAnsi="Arial" w:cs="Arial"/>
          <w:b/>
          <w:sz w:val="20"/>
          <w:szCs w:val="20"/>
          <w:highlight w:val="lightGray"/>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highlight w:val="lightGray"/>
        </w:rPr>
      </w:pPr>
      <w:bookmarkStart w:id="42" w:name="_Toc536608358"/>
      <w:r>
        <w:rPr>
          <w:sz w:val="20"/>
        </w:rPr>
        <w:t>7.1 Coste tratamiento. Coste incremental</w:t>
      </w:r>
      <w:bookmarkEnd w:id="42"/>
    </w:p>
    <w:p w:rsidR="0056194E" w:rsidRDefault="0056194E">
      <w:pPr>
        <w:jc w:val="both"/>
        <w:rPr>
          <w:rFonts w:ascii="Arial" w:hAnsi="Arial" w:cs="Arial"/>
          <w:b/>
          <w:sz w:val="20"/>
          <w:szCs w:val="20"/>
          <w:highlight w:val="lightGray"/>
        </w:rPr>
      </w:pPr>
    </w:p>
    <w:p w:rsidR="00A50ABB" w:rsidRDefault="0056194E">
      <w:pPr>
        <w:jc w:val="both"/>
        <w:rPr>
          <w:rFonts w:ascii="Arial" w:hAnsi="Arial" w:cs="Arial"/>
          <w:color w:val="000000"/>
          <w:sz w:val="20"/>
          <w:szCs w:val="20"/>
        </w:rPr>
      </w:pPr>
      <w:r>
        <w:rPr>
          <w:rFonts w:ascii="Arial" w:hAnsi="Arial" w:cs="Arial"/>
          <w:color w:val="000000"/>
          <w:sz w:val="20"/>
          <w:szCs w:val="20"/>
        </w:rPr>
        <w:t xml:space="preserve">El precio actual de abiraterona no será el precio que tendrá finalmente cuando esta nueva indicación sea aprobada, ya que el aumento del número de pacientes a tratar con el fármaco conlleva una disminución del precio significativa. </w:t>
      </w:r>
    </w:p>
    <w:p w:rsidR="00223CE2" w:rsidRDefault="00223CE2">
      <w:pPr>
        <w:jc w:val="both"/>
        <w:rPr>
          <w:rFonts w:ascii="Arial" w:hAnsi="Arial" w:cs="Arial"/>
          <w:color w:val="000000"/>
          <w:sz w:val="20"/>
          <w:szCs w:val="20"/>
        </w:rPr>
      </w:pPr>
    </w:p>
    <w:p w:rsidR="0056194E" w:rsidRDefault="0056194E">
      <w:pPr>
        <w:jc w:val="both"/>
      </w:pPr>
      <w:r>
        <w:rPr>
          <w:rFonts w:ascii="Arial" w:hAnsi="Arial" w:cs="Arial"/>
          <w:color w:val="000000"/>
          <w:sz w:val="20"/>
          <w:szCs w:val="20"/>
        </w:rPr>
        <w:t xml:space="preserve">Como aún no se dispone del nuevo precio de abiraterona, se ha </w:t>
      </w:r>
      <w:r w:rsidR="00A50ABB">
        <w:rPr>
          <w:rFonts w:ascii="Arial" w:hAnsi="Arial" w:cs="Arial"/>
          <w:color w:val="000000"/>
          <w:sz w:val="20"/>
          <w:szCs w:val="20"/>
        </w:rPr>
        <w:t xml:space="preserve">realizado una estimación, </w:t>
      </w:r>
      <w:r>
        <w:rPr>
          <w:rFonts w:ascii="Arial" w:hAnsi="Arial" w:cs="Arial"/>
          <w:color w:val="000000"/>
          <w:sz w:val="20"/>
          <w:szCs w:val="20"/>
        </w:rPr>
        <w:t>emplea</w:t>
      </w:r>
      <w:r w:rsidR="00A50ABB">
        <w:rPr>
          <w:rFonts w:ascii="Arial" w:hAnsi="Arial" w:cs="Arial"/>
          <w:color w:val="000000"/>
          <w:sz w:val="20"/>
          <w:szCs w:val="20"/>
        </w:rPr>
        <w:t>n</w:t>
      </w:r>
      <w:r>
        <w:rPr>
          <w:rFonts w:ascii="Arial" w:hAnsi="Arial" w:cs="Arial"/>
          <w:color w:val="000000"/>
          <w:sz w:val="20"/>
          <w:szCs w:val="20"/>
        </w:rPr>
        <w:t>do el coste eficacia incremental calculado por un análisis propio en el apartado 7.2.b para que el tratamiento resulte coste-efectivo. Este precio tendría que sustituirse por el precio real en caso de que esta indicación sea finalmente financiada.</w:t>
      </w:r>
      <w:r w:rsidR="006116DA">
        <w:rPr>
          <w:rFonts w:ascii="Arial" w:hAnsi="Arial" w:cs="Arial"/>
          <w:color w:val="000000"/>
          <w:sz w:val="20"/>
          <w:szCs w:val="20"/>
        </w:rPr>
        <w:t xml:space="preserve"> Por tanto los siguientes cálculos estarán basados en ese precio estimado.</w:t>
      </w:r>
    </w:p>
    <w:p w:rsidR="0056194E" w:rsidRDefault="0056194E">
      <w:pPr>
        <w:jc w:val="both"/>
      </w:pPr>
    </w:p>
    <w:p w:rsidR="0056194E" w:rsidRDefault="0056194E">
      <w:pPr>
        <w:jc w:val="both"/>
        <w:rPr>
          <w:rFonts w:ascii="Arial" w:hAnsi="Arial" w:cs="Arial"/>
          <w:b/>
          <w:color w:val="000080"/>
          <w:sz w:val="20"/>
          <w:szCs w:val="20"/>
          <w:highlight w:val="lightGray"/>
        </w:rPr>
      </w:pPr>
    </w:p>
    <w:tbl>
      <w:tblPr>
        <w:tblW w:w="0" w:type="auto"/>
        <w:tblInd w:w="70" w:type="dxa"/>
        <w:tblLayout w:type="fixed"/>
        <w:tblCellMar>
          <w:left w:w="70" w:type="dxa"/>
          <w:right w:w="70" w:type="dxa"/>
        </w:tblCellMar>
        <w:tblLook w:val="0000"/>
      </w:tblPr>
      <w:tblGrid>
        <w:gridCol w:w="3046"/>
        <w:gridCol w:w="1947"/>
        <w:gridCol w:w="1948"/>
        <w:gridCol w:w="2198"/>
      </w:tblGrid>
      <w:tr w:rsidR="0056194E">
        <w:trPr>
          <w:cantSplit/>
        </w:trPr>
        <w:tc>
          <w:tcPr>
            <w:tcW w:w="9139"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sz w:val="20"/>
                <w:szCs w:val="20"/>
              </w:rPr>
              <w:t xml:space="preserve">Tabla 7.1.a Comparación de costes del tratamiento evaluado frente a otra/s  alternativa/s </w:t>
            </w:r>
          </w:p>
        </w:tc>
      </w:tr>
      <w:tr w:rsidR="0056194E">
        <w:trPr>
          <w:cantSplit/>
        </w:trPr>
        <w:tc>
          <w:tcPr>
            <w:tcW w:w="3046" w:type="dxa"/>
            <w:tcBorders>
              <w:top w:val="single" w:sz="4" w:space="0" w:color="000000"/>
              <w:left w:val="single" w:sz="4" w:space="0" w:color="000000"/>
              <w:bottom w:val="single" w:sz="4" w:space="0" w:color="000000"/>
            </w:tcBorders>
            <w:shd w:val="clear" w:color="auto" w:fill="CCFFCC"/>
          </w:tcPr>
          <w:p w:rsidR="0056194E" w:rsidRDefault="0056194E">
            <w:pPr>
              <w:snapToGrid w:val="0"/>
              <w:jc w:val="both"/>
            </w:pPr>
          </w:p>
        </w:tc>
        <w:tc>
          <w:tcPr>
            <w:tcW w:w="6093" w:type="dxa"/>
            <w:gridSpan w:val="3"/>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center"/>
            </w:pPr>
            <w:r>
              <w:rPr>
                <w:rFonts w:ascii="Arial" w:hAnsi="Arial" w:cs="Arial"/>
                <w:b/>
                <w:sz w:val="20"/>
                <w:szCs w:val="20"/>
              </w:rPr>
              <w:t>Medicamento</w:t>
            </w:r>
          </w:p>
        </w:tc>
      </w:tr>
      <w:tr w:rsidR="0056194E">
        <w:tc>
          <w:tcPr>
            <w:tcW w:w="3046" w:type="dxa"/>
            <w:tcBorders>
              <w:top w:val="single" w:sz="4" w:space="0" w:color="000000"/>
              <w:left w:val="single" w:sz="4" w:space="0" w:color="000000"/>
              <w:bottom w:val="single" w:sz="4" w:space="0" w:color="000000"/>
            </w:tcBorders>
            <w:shd w:val="clear" w:color="auto" w:fill="E6E6E6"/>
          </w:tcPr>
          <w:p w:rsidR="0056194E" w:rsidRDefault="0056194E">
            <w:pPr>
              <w:snapToGrid w:val="0"/>
              <w:jc w:val="both"/>
            </w:pPr>
          </w:p>
        </w:tc>
        <w:tc>
          <w:tcPr>
            <w:tcW w:w="1947" w:type="dxa"/>
            <w:tcBorders>
              <w:top w:val="single" w:sz="4" w:space="0" w:color="000000"/>
              <w:left w:val="single" w:sz="4" w:space="0" w:color="000000"/>
              <w:bottom w:val="single" w:sz="4" w:space="0" w:color="000000"/>
            </w:tcBorders>
            <w:shd w:val="clear" w:color="auto" w:fill="E6E6E6"/>
          </w:tcPr>
          <w:p w:rsidR="0056194E" w:rsidRDefault="0056194E">
            <w:pPr>
              <w:jc w:val="both"/>
              <w:rPr>
                <w:rFonts w:ascii="Arial" w:hAnsi="Arial" w:cs="Arial"/>
                <w:sz w:val="16"/>
                <w:szCs w:val="16"/>
              </w:rPr>
            </w:pPr>
            <w:r>
              <w:rPr>
                <w:rFonts w:ascii="Arial" w:hAnsi="Arial" w:cs="Arial"/>
                <w:b/>
                <w:bCs/>
                <w:sz w:val="16"/>
                <w:szCs w:val="16"/>
              </w:rPr>
              <w:t>ABIRATERONA+TDA</w:t>
            </w:r>
          </w:p>
          <w:p w:rsidR="0056194E" w:rsidRDefault="0056194E">
            <w:pPr>
              <w:jc w:val="both"/>
            </w:pPr>
            <w:r>
              <w:rPr>
                <w:rFonts w:ascii="Arial" w:hAnsi="Arial" w:cs="Arial"/>
                <w:sz w:val="16"/>
                <w:szCs w:val="16"/>
              </w:rPr>
              <w:t>comprimidos 500 mg</w:t>
            </w:r>
          </w:p>
        </w:tc>
        <w:tc>
          <w:tcPr>
            <w:tcW w:w="1948" w:type="dxa"/>
            <w:tcBorders>
              <w:top w:val="single" w:sz="4" w:space="0" w:color="000000"/>
              <w:left w:val="single" w:sz="4" w:space="0" w:color="000000"/>
              <w:bottom w:val="single" w:sz="4" w:space="0" w:color="000000"/>
            </w:tcBorders>
            <w:shd w:val="clear" w:color="auto" w:fill="E6E6E6"/>
          </w:tcPr>
          <w:p w:rsidR="0056194E" w:rsidRDefault="0056194E">
            <w:pPr>
              <w:jc w:val="both"/>
              <w:rPr>
                <w:rFonts w:ascii="Arial" w:hAnsi="Arial" w:cs="Arial"/>
                <w:sz w:val="16"/>
                <w:szCs w:val="16"/>
              </w:rPr>
            </w:pPr>
            <w:r>
              <w:rPr>
                <w:rFonts w:ascii="Arial" w:hAnsi="Arial" w:cs="Arial"/>
                <w:b/>
                <w:bCs/>
                <w:sz w:val="16"/>
                <w:szCs w:val="16"/>
              </w:rPr>
              <w:t>DOCETAXEL+TDA</w:t>
            </w:r>
          </w:p>
          <w:p w:rsidR="0056194E" w:rsidRDefault="0056194E">
            <w:pPr>
              <w:jc w:val="both"/>
            </w:pPr>
            <w:r>
              <w:rPr>
                <w:rFonts w:ascii="Arial" w:hAnsi="Arial" w:cs="Arial"/>
                <w:sz w:val="16"/>
                <w:szCs w:val="16"/>
              </w:rPr>
              <w:t>vial 160 mg</w:t>
            </w:r>
          </w:p>
        </w:tc>
        <w:tc>
          <w:tcPr>
            <w:tcW w:w="2198" w:type="dxa"/>
            <w:tcBorders>
              <w:top w:val="single" w:sz="4" w:space="0" w:color="000000"/>
              <w:left w:val="single" w:sz="4" w:space="0" w:color="000000"/>
              <w:bottom w:val="single" w:sz="4" w:space="0" w:color="000000"/>
              <w:right w:val="single" w:sz="4" w:space="0" w:color="000000"/>
            </w:tcBorders>
            <w:shd w:val="clear" w:color="auto" w:fill="E6E6E6"/>
          </w:tcPr>
          <w:p w:rsidR="004C27E3" w:rsidRDefault="0056194E" w:rsidP="00A113AF">
            <w:pPr>
              <w:jc w:val="center"/>
            </w:pPr>
            <w:r>
              <w:rPr>
                <w:rFonts w:ascii="Arial" w:hAnsi="Arial" w:cs="Arial"/>
                <w:b/>
                <w:bCs/>
                <w:color w:val="000000"/>
                <w:sz w:val="16"/>
                <w:szCs w:val="16"/>
              </w:rPr>
              <w:t>TDA</w:t>
            </w:r>
          </w:p>
        </w:tc>
      </w:tr>
      <w:tr w:rsidR="0056194E">
        <w:trPr>
          <w:trHeight w:val="168"/>
        </w:trPr>
        <w:tc>
          <w:tcPr>
            <w:tcW w:w="3046" w:type="dxa"/>
            <w:tcBorders>
              <w:top w:val="single" w:sz="4" w:space="0" w:color="000000"/>
              <w:left w:val="single" w:sz="4" w:space="0" w:color="000000"/>
              <w:bottom w:val="single" w:sz="4" w:space="0" w:color="000000"/>
            </w:tcBorders>
            <w:vAlign w:val="center"/>
          </w:tcPr>
          <w:p w:rsidR="0056194E" w:rsidRDefault="0056194E" w:rsidP="00BB20B8">
            <w:pPr>
              <w:jc w:val="center"/>
            </w:pPr>
            <w:r>
              <w:rPr>
                <w:rFonts w:ascii="Arial" w:hAnsi="Arial" w:cs="Arial"/>
                <w:b/>
                <w:sz w:val="16"/>
                <w:szCs w:val="16"/>
              </w:rPr>
              <w:t>Precio unitario (PVL+IVA) *</w:t>
            </w:r>
          </w:p>
        </w:tc>
        <w:tc>
          <w:tcPr>
            <w:tcW w:w="1947" w:type="dxa"/>
            <w:tcBorders>
              <w:top w:val="single" w:sz="4" w:space="0" w:color="000000"/>
              <w:left w:val="single" w:sz="4" w:space="0" w:color="000000"/>
              <w:bottom w:val="single" w:sz="4" w:space="0" w:color="000000"/>
            </w:tcBorders>
            <w:vAlign w:val="center"/>
          </w:tcPr>
          <w:p w:rsidR="0056194E" w:rsidRDefault="00FF567D" w:rsidP="00BB20B8">
            <w:pPr>
              <w:snapToGrid w:val="0"/>
              <w:jc w:val="center"/>
            </w:pPr>
            <w:r>
              <w:rPr>
                <w:rFonts w:ascii="Arial" w:hAnsi="Arial" w:cs="Arial"/>
                <w:sz w:val="16"/>
                <w:szCs w:val="16"/>
              </w:rPr>
              <w:t xml:space="preserve">20.7 </w:t>
            </w:r>
            <w:r w:rsidR="0056194E">
              <w:rPr>
                <w:rFonts w:ascii="Arial" w:hAnsi="Arial" w:cs="Arial"/>
                <w:sz w:val="16"/>
                <w:szCs w:val="16"/>
              </w:rPr>
              <w:t>€</w:t>
            </w:r>
          </w:p>
        </w:tc>
        <w:tc>
          <w:tcPr>
            <w:tcW w:w="1948" w:type="dxa"/>
            <w:tcBorders>
              <w:top w:val="single" w:sz="4" w:space="0" w:color="000000"/>
              <w:left w:val="single" w:sz="4" w:space="0" w:color="000000"/>
              <w:bottom w:val="single" w:sz="4" w:space="0" w:color="000000"/>
            </w:tcBorders>
            <w:vAlign w:val="center"/>
          </w:tcPr>
          <w:p w:rsidR="0056194E" w:rsidRDefault="0056194E" w:rsidP="00BB20B8">
            <w:pPr>
              <w:snapToGrid w:val="0"/>
              <w:jc w:val="center"/>
            </w:pPr>
            <w:r>
              <w:rPr>
                <w:rFonts w:ascii="Arial" w:hAnsi="Arial" w:cs="Arial"/>
                <w:sz w:val="16"/>
                <w:szCs w:val="16"/>
              </w:rPr>
              <w:t>365,83€+coste TDA</w:t>
            </w:r>
          </w:p>
        </w:tc>
        <w:tc>
          <w:tcPr>
            <w:tcW w:w="2198" w:type="dxa"/>
            <w:tcBorders>
              <w:top w:val="single" w:sz="4" w:space="0" w:color="000000"/>
              <w:left w:val="single" w:sz="4" w:space="0" w:color="000000"/>
              <w:bottom w:val="single" w:sz="4" w:space="0" w:color="000000"/>
              <w:right w:val="single" w:sz="4" w:space="0" w:color="000000"/>
            </w:tcBorders>
            <w:vAlign w:val="center"/>
          </w:tcPr>
          <w:p w:rsidR="0056194E" w:rsidRDefault="0056194E" w:rsidP="00BB20B8">
            <w:pPr>
              <w:snapToGrid w:val="0"/>
              <w:jc w:val="center"/>
            </w:pPr>
            <w:r>
              <w:rPr>
                <w:rFonts w:ascii="Arial" w:hAnsi="Arial" w:cs="Arial"/>
                <w:sz w:val="16"/>
                <w:szCs w:val="16"/>
              </w:rPr>
              <w:t>---</w:t>
            </w:r>
          </w:p>
        </w:tc>
      </w:tr>
      <w:tr w:rsidR="0056194E" w:rsidRPr="00BB20B8">
        <w:tc>
          <w:tcPr>
            <w:tcW w:w="3046" w:type="dxa"/>
            <w:tcBorders>
              <w:top w:val="single" w:sz="4" w:space="0" w:color="000000"/>
              <w:left w:val="single" w:sz="4" w:space="0" w:color="000000"/>
              <w:bottom w:val="single" w:sz="4" w:space="0" w:color="000000"/>
            </w:tcBorders>
            <w:vAlign w:val="center"/>
          </w:tcPr>
          <w:p w:rsidR="0056194E" w:rsidRDefault="0056194E" w:rsidP="00BB20B8">
            <w:pPr>
              <w:jc w:val="center"/>
            </w:pPr>
            <w:r>
              <w:rPr>
                <w:rFonts w:ascii="Arial" w:hAnsi="Arial" w:cs="Arial"/>
                <w:b/>
                <w:sz w:val="16"/>
                <w:szCs w:val="16"/>
              </w:rPr>
              <w:t>Posología</w:t>
            </w:r>
          </w:p>
        </w:tc>
        <w:tc>
          <w:tcPr>
            <w:tcW w:w="1947" w:type="dxa"/>
            <w:tcBorders>
              <w:top w:val="single" w:sz="4" w:space="0" w:color="000000"/>
              <w:left w:val="single" w:sz="4" w:space="0" w:color="000000"/>
              <w:bottom w:val="single" w:sz="4" w:space="0" w:color="000000"/>
            </w:tcBorders>
            <w:vAlign w:val="center"/>
          </w:tcPr>
          <w:p w:rsidR="0056194E" w:rsidRDefault="0056194E" w:rsidP="00BB20B8">
            <w:pPr>
              <w:snapToGrid w:val="0"/>
              <w:jc w:val="center"/>
            </w:pPr>
            <w:r>
              <w:rPr>
                <w:rFonts w:ascii="Arial" w:hAnsi="Arial" w:cs="Arial"/>
                <w:sz w:val="16"/>
                <w:szCs w:val="16"/>
              </w:rPr>
              <w:t>1000 mg / 24h, máx. 2 años</w:t>
            </w:r>
          </w:p>
        </w:tc>
        <w:tc>
          <w:tcPr>
            <w:tcW w:w="1948" w:type="dxa"/>
            <w:tcBorders>
              <w:top w:val="single" w:sz="4" w:space="0" w:color="000000"/>
              <w:left w:val="single" w:sz="4" w:space="0" w:color="000000"/>
              <w:bottom w:val="single" w:sz="4" w:space="0" w:color="000000"/>
            </w:tcBorders>
            <w:vAlign w:val="center"/>
          </w:tcPr>
          <w:p w:rsidR="0056194E" w:rsidRPr="00BB20B8" w:rsidRDefault="0056194E" w:rsidP="00BB20B8">
            <w:pPr>
              <w:snapToGrid w:val="0"/>
              <w:jc w:val="center"/>
            </w:pPr>
            <w:r>
              <w:rPr>
                <w:rFonts w:ascii="Arial" w:hAnsi="Arial" w:cs="Arial"/>
                <w:sz w:val="16"/>
                <w:szCs w:val="16"/>
              </w:rPr>
              <w:t>75 mg /m</w:t>
            </w:r>
            <w:r>
              <w:rPr>
                <w:rFonts w:ascii="Arial" w:hAnsi="Arial" w:cs="Arial"/>
                <w:sz w:val="16"/>
                <w:szCs w:val="16"/>
                <w:vertAlign w:val="superscript"/>
              </w:rPr>
              <w:t>2</w:t>
            </w:r>
            <w:r>
              <w:rPr>
                <w:rFonts w:ascii="Arial" w:hAnsi="Arial" w:cs="Arial"/>
                <w:sz w:val="16"/>
                <w:szCs w:val="16"/>
              </w:rPr>
              <w:t>/21 días, máx 6 ciclos</w:t>
            </w:r>
          </w:p>
        </w:tc>
        <w:tc>
          <w:tcPr>
            <w:tcW w:w="2198" w:type="dxa"/>
            <w:tcBorders>
              <w:top w:val="single" w:sz="4" w:space="0" w:color="000000"/>
              <w:left w:val="single" w:sz="4" w:space="0" w:color="000000"/>
              <w:bottom w:val="single" w:sz="4" w:space="0" w:color="000000"/>
              <w:right w:val="single" w:sz="4" w:space="0" w:color="000000"/>
            </w:tcBorders>
            <w:vAlign w:val="center"/>
          </w:tcPr>
          <w:p w:rsidR="0056194E" w:rsidRPr="00BB20B8" w:rsidRDefault="0056194E" w:rsidP="00BB20B8">
            <w:pPr>
              <w:snapToGrid w:val="0"/>
              <w:jc w:val="center"/>
            </w:pPr>
            <w:r w:rsidRPr="00BB20B8">
              <w:rPr>
                <w:rFonts w:ascii="Arial" w:hAnsi="Arial" w:cs="Arial"/>
                <w:sz w:val="16"/>
                <w:szCs w:val="16"/>
              </w:rPr>
              <w:t>Mensual ó trimestral ó semestral</w:t>
            </w:r>
          </w:p>
        </w:tc>
      </w:tr>
      <w:tr w:rsidR="0056194E">
        <w:tc>
          <w:tcPr>
            <w:tcW w:w="3046" w:type="dxa"/>
            <w:tcBorders>
              <w:top w:val="single" w:sz="4" w:space="0" w:color="000000"/>
              <w:left w:val="single" w:sz="4" w:space="0" w:color="000000"/>
              <w:bottom w:val="single" w:sz="4" w:space="0" w:color="000000"/>
            </w:tcBorders>
            <w:vAlign w:val="center"/>
          </w:tcPr>
          <w:p w:rsidR="0056194E" w:rsidRDefault="0056194E" w:rsidP="00BB20B8">
            <w:pPr>
              <w:jc w:val="center"/>
            </w:pPr>
            <w:r>
              <w:rPr>
                <w:rFonts w:ascii="Arial" w:hAnsi="Arial" w:cs="Arial"/>
                <w:b/>
                <w:bCs/>
                <w:sz w:val="16"/>
                <w:szCs w:val="16"/>
              </w:rPr>
              <w:t>Coste día</w:t>
            </w:r>
          </w:p>
        </w:tc>
        <w:tc>
          <w:tcPr>
            <w:tcW w:w="1947" w:type="dxa"/>
            <w:tcBorders>
              <w:top w:val="single" w:sz="4" w:space="0" w:color="000000"/>
              <w:left w:val="single" w:sz="4" w:space="0" w:color="000000"/>
              <w:bottom w:val="single" w:sz="4" w:space="0" w:color="000000"/>
            </w:tcBorders>
            <w:vAlign w:val="center"/>
          </w:tcPr>
          <w:p w:rsidR="0056194E" w:rsidRDefault="00FF567D" w:rsidP="00BB20B8">
            <w:pPr>
              <w:snapToGrid w:val="0"/>
              <w:jc w:val="center"/>
              <w:rPr>
                <w:rFonts w:ascii="Arial" w:hAnsi="Arial" w:cs="Arial"/>
                <w:sz w:val="16"/>
                <w:szCs w:val="16"/>
              </w:rPr>
            </w:pPr>
            <w:r>
              <w:rPr>
                <w:rFonts w:ascii="Arial" w:hAnsi="Arial" w:cs="Arial"/>
                <w:sz w:val="16"/>
                <w:szCs w:val="16"/>
              </w:rPr>
              <w:t>41,4</w:t>
            </w:r>
            <w:r w:rsidR="0056194E">
              <w:rPr>
                <w:rFonts w:ascii="Arial" w:hAnsi="Arial" w:cs="Arial"/>
                <w:sz w:val="16"/>
                <w:szCs w:val="16"/>
              </w:rPr>
              <w:t xml:space="preserve"> €</w:t>
            </w:r>
          </w:p>
          <w:p w:rsidR="0056194E" w:rsidRDefault="0056194E" w:rsidP="00BB20B8">
            <w:pPr>
              <w:snapToGrid w:val="0"/>
              <w:jc w:val="center"/>
            </w:pPr>
            <w:r>
              <w:rPr>
                <w:rFonts w:ascii="Arial" w:hAnsi="Arial" w:cs="Arial"/>
                <w:sz w:val="16"/>
                <w:szCs w:val="16"/>
              </w:rPr>
              <w:t>+coste TDA</w:t>
            </w:r>
          </w:p>
        </w:tc>
        <w:tc>
          <w:tcPr>
            <w:tcW w:w="1948" w:type="dxa"/>
            <w:tcBorders>
              <w:top w:val="single" w:sz="4" w:space="0" w:color="000000"/>
              <w:left w:val="single" w:sz="4" w:space="0" w:color="000000"/>
              <w:bottom w:val="single" w:sz="4" w:space="0" w:color="000000"/>
            </w:tcBorders>
            <w:vAlign w:val="center"/>
          </w:tcPr>
          <w:p w:rsidR="0056194E" w:rsidRDefault="0056194E" w:rsidP="00BB20B8">
            <w:pPr>
              <w:snapToGrid w:val="0"/>
              <w:spacing w:before="80"/>
              <w:jc w:val="center"/>
            </w:pPr>
            <w:r>
              <w:rPr>
                <w:rFonts w:ascii="Arial" w:hAnsi="Arial" w:cs="Arial"/>
                <w:sz w:val="16"/>
                <w:szCs w:val="16"/>
              </w:rPr>
              <w:t>127,5 mg= 365,83 €+coste TDA</w:t>
            </w:r>
          </w:p>
        </w:tc>
        <w:tc>
          <w:tcPr>
            <w:tcW w:w="2198" w:type="dxa"/>
            <w:tcBorders>
              <w:top w:val="single" w:sz="4" w:space="0" w:color="000000"/>
              <w:left w:val="single" w:sz="4" w:space="0" w:color="000000"/>
              <w:bottom w:val="single" w:sz="4" w:space="0" w:color="000000"/>
              <w:right w:val="single" w:sz="4" w:space="0" w:color="000000"/>
            </w:tcBorders>
            <w:vAlign w:val="center"/>
          </w:tcPr>
          <w:p w:rsidR="0056194E" w:rsidRDefault="0056194E" w:rsidP="00BB20B8">
            <w:pPr>
              <w:snapToGrid w:val="0"/>
              <w:jc w:val="center"/>
            </w:pPr>
            <w:r>
              <w:rPr>
                <w:rFonts w:ascii="Arial" w:hAnsi="Arial" w:cs="Arial"/>
                <w:sz w:val="16"/>
                <w:szCs w:val="16"/>
              </w:rPr>
              <w:t>----</w:t>
            </w:r>
          </w:p>
        </w:tc>
      </w:tr>
      <w:tr w:rsidR="0056194E">
        <w:tc>
          <w:tcPr>
            <w:tcW w:w="3046" w:type="dxa"/>
            <w:tcBorders>
              <w:top w:val="single" w:sz="4" w:space="0" w:color="000000"/>
              <w:left w:val="single" w:sz="4" w:space="0" w:color="000000"/>
              <w:bottom w:val="single" w:sz="4" w:space="0" w:color="000000"/>
            </w:tcBorders>
            <w:vAlign w:val="center"/>
          </w:tcPr>
          <w:p w:rsidR="0056194E" w:rsidRPr="00BB20B8" w:rsidRDefault="0056194E" w:rsidP="00BB20B8">
            <w:pPr>
              <w:jc w:val="center"/>
              <w:rPr>
                <w:rFonts w:ascii="Arial" w:hAnsi="Arial" w:cs="Arial"/>
                <w:sz w:val="16"/>
                <w:szCs w:val="16"/>
              </w:rPr>
            </w:pPr>
            <w:r>
              <w:rPr>
                <w:rFonts w:ascii="Arial" w:hAnsi="Arial" w:cs="Arial"/>
                <w:b/>
                <w:sz w:val="16"/>
                <w:szCs w:val="16"/>
              </w:rPr>
              <w:t>Coste tratamiento completo</w:t>
            </w:r>
          </w:p>
        </w:tc>
        <w:tc>
          <w:tcPr>
            <w:tcW w:w="1947" w:type="dxa"/>
            <w:tcBorders>
              <w:top w:val="single" w:sz="4" w:space="0" w:color="000000"/>
              <w:left w:val="single" w:sz="4" w:space="0" w:color="000000"/>
              <w:bottom w:val="single" w:sz="4" w:space="0" w:color="000000"/>
            </w:tcBorders>
            <w:vAlign w:val="center"/>
          </w:tcPr>
          <w:p w:rsidR="0056194E" w:rsidRDefault="0056194E" w:rsidP="00BB20B8">
            <w:pPr>
              <w:snapToGrid w:val="0"/>
              <w:jc w:val="center"/>
            </w:pPr>
            <w:r>
              <w:rPr>
                <w:rFonts w:ascii="Arial" w:hAnsi="Arial" w:cs="Arial"/>
                <w:sz w:val="16"/>
                <w:szCs w:val="16"/>
              </w:rPr>
              <w:t xml:space="preserve">1,8 años: </w:t>
            </w:r>
            <w:r w:rsidR="00FF567D">
              <w:rPr>
                <w:rFonts w:ascii="Arial" w:hAnsi="Arial" w:cs="Arial"/>
                <w:sz w:val="16"/>
                <w:szCs w:val="16"/>
              </w:rPr>
              <w:t xml:space="preserve">27.200 </w:t>
            </w:r>
            <w:r>
              <w:rPr>
                <w:rFonts w:ascii="Arial" w:hAnsi="Arial" w:cs="Arial"/>
                <w:sz w:val="16"/>
                <w:szCs w:val="16"/>
              </w:rPr>
              <w:t>€+coste TDA</w:t>
            </w:r>
          </w:p>
        </w:tc>
        <w:tc>
          <w:tcPr>
            <w:tcW w:w="1948" w:type="dxa"/>
            <w:tcBorders>
              <w:top w:val="single" w:sz="4" w:space="0" w:color="000000"/>
              <w:left w:val="single" w:sz="4" w:space="0" w:color="000000"/>
              <w:bottom w:val="single" w:sz="4" w:space="0" w:color="000000"/>
            </w:tcBorders>
            <w:vAlign w:val="center"/>
          </w:tcPr>
          <w:p w:rsidR="0056194E" w:rsidRDefault="0056194E" w:rsidP="00BB20B8">
            <w:pPr>
              <w:snapToGrid w:val="0"/>
              <w:spacing w:before="80"/>
              <w:jc w:val="center"/>
            </w:pPr>
            <w:r>
              <w:rPr>
                <w:rFonts w:ascii="Arial" w:hAnsi="Arial" w:cs="Arial"/>
                <w:sz w:val="16"/>
                <w:szCs w:val="16"/>
              </w:rPr>
              <w:t>6 ciclos: 2.194,98 € + coste TDA</w:t>
            </w:r>
          </w:p>
        </w:tc>
        <w:tc>
          <w:tcPr>
            <w:tcW w:w="2198" w:type="dxa"/>
            <w:tcBorders>
              <w:top w:val="single" w:sz="4" w:space="0" w:color="000000"/>
              <w:left w:val="single" w:sz="4" w:space="0" w:color="000000"/>
              <w:bottom w:val="single" w:sz="4" w:space="0" w:color="000000"/>
              <w:right w:val="single" w:sz="4" w:space="0" w:color="000000"/>
            </w:tcBorders>
            <w:vAlign w:val="center"/>
          </w:tcPr>
          <w:p w:rsidR="0056194E" w:rsidRDefault="0056194E" w:rsidP="00BB20B8">
            <w:pPr>
              <w:snapToGrid w:val="0"/>
              <w:jc w:val="center"/>
            </w:pPr>
            <w:r>
              <w:rPr>
                <w:rFonts w:ascii="Arial" w:hAnsi="Arial" w:cs="Arial"/>
                <w:sz w:val="16"/>
                <w:szCs w:val="16"/>
              </w:rPr>
              <w:t>---</w:t>
            </w:r>
          </w:p>
        </w:tc>
      </w:tr>
      <w:tr w:rsidR="0056194E">
        <w:tc>
          <w:tcPr>
            <w:tcW w:w="3046" w:type="dxa"/>
            <w:tcBorders>
              <w:top w:val="single" w:sz="4" w:space="0" w:color="000000"/>
              <w:left w:val="single" w:sz="4" w:space="0" w:color="000000"/>
              <w:bottom w:val="single" w:sz="4" w:space="0" w:color="000000"/>
            </w:tcBorders>
            <w:vAlign w:val="center"/>
          </w:tcPr>
          <w:p w:rsidR="0056194E" w:rsidRDefault="0056194E" w:rsidP="00BB20B8">
            <w:pPr>
              <w:jc w:val="center"/>
            </w:pPr>
            <w:r>
              <w:rPr>
                <w:rFonts w:ascii="Arial" w:hAnsi="Arial" w:cs="Arial"/>
                <w:b/>
                <w:sz w:val="16"/>
                <w:szCs w:val="16"/>
              </w:rPr>
              <w:t>Costes directos asociados  *</w:t>
            </w:r>
          </w:p>
        </w:tc>
        <w:tc>
          <w:tcPr>
            <w:tcW w:w="1947" w:type="dxa"/>
            <w:tcBorders>
              <w:top w:val="single" w:sz="4" w:space="0" w:color="000000"/>
              <w:left w:val="single" w:sz="4" w:space="0" w:color="000000"/>
              <w:bottom w:val="single" w:sz="4" w:space="0" w:color="000000"/>
            </w:tcBorders>
            <w:vAlign w:val="center"/>
          </w:tcPr>
          <w:p w:rsidR="0056194E" w:rsidRDefault="0056194E" w:rsidP="00BB20B8">
            <w:pPr>
              <w:snapToGrid w:val="0"/>
              <w:jc w:val="center"/>
            </w:pPr>
            <w:r>
              <w:rPr>
                <w:rFonts w:ascii="Arial" w:hAnsi="Arial" w:cs="Arial"/>
                <w:sz w:val="16"/>
                <w:szCs w:val="16"/>
              </w:rPr>
              <w:t>No procede</w:t>
            </w:r>
          </w:p>
        </w:tc>
        <w:tc>
          <w:tcPr>
            <w:tcW w:w="1948" w:type="dxa"/>
            <w:tcBorders>
              <w:top w:val="single" w:sz="4" w:space="0" w:color="000000"/>
              <w:left w:val="single" w:sz="4" w:space="0" w:color="000000"/>
              <w:bottom w:val="single" w:sz="4" w:space="0" w:color="000000"/>
            </w:tcBorders>
            <w:vAlign w:val="center"/>
          </w:tcPr>
          <w:p w:rsidR="0056194E" w:rsidRDefault="0056194E" w:rsidP="00BB20B8">
            <w:pPr>
              <w:snapToGrid w:val="0"/>
              <w:spacing w:before="80"/>
              <w:jc w:val="center"/>
            </w:pPr>
            <w:r>
              <w:rPr>
                <w:rFonts w:ascii="Arial" w:hAnsi="Arial" w:cs="Arial"/>
                <w:sz w:val="16"/>
                <w:szCs w:val="16"/>
              </w:rPr>
              <w:t>167€ x 6 ciclos=1.002€</w:t>
            </w:r>
          </w:p>
        </w:tc>
        <w:tc>
          <w:tcPr>
            <w:tcW w:w="2198" w:type="dxa"/>
            <w:tcBorders>
              <w:top w:val="single" w:sz="4" w:space="0" w:color="000000"/>
              <w:left w:val="single" w:sz="4" w:space="0" w:color="000000"/>
              <w:bottom w:val="single" w:sz="4" w:space="0" w:color="000000"/>
              <w:right w:val="single" w:sz="4" w:space="0" w:color="000000"/>
            </w:tcBorders>
            <w:vAlign w:val="center"/>
          </w:tcPr>
          <w:p w:rsidR="0056194E" w:rsidRDefault="0056194E" w:rsidP="00BB20B8">
            <w:pPr>
              <w:snapToGrid w:val="0"/>
              <w:jc w:val="center"/>
            </w:pPr>
            <w:r>
              <w:rPr>
                <w:rFonts w:ascii="Arial" w:hAnsi="Arial" w:cs="Arial"/>
                <w:b/>
                <w:sz w:val="16"/>
                <w:szCs w:val="16"/>
              </w:rPr>
              <w:t>---</w:t>
            </w:r>
          </w:p>
        </w:tc>
      </w:tr>
      <w:tr w:rsidR="0056194E">
        <w:tc>
          <w:tcPr>
            <w:tcW w:w="3046" w:type="dxa"/>
            <w:tcBorders>
              <w:top w:val="single" w:sz="4" w:space="0" w:color="000000"/>
              <w:left w:val="single" w:sz="4" w:space="0" w:color="000000"/>
              <w:bottom w:val="single" w:sz="4" w:space="0" w:color="000000"/>
            </w:tcBorders>
            <w:vAlign w:val="center"/>
          </w:tcPr>
          <w:p w:rsidR="0056194E" w:rsidRPr="00BB20B8" w:rsidRDefault="0056194E" w:rsidP="00BB20B8">
            <w:pPr>
              <w:jc w:val="center"/>
              <w:rPr>
                <w:rFonts w:ascii="Arial" w:hAnsi="Arial" w:cs="Arial"/>
                <w:sz w:val="16"/>
                <w:szCs w:val="16"/>
              </w:rPr>
            </w:pPr>
            <w:r>
              <w:rPr>
                <w:rFonts w:ascii="Arial" w:hAnsi="Arial" w:cs="Arial"/>
                <w:b/>
                <w:sz w:val="16"/>
                <w:szCs w:val="16"/>
              </w:rPr>
              <w:t>Coste global</w:t>
            </w:r>
          </w:p>
        </w:tc>
        <w:tc>
          <w:tcPr>
            <w:tcW w:w="1947" w:type="dxa"/>
            <w:tcBorders>
              <w:top w:val="single" w:sz="4" w:space="0" w:color="000000"/>
              <w:left w:val="single" w:sz="4" w:space="0" w:color="000000"/>
              <w:bottom w:val="single" w:sz="4" w:space="0" w:color="000000"/>
            </w:tcBorders>
            <w:vAlign w:val="center"/>
          </w:tcPr>
          <w:p w:rsidR="0056194E" w:rsidRDefault="00FF567D" w:rsidP="00BB20B8">
            <w:pPr>
              <w:snapToGrid w:val="0"/>
              <w:jc w:val="center"/>
            </w:pPr>
            <w:r>
              <w:rPr>
                <w:rFonts w:ascii="Arial" w:hAnsi="Arial" w:cs="Arial"/>
                <w:sz w:val="16"/>
                <w:szCs w:val="16"/>
              </w:rPr>
              <w:t>27.200</w:t>
            </w:r>
            <w:r w:rsidR="00705E5E">
              <w:rPr>
                <w:rFonts w:ascii="Arial" w:hAnsi="Arial" w:cs="Arial"/>
                <w:sz w:val="16"/>
                <w:szCs w:val="16"/>
              </w:rPr>
              <w:t xml:space="preserve"> </w:t>
            </w:r>
            <w:r w:rsidR="0056194E">
              <w:rPr>
                <w:rFonts w:ascii="Arial" w:hAnsi="Arial" w:cs="Arial"/>
                <w:sz w:val="16"/>
                <w:szCs w:val="16"/>
              </w:rPr>
              <w:t>€+coste TDA</w:t>
            </w:r>
          </w:p>
        </w:tc>
        <w:tc>
          <w:tcPr>
            <w:tcW w:w="1948" w:type="dxa"/>
            <w:tcBorders>
              <w:top w:val="single" w:sz="4" w:space="0" w:color="000000"/>
              <w:left w:val="single" w:sz="4" w:space="0" w:color="000000"/>
              <w:bottom w:val="single" w:sz="4" w:space="0" w:color="000000"/>
            </w:tcBorders>
            <w:vAlign w:val="center"/>
          </w:tcPr>
          <w:p w:rsidR="0056194E" w:rsidRDefault="0056194E" w:rsidP="00BB20B8">
            <w:pPr>
              <w:snapToGrid w:val="0"/>
              <w:spacing w:before="80"/>
              <w:jc w:val="center"/>
            </w:pPr>
            <w:r>
              <w:rPr>
                <w:rFonts w:ascii="Arial" w:hAnsi="Arial" w:cs="Arial"/>
                <w:sz w:val="16"/>
                <w:szCs w:val="16"/>
              </w:rPr>
              <w:t>3.197€ + coste TDA</w:t>
            </w:r>
          </w:p>
        </w:tc>
        <w:tc>
          <w:tcPr>
            <w:tcW w:w="2198" w:type="dxa"/>
            <w:tcBorders>
              <w:top w:val="single" w:sz="4" w:space="0" w:color="000000"/>
              <w:left w:val="single" w:sz="4" w:space="0" w:color="000000"/>
              <w:bottom w:val="single" w:sz="4" w:space="0" w:color="000000"/>
              <w:right w:val="single" w:sz="4" w:space="0" w:color="000000"/>
            </w:tcBorders>
            <w:vAlign w:val="center"/>
          </w:tcPr>
          <w:p w:rsidR="0056194E" w:rsidRDefault="0056194E" w:rsidP="00BB20B8">
            <w:pPr>
              <w:snapToGrid w:val="0"/>
              <w:jc w:val="center"/>
            </w:pPr>
            <w:r>
              <w:rPr>
                <w:rFonts w:ascii="Arial" w:hAnsi="Arial" w:cs="Arial"/>
                <w:b/>
                <w:sz w:val="16"/>
                <w:szCs w:val="16"/>
              </w:rPr>
              <w:t>----</w:t>
            </w:r>
          </w:p>
        </w:tc>
      </w:tr>
      <w:tr w:rsidR="0056194E">
        <w:trPr>
          <w:trHeight w:val="426"/>
        </w:trPr>
        <w:tc>
          <w:tcPr>
            <w:tcW w:w="3046" w:type="dxa"/>
            <w:tcBorders>
              <w:top w:val="single" w:sz="4" w:space="0" w:color="000000"/>
              <w:left w:val="single" w:sz="4" w:space="0" w:color="000000"/>
              <w:bottom w:val="single" w:sz="4" w:space="0" w:color="000000"/>
            </w:tcBorders>
            <w:vAlign w:val="center"/>
          </w:tcPr>
          <w:p w:rsidR="0056194E" w:rsidRDefault="0056194E" w:rsidP="00BB20B8">
            <w:pPr>
              <w:jc w:val="center"/>
            </w:pPr>
            <w:r>
              <w:rPr>
                <w:rFonts w:ascii="Arial" w:hAnsi="Arial" w:cs="Arial"/>
                <w:b/>
                <w:sz w:val="16"/>
                <w:szCs w:val="16"/>
              </w:rPr>
              <w:t>Coste incremental (diferencial)  respecto a la terapia de referencia</w:t>
            </w:r>
          </w:p>
        </w:tc>
        <w:tc>
          <w:tcPr>
            <w:tcW w:w="1947" w:type="dxa"/>
            <w:tcBorders>
              <w:top w:val="single" w:sz="4" w:space="0" w:color="000000"/>
              <w:left w:val="single" w:sz="4" w:space="0" w:color="000000"/>
              <w:bottom w:val="single" w:sz="4" w:space="0" w:color="000000"/>
            </w:tcBorders>
            <w:vAlign w:val="center"/>
          </w:tcPr>
          <w:p w:rsidR="0056194E" w:rsidRDefault="00FF567D" w:rsidP="00D00891">
            <w:pPr>
              <w:snapToGrid w:val="0"/>
              <w:jc w:val="center"/>
            </w:pPr>
            <w:r>
              <w:rPr>
                <w:rFonts w:ascii="Arial" w:hAnsi="Arial" w:cs="Arial"/>
                <w:sz w:val="16"/>
                <w:szCs w:val="16"/>
              </w:rPr>
              <w:t>27.200</w:t>
            </w:r>
            <w:r w:rsidR="00705E5E">
              <w:rPr>
                <w:rFonts w:ascii="Arial" w:hAnsi="Arial" w:cs="Arial"/>
                <w:sz w:val="16"/>
                <w:szCs w:val="16"/>
              </w:rPr>
              <w:t xml:space="preserve"> </w:t>
            </w:r>
            <w:r w:rsidR="0056194E">
              <w:rPr>
                <w:rFonts w:ascii="Arial" w:hAnsi="Arial" w:cs="Arial"/>
                <w:sz w:val="16"/>
                <w:szCs w:val="16"/>
              </w:rPr>
              <w:t>€</w:t>
            </w:r>
          </w:p>
        </w:tc>
        <w:tc>
          <w:tcPr>
            <w:tcW w:w="1948" w:type="dxa"/>
            <w:tcBorders>
              <w:top w:val="single" w:sz="4" w:space="0" w:color="000000"/>
              <w:left w:val="single" w:sz="4" w:space="0" w:color="000000"/>
              <w:bottom w:val="single" w:sz="4" w:space="0" w:color="000000"/>
            </w:tcBorders>
            <w:vAlign w:val="center"/>
          </w:tcPr>
          <w:p w:rsidR="0056194E" w:rsidRDefault="0056194E" w:rsidP="00D00891">
            <w:pPr>
              <w:snapToGrid w:val="0"/>
              <w:jc w:val="center"/>
            </w:pPr>
            <w:r>
              <w:rPr>
                <w:rFonts w:ascii="Arial" w:hAnsi="Arial" w:cs="Arial"/>
                <w:sz w:val="16"/>
                <w:szCs w:val="16"/>
              </w:rPr>
              <w:t>3.197€</w:t>
            </w:r>
          </w:p>
        </w:tc>
        <w:tc>
          <w:tcPr>
            <w:tcW w:w="2198" w:type="dxa"/>
            <w:tcBorders>
              <w:top w:val="single" w:sz="4" w:space="0" w:color="000000"/>
              <w:left w:val="single" w:sz="4" w:space="0" w:color="000000"/>
              <w:bottom w:val="single" w:sz="4" w:space="0" w:color="000000"/>
              <w:right w:val="single" w:sz="4" w:space="0" w:color="000000"/>
            </w:tcBorders>
            <w:vAlign w:val="center"/>
          </w:tcPr>
          <w:p w:rsidR="0056194E" w:rsidRDefault="0056194E" w:rsidP="00BB20B8">
            <w:pPr>
              <w:snapToGrid w:val="0"/>
              <w:jc w:val="center"/>
              <w:rPr>
                <w:rFonts w:ascii="Arial" w:hAnsi="Arial" w:cs="Arial"/>
                <w:b/>
                <w:sz w:val="16"/>
                <w:szCs w:val="16"/>
              </w:rPr>
            </w:pPr>
          </w:p>
          <w:p w:rsidR="0056194E" w:rsidRPr="00BB20B8" w:rsidRDefault="0056194E" w:rsidP="00BB20B8">
            <w:pPr>
              <w:snapToGrid w:val="0"/>
              <w:jc w:val="center"/>
            </w:pPr>
            <w:r w:rsidRPr="00BB20B8">
              <w:rPr>
                <w:rFonts w:ascii="Arial" w:hAnsi="Arial" w:cs="Arial"/>
                <w:sz w:val="16"/>
                <w:szCs w:val="16"/>
              </w:rPr>
              <w:t>Referencia</w:t>
            </w:r>
          </w:p>
        </w:tc>
      </w:tr>
      <w:tr w:rsidR="0056194E">
        <w:trPr>
          <w:cantSplit/>
        </w:trPr>
        <w:tc>
          <w:tcPr>
            <w:tcW w:w="9139" w:type="dxa"/>
            <w:gridSpan w:val="4"/>
            <w:tcBorders>
              <w:top w:val="single" w:sz="4" w:space="0" w:color="000000"/>
              <w:left w:val="single" w:sz="4" w:space="0" w:color="000000"/>
              <w:bottom w:val="single" w:sz="4" w:space="0" w:color="000000"/>
              <w:right w:val="single" w:sz="4" w:space="0" w:color="000000"/>
            </w:tcBorders>
            <w:shd w:val="clear" w:color="auto" w:fill="E6E6E6"/>
          </w:tcPr>
          <w:p w:rsidR="0056194E" w:rsidRDefault="0056194E" w:rsidP="00BB20B8">
            <w:pPr>
              <w:spacing w:before="80"/>
              <w:jc w:val="center"/>
            </w:pPr>
            <w:r>
              <w:rPr>
                <w:rFonts w:ascii="Arial" w:hAnsi="Arial" w:cs="Arial"/>
                <w:sz w:val="16"/>
                <w:szCs w:val="16"/>
              </w:rPr>
              <w:t>*Costes directos asociados: Se han considerado los costes asociados a la administración de medicamentos iv en hospital de día oncológico, relevante ya que la terapia de referencia (hormonoterapia) se administra vía sc y no lleva ese coste adicional asociado. El coste del hospital de día por visita (167 €) se obtuvo a partir de los precios publicados por varias Comunidades Autónomas</w:t>
            </w:r>
            <w:r>
              <w:rPr>
                <w:rFonts w:ascii="Arial" w:hAnsi="Arial" w:cs="Arial"/>
                <w:sz w:val="16"/>
                <w:szCs w:val="16"/>
                <w:vertAlign w:val="superscript"/>
              </w:rPr>
              <w:t>2</w:t>
            </w:r>
            <w:r w:rsidR="008503B4">
              <w:rPr>
                <w:rFonts w:ascii="Arial" w:hAnsi="Arial" w:cs="Arial"/>
                <w:sz w:val="16"/>
                <w:szCs w:val="16"/>
                <w:vertAlign w:val="superscript"/>
              </w:rPr>
              <w:t>9</w:t>
            </w:r>
            <w:r>
              <w:rPr>
                <w:rFonts w:ascii="Arial" w:hAnsi="Arial" w:cs="Arial"/>
                <w:sz w:val="16"/>
                <w:szCs w:val="16"/>
              </w:rPr>
              <w:t>.</w:t>
            </w:r>
          </w:p>
        </w:tc>
      </w:tr>
    </w:tbl>
    <w:p w:rsidR="0056194E" w:rsidRDefault="0056194E">
      <w:pPr>
        <w:jc w:val="both"/>
        <w:rPr>
          <w:rFonts w:ascii="Arial" w:hAnsi="Arial" w:cs="Arial"/>
          <w:color w:val="000080"/>
          <w:sz w:val="20"/>
          <w:szCs w:val="20"/>
        </w:rPr>
      </w:pPr>
    </w:p>
    <w:p w:rsidR="0056194E" w:rsidRDefault="0056194E">
      <w:pPr>
        <w:jc w:val="both"/>
        <w:rPr>
          <w:rFonts w:ascii="Arial" w:hAnsi="Arial" w:cs="Arial"/>
          <w:color w:val="000080"/>
          <w:sz w:val="20"/>
          <w:szCs w:val="20"/>
        </w:rPr>
      </w:pPr>
      <w:r>
        <w:rPr>
          <w:rFonts w:ascii="Arial" w:hAnsi="Arial" w:cs="Arial"/>
          <w:color w:val="000000"/>
          <w:sz w:val="20"/>
          <w:szCs w:val="20"/>
        </w:rPr>
        <w:t xml:space="preserve">Por tanto, el coste incremental del tratamiento completo con abiraterona respecto a docetaxel es de </w:t>
      </w:r>
      <w:r w:rsidR="00FF567D">
        <w:rPr>
          <w:rFonts w:ascii="Arial" w:hAnsi="Arial" w:cs="Arial"/>
          <w:color w:val="000000"/>
          <w:sz w:val="20"/>
          <w:szCs w:val="20"/>
        </w:rPr>
        <w:t xml:space="preserve">24.003 </w:t>
      </w:r>
      <w:r>
        <w:rPr>
          <w:rFonts w:ascii="Arial" w:hAnsi="Arial" w:cs="Arial"/>
          <w:color w:val="000000"/>
          <w:sz w:val="20"/>
          <w:szCs w:val="20"/>
        </w:rPr>
        <w:t>€ más el coste de la TDA.</w:t>
      </w:r>
    </w:p>
    <w:p w:rsidR="0056194E" w:rsidRDefault="0056194E">
      <w:pPr>
        <w:jc w:val="both"/>
        <w:rPr>
          <w:rFonts w:ascii="Arial" w:hAnsi="Arial" w:cs="Arial"/>
          <w:color w:val="000080"/>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43" w:name="_Toc536608359"/>
      <w:r>
        <w:rPr>
          <w:sz w:val="20"/>
        </w:rPr>
        <w:t>7.2.a Coste eficacia incremental. Estudios publicados</w:t>
      </w:r>
      <w:bookmarkEnd w:id="43"/>
      <w:r>
        <w:rPr>
          <w:sz w:val="20"/>
        </w:rPr>
        <w:t xml:space="preserve">  </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Se dispone de un estudio farmacoeconómico</w:t>
      </w:r>
      <w:r w:rsidR="00DB3DD7">
        <w:rPr>
          <w:rFonts w:ascii="Arial" w:hAnsi="Arial" w:cs="Arial"/>
          <w:sz w:val="20"/>
          <w:szCs w:val="20"/>
        </w:rPr>
        <w:t xml:space="preserve"> </w:t>
      </w:r>
      <w:r>
        <w:rPr>
          <w:rFonts w:ascii="Arial" w:hAnsi="Arial" w:cs="Arial"/>
          <w:sz w:val="20"/>
          <w:szCs w:val="20"/>
        </w:rPr>
        <w:t>(abstract) publicado en ESMO 2017, en el que se realiza un estudio coste efectividad de abiraterona en CPHS:</w:t>
      </w:r>
    </w:p>
    <w:p w:rsidR="0056194E" w:rsidRDefault="0056194E">
      <w:pPr>
        <w:jc w:val="both"/>
        <w:rPr>
          <w:rFonts w:ascii="Arial" w:hAnsi="Arial" w:cs="Arial"/>
          <w:sz w:val="20"/>
          <w:szCs w:val="20"/>
        </w:rPr>
      </w:pPr>
    </w:p>
    <w:tbl>
      <w:tblPr>
        <w:tblW w:w="0" w:type="auto"/>
        <w:tblInd w:w="-125" w:type="dxa"/>
        <w:tblLayout w:type="fixed"/>
        <w:tblCellMar>
          <w:left w:w="70" w:type="dxa"/>
          <w:right w:w="70" w:type="dxa"/>
        </w:tblCellMar>
        <w:tblLook w:val="0000"/>
      </w:tblPr>
      <w:tblGrid>
        <w:gridCol w:w="4750"/>
        <w:gridCol w:w="4390"/>
      </w:tblGrid>
      <w:tr w:rsidR="0056194E" w:rsidRPr="00683AE2">
        <w:trPr>
          <w:cantSplit/>
          <w:trHeight w:val="450"/>
        </w:trPr>
        <w:tc>
          <w:tcPr>
            <w:tcW w:w="9140" w:type="dxa"/>
            <w:gridSpan w:val="2"/>
            <w:tcBorders>
              <w:top w:val="single" w:sz="4" w:space="0" w:color="000000"/>
              <w:left w:val="single" w:sz="4" w:space="0" w:color="000000"/>
              <w:bottom w:val="single" w:sz="4" w:space="0" w:color="000000"/>
              <w:right w:val="single" w:sz="4" w:space="0" w:color="000000"/>
            </w:tcBorders>
            <w:shd w:val="clear" w:color="auto" w:fill="CCFFCC"/>
          </w:tcPr>
          <w:p w:rsidR="0056194E" w:rsidRPr="006A311C" w:rsidRDefault="008503B4">
            <w:pPr>
              <w:jc w:val="both"/>
              <w:rPr>
                <w:lang w:val="en-GB"/>
              </w:rPr>
            </w:pPr>
            <w:r>
              <w:rPr>
                <w:rFonts w:ascii="Arial" w:hAnsi="Arial" w:cs="Arial"/>
                <w:b/>
                <w:bCs/>
                <w:color w:val="222222"/>
                <w:sz w:val="20"/>
                <w:szCs w:val="20"/>
                <w:vertAlign w:val="superscript"/>
                <w:lang w:val="en-US"/>
              </w:rPr>
              <w:t>30</w:t>
            </w:r>
            <w:r w:rsidR="0056194E">
              <w:rPr>
                <w:rFonts w:ascii="Arial" w:hAnsi="Arial" w:cs="Arial"/>
                <w:b/>
                <w:bCs/>
                <w:color w:val="222222"/>
                <w:sz w:val="20"/>
                <w:szCs w:val="20"/>
                <w:lang w:val="en-US"/>
              </w:rPr>
              <w:t>Cost Benefit Analysis in Hong Kong Decides Against Adding Abiraterone Plus Prednisone to ADT in Metastatic Hormone Sensitive Prostate Cancer</w:t>
            </w:r>
            <w:r w:rsidR="0056194E">
              <w:rPr>
                <w:rFonts w:ascii="Arial" w:hAnsi="Arial" w:cs="Arial"/>
                <w:b/>
                <w:bCs/>
                <w:color w:val="222222"/>
                <w:sz w:val="20"/>
                <w:szCs w:val="20"/>
                <w:vertAlign w:val="superscript"/>
                <w:lang w:val="en-US"/>
              </w:rPr>
              <w:t>.</w:t>
            </w:r>
            <w:r w:rsidR="0056194E">
              <w:rPr>
                <w:rFonts w:ascii="Arial" w:hAnsi="Arial" w:cs="Arial"/>
                <w:b/>
                <w:bCs/>
                <w:sz w:val="20"/>
                <w:szCs w:val="20"/>
                <w:lang w:val="en-US"/>
              </w:rPr>
              <w:t>.</w:t>
            </w:r>
          </w:p>
        </w:tc>
      </w:tr>
      <w:tr w:rsidR="0056194E" w:rsidRPr="003241D1">
        <w:trPr>
          <w:cantSplit/>
        </w:trPr>
        <w:tc>
          <w:tcPr>
            <w:tcW w:w="9140" w:type="dxa"/>
            <w:gridSpan w:val="2"/>
            <w:tcBorders>
              <w:top w:val="single" w:sz="4" w:space="0" w:color="000000"/>
              <w:left w:val="single" w:sz="4" w:space="0" w:color="000000"/>
              <w:bottom w:val="single" w:sz="4" w:space="0" w:color="000000"/>
              <w:right w:val="single" w:sz="4" w:space="0" w:color="000000"/>
            </w:tcBorders>
          </w:tcPr>
          <w:p w:rsidR="0056194E" w:rsidRPr="003241D1" w:rsidRDefault="0056194E">
            <w:pPr>
              <w:jc w:val="both"/>
              <w:rPr>
                <w:rFonts w:ascii="Arial" w:hAnsi="Arial" w:cs="Arial"/>
                <w:b/>
                <w:sz w:val="18"/>
                <w:szCs w:val="18"/>
              </w:rPr>
            </w:pPr>
            <w:r w:rsidRPr="003241D1">
              <w:rPr>
                <w:rFonts w:ascii="Arial" w:hAnsi="Arial" w:cs="Arial"/>
                <w:b/>
                <w:sz w:val="18"/>
                <w:szCs w:val="18"/>
              </w:rPr>
              <w:t xml:space="preserve">-Tipo de estudio: </w:t>
            </w:r>
            <w:r w:rsidRPr="003241D1">
              <w:rPr>
                <w:rFonts w:ascii="Arial" w:hAnsi="Arial" w:cs="Arial"/>
                <w:sz w:val="18"/>
                <w:szCs w:val="18"/>
              </w:rPr>
              <w:t>análisis coste-efectividad.</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Fuente de datos: </w:t>
            </w:r>
            <w:r w:rsidRPr="003241D1">
              <w:rPr>
                <w:rFonts w:ascii="Arial" w:hAnsi="Arial" w:cs="Arial"/>
                <w:sz w:val="18"/>
                <w:szCs w:val="18"/>
              </w:rPr>
              <w:t>ensayo clínico LATITUDE, modelo de Markov.</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Perspectiva: </w:t>
            </w:r>
            <w:r w:rsidRPr="003241D1">
              <w:rPr>
                <w:rFonts w:ascii="Arial" w:hAnsi="Arial" w:cs="Arial"/>
                <w:sz w:val="18"/>
                <w:szCs w:val="18"/>
              </w:rPr>
              <w:t xml:space="preserve">perspectiva social de la población china. </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Población del escenario base (datos clínicos del ensayo LATITUDE): </w:t>
            </w:r>
            <w:r w:rsidRPr="003241D1">
              <w:rPr>
                <w:rFonts w:ascii="Arial" w:hAnsi="Arial" w:cs="Arial"/>
                <w:sz w:val="18"/>
                <w:szCs w:val="18"/>
              </w:rPr>
              <w:t>pacientes con reciente diagnóstico de cáncer de próstata metastásico hormonosensible.</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Variables principales de resultado: </w:t>
            </w:r>
            <w:r w:rsidRPr="003241D1">
              <w:rPr>
                <w:rFonts w:ascii="Arial" w:hAnsi="Arial" w:cs="Arial"/>
                <w:sz w:val="18"/>
                <w:szCs w:val="18"/>
              </w:rPr>
              <w:t>coste eficacia incremental ajustado por QALYs.</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Horizonte temporal: </w:t>
            </w:r>
            <w:r w:rsidRPr="003241D1">
              <w:rPr>
                <w:rFonts w:ascii="Arial" w:hAnsi="Arial" w:cs="Arial"/>
                <w:sz w:val="18"/>
                <w:szCs w:val="18"/>
              </w:rPr>
              <w:t>20 años.</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Costes incluidos en el estudio: </w:t>
            </w:r>
            <w:r w:rsidRPr="003241D1">
              <w:rPr>
                <w:rFonts w:ascii="Arial" w:hAnsi="Arial" w:cs="Arial"/>
                <w:sz w:val="18"/>
                <w:szCs w:val="18"/>
              </w:rPr>
              <w:t>No disponible.</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Cálculo de costes (GRDs, e-Salud,…): </w:t>
            </w:r>
            <w:r w:rsidRPr="003241D1">
              <w:rPr>
                <w:rFonts w:ascii="Arial" w:hAnsi="Arial" w:cs="Arial"/>
                <w:sz w:val="18"/>
                <w:szCs w:val="18"/>
              </w:rPr>
              <w:t>ratio de coste-efectividad incremental.</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Tasa de descuento aplicada en costes y en resultados de salud.: </w:t>
            </w:r>
            <w:r w:rsidRPr="003241D1">
              <w:rPr>
                <w:rFonts w:ascii="Arial" w:hAnsi="Arial" w:cs="Arial"/>
                <w:sz w:val="18"/>
                <w:szCs w:val="18"/>
              </w:rPr>
              <w:t>No disponible.</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Valores de utilidad considerados: </w:t>
            </w:r>
            <w:r w:rsidRPr="003241D1">
              <w:rPr>
                <w:rFonts w:ascii="Arial" w:hAnsi="Arial" w:cs="Arial"/>
                <w:sz w:val="18"/>
                <w:szCs w:val="18"/>
              </w:rPr>
              <w:t>No disponible.</w:t>
            </w:r>
          </w:p>
          <w:p w:rsidR="0056194E" w:rsidRPr="003241D1" w:rsidRDefault="0056194E">
            <w:pPr>
              <w:jc w:val="both"/>
              <w:rPr>
                <w:rFonts w:ascii="Arial" w:hAnsi="Arial" w:cs="Arial"/>
                <w:b/>
                <w:sz w:val="18"/>
                <w:szCs w:val="18"/>
              </w:rPr>
            </w:pPr>
            <w:r w:rsidRPr="003241D1">
              <w:rPr>
                <w:rFonts w:ascii="Arial" w:hAnsi="Arial" w:cs="Arial"/>
                <w:b/>
                <w:sz w:val="18"/>
                <w:szCs w:val="18"/>
              </w:rPr>
              <w:t xml:space="preserve">- Análisis de sensibilidad: </w:t>
            </w:r>
            <w:r w:rsidRPr="003241D1">
              <w:rPr>
                <w:rFonts w:ascii="Arial" w:hAnsi="Arial" w:cs="Arial"/>
                <w:sz w:val="18"/>
                <w:szCs w:val="18"/>
              </w:rPr>
              <w:t>No disponible.</w:t>
            </w:r>
          </w:p>
          <w:p w:rsidR="0056194E" w:rsidRPr="003241D1" w:rsidRDefault="0056194E">
            <w:pPr>
              <w:jc w:val="both"/>
              <w:rPr>
                <w:sz w:val="18"/>
                <w:szCs w:val="18"/>
              </w:rPr>
            </w:pPr>
            <w:r w:rsidRPr="003241D1">
              <w:rPr>
                <w:rFonts w:ascii="Arial" w:hAnsi="Arial" w:cs="Arial"/>
                <w:b/>
                <w:sz w:val="18"/>
                <w:szCs w:val="18"/>
              </w:rPr>
              <w:t>-Conflicto de interés:</w:t>
            </w:r>
            <w:r w:rsidRPr="003241D1">
              <w:rPr>
                <w:rFonts w:ascii="Arial" w:hAnsi="Arial" w:cs="Arial"/>
                <w:sz w:val="18"/>
                <w:szCs w:val="18"/>
              </w:rPr>
              <w:t xml:space="preserve"> No.</w:t>
            </w:r>
          </w:p>
        </w:tc>
      </w:tr>
      <w:tr w:rsidR="0056194E" w:rsidRPr="003241D1">
        <w:trPr>
          <w:cantSplit/>
        </w:trPr>
        <w:tc>
          <w:tcPr>
            <w:tcW w:w="4750" w:type="dxa"/>
            <w:tcBorders>
              <w:top w:val="single" w:sz="4" w:space="0" w:color="000000"/>
              <w:left w:val="single" w:sz="4" w:space="0" w:color="000000"/>
              <w:bottom w:val="single" w:sz="4" w:space="0" w:color="000000"/>
            </w:tcBorders>
            <w:shd w:val="clear" w:color="auto" w:fill="CCFFCC"/>
          </w:tcPr>
          <w:p w:rsidR="0056194E" w:rsidRPr="003241D1" w:rsidRDefault="0056194E">
            <w:pPr>
              <w:jc w:val="both"/>
              <w:rPr>
                <w:sz w:val="20"/>
                <w:szCs w:val="20"/>
              </w:rPr>
            </w:pPr>
            <w:r w:rsidRPr="003241D1">
              <w:rPr>
                <w:rFonts w:ascii="Arial" w:hAnsi="Arial" w:cs="Arial"/>
                <w:b/>
                <w:bCs/>
                <w:sz w:val="20"/>
                <w:szCs w:val="20"/>
              </w:rPr>
              <w:t>RATIO  DE COSTE EFECTIVIDAD INCREMENTAL (RCEI)</w:t>
            </w:r>
          </w:p>
        </w:tc>
        <w:tc>
          <w:tcPr>
            <w:tcW w:w="4390" w:type="dxa"/>
            <w:tcBorders>
              <w:top w:val="single" w:sz="4" w:space="0" w:color="000000"/>
              <w:left w:val="single" w:sz="4" w:space="0" w:color="000000"/>
              <w:bottom w:val="single" w:sz="4" w:space="0" w:color="000000"/>
              <w:right w:val="single" w:sz="4" w:space="0" w:color="000000"/>
            </w:tcBorders>
            <w:shd w:val="clear" w:color="auto" w:fill="CCFFCC"/>
          </w:tcPr>
          <w:p w:rsidR="0056194E" w:rsidRPr="003241D1" w:rsidRDefault="0056194E">
            <w:pPr>
              <w:jc w:val="both"/>
              <w:rPr>
                <w:sz w:val="20"/>
                <w:szCs w:val="20"/>
              </w:rPr>
            </w:pPr>
            <w:r w:rsidRPr="003241D1">
              <w:rPr>
                <w:rFonts w:ascii="Arial" w:hAnsi="Arial" w:cs="Arial"/>
                <w:b/>
                <w:bCs/>
                <w:sz w:val="20"/>
                <w:szCs w:val="20"/>
              </w:rPr>
              <w:t xml:space="preserve">CEI </w:t>
            </w:r>
          </w:p>
        </w:tc>
      </w:tr>
      <w:tr w:rsidR="0056194E" w:rsidRPr="003241D1">
        <w:trPr>
          <w:cantSplit/>
        </w:trPr>
        <w:tc>
          <w:tcPr>
            <w:tcW w:w="4750" w:type="dxa"/>
            <w:tcBorders>
              <w:top w:val="single" w:sz="4" w:space="0" w:color="000000"/>
              <w:left w:val="single" w:sz="4" w:space="0" w:color="000000"/>
              <w:bottom w:val="single" w:sz="4" w:space="0" w:color="000000"/>
            </w:tcBorders>
          </w:tcPr>
          <w:p w:rsidR="0056194E" w:rsidRPr="003241D1" w:rsidRDefault="0056194E">
            <w:pPr>
              <w:jc w:val="both"/>
              <w:rPr>
                <w:sz w:val="18"/>
                <w:szCs w:val="18"/>
              </w:rPr>
            </w:pPr>
            <w:r w:rsidRPr="003241D1">
              <w:rPr>
                <w:rFonts w:ascii="Arial" w:hAnsi="Arial" w:cs="Arial"/>
                <w:sz w:val="18"/>
                <w:szCs w:val="18"/>
              </w:rPr>
              <w:t>Caso base</w:t>
            </w:r>
          </w:p>
        </w:tc>
        <w:tc>
          <w:tcPr>
            <w:tcW w:w="4390" w:type="dxa"/>
            <w:tcBorders>
              <w:top w:val="single" w:sz="4" w:space="0" w:color="000000"/>
              <w:left w:val="single" w:sz="4" w:space="0" w:color="000000"/>
              <w:bottom w:val="single" w:sz="4" w:space="0" w:color="000000"/>
              <w:right w:val="single" w:sz="4" w:space="0" w:color="000000"/>
            </w:tcBorders>
          </w:tcPr>
          <w:p w:rsidR="0056194E" w:rsidRPr="003241D1" w:rsidRDefault="0056194E">
            <w:pPr>
              <w:jc w:val="both"/>
              <w:rPr>
                <w:sz w:val="18"/>
                <w:szCs w:val="18"/>
              </w:rPr>
            </w:pPr>
            <w:r w:rsidRPr="003241D1">
              <w:rPr>
                <w:rFonts w:ascii="Arial" w:hAnsi="Arial" w:cs="Arial"/>
                <w:sz w:val="18"/>
                <w:szCs w:val="18"/>
              </w:rPr>
              <w:t>153.389,45€</w:t>
            </w:r>
          </w:p>
        </w:tc>
      </w:tr>
      <w:tr w:rsidR="0056194E" w:rsidRPr="003241D1">
        <w:trPr>
          <w:cantSplit/>
        </w:trPr>
        <w:tc>
          <w:tcPr>
            <w:tcW w:w="4750" w:type="dxa"/>
            <w:tcBorders>
              <w:top w:val="single" w:sz="4" w:space="0" w:color="000000"/>
              <w:left w:val="single" w:sz="4" w:space="0" w:color="000000"/>
              <w:bottom w:val="single" w:sz="4" w:space="0" w:color="000000"/>
            </w:tcBorders>
          </w:tcPr>
          <w:p w:rsidR="0056194E" w:rsidRPr="003241D1" w:rsidRDefault="0056194E">
            <w:pPr>
              <w:jc w:val="both"/>
              <w:rPr>
                <w:sz w:val="18"/>
                <w:szCs w:val="18"/>
              </w:rPr>
            </w:pPr>
            <w:r w:rsidRPr="003241D1">
              <w:rPr>
                <w:rFonts w:ascii="Arial" w:hAnsi="Arial" w:cs="Arial"/>
                <w:sz w:val="18"/>
                <w:szCs w:val="18"/>
              </w:rPr>
              <w:t>Otros escenarios de interés</w:t>
            </w:r>
          </w:p>
        </w:tc>
        <w:tc>
          <w:tcPr>
            <w:tcW w:w="4390" w:type="dxa"/>
            <w:tcBorders>
              <w:top w:val="single" w:sz="4" w:space="0" w:color="000000"/>
              <w:left w:val="single" w:sz="4" w:space="0" w:color="000000"/>
              <w:bottom w:val="single" w:sz="4" w:space="0" w:color="000000"/>
              <w:right w:val="single" w:sz="4" w:space="0" w:color="000000"/>
            </w:tcBorders>
          </w:tcPr>
          <w:p w:rsidR="0056194E" w:rsidRPr="003241D1" w:rsidRDefault="0056194E">
            <w:pPr>
              <w:jc w:val="both"/>
              <w:rPr>
                <w:sz w:val="18"/>
                <w:szCs w:val="18"/>
              </w:rPr>
            </w:pPr>
            <w:r w:rsidRPr="003241D1">
              <w:rPr>
                <w:rFonts w:ascii="Arial" w:hAnsi="Arial" w:cs="Arial"/>
                <w:sz w:val="18"/>
                <w:szCs w:val="18"/>
              </w:rPr>
              <w:t>---</w:t>
            </w:r>
          </w:p>
        </w:tc>
      </w:tr>
      <w:tr w:rsidR="0056194E" w:rsidRPr="003241D1">
        <w:trPr>
          <w:cantSplit/>
        </w:trPr>
        <w:tc>
          <w:tcPr>
            <w:tcW w:w="9140" w:type="dxa"/>
            <w:gridSpan w:val="2"/>
            <w:tcBorders>
              <w:top w:val="single" w:sz="4" w:space="0" w:color="000000"/>
              <w:left w:val="single" w:sz="4" w:space="0" w:color="000000"/>
              <w:bottom w:val="single" w:sz="4" w:space="0" w:color="000000"/>
              <w:right w:val="single" w:sz="4" w:space="0" w:color="000000"/>
            </w:tcBorders>
            <w:shd w:val="clear" w:color="auto" w:fill="E6E6E6"/>
          </w:tcPr>
          <w:p w:rsidR="0056194E" w:rsidRPr="003241D1" w:rsidRDefault="0056194E">
            <w:pPr>
              <w:jc w:val="both"/>
              <w:rPr>
                <w:sz w:val="18"/>
                <w:szCs w:val="18"/>
              </w:rPr>
            </w:pPr>
            <w:r w:rsidRPr="003241D1">
              <w:rPr>
                <w:rFonts w:ascii="Arial" w:hAnsi="Arial" w:cs="Arial"/>
                <w:sz w:val="18"/>
                <w:szCs w:val="18"/>
              </w:rPr>
              <w:t>Este estudio concluye que la terapia combinada de abiraterona/prednisona + TDA sería coste-efectiva si el RCEI fuese 3 veces menor al producto interior bruto per cápita de la población china, para lo cual, el precio de abiraterona debería reducirse en un 72% con respecto al precio actual en un hospital público de Hong Kong (2.611,8 € por ciclo).</w:t>
            </w:r>
          </w:p>
        </w:tc>
      </w:tr>
    </w:tbl>
    <w:p w:rsidR="0056194E" w:rsidRPr="003241D1" w:rsidRDefault="0056194E">
      <w:pPr>
        <w:jc w:val="both"/>
        <w:rPr>
          <w:rFonts w:ascii="Arial" w:hAnsi="Arial" w:cs="Arial"/>
          <w:sz w:val="18"/>
          <w:szCs w:val="18"/>
        </w:rPr>
      </w:pPr>
    </w:p>
    <w:p w:rsidR="0056194E" w:rsidRDefault="0056194E">
      <w:pPr>
        <w:jc w:val="both"/>
        <w:rPr>
          <w:rFonts w:ascii="Arial" w:hAnsi="Arial" w:cs="Arial"/>
          <w:b/>
          <w:color w:val="0000FF"/>
          <w:sz w:val="20"/>
          <w:szCs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44" w:name="_Toc536608360"/>
      <w:r>
        <w:rPr>
          <w:sz w:val="20"/>
        </w:rPr>
        <w:t>7.2.b Coste eficacia incremental (CEI). Datos propios</w:t>
      </w:r>
      <w:bookmarkEnd w:id="44"/>
    </w:p>
    <w:p w:rsidR="0056194E" w:rsidRDefault="0056194E">
      <w:pPr>
        <w:pStyle w:val="Encabezado"/>
        <w:tabs>
          <w:tab w:val="clear" w:pos="4252"/>
          <w:tab w:val="clear" w:pos="8504"/>
        </w:tabs>
        <w:jc w:val="both"/>
        <w:rPr>
          <w:rFonts w:ascii="Arial" w:hAnsi="Arial" w:cs="Arial"/>
        </w:rPr>
      </w:pPr>
    </w:p>
    <w:p w:rsidR="0056194E" w:rsidRDefault="0056194E">
      <w:pPr>
        <w:pStyle w:val="Encabezado"/>
        <w:tabs>
          <w:tab w:val="clear" w:pos="4252"/>
          <w:tab w:val="clear" w:pos="8504"/>
        </w:tabs>
        <w:jc w:val="both"/>
        <w:rPr>
          <w:rFonts w:ascii="Arial" w:hAnsi="Arial" w:cs="Arial"/>
          <w:color w:val="000000"/>
        </w:rPr>
      </w:pPr>
      <w:r>
        <w:rPr>
          <w:rFonts w:ascii="Arial" w:hAnsi="Arial" w:cs="Arial"/>
        </w:rPr>
        <w:t>Como se comentó anteriormente, actualmente no disponemos del precio actual para abiraterona resultado de añadir la indicación en evaluación. En este informe se ha realizado una</w:t>
      </w:r>
      <w:bookmarkStart w:id="45" w:name="_Hlk506229528"/>
      <w:r>
        <w:rPr>
          <w:rFonts w:ascii="Arial" w:hAnsi="Arial" w:cs="Arial"/>
        </w:rPr>
        <w:t xml:space="preserve"> estimación del precio para el cual el tratamiento con abiraterona en esta indicación resultaría ser coste-efectivo</w:t>
      </w:r>
      <w:bookmarkEnd w:id="45"/>
      <w:r>
        <w:rPr>
          <w:rFonts w:ascii="Arial" w:hAnsi="Arial" w:cs="Arial"/>
        </w:rPr>
        <w:t>. Para ello se ha asumido que la ganancia en supervivencia se produce con una calidad de vida del 100%, y tomando como dintel de eficiencia económica la última estimación realizada por el servicio de evaluación del servicio canario de salud en 2015</w:t>
      </w:r>
      <w:r w:rsidR="008503B4">
        <w:rPr>
          <w:rFonts w:ascii="Arial" w:hAnsi="Arial" w:cs="Arial"/>
          <w:color w:val="000000"/>
          <w:vertAlign w:val="superscript"/>
        </w:rPr>
        <w:t>31</w:t>
      </w:r>
      <w:r>
        <w:rPr>
          <w:rFonts w:ascii="Arial" w:hAnsi="Arial" w:cs="Arial"/>
          <w:color w:val="000000"/>
        </w:rPr>
        <w:t>, de 24.000€/QALY.</w:t>
      </w:r>
    </w:p>
    <w:p w:rsidR="0056194E" w:rsidRDefault="0056194E">
      <w:pPr>
        <w:pStyle w:val="Encabezado"/>
        <w:tabs>
          <w:tab w:val="clear" w:pos="4252"/>
          <w:tab w:val="clear" w:pos="8504"/>
        </w:tabs>
        <w:jc w:val="both"/>
        <w:rPr>
          <w:rFonts w:ascii="Arial" w:hAnsi="Arial" w:cs="Arial"/>
        </w:rPr>
      </w:pPr>
    </w:p>
    <w:p w:rsidR="0056194E" w:rsidRDefault="0056194E">
      <w:pPr>
        <w:pStyle w:val="Encabezado"/>
        <w:tabs>
          <w:tab w:val="clear" w:pos="4252"/>
          <w:tab w:val="clear" w:pos="8504"/>
        </w:tabs>
        <w:jc w:val="both"/>
        <w:rPr>
          <w:rFonts w:ascii="Arial" w:hAnsi="Arial" w:cs="Arial"/>
          <w:color w:val="000000"/>
        </w:rPr>
      </w:pPr>
      <w:r>
        <w:rPr>
          <w:rFonts w:ascii="Arial" w:hAnsi="Arial" w:cs="Arial"/>
        </w:rPr>
        <w:t xml:space="preserve">Los análisis de supervivencia de los ensayos clínicos donde se estudia el tratamiento con abiraterona en pacientes con cáncer de próstata sensible a la castración se encuentran inmaduros, y aún no se han alcanzado las medianas de SG ni de SLP (LATITUDE) ó SSFT (STAMPEDE). Sin embargo, teniendo en cuenta que su comparador en esta línea de tratamiento es docetaxel, y que en la comparación directa </w:t>
      </w:r>
      <w:r w:rsidRPr="00D72E50">
        <w:rPr>
          <w:rFonts w:ascii="Arial" w:hAnsi="Arial" w:cs="Arial"/>
          <w:i/>
        </w:rPr>
        <w:t>post hoc</w:t>
      </w:r>
      <w:r>
        <w:rPr>
          <w:rFonts w:ascii="Arial" w:hAnsi="Arial" w:cs="Arial"/>
        </w:rPr>
        <w:t xml:space="preserve"> y en comparaciones indirectas no se ha mostrado diferencia entre ambos en términos de eficacia (supervivencia global), se ha tomado como referencia la diferencia de medianas de supervivencia global (13,6 meses) del ensayo clínico CHAARTED</w:t>
      </w:r>
      <w:r>
        <w:rPr>
          <w:rFonts w:ascii="Arial" w:hAnsi="Arial" w:cs="Arial"/>
          <w:vertAlign w:val="superscript"/>
        </w:rPr>
        <w:t>14</w:t>
      </w:r>
      <w:r>
        <w:rPr>
          <w:rFonts w:ascii="Arial" w:hAnsi="Arial" w:cs="Arial"/>
        </w:rPr>
        <w:t xml:space="preserve">y se ha asumido un beneficio similar para abiraterona. </w:t>
      </w:r>
    </w:p>
    <w:p w:rsidR="0056194E" w:rsidRDefault="0056194E">
      <w:pPr>
        <w:pStyle w:val="Encabezado"/>
        <w:tabs>
          <w:tab w:val="clear" w:pos="4252"/>
          <w:tab w:val="clear" w:pos="8504"/>
        </w:tabs>
        <w:jc w:val="both"/>
        <w:rPr>
          <w:rFonts w:ascii="Arial" w:hAnsi="Arial" w:cs="Arial"/>
          <w:color w:val="000000"/>
        </w:rPr>
      </w:pPr>
    </w:p>
    <w:tbl>
      <w:tblPr>
        <w:tblW w:w="8925" w:type="dxa"/>
        <w:tblInd w:w="-20" w:type="dxa"/>
        <w:tblLayout w:type="fixed"/>
        <w:tblCellMar>
          <w:left w:w="70" w:type="dxa"/>
          <w:right w:w="70" w:type="dxa"/>
        </w:tblCellMar>
        <w:tblLook w:val="0000"/>
      </w:tblPr>
      <w:tblGrid>
        <w:gridCol w:w="1650"/>
        <w:gridCol w:w="992"/>
        <w:gridCol w:w="1134"/>
        <w:gridCol w:w="874"/>
        <w:gridCol w:w="827"/>
        <w:gridCol w:w="1093"/>
        <w:gridCol w:w="1307"/>
        <w:gridCol w:w="1048"/>
      </w:tblGrid>
      <w:tr w:rsidR="0056194E">
        <w:trPr>
          <w:cantSplit/>
        </w:trPr>
        <w:tc>
          <w:tcPr>
            <w:tcW w:w="8925" w:type="dxa"/>
            <w:gridSpan w:val="8"/>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rPr>
                <w:rFonts w:ascii="Arial" w:hAnsi="Arial" w:cs="Arial"/>
                <w:b/>
                <w:sz w:val="20"/>
                <w:szCs w:val="20"/>
              </w:rPr>
            </w:pPr>
            <w:r>
              <w:rPr>
                <w:rFonts w:ascii="Arial" w:hAnsi="Arial" w:cs="Arial"/>
                <w:b/>
                <w:sz w:val="20"/>
                <w:szCs w:val="20"/>
              </w:rPr>
              <w:t>Coste Eficacia Incremental (CEI) de abiraterona</w:t>
            </w:r>
          </w:p>
          <w:p w:rsidR="0056194E" w:rsidRDefault="0056194E">
            <w:pPr>
              <w:jc w:val="both"/>
            </w:pPr>
            <w:r>
              <w:rPr>
                <w:rFonts w:ascii="Arial" w:hAnsi="Arial" w:cs="Arial"/>
                <w:b/>
                <w:sz w:val="20"/>
                <w:szCs w:val="20"/>
              </w:rPr>
              <w:t>Variables continuas</w:t>
            </w:r>
          </w:p>
        </w:tc>
      </w:tr>
      <w:tr w:rsidR="0056194E">
        <w:trPr>
          <w:cantSplit/>
          <w:trHeight w:val="430"/>
        </w:trPr>
        <w:tc>
          <w:tcPr>
            <w:tcW w:w="1650" w:type="dxa"/>
            <w:vMerge w:val="restart"/>
            <w:tcBorders>
              <w:top w:val="single" w:sz="4" w:space="0" w:color="000000"/>
              <w:left w:val="single" w:sz="4" w:space="0" w:color="000000"/>
              <w:bottom w:val="single" w:sz="4" w:space="0" w:color="000000"/>
            </w:tcBorders>
            <w:shd w:val="clear" w:color="auto" w:fill="E0E0E0"/>
          </w:tcPr>
          <w:p w:rsidR="0056194E" w:rsidRPr="00B654A0" w:rsidRDefault="0056194E">
            <w:pPr>
              <w:snapToGrid w:val="0"/>
              <w:jc w:val="both"/>
              <w:rPr>
                <w:rFonts w:ascii="Arial" w:hAnsi="Arial" w:cs="Arial"/>
                <w:b/>
                <w:sz w:val="18"/>
                <w:szCs w:val="18"/>
                <w:lang w:val="es-ES_tradnl"/>
              </w:rPr>
            </w:pPr>
          </w:p>
          <w:p w:rsidR="0056194E" w:rsidRPr="00252DB7" w:rsidRDefault="0056194E">
            <w:pPr>
              <w:jc w:val="both"/>
              <w:rPr>
                <w:rFonts w:ascii="Arial" w:hAnsi="Arial" w:cs="Arial"/>
                <w:sz w:val="18"/>
                <w:szCs w:val="18"/>
                <w:lang w:val="es-ES_tradnl"/>
              </w:rPr>
            </w:pPr>
            <w:r w:rsidRPr="00B654A0">
              <w:rPr>
                <w:rFonts w:ascii="Arial" w:hAnsi="Arial" w:cs="Arial"/>
                <w:b/>
                <w:bCs/>
                <w:sz w:val="18"/>
                <w:szCs w:val="18"/>
                <w:lang w:val="es-ES_tradnl"/>
              </w:rPr>
              <w:t>Cálculo asumiendo beneficio similar a docetaxel (STAMPEDE)</w:t>
            </w:r>
          </w:p>
        </w:tc>
        <w:tc>
          <w:tcPr>
            <w:tcW w:w="2126" w:type="dxa"/>
            <w:gridSpan w:val="2"/>
            <w:tcBorders>
              <w:top w:val="single" w:sz="4" w:space="0" w:color="000000"/>
              <w:left w:val="single" w:sz="4" w:space="0" w:color="000000"/>
              <w:bottom w:val="single" w:sz="4" w:space="0" w:color="000000"/>
            </w:tcBorders>
            <w:shd w:val="clear" w:color="auto" w:fill="E0E0E0"/>
          </w:tcPr>
          <w:p w:rsidR="0056194E" w:rsidRPr="00B654A0" w:rsidRDefault="0056194E">
            <w:pPr>
              <w:snapToGrid w:val="0"/>
              <w:jc w:val="both"/>
              <w:rPr>
                <w:rFonts w:ascii="Arial" w:hAnsi="Arial" w:cs="Arial"/>
                <w:sz w:val="18"/>
                <w:szCs w:val="18"/>
                <w:lang w:val="es-ES_tradnl"/>
              </w:rPr>
            </w:pPr>
          </w:p>
          <w:p w:rsidR="0056194E" w:rsidRPr="00B654A0" w:rsidRDefault="0056194E">
            <w:pPr>
              <w:jc w:val="both"/>
              <w:rPr>
                <w:sz w:val="18"/>
                <w:szCs w:val="18"/>
              </w:rPr>
            </w:pPr>
            <w:r w:rsidRPr="00B654A0">
              <w:rPr>
                <w:rFonts w:ascii="Arial" w:hAnsi="Arial" w:cs="Arial"/>
                <w:b/>
                <w:sz w:val="18"/>
                <w:szCs w:val="18"/>
              </w:rPr>
              <w:t>VARIABLE  evaluada</w:t>
            </w:r>
          </w:p>
        </w:tc>
        <w:tc>
          <w:tcPr>
            <w:tcW w:w="874"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sz w:val="18"/>
                <w:szCs w:val="18"/>
              </w:rPr>
            </w:pPr>
            <w:r w:rsidRPr="00B654A0">
              <w:rPr>
                <w:rFonts w:ascii="Arial" w:hAnsi="Arial" w:cs="Arial"/>
                <w:b/>
                <w:sz w:val="18"/>
                <w:szCs w:val="18"/>
              </w:rPr>
              <w:t>Eficacia de A</w:t>
            </w:r>
          </w:p>
        </w:tc>
        <w:tc>
          <w:tcPr>
            <w:tcW w:w="827"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sz w:val="18"/>
                <w:szCs w:val="18"/>
              </w:rPr>
            </w:pPr>
            <w:r w:rsidRPr="00B654A0">
              <w:rPr>
                <w:rFonts w:ascii="Arial" w:hAnsi="Arial" w:cs="Arial"/>
                <w:b/>
                <w:sz w:val="18"/>
                <w:szCs w:val="18"/>
              </w:rPr>
              <w:t>Eficacia de B</w:t>
            </w:r>
          </w:p>
        </w:tc>
        <w:tc>
          <w:tcPr>
            <w:tcW w:w="1093"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rFonts w:ascii="Arial" w:hAnsi="Arial" w:cs="Arial"/>
                <w:b/>
                <w:sz w:val="18"/>
                <w:szCs w:val="18"/>
                <w:lang w:val="es-ES_tradnl"/>
              </w:rPr>
            </w:pPr>
            <w:r w:rsidRPr="00B654A0">
              <w:rPr>
                <w:rFonts w:ascii="Arial" w:hAnsi="Arial" w:cs="Arial"/>
                <w:b/>
                <w:sz w:val="18"/>
                <w:szCs w:val="18"/>
                <w:lang w:val="es-ES_tradnl"/>
              </w:rPr>
              <w:t xml:space="preserve">Diferencia </w:t>
            </w:r>
          </w:p>
          <w:p w:rsidR="0056194E" w:rsidRPr="00B654A0" w:rsidRDefault="0056194E">
            <w:pPr>
              <w:jc w:val="both"/>
              <w:rPr>
                <w:sz w:val="18"/>
                <w:szCs w:val="18"/>
              </w:rPr>
            </w:pPr>
            <w:r w:rsidRPr="00B654A0">
              <w:rPr>
                <w:rFonts w:ascii="Arial" w:hAnsi="Arial" w:cs="Arial"/>
                <w:b/>
                <w:sz w:val="18"/>
                <w:szCs w:val="18"/>
                <w:lang w:val="es-ES_tradnl"/>
              </w:rPr>
              <w:t>de eficacia</w:t>
            </w:r>
          </w:p>
        </w:tc>
        <w:tc>
          <w:tcPr>
            <w:tcW w:w="1307"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sz w:val="18"/>
                <w:szCs w:val="18"/>
              </w:rPr>
            </w:pPr>
            <w:r w:rsidRPr="00B654A0">
              <w:rPr>
                <w:rFonts w:ascii="Arial" w:hAnsi="Arial" w:cs="Arial"/>
                <w:b/>
                <w:sz w:val="18"/>
                <w:szCs w:val="18"/>
              </w:rPr>
              <w:t>Coste incremental calculado</w:t>
            </w:r>
          </w:p>
        </w:tc>
        <w:tc>
          <w:tcPr>
            <w:tcW w:w="1048" w:type="dxa"/>
            <w:tcBorders>
              <w:top w:val="single" w:sz="4" w:space="0" w:color="000000"/>
              <w:left w:val="single" w:sz="4" w:space="0" w:color="000000"/>
              <w:bottom w:val="single" w:sz="4" w:space="0" w:color="000000"/>
              <w:right w:val="single" w:sz="4" w:space="0" w:color="000000"/>
            </w:tcBorders>
            <w:shd w:val="clear" w:color="auto" w:fill="E0E0E0"/>
          </w:tcPr>
          <w:p w:rsidR="0056194E" w:rsidRPr="00B654A0" w:rsidRDefault="0056194E">
            <w:pPr>
              <w:jc w:val="both"/>
              <w:rPr>
                <w:sz w:val="18"/>
                <w:szCs w:val="18"/>
              </w:rPr>
            </w:pPr>
            <w:r w:rsidRPr="00B654A0">
              <w:rPr>
                <w:rFonts w:ascii="Arial" w:hAnsi="Arial" w:cs="Arial"/>
                <w:b/>
                <w:sz w:val="18"/>
                <w:szCs w:val="18"/>
                <w:lang w:val="es-ES_tradnl"/>
              </w:rPr>
              <w:t>CEI (IC95%)</w:t>
            </w:r>
          </w:p>
        </w:tc>
      </w:tr>
      <w:tr w:rsidR="0056194E">
        <w:trPr>
          <w:cantSplit/>
          <w:trHeight w:val="430"/>
        </w:trPr>
        <w:tc>
          <w:tcPr>
            <w:tcW w:w="1650" w:type="dxa"/>
            <w:vMerge/>
            <w:tcBorders>
              <w:top w:val="single" w:sz="4" w:space="0" w:color="000000"/>
              <w:left w:val="single" w:sz="4" w:space="0" w:color="000000"/>
              <w:bottom w:val="single" w:sz="4" w:space="0" w:color="000000"/>
            </w:tcBorders>
            <w:shd w:val="clear" w:color="auto" w:fill="E0E0E0"/>
          </w:tcPr>
          <w:p w:rsidR="0056194E" w:rsidRPr="00B654A0" w:rsidRDefault="0056194E">
            <w:pPr>
              <w:snapToGrid w:val="0"/>
              <w:jc w:val="both"/>
              <w:rPr>
                <w:rFonts w:ascii="Arial" w:hAnsi="Arial" w:cs="Arial"/>
                <w:b/>
                <w:sz w:val="18"/>
                <w:szCs w:val="18"/>
                <w:lang w:val="es-ES_tradnl"/>
              </w:rPr>
            </w:pPr>
          </w:p>
        </w:tc>
        <w:tc>
          <w:tcPr>
            <w:tcW w:w="2126" w:type="dxa"/>
            <w:gridSpan w:val="2"/>
            <w:tcBorders>
              <w:top w:val="single" w:sz="4" w:space="0" w:color="000000"/>
              <w:left w:val="single" w:sz="4" w:space="0" w:color="000000"/>
              <w:bottom w:val="single" w:sz="4" w:space="0" w:color="000000"/>
            </w:tcBorders>
            <w:shd w:val="clear" w:color="auto" w:fill="E0E0E0"/>
          </w:tcPr>
          <w:p w:rsidR="0056194E" w:rsidRPr="00B654A0" w:rsidRDefault="0056194E">
            <w:pPr>
              <w:snapToGrid w:val="0"/>
              <w:jc w:val="both"/>
              <w:rPr>
                <w:rFonts w:ascii="Arial" w:hAnsi="Arial" w:cs="Arial"/>
                <w:sz w:val="18"/>
                <w:szCs w:val="18"/>
                <w:lang w:val="es-ES_tradnl"/>
              </w:rPr>
            </w:pPr>
          </w:p>
        </w:tc>
        <w:tc>
          <w:tcPr>
            <w:tcW w:w="874"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rFonts w:ascii="Arial" w:hAnsi="Arial" w:cs="Arial"/>
                <w:b/>
                <w:sz w:val="18"/>
                <w:szCs w:val="18"/>
              </w:rPr>
            </w:pPr>
          </w:p>
        </w:tc>
        <w:tc>
          <w:tcPr>
            <w:tcW w:w="827"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rFonts w:ascii="Arial" w:hAnsi="Arial" w:cs="Arial"/>
                <w:b/>
                <w:sz w:val="18"/>
                <w:szCs w:val="18"/>
              </w:rPr>
            </w:pPr>
          </w:p>
        </w:tc>
        <w:tc>
          <w:tcPr>
            <w:tcW w:w="1093"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rFonts w:ascii="Arial" w:hAnsi="Arial" w:cs="Arial"/>
                <w:b/>
                <w:sz w:val="18"/>
                <w:szCs w:val="18"/>
                <w:lang w:val="es-ES_tradnl"/>
              </w:rPr>
            </w:pPr>
          </w:p>
        </w:tc>
        <w:tc>
          <w:tcPr>
            <w:tcW w:w="1307" w:type="dxa"/>
            <w:tcBorders>
              <w:top w:val="single" w:sz="4" w:space="0" w:color="000000"/>
              <w:left w:val="single" w:sz="4" w:space="0" w:color="000000"/>
              <w:bottom w:val="single" w:sz="4" w:space="0" w:color="000000"/>
            </w:tcBorders>
            <w:shd w:val="clear" w:color="auto" w:fill="E0E0E0"/>
          </w:tcPr>
          <w:p w:rsidR="0056194E" w:rsidRPr="00B654A0" w:rsidRDefault="0056194E">
            <w:pPr>
              <w:jc w:val="both"/>
              <w:rPr>
                <w:rFonts w:ascii="Arial" w:hAnsi="Arial" w:cs="Arial"/>
                <w:b/>
                <w:sz w:val="18"/>
                <w:szCs w:val="18"/>
              </w:rPr>
            </w:pPr>
          </w:p>
        </w:tc>
        <w:tc>
          <w:tcPr>
            <w:tcW w:w="1048" w:type="dxa"/>
            <w:tcBorders>
              <w:top w:val="single" w:sz="4" w:space="0" w:color="000000"/>
              <w:left w:val="single" w:sz="4" w:space="0" w:color="000000"/>
              <w:bottom w:val="single" w:sz="4" w:space="0" w:color="000000"/>
              <w:right w:val="single" w:sz="4" w:space="0" w:color="000000"/>
            </w:tcBorders>
            <w:shd w:val="clear" w:color="auto" w:fill="E0E0E0"/>
          </w:tcPr>
          <w:p w:rsidR="0056194E" w:rsidRPr="00B654A0" w:rsidRDefault="0056194E">
            <w:pPr>
              <w:jc w:val="both"/>
              <w:rPr>
                <w:rFonts w:ascii="Arial" w:hAnsi="Arial" w:cs="Arial"/>
                <w:b/>
                <w:sz w:val="18"/>
                <w:szCs w:val="18"/>
                <w:lang w:val="es-ES_tradnl"/>
              </w:rPr>
            </w:pPr>
          </w:p>
        </w:tc>
      </w:tr>
      <w:tr w:rsidR="0056194E">
        <w:trPr>
          <w:cantSplit/>
          <w:trHeight w:val="615"/>
        </w:trPr>
        <w:tc>
          <w:tcPr>
            <w:tcW w:w="1650" w:type="dxa"/>
            <w:vMerge/>
            <w:tcBorders>
              <w:top w:val="single" w:sz="4" w:space="0" w:color="000000"/>
              <w:left w:val="single" w:sz="4" w:space="0" w:color="000000"/>
              <w:bottom w:val="single" w:sz="4" w:space="0" w:color="000000"/>
            </w:tcBorders>
            <w:shd w:val="clear" w:color="auto" w:fill="E0E0E0"/>
          </w:tcPr>
          <w:p w:rsidR="0056194E" w:rsidRPr="00B654A0" w:rsidRDefault="0056194E">
            <w:pPr>
              <w:snapToGrid w:val="0"/>
              <w:jc w:val="both"/>
              <w:rPr>
                <w:sz w:val="18"/>
                <w:szCs w:val="18"/>
              </w:rPr>
            </w:pPr>
          </w:p>
        </w:tc>
        <w:tc>
          <w:tcPr>
            <w:tcW w:w="992" w:type="dxa"/>
            <w:tcBorders>
              <w:top w:val="single" w:sz="4" w:space="0" w:color="000000"/>
              <w:left w:val="single" w:sz="4" w:space="0" w:color="000000"/>
              <w:bottom w:val="single" w:sz="4" w:space="0" w:color="000000"/>
            </w:tcBorders>
            <w:vAlign w:val="center"/>
          </w:tcPr>
          <w:p w:rsidR="0056194E" w:rsidRPr="00B654A0" w:rsidRDefault="0056194E" w:rsidP="00B14D56">
            <w:pPr>
              <w:jc w:val="center"/>
              <w:rPr>
                <w:sz w:val="18"/>
                <w:szCs w:val="18"/>
              </w:rPr>
            </w:pPr>
            <w:r w:rsidRPr="00B654A0">
              <w:rPr>
                <w:rFonts w:ascii="Arial" w:hAnsi="Arial" w:cs="Arial"/>
                <w:sz w:val="18"/>
                <w:szCs w:val="18"/>
                <w:lang w:val="es-ES_tradnl"/>
              </w:rPr>
              <w:t>Principal</w:t>
            </w:r>
          </w:p>
        </w:tc>
        <w:tc>
          <w:tcPr>
            <w:tcW w:w="1134" w:type="dxa"/>
            <w:tcBorders>
              <w:top w:val="single" w:sz="4" w:space="0" w:color="000000"/>
              <w:left w:val="single" w:sz="4" w:space="0" w:color="000000"/>
              <w:bottom w:val="single" w:sz="4" w:space="0" w:color="000000"/>
            </w:tcBorders>
            <w:vAlign w:val="center"/>
          </w:tcPr>
          <w:p w:rsidR="0056194E" w:rsidRPr="00B654A0" w:rsidRDefault="0056194E" w:rsidP="00B14D56">
            <w:pPr>
              <w:snapToGrid w:val="0"/>
              <w:jc w:val="center"/>
              <w:rPr>
                <w:sz w:val="18"/>
                <w:szCs w:val="18"/>
              </w:rPr>
            </w:pPr>
            <w:r w:rsidRPr="00B654A0">
              <w:rPr>
                <w:rFonts w:ascii="Arial" w:hAnsi="Arial" w:cs="Arial"/>
                <w:sz w:val="18"/>
                <w:szCs w:val="18"/>
                <w:lang w:val="es-ES_tradnl"/>
              </w:rPr>
              <w:t>Supervivencia global</w:t>
            </w:r>
          </w:p>
        </w:tc>
        <w:tc>
          <w:tcPr>
            <w:tcW w:w="874" w:type="dxa"/>
            <w:tcBorders>
              <w:top w:val="single" w:sz="4" w:space="0" w:color="000000"/>
              <w:left w:val="single" w:sz="4" w:space="0" w:color="000000"/>
              <w:bottom w:val="single" w:sz="4" w:space="0" w:color="000000"/>
            </w:tcBorders>
            <w:vAlign w:val="center"/>
          </w:tcPr>
          <w:p w:rsidR="0056194E" w:rsidRPr="00B654A0" w:rsidRDefault="0056194E" w:rsidP="00B14D56">
            <w:pPr>
              <w:jc w:val="center"/>
              <w:rPr>
                <w:sz w:val="18"/>
                <w:szCs w:val="18"/>
              </w:rPr>
            </w:pPr>
            <w:r w:rsidRPr="00B654A0">
              <w:rPr>
                <w:rFonts w:ascii="Arial" w:hAnsi="Arial" w:cs="Arial"/>
                <w:sz w:val="18"/>
                <w:szCs w:val="18"/>
                <w:lang w:val="es-ES_tradnl"/>
              </w:rPr>
              <w:t>-</w:t>
            </w:r>
          </w:p>
        </w:tc>
        <w:tc>
          <w:tcPr>
            <w:tcW w:w="827" w:type="dxa"/>
            <w:tcBorders>
              <w:top w:val="single" w:sz="4" w:space="0" w:color="000000"/>
              <w:left w:val="single" w:sz="4" w:space="0" w:color="000000"/>
              <w:bottom w:val="single" w:sz="4" w:space="0" w:color="000000"/>
            </w:tcBorders>
            <w:vAlign w:val="center"/>
          </w:tcPr>
          <w:p w:rsidR="0056194E" w:rsidRPr="00B654A0" w:rsidRDefault="0056194E" w:rsidP="00B14D56">
            <w:pPr>
              <w:jc w:val="center"/>
              <w:rPr>
                <w:sz w:val="18"/>
                <w:szCs w:val="18"/>
              </w:rPr>
            </w:pPr>
            <w:r w:rsidRPr="00B654A0">
              <w:rPr>
                <w:rFonts w:ascii="Arial" w:hAnsi="Arial" w:cs="Arial"/>
                <w:sz w:val="18"/>
                <w:szCs w:val="18"/>
                <w:lang w:val="es-ES_tradnl"/>
              </w:rPr>
              <w:t>-</w:t>
            </w:r>
          </w:p>
        </w:tc>
        <w:tc>
          <w:tcPr>
            <w:tcW w:w="1093" w:type="dxa"/>
            <w:tcBorders>
              <w:top w:val="single" w:sz="4" w:space="0" w:color="000000"/>
              <w:left w:val="single" w:sz="4" w:space="0" w:color="000000"/>
              <w:bottom w:val="single" w:sz="4" w:space="0" w:color="000000"/>
            </w:tcBorders>
            <w:vAlign w:val="center"/>
          </w:tcPr>
          <w:p w:rsidR="0056194E" w:rsidRPr="00B654A0" w:rsidRDefault="0056194E" w:rsidP="00B14D56">
            <w:pPr>
              <w:jc w:val="center"/>
              <w:rPr>
                <w:sz w:val="18"/>
                <w:szCs w:val="18"/>
              </w:rPr>
            </w:pPr>
            <w:r w:rsidRPr="00B654A0">
              <w:rPr>
                <w:rFonts w:ascii="Arial" w:hAnsi="Arial" w:cs="Arial"/>
                <w:sz w:val="18"/>
                <w:szCs w:val="18"/>
              </w:rPr>
              <w:t>13,6 meses</w:t>
            </w:r>
            <w:r>
              <w:rPr>
                <w:rFonts w:ascii="Arial" w:hAnsi="Arial" w:cs="Arial"/>
                <w:sz w:val="18"/>
                <w:szCs w:val="18"/>
              </w:rPr>
              <w:t>*</w:t>
            </w:r>
          </w:p>
        </w:tc>
        <w:tc>
          <w:tcPr>
            <w:tcW w:w="1307" w:type="dxa"/>
            <w:tcBorders>
              <w:top w:val="single" w:sz="4" w:space="0" w:color="000000"/>
              <w:left w:val="single" w:sz="4" w:space="0" w:color="000000"/>
              <w:bottom w:val="single" w:sz="4" w:space="0" w:color="000000"/>
            </w:tcBorders>
            <w:vAlign w:val="center"/>
          </w:tcPr>
          <w:p w:rsidR="0056194E" w:rsidRPr="00B654A0" w:rsidRDefault="0056194E" w:rsidP="00B14D56">
            <w:pPr>
              <w:jc w:val="center"/>
              <w:rPr>
                <w:sz w:val="18"/>
                <w:szCs w:val="18"/>
              </w:rPr>
            </w:pPr>
            <w:r w:rsidRPr="00B654A0">
              <w:rPr>
                <w:rFonts w:ascii="Arial" w:hAnsi="Arial" w:cs="Arial"/>
                <w:sz w:val="18"/>
                <w:szCs w:val="18"/>
                <w:lang w:val="en-GB"/>
              </w:rPr>
              <w:t>27.200 €</w:t>
            </w:r>
          </w:p>
        </w:tc>
        <w:tc>
          <w:tcPr>
            <w:tcW w:w="1048" w:type="dxa"/>
            <w:tcBorders>
              <w:top w:val="single" w:sz="4" w:space="0" w:color="000000"/>
              <w:left w:val="single" w:sz="4" w:space="0" w:color="000000"/>
              <w:bottom w:val="single" w:sz="4" w:space="0" w:color="000000"/>
              <w:right w:val="single" w:sz="4" w:space="0" w:color="000000"/>
            </w:tcBorders>
            <w:vAlign w:val="center"/>
          </w:tcPr>
          <w:p w:rsidR="0056194E" w:rsidRPr="00B654A0" w:rsidRDefault="0056194E" w:rsidP="00B14D56">
            <w:pPr>
              <w:jc w:val="center"/>
              <w:rPr>
                <w:sz w:val="18"/>
                <w:szCs w:val="18"/>
              </w:rPr>
            </w:pPr>
            <w:r w:rsidRPr="00B654A0">
              <w:rPr>
                <w:rFonts w:ascii="Arial" w:hAnsi="Arial" w:cs="Arial"/>
                <w:sz w:val="18"/>
                <w:szCs w:val="18"/>
                <w:lang w:val="en-GB"/>
              </w:rPr>
              <w:t>24.000 €</w:t>
            </w:r>
          </w:p>
        </w:tc>
      </w:tr>
    </w:tbl>
    <w:p w:rsidR="0056194E" w:rsidRDefault="0056194E">
      <w:pPr>
        <w:pStyle w:val="Encabezado"/>
        <w:tabs>
          <w:tab w:val="clear" w:pos="4252"/>
          <w:tab w:val="clear" w:pos="8504"/>
        </w:tabs>
        <w:jc w:val="both"/>
        <w:rPr>
          <w:rFonts w:ascii="Arial" w:hAnsi="Arial" w:cs="Arial"/>
        </w:rPr>
      </w:pPr>
      <w:r>
        <w:rPr>
          <w:rFonts w:ascii="Arial" w:hAnsi="Arial" w:cs="Arial"/>
        </w:rPr>
        <w:t>* suponiendo beneficio en SG similar a docetaxel</w:t>
      </w:r>
    </w:p>
    <w:p w:rsidR="0056194E" w:rsidRDefault="0056194E">
      <w:pPr>
        <w:pStyle w:val="Encabezado"/>
        <w:tabs>
          <w:tab w:val="clear" w:pos="4252"/>
          <w:tab w:val="clear" w:pos="8504"/>
        </w:tabs>
        <w:jc w:val="both"/>
        <w:rPr>
          <w:rFonts w:ascii="Arial" w:hAnsi="Arial" w:cs="Arial"/>
        </w:rPr>
      </w:pPr>
    </w:p>
    <w:p w:rsidR="0056194E" w:rsidRDefault="0056194E">
      <w:pPr>
        <w:pStyle w:val="Encabezado"/>
        <w:tabs>
          <w:tab w:val="clear" w:pos="4252"/>
          <w:tab w:val="clear" w:pos="8504"/>
        </w:tabs>
        <w:jc w:val="both"/>
        <w:rPr>
          <w:rFonts w:ascii="Arial" w:hAnsi="Arial" w:cs="Arial"/>
        </w:rPr>
      </w:pPr>
      <w:r>
        <w:rPr>
          <w:rFonts w:ascii="Arial" w:hAnsi="Arial" w:cs="Arial"/>
          <w:color w:val="000000"/>
        </w:rPr>
        <w:t xml:space="preserve">Para ello se tuvo en cuenta que </w:t>
      </w:r>
      <w:r>
        <w:rPr>
          <w:rFonts w:ascii="Arial" w:hAnsi="Arial" w:cs="Arial"/>
        </w:rPr>
        <w:t>la duración máxima del tratamiento es de 24 meses, pero si se observa la curva de SSFT del estudio STAMPEDE</w:t>
      </w:r>
      <w:r>
        <w:rPr>
          <w:rFonts w:ascii="Arial" w:hAnsi="Arial" w:cs="Arial"/>
          <w:vertAlign w:val="superscript"/>
        </w:rPr>
        <w:t xml:space="preserve">16 </w:t>
      </w:r>
      <w:r>
        <w:rPr>
          <w:rFonts w:ascii="Arial" w:hAnsi="Arial" w:cs="Arial"/>
        </w:rPr>
        <w:t>(cuya mediana de tiempo ajustada es de 43,9 meses) se puede ver que aproximadamente un 82% de los pacientes llegan a completar los 2 años de tratamiento frente a un 18% que está como máximo 1 año. Es por ello que se asumió una media de duración del tratamiento con abiraterona de 1,8 años, y en base a estos datos se calculó el precio de abiraterona por comprimido y por envase.</w:t>
      </w:r>
    </w:p>
    <w:p w:rsidR="0056194E" w:rsidRDefault="0056194E">
      <w:pPr>
        <w:pStyle w:val="Encabezado"/>
        <w:tabs>
          <w:tab w:val="clear" w:pos="4252"/>
          <w:tab w:val="clear" w:pos="8504"/>
        </w:tabs>
        <w:jc w:val="both"/>
        <w:rPr>
          <w:rFonts w:ascii="Arial" w:hAnsi="Arial" w:cs="Arial"/>
        </w:rPr>
      </w:pPr>
    </w:p>
    <w:tbl>
      <w:tblPr>
        <w:tblW w:w="8931" w:type="dxa"/>
        <w:tblInd w:w="70" w:type="dxa"/>
        <w:tblLayout w:type="fixed"/>
        <w:tblCellMar>
          <w:left w:w="70" w:type="dxa"/>
          <w:right w:w="70" w:type="dxa"/>
        </w:tblCellMar>
        <w:tblLook w:val="0000"/>
      </w:tblPr>
      <w:tblGrid>
        <w:gridCol w:w="1404"/>
        <w:gridCol w:w="1680"/>
        <w:gridCol w:w="1470"/>
        <w:gridCol w:w="1305"/>
        <w:gridCol w:w="1365"/>
        <w:gridCol w:w="1707"/>
      </w:tblGrid>
      <w:tr w:rsidR="0056194E">
        <w:trPr>
          <w:cantSplit/>
          <w:trHeight w:val="306"/>
        </w:trPr>
        <w:tc>
          <w:tcPr>
            <w:tcW w:w="8931" w:type="dxa"/>
            <w:gridSpan w:val="6"/>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pStyle w:val="Contenidodelatabla"/>
              <w:jc w:val="both"/>
            </w:pPr>
            <w:r>
              <w:rPr>
                <w:rFonts w:ascii="Arial" w:hAnsi="Arial" w:cs="Arial"/>
                <w:b/>
                <w:sz w:val="20"/>
                <w:szCs w:val="20"/>
              </w:rPr>
              <w:t>Cálculo del precio de abiraterona en CPHS para que sea tratamiento coste-efectivo</w:t>
            </w:r>
          </w:p>
        </w:tc>
      </w:tr>
      <w:tr w:rsidR="0056194E">
        <w:trPr>
          <w:cantSplit/>
          <w:trHeight w:val="735"/>
        </w:trPr>
        <w:tc>
          <w:tcPr>
            <w:tcW w:w="1404" w:type="dxa"/>
            <w:tcBorders>
              <w:top w:val="single" w:sz="4" w:space="0" w:color="000000"/>
              <w:left w:val="single" w:sz="4" w:space="0" w:color="000000"/>
              <w:bottom w:val="single" w:sz="4" w:space="0" w:color="000000"/>
            </w:tcBorders>
            <w:shd w:val="clear" w:color="auto" w:fill="E0E0E0"/>
            <w:vAlign w:val="center"/>
          </w:tcPr>
          <w:p w:rsidR="0056194E" w:rsidRPr="00EB221A" w:rsidRDefault="0056194E" w:rsidP="00B14D56">
            <w:pPr>
              <w:pStyle w:val="Contenidodelatabla"/>
              <w:jc w:val="center"/>
              <w:rPr>
                <w:sz w:val="18"/>
                <w:szCs w:val="18"/>
              </w:rPr>
            </w:pPr>
            <w:r w:rsidRPr="00EB221A">
              <w:rPr>
                <w:rFonts w:ascii="Arial" w:hAnsi="Arial" w:cs="Arial"/>
                <w:b/>
                <w:sz w:val="18"/>
                <w:szCs w:val="18"/>
              </w:rPr>
              <w:t>Forma farmacéutica y dosis</w:t>
            </w:r>
          </w:p>
        </w:tc>
        <w:tc>
          <w:tcPr>
            <w:tcW w:w="1680" w:type="dxa"/>
            <w:tcBorders>
              <w:top w:val="single" w:sz="4" w:space="0" w:color="000000"/>
              <w:left w:val="single" w:sz="4" w:space="0" w:color="000000"/>
              <w:bottom w:val="single" w:sz="4" w:space="0" w:color="000000"/>
            </w:tcBorders>
            <w:shd w:val="clear" w:color="auto" w:fill="E0E0E0"/>
            <w:vAlign w:val="center"/>
          </w:tcPr>
          <w:p w:rsidR="0056194E" w:rsidRPr="00EB221A" w:rsidRDefault="0056194E" w:rsidP="00B14D56">
            <w:pPr>
              <w:pStyle w:val="Contenidodelatabla"/>
              <w:jc w:val="center"/>
              <w:rPr>
                <w:sz w:val="18"/>
                <w:szCs w:val="18"/>
              </w:rPr>
            </w:pPr>
            <w:r w:rsidRPr="00EB221A">
              <w:rPr>
                <w:rFonts w:ascii="Arial" w:hAnsi="Arial" w:cs="Arial"/>
                <w:b/>
                <w:sz w:val="18"/>
                <w:szCs w:val="18"/>
              </w:rPr>
              <w:t>Coste/QALY</w:t>
            </w:r>
          </w:p>
        </w:tc>
        <w:tc>
          <w:tcPr>
            <w:tcW w:w="1470" w:type="dxa"/>
            <w:tcBorders>
              <w:top w:val="single" w:sz="4" w:space="0" w:color="000000"/>
              <w:left w:val="single" w:sz="4" w:space="0" w:color="000000"/>
              <w:bottom w:val="single" w:sz="4" w:space="0" w:color="000000"/>
            </w:tcBorders>
            <w:shd w:val="clear" w:color="auto" w:fill="E0E0E0"/>
            <w:vAlign w:val="center"/>
          </w:tcPr>
          <w:p w:rsidR="0056194E" w:rsidRPr="00EB221A" w:rsidRDefault="0056194E" w:rsidP="00B14D56">
            <w:pPr>
              <w:pStyle w:val="Contenidodelatabla"/>
              <w:snapToGrid w:val="0"/>
              <w:jc w:val="center"/>
              <w:rPr>
                <w:rFonts w:ascii="Arial" w:hAnsi="Arial" w:cs="Arial"/>
                <w:b/>
                <w:sz w:val="18"/>
                <w:szCs w:val="18"/>
              </w:rPr>
            </w:pPr>
          </w:p>
          <w:p w:rsidR="0056194E" w:rsidRPr="00EB221A" w:rsidRDefault="0056194E" w:rsidP="00B14D56">
            <w:pPr>
              <w:pStyle w:val="Contenidodelatabla"/>
              <w:jc w:val="center"/>
              <w:rPr>
                <w:sz w:val="18"/>
                <w:szCs w:val="18"/>
              </w:rPr>
            </w:pPr>
            <w:r>
              <w:rPr>
                <w:rFonts w:ascii="Arial" w:hAnsi="Arial" w:cs="Arial"/>
                <w:b/>
                <w:sz w:val="18"/>
                <w:szCs w:val="18"/>
              </w:rPr>
              <w:t>Coste</w:t>
            </w:r>
            <w:r w:rsidRPr="00EB221A">
              <w:rPr>
                <w:rFonts w:ascii="Arial" w:hAnsi="Arial" w:cs="Arial"/>
                <w:b/>
                <w:sz w:val="18"/>
                <w:szCs w:val="18"/>
              </w:rPr>
              <w:t xml:space="preserve"> calculado para 13,6 meses de ganancia</w:t>
            </w:r>
          </w:p>
          <w:p w:rsidR="0056194E" w:rsidRPr="00EB221A" w:rsidRDefault="0056194E" w:rsidP="00B14D56">
            <w:pPr>
              <w:pStyle w:val="Contenidodelatabla"/>
              <w:jc w:val="center"/>
              <w:rPr>
                <w:sz w:val="18"/>
                <w:szCs w:val="18"/>
              </w:rPr>
            </w:pPr>
          </w:p>
        </w:tc>
        <w:tc>
          <w:tcPr>
            <w:tcW w:w="1305" w:type="dxa"/>
            <w:tcBorders>
              <w:top w:val="single" w:sz="4" w:space="0" w:color="000000"/>
              <w:left w:val="single" w:sz="4" w:space="0" w:color="000000"/>
              <w:bottom w:val="single" w:sz="4" w:space="0" w:color="000000"/>
            </w:tcBorders>
            <w:shd w:val="clear" w:color="auto" w:fill="E0E0E0"/>
            <w:vAlign w:val="center"/>
          </w:tcPr>
          <w:p w:rsidR="0056194E" w:rsidRPr="00EB221A" w:rsidRDefault="0056194E" w:rsidP="00B14D56">
            <w:pPr>
              <w:pStyle w:val="Contenidodelatabla"/>
              <w:jc w:val="center"/>
              <w:rPr>
                <w:sz w:val="18"/>
                <w:szCs w:val="18"/>
              </w:rPr>
            </w:pPr>
            <w:r w:rsidRPr="00EB221A">
              <w:rPr>
                <w:rFonts w:ascii="Arial" w:hAnsi="Arial" w:cs="Arial"/>
                <w:b/>
                <w:sz w:val="18"/>
                <w:szCs w:val="18"/>
              </w:rPr>
              <w:t>N.º comp. para tratamiento completo (1,8 años)</w:t>
            </w:r>
          </w:p>
        </w:tc>
        <w:tc>
          <w:tcPr>
            <w:tcW w:w="1365" w:type="dxa"/>
            <w:tcBorders>
              <w:top w:val="single" w:sz="4" w:space="0" w:color="000000"/>
              <w:left w:val="single" w:sz="4" w:space="0" w:color="000000"/>
              <w:bottom w:val="single" w:sz="4" w:space="0" w:color="000000"/>
            </w:tcBorders>
            <w:shd w:val="clear" w:color="auto" w:fill="E0E0E0"/>
            <w:vAlign w:val="center"/>
          </w:tcPr>
          <w:p w:rsidR="0056194E" w:rsidRPr="00EB221A" w:rsidRDefault="0056194E" w:rsidP="00B14D56">
            <w:pPr>
              <w:pStyle w:val="Contenidodelatabla"/>
              <w:jc w:val="center"/>
              <w:rPr>
                <w:sz w:val="18"/>
                <w:szCs w:val="18"/>
              </w:rPr>
            </w:pPr>
            <w:r w:rsidRPr="00EB221A">
              <w:rPr>
                <w:rFonts w:ascii="Arial" w:hAnsi="Arial" w:cs="Arial"/>
                <w:b/>
                <w:sz w:val="18"/>
                <w:szCs w:val="18"/>
              </w:rPr>
              <w:t>Coste/ comprimido</w:t>
            </w:r>
          </w:p>
        </w:tc>
        <w:tc>
          <w:tcPr>
            <w:tcW w:w="1707"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6194E" w:rsidRPr="00EB221A" w:rsidRDefault="0056194E" w:rsidP="00B14D56">
            <w:pPr>
              <w:pStyle w:val="Contenidodelatabla"/>
              <w:jc w:val="center"/>
              <w:rPr>
                <w:rFonts w:ascii="Arial" w:hAnsi="Arial" w:cs="Arial"/>
                <w:b/>
                <w:sz w:val="18"/>
                <w:szCs w:val="18"/>
              </w:rPr>
            </w:pPr>
            <w:r w:rsidRPr="00EB221A">
              <w:rPr>
                <w:rFonts w:ascii="Arial" w:hAnsi="Arial" w:cs="Arial"/>
                <w:b/>
                <w:sz w:val="18"/>
                <w:szCs w:val="18"/>
              </w:rPr>
              <w:t>Coste/envase</w:t>
            </w:r>
          </w:p>
          <w:p w:rsidR="0056194E" w:rsidRPr="00EB221A" w:rsidRDefault="0056194E" w:rsidP="00B14D56">
            <w:pPr>
              <w:pStyle w:val="Contenidodelatabla"/>
              <w:jc w:val="center"/>
              <w:rPr>
                <w:sz w:val="18"/>
                <w:szCs w:val="18"/>
              </w:rPr>
            </w:pPr>
            <w:r w:rsidRPr="00EB221A">
              <w:rPr>
                <w:rFonts w:ascii="Arial" w:hAnsi="Arial" w:cs="Arial"/>
                <w:b/>
                <w:sz w:val="18"/>
                <w:szCs w:val="18"/>
              </w:rPr>
              <w:t>(60 comp.)</w:t>
            </w:r>
          </w:p>
        </w:tc>
      </w:tr>
      <w:tr w:rsidR="0056194E">
        <w:tblPrEx>
          <w:tblCellMar>
            <w:left w:w="0" w:type="dxa"/>
            <w:right w:w="0" w:type="dxa"/>
          </w:tblCellMar>
        </w:tblPrEx>
        <w:trPr>
          <w:trHeight w:val="600"/>
        </w:trPr>
        <w:tc>
          <w:tcPr>
            <w:tcW w:w="1404" w:type="dxa"/>
            <w:tcBorders>
              <w:left w:val="single" w:sz="2" w:space="0" w:color="000000"/>
              <w:bottom w:val="single" w:sz="2" w:space="0" w:color="000000"/>
            </w:tcBorders>
            <w:vAlign w:val="center"/>
          </w:tcPr>
          <w:p w:rsidR="0056194E" w:rsidRPr="00EB221A" w:rsidRDefault="0056194E" w:rsidP="00B14D56">
            <w:pPr>
              <w:pStyle w:val="Contenidodelatabla"/>
              <w:jc w:val="center"/>
              <w:rPr>
                <w:sz w:val="18"/>
                <w:szCs w:val="18"/>
              </w:rPr>
            </w:pPr>
            <w:r w:rsidRPr="00EB221A">
              <w:rPr>
                <w:rFonts w:ascii="Arial" w:hAnsi="Arial" w:cs="Arial"/>
                <w:sz w:val="18"/>
                <w:szCs w:val="18"/>
              </w:rPr>
              <w:t>Abiraterona comprimido 500mg</w:t>
            </w:r>
          </w:p>
        </w:tc>
        <w:tc>
          <w:tcPr>
            <w:tcW w:w="1680" w:type="dxa"/>
            <w:tcBorders>
              <w:left w:val="single" w:sz="2" w:space="0" w:color="000000"/>
              <w:bottom w:val="single" w:sz="2" w:space="0" w:color="000000"/>
            </w:tcBorders>
            <w:vAlign w:val="center"/>
          </w:tcPr>
          <w:p w:rsidR="0056194E" w:rsidRPr="00EB221A" w:rsidRDefault="0056194E" w:rsidP="00B14D56">
            <w:pPr>
              <w:pStyle w:val="Contenidodelatabla"/>
              <w:jc w:val="center"/>
              <w:rPr>
                <w:sz w:val="18"/>
                <w:szCs w:val="18"/>
              </w:rPr>
            </w:pPr>
            <w:r w:rsidRPr="00EB221A">
              <w:rPr>
                <w:rFonts w:ascii="Arial" w:hAnsi="Arial" w:cs="Arial"/>
                <w:sz w:val="18"/>
                <w:szCs w:val="18"/>
              </w:rPr>
              <w:t>24000 €/QALY</w:t>
            </w:r>
          </w:p>
        </w:tc>
        <w:tc>
          <w:tcPr>
            <w:tcW w:w="1470" w:type="dxa"/>
            <w:tcBorders>
              <w:left w:val="single" w:sz="2" w:space="0" w:color="000000"/>
              <w:bottom w:val="single" w:sz="2" w:space="0" w:color="000000"/>
            </w:tcBorders>
            <w:vAlign w:val="center"/>
          </w:tcPr>
          <w:p w:rsidR="0056194E" w:rsidRPr="00EB221A" w:rsidRDefault="0056194E" w:rsidP="00B14D56">
            <w:pPr>
              <w:pStyle w:val="Contenidodelatabla"/>
              <w:jc w:val="center"/>
              <w:rPr>
                <w:sz w:val="18"/>
                <w:szCs w:val="18"/>
              </w:rPr>
            </w:pPr>
            <w:r w:rsidRPr="00EB221A">
              <w:rPr>
                <w:rFonts w:ascii="Arial" w:hAnsi="Arial" w:cs="Arial"/>
                <w:sz w:val="18"/>
                <w:szCs w:val="18"/>
              </w:rPr>
              <w:t>27.200 €</w:t>
            </w:r>
          </w:p>
        </w:tc>
        <w:tc>
          <w:tcPr>
            <w:tcW w:w="1305" w:type="dxa"/>
            <w:tcBorders>
              <w:left w:val="single" w:sz="2" w:space="0" w:color="000000"/>
              <w:bottom w:val="single" w:sz="2" w:space="0" w:color="000000"/>
            </w:tcBorders>
            <w:vAlign w:val="center"/>
          </w:tcPr>
          <w:p w:rsidR="0056194E" w:rsidRPr="00EB221A" w:rsidRDefault="0056194E" w:rsidP="00B14D56">
            <w:pPr>
              <w:pStyle w:val="Contenidodelatabla"/>
              <w:snapToGrid w:val="0"/>
              <w:jc w:val="center"/>
              <w:rPr>
                <w:rFonts w:ascii="Arial" w:hAnsi="Arial" w:cs="Arial"/>
                <w:sz w:val="18"/>
                <w:szCs w:val="18"/>
              </w:rPr>
            </w:pPr>
          </w:p>
          <w:p w:rsidR="0056194E" w:rsidRPr="00EB221A" w:rsidRDefault="0056194E" w:rsidP="00B14D56">
            <w:pPr>
              <w:pStyle w:val="Contenidodelatabla"/>
              <w:jc w:val="center"/>
              <w:rPr>
                <w:sz w:val="18"/>
                <w:szCs w:val="18"/>
              </w:rPr>
            </w:pPr>
            <w:r w:rsidRPr="00EB221A">
              <w:rPr>
                <w:rFonts w:ascii="Arial" w:hAnsi="Arial" w:cs="Arial"/>
                <w:sz w:val="18"/>
                <w:szCs w:val="18"/>
              </w:rPr>
              <w:t>1.314</w:t>
            </w:r>
          </w:p>
          <w:p w:rsidR="0056194E" w:rsidRPr="00EB221A" w:rsidRDefault="0056194E" w:rsidP="00B14D56">
            <w:pPr>
              <w:pStyle w:val="Contenidodelatabla"/>
              <w:jc w:val="center"/>
              <w:rPr>
                <w:sz w:val="18"/>
                <w:szCs w:val="18"/>
              </w:rPr>
            </w:pPr>
          </w:p>
        </w:tc>
        <w:tc>
          <w:tcPr>
            <w:tcW w:w="1365" w:type="dxa"/>
            <w:tcBorders>
              <w:left w:val="single" w:sz="2" w:space="0" w:color="000000"/>
              <w:bottom w:val="single" w:sz="2" w:space="0" w:color="000000"/>
              <w:right w:val="single" w:sz="4" w:space="0" w:color="auto"/>
            </w:tcBorders>
            <w:vAlign w:val="center"/>
          </w:tcPr>
          <w:p w:rsidR="0056194E" w:rsidRPr="00EB221A" w:rsidRDefault="0056194E" w:rsidP="00B14D56">
            <w:pPr>
              <w:pStyle w:val="Contenidodelatabla"/>
              <w:jc w:val="center"/>
              <w:rPr>
                <w:sz w:val="18"/>
                <w:szCs w:val="18"/>
              </w:rPr>
            </w:pPr>
            <w:r w:rsidRPr="00EB221A">
              <w:rPr>
                <w:rFonts w:ascii="Arial" w:hAnsi="Arial" w:cs="Arial"/>
                <w:sz w:val="18"/>
                <w:szCs w:val="18"/>
              </w:rPr>
              <w:t>20,7€</w:t>
            </w:r>
          </w:p>
        </w:tc>
        <w:tc>
          <w:tcPr>
            <w:tcW w:w="1707" w:type="dxa"/>
            <w:tcBorders>
              <w:top w:val="single" w:sz="4" w:space="0" w:color="auto"/>
              <w:left w:val="single" w:sz="4" w:space="0" w:color="auto"/>
              <w:bottom w:val="single" w:sz="4" w:space="0" w:color="auto"/>
              <w:right w:val="single" w:sz="4" w:space="0" w:color="auto"/>
            </w:tcBorders>
            <w:vAlign w:val="center"/>
          </w:tcPr>
          <w:p w:rsidR="0056194E" w:rsidRDefault="0056194E" w:rsidP="00B14D56">
            <w:pPr>
              <w:snapToGrid w:val="0"/>
              <w:jc w:val="center"/>
            </w:pPr>
            <w:r w:rsidRPr="00EB221A">
              <w:rPr>
                <w:rFonts w:ascii="Arial" w:hAnsi="Arial" w:cs="Arial"/>
                <w:sz w:val="18"/>
                <w:szCs w:val="18"/>
              </w:rPr>
              <w:t>1.242 €</w:t>
            </w:r>
          </w:p>
        </w:tc>
      </w:tr>
    </w:tbl>
    <w:p w:rsidR="0056194E" w:rsidRDefault="0056194E" w:rsidP="00B14D56">
      <w:pPr>
        <w:pStyle w:val="Encabezado"/>
        <w:tabs>
          <w:tab w:val="clear" w:pos="4252"/>
          <w:tab w:val="clear" w:pos="8504"/>
        </w:tabs>
        <w:jc w:val="center"/>
        <w:rPr>
          <w:rFonts w:ascii="Arial" w:hAnsi="Arial" w:cs="Arial"/>
        </w:rPr>
      </w:pPr>
    </w:p>
    <w:p w:rsidR="0056194E" w:rsidRDefault="0056194E">
      <w:pPr>
        <w:pStyle w:val="Encabezado"/>
        <w:tabs>
          <w:tab w:val="clear" w:pos="4252"/>
          <w:tab w:val="clear" w:pos="8504"/>
        </w:tabs>
        <w:jc w:val="both"/>
        <w:rPr>
          <w:rFonts w:ascii="Arial" w:hAnsi="Arial" w:cs="Arial"/>
          <w:color w:val="FF0000"/>
        </w:rPr>
      </w:pPr>
      <w:r>
        <w:rPr>
          <w:rFonts w:ascii="Arial" w:hAnsi="Arial" w:cs="Arial"/>
        </w:rPr>
        <w:t>Abiraterona muestra superioridad con respecto a docetaxel en SSFT pero no en SG, por lo que podemos decir que adelantar el tratamiento con abiraterona a la fase previa de la enfermedad podría no suponer un beneficio en la eficacia. Por tanto, de forma complementaria, se realizó un análisis coste beneficio considerando la menor toxicidad de abiraterona. Esto se realizó a partir de una comparación indirecta de los eventos adversos descritos en los estudios STAMPEDE-Abiraterona</w:t>
      </w:r>
      <w:r>
        <w:rPr>
          <w:rFonts w:ascii="Arial" w:hAnsi="Arial" w:cs="Arial"/>
          <w:vertAlign w:val="superscript"/>
        </w:rPr>
        <w:t>16</w:t>
      </w:r>
      <w:r>
        <w:rPr>
          <w:rFonts w:ascii="Arial" w:hAnsi="Arial" w:cs="Arial"/>
        </w:rPr>
        <w:t xml:space="preserve"> y STAMPEDE-docetaxel</w:t>
      </w:r>
      <w:r w:rsidR="008503B4">
        <w:rPr>
          <w:rFonts w:ascii="Arial" w:hAnsi="Arial" w:cs="Arial"/>
          <w:vertAlign w:val="superscript"/>
        </w:rPr>
        <w:t>4</w:t>
      </w:r>
      <w:r>
        <w:rPr>
          <w:rFonts w:ascii="Arial" w:hAnsi="Arial" w:cs="Arial"/>
        </w:rPr>
        <w:t>, ya que al formar ambos parte de un mismo estudio multicéntrico, multibrazo y multiestadío, tienen criterios de inclusión y exclusión muy similares y los eventos adversos fueron recogidos de forma muy similar. En las reacciones adversas Grado 3-5 no se alcanza diferencia significativa. Sin embargo, dada la baja potencia estadística, y siguiendo un principio de precaución, asumimos como válida la diferencia encontrada, del 6%, que aportaría un NNH de 16,7. En cuanto a neutropenia febril, dado que no aparece con abiraterona, asumimos el total de la incidencia de este efecto encontrado para docetaxel como dato diferencial.</w:t>
      </w:r>
    </w:p>
    <w:p w:rsidR="0056194E" w:rsidRDefault="0056194E">
      <w:pPr>
        <w:jc w:val="both"/>
        <w:rPr>
          <w:rFonts w:ascii="Arial" w:hAnsi="Arial" w:cs="Arial"/>
          <w:color w:val="FF0000"/>
          <w:sz w:val="20"/>
          <w:szCs w:val="20"/>
        </w:rPr>
      </w:pPr>
    </w:p>
    <w:tbl>
      <w:tblPr>
        <w:tblW w:w="9105" w:type="dxa"/>
        <w:tblInd w:w="109" w:type="dxa"/>
        <w:tblLayout w:type="fixed"/>
        <w:tblCellMar>
          <w:left w:w="70" w:type="dxa"/>
          <w:right w:w="70" w:type="dxa"/>
        </w:tblCellMar>
        <w:tblLook w:val="0000"/>
      </w:tblPr>
      <w:tblGrid>
        <w:gridCol w:w="1379"/>
        <w:gridCol w:w="992"/>
        <w:gridCol w:w="1214"/>
        <w:gridCol w:w="1338"/>
        <w:gridCol w:w="1092"/>
        <w:gridCol w:w="1185"/>
        <w:gridCol w:w="1905"/>
      </w:tblGrid>
      <w:tr w:rsidR="0056194E">
        <w:trPr>
          <w:cantSplit/>
        </w:trPr>
        <w:tc>
          <w:tcPr>
            <w:tcW w:w="9105" w:type="dxa"/>
            <w:gridSpan w:val="7"/>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rPr>
                <w:rFonts w:ascii="Arial" w:hAnsi="Arial" w:cs="Arial"/>
                <w:b/>
                <w:sz w:val="20"/>
                <w:szCs w:val="20"/>
              </w:rPr>
            </w:pPr>
            <w:r>
              <w:rPr>
                <w:rFonts w:ascii="Arial" w:hAnsi="Arial" w:cs="Arial"/>
                <w:b/>
                <w:sz w:val="20"/>
                <w:szCs w:val="20"/>
              </w:rPr>
              <w:t>Coste/beneficio considerando ventajas en seguridad de abiraterona vs. docetaxel</w:t>
            </w:r>
          </w:p>
          <w:p w:rsidR="0056194E" w:rsidRDefault="0056194E">
            <w:pPr>
              <w:jc w:val="both"/>
            </w:pPr>
            <w:r>
              <w:rPr>
                <w:rFonts w:ascii="Arial" w:hAnsi="Arial" w:cs="Arial"/>
                <w:b/>
                <w:sz w:val="20"/>
                <w:szCs w:val="20"/>
              </w:rPr>
              <w:t>Variables binarias</w:t>
            </w:r>
          </w:p>
        </w:tc>
      </w:tr>
      <w:tr w:rsidR="0056194E">
        <w:trPr>
          <w:cantSplit/>
        </w:trPr>
        <w:tc>
          <w:tcPr>
            <w:tcW w:w="1379"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rFonts w:ascii="Arial" w:hAnsi="Arial" w:cs="Arial"/>
                <w:sz w:val="18"/>
                <w:szCs w:val="18"/>
              </w:rPr>
            </w:pPr>
            <w:r w:rsidRPr="002533DD">
              <w:rPr>
                <w:rFonts w:ascii="Arial" w:hAnsi="Arial" w:cs="Arial"/>
                <w:sz w:val="18"/>
                <w:szCs w:val="18"/>
              </w:rPr>
              <w:t>Referencia</w:t>
            </w:r>
          </w:p>
          <w:p w:rsidR="0056194E" w:rsidRPr="002533DD" w:rsidRDefault="0056194E" w:rsidP="002533DD">
            <w:pPr>
              <w:jc w:val="center"/>
              <w:rPr>
                <w:rFonts w:ascii="Arial" w:hAnsi="Arial" w:cs="Arial"/>
                <w:sz w:val="18"/>
                <w:szCs w:val="18"/>
              </w:rPr>
            </w:pPr>
          </w:p>
          <w:p w:rsidR="0056194E" w:rsidRPr="002533DD" w:rsidRDefault="0056194E" w:rsidP="002533DD">
            <w:pPr>
              <w:jc w:val="center"/>
              <w:rPr>
                <w:sz w:val="18"/>
                <w:szCs w:val="18"/>
              </w:rPr>
            </w:pPr>
          </w:p>
        </w:tc>
        <w:tc>
          <w:tcPr>
            <w:tcW w:w="992"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sz w:val="18"/>
                <w:szCs w:val="18"/>
              </w:rPr>
            </w:pPr>
            <w:r w:rsidRPr="002533DD">
              <w:rPr>
                <w:rFonts w:ascii="Arial" w:hAnsi="Arial" w:cs="Arial"/>
                <w:sz w:val="18"/>
                <w:szCs w:val="18"/>
              </w:rPr>
              <w:t>Tipo de resultado</w:t>
            </w:r>
          </w:p>
          <w:p w:rsidR="0056194E" w:rsidRPr="002533DD" w:rsidRDefault="0056194E" w:rsidP="002533DD">
            <w:pPr>
              <w:jc w:val="center"/>
              <w:rPr>
                <w:sz w:val="18"/>
                <w:szCs w:val="18"/>
              </w:rPr>
            </w:pPr>
          </w:p>
        </w:tc>
        <w:tc>
          <w:tcPr>
            <w:tcW w:w="1214"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sz w:val="18"/>
                <w:szCs w:val="18"/>
              </w:rPr>
            </w:pPr>
            <w:r w:rsidRPr="002533DD">
              <w:rPr>
                <w:rFonts w:ascii="Arial" w:hAnsi="Arial" w:cs="Arial"/>
                <w:b/>
                <w:sz w:val="18"/>
                <w:szCs w:val="18"/>
              </w:rPr>
              <w:t>VARIABLE  evaluada</w:t>
            </w:r>
          </w:p>
        </w:tc>
        <w:tc>
          <w:tcPr>
            <w:tcW w:w="1338"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sz w:val="18"/>
                <w:szCs w:val="18"/>
              </w:rPr>
            </w:pPr>
            <w:r w:rsidRPr="002533DD">
              <w:rPr>
                <w:rFonts w:ascii="Arial" w:hAnsi="Arial" w:cs="Arial"/>
                <w:b/>
                <w:sz w:val="18"/>
                <w:szCs w:val="18"/>
              </w:rPr>
              <w:t>Medicamento con que se compara</w:t>
            </w:r>
          </w:p>
        </w:tc>
        <w:tc>
          <w:tcPr>
            <w:tcW w:w="1092"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rFonts w:ascii="Arial" w:hAnsi="Arial" w:cs="Arial"/>
                <w:b/>
                <w:sz w:val="18"/>
                <w:szCs w:val="18"/>
              </w:rPr>
            </w:pPr>
            <w:r w:rsidRPr="002533DD">
              <w:rPr>
                <w:rFonts w:ascii="Arial" w:hAnsi="Arial" w:cs="Arial"/>
                <w:b/>
                <w:sz w:val="18"/>
                <w:szCs w:val="18"/>
              </w:rPr>
              <w:t>NNH</w:t>
            </w:r>
          </w:p>
          <w:p w:rsidR="0056194E" w:rsidRPr="002533DD" w:rsidRDefault="0056194E" w:rsidP="002533DD">
            <w:pPr>
              <w:jc w:val="center"/>
              <w:rPr>
                <w:sz w:val="18"/>
                <w:szCs w:val="18"/>
              </w:rPr>
            </w:pPr>
            <w:r w:rsidRPr="002533DD">
              <w:rPr>
                <w:rFonts w:ascii="Arial" w:hAnsi="Arial" w:cs="Arial"/>
                <w:b/>
                <w:sz w:val="18"/>
                <w:szCs w:val="18"/>
              </w:rPr>
              <w:t>(IC 95%)</w:t>
            </w:r>
          </w:p>
        </w:tc>
        <w:tc>
          <w:tcPr>
            <w:tcW w:w="1185"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rFonts w:ascii="Arial" w:hAnsi="Arial" w:cs="Arial"/>
                <w:b/>
                <w:sz w:val="18"/>
                <w:szCs w:val="18"/>
              </w:rPr>
            </w:pPr>
            <w:r w:rsidRPr="002533DD">
              <w:rPr>
                <w:rFonts w:ascii="Arial" w:hAnsi="Arial" w:cs="Arial"/>
                <w:b/>
                <w:sz w:val="18"/>
                <w:szCs w:val="18"/>
              </w:rPr>
              <w:t>Coste incremental</w:t>
            </w:r>
          </w:p>
          <w:p w:rsidR="0056194E" w:rsidRPr="002533DD" w:rsidRDefault="0056194E" w:rsidP="002533DD">
            <w:pPr>
              <w:jc w:val="center"/>
              <w:rPr>
                <w:sz w:val="18"/>
                <w:szCs w:val="18"/>
              </w:rPr>
            </w:pPr>
            <w:r w:rsidRPr="002533DD">
              <w:rPr>
                <w:rFonts w:ascii="Arial" w:hAnsi="Arial" w:cs="Arial"/>
                <w:b/>
                <w:sz w:val="18"/>
                <w:szCs w:val="18"/>
              </w:rPr>
              <w:t>(A-B)</w:t>
            </w:r>
          </w:p>
        </w:tc>
        <w:tc>
          <w:tcPr>
            <w:tcW w:w="1905" w:type="dxa"/>
            <w:tcBorders>
              <w:top w:val="single" w:sz="4" w:space="0" w:color="000000"/>
              <w:left w:val="single" w:sz="4" w:space="0" w:color="000000"/>
              <w:bottom w:val="single" w:sz="4" w:space="0" w:color="000000"/>
              <w:right w:val="single" w:sz="4" w:space="0" w:color="000000"/>
            </w:tcBorders>
            <w:vAlign w:val="center"/>
          </w:tcPr>
          <w:p w:rsidR="0056194E" w:rsidRPr="002533DD" w:rsidRDefault="0056194E" w:rsidP="002533DD">
            <w:pPr>
              <w:jc w:val="center"/>
              <w:rPr>
                <w:sz w:val="18"/>
                <w:szCs w:val="18"/>
              </w:rPr>
            </w:pPr>
            <w:r w:rsidRPr="002533DD">
              <w:rPr>
                <w:rFonts w:ascii="Arial" w:hAnsi="Arial" w:cs="Arial"/>
                <w:b/>
                <w:sz w:val="18"/>
                <w:szCs w:val="18"/>
              </w:rPr>
              <w:t>CEI (IC95%)</w:t>
            </w:r>
          </w:p>
        </w:tc>
      </w:tr>
      <w:tr w:rsidR="0056194E">
        <w:trPr>
          <w:cantSplit/>
        </w:trPr>
        <w:tc>
          <w:tcPr>
            <w:tcW w:w="1379" w:type="dxa"/>
            <w:vMerge w:val="restart"/>
            <w:tcBorders>
              <w:top w:val="single" w:sz="4" w:space="0" w:color="000000"/>
              <w:left w:val="single" w:sz="4" w:space="0" w:color="000000"/>
              <w:bottom w:val="single" w:sz="4" w:space="0" w:color="000000"/>
            </w:tcBorders>
            <w:vAlign w:val="center"/>
          </w:tcPr>
          <w:p w:rsidR="0056194E" w:rsidRDefault="0056194E" w:rsidP="002533DD">
            <w:pPr>
              <w:jc w:val="center"/>
              <w:rPr>
                <w:rFonts w:ascii="Arial" w:hAnsi="Arial" w:cs="Arial"/>
                <w:sz w:val="18"/>
                <w:szCs w:val="18"/>
              </w:rPr>
            </w:pPr>
          </w:p>
          <w:p w:rsidR="0056194E" w:rsidRDefault="0056194E" w:rsidP="002533DD">
            <w:pPr>
              <w:jc w:val="center"/>
              <w:rPr>
                <w:rFonts w:ascii="Arial" w:hAnsi="Arial" w:cs="Arial"/>
                <w:sz w:val="18"/>
                <w:szCs w:val="18"/>
              </w:rPr>
            </w:pPr>
          </w:p>
          <w:p w:rsidR="0056194E" w:rsidRPr="002533DD" w:rsidRDefault="0056194E" w:rsidP="002533DD">
            <w:pPr>
              <w:jc w:val="center"/>
              <w:rPr>
                <w:sz w:val="18"/>
                <w:szCs w:val="18"/>
              </w:rPr>
            </w:pPr>
            <w:r w:rsidRPr="002533DD">
              <w:rPr>
                <w:rFonts w:ascii="Arial" w:hAnsi="Arial" w:cs="Arial"/>
                <w:sz w:val="18"/>
                <w:szCs w:val="18"/>
              </w:rPr>
              <w:t>Comparación indirecta propia (STAMPEDE)</w:t>
            </w:r>
          </w:p>
          <w:p w:rsidR="0056194E" w:rsidRPr="002533DD" w:rsidRDefault="0056194E" w:rsidP="002533DD">
            <w:pPr>
              <w:jc w:val="center"/>
              <w:rPr>
                <w:sz w:val="18"/>
                <w:szCs w:val="18"/>
              </w:rPr>
            </w:pPr>
          </w:p>
        </w:tc>
        <w:tc>
          <w:tcPr>
            <w:tcW w:w="992" w:type="dxa"/>
            <w:tcBorders>
              <w:top w:val="single" w:sz="4" w:space="0" w:color="000000"/>
              <w:left w:val="single" w:sz="4" w:space="0" w:color="000000"/>
              <w:bottom w:val="single" w:sz="4" w:space="0" w:color="000000"/>
            </w:tcBorders>
            <w:vAlign w:val="center"/>
          </w:tcPr>
          <w:p w:rsidR="0056194E" w:rsidRDefault="0056194E" w:rsidP="002533DD">
            <w:pPr>
              <w:jc w:val="center"/>
              <w:rPr>
                <w:rFonts w:ascii="Arial" w:hAnsi="Arial" w:cs="Arial"/>
                <w:sz w:val="18"/>
                <w:szCs w:val="18"/>
              </w:rPr>
            </w:pPr>
          </w:p>
          <w:p w:rsidR="0056194E" w:rsidRPr="002533DD" w:rsidRDefault="0056194E" w:rsidP="002533DD">
            <w:pPr>
              <w:jc w:val="center"/>
              <w:rPr>
                <w:rFonts w:ascii="Arial" w:hAnsi="Arial" w:cs="Arial"/>
                <w:sz w:val="18"/>
                <w:szCs w:val="18"/>
              </w:rPr>
            </w:pPr>
            <w:r w:rsidRPr="002533DD">
              <w:rPr>
                <w:rFonts w:ascii="Arial" w:hAnsi="Arial" w:cs="Arial"/>
                <w:sz w:val="18"/>
                <w:szCs w:val="18"/>
              </w:rPr>
              <w:t>Seguridad</w:t>
            </w:r>
          </w:p>
          <w:p w:rsidR="0056194E" w:rsidRPr="002533DD" w:rsidRDefault="0056194E" w:rsidP="002533DD">
            <w:pPr>
              <w:jc w:val="center"/>
              <w:rPr>
                <w:rFonts w:ascii="Arial" w:hAnsi="Arial" w:cs="Arial"/>
                <w:sz w:val="18"/>
                <w:szCs w:val="18"/>
              </w:rPr>
            </w:pPr>
          </w:p>
          <w:p w:rsidR="0056194E" w:rsidRPr="002533DD" w:rsidRDefault="0056194E" w:rsidP="002533DD">
            <w:pPr>
              <w:jc w:val="center"/>
              <w:rPr>
                <w:sz w:val="18"/>
                <w:szCs w:val="18"/>
              </w:rPr>
            </w:pPr>
          </w:p>
        </w:tc>
        <w:tc>
          <w:tcPr>
            <w:tcW w:w="1214"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sz w:val="18"/>
                <w:szCs w:val="18"/>
              </w:rPr>
            </w:pPr>
            <w:r>
              <w:rPr>
                <w:rFonts w:ascii="Arial" w:hAnsi="Arial" w:cs="Arial"/>
                <w:sz w:val="18"/>
                <w:szCs w:val="18"/>
              </w:rPr>
              <w:t>Efectos adversos G</w:t>
            </w:r>
            <w:r w:rsidRPr="002533DD">
              <w:rPr>
                <w:rFonts w:ascii="Arial" w:hAnsi="Arial" w:cs="Arial"/>
                <w:sz w:val="18"/>
                <w:szCs w:val="18"/>
              </w:rPr>
              <w:t>rado 3-</w:t>
            </w:r>
            <w:r>
              <w:rPr>
                <w:rFonts w:ascii="Arial" w:hAnsi="Arial" w:cs="Arial"/>
                <w:sz w:val="18"/>
                <w:szCs w:val="18"/>
              </w:rPr>
              <w:t>5</w:t>
            </w:r>
          </w:p>
        </w:tc>
        <w:tc>
          <w:tcPr>
            <w:tcW w:w="1338" w:type="dxa"/>
            <w:tcBorders>
              <w:top w:val="single" w:sz="4" w:space="0" w:color="000000"/>
              <w:left w:val="single" w:sz="4" w:space="0" w:color="000000"/>
              <w:bottom w:val="single" w:sz="4" w:space="0" w:color="000000"/>
            </w:tcBorders>
            <w:vAlign w:val="center"/>
          </w:tcPr>
          <w:p w:rsidR="0056194E" w:rsidRDefault="0056194E" w:rsidP="002533DD">
            <w:pPr>
              <w:jc w:val="center"/>
              <w:rPr>
                <w:rFonts w:ascii="Arial" w:hAnsi="Arial" w:cs="Arial"/>
                <w:sz w:val="18"/>
                <w:szCs w:val="18"/>
              </w:rPr>
            </w:pPr>
          </w:p>
          <w:p w:rsidR="0056194E" w:rsidRPr="002533DD" w:rsidRDefault="0056194E" w:rsidP="002533DD">
            <w:pPr>
              <w:jc w:val="center"/>
              <w:rPr>
                <w:sz w:val="18"/>
                <w:szCs w:val="18"/>
              </w:rPr>
            </w:pPr>
            <w:r>
              <w:rPr>
                <w:rFonts w:ascii="Arial" w:hAnsi="Arial" w:cs="Arial"/>
                <w:sz w:val="18"/>
                <w:szCs w:val="18"/>
              </w:rPr>
              <w:t>D</w:t>
            </w:r>
            <w:r w:rsidRPr="002533DD">
              <w:rPr>
                <w:rFonts w:ascii="Arial" w:hAnsi="Arial" w:cs="Arial"/>
                <w:sz w:val="18"/>
                <w:szCs w:val="18"/>
              </w:rPr>
              <w:t>ocetaxel</w:t>
            </w:r>
          </w:p>
          <w:p w:rsidR="0056194E" w:rsidRPr="002533DD" w:rsidRDefault="0056194E" w:rsidP="002533DD">
            <w:pPr>
              <w:jc w:val="center"/>
              <w:rPr>
                <w:sz w:val="18"/>
                <w:szCs w:val="18"/>
              </w:rPr>
            </w:pPr>
          </w:p>
        </w:tc>
        <w:tc>
          <w:tcPr>
            <w:tcW w:w="1092" w:type="dxa"/>
            <w:tcBorders>
              <w:top w:val="single" w:sz="4" w:space="0" w:color="000000"/>
              <w:left w:val="single" w:sz="4" w:space="0" w:color="000000"/>
              <w:bottom w:val="single" w:sz="4" w:space="0" w:color="000000"/>
            </w:tcBorders>
            <w:vAlign w:val="center"/>
          </w:tcPr>
          <w:p w:rsidR="0056194E" w:rsidRPr="002533DD" w:rsidRDefault="0056194E" w:rsidP="002533DD">
            <w:pPr>
              <w:jc w:val="center"/>
              <w:rPr>
                <w:sz w:val="18"/>
                <w:szCs w:val="18"/>
              </w:rPr>
            </w:pPr>
            <w:r w:rsidRPr="002533DD">
              <w:rPr>
                <w:rFonts w:ascii="Arial" w:hAnsi="Arial" w:cs="Arial"/>
                <w:i/>
                <w:sz w:val="18"/>
                <w:szCs w:val="18"/>
                <w:lang w:val="fr-FR"/>
              </w:rPr>
              <w:t>16,7</w:t>
            </w:r>
          </w:p>
        </w:tc>
        <w:tc>
          <w:tcPr>
            <w:tcW w:w="1185" w:type="dxa"/>
            <w:tcBorders>
              <w:top w:val="single" w:sz="4" w:space="0" w:color="000000"/>
              <w:left w:val="single" w:sz="4" w:space="0" w:color="000000"/>
              <w:bottom w:val="single" w:sz="4" w:space="0" w:color="000000"/>
            </w:tcBorders>
            <w:vAlign w:val="center"/>
          </w:tcPr>
          <w:p w:rsidR="0056194E" w:rsidRPr="001375BE" w:rsidRDefault="0056194E" w:rsidP="002533DD">
            <w:pPr>
              <w:jc w:val="center"/>
              <w:rPr>
                <w:rFonts w:ascii="Arial" w:hAnsi="Arial" w:cs="Arial"/>
                <w:i/>
                <w:sz w:val="18"/>
                <w:szCs w:val="18"/>
                <w:lang w:val="fr-FR"/>
              </w:rPr>
            </w:pPr>
            <w:r w:rsidRPr="001375BE">
              <w:rPr>
                <w:rFonts w:ascii="Arial" w:hAnsi="Arial" w:cs="Arial"/>
                <w:i/>
                <w:sz w:val="18"/>
                <w:szCs w:val="18"/>
                <w:lang w:val="fr-FR"/>
              </w:rPr>
              <w:t>24.003 €</w:t>
            </w:r>
          </w:p>
        </w:tc>
        <w:tc>
          <w:tcPr>
            <w:tcW w:w="1905" w:type="dxa"/>
            <w:tcBorders>
              <w:top w:val="single" w:sz="4" w:space="0" w:color="000000"/>
              <w:left w:val="single" w:sz="4" w:space="0" w:color="000000"/>
              <w:bottom w:val="single" w:sz="4" w:space="0" w:color="000000"/>
              <w:right w:val="single" w:sz="4" w:space="0" w:color="000000"/>
            </w:tcBorders>
            <w:vAlign w:val="center"/>
          </w:tcPr>
          <w:p w:rsidR="0056194E" w:rsidRPr="002533DD" w:rsidRDefault="0056194E" w:rsidP="002533DD">
            <w:pPr>
              <w:jc w:val="center"/>
              <w:rPr>
                <w:sz w:val="18"/>
                <w:szCs w:val="18"/>
              </w:rPr>
            </w:pPr>
            <w:r>
              <w:rPr>
                <w:rFonts w:ascii="Arial" w:hAnsi="Arial" w:cs="Arial"/>
                <w:i/>
                <w:sz w:val="18"/>
                <w:szCs w:val="18"/>
                <w:lang w:val="fr-FR"/>
              </w:rPr>
              <w:t>400</w:t>
            </w:r>
            <w:r w:rsidRPr="002533DD">
              <w:rPr>
                <w:rFonts w:ascii="Arial" w:hAnsi="Arial" w:cs="Arial"/>
                <w:i/>
                <w:sz w:val="18"/>
                <w:szCs w:val="18"/>
                <w:lang w:val="fr-FR"/>
              </w:rPr>
              <w:t>.</w:t>
            </w:r>
            <w:r>
              <w:rPr>
                <w:rFonts w:ascii="Arial" w:hAnsi="Arial" w:cs="Arial"/>
                <w:i/>
                <w:sz w:val="18"/>
                <w:szCs w:val="18"/>
                <w:lang w:val="fr-FR"/>
              </w:rPr>
              <w:t>850</w:t>
            </w:r>
            <w:r w:rsidRPr="002533DD">
              <w:rPr>
                <w:rFonts w:ascii="Arial" w:hAnsi="Arial" w:cs="Arial"/>
                <w:i/>
                <w:sz w:val="18"/>
                <w:szCs w:val="18"/>
                <w:lang w:val="fr-FR"/>
              </w:rPr>
              <w:t xml:space="preserve"> €</w:t>
            </w:r>
          </w:p>
        </w:tc>
      </w:tr>
      <w:tr w:rsidR="0056194E">
        <w:trPr>
          <w:cantSplit/>
        </w:trPr>
        <w:tc>
          <w:tcPr>
            <w:tcW w:w="1379" w:type="dxa"/>
            <w:vMerge/>
            <w:tcBorders>
              <w:top w:val="single" w:sz="4" w:space="0" w:color="000000"/>
              <w:left w:val="single" w:sz="4" w:space="0" w:color="000000"/>
              <w:bottom w:val="single" w:sz="4" w:space="0" w:color="000000"/>
            </w:tcBorders>
            <w:vAlign w:val="center"/>
          </w:tcPr>
          <w:p w:rsidR="0056194E" w:rsidRPr="002533DD" w:rsidRDefault="0056194E" w:rsidP="002533DD">
            <w:pPr>
              <w:snapToGrid w:val="0"/>
              <w:jc w:val="center"/>
              <w:rPr>
                <w:sz w:val="18"/>
                <w:szCs w:val="18"/>
              </w:rPr>
            </w:pPr>
          </w:p>
        </w:tc>
        <w:tc>
          <w:tcPr>
            <w:tcW w:w="992" w:type="dxa"/>
            <w:tcBorders>
              <w:top w:val="single" w:sz="4" w:space="0" w:color="000000"/>
              <w:left w:val="single" w:sz="4" w:space="0" w:color="000000"/>
              <w:bottom w:val="single" w:sz="4" w:space="0" w:color="000000"/>
            </w:tcBorders>
            <w:vAlign w:val="center"/>
          </w:tcPr>
          <w:p w:rsidR="0056194E" w:rsidRDefault="0056194E" w:rsidP="002533DD">
            <w:pPr>
              <w:jc w:val="center"/>
              <w:rPr>
                <w:rFonts w:ascii="Arial" w:hAnsi="Arial" w:cs="Arial"/>
                <w:sz w:val="18"/>
                <w:szCs w:val="18"/>
              </w:rPr>
            </w:pPr>
          </w:p>
          <w:p w:rsidR="0056194E" w:rsidRPr="002533DD" w:rsidRDefault="0056194E" w:rsidP="002533DD">
            <w:pPr>
              <w:jc w:val="center"/>
              <w:rPr>
                <w:sz w:val="18"/>
                <w:szCs w:val="18"/>
              </w:rPr>
            </w:pPr>
            <w:r w:rsidRPr="002533DD">
              <w:rPr>
                <w:rFonts w:ascii="Arial" w:hAnsi="Arial" w:cs="Arial"/>
                <w:sz w:val="18"/>
                <w:szCs w:val="18"/>
              </w:rPr>
              <w:t>Seguridad</w:t>
            </w:r>
          </w:p>
        </w:tc>
        <w:tc>
          <w:tcPr>
            <w:tcW w:w="1214" w:type="dxa"/>
            <w:tcBorders>
              <w:top w:val="single" w:sz="4" w:space="0" w:color="000000"/>
              <w:left w:val="single" w:sz="4" w:space="0" w:color="000000"/>
              <w:bottom w:val="single" w:sz="4" w:space="0" w:color="000000"/>
            </w:tcBorders>
            <w:vAlign w:val="center"/>
          </w:tcPr>
          <w:p w:rsidR="0056194E" w:rsidRPr="002533DD" w:rsidRDefault="0056194E" w:rsidP="002533DD">
            <w:pPr>
              <w:snapToGrid w:val="0"/>
              <w:jc w:val="center"/>
              <w:rPr>
                <w:sz w:val="18"/>
                <w:szCs w:val="18"/>
              </w:rPr>
            </w:pPr>
            <w:r w:rsidRPr="002533DD">
              <w:rPr>
                <w:rFonts w:ascii="Arial" w:hAnsi="Arial" w:cs="Arial"/>
                <w:sz w:val="18"/>
                <w:szCs w:val="18"/>
              </w:rPr>
              <w:t>Neutropenia febril</w:t>
            </w:r>
          </w:p>
        </w:tc>
        <w:tc>
          <w:tcPr>
            <w:tcW w:w="1338" w:type="dxa"/>
            <w:tcBorders>
              <w:top w:val="single" w:sz="4" w:space="0" w:color="000000"/>
              <w:left w:val="single" w:sz="4" w:space="0" w:color="000000"/>
              <w:bottom w:val="single" w:sz="4" w:space="0" w:color="000000"/>
            </w:tcBorders>
            <w:vAlign w:val="center"/>
          </w:tcPr>
          <w:p w:rsidR="0056194E" w:rsidRDefault="0056194E" w:rsidP="002533DD">
            <w:pPr>
              <w:snapToGrid w:val="0"/>
              <w:jc w:val="center"/>
              <w:rPr>
                <w:rFonts w:ascii="Arial" w:hAnsi="Arial" w:cs="Arial"/>
                <w:sz w:val="18"/>
                <w:szCs w:val="18"/>
              </w:rPr>
            </w:pPr>
          </w:p>
          <w:p w:rsidR="0056194E" w:rsidRDefault="0056194E" w:rsidP="002533DD">
            <w:pPr>
              <w:snapToGrid w:val="0"/>
              <w:jc w:val="center"/>
              <w:rPr>
                <w:rFonts w:ascii="Arial" w:hAnsi="Arial" w:cs="Arial"/>
                <w:sz w:val="18"/>
                <w:szCs w:val="18"/>
              </w:rPr>
            </w:pPr>
            <w:r w:rsidRPr="002533DD">
              <w:rPr>
                <w:rFonts w:ascii="Arial" w:hAnsi="Arial" w:cs="Arial"/>
                <w:sz w:val="18"/>
                <w:szCs w:val="18"/>
              </w:rPr>
              <w:t>Docetaxel</w:t>
            </w:r>
          </w:p>
          <w:p w:rsidR="0056194E" w:rsidRPr="002533DD" w:rsidRDefault="0056194E" w:rsidP="002533DD">
            <w:pPr>
              <w:snapToGrid w:val="0"/>
              <w:jc w:val="center"/>
              <w:rPr>
                <w:sz w:val="18"/>
                <w:szCs w:val="18"/>
              </w:rPr>
            </w:pPr>
          </w:p>
        </w:tc>
        <w:tc>
          <w:tcPr>
            <w:tcW w:w="1092" w:type="dxa"/>
            <w:tcBorders>
              <w:top w:val="single" w:sz="4" w:space="0" w:color="000000"/>
              <w:left w:val="single" w:sz="4" w:space="0" w:color="000000"/>
              <w:bottom w:val="single" w:sz="4" w:space="0" w:color="000000"/>
            </w:tcBorders>
            <w:vAlign w:val="center"/>
          </w:tcPr>
          <w:p w:rsidR="0056194E" w:rsidRPr="002533DD" w:rsidRDefault="0056194E" w:rsidP="002533DD">
            <w:pPr>
              <w:snapToGrid w:val="0"/>
              <w:jc w:val="center"/>
              <w:rPr>
                <w:sz w:val="18"/>
                <w:szCs w:val="18"/>
              </w:rPr>
            </w:pPr>
            <w:r w:rsidRPr="002533DD">
              <w:rPr>
                <w:rFonts w:ascii="Arial" w:hAnsi="Arial" w:cs="Arial"/>
                <w:i/>
                <w:sz w:val="18"/>
                <w:szCs w:val="18"/>
                <w:lang w:val="fr-FR"/>
              </w:rPr>
              <w:t>7,14 (5,91-9,0)</w:t>
            </w:r>
          </w:p>
        </w:tc>
        <w:tc>
          <w:tcPr>
            <w:tcW w:w="1185" w:type="dxa"/>
            <w:tcBorders>
              <w:top w:val="single" w:sz="4" w:space="0" w:color="000000"/>
              <w:left w:val="single" w:sz="4" w:space="0" w:color="000000"/>
              <w:bottom w:val="single" w:sz="4" w:space="0" w:color="000000"/>
            </w:tcBorders>
            <w:vAlign w:val="center"/>
          </w:tcPr>
          <w:p w:rsidR="0056194E" w:rsidRPr="001375BE" w:rsidRDefault="0056194E" w:rsidP="001375BE">
            <w:pPr>
              <w:jc w:val="center"/>
              <w:rPr>
                <w:rFonts w:ascii="Arial" w:hAnsi="Arial" w:cs="Arial"/>
                <w:i/>
                <w:sz w:val="18"/>
                <w:szCs w:val="18"/>
                <w:lang w:val="fr-FR"/>
              </w:rPr>
            </w:pPr>
            <w:r w:rsidRPr="001375BE">
              <w:rPr>
                <w:rFonts w:ascii="Arial" w:hAnsi="Arial" w:cs="Arial"/>
                <w:i/>
                <w:sz w:val="18"/>
                <w:szCs w:val="18"/>
                <w:lang w:val="fr-FR"/>
              </w:rPr>
              <w:t>24.003 €</w:t>
            </w:r>
          </w:p>
        </w:tc>
        <w:tc>
          <w:tcPr>
            <w:tcW w:w="1905" w:type="dxa"/>
            <w:tcBorders>
              <w:top w:val="single" w:sz="4" w:space="0" w:color="000000"/>
              <w:left w:val="single" w:sz="4" w:space="0" w:color="000000"/>
              <w:bottom w:val="single" w:sz="4" w:space="0" w:color="000000"/>
              <w:right w:val="single" w:sz="4" w:space="0" w:color="000000"/>
            </w:tcBorders>
            <w:vAlign w:val="center"/>
          </w:tcPr>
          <w:p w:rsidR="0056194E" w:rsidRPr="002533DD" w:rsidRDefault="0056194E" w:rsidP="002533DD">
            <w:pPr>
              <w:snapToGrid w:val="0"/>
              <w:jc w:val="center"/>
              <w:rPr>
                <w:sz w:val="18"/>
                <w:szCs w:val="18"/>
              </w:rPr>
            </w:pPr>
            <w:r w:rsidRPr="001375BE">
              <w:rPr>
                <w:rFonts w:ascii="Arial" w:hAnsi="Arial" w:cs="Arial"/>
                <w:i/>
                <w:sz w:val="18"/>
                <w:szCs w:val="18"/>
              </w:rPr>
              <w:t>171.</w:t>
            </w:r>
            <w:r>
              <w:rPr>
                <w:rFonts w:ascii="Arial" w:hAnsi="Arial" w:cs="Arial"/>
                <w:i/>
                <w:sz w:val="18"/>
                <w:szCs w:val="18"/>
              </w:rPr>
              <w:t>381 (141.858-216.027</w:t>
            </w:r>
            <w:r w:rsidRPr="001375BE">
              <w:rPr>
                <w:rFonts w:ascii="Arial" w:hAnsi="Arial" w:cs="Arial"/>
                <w:i/>
                <w:sz w:val="18"/>
                <w:szCs w:val="18"/>
              </w:rPr>
              <w:t>) €</w:t>
            </w:r>
          </w:p>
        </w:tc>
      </w:tr>
    </w:tbl>
    <w:p w:rsidR="0056194E" w:rsidRDefault="0056194E">
      <w:pPr>
        <w:pStyle w:val="Encabezado"/>
        <w:tabs>
          <w:tab w:val="clear" w:pos="4252"/>
          <w:tab w:val="clear" w:pos="8504"/>
        </w:tabs>
        <w:jc w:val="both"/>
        <w:rPr>
          <w:rFonts w:ascii="Arial" w:hAnsi="Arial" w:cs="Arial"/>
        </w:rPr>
      </w:pPr>
    </w:p>
    <w:p w:rsidR="0056194E" w:rsidRDefault="0056194E">
      <w:pPr>
        <w:pStyle w:val="Encabezado"/>
        <w:tabs>
          <w:tab w:val="clear" w:pos="4252"/>
          <w:tab w:val="clear" w:pos="8504"/>
        </w:tabs>
        <w:jc w:val="both"/>
        <w:rPr>
          <w:rFonts w:ascii="Arial" w:hAnsi="Arial" w:cs="Arial"/>
        </w:rPr>
      </w:pPr>
      <w:r>
        <w:rPr>
          <w:rFonts w:ascii="Arial" w:hAnsi="Arial" w:cs="Arial"/>
        </w:rPr>
        <w:t>Interpretación: Según los datos de la comparación indirecta de efectos adversos y calculando el coste-beneficio en base a la toxicidad evitada al tratar al paciente con abiraterona en lugar de docetaxel, por cada paciente adicional en que se evita la aparición de efectos adversos Grado 3-5 el coste adicional estimado es de 400.850  €, y el coste por cada paciente adicional en que se evita la aparición de neutropenia febril es de 171.381 €, aunque también es compatible con un CEI entre 141.858 € y 216.027 €.</w:t>
      </w:r>
    </w:p>
    <w:p w:rsidR="0056194E" w:rsidRDefault="0056194E">
      <w:pPr>
        <w:pStyle w:val="Encabezado"/>
        <w:tabs>
          <w:tab w:val="clear" w:pos="4252"/>
          <w:tab w:val="clear" w:pos="8504"/>
        </w:tabs>
        <w:jc w:val="both"/>
        <w:rPr>
          <w:rFonts w:ascii="Arial" w:hAnsi="Arial" w:cs="Arial"/>
          <w:color w:val="0000FF"/>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46" w:name="_Toc536608361"/>
      <w:r>
        <w:rPr>
          <w:sz w:val="20"/>
        </w:rPr>
        <w:t>7.3 Estimación del número de pacientes candidatos al tratamiento en el hospital</w:t>
      </w:r>
      <w:bookmarkEnd w:id="46"/>
    </w:p>
    <w:p w:rsidR="0056194E" w:rsidRDefault="0056194E">
      <w:pPr>
        <w:numPr>
          <w:ilvl w:val="0"/>
          <w:numId w:val="2"/>
        </w:numPr>
        <w:jc w:val="both"/>
        <w:rPr>
          <w:rFonts w:ascii="Arial" w:hAnsi="Arial" w:cs="Arial"/>
          <w:sz w:val="20"/>
          <w:szCs w:val="20"/>
        </w:rPr>
      </w:pPr>
    </w:p>
    <w:p w:rsidR="0056194E" w:rsidRDefault="0056194E">
      <w:pPr>
        <w:numPr>
          <w:ilvl w:val="0"/>
          <w:numId w:val="2"/>
        </w:numPr>
        <w:jc w:val="both"/>
        <w:rPr>
          <w:rFonts w:ascii="Arial" w:hAnsi="Arial" w:cs="Arial"/>
          <w:sz w:val="20"/>
          <w:szCs w:val="20"/>
        </w:rPr>
      </w:pPr>
      <w:r>
        <w:rPr>
          <w:rFonts w:ascii="Arial" w:hAnsi="Arial" w:cs="Arial"/>
          <w:sz w:val="20"/>
          <w:szCs w:val="20"/>
        </w:rPr>
        <w:t>Se estimó el número anual de pacientes en un área hospitalaria de 250.000 habitantes teniendo en cuenta que la incidencia de cáncer de próstata es de 96,8 casos/100.000 habitantes, que aproximadamente un 20% de los pacientes debutan en estadío localmente avanzado o metástasico y aproximadamente un 5% debutan con metastásis</w:t>
      </w:r>
      <w:r w:rsidR="006A7956">
        <w:rPr>
          <w:rFonts w:ascii="Arial" w:hAnsi="Arial" w:cs="Arial"/>
          <w:sz w:val="20"/>
          <w:szCs w:val="20"/>
          <w:vertAlign w:val="superscript"/>
        </w:rPr>
        <w:t>3</w:t>
      </w:r>
      <w:r w:rsidR="008503B4">
        <w:rPr>
          <w:rFonts w:ascii="Arial" w:hAnsi="Arial" w:cs="Arial"/>
          <w:sz w:val="20"/>
          <w:szCs w:val="20"/>
          <w:vertAlign w:val="superscript"/>
        </w:rPr>
        <w:t>2</w:t>
      </w:r>
      <w:r>
        <w:rPr>
          <w:rFonts w:ascii="Arial" w:hAnsi="Arial" w:cs="Arial"/>
          <w:sz w:val="20"/>
          <w:szCs w:val="20"/>
        </w:rPr>
        <w:t>. Se consideró también para el cálculo el cumplimiento de los criterios de inclusión de cada ensayo.</w:t>
      </w:r>
    </w:p>
    <w:p w:rsidR="0056194E" w:rsidRDefault="0056194E">
      <w:pPr>
        <w:numPr>
          <w:ilvl w:val="0"/>
          <w:numId w:val="2"/>
        </w:num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Dado que no hemos encontrado datos epidemiológicos estratificados por edad sobre la incidencia de cáncer de próstata en España, hemos tomado los datos de los estudios de abiraterona en la indicación evaluada en nuestro informe, donde se estratificaron por edad:</w:t>
      </w:r>
    </w:p>
    <w:p w:rsidR="0056194E" w:rsidRDefault="0056194E">
      <w:pPr>
        <w:jc w:val="both"/>
        <w:rPr>
          <w:rFonts w:ascii="Arial" w:hAnsi="Arial" w:cs="Arial"/>
          <w:sz w:val="20"/>
          <w:szCs w:val="20"/>
        </w:rPr>
      </w:pPr>
    </w:p>
    <w:p w:rsidR="0056194E" w:rsidRDefault="0056194E">
      <w:pPr>
        <w:numPr>
          <w:ilvl w:val="0"/>
          <w:numId w:val="16"/>
        </w:numPr>
        <w:jc w:val="both"/>
        <w:rPr>
          <w:rFonts w:ascii="Arial" w:hAnsi="Arial" w:cs="Arial"/>
          <w:sz w:val="20"/>
          <w:szCs w:val="20"/>
        </w:rPr>
      </w:pPr>
      <w:r>
        <w:rPr>
          <w:rFonts w:ascii="Arial" w:hAnsi="Arial" w:cs="Arial"/>
          <w:sz w:val="20"/>
          <w:szCs w:val="20"/>
        </w:rPr>
        <w:t>30% &lt;70 años</w:t>
      </w:r>
    </w:p>
    <w:p w:rsidR="0056194E" w:rsidRDefault="0056194E">
      <w:pPr>
        <w:numPr>
          <w:ilvl w:val="0"/>
          <w:numId w:val="16"/>
        </w:numPr>
        <w:jc w:val="both"/>
        <w:rPr>
          <w:rFonts w:ascii="Arial" w:hAnsi="Arial" w:cs="Arial"/>
          <w:sz w:val="20"/>
          <w:szCs w:val="20"/>
        </w:rPr>
      </w:pPr>
      <w:r>
        <w:rPr>
          <w:rFonts w:ascii="Arial" w:hAnsi="Arial" w:cs="Arial"/>
          <w:sz w:val="20"/>
          <w:szCs w:val="20"/>
        </w:rPr>
        <w:t>62% ≥70/≤75 años</w:t>
      </w:r>
    </w:p>
    <w:p w:rsidR="0056194E" w:rsidRDefault="0056194E">
      <w:pPr>
        <w:numPr>
          <w:ilvl w:val="0"/>
          <w:numId w:val="16"/>
        </w:numPr>
        <w:jc w:val="both"/>
        <w:rPr>
          <w:rFonts w:ascii="Arial" w:hAnsi="Arial" w:cs="Arial"/>
          <w:sz w:val="20"/>
          <w:szCs w:val="20"/>
        </w:rPr>
      </w:pPr>
      <w:r>
        <w:rPr>
          <w:rFonts w:ascii="Arial" w:hAnsi="Arial" w:cs="Arial"/>
          <w:sz w:val="20"/>
          <w:szCs w:val="20"/>
        </w:rPr>
        <w:t>8% &gt; 75 años</w:t>
      </w:r>
    </w:p>
    <w:p w:rsidR="0056194E" w:rsidRDefault="0056194E">
      <w:pPr>
        <w:ind w:left="720"/>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Suponiendo que las proporciones de los subgrupos de edades son representativos de la población con diagnóstico  de cáncer de próstata hemos realizado el impacto presupuestario de la financiación de la nueva indicación de abiraterona.</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Interpretación de la siguiente tabla (7.3.a): Se estima que durante un año serán diagnosticados 2.050 pacientes de cáncer  de próstata metastásico en España. Debido a la ausencia de datos epidemiológicos, hemos realizado una estimación considerando que el 50% de los mismos será diagnosticado como metastásico de alto riesgo. Según esto, el número de pacientes que debuten con CPHS metastásico y que cumpla criterios de riesgo será 1.025 en España, 184 pacientes en  Andalucía y 6 pacientes en un hospital que abarque una población de 250.000 habitantes.</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tbl>
      <w:tblPr>
        <w:tblW w:w="9730" w:type="dxa"/>
        <w:tblInd w:w="-446" w:type="dxa"/>
        <w:tblLayout w:type="fixed"/>
        <w:tblCellMar>
          <w:left w:w="70" w:type="dxa"/>
          <w:right w:w="70" w:type="dxa"/>
        </w:tblCellMar>
        <w:tblLook w:val="0000"/>
      </w:tblPr>
      <w:tblGrid>
        <w:gridCol w:w="1761"/>
        <w:gridCol w:w="1722"/>
        <w:gridCol w:w="1378"/>
        <w:gridCol w:w="1491"/>
        <w:gridCol w:w="1722"/>
        <w:gridCol w:w="1656"/>
      </w:tblGrid>
      <w:tr w:rsidR="0056194E">
        <w:trPr>
          <w:cantSplit/>
          <w:trHeight w:val="80"/>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pPr>
              <w:jc w:val="both"/>
            </w:pPr>
            <w:r>
              <w:rPr>
                <w:rFonts w:ascii="Arial" w:hAnsi="Arial" w:cs="Arial"/>
                <w:b/>
                <w:sz w:val="20"/>
                <w:szCs w:val="20"/>
              </w:rPr>
              <w:t>Tabla 7.3.a. Estimación del número de pacientes año candidatos al tratamiento, coste estimado a nivel hospitalario, de comunidad autónoma y nacional.</w:t>
            </w:r>
          </w:p>
        </w:tc>
      </w:tr>
      <w:tr w:rsidR="0056194E">
        <w:trPr>
          <w:trHeight w:val="894"/>
        </w:trPr>
        <w:tc>
          <w:tcPr>
            <w:tcW w:w="1761" w:type="dxa"/>
            <w:tcBorders>
              <w:top w:val="single" w:sz="4" w:space="0" w:color="000000"/>
              <w:left w:val="single" w:sz="4" w:space="0" w:color="000000"/>
              <w:bottom w:val="single" w:sz="4" w:space="0" w:color="000000"/>
            </w:tcBorders>
            <w:vAlign w:val="center"/>
          </w:tcPr>
          <w:p w:rsidR="0056194E" w:rsidRPr="00031216" w:rsidRDefault="0056194E" w:rsidP="00031216">
            <w:pPr>
              <w:jc w:val="center"/>
              <w:rPr>
                <w:sz w:val="16"/>
                <w:szCs w:val="16"/>
                <w:lang w:val="pt-BR"/>
              </w:rPr>
            </w:pPr>
            <w:r w:rsidRPr="00031216">
              <w:rPr>
                <w:rFonts w:ascii="Arial" w:hAnsi="Arial" w:cs="Arial"/>
                <w:b/>
                <w:sz w:val="16"/>
                <w:szCs w:val="16"/>
                <w:lang w:val="pt-BR"/>
              </w:rPr>
              <w:t>Nº anual de pacientes diagnosticados de cáncer de próstata</w:t>
            </w:r>
            <w:r>
              <w:rPr>
                <w:rFonts w:ascii="Arial" w:hAnsi="Arial" w:cs="Arial"/>
                <w:b/>
                <w:sz w:val="16"/>
                <w:szCs w:val="16"/>
                <w:lang w:val="pt-BR"/>
              </w:rPr>
              <w:t xml:space="preserve"> metastásico</w:t>
            </w:r>
          </w:p>
          <w:p w:rsidR="0056194E" w:rsidRPr="00031216" w:rsidRDefault="0056194E" w:rsidP="00031216">
            <w:pPr>
              <w:jc w:val="center"/>
              <w:rPr>
                <w:sz w:val="16"/>
                <w:szCs w:val="16"/>
                <w:lang w:val="pt-BR"/>
              </w:rPr>
            </w:pPr>
          </w:p>
        </w:tc>
        <w:tc>
          <w:tcPr>
            <w:tcW w:w="1722" w:type="dxa"/>
            <w:tcBorders>
              <w:top w:val="single" w:sz="4" w:space="0" w:color="000000"/>
              <w:left w:val="single" w:sz="4" w:space="0" w:color="000000"/>
              <w:bottom w:val="single" w:sz="4" w:space="0" w:color="000000"/>
            </w:tcBorders>
            <w:vAlign w:val="center"/>
          </w:tcPr>
          <w:p w:rsidR="0056194E" w:rsidRPr="00031216" w:rsidRDefault="0056194E" w:rsidP="00031216">
            <w:pPr>
              <w:jc w:val="center"/>
              <w:rPr>
                <w:sz w:val="16"/>
                <w:szCs w:val="16"/>
              </w:rPr>
            </w:pPr>
            <w:r w:rsidRPr="00031216">
              <w:rPr>
                <w:rFonts w:ascii="Arial" w:hAnsi="Arial" w:cs="Arial"/>
                <w:b/>
                <w:sz w:val="16"/>
                <w:szCs w:val="16"/>
              </w:rPr>
              <w:t>Nº de pacientes candidatos a tratamiento (metastásicos de alto riesgo, asuminos un 50% del total de pacientes metastásicos son de alto riesgo)</w:t>
            </w:r>
          </w:p>
        </w:tc>
        <w:tc>
          <w:tcPr>
            <w:tcW w:w="1378" w:type="dxa"/>
            <w:tcBorders>
              <w:top w:val="single" w:sz="4" w:space="0" w:color="000000"/>
              <w:left w:val="single" w:sz="4" w:space="0" w:color="000000"/>
              <w:bottom w:val="single" w:sz="4" w:space="0" w:color="000000"/>
            </w:tcBorders>
            <w:vAlign w:val="center"/>
          </w:tcPr>
          <w:p w:rsidR="0056194E" w:rsidRPr="00031216" w:rsidRDefault="0056194E" w:rsidP="00031216">
            <w:pPr>
              <w:jc w:val="center"/>
              <w:rPr>
                <w:sz w:val="16"/>
                <w:szCs w:val="16"/>
              </w:rPr>
            </w:pPr>
            <w:r w:rsidRPr="00031216">
              <w:rPr>
                <w:rFonts w:ascii="Arial" w:hAnsi="Arial" w:cs="Arial"/>
                <w:b/>
                <w:sz w:val="16"/>
                <w:szCs w:val="16"/>
              </w:rPr>
              <w:t>Nº de pacientes estra</w:t>
            </w:r>
            <w:r w:rsidR="00355167">
              <w:rPr>
                <w:rFonts w:ascii="Arial" w:hAnsi="Arial" w:cs="Arial"/>
                <w:b/>
                <w:sz w:val="16"/>
                <w:szCs w:val="16"/>
              </w:rPr>
              <w:t>t</w:t>
            </w:r>
            <w:r w:rsidRPr="00031216">
              <w:rPr>
                <w:rFonts w:ascii="Arial" w:hAnsi="Arial" w:cs="Arial"/>
                <w:b/>
                <w:sz w:val="16"/>
                <w:szCs w:val="16"/>
              </w:rPr>
              <w:t>iciados por edad</w:t>
            </w:r>
          </w:p>
        </w:tc>
        <w:tc>
          <w:tcPr>
            <w:tcW w:w="1491" w:type="dxa"/>
            <w:tcBorders>
              <w:top w:val="single" w:sz="4" w:space="0" w:color="000000"/>
              <w:left w:val="single" w:sz="4" w:space="0" w:color="000000"/>
              <w:bottom w:val="single" w:sz="4" w:space="0" w:color="000000"/>
            </w:tcBorders>
            <w:vAlign w:val="center"/>
          </w:tcPr>
          <w:p w:rsidR="0056194E" w:rsidRPr="00031216" w:rsidRDefault="0056194E" w:rsidP="00031216">
            <w:pPr>
              <w:jc w:val="center"/>
              <w:rPr>
                <w:sz w:val="16"/>
                <w:szCs w:val="16"/>
              </w:rPr>
            </w:pPr>
            <w:r w:rsidRPr="00031216">
              <w:rPr>
                <w:rFonts w:ascii="Arial" w:hAnsi="Arial" w:cs="Arial"/>
                <w:b/>
                <w:sz w:val="16"/>
                <w:szCs w:val="16"/>
              </w:rPr>
              <w:t>Coste incremental por paciente de abiraterona con respecto a docetaxel</w:t>
            </w:r>
          </w:p>
        </w:tc>
        <w:tc>
          <w:tcPr>
            <w:tcW w:w="1722" w:type="dxa"/>
            <w:tcBorders>
              <w:top w:val="single" w:sz="4" w:space="0" w:color="000000"/>
              <w:left w:val="single" w:sz="4" w:space="0" w:color="000000"/>
              <w:bottom w:val="single" w:sz="4" w:space="0" w:color="000000"/>
            </w:tcBorders>
            <w:vAlign w:val="center"/>
          </w:tcPr>
          <w:p w:rsidR="0056194E" w:rsidRPr="00031216" w:rsidRDefault="0056194E" w:rsidP="00031216">
            <w:pPr>
              <w:jc w:val="center"/>
              <w:rPr>
                <w:sz w:val="16"/>
                <w:szCs w:val="16"/>
              </w:rPr>
            </w:pPr>
            <w:r w:rsidRPr="00031216">
              <w:rPr>
                <w:rFonts w:ascii="Arial" w:hAnsi="Arial" w:cs="Arial"/>
                <w:b/>
                <w:sz w:val="16"/>
                <w:szCs w:val="16"/>
              </w:rPr>
              <w:t>Diferencia de eficacia  entre medicamentos estudiados</w:t>
            </w:r>
          </w:p>
        </w:tc>
        <w:tc>
          <w:tcPr>
            <w:tcW w:w="1656" w:type="dxa"/>
            <w:tcBorders>
              <w:top w:val="single" w:sz="4" w:space="0" w:color="000000"/>
              <w:left w:val="single" w:sz="4" w:space="0" w:color="000000"/>
              <w:bottom w:val="single" w:sz="4" w:space="0" w:color="000000"/>
              <w:right w:val="single" w:sz="4" w:space="0" w:color="000000"/>
            </w:tcBorders>
            <w:vAlign w:val="center"/>
          </w:tcPr>
          <w:p w:rsidR="0056194E" w:rsidRDefault="0056194E" w:rsidP="00507935">
            <w:pPr>
              <w:rPr>
                <w:rFonts w:ascii="Arial" w:hAnsi="Arial" w:cs="Arial"/>
                <w:b/>
                <w:sz w:val="16"/>
                <w:szCs w:val="16"/>
              </w:rPr>
            </w:pPr>
            <w:r w:rsidRPr="00031216">
              <w:rPr>
                <w:rFonts w:ascii="Arial" w:hAnsi="Arial" w:cs="Arial"/>
                <w:b/>
                <w:sz w:val="16"/>
                <w:szCs w:val="16"/>
              </w:rPr>
              <w:t>Impacto económico</w:t>
            </w:r>
            <w:r>
              <w:rPr>
                <w:rFonts w:ascii="Arial" w:hAnsi="Arial" w:cs="Arial"/>
                <w:b/>
                <w:sz w:val="16"/>
                <w:szCs w:val="16"/>
              </w:rPr>
              <w:t xml:space="preserve">: </w:t>
            </w:r>
          </w:p>
          <w:p w:rsidR="0056194E" w:rsidRDefault="0056194E" w:rsidP="00507935">
            <w:pPr>
              <w:rPr>
                <w:rFonts w:ascii="Arial" w:hAnsi="Arial" w:cs="Arial"/>
                <w:b/>
                <w:sz w:val="16"/>
                <w:szCs w:val="16"/>
              </w:rPr>
            </w:pPr>
          </w:p>
          <w:p w:rsidR="0056194E" w:rsidRDefault="0056194E" w:rsidP="00507935">
            <w:pPr>
              <w:rPr>
                <w:rFonts w:ascii="Arial" w:hAnsi="Arial" w:cs="Arial"/>
                <w:b/>
                <w:sz w:val="16"/>
                <w:szCs w:val="16"/>
              </w:rPr>
            </w:pPr>
            <w:r w:rsidRPr="00507935">
              <w:rPr>
                <w:rFonts w:ascii="Arial" w:hAnsi="Arial" w:cs="Arial"/>
                <w:b/>
                <w:sz w:val="16"/>
                <w:szCs w:val="16"/>
              </w:rPr>
              <w:t>a)</w:t>
            </w:r>
            <w:r>
              <w:rPr>
                <w:rFonts w:ascii="Arial" w:hAnsi="Arial" w:cs="Arial"/>
                <w:b/>
                <w:sz w:val="16"/>
                <w:szCs w:val="16"/>
              </w:rPr>
              <w:t xml:space="preserve"> total de los pacientes</w:t>
            </w:r>
          </w:p>
          <w:p w:rsidR="0056194E" w:rsidRDefault="0056194E" w:rsidP="00507935">
            <w:pPr>
              <w:rPr>
                <w:rFonts w:ascii="Arial" w:hAnsi="Arial" w:cs="Arial"/>
                <w:b/>
                <w:sz w:val="16"/>
                <w:szCs w:val="16"/>
              </w:rPr>
            </w:pPr>
          </w:p>
          <w:p w:rsidR="0056194E" w:rsidRPr="00507935" w:rsidRDefault="0056194E" w:rsidP="00507935">
            <w:pPr>
              <w:rPr>
                <w:rFonts w:ascii="Arial" w:hAnsi="Arial" w:cs="Arial"/>
                <w:b/>
                <w:sz w:val="16"/>
                <w:szCs w:val="16"/>
              </w:rPr>
            </w:pPr>
            <w:r>
              <w:rPr>
                <w:rFonts w:ascii="Arial" w:hAnsi="Arial" w:cs="Arial"/>
                <w:b/>
                <w:sz w:val="16"/>
                <w:szCs w:val="16"/>
              </w:rPr>
              <w:t>b) excluyendo &gt;75 años</w:t>
            </w:r>
          </w:p>
        </w:tc>
      </w:tr>
      <w:tr w:rsidR="0056194E">
        <w:trPr>
          <w:trHeight w:val="852"/>
        </w:trPr>
        <w:tc>
          <w:tcPr>
            <w:tcW w:w="1761" w:type="dxa"/>
            <w:tcBorders>
              <w:top w:val="single" w:sz="4" w:space="0" w:color="000000"/>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b/>
                <w:sz w:val="16"/>
                <w:szCs w:val="16"/>
              </w:rPr>
              <w:t>Hospital</w:t>
            </w:r>
            <w:r w:rsidRPr="00031216">
              <w:rPr>
                <w:rFonts w:ascii="Wingdings" w:hAnsi="Wingdings" w:cs="Wingdings"/>
                <w:b/>
                <w:sz w:val="16"/>
                <w:szCs w:val="16"/>
              </w:rPr>
              <w:t></w:t>
            </w:r>
            <w:r w:rsidRPr="00031216">
              <w:rPr>
                <w:rFonts w:ascii="Arial" w:hAnsi="Arial" w:cs="Arial"/>
                <w:sz w:val="16"/>
                <w:szCs w:val="16"/>
              </w:rPr>
              <w:t>11</w:t>
            </w:r>
          </w:p>
        </w:tc>
        <w:tc>
          <w:tcPr>
            <w:tcW w:w="1722" w:type="dxa"/>
            <w:tcBorders>
              <w:top w:val="single" w:sz="4" w:space="0" w:color="000000"/>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i/>
                <w:sz w:val="16"/>
                <w:szCs w:val="16"/>
              </w:rPr>
              <w:t>6</w:t>
            </w:r>
          </w:p>
        </w:tc>
        <w:tc>
          <w:tcPr>
            <w:tcW w:w="1378" w:type="dxa"/>
            <w:tcBorders>
              <w:top w:val="single" w:sz="4" w:space="0" w:color="000000"/>
              <w:left w:val="single" w:sz="4" w:space="0" w:color="000000"/>
              <w:bottom w:val="single" w:sz="4" w:space="0" w:color="000000"/>
            </w:tcBorders>
            <w:vAlign w:val="center"/>
          </w:tcPr>
          <w:p w:rsidR="0056194E" w:rsidRPr="00031216" w:rsidRDefault="0056194E" w:rsidP="00507935">
            <w:pPr>
              <w:snapToGrid w:val="0"/>
              <w:jc w:val="center"/>
              <w:rPr>
                <w:rFonts w:ascii="Arial" w:hAnsi="Arial" w:cs="Arial"/>
                <w:i/>
                <w:sz w:val="16"/>
                <w:szCs w:val="16"/>
              </w:rPr>
            </w:pPr>
          </w:p>
          <w:p w:rsidR="0056194E" w:rsidRPr="00031216" w:rsidRDefault="0056194E" w:rsidP="00507935">
            <w:pPr>
              <w:jc w:val="center"/>
              <w:rPr>
                <w:rFonts w:ascii="Arial" w:hAnsi="Arial" w:cs="Arial"/>
                <w:i/>
                <w:sz w:val="16"/>
                <w:szCs w:val="16"/>
              </w:rPr>
            </w:pPr>
            <w:r w:rsidRPr="00031216">
              <w:rPr>
                <w:rFonts w:ascii="Arial" w:hAnsi="Arial" w:cs="Arial"/>
                <w:i/>
                <w:sz w:val="16"/>
                <w:szCs w:val="16"/>
              </w:rPr>
              <w:t>&lt;70 años</w:t>
            </w:r>
            <w:r w:rsidRPr="00031216">
              <w:rPr>
                <w:rFonts w:ascii="Wingdings" w:hAnsi="Wingdings" w:cs="Wingdings"/>
                <w:i/>
                <w:sz w:val="16"/>
                <w:szCs w:val="16"/>
              </w:rPr>
              <w:t></w:t>
            </w:r>
            <w:r w:rsidRPr="00031216">
              <w:rPr>
                <w:rFonts w:ascii="Arial" w:hAnsi="Arial" w:cs="Arial"/>
                <w:i/>
                <w:sz w:val="16"/>
                <w:szCs w:val="16"/>
              </w:rPr>
              <w:t>2</w:t>
            </w:r>
          </w:p>
          <w:p w:rsidR="0056194E" w:rsidRPr="00031216" w:rsidRDefault="0056194E" w:rsidP="00507935">
            <w:pPr>
              <w:jc w:val="center"/>
              <w:rPr>
                <w:rFonts w:ascii="Arial" w:hAnsi="Arial" w:cs="Arial"/>
                <w:i/>
                <w:sz w:val="16"/>
                <w:szCs w:val="16"/>
              </w:rPr>
            </w:pPr>
          </w:p>
          <w:p w:rsidR="0056194E" w:rsidRPr="00031216" w:rsidRDefault="0056194E" w:rsidP="00507935">
            <w:pPr>
              <w:jc w:val="center"/>
              <w:rPr>
                <w:rFonts w:ascii="Arial" w:hAnsi="Arial" w:cs="Arial"/>
                <w:i/>
                <w:sz w:val="16"/>
                <w:szCs w:val="16"/>
              </w:rPr>
            </w:pPr>
            <w:r w:rsidRPr="00031216">
              <w:rPr>
                <w:rFonts w:ascii="Arial" w:hAnsi="Arial" w:cs="Arial"/>
                <w:i/>
                <w:sz w:val="16"/>
                <w:szCs w:val="16"/>
              </w:rPr>
              <w:t>≥70/≤75 años</w:t>
            </w:r>
            <w:r w:rsidRPr="00031216">
              <w:rPr>
                <w:rFonts w:ascii="Wingdings" w:hAnsi="Wingdings" w:cs="Wingdings"/>
                <w:i/>
                <w:sz w:val="16"/>
                <w:szCs w:val="16"/>
              </w:rPr>
              <w:t></w:t>
            </w:r>
            <w:r w:rsidRPr="00031216">
              <w:rPr>
                <w:rFonts w:ascii="Arial" w:hAnsi="Arial" w:cs="Arial"/>
                <w:i/>
                <w:sz w:val="16"/>
                <w:szCs w:val="16"/>
              </w:rPr>
              <w:t>4</w:t>
            </w:r>
          </w:p>
          <w:p w:rsidR="0056194E" w:rsidRPr="00031216" w:rsidRDefault="0056194E" w:rsidP="00507935">
            <w:pPr>
              <w:jc w:val="center"/>
              <w:rPr>
                <w:rFonts w:ascii="Arial" w:hAnsi="Arial" w:cs="Arial"/>
                <w:i/>
                <w:sz w:val="16"/>
                <w:szCs w:val="16"/>
              </w:rPr>
            </w:pPr>
          </w:p>
          <w:p w:rsidR="0056194E" w:rsidRPr="00031216" w:rsidRDefault="0056194E" w:rsidP="00507935">
            <w:pPr>
              <w:jc w:val="center"/>
              <w:rPr>
                <w:sz w:val="16"/>
                <w:szCs w:val="16"/>
              </w:rPr>
            </w:pPr>
            <w:r w:rsidRPr="00031216">
              <w:rPr>
                <w:rFonts w:ascii="Arial" w:hAnsi="Arial" w:cs="Arial"/>
                <w:i/>
                <w:sz w:val="16"/>
                <w:szCs w:val="16"/>
              </w:rPr>
              <w:t>&gt;75 años</w:t>
            </w:r>
            <w:r w:rsidRPr="00031216">
              <w:rPr>
                <w:rFonts w:ascii="Wingdings" w:hAnsi="Wingdings" w:cs="Wingdings"/>
                <w:i/>
                <w:sz w:val="16"/>
                <w:szCs w:val="16"/>
              </w:rPr>
              <w:t></w:t>
            </w:r>
            <w:r w:rsidRPr="00031216">
              <w:rPr>
                <w:rFonts w:ascii="Arial" w:hAnsi="Arial" w:cs="Arial"/>
                <w:i/>
                <w:sz w:val="16"/>
                <w:szCs w:val="16"/>
              </w:rPr>
              <w:t>0</w:t>
            </w:r>
          </w:p>
          <w:p w:rsidR="0056194E" w:rsidRPr="00031216" w:rsidRDefault="0056194E" w:rsidP="00507935">
            <w:pPr>
              <w:jc w:val="center"/>
              <w:rPr>
                <w:sz w:val="16"/>
                <w:szCs w:val="16"/>
              </w:rPr>
            </w:pPr>
          </w:p>
        </w:tc>
        <w:tc>
          <w:tcPr>
            <w:tcW w:w="1491" w:type="dxa"/>
            <w:tcBorders>
              <w:top w:val="single" w:sz="4" w:space="0" w:color="000000"/>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i/>
                <w:sz w:val="16"/>
                <w:szCs w:val="16"/>
                <w:lang w:val="fr-FR"/>
              </w:rPr>
              <w:t>24.003 €</w:t>
            </w:r>
          </w:p>
        </w:tc>
        <w:tc>
          <w:tcPr>
            <w:tcW w:w="1722" w:type="dxa"/>
            <w:tcBorders>
              <w:top w:val="single" w:sz="4" w:space="0" w:color="000000"/>
              <w:left w:val="single" w:sz="4" w:space="0" w:color="000000"/>
              <w:bottom w:val="single" w:sz="4" w:space="0" w:color="000000"/>
            </w:tcBorders>
            <w:vAlign w:val="center"/>
          </w:tcPr>
          <w:p w:rsidR="0056194E" w:rsidRPr="00031216" w:rsidRDefault="0056194E" w:rsidP="00507935">
            <w:pPr>
              <w:jc w:val="center"/>
              <w:rPr>
                <w:sz w:val="16"/>
                <w:szCs w:val="16"/>
              </w:rPr>
            </w:pPr>
            <w:r>
              <w:rPr>
                <w:rFonts w:ascii="Arial" w:hAnsi="Arial" w:cs="Arial"/>
                <w:i/>
                <w:sz w:val="16"/>
                <w:szCs w:val="16"/>
              </w:rPr>
              <w:t>Sin</w:t>
            </w:r>
            <w:r w:rsidRPr="00031216">
              <w:rPr>
                <w:rFonts w:ascii="Arial" w:hAnsi="Arial" w:cs="Arial"/>
                <w:i/>
                <w:sz w:val="16"/>
                <w:szCs w:val="16"/>
              </w:rPr>
              <w:t xml:space="preserve"> diferencia de eficacia</w:t>
            </w:r>
            <w:r>
              <w:rPr>
                <w:rFonts w:ascii="Arial" w:hAnsi="Arial" w:cs="Arial"/>
                <w:i/>
                <w:sz w:val="16"/>
                <w:szCs w:val="16"/>
              </w:rPr>
              <w:t xml:space="preserve"> demostrada</w:t>
            </w:r>
            <w:r w:rsidRPr="00031216">
              <w:rPr>
                <w:rFonts w:ascii="Arial" w:hAnsi="Arial" w:cs="Arial"/>
                <w:i/>
                <w:sz w:val="16"/>
                <w:szCs w:val="16"/>
              </w:rPr>
              <w:t>.</w:t>
            </w:r>
          </w:p>
        </w:tc>
        <w:tc>
          <w:tcPr>
            <w:tcW w:w="1656" w:type="dxa"/>
            <w:tcBorders>
              <w:top w:val="single" w:sz="4" w:space="0" w:color="000000"/>
              <w:left w:val="single" w:sz="4" w:space="0" w:color="000000"/>
              <w:bottom w:val="single" w:sz="4" w:space="0" w:color="000000"/>
              <w:right w:val="single" w:sz="4" w:space="0" w:color="000000"/>
            </w:tcBorders>
            <w:vAlign w:val="center"/>
          </w:tcPr>
          <w:p w:rsidR="0056194E" w:rsidRDefault="0056194E" w:rsidP="00507935">
            <w:pPr>
              <w:jc w:val="center"/>
              <w:rPr>
                <w:rFonts w:ascii="Arial" w:hAnsi="Arial" w:cs="Arial"/>
                <w:i/>
                <w:sz w:val="16"/>
                <w:szCs w:val="16"/>
              </w:rPr>
            </w:pPr>
            <w:r>
              <w:rPr>
                <w:rFonts w:ascii="Arial" w:hAnsi="Arial" w:cs="Arial"/>
                <w:i/>
                <w:sz w:val="16"/>
                <w:szCs w:val="16"/>
              </w:rPr>
              <w:t>a) 144.018</w:t>
            </w:r>
            <w:r w:rsidRPr="00031216">
              <w:rPr>
                <w:rFonts w:ascii="Arial" w:hAnsi="Arial" w:cs="Arial"/>
                <w:i/>
                <w:sz w:val="16"/>
                <w:szCs w:val="16"/>
              </w:rPr>
              <w:t xml:space="preserve"> €</w:t>
            </w:r>
          </w:p>
          <w:p w:rsidR="0056194E" w:rsidRDefault="0056194E" w:rsidP="00507935">
            <w:pPr>
              <w:jc w:val="center"/>
              <w:rPr>
                <w:rFonts w:ascii="Arial" w:hAnsi="Arial" w:cs="Arial"/>
                <w:i/>
                <w:sz w:val="16"/>
                <w:szCs w:val="16"/>
              </w:rPr>
            </w:pPr>
          </w:p>
          <w:p w:rsidR="0056194E" w:rsidRPr="00031216" w:rsidRDefault="0056194E" w:rsidP="00507935">
            <w:pPr>
              <w:jc w:val="center"/>
              <w:rPr>
                <w:sz w:val="16"/>
                <w:szCs w:val="16"/>
              </w:rPr>
            </w:pPr>
            <w:r>
              <w:rPr>
                <w:rFonts w:ascii="Arial" w:hAnsi="Arial" w:cs="Arial"/>
                <w:i/>
                <w:sz w:val="16"/>
                <w:szCs w:val="16"/>
              </w:rPr>
              <w:t>b) 144.018 €</w:t>
            </w:r>
          </w:p>
        </w:tc>
      </w:tr>
      <w:tr w:rsidR="0056194E">
        <w:trPr>
          <w:trHeight w:val="968"/>
        </w:trPr>
        <w:tc>
          <w:tcPr>
            <w:tcW w:w="1761"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b/>
                <w:sz w:val="16"/>
                <w:szCs w:val="16"/>
              </w:rPr>
              <w:t>Andalucía</w:t>
            </w:r>
            <w:r w:rsidRPr="00031216">
              <w:rPr>
                <w:rFonts w:ascii="Wingdings" w:hAnsi="Wingdings" w:cs="Wingdings"/>
                <w:b/>
                <w:sz w:val="16"/>
                <w:szCs w:val="16"/>
              </w:rPr>
              <w:t></w:t>
            </w:r>
            <w:r w:rsidRPr="00031216">
              <w:rPr>
                <w:rFonts w:ascii="Arial" w:hAnsi="Arial" w:cs="Arial"/>
                <w:sz w:val="16"/>
                <w:szCs w:val="16"/>
              </w:rPr>
              <w:t>369</w:t>
            </w:r>
          </w:p>
          <w:p w:rsidR="0056194E" w:rsidRPr="00031216" w:rsidRDefault="0056194E" w:rsidP="00507935">
            <w:pPr>
              <w:jc w:val="center"/>
              <w:rPr>
                <w:sz w:val="16"/>
                <w:szCs w:val="16"/>
              </w:rPr>
            </w:pPr>
          </w:p>
        </w:tc>
        <w:tc>
          <w:tcPr>
            <w:tcW w:w="1722"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i/>
                <w:sz w:val="16"/>
                <w:szCs w:val="16"/>
              </w:rPr>
              <w:t>184</w:t>
            </w:r>
          </w:p>
        </w:tc>
        <w:tc>
          <w:tcPr>
            <w:tcW w:w="1378" w:type="dxa"/>
            <w:tcBorders>
              <w:left w:val="single" w:sz="4" w:space="0" w:color="000000"/>
              <w:bottom w:val="single" w:sz="4" w:space="0" w:color="000000"/>
            </w:tcBorders>
            <w:vAlign w:val="center"/>
          </w:tcPr>
          <w:p w:rsidR="0056194E" w:rsidRPr="00031216" w:rsidRDefault="0056194E" w:rsidP="00507935">
            <w:pPr>
              <w:snapToGrid w:val="0"/>
              <w:jc w:val="center"/>
              <w:rPr>
                <w:rFonts w:ascii="Arial" w:hAnsi="Arial" w:cs="Arial"/>
                <w:i/>
                <w:sz w:val="16"/>
                <w:szCs w:val="16"/>
              </w:rPr>
            </w:pPr>
          </w:p>
          <w:p w:rsidR="0056194E" w:rsidRPr="00031216" w:rsidRDefault="0056194E" w:rsidP="00507935">
            <w:pPr>
              <w:jc w:val="center"/>
              <w:rPr>
                <w:rFonts w:ascii="Arial" w:hAnsi="Arial" w:cs="Arial"/>
                <w:i/>
                <w:sz w:val="16"/>
                <w:szCs w:val="16"/>
              </w:rPr>
            </w:pPr>
            <w:r w:rsidRPr="00031216">
              <w:rPr>
                <w:rFonts w:ascii="Arial" w:hAnsi="Arial" w:cs="Arial"/>
                <w:i/>
                <w:sz w:val="16"/>
                <w:szCs w:val="16"/>
              </w:rPr>
              <w:t>&lt;70 años</w:t>
            </w:r>
            <w:r w:rsidRPr="00031216">
              <w:rPr>
                <w:rFonts w:ascii="Wingdings" w:hAnsi="Wingdings" w:cs="Wingdings"/>
                <w:i/>
                <w:sz w:val="16"/>
                <w:szCs w:val="16"/>
              </w:rPr>
              <w:t></w:t>
            </w:r>
            <w:r w:rsidRPr="00031216">
              <w:rPr>
                <w:rFonts w:ascii="Arial" w:hAnsi="Arial" w:cs="Arial"/>
                <w:i/>
                <w:sz w:val="16"/>
                <w:szCs w:val="16"/>
              </w:rPr>
              <w:t>55</w:t>
            </w:r>
          </w:p>
          <w:p w:rsidR="0056194E" w:rsidRPr="00031216" w:rsidRDefault="0056194E" w:rsidP="00507935">
            <w:pPr>
              <w:jc w:val="center"/>
              <w:rPr>
                <w:rFonts w:ascii="Arial" w:hAnsi="Arial" w:cs="Arial"/>
                <w:i/>
                <w:sz w:val="16"/>
                <w:szCs w:val="16"/>
              </w:rPr>
            </w:pPr>
          </w:p>
          <w:p w:rsidR="0056194E" w:rsidRPr="00031216" w:rsidRDefault="0056194E" w:rsidP="00507935">
            <w:pPr>
              <w:jc w:val="center"/>
              <w:rPr>
                <w:rFonts w:ascii="Arial" w:hAnsi="Arial" w:cs="Arial"/>
                <w:i/>
                <w:sz w:val="16"/>
                <w:szCs w:val="16"/>
              </w:rPr>
            </w:pPr>
            <w:r w:rsidRPr="00031216">
              <w:rPr>
                <w:rFonts w:ascii="Arial" w:hAnsi="Arial" w:cs="Arial"/>
                <w:i/>
                <w:sz w:val="16"/>
                <w:szCs w:val="16"/>
              </w:rPr>
              <w:t>≥70/≤75 años</w:t>
            </w:r>
            <w:r w:rsidRPr="00031216">
              <w:rPr>
                <w:rFonts w:ascii="Wingdings" w:hAnsi="Wingdings" w:cs="Wingdings"/>
                <w:i/>
                <w:sz w:val="16"/>
                <w:szCs w:val="16"/>
              </w:rPr>
              <w:t></w:t>
            </w:r>
            <w:r w:rsidRPr="00031216">
              <w:rPr>
                <w:rFonts w:ascii="Arial" w:hAnsi="Arial" w:cs="Arial"/>
                <w:i/>
                <w:sz w:val="16"/>
                <w:szCs w:val="16"/>
              </w:rPr>
              <w:t>114</w:t>
            </w:r>
          </w:p>
          <w:p w:rsidR="0056194E" w:rsidRPr="00031216" w:rsidRDefault="0056194E" w:rsidP="00507935">
            <w:pPr>
              <w:jc w:val="center"/>
              <w:rPr>
                <w:rFonts w:ascii="Arial" w:hAnsi="Arial" w:cs="Arial"/>
                <w:i/>
                <w:sz w:val="16"/>
                <w:szCs w:val="16"/>
              </w:rPr>
            </w:pPr>
          </w:p>
          <w:p w:rsidR="0056194E" w:rsidRPr="00031216" w:rsidRDefault="0056194E" w:rsidP="00507935">
            <w:pPr>
              <w:jc w:val="center"/>
              <w:rPr>
                <w:sz w:val="16"/>
                <w:szCs w:val="16"/>
              </w:rPr>
            </w:pPr>
            <w:r w:rsidRPr="00031216">
              <w:rPr>
                <w:rFonts w:ascii="Arial" w:hAnsi="Arial" w:cs="Arial"/>
                <w:i/>
                <w:sz w:val="16"/>
                <w:szCs w:val="16"/>
              </w:rPr>
              <w:t>&gt;75 años</w:t>
            </w:r>
            <w:r w:rsidRPr="00031216">
              <w:rPr>
                <w:rFonts w:ascii="Wingdings" w:hAnsi="Wingdings" w:cs="Wingdings"/>
                <w:i/>
                <w:sz w:val="16"/>
                <w:szCs w:val="16"/>
              </w:rPr>
              <w:t></w:t>
            </w:r>
            <w:r w:rsidRPr="00031216">
              <w:rPr>
                <w:rFonts w:ascii="Arial" w:hAnsi="Arial" w:cs="Arial"/>
                <w:i/>
                <w:sz w:val="16"/>
                <w:szCs w:val="16"/>
              </w:rPr>
              <w:t>15</w:t>
            </w:r>
          </w:p>
          <w:p w:rsidR="0056194E" w:rsidRPr="00031216" w:rsidRDefault="0056194E" w:rsidP="00507935">
            <w:pPr>
              <w:jc w:val="center"/>
              <w:rPr>
                <w:sz w:val="16"/>
                <w:szCs w:val="16"/>
              </w:rPr>
            </w:pPr>
          </w:p>
        </w:tc>
        <w:tc>
          <w:tcPr>
            <w:tcW w:w="1491"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sidRPr="00507935">
              <w:rPr>
                <w:rFonts w:ascii="Arial" w:hAnsi="Arial" w:cs="Arial"/>
                <w:i/>
                <w:sz w:val="16"/>
                <w:szCs w:val="16"/>
              </w:rPr>
              <w:t>24.003 €</w:t>
            </w:r>
          </w:p>
        </w:tc>
        <w:tc>
          <w:tcPr>
            <w:tcW w:w="1722"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Pr>
                <w:rFonts w:ascii="Arial" w:hAnsi="Arial" w:cs="Arial"/>
                <w:i/>
                <w:sz w:val="16"/>
                <w:szCs w:val="16"/>
              </w:rPr>
              <w:t>Sin</w:t>
            </w:r>
            <w:r w:rsidRPr="00031216">
              <w:rPr>
                <w:rFonts w:ascii="Arial" w:hAnsi="Arial" w:cs="Arial"/>
                <w:i/>
                <w:sz w:val="16"/>
                <w:szCs w:val="16"/>
              </w:rPr>
              <w:t xml:space="preserve"> diferencia de eficacia</w:t>
            </w:r>
            <w:r w:rsidR="00355167">
              <w:rPr>
                <w:rFonts w:ascii="Arial" w:hAnsi="Arial" w:cs="Arial"/>
                <w:i/>
                <w:sz w:val="16"/>
                <w:szCs w:val="16"/>
              </w:rPr>
              <w:t xml:space="preserve"> </w:t>
            </w:r>
            <w:r>
              <w:rPr>
                <w:rFonts w:ascii="Arial" w:hAnsi="Arial" w:cs="Arial"/>
                <w:i/>
                <w:sz w:val="16"/>
                <w:szCs w:val="16"/>
              </w:rPr>
              <w:t>demostrada</w:t>
            </w:r>
            <w:r w:rsidRPr="00031216">
              <w:rPr>
                <w:rFonts w:ascii="Arial" w:hAnsi="Arial" w:cs="Arial"/>
                <w:i/>
                <w:sz w:val="16"/>
                <w:szCs w:val="16"/>
              </w:rPr>
              <w:t>.</w:t>
            </w:r>
          </w:p>
        </w:tc>
        <w:tc>
          <w:tcPr>
            <w:tcW w:w="1656" w:type="dxa"/>
            <w:tcBorders>
              <w:left w:val="single" w:sz="4" w:space="0" w:color="000000"/>
              <w:bottom w:val="single" w:sz="4" w:space="0" w:color="000000"/>
              <w:right w:val="single" w:sz="4" w:space="0" w:color="000000"/>
            </w:tcBorders>
            <w:vAlign w:val="center"/>
          </w:tcPr>
          <w:p w:rsidR="0056194E" w:rsidRDefault="0056194E" w:rsidP="00507935">
            <w:pPr>
              <w:jc w:val="center"/>
              <w:rPr>
                <w:rFonts w:ascii="Arial" w:hAnsi="Arial" w:cs="Arial"/>
                <w:i/>
                <w:sz w:val="16"/>
                <w:szCs w:val="16"/>
              </w:rPr>
            </w:pPr>
            <w:r>
              <w:rPr>
                <w:rFonts w:ascii="Arial" w:hAnsi="Arial" w:cs="Arial"/>
                <w:i/>
                <w:sz w:val="16"/>
                <w:szCs w:val="16"/>
              </w:rPr>
              <w:t xml:space="preserve">a) 4.416.552 </w:t>
            </w:r>
            <w:r w:rsidRPr="00031216">
              <w:rPr>
                <w:rFonts w:ascii="Arial" w:hAnsi="Arial" w:cs="Arial"/>
                <w:i/>
                <w:sz w:val="16"/>
                <w:szCs w:val="16"/>
              </w:rPr>
              <w:t>€</w:t>
            </w:r>
          </w:p>
          <w:p w:rsidR="0056194E" w:rsidRDefault="0056194E" w:rsidP="00507935">
            <w:pPr>
              <w:jc w:val="center"/>
              <w:rPr>
                <w:rFonts w:ascii="Arial" w:hAnsi="Arial" w:cs="Arial"/>
                <w:i/>
                <w:sz w:val="16"/>
                <w:szCs w:val="16"/>
              </w:rPr>
            </w:pPr>
          </w:p>
          <w:p w:rsidR="0056194E" w:rsidRPr="00031216" w:rsidRDefault="0056194E" w:rsidP="00507935">
            <w:pPr>
              <w:jc w:val="center"/>
              <w:rPr>
                <w:sz w:val="16"/>
                <w:szCs w:val="16"/>
              </w:rPr>
            </w:pPr>
            <w:r>
              <w:rPr>
                <w:rFonts w:ascii="Arial" w:hAnsi="Arial" w:cs="Arial"/>
                <w:i/>
                <w:sz w:val="16"/>
                <w:szCs w:val="16"/>
              </w:rPr>
              <w:t>b) 4.056.507 €</w:t>
            </w:r>
          </w:p>
        </w:tc>
      </w:tr>
      <w:tr w:rsidR="0056194E">
        <w:trPr>
          <w:trHeight w:val="663"/>
        </w:trPr>
        <w:tc>
          <w:tcPr>
            <w:tcW w:w="1761"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b/>
                <w:sz w:val="16"/>
                <w:szCs w:val="16"/>
              </w:rPr>
              <w:t>España</w:t>
            </w:r>
            <w:r w:rsidRPr="00031216">
              <w:rPr>
                <w:rFonts w:ascii="Wingdings" w:hAnsi="Wingdings" w:cs="Wingdings"/>
                <w:b/>
                <w:sz w:val="16"/>
                <w:szCs w:val="16"/>
              </w:rPr>
              <w:t></w:t>
            </w:r>
            <w:r w:rsidRPr="00031216">
              <w:rPr>
                <w:rFonts w:ascii="Arial" w:hAnsi="Arial" w:cs="Arial"/>
                <w:sz w:val="16"/>
                <w:szCs w:val="16"/>
              </w:rPr>
              <w:t>2050</w:t>
            </w:r>
          </w:p>
          <w:p w:rsidR="0056194E" w:rsidRPr="00031216" w:rsidRDefault="0056194E" w:rsidP="00507935">
            <w:pPr>
              <w:jc w:val="center"/>
              <w:rPr>
                <w:sz w:val="16"/>
                <w:szCs w:val="16"/>
              </w:rPr>
            </w:pPr>
          </w:p>
        </w:tc>
        <w:tc>
          <w:tcPr>
            <w:tcW w:w="1722"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i/>
                <w:sz w:val="16"/>
                <w:szCs w:val="16"/>
              </w:rPr>
              <w:t>1025</w:t>
            </w:r>
          </w:p>
        </w:tc>
        <w:tc>
          <w:tcPr>
            <w:tcW w:w="1378" w:type="dxa"/>
            <w:tcBorders>
              <w:left w:val="single" w:sz="4" w:space="0" w:color="000000"/>
              <w:bottom w:val="single" w:sz="4" w:space="0" w:color="000000"/>
            </w:tcBorders>
            <w:vAlign w:val="center"/>
          </w:tcPr>
          <w:p w:rsidR="0056194E" w:rsidRPr="00031216" w:rsidRDefault="0056194E" w:rsidP="00507935">
            <w:pPr>
              <w:snapToGrid w:val="0"/>
              <w:jc w:val="center"/>
              <w:rPr>
                <w:rFonts w:ascii="Arial" w:hAnsi="Arial" w:cs="Arial"/>
                <w:i/>
                <w:sz w:val="16"/>
                <w:szCs w:val="16"/>
              </w:rPr>
            </w:pPr>
          </w:p>
          <w:p w:rsidR="0056194E" w:rsidRPr="00031216" w:rsidRDefault="0056194E" w:rsidP="00507935">
            <w:pPr>
              <w:jc w:val="center"/>
              <w:rPr>
                <w:rFonts w:ascii="Arial" w:hAnsi="Arial" w:cs="Arial"/>
                <w:i/>
                <w:sz w:val="16"/>
                <w:szCs w:val="16"/>
              </w:rPr>
            </w:pPr>
            <w:r w:rsidRPr="00031216">
              <w:rPr>
                <w:rFonts w:ascii="Arial" w:hAnsi="Arial" w:cs="Arial"/>
                <w:i/>
                <w:sz w:val="16"/>
                <w:szCs w:val="16"/>
              </w:rPr>
              <w:t>&lt;70 años</w:t>
            </w:r>
            <w:r w:rsidRPr="00031216">
              <w:rPr>
                <w:rFonts w:ascii="Wingdings" w:hAnsi="Wingdings" w:cs="Wingdings"/>
                <w:i/>
                <w:sz w:val="16"/>
                <w:szCs w:val="16"/>
              </w:rPr>
              <w:t></w:t>
            </w:r>
            <w:r w:rsidRPr="00031216">
              <w:rPr>
                <w:rFonts w:ascii="Arial" w:hAnsi="Arial" w:cs="Arial"/>
                <w:i/>
                <w:sz w:val="16"/>
                <w:szCs w:val="16"/>
              </w:rPr>
              <w:t>308</w:t>
            </w:r>
          </w:p>
          <w:p w:rsidR="0056194E" w:rsidRPr="00031216" w:rsidRDefault="0056194E" w:rsidP="00507935">
            <w:pPr>
              <w:jc w:val="center"/>
              <w:rPr>
                <w:rFonts w:ascii="Arial" w:hAnsi="Arial" w:cs="Arial"/>
                <w:i/>
                <w:sz w:val="16"/>
                <w:szCs w:val="16"/>
              </w:rPr>
            </w:pPr>
          </w:p>
          <w:p w:rsidR="0056194E" w:rsidRPr="00031216" w:rsidRDefault="0056194E" w:rsidP="00507935">
            <w:pPr>
              <w:jc w:val="center"/>
              <w:rPr>
                <w:rFonts w:ascii="Arial" w:hAnsi="Arial" w:cs="Arial"/>
                <w:i/>
                <w:sz w:val="16"/>
                <w:szCs w:val="16"/>
              </w:rPr>
            </w:pPr>
            <w:r w:rsidRPr="00031216">
              <w:rPr>
                <w:rFonts w:ascii="Arial" w:hAnsi="Arial" w:cs="Arial"/>
                <w:i/>
                <w:sz w:val="16"/>
                <w:szCs w:val="16"/>
              </w:rPr>
              <w:t>≥70/≤75 años</w:t>
            </w:r>
            <w:r w:rsidRPr="00031216">
              <w:rPr>
                <w:rFonts w:ascii="Wingdings" w:hAnsi="Wingdings" w:cs="Wingdings"/>
                <w:i/>
                <w:sz w:val="16"/>
                <w:szCs w:val="16"/>
              </w:rPr>
              <w:t></w:t>
            </w:r>
            <w:r w:rsidRPr="00031216">
              <w:rPr>
                <w:rFonts w:ascii="Arial" w:hAnsi="Arial" w:cs="Arial"/>
                <w:i/>
                <w:sz w:val="16"/>
                <w:szCs w:val="16"/>
              </w:rPr>
              <w:t>635</w:t>
            </w:r>
          </w:p>
          <w:p w:rsidR="0056194E" w:rsidRPr="00031216" w:rsidRDefault="0056194E" w:rsidP="00507935">
            <w:pPr>
              <w:jc w:val="center"/>
              <w:rPr>
                <w:rFonts w:ascii="Arial" w:hAnsi="Arial" w:cs="Arial"/>
                <w:i/>
                <w:sz w:val="16"/>
                <w:szCs w:val="16"/>
              </w:rPr>
            </w:pPr>
          </w:p>
          <w:p w:rsidR="0056194E" w:rsidRPr="00031216" w:rsidRDefault="0056194E" w:rsidP="00507935">
            <w:pPr>
              <w:jc w:val="center"/>
              <w:rPr>
                <w:sz w:val="16"/>
                <w:szCs w:val="16"/>
              </w:rPr>
            </w:pPr>
            <w:r w:rsidRPr="00031216">
              <w:rPr>
                <w:rFonts w:ascii="Arial" w:hAnsi="Arial" w:cs="Arial"/>
                <w:i/>
                <w:sz w:val="16"/>
                <w:szCs w:val="16"/>
              </w:rPr>
              <w:t>&gt;75 años</w:t>
            </w:r>
            <w:r w:rsidRPr="00031216">
              <w:rPr>
                <w:rFonts w:ascii="Wingdings" w:hAnsi="Wingdings" w:cs="Wingdings"/>
                <w:i/>
                <w:sz w:val="16"/>
                <w:szCs w:val="16"/>
              </w:rPr>
              <w:t></w:t>
            </w:r>
            <w:r w:rsidRPr="00031216">
              <w:rPr>
                <w:rFonts w:ascii="Arial" w:hAnsi="Arial" w:cs="Arial"/>
                <w:i/>
                <w:sz w:val="16"/>
                <w:szCs w:val="16"/>
              </w:rPr>
              <w:t>82</w:t>
            </w:r>
          </w:p>
          <w:p w:rsidR="0056194E" w:rsidRPr="00031216" w:rsidRDefault="0056194E" w:rsidP="00507935">
            <w:pPr>
              <w:jc w:val="center"/>
              <w:rPr>
                <w:sz w:val="16"/>
                <w:szCs w:val="16"/>
              </w:rPr>
            </w:pPr>
          </w:p>
        </w:tc>
        <w:tc>
          <w:tcPr>
            <w:tcW w:w="1491"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sidRPr="00031216">
              <w:rPr>
                <w:rFonts w:ascii="Arial" w:hAnsi="Arial" w:cs="Arial"/>
                <w:i/>
                <w:sz w:val="16"/>
                <w:szCs w:val="16"/>
                <w:lang w:val="fr-FR"/>
              </w:rPr>
              <w:t>24.003 €</w:t>
            </w:r>
          </w:p>
        </w:tc>
        <w:tc>
          <w:tcPr>
            <w:tcW w:w="1722" w:type="dxa"/>
            <w:tcBorders>
              <w:left w:val="single" w:sz="4" w:space="0" w:color="000000"/>
              <w:bottom w:val="single" w:sz="4" w:space="0" w:color="000000"/>
            </w:tcBorders>
            <w:vAlign w:val="center"/>
          </w:tcPr>
          <w:p w:rsidR="0056194E" w:rsidRPr="00031216" w:rsidRDefault="0056194E" w:rsidP="00507935">
            <w:pPr>
              <w:jc w:val="center"/>
              <w:rPr>
                <w:sz w:val="16"/>
                <w:szCs w:val="16"/>
              </w:rPr>
            </w:pPr>
            <w:r>
              <w:rPr>
                <w:rFonts w:ascii="Arial" w:hAnsi="Arial" w:cs="Arial"/>
                <w:i/>
                <w:sz w:val="16"/>
                <w:szCs w:val="16"/>
              </w:rPr>
              <w:t>Sin</w:t>
            </w:r>
            <w:r w:rsidRPr="00031216">
              <w:rPr>
                <w:rFonts w:ascii="Arial" w:hAnsi="Arial" w:cs="Arial"/>
                <w:i/>
                <w:sz w:val="16"/>
                <w:szCs w:val="16"/>
              </w:rPr>
              <w:t xml:space="preserve"> diferencia de eficacia</w:t>
            </w:r>
            <w:r>
              <w:rPr>
                <w:rFonts w:ascii="Arial" w:hAnsi="Arial" w:cs="Arial"/>
                <w:i/>
                <w:sz w:val="16"/>
                <w:szCs w:val="16"/>
              </w:rPr>
              <w:t xml:space="preserve"> demostrada</w:t>
            </w:r>
            <w:r w:rsidRPr="00031216">
              <w:rPr>
                <w:rFonts w:ascii="Arial" w:hAnsi="Arial" w:cs="Arial"/>
                <w:i/>
                <w:sz w:val="16"/>
                <w:szCs w:val="16"/>
              </w:rPr>
              <w:t>.</w:t>
            </w:r>
          </w:p>
        </w:tc>
        <w:tc>
          <w:tcPr>
            <w:tcW w:w="1656" w:type="dxa"/>
            <w:tcBorders>
              <w:left w:val="single" w:sz="4" w:space="0" w:color="000000"/>
              <w:bottom w:val="single" w:sz="4" w:space="0" w:color="000000"/>
              <w:right w:val="single" w:sz="4" w:space="0" w:color="000000"/>
            </w:tcBorders>
            <w:vAlign w:val="center"/>
          </w:tcPr>
          <w:p w:rsidR="0056194E" w:rsidRDefault="0056194E" w:rsidP="00507935">
            <w:pPr>
              <w:jc w:val="center"/>
              <w:rPr>
                <w:rFonts w:ascii="Arial" w:hAnsi="Arial" w:cs="Arial"/>
                <w:i/>
                <w:sz w:val="16"/>
                <w:szCs w:val="16"/>
              </w:rPr>
            </w:pPr>
            <w:r>
              <w:rPr>
                <w:rFonts w:ascii="Arial" w:hAnsi="Arial" w:cs="Arial"/>
                <w:i/>
                <w:sz w:val="16"/>
                <w:szCs w:val="16"/>
              </w:rPr>
              <w:t>a) 24.603.075</w:t>
            </w:r>
            <w:r w:rsidRPr="00031216">
              <w:rPr>
                <w:rFonts w:ascii="Arial" w:hAnsi="Arial" w:cs="Arial"/>
                <w:i/>
                <w:sz w:val="16"/>
                <w:szCs w:val="16"/>
              </w:rPr>
              <w:t xml:space="preserve"> €</w:t>
            </w:r>
          </w:p>
          <w:p w:rsidR="0056194E" w:rsidRDefault="0056194E" w:rsidP="00507935">
            <w:pPr>
              <w:jc w:val="center"/>
              <w:rPr>
                <w:rFonts w:ascii="Arial" w:hAnsi="Arial" w:cs="Arial"/>
                <w:i/>
                <w:sz w:val="16"/>
                <w:szCs w:val="16"/>
              </w:rPr>
            </w:pPr>
          </w:p>
          <w:p w:rsidR="0056194E" w:rsidRPr="00031216" w:rsidRDefault="0056194E" w:rsidP="00507935">
            <w:pPr>
              <w:jc w:val="center"/>
              <w:rPr>
                <w:sz w:val="16"/>
                <w:szCs w:val="16"/>
              </w:rPr>
            </w:pPr>
            <w:r>
              <w:rPr>
                <w:rFonts w:ascii="Arial" w:hAnsi="Arial" w:cs="Arial"/>
                <w:i/>
                <w:sz w:val="16"/>
                <w:szCs w:val="16"/>
              </w:rPr>
              <w:t>b) 22.634.829 €</w:t>
            </w:r>
          </w:p>
        </w:tc>
      </w:tr>
    </w:tbl>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 xml:space="preserve">El impacto económico se ha calculado teniendo en cuenta la duración del tratamiento completo, ya que los costes globales del tratamiento con abiraterona+TDA y docetaxel+TDA se han calculado en la tabla 7.1.a siguiendo este criterio. El coste incremental de abiraterona con respecto a docetaxel (24.003 €) también se ha estimado considerando el tratamiento completo con ambos medicamentos (1,8 años para abiraterona y 6 ciclos para docetaxel) y tras realizar la </w:t>
      </w:r>
      <w:r w:rsidRPr="00C04E0A">
        <w:rPr>
          <w:rFonts w:ascii="Arial" w:hAnsi="Arial" w:cs="Arial"/>
          <w:sz w:val="20"/>
          <w:szCs w:val="20"/>
        </w:rPr>
        <w:t>estimación del precio para el cual el tratamiento con abiraterona en esta indicación resultaría ser coste-efectivo</w:t>
      </w:r>
      <w:r>
        <w:rPr>
          <w:rFonts w:ascii="Arial" w:hAnsi="Arial" w:cs="Arial"/>
          <w:sz w:val="20"/>
          <w:szCs w:val="20"/>
        </w:rPr>
        <w:t>.</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Además, se ha calculado el impacto económico del tratamiento completo con abiraterona con respecto a todos los pacientes candidatos a tratarse en un año y se ha realizado un segundo cálculo que excluye a los pacientes &gt;75 años, ya que existe la posibilidad de que, por los resultados en eficacia por subgrupos de edad, estos pacientes queden excluidos del posicionamiento, al considerar que el adelanto del uso de abiraterona podría no ofrecer ventajas en supervivencia.</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tbl>
      <w:tblPr>
        <w:tblW w:w="9781" w:type="dxa"/>
        <w:tblInd w:w="-497" w:type="dxa"/>
        <w:tblLayout w:type="fixed"/>
        <w:tblCellMar>
          <w:left w:w="70" w:type="dxa"/>
          <w:right w:w="70" w:type="dxa"/>
        </w:tblCellMar>
        <w:tblLook w:val="0000"/>
      </w:tblPr>
      <w:tblGrid>
        <w:gridCol w:w="1408"/>
        <w:gridCol w:w="1559"/>
        <w:gridCol w:w="1134"/>
        <w:gridCol w:w="721"/>
        <w:gridCol w:w="980"/>
        <w:gridCol w:w="881"/>
        <w:gridCol w:w="972"/>
        <w:gridCol w:w="888"/>
        <w:gridCol w:w="1238"/>
      </w:tblGrid>
      <w:tr w:rsidR="0056194E">
        <w:trPr>
          <w:cantSplit/>
          <w:trHeight w:val="490"/>
        </w:trPr>
        <w:tc>
          <w:tcPr>
            <w:tcW w:w="9781" w:type="dxa"/>
            <w:gridSpan w:val="9"/>
            <w:tcBorders>
              <w:top w:val="single" w:sz="4" w:space="0" w:color="000000"/>
              <w:left w:val="single" w:sz="4" w:space="0" w:color="000000"/>
              <w:bottom w:val="single" w:sz="4" w:space="0" w:color="000000"/>
              <w:right w:val="single" w:sz="4" w:space="0" w:color="000000"/>
            </w:tcBorders>
            <w:shd w:val="clear" w:color="auto" w:fill="CCFFCC"/>
          </w:tcPr>
          <w:p w:rsidR="0056194E" w:rsidRPr="007D3294" w:rsidRDefault="0056194E">
            <w:pPr>
              <w:jc w:val="both"/>
              <w:rPr>
                <w:sz w:val="18"/>
                <w:szCs w:val="18"/>
              </w:rPr>
            </w:pPr>
            <w:r w:rsidRPr="007D3294">
              <w:rPr>
                <w:rFonts w:ascii="Arial" w:hAnsi="Arial" w:cs="Arial"/>
                <w:b/>
                <w:sz w:val="18"/>
                <w:szCs w:val="18"/>
              </w:rPr>
              <w:t>Estimación del beneficio en toxicidad según el número de pacientes año candidatos al tratamiento en el hospital, coste estimado y unidades de eficacia a nivel hospitalario, de comunidad autónoma y nacional.</w:t>
            </w:r>
          </w:p>
        </w:tc>
      </w:tr>
      <w:tr w:rsidR="0056194E" w:rsidRPr="003D70B9">
        <w:trPr>
          <w:trHeight w:val="1467"/>
        </w:trPr>
        <w:tc>
          <w:tcPr>
            <w:tcW w:w="140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Nº anual de pacientes</w:t>
            </w:r>
          </w:p>
        </w:tc>
        <w:tc>
          <w:tcPr>
            <w:tcW w:w="1559"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Nº de pacientes candidatos a tratamiento (metastásicos de alto riesgo, asuminos un 50% del total de pacientes metastásicos son de alto riesgo)</w:t>
            </w:r>
          </w:p>
        </w:tc>
        <w:tc>
          <w:tcPr>
            <w:tcW w:w="1134"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Coste incremental por paciente de abiraterona con respecto a docetaxel</w:t>
            </w:r>
          </w:p>
        </w:tc>
        <w:tc>
          <w:tcPr>
            <w:tcW w:w="72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lang w:val="pt-BR"/>
              </w:rPr>
            </w:pPr>
            <w:r w:rsidRPr="003D70B9">
              <w:rPr>
                <w:rFonts w:ascii="Arial" w:hAnsi="Arial" w:cs="Arial"/>
                <w:b/>
                <w:sz w:val="16"/>
                <w:szCs w:val="16"/>
                <w:lang w:val="pt-BR"/>
              </w:rPr>
              <w:t>NNH para evitar neutropenia febril</w:t>
            </w:r>
          </w:p>
        </w:tc>
        <w:tc>
          <w:tcPr>
            <w:tcW w:w="980" w:type="dxa"/>
            <w:tcBorders>
              <w:top w:val="single" w:sz="4" w:space="0" w:color="000000"/>
              <w:left w:val="single" w:sz="4" w:space="0" w:color="000000"/>
              <w:bottom w:val="single" w:sz="4" w:space="0" w:color="000000"/>
            </w:tcBorders>
            <w:vAlign w:val="center"/>
          </w:tcPr>
          <w:p w:rsidR="0056194E" w:rsidRPr="003D70B9" w:rsidRDefault="0056194E">
            <w:pPr>
              <w:jc w:val="both"/>
              <w:rPr>
                <w:rFonts w:ascii="Arial" w:hAnsi="Arial" w:cs="Arial"/>
                <w:b/>
                <w:sz w:val="16"/>
                <w:szCs w:val="16"/>
              </w:rPr>
            </w:pPr>
            <w:r w:rsidRPr="003D70B9">
              <w:rPr>
                <w:rFonts w:ascii="Arial" w:hAnsi="Arial" w:cs="Arial"/>
                <w:b/>
                <w:sz w:val="16"/>
                <w:szCs w:val="16"/>
              </w:rPr>
              <w:t>CEI</w:t>
            </w:r>
          </w:p>
          <w:p w:rsidR="0056194E" w:rsidRPr="003D70B9" w:rsidRDefault="0056194E">
            <w:pPr>
              <w:jc w:val="both"/>
              <w:rPr>
                <w:rFonts w:ascii="Arial" w:hAnsi="Arial" w:cs="Arial"/>
                <w:b/>
                <w:sz w:val="16"/>
                <w:szCs w:val="16"/>
              </w:rPr>
            </w:pPr>
            <w:r w:rsidRPr="003D70B9">
              <w:rPr>
                <w:rFonts w:ascii="Arial" w:hAnsi="Arial" w:cs="Arial"/>
                <w:b/>
                <w:sz w:val="16"/>
                <w:szCs w:val="16"/>
              </w:rPr>
              <w:t>Neutro-penia</w:t>
            </w:r>
          </w:p>
          <w:p w:rsidR="0056194E" w:rsidRPr="003D70B9" w:rsidRDefault="0056194E">
            <w:pPr>
              <w:jc w:val="both"/>
              <w:rPr>
                <w:sz w:val="16"/>
                <w:szCs w:val="16"/>
              </w:rPr>
            </w:pPr>
            <w:r w:rsidRPr="003D70B9">
              <w:rPr>
                <w:rFonts w:ascii="Arial" w:hAnsi="Arial" w:cs="Arial"/>
                <w:b/>
                <w:sz w:val="16"/>
                <w:szCs w:val="16"/>
              </w:rPr>
              <w:t>febril</w:t>
            </w:r>
          </w:p>
        </w:tc>
        <w:tc>
          <w:tcPr>
            <w:tcW w:w="88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NNH para evitar evento adverso grado 3-4</w:t>
            </w:r>
          </w:p>
        </w:tc>
        <w:tc>
          <w:tcPr>
            <w:tcW w:w="972"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CEI efecto adverso grado 3-4</w:t>
            </w:r>
          </w:p>
        </w:tc>
        <w:tc>
          <w:tcPr>
            <w:tcW w:w="88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 xml:space="preserve">Beneficio neto  </w:t>
            </w:r>
            <w:r>
              <w:rPr>
                <w:rFonts w:ascii="Arial" w:hAnsi="Arial" w:cs="Arial"/>
                <w:b/>
                <w:sz w:val="16"/>
                <w:szCs w:val="16"/>
              </w:rPr>
              <w:t>neutrope-</w:t>
            </w:r>
            <w:r w:rsidRPr="003D70B9">
              <w:rPr>
                <w:rFonts w:ascii="Arial" w:hAnsi="Arial" w:cs="Arial"/>
                <w:b/>
                <w:sz w:val="16"/>
                <w:szCs w:val="16"/>
              </w:rPr>
              <w:t>nia febril</w:t>
            </w:r>
          </w:p>
        </w:tc>
        <w:tc>
          <w:tcPr>
            <w:tcW w:w="1238" w:type="dxa"/>
            <w:tcBorders>
              <w:top w:val="single" w:sz="4" w:space="0" w:color="000000"/>
              <w:left w:val="single" w:sz="4" w:space="0" w:color="000000"/>
              <w:bottom w:val="single" w:sz="4" w:space="0" w:color="000000"/>
              <w:right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Be</w:t>
            </w:r>
            <w:r>
              <w:rPr>
                <w:rFonts w:ascii="Arial" w:hAnsi="Arial" w:cs="Arial"/>
                <w:b/>
                <w:sz w:val="16"/>
                <w:szCs w:val="16"/>
              </w:rPr>
              <w:t>neficio neto  efectos adversos G</w:t>
            </w:r>
            <w:r w:rsidRPr="003D70B9">
              <w:rPr>
                <w:rFonts w:ascii="Arial" w:hAnsi="Arial" w:cs="Arial"/>
                <w:b/>
                <w:sz w:val="16"/>
                <w:szCs w:val="16"/>
              </w:rPr>
              <w:t>rado 3-4</w:t>
            </w:r>
          </w:p>
        </w:tc>
      </w:tr>
      <w:tr w:rsidR="0056194E" w:rsidRPr="003D70B9">
        <w:trPr>
          <w:trHeight w:val="360"/>
        </w:trPr>
        <w:tc>
          <w:tcPr>
            <w:tcW w:w="140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Hospital</w:t>
            </w:r>
            <w:r w:rsidRPr="003D70B9">
              <w:rPr>
                <w:rFonts w:ascii="Wingdings" w:hAnsi="Wingdings" w:cs="Wingdings"/>
                <w:b/>
                <w:sz w:val="16"/>
                <w:szCs w:val="16"/>
              </w:rPr>
              <w:t></w:t>
            </w:r>
            <w:r w:rsidRPr="003D70B9">
              <w:rPr>
                <w:rFonts w:ascii="Arial" w:hAnsi="Arial" w:cs="Arial"/>
                <w:sz w:val="16"/>
                <w:szCs w:val="16"/>
              </w:rPr>
              <w:t>11</w:t>
            </w:r>
          </w:p>
          <w:p w:rsidR="0056194E" w:rsidRPr="003D70B9" w:rsidRDefault="0056194E">
            <w:pPr>
              <w:jc w:val="both"/>
              <w:rPr>
                <w:sz w:val="16"/>
                <w:szCs w:val="16"/>
              </w:rPr>
            </w:pPr>
          </w:p>
        </w:tc>
        <w:tc>
          <w:tcPr>
            <w:tcW w:w="1559"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6</w:t>
            </w:r>
          </w:p>
        </w:tc>
        <w:tc>
          <w:tcPr>
            <w:tcW w:w="1134" w:type="dxa"/>
            <w:tcBorders>
              <w:top w:val="single" w:sz="4" w:space="0" w:color="000000"/>
              <w:left w:val="single" w:sz="4" w:space="0" w:color="000000"/>
              <w:bottom w:val="single" w:sz="4" w:space="0" w:color="000000"/>
            </w:tcBorders>
            <w:vAlign w:val="center"/>
          </w:tcPr>
          <w:p w:rsidR="0056194E" w:rsidRDefault="0056194E">
            <w:r w:rsidRPr="00FC6F8A">
              <w:rPr>
                <w:rFonts w:ascii="Arial" w:hAnsi="Arial" w:cs="Arial"/>
                <w:i/>
                <w:sz w:val="16"/>
                <w:szCs w:val="16"/>
                <w:lang w:val="fr-FR"/>
              </w:rPr>
              <w:t>24.003 €</w:t>
            </w:r>
          </w:p>
        </w:tc>
        <w:tc>
          <w:tcPr>
            <w:tcW w:w="72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7,14</w:t>
            </w:r>
          </w:p>
        </w:tc>
        <w:tc>
          <w:tcPr>
            <w:tcW w:w="980" w:type="dxa"/>
            <w:tcBorders>
              <w:top w:val="single" w:sz="4" w:space="0" w:color="000000"/>
              <w:left w:val="single" w:sz="4" w:space="0" w:color="000000"/>
              <w:bottom w:val="single" w:sz="4" w:space="0" w:color="000000"/>
            </w:tcBorders>
            <w:vAlign w:val="center"/>
          </w:tcPr>
          <w:p w:rsidR="0056194E" w:rsidRDefault="0056194E">
            <w:r w:rsidRPr="008F1071">
              <w:rPr>
                <w:rFonts w:ascii="Arial" w:hAnsi="Arial" w:cs="Arial"/>
                <w:i/>
                <w:sz w:val="18"/>
                <w:szCs w:val="18"/>
              </w:rPr>
              <w:t xml:space="preserve">171.381 </w:t>
            </w:r>
          </w:p>
        </w:tc>
        <w:tc>
          <w:tcPr>
            <w:tcW w:w="88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16,7</w:t>
            </w:r>
          </w:p>
        </w:tc>
        <w:tc>
          <w:tcPr>
            <w:tcW w:w="972" w:type="dxa"/>
            <w:tcBorders>
              <w:top w:val="single" w:sz="4" w:space="0" w:color="000000"/>
              <w:left w:val="single" w:sz="4" w:space="0" w:color="000000"/>
              <w:bottom w:val="single" w:sz="4" w:space="0" w:color="000000"/>
            </w:tcBorders>
            <w:vAlign w:val="center"/>
          </w:tcPr>
          <w:p w:rsidR="0056194E" w:rsidRDefault="0056194E">
            <w:r w:rsidRPr="005C0D0A">
              <w:rPr>
                <w:rFonts w:ascii="Arial" w:hAnsi="Arial" w:cs="Arial"/>
                <w:i/>
                <w:sz w:val="18"/>
                <w:szCs w:val="18"/>
                <w:lang w:val="fr-FR"/>
              </w:rPr>
              <w:t>400.850 €</w:t>
            </w:r>
          </w:p>
        </w:tc>
        <w:tc>
          <w:tcPr>
            <w:tcW w:w="88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sz w:val="16"/>
                <w:szCs w:val="16"/>
              </w:rPr>
              <w:t>0-1</w:t>
            </w:r>
          </w:p>
        </w:tc>
        <w:tc>
          <w:tcPr>
            <w:tcW w:w="1238" w:type="dxa"/>
            <w:tcBorders>
              <w:top w:val="single" w:sz="4" w:space="0" w:color="000000"/>
              <w:left w:val="single" w:sz="4" w:space="0" w:color="000000"/>
              <w:bottom w:val="single" w:sz="4" w:space="0" w:color="000000"/>
              <w:right w:val="single" w:sz="4" w:space="0" w:color="000000"/>
            </w:tcBorders>
            <w:vAlign w:val="center"/>
          </w:tcPr>
          <w:p w:rsidR="0056194E" w:rsidRPr="003D70B9" w:rsidRDefault="0056194E">
            <w:pPr>
              <w:jc w:val="both"/>
              <w:rPr>
                <w:sz w:val="16"/>
                <w:szCs w:val="16"/>
              </w:rPr>
            </w:pPr>
            <w:r w:rsidRPr="003D70B9">
              <w:rPr>
                <w:rFonts w:ascii="Arial" w:hAnsi="Arial" w:cs="Arial"/>
                <w:sz w:val="16"/>
                <w:szCs w:val="16"/>
              </w:rPr>
              <w:t>0</w:t>
            </w:r>
          </w:p>
        </w:tc>
      </w:tr>
      <w:tr w:rsidR="0056194E" w:rsidRPr="003D70B9">
        <w:trPr>
          <w:trHeight w:val="216"/>
        </w:trPr>
        <w:tc>
          <w:tcPr>
            <w:tcW w:w="140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Andalucía</w:t>
            </w:r>
            <w:r w:rsidRPr="003D70B9">
              <w:rPr>
                <w:rFonts w:ascii="Wingdings" w:hAnsi="Wingdings" w:cs="Wingdings"/>
                <w:b/>
                <w:sz w:val="16"/>
                <w:szCs w:val="16"/>
              </w:rPr>
              <w:t></w:t>
            </w:r>
            <w:r w:rsidRPr="003D70B9">
              <w:rPr>
                <w:rFonts w:ascii="Arial" w:hAnsi="Arial" w:cs="Arial"/>
                <w:sz w:val="16"/>
                <w:szCs w:val="16"/>
              </w:rPr>
              <w:t>369</w:t>
            </w:r>
          </w:p>
          <w:p w:rsidR="0056194E" w:rsidRPr="003D70B9" w:rsidRDefault="0056194E">
            <w:pPr>
              <w:jc w:val="both"/>
              <w:rPr>
                <w:sz w:val="16"/>
                <w:szCs w:val="16"/>
              </w:rPr>
            </w:pPr>
          </w:p>
        </w:tc>
        <w:tc>
          <w:tcPr>
            <w:tcW w:w="1559"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184</w:t>
            </w:r>
          </w:p>
        </w:tc>
        <w:tc>
          <w:tcPr>
            <w:tcW w:w="1134" w:type="dxa"/>
            <w:tcBorders>
              <w:top w:val="single" w:sz="4" w:space="0" w:color="000000"/>
              <w:left w:val="single" w:sz="4" w:space="0" w:color="000000"/>
              <w:bottom w:val="single" w:sz="4" w:space="0" w:color="000000"/>
            </w:tcBorders>
            <w:vAlign w:val="center"/>
          </w:tcPr>
          <w:p w:rsidR="0056194E" w:rsidRDefault="0056194E">
            <w:r w:rsidRPr="00FC6F8A">
              <w:rPr>
                <w:rFonts w:ascii="Arial" w:hAnsi="Arial" w:cs="Arial"/>
                <w:i/>
                <w:sz w:val="16"/>
                <w:szCs w:val="16"/>
                <w:lang w:val="fr-FR"/>
              </w:rPr>
              <w:t>24.003 €</w:t>
            </w:r>
          </w:p>
        </w:tc>
        <w:tc>
          <w:tcPr>
            <w:tcW w:w="72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7,14</w:t>
            </w:r>
          </w:p>
        </w:tc>
        <w:tc>
          <w:tcPr>
            <w:tcW w:w="980" w:type="dxa"/>
            <w:tcBorders>
              <w:top w:val="single" w:sz="4" w:space="0" w:color="000000"/>
              <w:left w:val="single" w:sz="4" w:space="0" w:color="000000"/>
              <w:bottom w:val="single" w:sz="4" w:space="0" w:color="000000"/>
            </w:tcBorders>
            <w:vAlign w:val="center"/>
          </w:tcPr>
          <w:p w:rsidR="0056194E" w:rsidRDefault="0056194E">
            <w:r w:rsidRPr="008F1071">
              <w:rPr>
                <w:rFonts w:ascii="Arial" w:hAnsi="Arial" w:cs="Arial"/>
                <w:i/>
                <w:sz w:val="18"/>
                <w:szCs w:val="18"/>
              </w:rPr>
              <w:t xml:space="preserve">171.381 </w:t>
            </w:r>
          </w:p>
        </w:tc>
        <w:tc>
          <w:tcPr>
            <w:tcW w:w="88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16,7</w:t>
            </w:r>
          </w:p>
        </w:tc>
        <w:tc>
          <w:tcPr>
            <w:tcW w:w="972" w:type="dxa"/>
            <w:tcBorders>
              <w:top w:val="single" w:sz="4" w:space="0" w:color="000000"/>
              <w:left w:val="single" w:sz="4" w:space="0" w:color="000000"/>
              <w:bottom w:val="single" w:sz="4" w:space="0" w:color="000000"/>
            </w:tcBorders>
            <w:vAlign w:val="center"/>
          </w:tcPr>
          <w:p w:rsidR="0056194E" w:rsidRDefault="0056194E">
            <w:r w:rsidRPr="005C0D0A">
              <w:rPr>
                <w:rFonts w:ascii="Arial" w:hAnsi="Arial" w:cs="Arial"/>
                <w:i/>
                <w:sz w:val="18"/>
                <w:szCs w:val="18"/>
                <w:lang w:val="fr-FR"/>
              </w:rPr>
              <w:t>400.850 €</w:t>
            </w:r>
          </w:p>
        </w:tc>
        <w:tc>
          <w:tcPr>
            <w:tcW w:w="88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sz w:val="16"/>
                <w:szCs w:val="16"/>
              </w:rPr>
              <w:t>26</w:t>
            </w:r>
          </w:p>
        </w:tc>
        <w:tc>
          <w:tcPr>
            <w:tcW w:w="1238" w:type="dxa"/>
            <w:tcBorders>
              <w:top w:val="single" w:sz="4" w:space="0" w:color="000000"/>
              <w:left w:val="single" w:sz="4" w:space="0" w:color="000000"/>
              <w:bottom w:val="single" w:sz="4" w:space="0" w:color="000000"/>
              <w:right w:val="single" w:sz="4" w:space="0" w:color="000000"/>
            </w:tcBorders>
            <w:vAlign w:val="center"/>
          </w:tcPr>
          <w:p w:rsidR="0056194E" w:rsidRPr="003D70B9" w:rsidRDefault="0056194E">
            <w:pPr>
              <w:jc w:val="both"/>
              <w:rPr>
                <w:sz w:val="16"/>
                <w:szCs w:val="16"/>
              </w:rPr>
            </w:pPr>
            <w:r w:rsidRPr="003D70B9">
              <w:rPr>
                <w:rFonts w:ascii="Arial" w:hAnsi="Arial" w:cs="Arial"/>
                <w:sz w:val="16"/>
                <w:szCs w:val="16"/>
              </w:rPr>
              <w:t>11</w:t>
            </w:r>
          </w:p>
        </w:tc>
      </w:tr>
      <w:tr w:rsidR="0056194E" w:rsidRPr="003D70B9">
        <w:trPr>
          <w:trHeight w:val="289"/>
        </w:trPr>
        <w:tc>
          <w:tcPr>
            <w:tcW w:w="140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b/>
                <w:sz w:val="16"/>
                <w:szCs w:val="16"/>
              </w:rPr>
              <w:t>España</w:t>
            </w:r>
            <w:r w:rsidRPr="003D70B9">
              <w:rPr>
                <w:rFonts w:ascii="Wingdings" w:hAnsi="Wingdings" w:cs="Wingdings"/>
                <w:b/>
                <w:sz w:val="16"/>
                <w:szCs w:val="16"/>
              </w:rPr>
              <w:t></w:t>
            </w:r>
            <w:r w:rsidRPr="003D70B9">
              <w:rPr>
                <w:rFonts w:ascii="Arial" w:hAnsi="Arial" w:cs="Arial"/>
                <w:sz w:val="16"/>
                <w:szCs w:val="16"/>
              </w:rPr>
              <w:t>2050</w:t>
            </w:r>
          </w:p>
        </w:tc>
        <w:tc>
          <w:tcPr>
            <w:tcW w:w="1559"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1025</w:t>
            </w:r>
          </w:p>
        </w:tc>
        <w:tc>
          <w:tcPr>
            <w:tcW w:w="1134" w:type="dxa"/>
            <w:tcBorders>
              <w:top w:val="single" w:sz="4" w:space="0" w:color="000000"/>
              <w:left w:val="single" w:sz="4" w:space="0" w:color="000000"/>
              <w:bottom w:val="single" w:sz="4" w:space="0" w:color="000000"/>
            </w:tcBorders>
            <w:vAlign w:val="center"/>
          </w:tcPr>
          <w:p w:rsidR="0056194E" w:rsidRDefault="0056194E">
            <w:r w:rsidRPr="00FC6F8A">
              <w:rPr>
                <w:rFonts w:ascii="Arial" w:hAnsi="Arial" w:cs="Arial"/>
                <w:i/>
                <w:sz w:val="16"/>
                <w:szCs w:val="16"/>
                <w:lang w:val="fr-FR"/>
              </w:rPr>
              <w:t>24.003 €</w:t>
            </w:r>
          </w:p>
        </w:tc>
        <w:tc>
          <w:tcPr>
            <w:tcW w:w="72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7,14</w:t>
            </w:r>
          </w:p>
        </w:tc>
        <w:tc>
          <w:tcPr>
            <w:tcW w:w="980" w:type="dxa"/>
            <w:tcBorders>
              <w:top w:val="single" w:sz="4" w:space="0" w:color="000000"/>
              <w:left w:val="single" w:sz="4" w:space="0" w:color="000000"/>
              <w:bottom w:val="single" w:sz="4" w:space="0" w:color="000000"/>
            </w:tcBorders>
            <w:vAlign w:val="center"/>
          </w:tcPr>
          <w:p w:rsidR="0056194E" w:rsidRDefault="0056194E">
            <w:r w:rsidRPr="008F1071">
              <w:rPr>
                <w:rFonts w:ascii="Arial" w:hAnsi="Arial" w:cs="Arial"/>
                <w:i/>
                <w:sz w:val="18"/>
                <w:szCs w:val="18"/>
              </w:rPr>
              <w:t xml:space="preserve">171.381 </w:t>
            </w:r>
          </w:p>
        </w:tc>
        <w:tc>
          <w:tcPr>
            <w:tcW w:w="881"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i/>
                <w:sz w:val="16"/>
                <w:szCs w:val="16"/>
              </w:rPr>
              <w:t>16,7</w:t>
            </w:r>
          </w:p>
        </w:tc>
        <w:tc>
          <w:tcPr>
            <w:tcW w:w="972" w:type="dxa"/>
            <w:tcBorders>
              <w:top w:val="single" w:sz="4" w:space="0" w:color="000000"/>
              <w:left w:val="single" w:sz="4" w:space="0" w:color="000000"/>
              <w:bottom w:val="single" w:sz="4" w:space="0" w:color="000000"/>
            </w:tcBorders>
            <w:vAlign w:val="center"/>
          </w:tcPr>
          <w:p w:rsidR="0056194E" w:rsidRDefault="0056194E">
            <w:r w:rsidRPr="005C0D0A">
              <w:rPr>
                <w:rFonts w:ascii="Arial" w:hAnsi="Arial" w:cs="Arial"/>
                <w:i/>
                <w:sz w:val="18"/>
                <w:szCs w:val="18"/>
                <w:lang w:val="fr-FR"/>
              </w:rPr>
              <w:t>400.850 €</w:t>
            </w:r>
          </w:p>
        </w:tc>
        <w:tc>
          <w:tcPr>
            <w:tcW w:w="888" w:type="dxa"/>
            <w:tcBorders>
              <w:top w:val="single" w:sz="4" w:space="0" w:color="000000"/>
              <w:left w:val="single" w:sz="4" w:space="0" w:color="000000"/>
              <w:bottom w:val="single" w:sz="4" w:space="0" w:color="000000"/>
            </w:tcBorders>
            <w:vAlign w:val="center"/>
          </w:tcPr>
          <w:p w:rsidR="0056194E" w:rsidRPr="003D70B9" w:rsidRDefault="0056194E">
            <w:pPr>
              <w:jc w:val="both"/>
              <w:rPr>
                <w:sz w:val="16"/>
                <w:szCs w:val="16"/>
              </w:rPr>
            </w:pPr>
            <w:r w:rsidRPr="003D70B9">
              <w:rPr>
                <w:rFonts w:ascii="Arial" w:hAnsi="Arial" w:cs="Arial"/>
                <w:sz w:val="16"/>
                <w:szCs w:val="16"/>
              </w:rPr>
              <w:t>143,55</w:t>
            </w:r>
          </w:p>
        </w:tc>
        <w:tc>
          <w:tcPr>
            <w:tcW w:w="1238" w:type="dxa"/>
            <w:tcBorders>
              <w:top w:val="single" w:sz="4" w:space="0" w:color="000000"/>
              <w:left w:val="single" w:sz="4" w:space="0" w:color="000000"/>
              <w:bottom w:val="single" w:sz="4" w:space="0" w:color="000000"/>
              <w:right w:val="single" w:sz="4" w:space="0" w:color="000000"/>
            </w:tcBorders>
            <w:vAlign w:val="center"/>
          </w:tcPr>
          <w:p w:rsidR="0056194E" w:rsidRPr="003D70B9" w:rsidRDefault="0056194E">
            <w:pPr>
              <w:jc w:val="both"/>
              <w:rPr>
                <w:sz w:val="16"/>
                <w:szCs w:val="16"/>
              </w:rPr>
            </w:pPr>
            <w:r w:rsidRPr="003D70B9">
              <w:rPr>
                <w:rFonts w:ascii="Arial" w:hAnsi="Arial" w:cs="Arial"/>
                <w:sz w:val="16"/>
                <w:szCs w:val="16"/>
              </w:rPr>
              <w:t>61</w:t>
            </w:r>
          </w:p>
        </w:tc>
      </w:tr>
    </w:tbl>
    <w:p w:rsidR="0056194E" w:rsidRDefault="0056194E" w:rsidP="00DF0245">
      <w:pPr>
        <w:pStyle w:val="Ttulo2"/>
        <w:numPr>
          <w:ilvl w:val="0"/>
          <w:numId w:val="0"/>
        </w:numPr>
        <w:rPr>
          <w:b w:val="0"/>
          <w:bCs w:val="0"/>
          <w:color w:val="0000FF"/>
          <w:sz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00"/>
          <w:sz w:val="20"/>
        </w:rPr>
      </w:pPr>
      <w:bookmarkStart w:id="47" w:name="_Toc536608362"/>
      <w:r>
        <w:rPr>
          <w:sz w:val="20"/>
        </w:rPr>
        <w:t>7.4 Estimación del impacto económico sobre la prescripción de Atención Primaria.</w:t>
      </w:r>
      <w:bookmarkEnd w:id="47"/>
      <w:r>
        <w:rPr>
          <w:sz w:val="20"/>
        </w:rPr>
        <w:t xml:space="preserve">  </w:t>
      </w:r>
    </w:p>
    <w:p w:rsidR="0056194E" w:rsidRDefault="0056194E">
      <w:pPr>
        <w:jc w:val="both"/>
        <w:rPr>
          <w:rFonts w:ascii="Arial" w:hAnsi="Arial" w:cs="Arial"/>
          <w:color w:val="000000"/>
          <w:sz w:val="20"/>
          <w:szCs w:val="20"/>
        </w:rPr>
      </w:pPr>
    </w:p>
    <w:p w:rsidR="0056194E" w:rsidRDefault="0056194E">
      <w:pPr>
        <w:jc w:val="both"/>
        <w:rPr>
          <w:rFonts w:ascii="Arial" w:hAnsi="Arial" w:cs="Arial"/>
          <w:color w:val="000000"/>
          <w:sz w:val="20"/>
          <w:szCs w:val="20"/>
        </w:rPr>
      </w:pPr>
      <w:r>
        <w:rPr>
          <w:rFonts w:ascii="Arial" w:hAnsi="Arial" w:cs="Arial"/>
          <w:color w:val="000000"/>
          <w:sz w:val="20"/>
          <w:szCs w:val="20"/>
        </w:rPr>
        <w:t>No aplica</w:t>
      </w:r>
    </w:p>
    <w:p w:rsidR="0056194E" w:rsidRDefault="0056194E">
      <w:pPr>
        <w:jc w:val="both"/>
        <w:rPr>
          <w:rFonts w:ascii="Arial" w:hAnsi="Arial" w:cs="Arial"/>
          <w:color w:val="000000"/>
          <w:sz w:val="20"/>
          <w:szCs w:val="20"/>
        </w:rPr>
      </w:pPr>
    </w:p>
    <w:p w:rsidR="0056194E" w:rsidRDefault="0056194E">
      <w:pPr>
        <w:pStyle w:val="Ttulo2"/>
        <w:pBdr>
          <w:top w:val="single" w:sz="4" w:space="1" w:color="000000"/>
          <w:left w:val="single" w:sz="4" w:space="4" w:color="000000"/>
          <w:bottom w:val="single" w:sz="4" w:space="1" w:color="000000"/>
          <w:right w:val="single" w:sz="4" w:space="0" w:color="000000"/>
        </w:pBdr>
        <w:rPr>
          <w:strike/>
          <w:sz w:val="20"/>
        </w:rPr>
      </w:pPr>
      <w:bookmarkStart w:id="48" w:name="_Toc536608363"/>
      <w:r>
        <w:rPr>
          <w:sz w:val="20"/>
        </w:rPr>
        <w:t>7.5 Estimación del impacto económico global a nivel autonómico/estatal</w:t>
      </w:r>
      <w:bookmarkEnd w:id="48"/>
      <w:r>
        <w:rPr>
          <w:sz w:val="20"/>
        </w:rPr>
        <w:t xml:space="preserve">  </w:t>
      </w:r>
    </w:p>
    <w:p w:rsidR="0056194E" w:rsidRDefault="0056194E">
      <w:pPr>
        <w:jc w:val="both"/>
        <w:rPr>
          <w:rFonts w:ascii="Arial" w:hAnsi="Arial" w:cs="Arial"/>
          <w:strike/>
          <w:sz w:val="20"/>
          <w:szCs w:val="20"/>
        </w:rPr>
      </w:pPr>
    </w:p>
    <w:p w:rsidR="0056194E" w:rsidRDefault="0056194E">
      <w:pPr>
        <w:jc w:val="both"/>
        <w:rPr>
          <w:rFonts w:ascii="Arial" w:hAnsi="Arial" w:cs="Arial"/>
          <w:sz w:val="20"/>
          <w:szCs w:val="20"/>
        </w:rPr>
      </w:pPr>
      <w:r>
        <w:rPr>
          <w:rFonts w:ascii="Arial" w:hAnsi="Arial" w:cs="Arial"/>
          <w:sz w:val="20"/>
          <w:szCs w:val="20"/>
        </w:rPr>
        <w:t>Según el Instituto Nacional de Estadística, a Enero del 2017 la población total española se cifra en 46.528.666 habitantes y en Andalucía en 8.409.657 de habitantes.</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 xml:space="preserve">La incidencia de cáncer de próstata en España, como ya se ha comentado en el apartado 3.2 de este informe, es de 96,8 casos por cada 100.000 habitantes. Si consideramos que aproximadamente el 5% de los diagnósticos de novo debutan como metastásicos y que de los mismos un 50% cumple los criterios de alto riesgo, a nivel nacional, el número de pacientes candidatos a recibir abiraterona en combinación con TDA en primera línea de tratamiento será de 1025 pacientes al año. Teniendo en cuenta el coste incremental de abiraterona frente a su alternativa en esta línea de tratamiento, docetaxel, el impacto presupuestario anual en España sería de 24.603.075 € si consideramos el total de los pacientes y de 22.634.829 € si tenemos en cuenta únicamente pacientes </w:t>
      </w:r>
      <w:r w:rsidRPr="00031216">
        <w:rPr>
          <w:rFonts w:ascii="Arial" w:hAnsi="Arial" w:cs="Arial"/>
          <w:i/>
          <w:sz w:val="16"/>
          <w:szCs w:val="16"/>
        </w:rPr>
        <w:t>≤</w:t>
      </w:r>
      <w:r>
        <w:rPr>
          <w:rFonts w:ascii="Arial" w:hAnsi="Arial" w:cs="Arial"/>
          <w:sz w:val="20"/>
          <w:szCs w:val="20"/>
        </w:rPr>
        <w:t>75 años.</w:t>
      </w:r>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r>
        <w:rPr>
          <w:rFonts w:ascii="Arial" w:hAnsi="Arial" w:cs="Arial"/>
          <w:sz w:val="20"/>
          <w:szCs w:val="20"/>
        </w:rPr>
        <w:t xml:space="preserve">En Andalucía, el número de pacientes candidatos según los criterios descritos se podría estimar en 184 pacientes. Lo que supondría un impacto de 4.416.552 € para el total de los pacientes diagnosticados con criterios en Andalucía y de 4.056.507 € si consideramos únicamente los </w:t>
      </w:r>
      <w:r w:rsidRPr="007E21A3">
        <w:rPr>
          <w:rFonts w:ascii="Arial" w:hAnsi="Arial" w:cs="Arial"/>
          <w:sz w:val="20"/>
          <w:szCs w:val="20"/>
        </w:rPr>
        <w:t>≤</w:t>
      </w:r>
      <w:r>
        <w:rPr>
          <w:rFonts w:ascii="Arial" w:hAnsi="Arial" w:cs="Arial"/>
          <w:sz w:val="20"/>
          <w:szCs w:val="20"/>
        </w:rPr>
        <w:t>75 años.</w:t>
      </w:r>
    </w:p>
    <w:p w:rsidR="0056194E" w:rsidRDefault="0056194E">
      <w:pPr>
        <w:jc w:val="both"/>
        <w:rPr>
          <w:rFonts w:ascii="Arial" w:hAnsi="Arial" w:cs="Arial"/>
          <w:sz w:val="20"/>
          <w:szCs w:val="20"/>
        </w:rPr>
      </w:pPr>
    </w:p>
    <w:tbl>
      <w:tblPr>
        <w:tblW w:w="0" w:type="auto"/>
        <w:tblInd w:w="-125" w:type="dxa"/>
        <w:tblLayout w:type="fixed"/>
        <w:tblCellMar>
          <w:left w:w="70" w:type="dxa"/>
          <w:right w:w="70" w:type="dxa"/>
        </w:tblCellMar>
        <w:tblLook w:val="0000"/>
      </w:tblPr>
      <w:tblGrid>
        <w:gridCol w:w="9109"/>
      </w:tblGrid>
      <w:tr w:rsidR="0056194E">
        <w:trPr>
          <w:trHeight w:val="228"/>
        </w:trPr>
        <w:tc>
          <w:tcPr>
            <w:tcW w:w="9109"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49" w:name="_Toc536608364"/>
            <w:r>
              <w:t>8. EVALUACIÓN DE LA CONVENIENCIA.</w:t>
            </w:r>
            <w:bookmarkEnd w:id="49"/>
            <w:r>
              <w:t xml:space="preserve"> </w:t>
            </w:r>
          </w:p>
        </w:tc>
      </w:tr>
    </w:tbl>
    <w:p w:rsidR="0056194E" w:rsidRDefault="0056194E">
      <w:pPr>
        <w:jc w:val="both"/>
        <w:rPr>
          <w:rFonts w:ascii="Arial" w:hAnsi="Arial" w:cs="Arial"/>
          <w:color w:val="000080"/>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80"/>
          <w:sz w:val="20"/>
        </w:rPr>
      </w:pPr>
      <w:bookmarkStart w:id="50" w:name="_Toc536608365"/>
      <w:r>
        <w:rPr>
          <w:sz w:val="20"/>
        </w:rPr>
        <w:t>8.1 Descripción de la conveniencia</w:t>
      </w:r>
      <w:bookmarkEnd w:id="50"/>
    </w:p>
    <w:p w:rsidR="0056194E" w:rsidRDefault="0056194E">
      <w:pPr>
        <w:jc w:val="both"/>
        <w:rPr>
          <w:rFonts w:ascii="Arial" w:hAnsi="Arial" w:cs="Arial"/>
          <w:color w:val="000080"/>
          <w:sz w:val="20"/>
          <w:szCs w:val="20"/>
        </w:rPr>
      </w:pPr>
    </w:p>
    <w:p w:rsidR="0056194E" w:rsidRDefault="0056194E">
      <w:pPr>
        <w:jc w:val="both"/>
        <w:rPr>
          <w:rFonts w:ascii="Arial" w:hAnsi="Arial" w:cs="Arial"/>
          <w:sz w:val="20"/>
          <w:szCs w:val="20"/>
        </w:rPr>
      </w:pPr>
      <w:r>
        <w:rPr>
          <w:rFonts w:ascii="Arial" w:hAnsi="Arial" w:cs="Arial"/>
          <w:sz w:val="20"/>
          <w:szCs w:val="20"/>
        </w:rPr>
        <w:t>Tratamiento oral (2 comprimidos de 500 mg/24h). Es necesario añadir el corticoide (prednisona 5 mg/12h). Aparte de la necesidad de evitar las comidas (1h antes o 2h después) e interacciones, no se presentan problemas relevantes con la administración del fármaco. Se precisa una monitorización de parámetros hepáticos. Podríamos encontrarnos inconvenientes en la adherencia.</w:t>
      </w:r>
    </w:p>
    <w:p w:rsidR="0056194E" w:rsidRDefault="0056194E">
      <w:pPr>
        <w:jc w:val="both"/>
        <w:rPr>
          <w:rFonts w:ascii="Arial" w:hAnsi="Arial" w:cs="Arial"/>
          <w:sz w:val="20"/>
          <w:szCs w:val="20"/>
        </w:rPr>
      </w:pPr>
    </w:p>
    <w:p w:rsidR="0056194E" w:rsidRDefault="0056194E">
      <w:pPr>
        <w:jc w:val="both"/>
        <w:rPr>
          <w:rFonts w:ascii="Arial" w:hAnsi="Arial" w:cs="Arial"/>
          <w:color w:val="000080"/>
          <w:sz w:val="20"/>
          <w:szCs w:val="20"/>
        </w:rPr>
      </w:pPr>
      <w:r>
        <w:rPr>
          <w:rFonts w:ascii="Arial" w:hAnsi="Arial" w:cs="Arial"/>
          <w:sz w:val="20"/>
          <w:szCs w:val="20"/>
        </w:rPr>
        <w:t>La alternativa (docetaxel) es un tratamiento intravenoso que se administra en hospital de día, con todas las molestias que ello conlleva para el paciente. Además, la toxicidad hematológica obliga a una monitorización de los valores hematológicos. Si bien es cierto que la duración se limitaría a 6 ciclos.</w:t>
      </w:r>
    </w:p>
    <w:p w:rsidR="0056194E" w:rsidRDefault="0056194E">
      <w:pPr>
        <w:jc w:val="both"/>
        <w:rPr>
          <w:rFonts w:ascii="Arial" w:hAnsi="Arial" w:cs="Arial"/>
          <w:color w:val="000080"/>
          <w:sz w:val="20"/>
          <w:szCs w:val="20"/>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000080"/>
          <w:sz w:val="20"/>
        </w:rPr>
      </w:pPr>
      <w:bookmarkStart w:id="51" w:name="_Toc536608366"/>
      <w:r>
        <w:rPr>
          <w:sz w:val="20"/>
        </w:rPr>
        <w:t>8.2 Influencia de la conveniencia en la efectividad del tratamiento</w:t>
      </w:r>
      <w:bookmarkEnd w:id="51"/>
    </w:p>
    <w:p w:rsidR="0056194E" w:rsidRDefault="0056194E">
      <w:pPr>
        <w:jc w:val="both"/>
        <w:rPr>
          <w:rFonts w:ascii="Arial" w:hAnsi="Arial" w:cs="Arial"/>
          <w:b/>
          <w:bCs/>
          <w:color w:val="000080"/>
          <w:sz w:val="20"/>
          <w:szCs w:val="20"/>
        </w:rPr>
      </w:pPr>
    </w:p>
    <w:p w:rsidR="0056194E" w:rsidRDefault="0056194E">
      <w:pPr>
        <w:jc w:val="both"/>
        <w:rPr>
          <w:rFonts w:ascii="Arial" w:hAnsi="Arial" w:cs="Arial"/>
          <w:color w:val="FF0000"/>
          <w:sz w:val="20"/>
          <w:szCs w:val="20"/>
          <w:u w:val="single"/>
        </w:rPr>
      </w:pPr>
      <w:r>
        <w:rPr>
          <w:rFonts w:ascii="Arial" w:hAnsi="Arial" w:cs="Arial"/>
          <w:sz w:val="20"/>
          <w:szCs w:val="20"/>
        </w:rPr>
        <w:t>Al tratarse de un medicamento de administración oral y dispensación en el Servicio de Farmacia Hospitalaria el principal inconveniente que podría presentarse es el de la adherencia al mismo.</w:t>
      </w:r>
    </w:p>
    <w:p w:rsidR="0056194E" w:rsidRDefault="0056194E">
      <w:pPr>
        <w:jc w:val="both"/>
        <w:rPr>
          <w:rFonts w:ascii="Arial" w:hAnsi="Arial" w:cs="Arial"/>
          <w:color w:val="FF0000"/>
          <w:sz w:val="20"/>
          <w:szCs w:val="20"/>
          <w:u w:val="single"/>
        </w:rPr>
      </w:pPr>
    </w:p>
    <w:tbl>
      <w:tblPr>
        <w:tblW w:w="0" w:type="auto"/>
        <w:tblInd w:w="-125" w:type="dxa"/>
        <w:tblLayout w:type="fixed"/>
        <w:tblCellMar>
          <w:left w:w="70" w:type="dxa"/>
          <w:right w:w="70" w:type="dxa"/>
        </w:tblCellMar>
        <w:tblLook w:val="0000"/>
      </w:tblPr>
      <w:tblGrid>
        <w:gridCol w:w="9140"/>
      </w:tblGrid>
      <w:tr w:rsidR="0056194E">
        <w:tc>
          <w:tcPr>
            <w:tcW w:w="9140" w:type="dxa"/>
            <w:tcBorders>
              <w:top w:val="single" w:sz="4" w:space="0" w:color="000000"/>
              <w:left w:val="single" w:sz="4" w:space="0" w:color="000000"/>
              <w:bottom w:val="single" w:sz="4" w:space="0" w:color="000000"/>
              <w:right w:val="single" w:sz="4" w:space="0" w:color="000000"/>
            </w:tcBorders>
            <w:shd w:val="clear" w:color="auto" w:fill="B3B3B3"/>
          </w:tcPr>
          <w:p w:rsidR="0056194E" w:rsidRDefault="0056194E">
            <w:pPr>
              <w:pStyle w:val="Ttulo1"/>
              <w:jc w:val="both"/>
            </w:pPr>
            <w:bookmarkStart w:id="52" w:name="_Toc536608367"/>
            <w:r>
              <w:t>9. AREA DE CONCLUSIONES.</w:t>
            </w:r>
            <w:bookmarkEnd w:id="52"/>
          </w:p>
        </w:tc>
      </w:tr>
    </w:tbl>
    <w:p w:rsidR="0056194E" w:rsidRDefault="0056194E">
      <w:pPr>
        <w:pStyle w:val="Encabezado"/>
        <w:tabs>
          <w:tab w:val="clear" w:pos="4252"/>
          <w:tab w:val="clear" w:pos="8504"/>
        </w:tabs>
        <w:jc w:val="both"/>
        <w:rPr>
          <w:rFonts w:ascii="Arial" w:hAnsi="Arial" w:cs="Arial"/>
          <w:b/>
          <w:bCs/>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53" w:name="_Toc536608368"/>
      <w:r>
        <w:rPr>
          <w:sz w:val="20"/>
        </w:rPr>
        <w:t>9.1 Resumen de los aspectos más significativos respecto a la alternativa y propuestas</w:t>
      </w:r>
      <w:bookmarkEnd w:id="53"/>
    </w:p>
    <w:p w:rsidR="0056194E" w:rsidRDefault="0056194E">
      <w:pPr>
        <w:jc w:val="both"/>
        <w:rPr>
          <w:rFonts w:ascii="Arial" w:hAnsi="Arial" w:cs="Arial"/>
          <w:sz w:val="20"/>
          <w:szCs w:val="20"/>
        </w:rPr>
      </w:pPr>
    </w:p>
    <w:p w:rsidR="0056194E" w:rsidRDefault="0056194E" w:rsidP="005C45C1">
      <w:pPr>
        <w:numPr>
          <w:ilvl w:val="0"/>
          <w:numId w:val="15"/>
        </w:numPr>
        <w:ind w:left="0"/>
        <w:jc w:val="both"/>
        <w:rPr>
          <w:rFonts w:ascii="Arial" w:hAnsi="Arial" w:cs="Arial"/>
          <w:b/>
          <w:sz w:val="20"/>
          <w:szCs w:val="20"/>
        </w:rPr>
      </w:pPr>
      <w:r>
        <w:rPr>
          <w:rFonts w:ascii="Arial" w:hAnsi="Arial" w:cs="Arial"/>
          <w:b/>
          <w:sz w:val="20"/>
          <w:szCs w:val="20"/>
        </w:rPr>
        <w:t>Aspectos clínico-terapéuticos</w:t>
      </w:r>
    </w:p>
    <w:p w:rsidR="0056194E" w:rsidRDefault="0056194E">
      <w:pPr>
        <w:ind w:left="720"/>
        <w:jc w:val="both"/>
        <w:rPr>
          <w:rFonts w:ascii="Arial" w:hAnsi="Arial" w:cs="Arial"/>
          <w:b/>
          <w:sz w:val="20"/>
          <w:szCs w:val="20"/>
        </w:rPr>
      </w:pPr>
    </w:p>
    <w:p w:rsidR="0056194E" w:rsidRDefault="0056194E" w:rsidP="005C45C1">
      <w:pPr>
        <w:ind w:left="-142"/>
        <w:jc w:val="both"/>
        <w:rPr>
          <w:rFonts w:ascii="Arial" w:hAnsi="Arial" w:cs="Arial"/>
          <w:sz w:val="20"/>
          <w:szCs w:val="20"/>
        </w:rPr>
      </w:pPr>
      <w:r>
        <w:rPr>
          <w:rFonts w:ascii="Arial" w:hAnsi="Arial" w:cs="Arial"/>
          <w:sz w:val="20"/>
          <w:szCs w:val="20"/>
        </w:rPr>
        <w:t>Actualmente, el único tratamiento con indicación aprobada en primera línea de cáncer de próstata hormonosensible es la terapia hormonal con agonistas/antagonistas de la LHRH +/- terapia antiandrogénica.</w:t>
      </w:r>
    </w:p>
    <w:p w:rsidR="0056194E" w:rsidRDefault="0056194E" w:rsidP="005C45C1">
      <w:pPr>
        <w:ind w:left="-142"/>
        <w:jc w:val="both"/>
        <w:rPr>
          <w:rFonts w:ascii="Arial" w:hAnsi="Arial" w:cs="Arial"/>
          <w:sz w:val="20"/>
          <w:szCs w:val="20"/>
        </w:rPr>
      </w:pPr>
    </w:p>
    <w:p w:rsidR="0056194E" w:rsidRDefault="0056194E" w:rsidP="005C45C1">
      <w:pPr>
        <w:ind w:left="-142"/>
        <w:jc w:val="both"/>
        <w:rPr>
          <w:rFonts w:ascii="Arial" w:hAnsi="Arial" w:cs="Arial"/>
          <w:sz w:val="20"/>
          <w:szCs w:val="20"/>
        </w:rPr>
      </w:pPr>
      <w:r>
        <w:rPr>
          <w:rFonts w:ascii="Arial" w:hAnsi="Arial" w:cs="Arial"/>
          <w:sz w:val="20"/>
          <w:szCs w:val="20"/>
        </w:rPr>
        <w:t>Abiraterona cuenta con la opinión positiva del CHMP de la EMA en una nueva indicación: cáncer de próstata hormonosensible metastásico de alto riesgo, definiendo como alto riesgo el cumplir 2 de los siguientes criterios:</w:t>
      </w:r>
    </w:p>
    <w:p w:rsidR="0056194E" w:rsidRDefault="0056194E">
      <w:pPr>
        <w:numPr>
          <w:ilvl w:val="0"/>
          <w:numId w:val="17"/>
        </w:numPr>
        <w:jc w:val="both"/>
        <w:rPr>
          <w:rFonts w:ascii="Arial" w:hAnsi="Arial" w:cs="Arial"/>
          <w:sz w:val="20"/>
          <w:szCs w:val="20"/>
        </w:rPr>
      </w:pPr>
      <w:r>
        <w:rPr>
          <w:rFonts w:ascii="Arial" w:hAnsi="Arial" w:cs="Arial"/>
          <w:sz w:val="20"/>
          <w:szCs w:val="20"/>
        </w:rPr>
        <w:t>Gleason 8-10</w:t>
      </w:r>
    </w:p>
    <w:p w:rsidR="0056194E" w:rsidRDefault="0056194E">
      <w:pPr>
        <w:numPr>
          <w:ilvl w:val="0"/>
          <w:numId w:val="17"/>
        </w:numPr>
        <w:jc w:val="both"/>
        <w:rPr>
          <w:rFonts w:ascii="Arial" w:hAnsi="Arial" w:cs="Arial"/>
          <w:sz w:val="20"/>
          <w:szCs w:val="20"/>
        </w:rPr>
      </w:pPr>
      <w:r>
        <w:rPr>
          <w:rFonts w:ascii="Arial" w:hAnsi="Arial" w:cs="Arial"/>
          <w:sz w:val="20"/>
          <w:szCs w:val="20"/>
        </w:rPr>
        <w:t>≥3 mtx óseas</w:t>
      </w:r>
    </w:p>
    <w:p w:rsidR="0056194E" w:rsidRDefault="0056194E">
      <w:pPr>
        <w:numPr>
          <w:ilvl w:val="0"/>
          <w:numId w:val="17"/>
        </w:numPr>
        <w:jc w:val="both"/>
        <w:rPr>
          <w:rFonts w:ascii="Arial" w:hAnsi="Arial" w:cs="Arial"/>
          <w:sz w:val="20"/>
          <w:szCs w:val="20"/>
        </w:rPr>
      </w:pPr>
      <w:r>
        <w:rPr>
          <w:rFonts w:ascii="Arial" w:hAnsi="Arial" w:cs="Arial"/>
          <w:sz w:val="20"/>
          <w:szCs w:val="20"/>
        </w:rPr>
        <w:t>≥1 mtx visceral</w:t>
      </w:r>
    </w:p>
    <w:p w:rsidR="0056194E" w:rsidRDefault="0056194E">
      <w:pPr>
        <w:ind w:left="720"/>
        <w:jc w:val="both"/>
        <w:rPr>
          <w:rFonts w:ascii="Arial" w:hAnsi="Arial" w:cs="Arial"/>
          <w:sz w:val="20"/>
          <w:szCs w:val="20"/>
        </w:rPr>
      </w:pPr>
    </w:p>
    <w:p w:rsidR="0056194E" w:rsidRDefault="0056194E">
      <w:pPr>
        <w:ind w:left="720"/>
        <w:jc w:val="both"/>
        <w:rPr>
          <w:rFonts w:ascii="Arial" w:hAnsi="Arial" w:cs="Arial"/>
          <w:bCs/>
          <w:sz w:val="20"/>
          <w:szCs w:val="20"/>
        </w:rPr>
      </w:pPr>
    </w:p>
    <w:p w:rsidR="0056194E" w:rsidRDefault="0056194E" w:rsidP="00BA6E3A">
      <w:pPr>
        <w:jc w:val="both"/>
        <w:rPr>
          <w:rFonts w:ascii="Arial" w:hAnsi="Arial" w:cs="Arial"/>
          <w:sz w:val="20"/>
          <w:szCs w:val="20"/>
        </w:rPr>
      </w:pPr>
      <w:r>
        <w:rPr>
          <w:rFonts w:ascii="Arial" w:hAnsi="Arial" w:cs="Arial"/>
          <w:b/>
          <w:bCs/>
          <w:sz w:val="20"/>
          <w:szCs w:val="20"/>
        </w:rPr>
        <w:t>EFICACIA:</w:t>
      </w:r>
      <w:r w:rsidR="00F50EC3">
        <w:rPr>
          <w:rFonts w:ascii="Arial" w:hAnsi="Arial" w:cs="Arial"/>
          <w:b/>
          <w:bCs/>
          <w:sz w:val="20"/>
          <w:szCs w:val="20"/>
        </w:rPr>
        <w:t xml:space="preserve"> </w:t>
      </w:r>
      <w:r w:rsidR="00F50EC3">
        <w:rPr>
          <w:rFonts w:ascii="Arial" w:hAnsi="Arial" w:cs="Arial"/>
          <w:sz w:val="20"/>
          <w:szCs w:val="20"/>
        </w:rPr>
        <w:t>e</w:t>
      </w:r>
      <w:r>
        <w:rPr>
          <w:rFonts w:ascii="Arial" w:hAnsi="Arial" w:cs="Arial"/>
          <w:sz w:val="20"/>
          <w:szCs w:val="20"/>
        </w:rPr>
        <w:t>xisten dos ensayos clínicos en los que se ha estudiado la eficacia de abiraterona en esta indicación: LATITUDE</w:t>
      </w:r>
      <w:r>
        <w:rPr>
          <w:rFonts w:ascii="Arial" w:hAnsi="Arial" w:cs="Arial"/>
          <w:sz w:val="20"/>
          <w:szCs w:val="20"/>
          <w:vertAlign w:val="superscript"/>
        </w:rPr>
        <w:t xml:space="preserve">17 </w:t>
      </w:r>
      <w:r>
        <w:rPr>
          <w:rFonts w:ascii="Arial" w:hAnsi="Arial" w:cs="Arial"/>
          <w:sz w:val="20"/>
          <w:szCs w:val="20"/>
        </w:rPr>
        <w:t>Y STAMPEDE</w:t>
      </w:r>
      <w:r>
        <w:rPr>
          <w:rFonts w:ascii="Arial" w:hAnsi="Arial" w:cs="Arial"/>
          <w:sz w:val="20"/>
          <w:szCs w:val="20"/>
          <w:vertAlign w:val="superscript"/>
        </w:rPr>
        <w:t>16</w:t>
      </w:r>
      <w:r>
        <w:rPr>
          <w:rFonts w:ascii="Arial" w:hAnsi="Arial" w:cs="Arial"/>
          <w:sz w:val="20"/>
          <w:szCs w:val="20"/>
        </w:rPr>
        <w:t>.</w:t>
      </w:r>
    </w:p>
    <w:p w:rsidR="0056194E" w:rsidRDefault="0056194E" w:rsidP="00BA6E3A">
      <w:pPr>
        <w:jc w:val="both"/>
        <w:rPr>
          <w:rFonts w:ascii="Arial" w:hAnsi="Arial" w:cs="Arial"/>
          <w:sz w:val="20"/>
          <w:szCs w:val="20"/>
        </w:rPr>
      </w:pPr>
    </w:p>
    <w:p w:rsidR="0056194E" w:rsidRDefault="0056194E" w:rsidP="00BA6E3A">
      <w:pPr>
        <w:jc w:val="both"/>
        <w:rPr>
          <w:rFonts w:ascii="Arial" w:hAnsi="Arial" w:cs="Arial"/>
          <w:sz w:val="20"/>
          <w:szCs w:val="20"/>
        </w:rPr>
      </w:pPr>
      <w:r w:rsidRPr="00270D14">
        <w:rPr>
          <w:rFonts w:ascii="Arial" w:hAnsi="Arial" w:cs="Arial"/>
          <w:sz w:val="20"/>
          <w:szCs w:val="20"/>
        </w:rPr>
        <w:t xml:space="preserve">La indicación aprobada para abiraterona en esta fase de la enfermedad se basa en el estudio LATITUDE, por lo que los pacientes candidatos a recibir tratamiento </w:t>
      </w:r>
      <w:r>
        <w:rPr>
          <w:rFonts w:ascii="Arial" w:hAnsi="Arial" w:cs="Arial"/>
          <w:sz w:val="20"/>
          <w:szCs w:val="20"/>
        </w:rPr>
        <w:t>son los considerados en los criterios básicos de inclusión del mismo: pacientes con enfermedad metastásica de alto riesgo</w:t>
      </w:r>
      <w:r w:rsidRPr="00270D14">
        <w:rPr>
          <w:rFonts w:ascii="Arial" w:hAnsi="Arial" w:cs="Arial"/>
          <w:sz w:val="20"/>
          <w:szCs w:val="20"/>
        </w:rPr>
        <w:t xml:space="preserve">. Así, encontramos que a pesar de la gran incidencia de cáncer de próstata, </w:t>
      </w:r>
      <w:r>
        <w:rPr>
          <w:rFonts w:ascii="Arial" w:hAnsi="Arial" w:cs="Arial"/>
          <w:sz w:val="20"/>
          <w:szCs w:val="20"/>
        </w:rPr>
        <w:t xml:space="preserve">aproximadamente solo </w:t>
      </w:r>
      <w:r w:rsidRPr="00270D14">
        <w:rPr>
          <w:rFonts w:ascii="Arial" w:hAnsi="Arial" w:cs="Arial"/>
          <w:sz w:val="20"/>
          <w:szCs w:val="20"/>
        </w:rPr>
        <w:t xml:space="preserve">un 5% del total de los diagnósticos debutan como metastásicos. Además, dentro </w:t>
      </w:r>
      <w:r>
        <w:rPr>
          <w:rFonts w:ascii="Arial" w:hAnsi="Arial" w:cs="Arial"/>
          <w:sz w:val="20"/>
          <w:szCs w:val="20"/>
        </w:rPr>
        <w:t xml:space="preserve">de este porcentaje </w:t>
      </w:r>
      <w:r w:rsidRPr="00270D14">
        <w:rPr>
          <w:rFonts w:ascii="Arial" w:hAnsi="Arial" w:cs="Arial"/>
          <w:sz w:val="20"/>
          <w:szCs w:val="20"/>
        </w:rPr>
        <w:t xml:space="preserve">no todos </w:t>
      </w:r>
      <w:r>
        <w:rPr>
          <w:rFonts w:ascii="Arial" w:hAnsi="Arial" w:cs="Arial"/>
          <w:sz w:val="20"/>
          <w:szCs w:val="20"/>
        </w:rPr>
        <w:t xml:space="preserve">los pacientes </w:t>
      </w:r>
      <w:r w:rsidRPr="00270D14">
        <w:rPr>
          <w:rFonts w:ascii="Arial" w:hAnsi="Arial" w:cs="Arial"/>
          <w:sz w:val="20"/>
          <w:szCs w:val="20"/>
        </w:rPr>
        <w:t>cumplirán los criterios de alto riesgo, por lo que el número de pacientes candidatos a recibir abiraterona será menor.</w:t>
      </w:r>
    </w:p>
    <w:p w:rsidR="0056194E" w:rsidRDefault="0056194E" w:rsidP="00BA6E3A">
      <w:pPr>
        <w:jc w:val="both"/>
        <w:rPr>
          <w:rFonts w:ascii="Arial" w:hAnsi="Arial" w:cs="Arial"/>
          <w:sz w:val="20"/>
          <w:szCs w:val="20"/>
        </w:rPr>
      </w:pPr>
    </w:p>
    <w:p w:rsidR="0056194E" w:rsidRDefault="0056194E" w:rsidP="00E929D1">
      <w:pPr>
        <w:jc w:val="both"/>
        <w:rPr>
          <w:rFonts w:ascii="Arial" w:hAnsi="Arial" w:cs="Arial"/>
          <w:color w:val="000000"/>
          <w:sz w:val="20"/>
          <w:szCs w:val="20"/>
        </w:rPr>
      </w:pPr>
      <w:r>
        <w:rPr>
          <w:rFonts w:ascii="Arial" w:hAnsi="Arial" w:cs="Arial"/>
          <w:sz w:val="20"/>
          <w:szCs w:val="20"/>
        </w:rPr>
        <w:t xml:space="preserve">El estudio LATITUDE es un ensayo clínico fase III, aleatorizado y doble ciego, en el que se compara abiraterona+TDA frente a placebo+TDA, que incluye pacientes diagnosticados de CPHS metastásico de alto riesgo. </w:t>
      </w:r>
      <w:r>
        <w:rPr>
          <w:rFonts w:ascii="Arial" w:hAnsi="Arial" w:cs="Arial"/>
          <w:color w:val="000000"/>
          <w:sz w:val="20"/>
          <w:szCs w:val="20"/>
        </w:rPr>
        <w:t>En la curva de SG se alcanzó una mediana de 34,7 meses para el grupo placebo y aún no se ha alcanzado para el grupo de abiraterona, con un HR de 0,62 (IC 95% 0,51-0,76). Por otra parte, en la curva de SLPr encontramos una diferencia de medianas entre los dos brazos de 18,2 meses a favor de abiraterona con un HR de 0,47 (IC 95% 0,39-0,55). Con estos resultados y aunque la curva de SG no se encuentra aún madura, se puede afirmar que los pacientes se benefician claramente del tratamiento con abiraterona.</w:t>
      </w:r>
    </w:p>
    <w:p w:rsidR="0056194E" w:rsidRDefault="0056194E" w:rsidP="00D74AAA">
      <w:pPr>
        <w:jc w:val="both"/>
        <w:rPr>
          <w:rFonts w:ascii="Arial" w:hAnsi="Arial" w:cs="Arial"/>
          <w:sz w:val="20"/>
          <w:szCs w:val="20"/>
        </w:rPr>
      </w:pPr>
    </w:p>
    <w:p w:rsidR="0056194E" w:rsidRPr="00286107" w:rsidRDefault="0056194E" w:rsidP="00D74AAA">
      <w:pPr>
        <w:jc w:val="both"/>
        <w:rPr>
          <w:rFonts w:ascii="Arial" w:hAnsi="Arial" w:cs="Arial"/>
          <w:sz w:val="20"/>
          <w:szCs w:val="20"/>
        </w:rPr>
      </w:pPr>
      <w:r>
        <w:rPr>
          <w:rFonts w:ascii="Arial" w:hAnsi="Arial" w:cs="Arial"/>
          <w:sz w:val="20"/>
          <w:szCs w:val="20"/>
        </w:rPr>
        <w:t xml:space="preserve">STAMPEDE  es un ensayo clínico fase III, aleatorizado y abierto, en el que se compara abiraterona+TDA frente a TDA en monoterapia que incluye pacientes diagnosticados de CPHS metastásico y localizado de alto riesgo.  </w:t>
      </w:r>
      <w:r>
        <w:rPr>
          <w:rFonts w:ascii="Arial" w:hAnsi="Arial" w:cs="Arial"/>
          <w:color w:val="000000"/>
          <w:sz w:val="20"/>
          <w:szCs w:val="20"/>
        </w:rPr>
        <w:t>La curva de SG presenta un HR de 0,63 (IC 95% 0,52-0,76). Puesto que no se han alcanzado las medianas habría que esperar a unos datos de supervivencia global más maduros para aclarar el beneficio neto del tratamiento. Sin embargo, teniendo en cuenta el HR de la SG y que se trata de una situación clínica con una supervivencia bastante prolongada en el tiempo, está claro que el beneficio es muy relevante.</w:t>
      </w:r>
      <w:r w:rsidR="00D771ED">
        <w:rPr>
          <w:rFonts w:ascii="Arial" w:hAnsi="Arial" w:cs="Arial"/>
          <w:color w:val="000000"/>
          <w:sz w:val="20"/>
          <w:szCs w:val="20"/>
        </w:rPr>
        <w:t xml:space="preserve"> </w:t>
      </w:r>
      <w:r>
        <w:rPr>
          <w:rFonts w:ascii="Arial" w:hAnsi="Arial" w:cs="Arial"/>
          <w:color w:val="000000"/>
          <w:sz w:val="20"/>
          <w:szCs w:val="20"/>
        </w:rPr>
        <w:t xml:space="preserve">En la curva de SSFT se ha alcanzado la mediana para el brazo control pero no para el brazo experimental, con un HR de 0,29 (IC 95% 0,25-0,34). </w:t>
      </w:r>
    </w:p>
    <w:p w:rsidR="0056194E" w:rsidRDefault="0056194E" w:rsidP="00BA6E3A">
      <w:pPr>
        <w:jc w:val="both"/>
        <w:rPr>
          <w:rFonts w:ascii="Arial" w:hAnsi="Arial" w:cs="Arial"/>
          <w:sz w:val="20"/>
          <w:szCs w:val="20"/>
        </w:rPr>
      </w:pPr>
    </w:p>
    <w:p w:rsidR="0056194E" w:rsidRDefault="0056194E" w:rsidP="00BA6E3A">
      <w:pPr>
        <w:ind w:left="720"/>
        <w:jc w:val="both"/>
        <w:rPr>
          <w:rFonts w:ascii="Arial" w:hAnsi="Arial" w:cs="Arial"/>
          <w:sz w:val="20"/>
          <w:szCs w:val="20"/>
        </w:rPr>
      </w:pPr>
    </w:p>
    <w:p w:rsidR="0056194E" w:rsidRDefault="0056194E">
      <w:pPr>
        <w:jc w:val="both"/>
        <w:rPr>
          <w:rFonts w:ascii="Arial" w:hAnsi="Arial" w:cs="Arial"/>
          <w:bCs/>
          <w:sz w:val="20"/>
          <w:szCs w:val="20"/>
        </w:rPr>
      </w:pPr>
      <w:r>
        <w:rPr>
          <w:rFonts w:ascii="Arial" w:hAnsi="Arial" w:cs="Arial"/>
          <w:bCs/>
          <w:sz w:val="20"/>
          <w:szCs w:val="20"/>
        </w:rPr>
        <w:t xml:space="preserve">Abiraterona ha demostrado una eficacia clara en SLPr (LATITUDE) y SSFT (STAMPEDE) que se traduce en un aumento de la superviviencia, pero será necesario esperar a que las curvas de estos ensayos clínicos estén más maduras para poder aclarar el beneficio neto. </w:t>
      </w:r>
    </w:p>
    <w:p w:rsidR="00D771ED" w:rsidRDefault="00D771ED">
      <w:pPr>
        <w:jc w:val="both"/>
        <w:rPr>
          <w:rFonts w:ascii="Arial" w:hAnsi="Arial" w:cs="Arial"/>
          <w:bCs/>
          <w:sz w:val="20"/>
          <w:szCs w:val="20"/>
        </w:rPr>
      </w:pPr>
    </w:p>
    <w:p w:rsidR="0056194E" w:rsidRDefault="0056194E">
      <w:pPr>
        <w:jc w:val="both"/>
        <w:rPr>
          <w:rFonts w:ascii="Arial" w:hAnsi="Arial" w:cs="Arial"/>
          <w:bCs/>
          <w:sz w:val="20"/>
          <w:szCs w:val="20"/>
        </w:rPr>
      </w:pPr>
      <w:r>
        <w:rPr>
          <w:rFonts w:ascii="Arial" w:hAnsi="Arial" w:cs="Arial"/>
          <w:bCs/>
          <w:sz w:val="20"/>
          <w:szCs w:val="20"/>
        </w:rPr>
        <w:t>El beneficio de abiraterona sobre placebo es muy claro en pacientes &lt;70 años, mientras que en &gt;75 parece que no existe tal beneficio. En el rango entre 70-75 años el resultado es dudoso y parece que puede haber beneficio, pero inferior al de pacientes más jóvenes.</w:t>
      </w:r>
    </w:p>
    <w:p w:rsidR="0056194E" w:rsidRDefault="0056194E">
      <w:pPr>
        <w:jc w:val="both"/>
        <w:rPr>
          <w:rFonts w:ascii="Arial" w:hAnsi="Arial" w:cs="Arial"/>
          <w:bCs/>
          <w:sz w:val="20"/>
          <w:szCs w:val="20"/>
        </w:rPr>
      </w:pPr>
    </w:p>
    <w:p w:rsidR="0056194E" w:rsidRDefault="0056194E">
      <w:pPr>
        <w:jc w:val="both"/>
        <w:rPr>
          <w:rFonts w:ascii="Arial" w:hAnsi="Arial" w:cs="Arial"/>
          <w:bCs/>
          <w:sz w:val="20"/>
          <w:szCs w:val="20"/>
        </w:rPr>
      </w:pPr>
      <w:r>
        <w:rPr>
          <w:rFonts w:ascii="Arial" w:hAnsi="Arial" w:cs="Arial"/>
          <w:bCs/>
          <w:sz w:val="20"/>
          <w:szCs w:val="20"/>
        </w:rPr>
        <w:t xml:space="preserve">Su comparador en esta misma línea sería docetaxel, </w:t>
      </w:r>
      <w:r>
        <w:rPr>
          <w:rFonts w:ascii="Arial" w:hAnsi="Arial" w:cs="Arial"/>
          <w:sz w:val="20"/>
          <w:szCs w:val="20"/>
        </w:rPr>
        <w:t>un fármaco que ha demostrado aumentar la supervivencia global y libre de progresión en varios estudios en combinación con TDA en CPHS</w:t>
      </w:r>
      <w:r>
        <w:rPr>
          <w:rFonts w:ascii="Arial" w:hAnsi="Arial" w:cs="Arial"/>
          <w:sz w:val="20"/>
          <w:szCs w:val="20"/>
          <w:vertAlign w:val="superscript"/>
        </w:rPr>
        <w:t>22,29</w:t>
      </w:r>
      <w:r>
        <w:rPr>
          <w:rFonts w:ascii="Arial" w:hAnsi="Arial" w:cs="Arial"/>
          <w:sz w:val="20"/>
          <w:szCs w:val="20"/>
        </w:rPr>
        <w:t xml:space="preserve">, por lo que aunque su indicación no se encuentra aprobada en su ficha técnica, </w:t>
      </w:r>
      <w:r>
        <w:rPr>
          <w:rFonts w:ascii="Arial" w:hAnsi="Arial" w:cs="Arial"/>
          <w:bCs/>
          <w:sz w:val="20"/>
          <w:szCs w:val="20"/>
        </w:rPr>
        <w:t>su uso está sujeto al Real Decreto 1015/2009, de 19 de junio, por el que se regula la disponibilidad de medicamentos en situaciones especiales. En una comparación directa post hoc de los brazos de STAMPEDE-abiraterona y STAMPEDE-docetaxel y en diversas comparaciones indirectas,</w:t>
      </w:r>
      <w:r w:rsidR="009F7FE3">
        <w:rPr>
          <w:rFonts w:ascii="Arial" w:hAnsi="Arial" w:cs="Arial"/>
          <w:bCs/>
          <w:sz w:val="20"/>
          <w:szCs w:val="20"/>
        </w:rPr>
        <w:t xml:space="preserve"> </w:t>
      </w:r>
      <w:r>
        <w:rPr>
          <w:rFonts w:ascii="Arial" w:hAnsi="Arial" w:cs="Arial"/>
          <w:bCs/>
          <w:sz w:val="20"/>
          <w:szCs w:val="20"/>
        </w:rPr>
        <w:t>no se ha mostrado diferencia significativa de eficacia entre abiraterona y docetaxel</w:t>
      </w:r>
      <w:r w:rsidR="00973977">
        <w:rPr>
          <w:rFonts w:ascii="Arial" w:hAnsi="Arial" w:cs="Arial"/>
          <w:bCs/>
          <w:sz w:val="20"/>
          <w:szCs w:val="20"/>
        </w:rPr>
        <w:t xml:space="preserve"> en términos de SG</w:t>
      </w:r>
      <w:r>
        <w:rPr>
          <w:rFonts w:ascii="Arial" w:hAnsi="Arial" w:cs="Arial"/>
          <w:bCs/>
          <w:sz w:val="20"/>
          <w:szCs w:val="20"/>
        </w:rPr>
        <w:t>, por lo que el beneficio de un fármaco frente a otro se plantea fundamentalmente en términos de seguridad y facilidad de manejo.</w:t>
      </w:r>
    </w:p>
    <w:p w:rsidR="0056194E" w:rsidRDefault="0056194E">
      <w:pPr>
        <w:jc w:val="both"/>
        <w:rPr>
          <w:rFonts w:ascii="Arial" w:hAnsi="Arial" w:cs="Arial"/>
          <w:bCs/>
          <w:sz w:val="20"/>
          <w:szCs w:val="20"/>
        </w:rPr>
      </w:pPr>
    </w:p>
    <w:p w:rsidR="0056194E" w:rsidRDefault="0056194E">
      <w:pPr>
        <w:autoSpaceDE w:val="0"/>
        <w:jc w:val="both"/>
        <w:rPr>
          <w:rFonts w:ascii="Arial" w:hAnsi="Arial" w:cs="Arial"/>
          <w:sz w:val="20"/>
          <w:szCs w:val="20"/>
        </w:rPr>
      </w:pPr>
      <w:r>
        <w:rPr>
          <w:rFonts w:ascii="Arial" w:hAnsi="Arial" w:cs="Arial"/>
          <w:b/>
          <w:bCs/>
          <w:sz w:val="20"/>
          <w:szCs w:val="20"/>
        </w:rPr>
        <w:t xml:space="preserve">SEGURIDAD: </w:t>
      </w:r>
      <w:r>
        <w:rPr>
          <w:rFonts w:ascii="Arial" w:hAnsi="Arial" w:cs="Arial"/>
          <w:bCs/>
          <w:sz w:val="20"/>
          <w:szCs w:val="20"/>
        </w:rPr>
        <w:t xml:space="preserve">Abiraterona añade efectos adversos a la terapia con TDA, principalmente a nivel cardiovascular. </w:t>
      </w:r>
      <w:r>
        <w:rPr>
          <w:rFonts w:ascii="Arial" w:hAnsi="Arial" w:cs="Arial"/>
          <w:sz w:val="20"/>
          <w:szCs w:val="20"/>
        </w:rPr>
        <w:t>Las reacciones adversas más frecuentes observadas con abiraterona son edema periférico, hipopotasemia, hipertensión, infección e hipertrigliceridemia</w:t>
      </w:r>
      <w:r>
        <w:rPr>
          <w:rFonts w:ascii="Arial" w:hAnsi="Arial" w:cs="Arial"/>
          <w:bCs/>
          <w:sz w:val="20"/>
          <w:szCs w:val="20"/>
        </w:rPr>
        <w:t>. En el ensayo de registro se excluyen pacientes con enfermedad cardiaca previa. N</w:t>
      </w:r>
      <w:r>
        <w:rPr>
          <w:rFonts w:ascii="Arial" w:hAnsi="Arial" w:cs="Arial"/>
          <w:sz w:val="20"/>
          <w:szCs w:val="20"/>
        </w:rPr>
        <w:t xml:space="preserve">o se ha establecido la seguridad en pacientes con fracción de eyección ventricular izquierda &lt; 50 % o insuficiencia cardíaca de clase III o IV de la NYHA. </w:t>
      </w:r>
    </w:p>
    <w:p w:rsidR="0056194E" w:rsidRDefault="0056194E">
      <w:pPr>
        <w:autoSpaceDE w:val="0"/>
        <w:jc w:val="both"/>
        <w:rPr>
          <w:rFonts w:ascii="Arial" w:hAnsi="Arial" w:cs="Arial"/>
          <w:sz w:val="20"/>
          <w:szCs w:val="20"/>
        </w:rPr>
      </w:pPr>
    </w:p>
    <w:p w:rsidR="0056194E" w:rsidRDefault="0056194E" w:rsidP="001D0778">
      <w:pPr>
        <w:jc w:val="both"/>
        <w:rPr>
          <w:rFonts w:ascii="Arial" w:hAnsi="Arial" w:cs="Arial"/>
          <w:sz w:val="20"/>
          <w:szCs w:val="20"/>
        </w:rPr>
      </w:pPr>
      <w:r>
        <w:rPr>
          <w:rFonts w:ascii="Arial" w:hAnsi="Arial" w:cs="Arial"/>
          <w:sz w:val="20"/>
          <w:szCs w:val="20"/>
        </w:rPr>
        <w:t>En el estudio LATITUDE el porcentaje de eventos adversos Grado 3-4 fue del 63% en el grupo de abiraterona y 48% en el grupo placebo. El número de pacientes con eventos adversos graves fue similar en ambos brazos. La frecuencia de eventos adversos que supusieron la discontinuación del tratamiento fue del 12% en el grupo activo y 10% en el grupo control. En el grupo de abiraterona un 32% de los pacientes requirieron una modificación de dosis o interrupción del tratamiento frente a un 17% del grupo placebo. Respecto a los eventos adversos relacionados con el eje mineralocorticoide, en el grupo de abiraterona ocurrieron un 20% de Grado 3 y un 0% de Grado 4, frente al grupo control donde sucedieron un 10% de Grado 3 y un 0,2% de Grado 4. En cuanto a la hipokalemia Grado 3 y 4, en el grupo activo encontramos un 10% y 0,8%, frente a un 1% y 0,2% respectivamente en el grupo placebo.</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En el estudio STAMPEDE los eventos adversos fueron registrados de forma diferente al estudio LATITUDE. Los eventos adversos más relevantes registrados en este estudio se describen a continuación: el porcentaje de eventos adversos Grado 3-5 en el grupo control y grupo experimental fue de 33% y 47% respectivamente. En el grupo control hubo &lt;1% de efectos adversos Grado 5 con respecto a un 1% en el grupo de abiraterona. En el grupo experimental, un 10% experimentó eventos adversos cardiovasculares (5% hipertensión), frente a un 4% de los pacientes del grupo control. Un 6% de los pacientes que recibieron abiraterona experimentó un aumento de la ALT hepática, mientras que en el grupo control fue &lt;1%. Un 1% de los pacientes del grupo experimental sufrió hipokalemia mientras que en el grupo control la incidencia fue &lt;1%.</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sz w:val="20"/>
          <w:szCs w:val="20"/>
        </w:rPr>
      </w:pPr>
      <w:r>
        <w:rPr>
          <w:rFonts w:ascii="Arial" w:hAnsi="Arial" w:cs="Arial"/>
          <w:sz w:val="20"/>
          <w:szCs w:val="20"/>
        </w:rPr>
        <w:t>Con respecto a su comparador docetaxel, abiraterona presenta una ventaja clara en seguridad, principalmente en la aparición de neutropenia febril con NNH 7 (IC 95% 6-9) y parece que también puede haberla (resultado no significativo) en la aparición de eventos adversos Grado 3-5 con NNH 17.</w:t>
      </w:r>
    </w:p>
    <w:p w:rsidR="0056194E" w:rsidRDefault="0056194E">
      <w:pPr>
        <w:autoSpaceDE w:val="0"/>
        <w:jc w:val="both"/>
        <w:rPr>
          <w:rFonts w:ascii="Arial" w:hAnsi="Arial" w:cs="Arial"/>
          <w:sz w:val="20"/>
          <w:szCs w:val="20"/>
        </w:rPr>
      </w:pPr>
    </w:p>
    <w:p w:rsidR="0056194E" w:rsidRDefault="0056194E">
      <w:pPr>
        <w:autoSpaceDE w:val="0"/>
        <w:jc w:val="both"/>
        <w:rPr>
          <w:rFonts w:ascii="Arial" w:hAnsi="Arial" w:cs="Arial"/>
          <w:bCs/>
          <w:sz w:val="20"/>
          <w:szCs w:val="20"/>
        </w:rPr>
      </w:pPr>
      <w:r>
        <w:rPr>
          <w:rFonts w:ascii="Arial" w:hAnsi="Arial" w:cs="Arial"/>
          <w:b/>
          <w:bCs/>
          <w:sz w:val="20"/>
          <w:szCs w:val="20"/>
        </w:rPr>
        <w:t xml:space="preserve">COVENIENCIA: </w:t>
      </w:r>
      <w:r>
        <w:rPr>
          <w:rFonts w:ascii="Arial" w:hAnsi="Arial" w:cs="Arial"/>
          <w:bCs/>
          <w:sz w:val="20"/>
          <w:szCs w:val="20"/>
        </w:rPr>
        <w:t>Abiraterona se administra por vía oral en forma de 2 comprimidos de 500mg</w:t>
      </w:r>
      <w:r w:rsidR="00A64442">
        <w:rPr>
          <w:rFonts w:ascii="Arial" w:hAnsi="Arial" w:cs="Arial"/>
          <w:bCs/>
          <w:sz w:val="20"/>
          <w:szCs w:val="20"/>
        </w:rPr>
        <w:t xml:space="preserve"> </w:t>
      </w:r>
      <w:r>
        <w:rPr>
          <w:rFonts w:ascii="Arial" w:hAnsi="Arial" w:cs="Arial"/>
          <w:bCs/>
          <w:sz w:val="20"/>
          <w:szCs w:val="20"/>
        </w:rPr>
        <w:t>en una única toma diaria. Es un medicamento de dispensación hospitalaria. Su comparador docetaxel se administra por vía IV cada 21 días un máximo de 6 ciclos en Hospital de Día de Oncología, lo que supone una peor conveniencia con respecto a abiraterona.</w:t>
      </w:r>
    </w:p>
    <w:p w:rsidR="00A64442" w:rsidRDefault="00A64442">
      <w:pPr>
        <w:autoSpaceDE w:val="0"/>
        <w:jc w:val="both"/>
        <w:rPr>
          <w:rFonts w:ascii="Arial" w:hAnsi="Arial" w:cs="Arial"/>
          <w:bCs/>
          <w:sz w:val="20"/>
          <w:szCs w:val="20"/>
        </w:rPr>
      </w:pP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bCs/>
          <w:sz w:val="20"/>
          <w:szCs w:val="20"/>
        </w:rPr>
        <w:t>Debe tenerse en cuenta que e</w:t>
      </w:r>
      <w:r w:rsidRPr="00A113AF">
        <w:rPr>
          <w:rFonts w:ascii="Arial" w:hAnsi="Arial" w:cs="Arial"/>
          <w:sz w:val="20"/>
          <w:szCs w:val="20"/>
        </w:rPr>
        <w:t>n el caso de utilizar abiraterona + TDA, se tendría</w:t>
      </w:r>
      <w:r>
        <w:rPr>
          <w:rFonts w:ascii="Arial" w:hAnsi="Arial" w:cs="Arial"/>
          <w:sz w:val="20"/>
          <w:szCs w:val="20"/>
        </w:rPr>
        <w:t>n</w:t>
      </w:r>
      <w:r w:rsidRPr="00A113AF">
        <w:rPr>
          <w:rFonts w:ascii="Arial" w:hAnsi="Arial" w:cs="Arial"/>
          <w:sz w:val="20"/>
          <w:szCs w:val="20"/>
        </w:rPr>
        <w:t xml:space="preserve"> menos opciones terapéuticas en las siguientes líneas que si se tratase</w:t>
      </w:r>
      <w:r>
        <w:rPr>
          <w:rFonts w:ascii="Arial" w:hAnsi="Arial" w:cs="Arial"/>
          <w:sz w:val="20"/>
          <w:szCs w:val="20"/>
        </w:rPr>
        <w:t>n</w:t>
      </w:r>
      <w:r w:rsidRPr="00A113AF">
        <w:rPr>
          <w:rFonts w:ascii="Arial" w:hAnsi="Arial" w:cs="Arial"/>
          <w:sz w:val="20"/>
          <w:szCs w:val="20"/>
        </w:rPr>
        <w:t xml:space="preserve"> </w:t>
      </w:r>
      <w:r>
        <w:rPr>
          <w:rFonts w:ascii="Arial" w:hAnsi="Arial" w:cs="Arial"/>
          <w:sz w:val="20"/>
          <w:szCs w:val="20"/>
        </w:rPr>
        <w:t xml:space="preserve">los pacientes </w:t>
      </w:r>
      <w:r w:rsidRPr="00A113AF">
        <w:rPr>
          <w:rFonts w:ascii="Arial" w:hAnsi="Arial" w:cs="Arial"/>
          <w:sz w:val="20"/>
          <w:szCs w:val="20"/>
        </w:rPr>
        <w:t>con TDA</w:t>
      </w:r>
      <w:r>
        <w:rPr>
          <w:rFonts w:ascii="Arial" w:hAnsi="Arial" w:cs="Arial"/>
          <w:sz w:val="20"/>
          <w:szCs w:val="20"/>
        </w:rPr>
        <w:t xml:space="preserve"> en monoterapia o docetaxel + TDA. Las posibles secuenciaciones terapéuticas son:</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B7"/>
      </w:r>
      <w:r w:rsidRPr="00A113AF">
        <w:rPr>
          <w:rFonts w:ascii="Arial" w:hAnsi="Arial" w:cs="Arial"/>
          <w:sz w:val="20"/>
          <w:szCs w:val="20"/>
        </w:rPr>
        <w:t xml:space="preserve"> </w:t>
      </w:r>
      <w:r>
        <w:rPr>
          <w:rFonts w:ascii="Arial" w:hAnsi="Arial" w:cs="Arial"/>
          <w:sz w:val="20"/>
          <w:szCs w:val="20"/>
        </w:rPr>
        <w:t>Después de TDA en monoterapia:</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Pr>
          <w:rFonts w:ascii="Arial" w:hAnsi="Arial" w:cs="Arial"/>
          <w:sz w:val="20"/>
          <w:szCs w:val="20"/>
        </w:rPr>
        <w:t xml:space="preserve"> Abira</w:t>
      </w:r>
      <w:r w:rsidRPr="00A113AF">
        <w:rPr>
          <w:rFonts w:ascii="Arial" w:hAnsi="Arial" w:cs="Arial"/>
          <w:sz w:val="20"/>
          <w:szCs w:val="20"/>
        </w:rPr>
        <w:t>teron</w:t>
      </w:r>
      <w:r>
        <w:rPr>
          <w:rFonts w:ascii="Arial" w:hAnsi="Arial" w:cs="Arial"/>
          <w:sz w:val="20"/>
          <w:szCs w:val="20"/>
        </w:rPr>
        <w:t>a</w:t>
      </w:r>
      <w:r w:rsidRPr="00A113AF">
        <w:rPr>
          <w:rFonts w:ascii="Arial" w:hAnsi="Arial" w:cs="Arial"/>
          <w:sz w:val="20"/>
          <w:szCs w:val="20"/>
        </w:rPr>
        <w:t xml:space="preserve"> o enzalutamid</w:t>
      </w:r>
      <w:r>
        <w:rPr>
          <w:rFonts w:ascii="Arial" w:hAnsi="Arial" w:cs="Arial"/>
          <w:sz w:val="20"/>
          <w:szCs w:val="20"/>
        </w:rPr>
        <w:t>a</w:t>
      </w:r>
      <w:r w:rsidRPr="00A113AF">
        <w:rPr>
          <w:rFonts w:ascii="Arial" w:hAnsi="Arial" w:cs="Arial"/>
          <w:sz w:val="20"/>
          <w:szCs w:val="20"/>
        </w:rPr>
        <w:t xml:space="preserve"> (</w:t>
      </w:r>
      <w:r>
        <w:rPr>
          <w:rFonts w:ascii="Arial" w:hAnsi="Arial" w:cs="Arial"/>
          <w:sz w:val="20"/>
          <w:szCs w:val="20"/>
        </w:rPr>
        <w:t>antes o después de</w:t>
      </w:r>
      <w:r w:rsidRPr="00A113AF">
        <w:rPr>
          <w:rFonts w:ascii="Arial" w:hAnsi="Arial" w:cs="Arial"/>
          <w:sz w:val="20"/>
          <w:szCs w:val="20"/>
        </w:rPr>
        <w:t xml:space="preserve"> docetaxel) </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2D"/>
      </w:r>
      <w:r w:rsidRPr="00A113AF">
        <w:rPr>
          <w:rFonts w:ascii="Arial" w:hAnsi="Arial" w:cs="Arial"/>
          <w:sz w:val="20"/>
          <w:szCs w:val="20"/>
        </w:rPr>
        <w:t xml:space="preserve"> </w:t>
      </w:r>
      <w:r>
        <w:rPr>
          <w:rFonts w:ascii="Arial" w:hAnsi="Arial" w:cs="Arial"/>
          <w:sz w:val="20"/>
          <w:szCs w:val="20"/>
        </w:rPr>
        <w:t>D</w:t>
      </w:r>
      <w:r w:rsidRPr="00A113AF">
        <w:rPr>
          <w:rFonts w:ascii="Arial" w:hAnsi="Arial" w:cs="Arial"/>
          <w:sz w:val="20"/>
          <w:szCs w:val="20"/>
        </w:rPr>
        <w:t xml:space="preserve">ocetaxel </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2D"/>
      </w:r>
      <w:r w:rsidRPr="00A113AF">
        <w:rPr>
          <w:rFonts w:ascii="Arial" w:hAnsi="Arial" w:cs="Arial"/>
          <w:sz w:val="20"/>
          <w:szCs w:val="20"/>
        </w:rPr>
        <w:t xml:space="preserve"> </w:t>
      </w:r>
      <w:r>
        <w:rPr>
          <w:rFonts w:ascii="Arial" w:hAnsi="Arial" w:cs="Arial"/>
          <w:sz w:val="20"/>
          <w:szCs w:val="20"/>
        </w:rPr>
        <w:t xml:space="preserve">Otros tratamientos como </w:t>
      </w:r>
      <w:r w:rsidRPr="00A113AF">
        <w:rPr>
          <w:rFonts w:ascii="Arial" w:hAnsi="Arial" w:cs="Arial"/>
          <w:sz w:val="20"/>
          <w:szCs w:val="20"/>
        </w:rPr>
        <w:t>cabazitaxel o radi</w:t>
      </w:r>
      <w:r>
        <w:rPr>
          <w:rFonts w:ascii="Arial" w:hAnsi="Arial" w:cs="Arial"/>
          <w:sz w:val="20"/>
          <w:szCs w:val="20"/>
        </w:rPr>
        <w:t>o</w:t>
      </w:r>
      <w:r w:rsidRPr="00A113AF">
        <w:rPr>
          <w:rFonts w:ascii="Arial" w:hAnsi="Arial" w:cs="Arial"/>
          <w:sz w:val="20"/>
          <w:szCs w:val="20"/>
        </w:rPr>
        <w:t xml:space="preserve">-223. </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B7"/>
      </w:r>
      <w:r w:rsidRPr="00A113AF">
        <w:rPr>
          <w:rFonts w:ascii="Arial" w:hAnsi="Arial" w:cs="Arial"/>
          <w:sz w:val="20"/>
          <w:szCs w:val="20"/>
        </w:rPr>
        <w:t xml:space="preserve"> </w:t>
      </w:r>
      <w:r>
        <w:rPr>
          <w:rFonts w:ascii="Arial" w:hAnsi="Arial" w:cs="Arial"/>
          <w:sz w:val="20"/>
          <w:szCs w:val="20"/>
        </w:rPr>
        <w:t>Después de docetaxel + TDA</w:t>
      </w:r>
      <w:r w:rsidRPr="00A113AF">
        <w:rPr>
          <w:rFonts w:ascii="Arial" w:hAnsi="Arial" w:cs="Arial"/>
          <w:sz w:val="20"/>
          <w:szCs w:val="20"/>
        </w:rPr>
        <w:t xml:space="preserve">: </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Pr>
          <w:rFonts w:ascii="Arial" w:hAnsi="Arial" w:cs="Arial"/>
          <w:sz w:val="20"/>
          <w:szCs w:val="20"/>
        </w:rPr>
        <w:t xml:space="preserve"> Abira</w:t>
      </w:r>
      <w:r w:rsidRPr="00D46ED8">
        <w:rPr>
          <w:rFonts w:ascii="Arial" w:hAnsi="Arial" w:cs="Arial"/>
          <w:sz w:val="20"/>
          <w:szCs w:val="20"/>
        </w:rPr>
        <w:t>teron</w:t>
      </w:r>
      <w:r>
        <w:rPr>
          <w:rFonts w:ascii="Arial" w:hAnsi="Arial" w:cs="Arial"/>
          <w:sz w:val="20"/>
          <w:szCs w:val="20"/>
        </w:rPr>
        <w:t>a</w:t>
      </w:r>
      <w:r w:rsidRPr="00D46ED8">
        <w:rPr>
          <w:rFonts w:ascii="Arial" w:hAnsi="Arial" w:cs="Arial"/>
          <w:sz w:val="20"/>
          <w:szCs w:val="20"/>
        </w:rPr>
        <w:t xml:space="preserve"> o enzalutamid</w:t>
      </w:r>
      <w:r>
        <w:rPr>
          <w:rFonts w:ascii="Arial" w:hAnsi="Arial" w:cs="Arial"/>
          <w:sz w:val="20"/>
          <w:szCs w:val="20"/>
        </w:rPr>
        <w:t>a</w:t>
      </w:r>
      <w:r w:rsidRPr="00D46ED8">
        <w:rPr>
          <w:rFonts w:ascii="Arial" w:hAnsi="Arial" w:cs="Arial"/>
          <w:sz w:val="20"/>
          <w:szCs w:val="20"/>
        </w:rPr>
        <w:t xml:space="preserve"> (</w:t>
      </w:r>
      <w:r>
        <w:rPr>
          <w:rFonts w:ascii="Arial" w:hAnsi="Arial" w:cs="Arial"/>
          <w:sz w:val="20"/>
          <w:szCs w:val="20"/>
        </w:rPr>
        <w:t>antes o después de</w:t>
      </w:r>
      <w:r w:rsidRPr="00D46ED8">
        <w:rPr>
          <w:rFonts w:ascii="Arial" w:hAnsi="Arial" w:cs="Arial"/>
          <w:sz w:val="20"/>
          <w:szCs w:val="20"/>
        </w:rPr>
        <w:t xml:space="preserve"> docetaxel) </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sidRPr="00D46ED8">
        <w:rPr>
          <w:rFonts w:ascii="Arial" w:hAnsi="Arial" w:cs="Arial"/>
          <w:sz w:val="20"/>
          <w:szCs w:val="20"/>
        </w:rPr>
        <w:t xml:space="preserve"> </w:t>
      </w:r>
      <w:r>
        <w:rPr>
          <w:rFonts w:ascii="Arial" w:hAnsi="Arial" w:cs="Arial"/>
          <w:sz w:val="20"/>
          <w:szCs w:val="20"/>
        </w:rPr>
        <w:t>D</w:t>
      </w:r>
      <w:r w:rsidRPr="00D46ED8">
        <w:rPr>
          <w:rFonts w:ascii="Arial" w:hAnsi="Arial" w:cs="Arial"/>
          <w:sz w:val="20"/>
          <w:szCs w:val="20"/>
        </w:rPr>
        <w:t xml:space="preserve">ocetaxel </w:t>
      </w:r>
      <w:r>
        <w:rPr>
          <w:rFonts w:ascii="Arial" w:hAnsi="Arial" w:cs="Arial"/>
          <w:sz w:val="20"/>
          <w:szCs w:val="20"/>
        </w:rPr>
        <w:t>de nuevo</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2D"/>
      </w:r>
      <w:r>
        <w:rPr>
          <w:rFonts w:ascii="Arial" w:hAnsi="Arial" w:cs="Arial"/>
          <w:sz w:val="20"/>
          <w:szCs w:val="20"/>
        </w:rPr>
        <w:t xml:space="preserve"> Otros tratamientos como </w:t>
      </w:r>
      <w:r w:rsidRPr="00D46ED8">
        <w:rPr>
          <w:rFonts w:ascii="Arial" w:hAnsi="Arial" w:cs="Arial"/>
          <w:sz w:val="20"/>
          <w:szCs w:val="20"/>
        </w:rPr>
        <w:t>cabazitaxel o radi</w:t>
      </w:r>
      <w:r>
        <w:rPr>
          <w:rFonts w:ascii="Arial" w:hAnsi="Arial" w:cs="Arial"/>
          <w:sz w:val="20"/>
          <w:szCs w:val="20"/>
        </w:rPr>
        <w:t>o</w:t>
      </w:r>
      <w:r w:rsidRPr="00D46ED8">
        <w:rPr>
          <w:rFonts w:ascii="Arial" w:hAnsi="Arial" w:cs="Arial"/>
          <w:sz w:val="20"/>
          <w:szCs w:val="20"/>
        </w:rPr>
        <w:t>-223</w:t>
      </w:r>
    </w:p>
    <w:p w:rsidR="00A64442" w:rsidRPr="00A113AF"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A113AF">
        <w:rPr>
          <w:rFonts w:ascii="Arial" w:hAnsi="Arial" w:cs="Arial"/>
          <w:sz w:val="20"/>
          <w:szCs w:val="20"/>
        </w:rPr>
        <w:sym w:font="Symbol" w:char="F0B7"/>
      </w:r>
      <w:r w:rsidRPr="00A113AF">
        <w:rPr>
          <w:rFonts w:ascii="Arial" w:hAnsi="Arial" w:cs="Arial"/>
          <w:sz w:val="20"/>
          <w:szCs w:val="20"/>
        </w:rPr>
        <w:t xml:space="preserve"> </w:t>
      </w:r>
      <w:r>
        <w:rPr>
          <w:rFonts w:ascii="Arial" w:hAnsi="Arial" w:cs="Arial"/>
          <w:sz w:val="20"/>
          <w:szCs w:val="20"/>
        </w:rPr>
        <w:t>Después de abiraterona + TDA</w:t>
      </w:r>
      <w:r w:rsidRPr="00A113AF">
        <w:rPr>
          <w:rFonts w:ascii="Arial" w:hAnsi="Arial" w:cs="Arial"/>
          <w:sz w:val="20"/>
          <w:szCs w:val="20"/>
        </w:rPr>
        <w:t>:</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sidRPr="00D46ED8">
        <w:rPr>
          <w:rFonts w:ascii="Arial" w:hAnsi="Arial" w:cs="Arial"/>
          <w:sz w:val="20"/>
          <w:szCs w:val="20"/>
        </w:rPr>
        <w:t xml:space="preserve"> </w:t>
      </w:r>
      <w:r>
        <w:rPr>
          <w:rFonts w:ascii="Arial" w:hAnsi="Arial" w:cs="Arial"/>
          <w:sz w:val="20"/>
          <w:szCs w:val="20"/>
        </w:rPr>
        <w:t>D</w:t>
      </w:r>
      <w:r w:rsidRPr="00D46ED8">
        <w:rPr>
          <w:rFonts w:ascii="Arial" w:hAnsi="Arial" w:cs="Arial"/>
          <w:sz w:val="20"/>
          <w:szCs w:val="20"/>
        </w:rPr>
        <w:t xml:space="preserve">ocetaxel </w:t>
      </w:r>
    </w:p>
    <w:p w:rsidR="00A64442" w:rsidRDefault="00A64442" w:rsidP="00A64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80"/>
        <w:jc w:val="both"/>
        <w:rPr>
          <w:rFonts w:ascii="Arial" w:hAnsi="Arial" w:cs="Arial"/>
          <w:sz w:val="20"/>
          <w:szCs w:val="20"/>
        </w:rPr>
      </w:pPr>
      <w:r w:rsidRPr="00D46ED8">
        <w:rPr>
          <w:rFonts w:ascii="Arial" w:hAnsi="Arial" w:cs="Arial"/>
          <w:sz w:val="20"/>
          <w:szCs w:val="20"/>
        </w:rPr>
        <w:sym w:font="Symbol" w:char="F02D"/>
      </w:r>
      <w:r w:rsidRPr="00D46ED8">
        <w:rPr>
          <w:rFonts w:ascii="Arial" w:hAnsi="Arial" w:cs="Arial"/>
          <w:sz w:val="20"/>
          <w:szCs w:val="20"/>
        </w:rPr>
        <w:t xml:space="preserve"> </w:t>
      </w:r>
      <w:r>
        <w:rPr>
          <w:rFonts w:ascii="Arial" w:hAnsi="Arial" w:cs="Arial"/>
          <w:sz w:val="20"/>
          <w:szCs w:val="20"/>
        </w:rPr>
        <w:t xml:space="preserve">Otros tratamientos como </w:t>
      </w:r>
      <w:r w:rsidRPr="00D46ED8">
        <w:rPr>
          <w:rFonts w:ascii="Arial" w:hAnsi="Arial" w:cs="Arial"/>
          <w:sz w:val="20"/>
          <w:szCs w:val="20"/>
        </w:rPr>
        <w:t>cabazitaxel o radi</w:t>
      </w:r>
      <w:r>
        <w:rPr>
          <w:rFonts w:ascii="Arial" w:hAnsi="Arial" w:cs="Arial"/>
          <w:sz w:val="20"/>
          <w:szCs w:val="20"/>
        </w:rPr>
        <w:t>o</w:t>
      </w:r>
      <w:r w:rsidRPr="00D46ED8">
        <w:rPr>
          <w:rFonts w:ascii="Arial" w:hAnsi="Arial" w:cs="Arial"/>
          <w:sz w:val="20"/>
          <w:szCs w:val="20"/>
        </w:rPr>
        <w:t xml:space="preserve">-223. </w:t>
      </w:r>
    </w:p>
    <w:p w:rsidR="00A64442" w:rsidRDefault="00A64442">
      <w:pPr>
        <w:autoSpaceDE w:val="0"/>
        <w:jc w:val="both"/>
        <w:rPr>
          <w:rFonts w:ascii="Arial" w:hAnsi="Arial" w:cs="Arial"/>
          <w:bCs/>
          <w:sz w:val="20"/>
          <w:szCs w:val="20"/>
        </w:rPr>
      </w:pPr>
    </w:p>
    <w:p w:rsidR="0056194E" w:rsidRDefault="0056194E" w:rsidP="00941C72">
      <w:pPr>
        <w:snapToGrid w:val="0"/>
        <w:jc w:val="both"/>
        <w:rPr>
          <w:rFonts w:ascii="Arial" w:hAnsi="Arial" w:cs="Arial"/>
          <w:b/>
          <w:sz w:val="20"/>
          <w:szCs w:val="20"/>
        </w:rPr>
      </w:pPr>
    </w:p>
    <w:p w:rsidR="0056194E" w:rsidRPr="00B20E7B" w:rsidRDefault="0056194E" w:rsidP="00941C72">
      <w:pPr>
        <w:numPr>
          <w:ilvl w:val="0"/>
          <w:numId w:val="15"/>
        </w:numPr>
        <w:ind w:left="0"/>
        <w:jc w:val="both"/>
        <w:rPr>
          <w:rFonts w:ascii="Arial" w:hAnsi="Arial" w:cs="Arial"/>
          <w:b/>
          <w:sz w:val="20"/>
          <w:szCs w:val="20"/>
        </w:rPr>
      </w:pPr>
      <w:r>
        <w:rPr>
          <w:rFonts w:ascii="Arial" w:hAnsi="Arial" w:cs="Arial"/>
          <w:b/>
          <w:sz w:val="20"/>
          <w:szCs w:val="20"/>
        </w:rPr>
        <w:t>Coste, Coste eficacia incremental e Impacto presupuestario</w:t>
      </w:r>
    </w:p>
    <w:p w:rsidR="0056194E" w:rsidRDefault="0056194E">
      <w:pPr>
        <w:pStyle w:val="Textoindependiente33"/>
        <w:jc w:val="both"/>
        <w:rPr>
          <w:b/>
          <w:sz w:val="20"/>
        </w:rPr>
      </w:pPr>
    </w:p>
    <w:p w:rsidR="0056194E" w:rsidRDefault="0056194E">
      <w:pPr>
        <w:autoSpaceDE w:val="0"/>
        <w:jc w:val="both"/>
        <w:rPr>
          <w:rFonts w:ascii="Arial" w:hAnsi="Arial" w:cs="Arial"/>
          <w:bCs/>
          <w:sz w:val="20"/>
          <w:szCs w:val="20"/>
        </w:rPr>
      </w:pPr>
      <w:r>
        <w:rPr>
          <w:rFonts w:ascii="Arial" w:hAnsi="Arial" w:cs="Arial"/>
          <w:bCs/>
          <w:sz w:val="20"/>
          <w:szCs w:val="20"/>
        </w:rPr>
        <w:t xml:space="preserve">Aún no se dispone del precio de abiraterona en esta nueva indicación en el momento de realizar este informe. Los datos de costes calculados deberán sustituirse cuando se haya establecido un precio final de financiación. </w:t>
      </w:r>
    </w:p>
    <w:p w:rsidR="0056194E" w:rsidRDefault="0056194E">
      <w:pPr>
        <w:autoSpaceDE w:val="0"/>
        <w:jc w:val="both"/>
        <w:rPr>
          <w:rFonts w:ascii="Arial" w:hAnsi="Arial" w:cs="Arial"/>
          <w:bCs/>
          <w:sz w:val="20"/>
          <w:szCs w:val="20"/>
        </w:rPr>
      </w:pPr>
    </w:p>
    <w:p w:rsidR="0056194E" w:rsidRPr="00252DB7" w:rsidRDefault="0056194E">
      <w:pPr>
        <w:autoSpaceDE w:val="0"/>
        <w:jc w:val="both"/>
        <w:rPr>
          <w:rFonts w:ascii="Arial" w:hAnsi="Arial" w:cs="Arial"/>
          <w:color w:val="000000"/>
          <w:sz w:val="20"/>
          <w:szCs w:val="20"/>
        </w:rPr>
      </w:pPr>
      <w:r>
        <w:rPr>
          <w:rFonts w:ascii="Arial" w:hAnsi="Arial" w:cs="Arial"/>
          <w:bCs/>
          <w:sz w:val="20"/>
          <w:szCs w:val="20"/>
        </w:rPr>
        <w:t xml:space="preserve">Para realizar los cálculos se estimó qué precio podría tener el envase de abiraterona para que el tratamiento resultase coste efectivo, para lo cual se tuvo en cuenta el dintel económico de 24.000€/QALY. Según esto, el precio por envase de abiraterona 500mg (60 comprimidos) debería ser de 1.242 €. Según este precio estimado, hemos hallado el impacto presupuestario de abiraterona en la nueva indicación. Con estos datos se obtuvo un coste incremental del tratamiento completo con abiraterona, tomando como duración media del mismo 1,8 años, de  </w:t>
      </w:r>
      <w:r w:rsidRPr="00B20E7B">
        <w:rPr>
          <w:rFonts w:ascii="Arial" w:hAnsi="Arial" w:cs="Arial"/>
          <w:bCs/>
          <w:sz w:val="20"/>
          <w:szCs w:val="20"/>
        </w:rPr>
        <w:t>27.200 €+coste TDA</w:t>
      </w:r>
      <w:r>
        <w:rPr>
          <w:rFonts w:ascii="Arial" w:hAnsi="Arial" w:cs="Arial"/>
          <w:bCs/>
          <w:sz w:val="20"/>
          <w:szCs w:val="20"/>
        </w:rPr>
        <w:t xml:space="preserve">, mientras que el de su alternativa docetaxel (6 ciclos) es de </w:t>
      </w:r>
      <w:r w:rsidRPr="00B20E7B">
        <w:rPr>
          <w:rFonts w:ascii="Arial" w:hAnsi="Arial" w:cs="Arial"/>
          <w:bCs/>
          <w:sz w:val="20"/>
          <w:szCs w:val="20"/>
        </w:rPr>
        <w:t>3.197€ + coste TDA</w:t>
      </w:r>
      <w:r>
        <w:rPr>
          <w:rFonts w:ascii="Arial" w:hAnsi="Arial" w:cs="Arial"/>
          <w:bCs/>
          <w:sz w:val="20"/>
          <w:szCs w:val="20"/>
        </w:rPr>
        <w:t>. Por tanto, el coste incremental de abiraterona</w:t>
      </w:r>
      <w:r w:rsidR="00D771ED">
        <w:rPr>
          <w:rFonts w:ascii="Arial" w:hAnsi="Arial" w:cs="Arial"/>
          <w:bCs/>
          <w:sz w:val="20"/>
          <w:szCs w:val="20"/>
        </w:rPr>
        <w:t xml:space="preserve"> </w:t>
      </w:r>
      <w:r>
        <w:rPr>
          <w:rFonts w:ascii="Arial" w:hAnsi="Arial" w:cs="Arial"/>
          <w:bCs/>
          <w:sz w:val="20"/>
          <w:szCs w:val="20"/>
        </w:rPr>
        <w:t xml:space="preserve">con respecto a docetaxel es de </w:t>
      </w:r>
      <w:r>
        <w:rPr>
          <w:rFonts w:ascii="Arial" w:hAnsi="Arial" w:cs="Arial"/>
          <w:color w:val="000000"/>
          <w:sz w:val="20"/>
          <w:szCs w:val="20"/>
        </w:rPr>
        <w:t>24.003 €.</w:t>
      </w:r>
    </w:p>
    <w:p w:rsidR="0056194E" w:rsidRDefault="0056194E">
      <w:pPr>
        <w:autoSpaceDE w:val="0"/>
        <w:jc w:val="both"/>
        <w:rPr>
          <w:rFonts w:ascii="Arial" w:hAnsi="Arial" w:cs="Arial"/>
          <w:bCs/>
          <w:sz w:val="20"/>
          <w:szCs w:val="20"/>
        </w:rPr>
      </w:pPr>
    </w:p>
    <w:p w:rsidR="0056194E" w:rsidRDefault="0056194E">
      <w:pPr>
        <w:autoSpaceDE w:val="0"/>
        <w:jc w:val="both"/>
        <w:rPr>
          <w:rFonts w:ascii="Arial" w:hAnsi="Arial" w:cs="Arial"/>
          <w:bCs/>
          <w:sz w:val="20"/>
          <w:szCs w:val="20"/>
        </w:rPr>
      </w:pPr>
      <w:r>
        <w:rPr>
          <w:rFonts w:ascii="Arial" w:hAnsi="Arial" w:cs="Arial"/>
          <w:bCs/>
          <w:sz w:val="20"/>
          <w:szCs w:val="20"/>
        </w:rPr>
        <w:t xml:space="preserve">Debido a que no se encuentran diferencias en términos de eficacia entre abiraterona y docetaxel, se realizó un cálculo coste-beneficio, considerando beneficio la disminución de la toxicidad que aporta abiraterona frente a docetaxel. En los resultados, evitar 1 caso de neutropenia febril supone un coste adicional de </w:t>
      </w:r>
      <w:r w:rsidRPr="009707B2">
        <w:rPr>
          <w:rFonts w:ascii="Arial" w:hAnsi="Arial" w:cs="Arial"/>
          <w:bCs/>
          <w:sz w:val="20"/>
          <w:szCs w:val="20"/>
        </w:rPr>
        <w:t xml:space="preserve">171.381 </w:t>
      </w:r>
      <w:r>
        <w:rPr>
          <w:rFonts w:ascii="Arial" w:hAnsi="Arial" w:cs="Arial"/>
          <w:bCs/>
          <w:sz w:val="20"/>
          <w:szCs w:val="20"/>
        </w:rPr>
        <w:t xml:space="preserve">€, aunque también es compatible con un CEI entre </w:t>
      </w:r>
      <w:r w:rsidRPr="009707B2">
        <w:rPr>
          <w:rFonts w:ascii="Arial" w:hAnsi="Arial" w:cs="Arial"/>
          <w:bCs/>
          <w:sz w:val="20"/>
          <w:szCs w:val="20"/>
        </w:rPr>
        <w:t xml:space="preserve">141.858 </w:t>
      </w:r>
      <w:r>
        <w:rPr>
          <w:rFonts w:ascii="Arial" w:hAnsi="Arial" w:cs="Arial"/>
          <w:bCs/>
          <w:sz w:val="20"/>
          <w:szCs w:val="20"/>
        </w:rPr>
        <w:t xml:space="preserve">€ y </w:t>
      </w:r>
      <w:r w:rsidRPr="009707B2">
        <w:rPr>
          <w:rFonts w:ascii="Arial" w:hAnsi="Arial" w:cs="Arial"/>
          <w:bCs/>
          <w:sz w:val="20"/>
          <w:szCs w:val="20"/>
        </w:rPr>
        <w:t>216.027 €</w:t>
      </w:r>
      <w:r>
        <w:rPr>
          <w:rFonts w:ascii="Arial" w:hAnsi="Arial" w:cs="Arial"/>
          <w:bCs/>
          <w:sz w:val="20"/>
          <w:szCs w:val="20"/>
        </w:rPr>
        <w:t xml:space="preserve">. Evitar un caso de evento adverso Grado 3-5 supone un coste adicional de </w:t>
      </w:r>
      <w:r w:rsidRPr="009707B2">
        <w:rPr>
          <w:rFonts w:ascii="Arial" w:hAnsi="Arial" w:cs="Arial"/>
          <w:bCs/>
          <w:sz w:val="20"/>
          <w:szCs w:val="20"/>
        </w:rPr>
        <w:t xml:space="preserve">400.850 </w:t>
      </w:r>
      <w:r>
        <w:rPr>
          <w:rFonts w:ascii="Arial" w:hAnsi="Arial" w:cs="Arial"/>
          <w:bCs/>
          <w:sz w:val="20"/>
          <w:szCs w:val="20"/>
        </w:rPr>
        <w:t xml:space="preserve">€. </w:t>
      </w:r>
    </w:p>
    <w:p w:rsidR="0056194E" w:rsidRDefault="0056194E">
      <w:pPr>
        <w:autoSpaceDE w:val="0"/>
        <w:jc w:val="both"/>
        <w:rPr>
          <w:rFonts w:ascii="Arial" w:hAnsi="Arial" w:cs="Arial"/>
          <w:bCs/>
          <w:sz w:val="20"/>
          <w:szCs w:val="20"/>
        </w:rPr>
      </w:pPr>
    </w:p>
    <w:p w:rsidR="0056194E" w:rsidRDefault="0056194E" w:rsidP="009B0718">
      <w:pPr>
        <w:jc w:val="both"/>
        <w:rPr>
          <w:rFonts w:ascii="Arial" w:hAnsi="Arial" w:cs="Arial"/>
          <w:sz w:val="20"/>
          <w:szCs w:val="20"/>
        </w:rPr>
      </w:pPr>
      <w:r>
        <w:rPr>
          <w:rFonts w:ascii="Arial" w:hAnsi="Arial" w:cs="Arial"/>
          <w:bCs/>
          <w:sz w:val="20"/>
          <w:szCs w:val="20"/>
        </w:rPr>
        <w:t xml:space="preserve">El impacto presupuestario se ha estimado </w:t>
      </w:r>
      <w:r>
        <w:rPr>
          <w:rFonts w:ascii="Arial" w:hAnsi="Arial" w:cs="Arial"/>
          <w:sz w:val="20"/>
          <w:szCs w:val="20"/>
        </w:rPr>
        <w:t xml:space="preserve">teniendo en cuenta que la incidencia de cáncer de próstata en España es de 96,8 casos por cada 100.000 habitantes. Si consideramos que aproximadamente el 5% de los diagnósticos </w:t>
      </w:r>
      <w:r w:rsidRPr="00270D14">
        <w:rPr>
          <w:rFonts w:ascii="Arial" w:hAnsi="Arial" w:cs="Arial"/>
          <w:i/>
          <w:sz w:val="20"/>
          <w:szCs w:val="20"/>
        </w:rPr>
        <w:t>de novo</w:t>
      </w:r>
      <w:r>
        <w:rPr>
          <w:rFonts w:ascii="Arial" w:hAnsi="Arial" w:cs="Arial"/>
          <w:sz w:val="20"/>
          <w:szCs w:val="20"/>
        </w:rPr>
        <w:t xml:space="preserve"> debutan como metastásicos y que de los mismos un 50% cumple los criterios de alto riesgo, a nivel nacional, el número de pacientes </w:t>
      </w:r>
      <w:r w:rsidRPr="00AD17D3">
        <w:rPr>
          <w:rFonts w:ascii="Arial" w:hAnsi="Arial" w:cs="Arial"/>
          <w:bCs/>
          <w:sz w:val="20"/>
          <w:szCs w:val="20"/>
        </w:rPr>
        <w:t xml:space="preserve">candidatos a recibir abiraterona en combinación con TDA en primera línea de tratamiento será de </w:t>
      </w:r>
      <w:r w:rsidRPr="00AD17D3">
        <w:rPr>
          <w:rFonts w:ascii="Arial" w:hAnsi="Arial" w:cs="Arial"/>
          <w:sz w:val="20"/>
          <w:szCs w:val="20"/>
        </w:rPr>
        <w:t>1025</w:t>
      </w:r>
      <w:r>
        <w:rPr>
          <w:rFonts w:ascii="Arial" w:hAnsi="Arial" w:cs="Arial"/>
          <w:sz w:val="20"/>
          <w:szCs w:val="20"/>
        </w:rPr>
        <w:t xml:space="preserve"> pacientes al año. Teniendo en cuenta el coste incremental de abiraterona frente su alternativa en esta línea de tratamiento, docetaxel, el impacto presupuestario en España sería de </w:t>
      </w:r>
      <w:r w:rsidRPr="00AD17D3">
        <w:rPr>
          <w:rFonts w:ascii="Arial" w:hAnsi="Arial" w:cs="Arial"/>
          <w:sz w:val="20"/>
          <w:szCs w:val="20"/>
        </w:rPr>
        <w:t xml:space="preserve">24.603.075 € si consideramos a todos los pacientes candidatos a tratamiento, y de 22.634.829 € </w:t>
      </w:r>
      <w:r>
        <w:rPr>
          <w:rFonts w:ascii="Arial" w:hAnsi="Arial" w:cs="Arial"/>
          <w:sz w:val="20"/>
          <w:szCs w:val="20"/>
        </w:rPr>
        <w:t xml:space="preserve">si </w:t>
      </w:r>
      <w:r w:rsidRPr="00AD17D3">
        <w:rPr>
          <w:rFonts w:ascii="Arial" w:hAnsi="Arial" w:cs="Arial"/>
          <w:sz w:val="20"/>
          <w:szCs w:val="20"/>
        </w:rPr>
        <w:t>só</w:t>
      </w:r>
      <w:r>
        <w:rPr>
          <w:rFonts w:ascii="Arial" w:hAnsi="Arial" w:cs="Arial"/>
          <w:sz w:val="20"/>
          <w:szCs w:val="20"/>
        </w:rPr>
        <w:t xml:space="preserve">lo tenemos en cuenta pacientes </w:t>
      </w:r>
      <w:r w:rsidRPr="00FF6ACC">
        <w:rPr>
          <w:rFonts w:ascii="Arial" w:hAnsi="Arial" w:cs="Arial"/>
          <w:sz w:val="20"/>
          <w:szCs w:val="20"/>
        </w:rPr>
        <w:t>≤</w:t>
      </w:r>
      <w:r w:rsidRPr="00AD17D3">
        <w:rPr>
          <w:rFonts w:ascii="Arial" w:hAnsi="Arial" w:cs="Arial"/>
          <w:sz w:val="20"/>
          <w:szCs w:val="20"/>
        </w:rPr>
        <w:t xml:space="preserve">75 años.  </w:t>
      </w:r>
      <w:r>
        <w:rPr>
          <w:rFonts w:ascii="Arial" w:hAnsi="Arial" w:cs="Arial"/>
          <w:sz w:val="20"/>
          <w:szCs w:val="20"/>
        </w:rPr>
        <w:t xml:space="preserve">En Andalucía, el número de pacientes candidatos según los criterios descritos se podría estimar en 184 pacientes, lo que supondría un impacto presupuestario de </w:t>
      </w:r>
      <w:r w:rsidRPr="00AD17D3">
        <w:rPr>
          <w:rFonts w:ascii="Arial" w:hAnsi="Arial" w:cs="Arial"/>
          <w:sz w:val="20"/>
          <w:szCs w:val="20"/>
        </w:rPr>
        <w:t>4.416.552 €</w:t>
      </w:r>
      <w:r>
        <w:rPr>
          <w:rFonts w:ascii="Arial" w:hAnsi="Arial" w:cs="Arial"/>
          <w:sz w:val="20"/>
          <w:szCs w:val="20"/>
        </w:rPr>
        <w:t xml:space="preserve"> para el total de los pacientes y de </w:t>
      </w:r>
      <w:r w:rsidRPr="00AD17D3">
        <w:rPr>
          <w:rFonts w:ascii="Arial" w:hAnsi="Arial" w:cs="Arial"/>
          <w:sz w:val="20"/>
          <w:szCs w:val="20"/>
        </w:rPr>
        <w:t>4.056.507 €</w:t>
      </w:r>
      <w:r>
        <w:rPr>
          <w:rFonts w:ascii="Arial" w:hAnsi="Arial" w:cs="Arial"/>
          <w:sz w:val="20"/>
          <w:szCs w:val="20"/>
        </w:rPr>
        <w:t xml:space="preserve"> si excluyésemos a </w:t>
      </w:r>
      <w:r w:rsidRPr="00AD17D3">
        <w:rPr>
          <w:rFonts w:ascii="Arial" w:hAnsi="Arial" w:cs="Arial"/>
          <w:sz w:val="20"/>
          <w:szCs w:val="20"/>
        </w:rPr>
        <w:t>&gt;75 años.</w:t>
      </w:r>
    </w:p>
    <w:p w:rsidR="0056194E" w:rsidRDefault="0056194E">
      <w:pPr>
        <w:pStyle w:val="Textoindependiente33"/>
        <w:ind w:left="708"/>
        <w:jc w:val="both"/>
        <w:rPr>
          <w:sz w:val="20"/>
        </w:rPr>
      </w:pPr>
    </w:p>
    <w:p w:rsidR="0056194E" w:rsidRDefault="0056194E">
      <w:pPr>
        <w:pStyle w:val="Textoindependiente33"/>
        <w:ind w:left="708"/>
        <w:jc w:val="both"/>
        <w:rPr>
          <w:color w:val="000080"/>
          <w:sz w:val="20"/>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54" w:name="_Toc536608369"/>
      <w:r>
        <w:rPr>
          <w:sz w:val="20"/>
        </w:rPr>
        <w:t>9.2 Decisión</w:t>
      </w:r>
      <w:bookmarkEnd w:id="54"/>
    </w:p>
    <w:p w:rsidR="0056194E" w:rsidRDefault="0056194E">
      <w:pPr>
        <w:pStyle w:val="Textoindependiente21"/>
        <w:jc w:val="both"/>
        <w:rPr>
          <w:sz w:val="20"/>
        </w:rPr>
      </w:pPr>
    </w:p>
    <w:p w:rsidR="0056194E" w:rsidRDefault="0056194E">
      <w:pPr>
        <w:pStyle w:val="Textoindependiente21"/>
        <w:jc w:val="both"/>
        <w:rPr>
          <w:sz w:val="20"/>
        </w:rPr>
      </w:pPr>
      <w:r>
        <w:rPr>
          <w:sz w:val="20"/>
        </w:rPr>
        <w:t>Posicionamiento terapéutico</w:t>
      </w:r>
    </w:p>
    <w:p w:rsidR="0056194E" w:rsidRDefault="0056194E">
      <w:pPr>
        <w:pStyle w:val="Textoindependiente21"/>
        <w:jc w:val="both"/>
        <w:rPr>
          <w:sz w:val="20"/>
        </w:rPr>
      </w:pPr>
    </w:p>
    <w:p w:rsidR="0056194E" w:rsidRDefault="0056194E" w:rsidP="00E545B3">
      <w:pPr>
        <w:pStyle w:val="Textoindependiente21"/>
        <w:jc w:val="both"/>
        <w:rPr>
          <w:b w:val="0"/>
          <w:sz w:val="20"/>
        </w:rPr>
      </w:pPr>
      <w:r>
        <w:rPr>
          <w:sz w:val="20"/>
        </w:rPr>
        <w:t xml:space="preserve">D2.-Se </w:t>
      </w:r>
      <w:r w:rsidR="00D15B99">
        <w:rPr>
          <w:sz w:val="20"/>
        </w:rPr>
        <w:t xml:space="preserve">propone incluir </w:t>
      </w:r>
      <w:r>
        <w:rPr>
          <w:sz w:val="20"/>
        </w:rPr>
        <w:t xml:space="preserve">en la Guía Farmacoterapéutica con condiciones de uso. </w:t>
      </w:r>
    </w:p>
    <w:p w:rsidR="00E545B3" w:rsidRDefault="00E545B3" w:rsidP="00E545B3">
      <w:pPr>
        <w:pStyle w:val="Textoindependiente21"/>
        <w:jc w:val="both"/>
        <w:rPr>
          <w:b w:val="0"/>
          <w:sz w:val="20"/>
        </w:rPr>
      </w:pPr>
    </w:p>
    <w:p w:rsidR="00E545B3" w:rsidRPr="002043D8" w:rsidRDefault="00E545B3" w:rsidP="00E545B3">
      <w:pPr>
        <w:jc w:val="both"/>
        <w:rPr>
          <w:rFonts w:ascii="Arial" w:hAnsi="Arial" w:cs="Arial"/>
          <w:color w:val="FF0000"/>
          <w:sz w:val="20"/>
          <w:szCs w:val="20"/>
        </w:rPr>
      </w:pPr>
      <w:r w:rsidRPr="002043D8">
        <w:rPr>
          <w:rFonts w:ascii="Arial" w:hAnsi="Arial" w:cs="Arial"/>
          <w:color w:val="FF0000"/>
          <w:sz w:val="20"/>
          <w:szCs w:val="20"/>
        </w:rPr>
        <w:t>Esta decisión está sujeta a posibles modificaciones, una vez se disponga de Informe de Posicionamiento Terapéutico (IPT) y decisión de financiación en España.</w:t>
      </w:r>
    </w:p>
    <w:p w:rsidR="00E545B3" w:rsidRDefault="00E545B3" w:rsidP="00E545B3">
      <w:pPr>
        <w:pStyle w:val="Textoindependiente21"/>
        <w:jc w:val="both"/>
        <w:rPr>
          <w:b w:val="0"/>
          <w:bCs/>
          <w:color w:val="0000FF"/>
          <w:sz w:val="20"/>
          <w:u w:val="single"/>
        </w:rPr>
      </w:pPr>
    </w:p>
    <w:p w:rsidR="0056194E" w:rsidRDefault="0056194E">
      <w:pPr>
        <w:pStyle w:val="Encabezado"/>
        <w:tabs>
          <w:tab w:val="clear" w:pos="4252"/>
          <w:tab w:val="clear" w:pos="8504"/>
        </w:tabs>
        <w:jc w:val="both"/>
        <w:rPr>
          <w:rFonts w:ascii="Arial" w:hAnsi="Arial" w:cs="Arial"/>
          <w:b/>
          <w:bCs/>
          <w:color w:val="0000FF"/>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color w:val="FF0000"/>
          <w:sz w:val="20"/>
        </w:rPr>
      </w:pPr>
      <w:bookmarkStart w:id="55" w:name="_Toc536608370"/>
      <w:r>
        <w:rPr>
          <w:sz w:val="20"/>
        </w:rPr>
        <w:t>9.3 Condiciones de uso (Solo en caso de clasificación D-E de la guía GINF)</w:t>
      </w:r>
      <w:bookmarkEnd w:id="55"/>
    </w:p>
    <w:p w:rsidR="0056194E" w:rsidRDefault="0056194E">
      <w:pPr>
        <w:pStyle w:val="Encabezado"/>
        <w:tabs>
          <w:tab w:val="clear" w:pos="4252"/>
          <w:tab w:val="clear" w:pos="8504"/>
        </w:tabs>
        <w:jc w:val="both"/>
        <w:rPr>
          <w:rFonts w:ascii="Arial" w:hAnsi="Arial" w:cs="Arial"/>
          <w:b/>
          <w:bCs/>
          <w:color w:val="FF0000"/>
        </w:rPr>
      </w:pPr>
    </w:p>
    <w:p w:rsidR="0056194E" w:rsidRDefault="0056194E" w:rsidP="003963BA">
      <w:pPr>
        <w:pStyle w:val="Textoindependiente21"/>
        <w:jc w:val="both"/>
        <w:rPr>
          <w:b w:val="0"/>
          <w:bCs/>
          <w:sz w:val="20"/>
        </w:rPr>
      </w:pPr>
      <w:r>
        <w:rPr>
          <w:b w:val="0"/>
          <w:bCs/>
          <w:sz w:val="20"/>
        </w:rPr>
        <w:t xml:space="preserve">Abiraterona es una opción de tratamiento en combinación con terapia de deprivación androgénica en pacientes </w:t>
      </w:r>
      <w:r w:rsidR="002269B8">
        <w:rPr>
          <w:b w:val="0"/>
          <w:bCs/>
          <w:sz w:val="20"/>
        </w:rPr>
        <w:t xml:space="preserve">con PS (ECOG) 0-2 (según criterio de inclusión del estudio LATITUDE), </w:t>
      </w:r>
      <w:r>
        <w:rPr>
          <w:b w:val="0"/>
          <w:bCs/>
          <w:sz w:val="20"/>
        </w:rPr>
        <w:t>con CPHS de nuevo diagnóstico, metastásico de alto riesgo (al menos 2 de estos criterios: Gleason 8-10, al menos 3 metástasis óseas, al menos 1 metástasis visceral)</w:t>
      </w:r>
      <w:r w:rsidR="0016503B">
        <w:rPr>
          <w:b w:val="0"/>
          <w:bCs/>
          <w:sz w:val="20"/>
        </w:rPr>
        <w:t>.</w:t>
      </w:r>
    </w:p>
    <w:p w:rsidR="002269B8" w:rsidRDefault="002269B8" w:rsidP="003963BA">
      <w:pPr>
        <w:pStyle w:val="Textoindependiente21"/>
        <w:jc w:val="both"/>
        <w:rPr>
          <w:b w:val="0"/>
          <w:bCs/>
          <w:sz w:val="20"/>
        </w:rPr>
      </w:pPr>
    </w:p>
    <w:p w:rsidR="002269B8" w:rsidRDefault="002269B8" w:rsidP="003963BA">
      <w:pPr>
        <w:pStyle w:val="Textoindependiente21"/>
        <w:jc w:val="both"/>
        <w:rPr>
          <w:b w:val="0"/>
          <w:bCs/>
          <w:sz w:val="20"/>
        </w:rPr>
      </w:pPr>
      <w:r>
        <w:rPr>
          <w:b w:val="0"/>
          <w:bCs/>
          <w:sz w:val="20"/>
        </w:rPr>
        <w:t>En estos pacientes, abiraterona sería una alternativa al uso de docetaxel, por lo que habría que valorar la seguridad y la eficiencia de ambos tratamientos.</w:t>
      </w:r>
    </w:p>
    <w:p w:rsidR="0016503B" w:rsidRDefault="0016503B" w:rsidP="003963BA">
      <w:pPr>
        <w:pStyle w:val="Textoindependiente21"/>
        <w:jc w:val="both"/>
        <w:rPr>
          <w:b w:val="0"/>
          <w:bCs/>
          <w:sz w:val="20"/>
        </w:rPr>
      </w:pPr>
    </w:p>
    <w:p w:rsidR="0056194E" w:rsidRDefault="0056194E" w:rsidP="003963BA">
      <w:pPr>
        <w:pStyle w:val="Textoindependiente21"/>
        <w:jc w:val="both"/>
        <w:rPr>
          <w:b w:val="0"/>
          <w:bCs/>
          <w:sz w:val="20"/>
        </w:rPr>
      </w:pPr>
      <w:r>
        <w:rPr>
          <w:b w:val="0"/>
          <w:bCs/>
          <w:sz w:val="20"/>
        </w:rPr>
        <w:t>Aquellos pacientes que hayan debutado como metastásicos, cumplan criterios de riesgo y estén siendo actualmente tratados con TDA, no serán candidatos a recibir abiraterona si llevan en tratamiento con TDA un período superior a 3 meses (criterio de exclusión del ensayo clínico LATITUDE).</w:t>
      </w:r>
    </w:p>
    <w:p w:rsidR="0056194E" w:rsidRDefault="0056194E" w:rsidP="003963BA">
      <w:pPr>
        <w:pStyle w:val="Textoindependiente21"/>
        <w:jc w:val="both"/>
        <w:rPr>
          <w:b w:val="0"/>
          <w:bCs/>
          <w:sz w:val="20"/>
        </w:rPr>
      </w:pPr>
    </w:p>
    <w:p w:rsidR="0056194E" w:rsidRDefault="002269B8" w:rsidP="003963BA">
      <w:pPr>
        <w:pStyle w:val="Textoindependiente21"/>
        <w:jc w:val="both"/>
        <w:rPr>
          <w:b w:val="0"/>
          <w:bCs/>
          <w:sz w:val="20"/>
        </w:rPr>
      </w:pPr>
      <w:r>
        <w:rPr>
          <w:b w:val="0"/>
          <w:bCs/>
          <w:sz w:val="20"/>
        </w:rPr>
        <w:t xml:space="preserve">Criterio </w:t>
      </w:r>
      <w:r w:rsidR="0056194E">
        <w:rPr>
          <w:b w:val="0"/>
          <w:bCs/>
          <w:sz w:val="20"/>
        </w:rPr>
        <w:t>adicional:</w:t>
      </w:r>
    </w:p>
    <w:p w:rsidR="0056194E" w:rsidRDefault="0056194E" w:rsidP="003963BA">
      <w:pPr>
        <w:pStyle w:val="Textoindependiente21"/>
        <w:jc w:val="both"/>
        <w:rPr>
          <w:b w:val="0"/>
          <w:bCs/>
          <w:sz w:val="20"/>
        </w:rPr>
      </w:pPr>
    </w:p>
    <w:p w:rsidR="0056194E" w:rsidRDefault="0056194E" w:rsidP="003963BA">
      <w:pPr>
        <w:pStyle w:val="Textoindependiente21"/>
        <w:jc w:val="both"/>
        <w:rPr>
          <w:b w:val="0"/>
          <w:bCs/>
          <w:sz w:val="20"/>
        </w:rPr>
      </w:pPr>
      <w:r>
        <w:rPr>
          <w:b w:val="0"/>
          <w:bCs/>
          <w:sz w:val="20"/>
        </w:rPr>
        <w:t>Debido a la diferencia de eficacia por subgrupos de edad descritas en este informe, y dependiendo de los costes del tratamiento, podría priorizarse este uso de abiraterona para pacientes menores de 75 años. Los mayores de 75 años consiguen un buen control de la enfermedad con TDA en monoterapia</w:t>
      </w:r>
      <w:r w:rsidR="00691C40">
        <w:rPr>
          <w:b w:val="0"/>
          <w:bCs/>
          <w:sz w:val="20"/>
        </w:rPr>
        <w:t>. Además</w:t>
      </w:r>
      <w:r>
        <w:rPr>
          <w:b w:val="0"/>
          <w:bCs/>
          <w:sz w:val="20"/>
        </w:rPr>
        <w:t xml:space="preserve"> no está claro el beneficio en supervivencia de adelantar el tratamiento con </w:t>
      </w:r>
      <w:r w:rsidR="00AE0A2B">
        <w:rPr>
          <w:b w:val="0"/>
          <w:bCs/>
          <w:sz w:val="20"/>
        </w:rPr>
        <w:t>Abiraterona y se estaría agotando esta opción terapéutica. Podría ser razonable reservarlo para más adelante en estos pacientes</w:t>
      </w:r>
      <w:r>
        <w:rPr>
          <w:b w:val="0"/>
          <w:bCs/>
          <w:sz w:val="20"/>
        </w:rPr>
        <w:t xml:space="preserve">. </w:t>
      </w:r>
    </w:p>
    <w:p w:rsidR="0016503B" w:rsidRDefault="0016503B" w:rsidP="003963BA">
      <w:pPr>
        <w:pStyle w:val="Textoindependiente21"/>
        <w:jc w:val="both"/>
        <w:rPr>
          <w:b w:val="0"/>
          <w:bCs/>
          <w:sz w:val="20"/>
        </w:rPr>
      </w:pPr>
    </w:p>
    <w:p w:rsidR="0056194E" w:rsidRDefault="0056194E">
      <w:pPr>
        <w:jc w:val="both"/>
        <w:rPr>
          <w:rFonts w:ascii="Arial" w:hAnsi="Arial" w:cs="Arial"/>
          <w:b/>
          <w:bCs/>
          <w:color w:val="0000FF"/>
          <w:sz w:val="20"/>
          <w:szCs w:val="20"/>
          <w:u w:val="single"/>
        </w:rPr>
      </w:pPr>
    </w:p>
    <w:p w:rsidR="0056194E" w:rsidRDefault="0056194E">
      <w:pPr>
        <w:pStyle w:val="Encabezado"/>
        <w:tabs>
          <w:tab w:val="clear" w:pos="4252"/>
          <w:tab w:val="clear" w:pos="8504"/>
        </w:tabs>
        <w:jc w:val="both"/>
        <w:rPr>
          <w:rFonts w:ascii="Arial" w:hAnsi="Arial" w:cs="Arial"/>
          <w:b/>
          <w:bCs/>
          <w:color w:val="0000FF"/>
          <w:u w:val="single"/>
        </w:rPr>
      </w:pPr>
    </w:p>
    <w:p w:rsidR="0056194E" w:rsidRDefault="0056194E">
      <w:pPr>
        <w:pStyle w:val="Ttulo2"/>
        <w:pBdr>
          <w:top w:val="single" w:sz="4" w:space="1" w:color="000000"/>
          <w:left w:val="single" w:sz="4" w:space="4" w:color="000000"/>
          <w:bottom w:val="single" w:sz="4" w:space="1" w:color="000000"/>
          <w:right w:val="single" w:sz="4" w:space="4" w:color="000000"/>
        </w:pBdr>
        <w:rPr>
          <w:sz w:val="20"/>
        </w:rPr>
      </w:pPr>
      <w:bookmarkStart w:id="56" w:name="_Toc536608371"/>
      <w:r>
        <w:rPr>
          <w:sz w:val="20"/>
        </w:rPr>
        <w:t>9.4 Plan de seguimiento</w:t>
      </w:r>
      <w:bookmarkEnd w:id="56"/>
    </w:p>
    <w:p w:rsidR="0056194E" w:rsidRDefault="0056194E">
      <w:pPr>
        <w:snapToGrid w:val="0"/>
        <w:jc w:val="both"/>
        <w:rPr>
          <w:rFonts w:ascii="Arial" w:hAnsi="Arial" w:cs="Arial"/>
          <w:bCs/>
          <w:sz w:val="20"/>
          <w:szCs w:val="20"/>
          <w:lang w:eastAsia="en-US"/>
        </w:rPr>
      </w:pPr>
    </w:p>
    <w:p w:rsidR="0056194E" w:rsidRPr="00C94539" w:rsidRDefault="002269B8">
      <w:pPr>
        <w:snapToGrid w:val="0"/>
        <w:jc w:val="both"/>
        <w:rPr>
          <w:rFonts w:ascii="Arial" w:hAnsi="Arial" w:cs="Arial"/>
          <w:bCs/>
          <w:sz w:val="20"/>
          <w:szCs w:val="20"/>
          <w:lang w:eastAsia="en-US"/>
        </w:rPr>
      </w:pPr>
      <w:r>
        <w:rPr>
          <w:rFonts w:ascii="Arial" w:hAnsi="Arial" w:cs="Arial"/>
          <w:bCs/>
          <w:sz w:val="20"/>
          <w:szCs w:val="20"/>
          <w:lang w:eastAsia="en-US"/>
        </w:rPr>
        <w:t xml:space="preserve">Tratamiento con abiraterona hasta progresión radiológica, clínica o intolerancia/toxicidad inaceptable, lo que ocurra antes. </w:t>
      </w:r>
    </w:p>
    <w:p w:rsidR="0056194E" w:rsidRDefault="0056194E">
      <w:pPr>
        <w:jc w:val="both"/>
        <w:rPr>
          <w:rFonts w:ascii="Arial" w:hAnsi="Arial" w:cs="Arial"/>
          <w:bCs/>
          <w:sz w:val="20"/>
          <w:szCs w:val="20"/>
          <w:lang w:eastAsia="en-US"/>
        </w:rPr>
      </w:pPr>
    </w:p>
    <w:p w:rsidR="0056194E" w:rsidRDefault="0056194E">
      <w:pPr>
        <w:jc w:val="both"/>
        <w:rPr>
          <w:rFonts w:ascii="Arial" w:hAnsi="Arial" w:cs="Arial"/>
          <w:color w:val="0000FF"/>
          <w:sz w:val="20"/>
          <w:szCs w:val="20"/>
          <w:u w:val="single"/>
        </w:rPr>
      </w:pPr>
    </w:p>
    <w:p w:rsidR="0056194E" w:rsidRDefault="0056194E">
      <w:pPr>
        <w:pStyle w:val="Ttulo1"/>
        <w:pBdr>
          <w:top w:val="single" w:sz="4" w:space="1" w:color="000000"/>
          <w:left w:val="single" w:sz="4" w:space="4" w:color="000000"/>
          <w:bottom w:val="single" w:sz="4" w:space="1" w:color="000000"/>
          <w:right w:val="single" w:sz="4" w:space="4" w:color="000000"/>
        </w:pBdr>
        <w:jc w:val="both"/>
        <w:rPr>
          <w:color w:val="0000FF"/>
          <w:u w:val="single"/>
        </w:rPr>
      </w:pPr>
      <w:bookmarkStart w:id="57" w:name="_Toc536608372"/>
      <w:r>
        <w:t>10. BIBLIOGRAFÍA</w:t>
      </w:r>
      <w:bookmarkEnd w:id="57"/>
    </w:p>
    <w:p w:rsidR="0056194E" w:rsidRDefault="0056194E">
      <w:pPr>
        <w:jc w:val="both"/>
        <w:rPr>
          <w:rFonts w:ascii="Arial" w:hAnsi="Arial" w:cs="Arial"/>
          <w:color w:val="0000FF"/>
          <w:sz w:val="20"/>
          <w:szCs w:val="20"/>
          <w:u w:val="single"/>
        </w:rPr>
      </w:pPr>
    </w:p>
    <w:p w:rsidR="0056194E" w:rsidRDefault="0056194E">
      <w:pPr>
        <w:numPr>
          <w:ilvl w:val="0"/>
          <w:numId w:val="13"/>
        </w:numPr>
        <w:jc w:val="both"/>
        <w:rPr>
          <w:rFonts w:ascii="Arial" w:hAnsi="Arial" w:cs="Arial"/>
          <w:sz w:val="20"/>
          <w:szCs w:val="20"/>
        </w:rPr>
      </w:pPr>
      <w:r>
        <w:rPr>
          <w:rFonts w:ascii="Arial" w:hAnsi="Arial" w:cs="Arial"/>
          <w:sz w:val="20"/>
          <w:szCs w:val="20"/>
        </w:rPr>
        <w:t xml:space="preserve">Ficha técnica de Zytiga® (European Public Assessment Report). EMA. [Consulta:03/11/2017] Disponible en: </w:t>
      </w:r>
      <w:hyperlink r:id="rId25" w:history="1">
        <w:r>
          <w:rPr>
            <w:rStyle w:val="Hipervnculo"/>
            <w:rFonts w:ascii="Arial" w:hAnsi="Arial" w:cs="Arial"/>
            <w:sz w:val="20"/>
            <w:szCs w:val="20"/>
          </w:rPr>
          <w:t>http://www.ema.europa.eu/docs/es_ES/document_library/EPAR_-_Product_Information/human/002321/WC500112858.pdf</w:t>
        </w:r>
      </w:hyperlink>
    </w:p>
    <w:p w:rsidR="0056194E" w:rsidRDefault="0056194E" w:rsidP="00C025C5">
      <w:pPr>
        <w:ind w:left="360"/>
        <w:jc w:val="both"/>
        <w:rPr>
          <w:rFonts w:ascii="Arial" w:hAnsi="Arial" w:cs="Arial"/>
          <w:sz w:val="20"/>
          <w:szCs w:val="20"/>
        </w:rPr>
      </w:pPr>
    </w:p>
    <w:p w:rsidR="0056194E" w:rsidRDefault="0056194E">
      <w:pPr>
        <w:numPr>
          <w:ilvl w:val="0"/>
          <w:numId w:val="13"/>
        </w:numPr>
        <w:jc w:val="both"/>
        <w:rPr>
          <w:rFonts w:ascii="Arial" w:hAnsi="Arial" w:cs="Arial"/>
          <w:sz w:val="20"/>
          <w:szCs w:val="20"/>
        </w:rPr>
      </w:pPr>
      <w:r>
        <w:rPr>
          <w:rFonts w:ascii="Arial" w:hAnsi="Arial" w:cs="Arial"/>
          <w:sz w:val="20"/>
          <w:szCs w:val="20"/>
        </w:rPr>
        <w:t xml:space="preserve">Garcia de  Paredes Esteban JC, Asensi Diez R, Alegre del Rey EJ. Docetaxel en combinación con la terapia de deprivación de andrógenos en primera línea de cáncer de próstata avanzado. Informe GÉNESIS-SEFH. Agosto 2016. Disponible en : </w:t>
      </w:r>
      <w:hyperlink r:id="rId26" w:history="1">
        <w:r>
          <w:rPr>
            <w:rStyle w:val="Hipervnculo"/>
            <w:szCs w:val="20"/>
          </w:rPr>
          <w:t>http://gruposdetrabajo.sefh.es/genesis/</w:t>
        </w:r>
      </w:hyperlink>
    </w:p>
    <w:p w:rsidR="0056194E" w:rsidRDefault="0056194E">
      <w:pPr>
        <w:ind w:left="360"/>
        <w:jc w:val="both"/>
        <w:rPr>
          <w:rFonts w:ascii="Arial" w:hAnsi="Arial" w:cs="Arial"/>
          <w:sz w:val="20"/>
          <w:szCs w:val="20"/>
        </w:rPr>
      </w:pPr>
    </w:p>
    <w:p w:rsidR="0056194E" w:rsidRDefault="0056194E">
      <w:pPr>
        <w:numPr>
          <w:ilvl w:val="0"/>
          <w:numId w:val="13"/>
        </w:numPr>
        <w:jc w:val="both"/>
        <w:rPr>
          <w:rFonts w:ascii="Arial" w:hAnsi="Arial" w:cs="Arial"/>
          <w:sz w:val="20"/>
          <w:szCs w:val="20"/>
        </w:rPr>
      </w:pPr>
      <w:r>
        <w:rPr>
          <w:rFonts w:ascii="Arial" w:hAnsi="Arial" w:cs="Arial"/>
          <w:bCs/>
          <w:sz w:val="20"/>
          <w:szCs w:val="20"/>
        </w:rPr>
        <w:t xml:space="preserve">Ficha Técnica Leuprorelina. AEMPS. </w:t>
      </w:r>
      <w:r>
        <w:rPr>
          <w:rFonts w:ascii="Arial" w:hAnsi="Arial" w:cs="Arial"/>
          <w:sz w:val="20"/>
          <w:szCs w:val="20"/>
        </w:rPr>
        <w:t xml:space="preserve">[Consulta: 03/11/2017] </w:t>
      </w:r>
      <w:r>
        <w:rPr>
          <w:rFonts w:ascii="Arial" w:hAnsi="Arial" w:cs="Arial"/>
          <w:bCs/>
          <w:sz w:val="20"/>
          <w:szCs w:val="20"/>
        </w:rPr>
        <w:t xml:space="preserve">Disponible en: </w:t>
      </w:r>
      <w:hyperlink r:id="rId27" w:history="1">
        <w:r>
          <w:rPr>
            <w:rStyle w:val="Hipervnculo"/>
            <w:rFonts w:ascii="Arial" w:hAnsi="Arial" w:cs="Arial"/>
            <w:bCs/>
            <w:color w:val="auto"/>
            <w:sz w:val="20"/>
            <w:szCs w:val="20"/>
          </w:rPr>
          <w:t>http://www.aemps.gob.es/cima/fichasTecnicas.do?metodo=detalleForm</w:t>
        </w:r>
      </w:hyperlink>
    </w:p>
    <w:p w:rsidR="0056194E" w:rsidRDefault="0056194E">
      <w:pPr>
        <w:jc w:val="both"/>
        <w:rPr>
          <w:rFonts w:ascii="Arial" w:hAnsi="Arial" w:cs="Arial"/>
          <w:sz w:val="20"/>
          <w:szCs w:val="20"/>
        </w:rPr>
      </w:pPr>
    </w:p>
    <w:p w:rsidR="0056194E" w:rsidRDefault="0056194E">
      <w:pPr>
        <w:numPr>
          <w:ilvl w:val="0"/>
          <w:numId w:val="13"/>
        </w:numPr>
        <w:jc w:val="both"/>
        <w:rPr>
          <w:rFonts w:ascii="Arial" w:hAnsi="Arial" w:cs="Arial"/>
          <w:sz w:val="20"/>
          <w:szCs w:val="20"/>
        </w:rPr>
      </w:pPr>
      <w:r>
        <w:rPr>
          <w:rFonts w:ascii="Arial" w:hAnsi="Arial" w:cs="Arial"/>
          <w:bCs/>
          <w:sz w:val="20"/>
          <w:szCs w:val="20"/>
        </w:rPr>
        <w:t>Ficha Técnica Triptorelina. AEMPS.</w:t>
      </w:r>
      <w:r>
        <w:rPr>
          <w:rFonts w:ascii="Arial" w:hAnsi="Arial" w:cs="Arial"/>
          <w:sz w:val="20"/>
          <w:szCs w:val="20"/>
        </w:rPr>
        <w:t xml:space="preserve"> [Consulta: 03/11/2017</w:t>
      </w:r>
      <w:r>
        <w:rPr>
          <w:rFonts w:ascii="Arial" w:hAnsi="Arial" w:cs="Arial"/>
          <w:bCs/>
          <w:sz w:val="20"/>
          <w:szCs w:val="20"/>
        </w:rPr>
        <w:t xml:space="preserve">] Disponible en: </w:t>
      </w:r>
      <w:hyperlink r:id="rId28" w:history="1">
        <w:r>
          <w:rPr>
            <w:rStyle w:val="Hipervnculo"/>
            <w:rFonts w:ascii="Arial" w:hAnsi="Arial" w:cs="Arial"/>
            <w:bCs/>
            <w:color w:val="auto"/>
            <w:sz w:val="20"/>
            <w:szCs w:val="20"/>
          </w:rPr>
          <w:t>http://www.aemps.gob.es/cima/fichasTecnicas.do?metodo=detalleForm</w:t>
        </w:r>
      </w:hyperlink>
    </w:p>
    <w:p w:rsidR="0056194E" w:rsidRDefault="0056194E">
      <w:pPr>
        <w:jc w:val="both"/>
        <w:rPr>
          <w:rFonts w:ascii="Arial" w:hAnsi="Arial" w:cs="Arial"/>
          <w:sz w:val="20"/>
          <w:szCs w:val="20"/>
        </w:rPr>
      </w:pPr>
    </w:p>
    <w:p w:rsidR="0056194E" w:rsidRDefault="0056194E">
      <w:pPr>
        <w:numPr>
          <w:ilvl w:val="0"/>
          <w:numId w:val="13"/>
        </w:numPr>
        <w:jc w:val="both"/>
        <w:rPr>
          <w:rFonts w:ascii="Arial" w:hAnsi="Arial" w:cs="Arial"/>
          <w:sz w:val="20"/>
          <w:szCs w:val="20"/>
        </w:rPr>
      </w:pPr>
      <w:r>
        <w:rPr>
          <w:rFonts w:ascii="Arial" w:hAnsi="Arial" w:cs="Arial"/>
          <w:bCs/>
          <w:sz w:val="20"/>
          <w:szCs w:val="20"/>
        </w:rPr>
        <w:t>Ficha Técnica Goserelina. AEMPS.</w:t>
      </w:r>
      <w:r>
        <w:rPr>
          <w:rFonts w:ascii="Arial" w:hAnsi="Arial" w:cs="Arial"/>
          <w:sz w:val="20"/>
          <w:szCs w:val="20"/>
        </w:rPr>
        <w:t xml:space="preserve"> [Consulta: 03/11/2017] </w:t>
      </w:r>
      <w:r>
        <w:rPr>
          <w:rFonts w:ascii="Arial" w:hAnsi="Arial" w:cs="Arial"/>
          <w:bCs/>
          <w:sz w:val="20"/>
          <w:szCs w:val="20"/>
        </w:rPr>
        <w:t xml:space="preserve">Disponible en: </w:t>
      </w:r>
      <w:hyperlink r:id="rId29" w:history="1">
        <w:r>
          <w:rPr>
            <w:rStyle w:val="Hipervnculo"/>
            <w:rFonts w:ascii="Arial" w:hAnsi="Arial" w:cs="Arial"/>
            <w:bCs/>
            <w:color w:val="auto"/>
            <w:sz w:val="20"/>
            <w:szCs w:val="20"/>
          </w:rPr>
          <w:t>http://www.aemps.gob.es/cima/fichasTecnicas.do?metodo=detalleForm</w:t>
        </w:r>
      </w:hyperlink>
    </w:p>
    <w:p w:rsidR="0056194E" w:rsidRDefault="0056194E">
      <w:pPr>
        <w:jc w:val="both"/>
        <w:rPr>
          <w:rFonts w:ascii="Arial" w:hAnsi="Arial" w:cs="Arial"/>
          <w:sz w:val="20"/>
          <w:szCs w:val="20"/>
        </w:rPr>
      </w:pPr>
    </w:p>
    <w:p w:rsidR="0056194E" w:rsidRDefault="0056194E">
      <w:pPr>
        <w:jc w:val="both"/>
        <w:rPr>
          <w:rFonts w:ascii="Arial" w:hAnsi="Arial" w:cs="Arial"/>
          <w:sz w:val="20"/>
          <w:szCs w:val="20"/>
        </w:rPr>
      </w:pPr>
    </w:p>
    <w:p w:rsidR="0056194E" w:rsidRPr="00577AB2" w:rsidRDefault="0056194E">
      <w:pPr>
        <w:numPr>
          <w:ilvl w:val="0"/>
          <w:numId w:val="13"/>
        </w:numPr>
        <w:jc w:val="both"/>
        <w:rPr>
          <w:rFonts w:ascii="Arial" w:hAnsi="Arial" w:cs="Arial"/>
          <w:sz w:val="20"/>
          <w:szCs w:val="20"/>
          <w:lang w:val="en-GB"/>
        </w:rPr>
      </w:pPr>
      <w:r>
        <w:rPr>
          <w:rFonts w:ascii="Arial" w:hAnsi="Arial" w:cs="Arial"/>
          <w:sz w:val="20"/>
          <w:szCs w:val="20"/>
          <w:lang w:val="en-US"/>
        </w:rPr>
        <w:t xml:space="preserve">CassinelloJ,et al. SEOM Clinical guidelines for the treatment of metastatic prostate cancer. </w:t>
      </w:r>
      <w:r w:rsidRPr="00577AB2">
        <w:rPr>
          <w:rFonts w:ascii="Arial" w:hAnsi="Arial" w:cs="Arial"/>
          <w:sz w:val="20"/>
          <w:szCs w:val="20"/>
          <w:lang w:val="en-GB"/>
        </w:rPr>
        <w:t>Clinical&amp;TranslationalOncology 2014;16(12):1060-1066. doi:10.1007/s12094-014-1225-3.</w:t>
      </w:r>
    </w:p>
    <w:p w:rsidR="0056194E" w:rsidRPr="00577AB2" w:rsidRDefault="0056194E">
      <w:pPr>
        <w:jc w:val="both"/>
        <w:rPr>
          <w:rFonts w:ascii="Arial" w:hAnsi="Arial" w:cs="Arial"/>
          <w:sz w:val="20"/>
          <w:szCs w:val="20"/>
          <w:lang w:val="en-GB"/>
        </w:rPr>
      </w:pPr>
    </w:p>
    <w:p w:rsidR="0056194E" w:rsidRPr="00577AB2" w:rsidRDefault="0056194E">
      <w:pPr>
        <w:numPr>
          <w:ilvl w:val="0"/>
          <w:numId w:val="13"/>
        </w:numPr>
        <w:jc w:val="both"/>
        <w:rPr>
          <w:rFonts w:ascii="Arial" w:hAnsi="Arial" w:cs="Arial"/>
          <w:sz w:val="20"/>
          <w:szCs w:val="20"/>
          <w:u w:val="single"/>
          <w:lang w:val="en-GB"/>
        </w:rPr>
      </w:pPr>
      <w:r w:rsidRPr="00577AB2">
        <w:rPr>
          <w:rFonts w:ascii="Arial" w:hAnsi="Arial" w:cs="Arial"/>
          <w:sz w:val="20"/>
          <w:szCs w:val="20"/>
          <w:lang w:val="en-GB"/>
        </w:rPr>
        <w:t xml:space="preserve">http://eu-cancer.iarc.fr/EUCAN/CancerOne.aspx?Cancer=29&amp;Gender=1 </w:t>
      </w:r>
    </w:p>
    <w:p w:rsidR="0056194E" w:rsidRPr="00577AB2" w:rsidRDefault="0056194E">
      <w:pPr>
        <w:jc w:val="both"/>
        <w:rPr>
          <w:rFonts w:ascii="Arial" w:hAnsi="Arial" w:cs="Arial"/>
          <w:sz w:val="20"/>
          <w:szCs w:val="20"/>
          <w:u w:val="single"/>
          <w:lang w:val="en-GB"/>
        </w:rPr>
      </w:pPr>
    </w:p>
    <w:p w:rsidR="0056194E" w:rsidRDefault="0056194E">
      <w:pPr>
        <w:numPr>
          <w:ilvl w:val="0"/>
          <w:numId w:val="13"/>
        </w:numPr>
        <w:jc w:val="both"/>
        <w:rPr>
          <w:rFonts w:ascii="Arial" w:hAnsi="Arial" w:cs="Arial"/>
          <w:sz w:val="20"/>
          <w:szCs w:val="20"/>
        </w:rPr>
      </w:pPr>
      <w:r w:rsidRPr="0071121B">
        <w:rPr>
          <w:rFonts w:ascii="Arial" w:hAnsi="Arial" w:cs="Arial"/>
          <w:sz w:val="20"/>
          <w:szCs w:val="20"/>
          <w:lang w:val="en-GB"/>
        </w:rPr>
        <w:t xml:space="preserve">Malcolm D, Wendy RP, Matthew R, Brundage M, Kirkbride P, Gospodarowicz M et al: Final Reportof the IntergroupRandomized Study of Combined Androgen Deprivation Therapy Plus Radiotherapy Versus Androgen-Deprivation Therapy Alone in LocallyAdvanced Prostate Cancer </w:t>
      </w:r>
      <w:hyperlink r:id="rId30" w:history="1">
        <w:r w:rsidRPr="009B0718">
          <w:rPr>
            <w:rStyle w:val="Hipervnculo"/>
            <w:rFonts w:ascii="Arial" w:hAnsi="Arial" w:cs="Arial"/>
            <w:color w:val="auto"/>
            <w:sz w:val="20"/>
            <w:szCs w:val="20"/>
            <w:u w:val="none"/>
            <w:lang w:val="en-GB"/>
          </w:rPr>
          <w:t xml:space="preserve">J Clin. </w:t>
        </w:r>
        <w:r w:rsidRPr="009B0718">
          <w:rPr>
            <w:rStyle w:val="Hipervnculo"/>
            <w:rFonts w:ascii="Arial" w:hAnsi="Arial" w:cs="Arial"/>
            <w:color w:val="auto"/>
            <w:sz w:val="20"/>
            <w:szCs w:val="20"/>
            <w:u w:val="none"/>
          </w:rPr>
          <w:t>Oncol</w:t>
        </w:r>
      </w:hyperlink>
      <w:r>
        <w:rPr>
          <w:rFonts w:ascii="Arial" w:hAnsi="Arial" w:cs="Arial"/>
          <w:sz w:val="20"/>
          <w:szCs w:val="20"/>
        </w:rPr>
        <w:t xml:space="preserve"> 2015; 33 (19):2143-50</w:t>
      </w:r>
    </w:p>
    <w:p w:rsidR="0056194E" w:rsidRDefault="0056194E">
      <w:pPr>
        <w:jc w:val="both"/>
        <w:rPr>
          <w:rFonts w:ascii="Arial" w:hAnsi="Arial" w:cs="Arial"/>
          <w:sz w:val="20"/>
          <w:szCs w:val="20"/>
        </w:rPr>
      </w:pPr>
    </w:p>
    <w:p w:rsidR="0056194E" w:rsidRPr="00577AB2" w:rsidRDefault="0056194E">
      <w:pPr>
        <w:numPr>
          <w:ilvl w:val="0"/>
          <w:numId w:val="13"/>
        </w:numPr>
        <w:jc w:val="both"/>
        <w:rPr>
          <w:rFonts w:ascii="Arial" w:hAnsi="Arial" w:cs="Arial"/>
          <w:sz w:val="20"/>
          <w:szCs w:val="20"/>
          <w:lang w:val="en-GB"/>
        </w:rPr>
      </w:pPr>
      <w:r w:rsidRPr="008774CB">
        <w:rPr>
          <w:rFonts w:ascii="Arial" w:hAnsi="Arial" w:cs="Arial"/>
          <w:sz w:val="20"/>
          <w:szCs w:val="20"/>
          <w:lang w:val="en-US"/>
        </w:rPr>
        <w:t xml:space="preserve">Widmark A, Klepp O, Solberg A, Damber J, Angelsen A, Fransson P et al. </w:t>
      </w:r>
      <w:r>
        <w:rPr>
          <w:rFonts w:ascii="Arial" w:hAnsi="Arial" w:cs="Arial"/>
          <w:sz w:val="20"/>
          <w:szCs w:val="20"/>
          <w:lang w:val="en-US"/>
        </w:rPr>
        <w:t xml:space="preserve">Endocrine treatment, with or without radiotherapy, in locally advanced prostate cancer (SPCG-7/SFUO-3): an open randomised phase III trial. </w:t>
      </w:r>
      <w:r w:rsidRPr="00577AB2">
        <w:rPr>
          <w:rFonts w:ascii="Arial" w:hAnsi="Arial" w:cs="Arial"/>
          <w:sz w:val="20"/>
          <w:szCs w:val="20"/>
          <w:lang w:val="en-GB"/>
        </w:rPr>
        <w:t>Lancet 2009; 373 (9660):301-8</w:t>
      </w:r>
    </w:p>
    <w:p w:rsidR="0056194E" w:rsidRPr="00577AB2" w:rsidRDefault="0056194E">
      <w:pPr>
        <w:jc w:val="both"/>
        <w:rPr>
          <w:rFonts w:ascii="Arial" w:hAnsi="Arial" w:cs="Arial"/>
          <w:sz w:val="20"/>
          <w:szCs w:val="20"/>
          <w:lang w:val="en-GB"/>
        </w:rPr>
      </w:pPr>
    </w:p>
    <w:p w:rsidR="0056194E" w:rsidRPr="006A311C" w:rsidRDefault="0056194E">
      <w:pPr>
        <w:numPr>
          <w:ilvl w:val="0"/>
          <w:numId w:val="13"/>
        </w:numPr>
        <w:jc w:val="both"/>
        <w:rPr>
          <w:rFonts w:ascii="Arial" w:hAnsi="Arial" w:cs="Arial"/>
          <w:sz w:val="20"/>
          <w:szCs w:val="20"/>
          <w:lang w:val="en-GB"/>
        </w:rPr>
      </w:pPr>
      <w:r w:rsidRPr="006A311C">
        <w:rPr>
          <w:rFonts w:ascii="Arial" w:hAnsi="Arial" w:cs="Arial"/>
          <w:sz w:val="20"/>
          <w:szCs w:val="20"/>
          <w:lang w:val="de-DE"/>
        </w:rPr>
        <w:t xml:space="preserve">Laufer M, Denmeade SR, Sinibladi VJ, Carducci MA, Eisenberger MA. </w:t>
      </w:r>
      <w:r>
        <w:rPr>
          <w:rFonts w:ascii="Arial" w:hAnsi="Arial" w:cs="Arial"/>
          <w:sz w:val="20"/>
          <w:szCs w:val="20"/>
          <w:lang w:val="en-US"/>
        </w:rPr>
        <w:t xml:space="preserve">Complete androgen blockade for prostate cancer: what went wrong? </w:t>
      </w:r>
      <w:r w:rsidRPr="006A311C">
        <w:rPr>
          <w:rFonts w:ascii="Arial" w:hAnsi="Arial" w:cs="Arial"/>
          <w:sz w:val="20"/>
          <w:szCs w:val="20"/>
          <w:lang w:val="en-GB"/>
        </w:rPr>
        <w:t>J Urol 2000;164 (1):3-9</w:t>
      </w:r>
    </w:p>
    <w:p w:rsidR="0056194E" w:rsidRPr="006A311C" w:rsidRDefault="0056194E">
      <w:pPr>
        <w:jc w:val="both"/>
        <w:rPr>
          <w:rFonts w:ascii="Arial" w:hAnsi="Arial" w:cs="Arial"/>
          <w:sz w:val="20"/>
          <w:szCs w:val="20"/>
          <w:lang w:val="en-GB"/>
        </w:rPr>
      </w:pPr>
    </w:p>
    <w:p w:rsidR="0056194E" w:rsidRDefault="0056194E">
      <w:pPr>
        <w:numPr>
          <w:ilvl w:val="0"/>
          <w:numId w:val="13"/>
        </w:numPr>
        <w:jc w:val="both"/>
        <w:rPr>
          <w:rFonts w:ascii="Arial" w:hAnsi="Arial" w:cs="Arial"/>
          <w:sz w:val="20"/>
          <w:szCs w:val="20"/>
        </w:rPr>
      </w:pPr>
      <w:r w:rsidRPr="006A311C">
        <w:rPr>
          <w:rFonts w:ascii="Arial" w:hAnsi="Arial" w:cs="Arial"/>
          <w:bCs/>
          <w:sz w:val="20"/>
          <w:szCs w:val="20"/>
          <w:lang w:val="pt-BR"/>
        </w:rPr>
        <w:t xml:space="preserve">Ficha Técnica Degarelix. AEMPS. Consulta [01/06/2016]. </w:t>
      </w:r>
      <w:r>
        <w:rPr>
          <w:rFonts w:ascii="Arial" w:hAnsi="Arial" w:cs="Arial"/>
          <w:bCs/>
          <w:sz w:val="20"/>
          <w:szCs w:val="20"/>
        </w:rPr>
        <w:t xml:space="preserve">Disponible en: </w:t>
      </w:r>
      <w:hyperlink r:id="rId31" w:history="1">
        <w:r>
          <w:rPr>
            <w:rStyle w:val="Hipervnculo"/>
            <w:rFonts w:ascii="Arial" w:hAnsi="Arial" w:cs="Arial"/>
            <w:bCs/>
            <w:color w:val="auto"/>
            <w:sz w:val="20"/>
            <w:szCs w:val="20"/>
          </w:rPr>
          <w:t>http://www.aemps.gob.es/cima/fichasTecnicas.do?metodo=detalleForm</w:t>
        </w:r>
      </w:hyperlink>
      <w:r>
        <w:rPr>
          <w:rFonts w:ascii="Arial" w:hAnsi="Arial" w:cs="Arial"/>
          <w:bCs/>
          <w:sz w:val="20"/>
          <w:szCs w:val="20"/>
        </w:rPr>
        <w:t>.</w:t>
      </w:r>
    </w:p>
    <w:p w:rsidR="0056194E" w:rsidRDefault="0056194E">
      <w:pPr>
        <w:jc w:val="both"/>
        <w:rPr>
          <w:rFonts w:ascii="Arial" w:hAnsi="Arial" w:cs="Arial"/>
          <w:sz w:val="20"/>
          <w:szCs w:val="20"/>
        </w:rPr>
      </w:pPr>
    </w:p>
    <w:p w:rsidR="0056194E" w:rsidRDefault="0056194E">
      <w:pPr>
        <w:numPr>
          <w:ilvl w:val="0"/>
          <w:numId w:val="13"/>
        </w:numPr>
        <w:jc w:val="both"/>
        <w:rPr>
          <w:rFonts w:ascii="Arial" w:hAnsi="Arial" w:cs="Arial"/>
          <w:sz w:val="20"/>
          <w:szCs w:val="20"/>
        </w:rPr>
      </w:pPr>
      <w:r>
        <w:rPr>
          <w:rFonts w:ascii="Arial" w:hAnsi="Arial" w:cs="Arial"/>
          <w:bCs/>
          <w:sz w:val="20"/>
          <w:szCs w:val="20"/>
          <w:lang w:val="en-US"/>
        </w:rPr>
        <w:t xml:space="preserve">NCCN: National Comprehensive Cancer Network. [internet] Washington: NCCN; 2016. NCCN Clinical Practice Guidelines in Oncology (NCCN guidelines®) Prostate Cancer [Consulta: 01/06/2016]. </w:t>
      </w:r>
      <w:r>
        <w:rPr>
          <w:rFonts w:ascii="Arial" w:hAnsi="Arial" w:cs="Arial"/>
          <w:bCs/>
          <w:sz w:val="20"/>
          <w:szCs w:val="20"/>
        </w:rPr>
        <w:t xml:space="preserve">Disponible en: </w:t>
      </w:r>
      <w:hyperlink r:id="rId32" w:history="1">
        <w:r>
          <w:rPr>
            <w:rStyle w:val="Hipervnculo"/>
            <w:rFonts w:ascii="Arial" w:hAnsi="Arial" w:cs="Arial"/>
            <w:bCs/>
            <w:color w:val="auto"/>
            <w:sz w:val="20"/>
            <w:szCs w:val="20"/>
          </w:rPr>
          <w:t>http://www.nccn.org/professionals/physician_gls/pdf/prostate.pdf</w:t>
        </w:r>
      </w:hyperlink>
      <w:r>
        <w:rPr>
          <w:rFonts w:ascii="Arial" w:hAnsi="Arial" w:cs="Arial"/>
          <w:bCs/>
          <w:sz w:val="20"/>
          <w:szCs w:val="20"/>
        </w:rPr>
        <w:t>.</w:t>
      </w:r>
    </w:p>
    <w:p w:rsidR="0056194E" w:rsidRDefault="0056194E">
      <w:pPr>
        <w:jc w:val="both"/>
        <w:rPr>
          <w:rFonts w:ascii="Arial" w:hAnsi="Arial" w:cs="Arial"/>
          <w:sz w:val="20"/>
          <w:szCs w:val="20"/>
        </w:rPr>
      </w:pPr>
    </w:p>
    <w:p w:rsidR="0056194E" w:rsidRDefault="0056194E">
      <w:pPr>
        <w:numPr>
          <w:ilvl w:val="0"/>
          <w:numId w:val="13"/>
        </w:numPr>
        <w:jc w:val="both"/>
        <w:rPr>
          <w:rFonts w:ascii="Arial" w:hAnsi="Arial" w:cs="Arial"/>
          <w:sz w:val="20"/>
          <w:szCs w:val="20"/>
        </w:rPr>
      </w:pPr>
      <w:r>
        <w:rPr>
          <w:rFonts w:ascii="Arial" w:hAnsi="Arial" w:cs="Arial"/>
          <w:bCs/>
          <w:sz w:val="20"/>
          <w:szCs w:val="20"/>
        </w:rPr>
        <w:t>Baena González V, Bachiller Burgos J, Benavides Orgaz M, Carnero Bueno J,Cozar Olmo JM, Del Rio Urenda S. et al. Hipertrofia benigna de próstata y cancer de próstata: proceso asistencial integrado. 3ª edición [Sevilla]: Consejería de Salud, 2011.</w:t>
      </w:r>
    </w:p>
    <w:p w:rsidR="0056194E" w:rsidRDefault="0056194E">
      <w:pPr>
        <w:jc w:val="both"/>
        <w:rPr>
          <w:rFonts w:ascii="Arial" w:hAnsi="Arial" w:cs="Arial"/>
          <w:sz w:val="20"/>
          <w:szCs w:val="20"/>
        </w:rPr>
      </w:pPr>
    </w:p>
    <w:p w:rsidR="0056194E" w:rsidRDefault="00F33243" w:rsidP="0017169E">
      <w:pPr>
        <w:numPr>
          <w:ilvl w:val="0"/>
          <w:numId w:val="13"/>
        </w:numPr>
        <w:spacing w:after="283"/>
        <w:jc w:val="both"/>
        <w:rPr>
          <w:rFonts w:ascii="Arial" w:hAnsi="Arial" w:cs="Arial"/>
          <w:sz w:val="20"/>
          <w:szCs w:val="20"/>
        </w:rPr>
      </w:pPr>
      <w:hyperlink r:id="rId33" w:history="1">
        <w:r w:rsidR="0056194E" w:rsidRPr="004A3A8D">
          <w:rPr>
            <w:rStyle w:val="Hipervnculo"/>
            <w:rFonts w:ascii="Arial" w:hAnsi="Arial" w:cs="Arial"/>
            <w:bCs/>
            <w:color w:val="auto"/>
            <w:sz w:val="20"/>
            <w:szCs w:val="20"/>
            <w:lang w:val="da-DK"/>
          </w:rPr>
          <w:t>Fizazi K</w:t>
        </w:r>
      </w:hyperlink>
      <w:r w:rsidR="0056194E" w:rsidRPr="004A3A8D">
        <w:rPr>
          <w:rFonts w:ascii="Arial" w:hAnsi="Arial" w:cs="Arial"/>
          <w:bCs/>
          <w:sz w:val="20"/>
          <w:szCs w:val="20"/>
          <w:lang w:val="da-DK"/>
        </w:rPr>
        <w:t xml:space="preserve">, Faivre L, </w:t>
      </w:r>
      <w:hyperlink r:id="rId34" w:history="1">
        <w:r w:rsidR="0056194E" w:rsidRPr="004A3A8D">
          <w:rPr>
            <w:rStyle w:val="Hipervnculo"/>
            <w:rFonts w:ascii="Arial" w:hAnsi="Arial" w:cs="Arial"/>
            <w:bCs/>
            <w:color w:val="auto"/>
            <w:sz w:val="20"/>
            <w:szCs w:val="20"/>
            <w:lang w:val="da-DK"/>
          </w:rPr>
          <w:t>Lesaunier F</w:t>
        </w:r>
      </w:hyperlink>
      <w:r w:rsidR="0056194E" w:rsidRPr="004A3A8D">
        <w:rPr>
          <w:rFonts w:ascii="Arial" w:hAnsi="Arial" w:cs="Arial"/>
          <w:bCs/>
          <w:sz w:val="20"/>
          <w:szCs w:val="20"/>
          <w:lang w:val="da-DK"/>
        </w:rPr>
        <w:t>, Delva R, Gravis G, Rolland F et al</w:t>
      </w:r>
      <w:r w:rsidR="0056194E" w:rsidRPr="004A3A8D">
        <w:rPr>
          <w:rFonts w:ascii="Arial" w:hAnsi="Arial" w:cs="Arial"/>
          <w:sz w:val="20"/>
          <w:szCs w:val="20"/>
          <w:lang w:val="da-DK"/>
        </w:rPr>
        <w:t xml:space="preserve"> Cristopher S., et al. </w:t>
      </w:r>
      <w:r w:rsidR="0056194E" w:rsidRPr="008774CB">
        <w:rPr>
          <w:rFonts w:ascii="Arial" w:hAnsi="Arial" w:cs="Arial"/>
          <w:sz w:val="20"/>
          <w:szCs w:val="20"/>
          <w:lang w:val="en-US"/>
        </w:rPr>
        <w:t xml:space="preserve">Chemohormonal Therapy in Metastatic Hormone-Sensitive Prostate Cancer. </w:t>
      </w:r>
      <w:r w:rsidR="0056194E">
        <w:rPr>
          <w:rFonts w:ascii="Arial" w:hAnsi="Arial" w:cs="Arial"/>
          <w:sz w:val="20"/>
          <w:szCs w:val="20"/>
        </w:rPr>
        <w:t xml:space="preserve">N Engl J Med 2015; 373:737-746. </w:t>
      </w:r>
    </w:p>
    <w:p w:rsidR="0056194E" w:rsidRPr="006A311C" w:rsidRDefault="0056194E">
      <w:pPr>
        <w:numPr>
          <w:ilvl w:val="0"/>
          <w:numId w:val="13"/>
        </w:numPr>
        <w:jc w:val="both"/>
        <w:rPr>
          <w:rFonts w:ascii="Arial" w:hAnsi="Arial" w:cs="Arial"/>
          <w:bCs/>
          <w:sz w:val="20"/>
          <w:szCs w:val="20"/>
          <w:lang w:val="it-IT"/>
        </w:rPr>
      </w:pPr>
      <w:r w:rsidRPr="006A311C">
        <w:rPr>
          <w:rFonts w:ascii="Arial" w:hAnsi="Arial" w:cs="Arial"/>
          <w:sz w:val="20"/>
          <w:szCs w:val="20"/>
          <w:lang w:val="it-IT"/>
        </w:rPr>
        <w:t>FDA: Abiraterone. Consulta [03/11/2017]. Disponible: https://www.fda.gov/Drugs/default.htm</w:t>
      </w:r>
    </w:p>
    <w:p w:rsidR="0056194E" w:rsidRPr="006A311C" w:rsidRDefault="0056194E">
      <w:pPr>
        <w:jc w:val="both"/>
        <w:rPr>
          <w:rFonts w:ascii="Arial" w:hAnsi="Arial" w:cs="Arial"/>
          <w:bCs/>
          <w:sz w:val="20"/>
          <w:szCs w:val="20"/>
          <w:lang w:val="it-IT"/>
        </w:rPr>
      </w:pPr>
    </w:p>
    <w:p w:rsidR="0056194E" w:rsidRPr="00577AB2" w:rsidRDefault="0056194E">
      <w:pPr>
        <w:numPr>
          <w:ilvl w:val="0"/>
          <w:numId w:val="13"/>
        </w:numPr>
        <w:jc w:val="both"/>
        <w:rPr>
          <w:rFonts w:ascii="Arial" w:hAnsi="Arial" w:cs="Arial"/>
          <w:sz w:val="20"/>
          <w:szCs w:val="20"/>
          <w:lang w:val="en-GB"/>
        </w:rPr>
      </w:pPr>
      <w:r>
        <w:rPr>
          <w:rFonts w:ascii="Arial" w:hAnsi="Arial" w:cs="Arial"/>
          <w:sz w:val="20"/>
          <w:szCs w:val="20"/>
          <w:lang w:val="en-US"/>
        </w:rPr>
        <w:t xml:space="preserve">James ND, de Bono JS, Spears MR, Clarke NW, Mason MD, Dearnaley DP, et al. Abiraterone for Prostate Cancer Not Previously Treated with Hormone Therapy. </w:t>
      </w:r>
      <w:r w:rsidRPr="00577AB2">
        <w:rPr>
          <w:rFonts w:ascii="Arial" w:hAnsi="Arial" w:cs="Arial"/>
          <w:sz w:val="20"/>
          <w:szCs w:val="20"/>
          <w:lang w:val="en-GB"/>
        </w:rPr>
        <w:t>N Engl J Med. 2017 27;377(4):338–51.</w:t>
      </w:r>
    </w:p>
    <w:p w:rsidR="0056194E" w:rsidRPr="00577AB2" w:rsidRDefault="0056194E">
      <w:pPr>
        <w:jc w:val="both"/>
        <w:rPr>
          <w:rFonts w:ascii="Arial" w:hAnsi="Arial" w:cs="Arial"/>
          <w:sz w:val="20"/>
          <w:szCs w:val="20"/>
          <w:lang w:val="en-GB"/>
        </w:rPr>
      </w:pPr>
    </w:p>
    <w:p w:rsidR="0056194E" w:rsidRDefault="0056194E" w:rsidP="008F6199">
      <w:pPr>
        <w:pStyle w:val="Textopreformateado"/>
        <w:numPr>
          <w:ilvl w:val="0"/>
          <w:numId w:val="13"/>
        </w:numPr>
        <w:spacing w:after="283"/>
        <w:jc w:val="both"/>
        <w:rPr>
          <w:rFonts w:ascii="Arial" w:hAnsi="Arial" w:cs="Arial"/>
          <w:lang w:val="en-US"/>
        </w:rPr>
      </w:pPr>
      <w:r>
        <w:rPr>
          <w:rFonts w:ascii="Arial" w:hAnsi="Arial" w:cs="Arial"/>
        </w:rPr>
        <w:t xml:space="preserve">Fizazi K, Tran N, Fein L, Matsubara N, Rodriguez-Antolin A, Alekseev BY, et al. </w:t>
      </w:r>
      <w:r w:rsidRPr="008774CB">
        <w:rPr>
          <w:rFonts w:ascii="Arial" w:hAnsi="Arial" w:cs="Arial"/>
          <w:lang w:val="en-US"/>
        </w:rPr>
        <w:t xml:space="preserve">Abiraterone plus Prednisone in Metastatic, Castration-Sensitive Prostate Cancer. </w:t>
      </w:r>
      <w:r>
        <w:rPr>
          <w:rFonts w:ascii="Arial" w:hAnsi="Arial" w:cs="Arial"/>
          <w:lang w:val="en-US"/>
        </w:rPr>
        <w:t xml:space="preserve">N Engl J Med. 2017 27;377(4):352–60. </w:t>
      </w:r>
    </w:p>
    <w:p w:rsidR="00E331EC" w:rsidRDefault="00E331EC" w:rsidP="008F6199">
      <w:pPr>
        <w:pStyle w:val="Textopreformateado"/>
        <w:numPr>
          <w:ilvl w:val="0"/>
          <w:numId w:val="13"/>
        </w:numPr>
        <w:spacing w:after="283"/>
        <w:jc w:val="both"/>
        <w:rPr>
          <w:rFonts w:ascii="Arial" w:hAnsi="Arial" w:cs="Arial"/>
          <w:lang w:val="en-US"/>
        </w:rPr>
      </w:pPr>
      <w:r w:rsidRPr="00C57E0E">
        <w:rPr>
          <w:rFonts w:ascii="Arial" w:hAnsi="Arial" w:cs="Arial"/>
          <w:bCs/>
          <w:color w:val="000000"/>
        </w:rPr>
        <w:t xml:space="preserve">Fizazi K., Tran N., Fein L.E. et al. </w:t>
      </w:r>
      <w:r w:rsidRPr="00FC0B62">
        <w:rPr>
          <w:rFonts w:ascii="Arial" w:hAnsi="Arial" w:cs="Arial"/>
          <w:bCs/>
          <w:color w:val="000000"/>
          <w:lang w:val="en-GB"/>
        </w:rPr>
        <w:t>Final analysis of phase III LATITUDE study in patients (pts) with newly diagnosed high-risk metastatic castration-naïve prostate cancer (NDx-HR mCNPC) treated with abiraterone acetate + prednisone (AA+P) added to androgen deprivation therapy (ADT). J Clin Oncol 37, 2019 (suppl 7S; abstr 141).</w:t>
      </w:r>
    </w:p>
    <w:p w:rsidR="0056194E" w:rsidRPr="008F6199" w:rsidRDefault="0056194E" w:rsidP="008F6199">
      <w:pPr>
        <w:pStyle w:val="Textopreformateado"/>
        <w:numPr>
          <w:ilvl w:val="0"/>
          <w:numId w:val="13"/>
        </w:numPr>
        <w:spacing w:after="283"/>
        <w:jc w:val="both"/>
        <w:rPr>
          <w:rFonts w:ascii="Arial" w:hAnsi="Arial" w:cs="Arial"/>
        </w:rPr>
      </w:pPr>
      <w:r>
        <w:rPr>
          <w:rFonts w:ascii="Arial" w:hAnsi="Arial" w:cs="Arial"/>
        </w:rPr>
        <w:t>Primo J, Escrig J. MetaSurv: calculadora Excel para metanálisis de supervivencia. 2008. Disponible en: http://www.redscape.org/herramientas/descargas/MetaSurv.xls</w:t>
      </w:r>
    </w:p>
    <w:p w:rsidR="0056194E" w:rsidRDefault="0056194E">
      <w:pPr>
        <w:pStyle w:val="Textopreformateado"/>
        <w:numPr>
          <w:ilvl w:val="0"/>
          <w:numId w:val="13"/>
        </w:numPr>
        <w:spacing w:after="283"/>
        <w:jc w:val="both"/>
        <w:rPr>
          <w:rFonts w:ascii="Arial" w:hAnsi="Arial" w:cs="Arial"/>
          <w:lang w:val="en-US"/>
        </w:rPr>
      </w:pPr>
      <w:r w:rsidRPr="008F6199">
        <w:rPr>
          <w:rFonts w:ascii="Arial" w:hAnsi="Arial" w:cs="Arial"/>
          <w:lang w:val="en-GB"/>
        </w:rPr>
        <w:t xml:space="preserve">Rydzewska LHM, Burdett S, Vale CL, Clarke NW, Fizazi </w:t>
      </w:r>
      <w:r>
        <w:rPr>
          <w:rFonts w:ascii="Arial" w:hAnsi="Arial" w:cs="Arial"/>
          <w:lang w:val="en-US"/>
        </w:rPr>
        <w:t xml:space="preserve">K, Kheoh T, et al. Adding abiraterone to androgen deprivation therapy in men with metastatic hormone-sensitive prostate cancer: A systematic review and meta-analysis. </w:t>
      </w:r>
      <w:r w:rsidRPr="00577AB2">
        <w:rPr>
          <w:rFonts w:ascii="Arial" w:hAnsi="Arial" w:cs="Arial"/>
          <w:lang w:val="en-GB"/>
        </w:rPr>
        <w:t xml:space="preserve">Eur J Cancer. 2017 Oct;84:88–101. </w:t>
      </w:r>
    </w:p>
    <w:p w:rsidR="0056194E" w:rsidRPr="00E331EC" w:rsidRDefault="0056194E">
      <w:pPr>
        <w:pStyle w:val="Textopreformateado"/>
        <w:numPr>
          <w:ilvl w:val="0"/>
          <w:numId w:val="13"/>
        </w:numPr>
        <w:spacing w:after="283"/>
        <w:jc w:val="both"/>
        <w:rPr>
          <w:rFonts w:ascii="Arial" w:hAnsi="Arial" w:cs="Arial"/>
          <w:lang w:val="fr-FR"/>
        </w:rPr>
      </w:pPr>
      <w:r>
        <w:rPr>
          <w:rFonts w:ascii="Arial" w:hAnsi="Arial" w:cs="Arial"/>
          <w:lang w:val="en-US"/>
        </w:rPr>
        <w:t xml:space="preserve">Wallis CJD, Klaassen Z, Bhindi B, Goldberg H, Chandrasekar T, Farrell AM, et al. Comparison of Abiraterone Acetate and Docetaxel with Androgen Deprivation Therapy in High-risk and Metastatic Hormone-naïve Prostate Cancer: A Systematic Review and Network Meta-analysis. </w:t>
      </w:r>
      <w:r w:rsidRPr="00577AB2">
        <w:rPr>
          <w:rFonts w:ascii="Arial" w:hAnsi="Arial" w:cs="Arial"/>
          <w:lang w:val="en-GB"/>
        </w:rPr>
        <w:t xml:space="preserve">EurUrol. 2017 Oct 13. </w:t>
      </w:r>
    </w:p>
    <w:p w:rsidR="008503B4" w:rsidRDefault="008503B4" w:rsidP="008503B4">
      <w:pPr>
        <w:pStyle w:val="Textopreformateado"/>
        <w:numPr>
          <w:ilvl w:val="0"/>
          <w:numId w:val="13"/>
        </w:numPr>
        <w:jc w:val="both"/>
        <w:rPr>
          <w:rFonts w:ascii="Arial" w:hAnsi="Arial" w:cs="Arial"/>
          <w:lang w:val="fr-FR"/>
        </w:rPr>
      </w:pPr>
      <w:r>
        <w:rPr>
          <w:rFonts w:ascii="Arial" w:hAnsi="Arial" w:cs="Arial"/>
          <w:lang w:val="en-US"/>
        </w:rPr>
        <w:t xml:space="preserve">ESMO Conference Platform [Internet]. [cited 2017 Nov 20]. </w:t>
      </w:r>
      <w:r>
        <w:rPr>
          <w:rFonts w:ascii="Arial" w:hAnsi="Arial" w:cs="Arial"/>
          <w:lang w:val="fr-FR"/>
        </w:rPr>
        <w:t>Available from: </w:t>
      </w:r>
      <w:hyperlink r:id="rId35" w:anchor="2Bb390Yf" w:history="1">
        <w:r>
          <w:rPr>
            <w:rStyle w:val="Hipervnculo"/>
            <w:rFonts w:ascii="Arial" w:hAnsi="Arial" w:cs="Arial"/>
            <w:color w:val="auto"/>
            <w:lang w:val="fr-FR"/>
          </w:rPr>
          <w:t>https://cslide.ctimeetingtech.com/library/esmo/browse/itinerary/5404/2017-09-08#2Bb390Yf</w:t>
        </w:r>
      </w:hyperlink>
    </w:p>
    <w:p w:rsidR="0056194E" w:rsidRPr="008503B4" w:rsidRDefault="00E331EC" w:rsidP="008503B4">
      <w:pPr>
        <w:pStyle w:val="Textopreformateado"/>
        <w:numPr>
          <w:ilvl w:val="0"/>
          <w:numId w:val="13"/>
        </w:numPr>
        <w:spacing w:after="283"/>
        <w:jc w:val="both"/>
        <w:rPr>
          <w:rFonts w:ascii="Arial" w:hAnsi="Arial" w:cs="Arial"/>
          <w:lang w:val="fr-FR"/>
        </w:rPr>
      </w:pPr>
      <w:r w:rsidRPr="00E331EC">
        <w:rPr>
          <w:rFonts w:ascii="Arial" w:hAnsi="Arial" w:cs="Arial"/>
          <w:lang w:val="fr-FR"/>
        </w:rPr>
        <w:t xml:space="preserve">Loay Kassem, Kyrillus S. Shohdy </w:t>
      </w:r>
      <w:r>
        <w:rPr>
          <w:rFonts w:ascii="Arial" w:hAnsi="Arial" w:cs="Arial"/>
          <w:lang w:val="fr-FR"/>
        </w:rPr>
        <w:t>et</w:t>
      </w:r>
      <w:r w:rsidRPr="00E331EC">
        <w:rPr>
          <w:rFonts w:ascii="Arial" w:hAnsi="Arial" w:cs="Arial"/>
          <w:lang w:val="fr-FR"/>
        </w:rPr>
        <w:t xml:space="preserve"> Omar Abdel-Rahman. Abiraterone acetate/androgen deprivation therapy combination versus docetaxel/androgen deprivation therapy combination in advanced hormone-sensitive prostate cancer: a network meta-analysis on safety</w:t>
      </w:r>
      <w:r>
        <w:rPr>
          <w:rFonts w:ascii="Arial" w:hAnsi="Arial" w:cs="Arial"/>
          <w:lang w:val="fr-FR"/>
        </w:rPr>
        <w:t xml:space="preserve"> </w:t>
      </w:r>
      <w:r w:rsidRPr="00E331EC">
        <w:rPr>
          <w:rFonts w:ascii="Arial" w:hAnsi="Arial" w:cs="Arial"/>
          <w:lang w:val="fr-FR"/>
        </w:rPr>
        <w:t>and efficacy, Current Medical Research and Opinion, DOI: 10.1080/03007995.2018.1447450</w:t>
      </w:r>
    </w:p>
    <w:p w:rsidR="0056194E" w:rsidRDefault="0056194E">
      <w:pPr>
        <w:pStyle w:val="Textopreformateado"/>
        <w:jc w:val="both"/>
        <w:rPr>
          <w:rFonts w:ascii="Arial" w:hAnsi="Arial" w:cs="Arial"/>
          <w:lang w:val="fr-FR"/>
        </w:rPr>
      </w:pPr>
    </w:p>
    <w:p w:rsidR="0056194E" w:rsidRDefault="0056194E">
      <w:pPr>
        <w:pStyle w:val="Textoindependiente"/>
        <w:numPr>
          <w:ilvl w:val="0"/>
          <w:numId w:val="13"/>
        </w:numPr>
        <w:jc w:val="both"/>
        <w:rPr>
          <w:rFonts w:ascii="Arial" w:hAnsi="Arial" w:cs="Arial"/>
          <w:sz w:val="20"/>
          <w:lang w:val="en-US"/>
        </w:rPr>
      </w:pPr>
      <w:r>
        <w:rPr>
          <w:rFonts w:ascii="Arial" w:hAnsi="Arial" w:cs="Arial"/>
          <w:sz w:val="20"/>
          <w:lang w:val="en-US"/>
        </w:rPr>
        <w:t>James ND, Sydes MR, Clarke NW, Mason MD, Dearnaley DP, Spears MR, et al. Addition of docetaxel, zoledronic acid, or both to first-line long-term hormone therapy in prostate cancer (STAMPEDE): survival results from an adaptive, multiarm, multistage, platform randomised controlled trial. The Lancet [Internet]. 2016 Mar 19 [cited 2017 Nov 20];387(10024):1163–77. Available from: </w:t>
      </w:r>
      <w:hyperlink r:id="rId36" w:history="1">
        <w:r>
          <w:rPr>
            <w:rStyle w:val="Hipervnculo"/>
            <w:rFonts w:ascii="Arial" w:hAnsi="Arial" w:cs="Arial"/>
            <w:color w:val="auto"/>
            <w:sz w:val="20"/>
            <w:lang w:val="en-US"/>
          </w:rPr>
          <w:t>http://www.sciencedirect.com/science/article/pii/S01406736150</w:t>
        </w:r>
      </w:hyperlink>
    </w:p>
    <w:p w:rsidR="0056194E" w:rsidRDefault="0056194E">
      <w:pPr>
        <w:pStyle w:val="Textoindependiente"/>
        <w:jc w:val="both"/>
        <w:rPr>
          <w:rFonts w:ascii="Arial" w:hAnsi="Arial" w:cs="Arial"/>
          <w:sz w:val="20"/>
          <w:lang w:val="en-US"/>
        </w:rPr>
      </w:pPr>
    </w:p>
    <w:p w:rsidR="0056194E" w:rsidRPr="006A311C" w:rsidRDefault="0056194E">
      <w:pPr>
        <w:pStyle w:val="Textoindependiente"/>
        <w:numPr>
          <w:ilvl w:val="0"/>
          <w:numId w:val="13"/>
        </w:numPr>
        <w:jc w:val="both"/>
        <w:rPr>
          <w:rFonts w:ascii="Arial" w:hAnsi="Arial" w:cs="Arial"/>
          <w:sz w:val="20"/>
          <w:lang w:val="fr-FR"/>
        </w:rPr>
      </w:pPr>
      <w:r>
        <w:rPr>
          <w:rStyle w:val="Hipervnculo"/>
          <w:rFonts w:ascii="Arial" w:hAnsi="Arial" w:cs="Arial"/>
          <w:color w:val="auto"/>
          <w:sz w:val="20"/>
          <w:u w:val="none"/>
          <w:lang w:val="en-US"/>
        </w:rPr>
        <w:t xml:space="preserve">Wells GA, Sultan SA, Chen L, Khan M, Coyle D. Indirect evidence: indirect treatment comparisons in meta-analysis. Ottawa: Canadian Agency for Drugs and Technologies in Health; 2009 [consultada 28 May 2010]. </w:t>
      </w:r>
      <w:r w:rsidRPr="006A311C">
        <w:rPr>
          <w:rStyle w:val="Hipervnculo"/>
          <w:rFonts w:ascii="Arial" w:hAnsi="Arial" w:cs="Arial"/>
          <w:color w:val="auto"/>
          <w:sz w:val="20"/>
          <w:u w:val="none"/>
          <w:lang w:val="fr-FR"/>
        </w:rPr>
        <w:t>Disponible en: http://www.cadth.ca/index.php/en/hta/reports-publications /search/publication/884</w:t>
      </w:r>
    </w:p>
    <w:p w:rsidR="0056194E" w:rsidRPr="006A311C" w:rsidRDefault="0056194E">
      <w:pPr>
        <w:pStyle w:val="Textoindependiente"/>
        <w:jc w:val="both"/>
        <w:rPr>
          <w:rFonts w:ascii="Arial" w:hAnsi="Arial" w:cs="Arial"/>
          <w:sz w:val="20"/>
          <w:lang w:val="fr-FR"/>
        </w:rPr>
      </w:pPr>
    </w:p>
    <w:p w:rsidR="0056194E" w:rsidRDefault="0056194E">
      <w:pPr>
        <w:pStyle w:val="Textoindependiente"/>
        <w:numPr>
          <w:ilvl w:val="0"/>
          <w:numId w:val="13"/>
        </w:numPr>
        <w:jc w:val="both"/>
        <w:rPr>
          <w:rStyle w:val="Hipervnculo"/>
          <w:rFonts w:ascii="Arial" w:hAnsi="Arial" w:cs="Arial"/>
          <w:color w:val="auto"/>
          <w:sz w:val="20"/>
          <w:u w:val="none"/>
        </w:rPr>
      </w:pPr>
      <w:r>
        <w:rPr>
          <w:rStyle w:val="Hipervnculo"/>
          <w:rFonts w:ascii="Arial" w:hAnsi="Arial" w:cs="Arial"/>
          <w:color w:val="auto"/>
          <w:sz w:val="20"/>
          <w:u w:val="none"/>
          <w:lang w:val="en-US"/>
        </w:rPr>
        <w:t>NCCN: National Comprehensive Cancer Network. [internet] Washington: NCCN; 201</w:t>
      </w:r>
      <w:r w:rsidR="004175FD">
        <w:rPr>
          <w:rStyle w:val="Hipervnculo"/>
          <w:rFonts w:ascii="Arial" w:hAnsi="Arial" w:cs="Arial"/>
          <w:color w:val="auto"/>
          <w:sz w:val="20"/>
          <w:u w:val="none"/>
          <w:lang w:val="en-US"/>
        </w:rPr>
        <w:t>8</w:t>
      </w:r>
      <w:r>
        <w:rPr>
          <w:rStyle w:val="Hipervnculo"/>
          <w:rFonts w:ascii="Arial" w:hAnsi="Arial" w:cs="Arial"/>
          <w:color w:val="auto"/>
          <w:sz w:val="20"/>
          <w:u w:val="none"/>
          <w:lang w:val="en-US"/>
        </w:rPr>
        <w:t xml:space="preserve">. NCCN Clinical Practice Guidelines in Oncology (NCCN guidelines®) Prostate Cancer </w:t>
      </w:r>
      <w:r w:rsidR="004175FD" w:rsidRPr="004175FD">
        <w:rPr>
          <w:rStyle w:val="Hipervnculo"/>
          <w:rFonts w:ascii="Arial" w:hAnsi="Arial" w:cs="Arial"/>
          <w:color w:val="auto"/>
          <w:sz w:val="20"/>
          <w:u w:val="none"/>
          <w:lang w:val="en-US"/>
        </w:rPr>
        <w:t>Version 4.2018</w:t>
      </w:r>
      <w:r w:rsidR="004175FD">
        <w:rPr>
          <w:rStyle w:val="Hipervnculo"/>
          <w:rFonts w:ascii="Arial" w:hAnsi="Arial" w:cs="Arial"/>
          <w:color w:val="auto"/>
          <w:sz w:val="20"/>
          <w:u w:val="none"/>
          <w:lang w:val="en-US"/>
        </w:rPr>
        <w:t xml:space="preserve"> </w:t>
      </w:r>
      <w:r>
        <w:rPr>
          <w:rStyle w:val="Hipervnculo"/>
          <w:rFonts w:ascii="Arial" w:hAnsi="Arial" w:cs="Arial"/>
          <w:color w:val="auto"/>
          <w:sz w:val="20"/>
          <w:u w:val="none"/>
          <w:lang w:val="en-US"/>
        </w:rPr>
        <w:t xml:space="preserve">[Consulta: </w:t>
      </w:r>
      <w:r w:rsidR="004175FD">
        <w:rPr>
          <w:rStyle w:val="Hipervnculo"/>
          <w:rFonts w:ascii="Arial" w:hAnsi="Arial" w:cs="Arial"/>
          <w:color w:val="auto"/>
          <w:sz w:val="20"/>
          <w:u w:val="none"/>
          <w:lang w:val="en-US"/>
        </w:rPr>
        <w:t>15</w:t>
      </w:r>
      <w:r>
        <w:rPr>
          <w:rStyle w:val="Hipervnculo"/>
          <w:rFonts w:ascii="Arial" w:hAnsi="Arial" w:cs="Arial"/>
          <w:color w:val="auto"/>
          <w:sz w:val="20"/>
          <w:u w:val="none"/>
          <w:lang w:val="en-US"/>
        </w:rPr>
        <w:t>/</w:t>
      </w:r>
      <w:r w:rsidR="004175FD">
        <w:rPr>
          <w:rStyle w:val="Hipervnculo"/>
          <w:rFonts w:ascii="Arial" w:hAnsi="Arial" w:cs="Arial"/>
          <w:color w:val="auto"/>
          <w:sz w:val="20"/>
          <w:u w:val="none"/>
          <w:lang w:val="en-US"/>
        </w:rPr>
        <w:t>01</w:t>
      </w:r>
      <w:r>
        <w:rPr>
          <w:rStyle w:val="Hipervnculo"/>
          <w:rFonts w:ascii="Arial" w:hAnsi="Arial" w:cs="Arial"/>
          <w:color w:val="auto"/>
          <w:sz w:val="20"/>
          <w:u w:val="none"/>
          <w:lang w:val="en-US"/>
        </w:rPr>
        <w:t>/201</w:t>
      </w:r>
      <w:r w:rsidR="004175FD">
        <w:rPr>
          <w:rStyle w:val="Hipervnculo"/>
          <w:rFonts w:ascii="Arial" w:hAnsi="Arial" w:cs="Arial"/>
          <w:color w:val="auto"/>
          <w:sz w:val="20"/>
          <w:u w:val="none"/>
          <w:lang w:val="en-US"/>
        </w:rPr>
        <w:t>8</w:t>
      </w:r>
      <w:r>
        <w:rPr>
          <w:rStyle w:val="Hipervnculo"/>
          <w:rFonts w:ascii="Arial" w:hAnsi="Arial" w:cs="Arial"/>
          <w:color w:val="auto"/>
          <w:sz w:val="20"/>
          <w:u w:val="none"/>
          <w:lang w:val="en-US"/>
        </w:rPr>
        <w:t xml:space="preserve">]. </w:t>
      </w:r>
      <w:r>
        <w:rPr>
          <w:rStyle w:val="Hipervnculo"/>
          <w:rFonts w:ascii="Arial" w:hAnsi="Arial" w:cs="Arial"/>
          <w:color w:val="auto"/>
          <w:sz w:val="20"/>
          <w:u w:val="none"/>
        </w:rPr>
        <w:t xml:space="preserve">Disponible en: </w:t>
      </w:r>
      <w:hyperlink r:id="rId37" w:history="1">
        <w:r>
          <w:rPr>
            <w:rStyle w:val="Hipervnculo"/>
            <w:rFonts w:ascii="Arial" w:hAnsi="Arial" w:cs="Arial"/>
            <w:color w:val="auto"/>
            <w:sz w:val="20"/>
            <w:u w:val="none"/>
          </w:rPr>
          <w:t>https://www.nccn.org/professionals/physician_gls/pdf/prostate_blocks.pdf</w:t>
        </w:r>
      </w:hyperlink>
    </w:p>
    <w:p w:rsidR="00816E38" w:rsidRDefault="00816E38" w:rsidP="00085C0D">
      <w:pPr>
        <w:pStyle w:val="Textoindependiente"/>
        <w:ind w:left="720"/>
        <w:jc w:val="both"/>
        <w:rPr>
          <w:rStyle w:val="Hipervnculo"/>
          <w:rFonts w:ascii="Arial" w:hAnsi="Arial" w:cs="Arial"/>
          <w:color w:val="auto"/>
          <w:sz w:val="20"/>
          <w:u w:val="none"/>
        </w:rPr>
      </w:pPr>
    </w:p>
    <w:p w:rsidR="0056194E" w:rsidRPr="006A7956" w:rsidRDefault="00816E38" w:rsidP="009F7FE3">
      <w:pPr>
        <w:numPr>
          <w:ilvl w:val="0"/>
          <w:numId w:val="13"/>
        </w:numPr>
        <w:suppressAutoHyphens w:val="0"/>
        <w:autoSpaceDE w:val="0"/>
        <w:autoSpaceDN w:val="0"/>
        <w:adjustRightInd w:val="0"/>
        <w:spacing w:after="160"/>
        <w:jc w:val="both"/>
        <w:rPr>
          <w:rFonts w:ascii="Arial" w:hAnsi="Arial" w:cs="Arial"/>
          <w:sz w:val="20"/>
        </w:rPr>
      </w:pPr>
      <w:r w:rsidRPr="00085C0D">
        <w:rPr>
          <w:rFonts w:ascii="Arial" w:hAnsi="Arial" w:cs="Arial"/>
          <w:sz w:val="20"/>
          <w:szCs w:val="20"/>
          <w:lang w:val="en-GB"/>
        </w:rPr>
        <w:t xml:space="preserve">NICE: The National Institute for Health and Care Excellence. [internet] Appraisal consultation document – abiraterone for untreated high-risk hormone-sensitive metastatic prostate cancer. </w:t>
      </w:r>
      <w:r w:rsidRPr="00BD0D09">
        <w:rPr>
          <w:rFonts w:ascii="Arial" w:hAnsi="Arial" w:cs="Arial"/>
          <w:sz w:val="20"/>
          <w:szCs w:val="20"/>
          <w:lang w:val="es-ES_tradnl"/>
        </w:rPr>
        <w:t xml:space="preserve">Fecha de publicación: 01.05.2018. [Consulta: 14/11/2018] Disponible en: </w:t>
      </w:r>
      <w:hyperlink r:id="rId38" w:history="1">
        <w:r w:rsidR="006A7956" w:rsidRPr="00357DEF">
          <w:rPr>
            <w:rStyle w:val="Hipervnculo"/>
            <w:rFonts w:ascii="Arial" w:hAnsi="Arial" w:cs="Arial"/>
            <w:sz w:val="20"/>
            <w:szCs w:val="20"/>
            <w:lang w:val="es-ES_tradnl"/>
          </w:rPr>
          <w:t>https://www.nice.org.uk/guidance/gid-ta10122/documents/appraisal-consultation-document</w:t>
        </w:r>
      </w:hyperlink>
    </w:p>
    <w:p w:rsidR="006A7956" w:rsidRPr="00085C0D" w:rsidRDefault="006A7956" w:rsidP="009F7FE3">
      <w:pPr>
        <w:numPr>
          <w:ilvl w:val="0"/>
          <w:numId w:val="13"/>
        </w:numPr>
        <w:suppressAutoHyphens w:val="0"/>
        <w:autoSpaceDE w:val="0"/>
        <w:autoSpaceDN w:val="0"/>
        <w:adjustRightInd w:val="0"/>
        <w:spacing w:after="160"/>
        <w:jc w:val="both"/>
        <w:rPr>
          <w:rFonts w:ascii="Arial" w:hAnsi="Arial" w:cs="Arial"/>
          <w:sz w:val="20"/>
        </w:rPr>
      </w:pPr>
      <w:r w:rsidRPr="00A43D05">
        <w:rPr>
          <w:rFonts w:ascii="Arial" w:hAnsi="Arial" w:cs="Arial"/>
          <w:sz w:val="20"/>
          <w:lang w:val="en-GB"/>
        </w:rPr>
        <w:t xml:space="preserve">ESMO: European Society for Medical Oncology </w:t>
      </w:r>
      <w:r>
        <w:rPr>
          <w:rStyle w:val="Hipervnculo"/>
          <w:rFonts w:ascii="Arial" w:hAnsi="Arial" w:cs="Arial"/>
          <w:color w:val="auto"/>
          <w:sz w:val="20"/>
          <w:u w:val="none"/>
          <w:lang w:val="en-US"/>
        </w:rPr>
        <w:t xml:space="preserve">[internet] </w:t>
      </w:r>
      <w:r w:rsidRPr="006A7956">
        <w:rPr>
          <w:rStyle w:val="Hipervnculo"/>
          <w:rFonts w:ascii="Arial" w:hAnsi="Arial" w:cs="Arial"/>
          <w:color w:val="auto"/>
          <w:sz w:val="20"/>
          <w:u w:val="none"/>
          <w:lang w:val="en-US"/>
        </w:rPr>
        <w:t>Lugano</w:t>
      </w:r>
      <w:r w:rsidR="005E3583">
        <w:rPr>
          <w:rStyle w:val="Hipervnculo"/>
          <w:rFonts w:ascii="Arial" w:hAnsi="Arial" w:cs="Arial"/>
          <w:color w:val="auto"/>
          <w:sz w:val="20"/>
          <w:u w:val="none"/>
          <w:lang w:val="en-US"/>
        </w:rPr>
        <w:t>: ESMO; 2018.</w:t>
      </w:r>
      <w:r w:rsidR="005E3583" w:rsidRPr="00A43D05">
        <w:rPr>
          <w:lang w:val="en-GB"/>
        </w:rPr>
        <w:t xml:space="preserve"> </w:t>
      </w:r>
      <w:r w:rsidR="005E3583" w:rsidRPr="005E3583">
        <w:rPr>
          <w:rStyle w:val="Hipervnculo"/>
          <w:rFonts w:ascii="Arial" w:hAnsi="Arial" w:cs="Arial"/>
          <w:color w:val="auto"/>
          <w:sz w:val="20"/>
          <w:u w:val="none"/>
          <w:lang w:val="en-US"/>
        </w:rPr>
        <w:t>eUpdate – Cancer of the Prostate Treatment Recommendations</w:t>
      </w:r>
      <w:r w:rsidR="005E3583">
        <w:rPr>
          <w:rStyle w:val="Hipervnculo"/>
          <w:rFonts w:ascii="Arial" w:hAnsi="Arial" w:cs="Arial"/>
          <w:color w:val="auto"/>
          <w:sz w:val="20"/>
          <w:u w:val="none"/>
          <w:lang w:val="en-US"/>
        </w:rPr>
        <w:t xml:space="preserve">. </w:t>
      </w:r>
      <w:r w:rsidR="005E3583" w:rsidRPr="00BD0D09">
        <w:rPr>
          <w:rFonts w:ascii="Arial" w:hAnsi="Arial" w:cs="Arial"/>
          <w:sz w:val="20"/>
          <w:szCs w:val="20"/>
          <w:lang w:val="es-ES_tradnl"/>
        </w:rPr>
        <w:t xml:space="preserve">Fecha de publicación: </w:t>
      </w:r>
      <w:r w:rsidR="005E3583">
        <w:rPr>
          <w:rFonts w:ascii="Arial" w:hAnsi="Arial" w:cs="Arial"/>
          <w:sz w:val="20"/>
          <w:szCs w:val="20"/>
          <w:lang w:val="es-ES_tradnl"/>
        </w:rPr>
        <w:t>28</w:t>
      </w:r>
      <w:r w:rsidR="005E3583" w:rsidRPr="00BD0D09">
        <w:rPr>
          <w:rFonts w:ascii="Arial" w:hAnsi="Arial" w:cs="Arial"/>
          <w:sz w:val="20"/>
          <w:szCs w:val="20"/>
          <w:lang w:val="es-ES_tradnl"/>
        </w:rPr>
        <w:t>.</w:t>
      </w:r>
      <w:r w:rsidR="005E3583">
        <w:rPr>
          <w:rFonts w:ascii="Arial" w:hAnsi="Arial" w:cs="Arial"/>
          <w:sz w:val="20"/>
          <w:szCs w:val="20"/>
          <w:lang w:val="es-ES_tradnl"/>
        </w:rPr>
        <w:t>09</w:t>
      </w:r>
      <w:r w:rsidR="005E3583" w:rsidRPr="00BD0D09">
        <w:rPr>
          <w:rFonts w:ascii="Arial" w:hAnsi="Arial" w:cs="Arial"/>
          <w:sz w:val="20"/>
          <w:szCs w:val="20"/>
          <w:lang w:val="es-ES_tradnl"/>
        </w:rPr>
        <w:t>.201</w:t>
      </w:r>
      <w:r w:rsidR="005E3583">
        <w:rPr>
          <w:rFonts w:ascii="Arial" w:hAnsi="Arial" w:cs="Arial"/>
          <w:sz w:val="20"/>
          <w:szCs w:val="20"/>
          <w:lang w:val="es-ES_tradnl"/>
        </w:rPr>
        <w:t xml:space="preserve">7 </w:t>
      </w:r>
      <w:r w:rsidR="005E3583" w:rsidRPr="00BD0D09">
        <w:rPr>
          <w:rFonts w:ascii="Arial" w:hAnsi="Arial" w:cs="Arial"/>
          <w:sz w:val="20"/>
          <w:szCs w:val="20"/>
          <w:lang w:val="es-ES_tradnl"/>
        </w:rPr>
        <w:t>[Consulta: 1</w:t>
      </w:r>
      <w:r w:rsidR="005E3583">
        <w:rPr>
          <w:rFonts w:ascii="Arial" w:hAnsi="Arial" w:cs="Arial"/>
          <w:sz w:val="20"/>
          <w:szCs w:val="20"/>
          <w:lang w:val="es-ES_tradnl"/>
        </w:rPr>
        <w:t>5</w:t>
      </w:r>
      <w:r w:rsidR="005E3583" w:rsidRPr="00BD0D09">
        <w:rPr>
          <w:rFonts w:ascii="Arial" w:hAnsi="Arial" w:cs="Arial"/>
          <w:sz w:val="20"/>
          <w:szCs w:val="20"/>
          <w:lang w:val="es-ES_tradnl"/>
        </w:rPr>
        <w:t>/</w:t>
      </w:r>
      <w:r w:rsidR="005E3583">
        <w:rPr>
          <w:rFonts w:ascii="Arial" w:hAnsi="Arial" w:cs="Arial"/>
          <w:sz w:val="20"/>
          <w:szCs w:val="20"/>
          <w:lang w:val="es-ES_tradnl"/>
        </w:rPr>
        <w:t>01</w:t>
      </w:r>
      <w:r w:rsidR="005E3583" w:rsidRPr="00BD0D09">
        <w:rPr>
          <w:rFonts w:ascii="Arial" w:hAnsi="Arial" w:cs="Arial"/>
          <w:sz w:val="20"/>
          <w:szCs w:val="20"/>
          <w:lang w:val="es-ES_tradnl"/>
        </w:rPr>
        <w:t>/201</w:t>
      </w:r>
      <w:r w:rsidR="005E3583">
        <w:rPr>
          <w:rFonts w:ascii="Arial" w:hAnsi="Arial" w:cs="Arial"/>
          <w:sz w:val="20"/>
          <w:szCs w:val="20"/>
          <w:lang w:val="es-ES_tradnl"/>
        </w:rPr>
        <w:t>9</w:t>
      </w:r>
      <w:r w:rsidR="005E3583" w:rsidRPr="00BD0D09">
        <w:rPr>
          <w:rFonts w:ascii="Arial" w:hAnsi="Arial" w:cs="Arial"/>
          <w:sz w:val="20"/>
          <w:szCs w:val="20"/>
          <w:lang w:val="es-ES_tradnl"/>
        </w:rPr>
        <w:t>] Disponible en:</w:t>
      </w:r>
      <w:r w:rsidR="005E3583">
        <w:rPr>
          <w:rFonts w:ascii="Arial" w:hAnsi="Arial" w:cs="Arial"/>
          <w:sz w:val="20"/>
          <w:szCs w:val="20"/>
          <w:lang w:val="es-ES_tradnl"/>
        </w:rPr>
        <w:t xml:space="preserve"> </w:t>
      </w:r>
      <w:r w:rsidR="005E3583" w:rsidRPr="005E3583">
        <w:rPr>
          <w:rFonts w:ascii="Arial" w:hAnsi="Arial" w:cs="Arial"/>
          <w:sz w:val="20"/>
          <w:szCs w:val="20"/>
          <w:lang w:val="es-ES_tradnl"/>
        </w:rPr>
        <w:t>https://www.esmo.org/Guidelines/Genitourinary-Cancers/Cancer-of-the-Prostate/eUpdate-Treatment-Recommendation</w:t>
      </w:r>
    </w:p>
    <w:p w:rsidR="0056194E" w:rsidRDefault="0056194E">
      <w:pPr>
        <w:numPr>
          <w:ilvl w:val="0"/>
          <w:numId w:val="13"/>
        </w:numPr>
        <w:autoSpaceDE w:val="0"/>
        <w:spacing w:after="160"/>
        <w:jc w:val="both"/>
        <w:rPr>
          <w:rStyle w:val="Hipervnculo"/>
          <w:rFonts w:ascii="Arial" w:hAnsi="Arial" w:cs="Arial"/>
          <w:color w:val="222222"/>
          <w:sz w:val="20"/>
          <w:u w:val="none"/>
          <w:lang w:val="en-US"/>
        </w:rPr>
      </w:pPr>
      <w:r>
        <w:rPr>
          <w:rStyle w:val="Hipervnculo"/>
          <w:rFonts w:ascii="Arial" w:hAnsi="Arial" w:cs="Arial"/>
          <w:color w:val="222222"/>
          <w:sz w:val="20"/>
          <w:szCs w:val="20"/>
          <w:u w:val="none"/>
        </w:rPr>
        <w:t>Arocho R, García de Paredes M, Maurel J, Lema M, Warren MH, Rubio-Terrés C. Análisis del coste de la terapia biológica del cáncer colorrectal metastásico con panitumumab y cetuximab. PharmacoEconomics - Spanish Research Articles 6 (2): 55-65, 2009-</w:t>
      </w:r>
    </w:p>
    <w:p w:rsidR="0056194E" w:rsidRPr="004A3A8D" w:rsidRDefault="0056194E">
      <w:pPr>
        <w:pStyle w:val="Textoindependiente"/>
        <w:numPr>
          <w:ilvl w:val="0"/>
          <w:numId w:val="13"/>
        </w:numPr>
        <w:jc w:val="both"/>
        <w:rPr>
          <w:lang w:val="fr-FR"/>
        </w:rPr>
      </w:pPr>
      <w:r>
        <w:rPr>
          <w:rStyle w:val="Hipervnculo"/>
          <w:rFonts w:ascii="Arial" w:hAnsi="Arial" w:cs="Arial"/>
          <w:color w:val="222222"/>
          <w:sz w:val="20"/>
          <w:u w:val="none"/>
          <w:lang w:val="en-US"/>
        </w:rPr>
        <w:t xml:space="preserve">Cost Benefit Analysis in Hong Kong Decides Against Adding Abiraterone Plus Prednisone to ADT in Metastatic Hormone Sensitive Prostate Cancer | ESMO [Internet]. [cited 2017 Nov 24]. </w:t>
      </w:r>
      <w:r w:rsidRPr="004A3A8D">
        <w:rPr>
          <w:rStyle w:val="Hipervnculo"/>
          <w:rFonts w:ascii="Arial" w:hAnsi="Arial" w:cs="Arial"/>
          <w:color w:val="222222"/>
          <w:sz w:val="20"/>
          <w:u w:val="none"/>
          <w:lang w:val="fr-FR"/>
        </w:rPr>
        <w:t>Available from: </w:t>
      </w:r>
      <w:hyperlink r:id="rId39" w:history="1">
        <w:r w:rsidRPr="009B0718">
          <w:rPr>
            <w:rStyle w:val="Hipervnculo"/>
            <w:rFonts w:ascii="Arial" w:hAnsi="Arial" w:cs="Arial"/>
            <w:color w:val="222222"/>
            <w:sz w:val="20"/>
            <w:lang w:val="fr-FR"/>
          </w:rPr>
          <w:t>http://www.esmo.org/Conferences/ESMO-Asia-2017-Congress/News/Cost-Benefit-Analysis-in-Hong-Kong-Decides-Against-Adding-Abiraterone-Plus-Prednisone-to-ADT-in-Metastatic-Hormone-Sensitive-Prostate-Cancer</w:t>
        </w:r>
      </w:hyperlink>
    </w:p>
    <w:p w:rsidR="0056194E" w:rsidRPr="004A3A8D" w:rsidRDefault="0056194E">
      <w:pPr>
        <w:pStyle w:val="Textoindependiente"/>
        <w:ind w:left="360"/>
        <w:jc w:val="both"/>
        <w:rPr>
          <w:lang w:val="fr-FR"/>
        </w:rPr>
      </w:pPr>
    </w:p>
    <w:p w:rsidR="0056194E" w:rsidRDefault="0056194E">
      <w:pPr>
        <w:pStyle w:val="Textoindependiente"/>
        <w:numPr>
          <w:ilvl w:val="0"/>
          <w:numId w:val="13"/>
        </w:numPr>
        <w:jc w:val="both"/>
        <w:rPr>
          <w:rFonts w:ascii="Arial" w:hAnsi="Arial" w:cs="Arial"/>
          <w:sz w:val="20"/>
        </w:rPr>
      </w:pPr>
      <w:r>
        <w:rPr>
          <w:rStyle w:val="Hipervnculo"/>
          <w:rFonts w:ascii="Arial" w:hAnsi="Arial" w:cs="Arial"/>
          <w:bCs/>
          <w:color w:val="auto"/>
          <w:sz w:val="20"/>
          <w:u w:val="none"/>
        </w:rPr>
        <w:t xml:space="preserve">Vallejo-Torres L, García-Lorenzo B, Castilla I, Valcárcel Nazco C, GarcíaPérez L, Linertová R, Serrano-Aguilar P. Valor Monetario de un Año de Vida Ajustado por Calidad: Estimación empírica del coste de oportunidad en el Sistema Nacional de Salud. Ministerio de Sanidad, Servicios Sociales e Igualdad. Servicio de Evaluación del Servicio Canario de la Salud; 2015. </w:t>
      </w:r>
      <w:r>
        <w:rPr>
          <w:rStyle w:val="Hipervnculo"/>
          <w:rFonts w:ascii="Arial" w:hAnsi="Arial" w:cs="Arial"/>
          <w:bCs/>
          <w:color w:val="auto"/>
          <w:sz w:val="20"/>
          <w:u w:val="none"/>
          <w:lang w:val="en-US"/>
        </w:rPr>
        <w:t>Informes de Evaluación de Tecnologías</w:t>
      </w:r>
      <w:r w:rsidR="008503B4">
        <w:rPr>
          <w:rStyle w:val="Hipervnculo"/>
          <w:rFonts w:ascii="Arial" w:hAnsi="Arial" w:cs="Arial"/>
          <w:bCs/>
          <w:color w:val="auto"/>
          <w:sz w:val="20"/>
          <w:u w:val="none"/>
          <w:lang w:val="en-US"/>
        </w:rPr>
        <w:t xml:space="preserve"> </w:t>
      </w:r>
      <w:r>
        <w:rPr>
          <w:rStyle w:val="Hipervnculo"/>
          <w:rFonts w:ascii="Arial" w:hAnsi="Arial" w:cs="Arial"/>
          <w:bCs/>
          <w:color w:val="auto"/>
          <w:sz w:val="20"/>
          <w:u w:val="none"/>
          <w:lang w:val="en-US"/>
        </w:rPr>
        <w:t>Sanitaria</w:t>
      </w:r>
      <w:r w:rsidRPr="009B0718">
        <w:rPr>
          <w:rStyle w:val="Hipervnculo"/>
          <w:rFonts w:ascii="Arial" w:hAnsi="Arial" w:cs="Arial"/>
          <w:bCs/>
          <w:color w:val="auto"/>
          <w:sz w:val="20"/>
          <w:u w:val="none"/>
        </w:rPr>
        <w:t>s </w:t>
      </w:r>
      <w:hyperlink r:id="rId40" w:anchor="_blank" w:history="1">
        <w:r w:rsidRPr="009B0718">
          <w:rPr>
            <w:rStyle w:val="Hipervnculo"/>
            <w:rFonts w:ascii="Arial" w:hAnsi="Arial" w:cs="Arial"/>
            <w:bCs/>
            <w:color w:val="auto"/>
            <w:sz w:val="20"/>
            <w:u w:val="none"/>
          </w:rPr>
          <w:t>Estimación AVAC 2015</w:t>
        </w:r>
      </w:hyperlink>
      <w:r>
        <w:rPr>
          <w:rStyle w:val="Hipervnculo"/>
          <w:rFonts w:ascii="Arial" w:hAnsi="Arial" w:cs="Arial"/>
          <w:bCs/>
          <w:color w:val="auto"/>
          <w:sz w:val="20"/>
          <w:u w:val="none"/>
        </w:rPr>
        <w:t>.</w:t>
      </w:r>
    </w:p>
    <w:p w:rsidR="0056194E" w:rsidRPr="0017169E" w:rsidRDefault="0056194E">
      <w:pPr>
        <w:pStyle w:val="Textoindependiente"/>
        <w:jc w:val="both"/>
        <w:rPr>
          <w:rStyle w:val="Hipervnculo"/>
          <w:rFonts w:cs="Arial"/>
          <w:color w:val="222222"/>
          <w:u w:val="none"/>
          <w:lang w:val="en-US"/>
        </w:rPr>
      </w:pPr>
    </w:p>
    <w:p w:rsidR="0056194E" w:rsidRPr="00433FF5" w:rsidRDefault="0056194E">
      <w:pPr>
        <w:pStyle w:val="Textoindependiente"/>
        <w:numPr>
          <w:ilvl w:val="0"/>
          <w:numId w:val="13"/>
        </w:numPr>
        <w:jc w:val="both"/>
        <w:rPr>
          <w:rStyle w:val="Hipervnculo"/>
          <w:rFonts w:cs="Arial"/>
          <w:color w:val="222222"/>
          <w:u w:val="none"/>
        </w:rPr>
      </w:pPr>
      <w:r w:rsidRPr="008774CB">
        <w:rPr>
          <w:rStyle w:val="Hipervnculo"/>
          <w:rFonts w:ascii="Arial" w:hAnsi="Arial" w:cs="Arial"/>
          <w:color w:val="222222"/>
          <w:sz w:val="20"/>
          <w:u w:val="none"/>
        </w:rPr>
        <w:t xml:space="preserve">Flores Martín JF, Puche Sanz I, Vázquez Alonso F, Barrabino Martin R, La Iglesia Lozano B, Almonte Fernández H. et al. ¿Cuántos pacientes cumplen criterios chaarted al diagnóstico en la práctica urológica habitual En: Libro de resúmenes: LXXX Congreso Nacional de Urología. </w:t>
      </w:r>
      <w:r w:rsidRPr="00433FF5">
        <w:rPr>
          <w:rStyle w:val="Hipervnculo"/>
          <w:rFonts w:ascii="Arial" w:hAnsi="Arial" w:cs="Arial"/>
          <w:color w:val="222222"/>
          <w:sz w:val="20"/>
          <w:u w:val="none"/>
        </w:rPr>
        <w:t>Salamanca 2015. P-62.</w:t>
      </w:r>
    </w:p>
    <w:p w:rsidR="0056194E" w:rsidRPr="00482F45" w:rsidRDefault="0056194E" w:rsidP="0017169E">
      <w:pPr>
        <w:pStyle w:val="Textoindependiente"/>
        <w:ind w:left="360"/>
        <w:jc w:val="both"/>
        <w:rPr>
          <w:rFonts w:ascii="Arial" w:hAnsi="Arial" w:cs="Arial"/>
          <w:sz w:val="20"/>
        </w:rPr>
      </w:pPr>
    </w:p>
    <w:p w:rsidR="0056194E" w:rsidRDefault="0056194E" w:rsidP="00482F45">
      <w:pPr>
        <w:pStyle w:val="Textoindependiente"/>
        <w:ind w:left="360"/>
        <w:jc w:val="both"/>
        <w:rPr>
          <w:rFonts w:ascii="Arial" w:hAnsi="Arial" w:cs="Arial"/>
          <w:sz w:val="20"/>
        </w:rPr>
      </w:pPr>
    </w:p>
    <w:p w:rsidR="0056194E" w:rsidRDefault="0056194E">
      <w:pPr>
        <w:pStyle w:val="Textoindependiente"/>
        <w:ind w:left="360"/>
        <w:jc w:val="both"/>
        <w:rPr>
          <w:rFonts w:ascii="Arial" w:hAnsi="Arial" w:cs="Arial"/>
          <w:sz w:val="20"/>
        </w:rPr>
      </w:pPr>
    </w:p>
    <w:p w:rsidR="0056194E" w:rsidRDefault="0056194E">
      <w:pPr>
        <w:pStyle w:val="Textoindependiente"/>
        <w:jc w:val="both"/>
        <w:rPr>
          <w:rFonts w:ascii="Arial" w:hAnsi="Arial" w:cs="Arial"/>
          <w:sz w:val="20"/>
        </w:rPr>
      </w:pPr>
    </w:p>
    <w:p w:rsidR="0056194E" w:rsidRDefault="0056194E">
      <w:pPr>
        <w:pStyle w:val="Textoindependiente"/>
        <w:jc w:val="both"/>
        <w:rPr>
          <w:rFonts w:ascii="Arial" w:hAnsi="Arial" w:cs="Arial"/>
          <w:sz w:val="20"/>
        </w:rPr>
      </w:pPr>
    </w:p>
    <w:p w:rsidR="0056194E" w:rsidRDefault="0056194E">
      <w:pPr>
        <w:pStyle w:val="Textoindependiente"/>
        <w:jc w:val="both"/>
        <w:rPr>
          <w:rFonts w:ascii="Arial" w:hAnsi="Arial" w:cs="Arial"/>
          <w:sz w:val="20"/>
        </w:rPr>
      </w:pPr>
    </w:p>
    <w:p w:rsidR="0056194E" w:rsidRDefault="0056194E">
      <w:pPr>
        <w:pStyle w:val="Textoindependiente"/>
        <w:jc w:val="both"/>
        <w:rPr>
          <w:rFonts w:ascii="Arial" w:hAnsi="Arial" w:cs="Arial"/>
          <w:sz w:val="20"/>
        </w:rPr>
      </w:pPr>
    </w:p>
    <w:p w:rsidR="0056194E" w:rsidRDefault="0056194E">
      <w:pPr>
        <w:pStyle w:val="Textoindependiente"/>
        <w:jc w:val="both"/>
        <w:rPr>
          <w:rFonts w:ascii="Arial" w:hAnsi="Arial" w:cs="Arial"/>
          <w:b/>
          <w:bCs/>
          <w:color w:val="000000"/>
          <w:sz w:val="20"/>
        </w:rPr>
      </w:pPr>
      <w:r>
        <w:rPr>
          <w:rFonts w:ascii="Arial" w:hAnsi="Arial" w:cs="Arial"/>
          <w:sz w:val="20"/>
        </w:rPr>
        <w:br/>
      </w:r>
    </w:p>
    <w:p w:rsidR="0056194E" w:rsidRDefault="0056194E">
      <w:pPr>
        <w:pageBreakBefore/>
        <w:autoSpaceDE w:val="0"/>
        <w:spacing w:line="240" w:lineRule="atLeast"/>
        <w:jc w:val="both"/>
        <w:rPr>
          <w:rFonts w:ascii="Arial" w:hAnsi="Arial" w:cs="Arial"/>
          <w:color w:val="000000"/>
          <w:sz w:val="20"/>
          <w:szCs w:val="20"/>
        </w:rPr>
      </w:pPr>
      <w:r>
        <w:rPr>
          <w:rFonts w:ascii="Arial" w:hAnsi="Arial" w:cs="Arial"/>
          <w:b/>
          <w:bCs/>
          <w:color w:val="000000"/>
          <w:sz w:val="20"/>
          <w:szCs w:val="20"/>
        </w:rPr>
        <w:t>Formulario de declaración de conflictos de intereses</w:t>
      </w:r>
    </w:p>
    <w:p w:rsidR="0056194E" w:rsidRDefault="0056194E">
      <w:pPr>
        <w:autoSpaceDE w:val="0"/>
        <w:spacing w:line="240" w:lineRule="atLeast"/>
        <w:ind w:left="220" w:hanging="220"/>
        <w:jc w:val="both"/>
        <w:rPr>
          <w:rFonts w:ascii="Arial" w:hAnsi="Arial" w:cs="Arial"/>
          <w:color w:val="000000"/>
          <w:sz w:val="20"/>
          <w:szCs w:val="20"/>
        </w:rPr>
      </w:pPr>
    </w:p>
    <w:p w:rsidR="0056194E" w:rsidRDefault="0056194E">
      <w:pPr>
        <w:pStyle w:val="Pa53"/>
        <w:jc w:val="both"/>
        <w:rPr>
          <w:rFonts w:ascii="Arial" w:hAnsi="Arial" w:cs="Arial"/>
          <w:color w:val="000080"/>
          <w:sz w:val="20"/>
          <w:szCs w:val="20"/>
          <w:lang w:eastAsia="es-ES"/>
        </w:rPr>
      </w:pPr>
      <w:r>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56194E" w:rsidRDefault="0056194E">
      <w:pPr>
        <w:pStyle w:val="Default"/>
        <w:jc w:val="both"/>
        <w:rPr>
          <w:rFonts w:ascii="Arial" w:hAnsi="Arial" w:cs="Arial"/>
          <w:color w:val="000080"/>
          <w:sz w:val="20"/>
          <w:szCs w:val="20"/>
          <w:lang w:eastAsia="es-ES"/>
        </w:rPr>
      </w:pPr>
    </w:p>
    <w:p w:rsidR="0056194E" w:rsidRPr="00D038B1" w:rsidRDefault="0056194E">
      <w:pPr>
        <w:autoSpaceDE w:val="0"/>
        <w:spacing w:line="240" w:lineRule="atLeast"/>
        <w:ind w:left="220" w:hanging="220"/>
        <w:jc w:val="both"/>
        <w:rPr>
          <w:rFonts w:ascii="Arial" w:hAnsi="Arial" w:cs="Arial"/>
          <w:b/>
          <w:color w:val="000000"/>
          <w:sz w:val="20"/>
          <w:szCs w:val="20"/>
        </w:rPr>
      </w:pPr>
      <w:r>
        <w:rPr>
          <w:rFonts w:ascii="Arial" w:hAnsi="Arial" w:cs="Arial"/>
          <w:b/>
          <w:color w:val="000000"/>
          <w:sz w:val="20"/>
          <w:szCs w:val="20"/>
        </w:rPr>
        <w:t xml:space="preserve">– Nombre y apellidos: </w:t>
      </w:r>
      <w:r>
        <w:rPr>
          <w:rFonts w:ascii="Arial" w:hAnsi="Arial" w:cs="Arial"/>
          <w:color w:val="000000"/>
          <w:sz w:val="20"/>
          <w:szCs w:val="20"/>
        </w:rPr>
        <w:t>Marta Pedrosa Ruiz</w:t>
      </w:r>
      <w:r w:rsidR="00D038B1">
        <w:rPr>
          <w:rFonts w:ascii="Arial" w:hAnsi="Arial" w:cs="Arial"/>
          <w:color w:val="000000"/>
          <w:sz w:val="20"/>
          <w:szCs w:val="20"/>
          <w:vertAlign w:val="superscript"/>
        </w:rPr>
        <w:t>1</w:t>
      </w:r>
      <w:r w:rsidR="00D038B1">
        <w:rPr>
          <w:rFonts w:ascii="Arial" w:hAnsi="Arial" w:cs="Arial"/>
          <w:color w:val="000000"/>
          <w:sz w:val="20"/>
          <w:szCs w:val="20"/>
        </w:rPr>
        <w:t xml:space="preserve">, </w:t>
      </w:r>
      <w:r w:rsidR="00D038B1" w:rsidRPr="006A311C">
        <w:rPr>
          <w:rFonts w:ascii="Arial" w:hAnsi="Arial" w:cs="Arial"/>
          <w:color w:val="000000"/>
          <w:sz w:val="20"/>
          <w:szCs w:val="20"/>
        </w:rPr>
        <w:t>Juan Carlos García de Paredes Esteban</w:t>
      </w:r>
      <w:r w:rsidR="00D038B1">
        <w:rPr>
          <w:rFonts w:ascii="Arial" w:hAnsi="Arial" w:cs="Arial"/>
          <w:color w:val="000000"/>
          <w:sz w:val="20"/>
          <w:szCs w:val="20"/>
          <w:vertAlign w:val="superscript"/>
        </w:rPr>
        <w:t>2</w:t>
      </w:r>
      <w:r w:rsidR="00D038B1">
        <w:rPr>
          <w:rFonts w:ascii="Arial" w:hAnsi="Arial" w:cs="Arial"/>
          <w:color w:val="000000"/>
          <w:sz w:val="20"/>
          <w:szCs w:val="20"/>
        </w:rPr>
        <w:t xml:space="preserve">, </w:t>
      </w:r>
      <w:r w:rsidR="00D038B1">
        <w:rPr>
          <w:rFonts w:ascii="Arial" w:hAnsi="Arial" w:cs="Arial"/>
          <w:color w:val="000000"/>
          <w:sz w:val="20"/>
          <w:szCs w:val="20"/>
          <w:lang w:val="pt-BR"/>
        </w:rPr>
        <w:t>Emilio Jesús Alegre del Rey</w:t>
      </w:r>
      <w:r w:rsidR="00D038B1">
        <w:rPr>
          <w:rFonts w:ascii="Arial" w:hAnsi="Arial" w:cs="Arial"/>
          <w:color w:val="000000"/>
          <w:sz w:val="20"/>
          <w:szCs w:val="20"/>
          <w:vertAlign w:val="superscript"/>
          <w:lang w:val="pt-BR"/>
        </w:rPr>
        <w:t>3</w:t>
      </w:r>
      <w:r w:rsidR="00D038B1">
        <w:rPr>
          <w:rFonts w:ascii="Arial" w:hAnsi="Arial" w:cs="Arial"/>
          <w:color w:val="000000"/>
          <w:sz w:val="20"/>
          <w:szCs w:val="20"/>
          <w:lang w:val="pt-BR"/>
        </w:rPr>
        <w:t>.</w:t>
      </w:r>
    </w:p>
    <w:p w:rsidR="0056194E" w:rsidRDefault="0056194E">
      <w:pPr>
        <w:autoSpaceDE w:val="0"/>
        <w:spacing w:line="240" w:lineRule="atLeast"/>
        <w:ind w:left="220" w:hanging="220"/>
        <w:jc w:val="both"/>
        <w:rPr>
          <w:rFonts w:ascii="Arial" w:hAnsi="Arial" w:cs="Arial"/>
          <w:b/>
          <w:color w:val="000000"/>
          <w:sz w:val="20"/>
          <w:szCs w:val="20"/>
        </w:rPr>
      </w:pPr>
    </w:p>
    <w:p w:rsidR="0056194E" w:rsidRPr="00D038B1" w:rsidRDefault="0056194E">
      <w:pPr>
        <w:autoSpaceDE w:val="0"/>
        <w:spacing w:line="240" w:lineRule="atLeast"/>
        <w:ind w:left="220" w:hanging="220"/>
        <w:jc w:val="both"/>
        <w:rPr>
          <w:rFonts w:ascii="Arial" w:hAnsi="Arial" w:cs="Arial"/>
          <w:b/>
          <w:color w:val="000000"/>
          <w:sz w:val="20"/>
          <w:szCs w:val="20"/>
        </w:rPr>
      </w:pPr>
      <w:r>
        <w:rPr>
          <w:rFonts w:ascii="Arial" w:hAnsi="Arial" w:cs="Arial"/>
          <w:b/>
          <w:color w:val="000000"/>
          <w:sz w:val="20"/>
          <w:szCs w:val="20"/>
        </w:rPr>
        <w:t xml:space="preserve">– Institución en la que trabaja: </w:t>
      </w:r>
      <w:r w:rsidR="00D038B1">
        <w:rPr>
          <w:rFonts w:ascii="Arial" w:hAnsi="Arial" w:cs="Arial"/>
          <w:b/>
          <w:color w:val="000000"/>
          <w:sz w:val="20"/>
          <w:szCs w:val="20"/>
          <w:vertAlign w:val="superscript"/>
        </w:rPr>
        <w:t>1</w:t>
      </w:r>
      <w:r>
        <w:rPr>
          <w:rFonts w:ascii="Arial" w:hAnsi="Arial" w:cs="Arial"/>
          <w:color w:val="000000"/>
          <w:sz w:val="20"/>
          <w:szCs w:val="20"/>
        </w:rPr>
        <w:t>Servicio Andaluz de Salud</w:t>
      </w:r>
      <w:r w:rsidR="00D038B1">
        <w:rPr>
          <w:rFonts w:ascii="Arial" w:hAnsi="Arial" w:cs="Arial"/>
          <w:color w:val="000000"/>
          <w:sz w:val="20"/>
          <w:szCs w:val="20"/>
        </w:rPr>
        <w:t xml:space="preserve">, </w:t>
      </w:r>
      <w:r w:rsidR="00D038B1">
        <w:rPr>
          <w:rFonts w:ascii="Arial" w:hAnsi="Arial" w:cs="Arial"/>
          <w:color w:val="000000"/>
          <w:sz w:val="20"/>
          <w:szCs w:val="20"/>
          <w:vertAlign w:val="superscript"/>
        </w:rPr>
        <w:t>2</w:t>
      </w:r>
      <w:r w:rsidR="00D038B1">
        <w:rPr>
          <w:rFonts w:ascii="Arial" w:hAnsi="Arial" w:cs="Arial"/>
          <w:color w:val="000000"/>
          <w:sz w:val="20"/>
          <w:szCs w:val="20"/>
        </w:rPr>
        <w:t xml:space="preserve">Instituto nacional de gestión sanitaria Ceuta, </w:t>
      </w:r>
      <w:r w:rsidR="00D038B1">
        <w:rPr>
          <w:rFonts w:ascii="Arial" w:hAnsi="Arial" w:cs="Arial"/>
          <w:color w:val="000000"/>
          <w:sz w:val="20"/>
          <w:szCs w:val="20"/>
          <w:vertAlign w:val="superscript"/>
        </w:rPr>
        <w:t>3</w:t>
      </w:r>
      <w:r w:rsidR="00D038B1">
        <w:rPr>
          <w:rFonts w:ascii="Arial" w:hAnsi="Arial" w:cs="Arial"/>
          <w:color w:val="000000"/>
          <w:sz w:val="20"/>
          <w:szCs w:val="20"/>
        </w:rPr>
        <w:t>Hospital Universitario Puerto Real,</w:t>
      </w:r>
    </w:p>
    <w:p w:rsidR="0056194E" w:rsidRDefault="0056194E">
      <w:pPr>
        <w:autoSpaceDE w:val="0"/>
        <w:spacing w:line="240" w:lineRule="atLeast"/>
        <w:ind w:left="220" w:hanging="220"/>
        <w:jc w:val="both"/>
        <w:rPr>
          <w:rFonts w:ascii="Arial" w:hAnsi="Arial" w:cs="Arial"/>
          <w:b/>
          <w:color w:val="000000"/>
          <w:sz w:val="20"/>
          <w:szCs w:val="20"/>
        </w:rPr>
      </w:pPr>
    </w:p>
    <w:p w:rsidR="0056194E" w:rsidRDefault="0056194E">
      <w:pPr>
        <w:autoSpaceDE w:val="0"/>
        <w:spacing w:line="240" w:lineRule="atLeast"/>
        <w:ind w:left="220" w:hanging="220"/>
        <w:jc w:val="both"/>
        <w:rPr>
          <w:rFonts w:ascii="Arial" w:hAnsi="Arial" w:cs="Arial"/>
          <w:color w:val="000000"/>
          <w:sz w:val="20"/>
          <w:szCs w:val="20"/>
        </w:rPr>
      </w:pPr>
      <w:r>
        <w:rPr>
          <w:rFonts w:ascii="Arial" w:hAnsi="Arial" w:cs="Arial"/>
          <w:b/>
          <w:color w:val="000000"/>
          <w:sz w:val="20"/>
          <w:szCs w:val="20"/>
        </w:rPr>
        <w:t xml:space="preserve">–Institución que le vincula al informe: </w:t>
      </w:r>
      <w:r>
        <w:rPr>
          <w:rFonts w:ascii="Arial" w:hAnsi="Arial" w:cs="Arial"/>
          <w:color w:val="000000"/>
          <w:sz w:val="20"/>
          <w:szCs w:val="20"/>
        </w:rPr>
        <w:t>GHEMA</w:t>
      </w:r>
    </w:p>
    <w:p w:rsidR="0056194E" w:rsidRDefault="0056194E">
      <w:pPr>
        <w:autoSpaceDE w:val="0"/>
        <w:spacing w:after="40" w:line="240" w:lineRule="atLeast"/>
        <w:jc w:val="both"/>
        <w:rPr>
          <w:rFonts w:ascii="Arial" w:hAnsi="Arial" w:cs="Arial"/>
          <w:color w:val="000000"/>
          <w:sz w:val="20"/>
          <w:szCs w:val="20"/>
        </w:rPr>
      </w:pPr>
    </w:p>
    <w:p w:rsidR="0056194E" w:rsidRPr="006A311C" w:rsidRDefault="0056194E">
      <w:pPr>
        <w:autoSpaceDE w:val="0"/>
        <w:spacing w:after="40" w:line="240" w:lineRule="atLeast"/>
        <w:jc w:val="both"/>
        <w:rPr>
          <w:rFonts w:ascii="Arial" w:hAnsi="Arial" w:cs="Arial"/>
          <w:color w:val="000000"/>
          <w:sz w:val="20"/>
          <w:szCs w:val="20"/>
        </w:rPr>
      </w:pPr>
      <w:r>
        <w:rPr>
          <w:rFonts w:ascii="Arial" w:hAnsi="Arial" w:cs="Arial"/>
          <w:color w:val="000000"/>
          <w:sz w:val="20"/>
          <w:szCs w:val="20"/>
        </w:rPr>
        <w:t>Participación en el informe de evaluación como:</w:t>
      </w:r>
    </w:p>
    <w:p w:rsidR="0056194E" w:rsidRDefault="0056194E">
      <w:pPr>
        <w:autoSpaceDE w:val="0"/>
        <w:spacing w:line="240" w:lineRule="atLeast"/>
        <w:ind w:left="560"/>
        <w:jc w:val="both"/>
        <w:rPr>
          <w:rFonts w:ascii="Arial" w:hAnsi="Arial" w:cs="Arial"/>
          <w:color w:val="000000"/>
          <w:sz w:val="20"/>
          <w:szCs w:val="20"/>
          <w:lang w:val="pt-BR"/>
        </w:rPr>
      </w:pPr>
      <w:r>
        <w:rPr>
          <w:rFonts w:ascii="Arial" w:hAnsi="Arial" w:cs="Arial"/>
          <w:color w:val="000000"/>
          <w:sz w:val="20"/>
          <w:szCs w:val="20"/>
          <w:lang w:val="pt-BR"/>
        </w:rPr>
        <w:t>1-Autor/a: Marta Pedrosa Ruiz / Emilio Jesús Alegre del Rey</w:t>
      </w:r>
    </w:p>
    <w:p w:rsidR="0056194E" w:rsidRPr="00D85789" w:rsidRDefault="0056194E">
      <w:pPr>
        <w:autoSpaceDE w:val="0"/>
        <w:spacing w:line="240" w:lineRule="atLeast"/>
        <w:ind w:left="560"/>
        <w:jc w:val="both"/>
        <w:rPr>
          <w:rFonts w:ascii="Arial" w:hAnsi="Arial" w:cs="Arial"/>
          <w:color w:val="000000"/>
          <w:sz w:val="20"/>
          <w:szCs w:val="20"/>
        </w:rPr>
      </w:pPr>
      <w:r w:rsidRPr="00D85789">
        <w:rPr>
          <w:rFonts w:ascii="Arial" w:hAnsi="Arial" w:cs="Arial"/>
          <w:color w:val="000000"/>
          <w:sz w:val="20"/>
          <w:szCs w:val="20"/>
        </w:rPr>
        <w:t>2-Tutor/a:</w:t>
      </w:r>
      <w:r w:rsidR="00D038B1">
        <w:rPr>
          <w:rFonts w:ascii="Arial" w:hAnsi="Arial" w:cs="Arial"/>
          <w:color w:val="000000"/>
          <w:sz w:val="20"/>
          <w:szCs w:val="20"/>
        </w:rPr>
        <w:t xml:space="preserve"> </w:t>
      </w:r>
      <w:r w:rsidRPr="006A311C">
        <w:rPr>
          <w:rFonts w:ascii="Arial" w:hAnsi="Arial" w:cs="Arial"/>
          <w:color w:val="000000"/>
          <w:sz w:val="20"/>
          <w:szCs w:val="20"/>
        </w:rPr>
        <w:t>Juan Carlos García de Paredes Esteban</w:t>
      </w:r>
    </w:p>
    <w:p w:rsidR="0056194E" w:rsidRPr="006A311C" w:rsidRDefault="0056194E">
      <w:pPr>
        <w:autoSpaceDE w:val="0"/>
        <w:spacing w:line="240" w:lineRule="atLeast"/>
        <w:jc w:val="both"/>
        <w:rPr>
          <w:rFonts w:ascii="Arial" w:hAnsi="Arial" w:cs="Arial"/>
          <w:color w:val="000000"/>
          <w:sz w:val="20"/>
          <w:szCs w:val="20"/>
        </w:rPr>
      </w:pPr>
    </w:p>
    <w:p w:rsidR="0056194E" w:rsidRDefault="0056194E">
      <w:pPr>
        <w:autoSpaceDE w:val="0"/>
        <w:spacing w:line="240" w:lineRule="atLeast"/>
        <w:jc w:val="both"/>
        <w:rPr>
          <w:rFonts w:ascii="Arial" w:hAnsi="Arial" w:cs="Arial"/>
          <w:color w:val="000000"/>
          <w:sz w:val="20"/>
          <w:szCs w:val="20"/>
        </w:rPr>
      </w:pPr>
      <w:r>
        <w:rPr>
          <w:rFonts w:ascii="Arial" w:hAnsi="Arial" w:cs="Arial"/>
          <w:color w:val="000000"/>
          <w:sz w:val="20"/>
          <w:szCs w:val="20"/>
        </w:rPr>
        <w:t>Tras haber y leído y comprendido la información remitida sobre la declaración de conflictos para el presente informe, formulo la siguiente declaración:</w:t>
      </w:r>
    </w:p>
    <w:p w:rsidR="0056194E" w:rsidRDefault="0056194E">
      <w:pPr>
        <w:autoSpaceDE w:val="0"/>
        <w:spacing w:after="40" w:line="240" w:lineRule="atLeast"/>
        <w:jc w:val="both"/>
        <w:rPr>
          <w:rFonts w:ascii="Arial" w:hAnsi="Arial" w:cs="Arial"/>
          <w:color w:val="000000"/>
          <w:sz w:val="20"/>
          <w:szCs w:val="20"/>
        </w:rPr>
      </w:pPr>
    </w:p>
    <w:p w:rsidR="0056194E" w:rsidRDefault="0056194E">
      <w:pPr>
        <w:autoSpaceDE w:val="0"/>
        <w:spacing w:line="240" w:lineRule="atLeast"/>
        <w:jc w:val="both"/>
        <w:rPr>
          <w:rFonts w:ascii="Arial" w:hAnsi="Arial" w:cs="Arial"/>
          <w:b/>
          <w:color w:val="000000"/>
          <w:sz w:val="20"/>
          <w:szCs w:val="20"/>
        </w:rPr>
      </w:pPr>
      <w:r>
        <w:rPr>
          <w:rFonts w:ascii="Arial" w:hAnsi="Arial" w:cs="Arial"/>
          <w:b/>
          <w:color w:val="000000"/>
          <w:sz w:val="20"/>
          <w:szCs w:val="20"/>
        </w:rPr>
        <w:t xml:space="preserve">A- Intereses personales </w:t>
      </w:r>
      <w:r>
        <w:rPr>
          <w:rStyle w:val="A6"/>
          <w:rFonts w:ascii="Arial" w:hAnsi="Arial" w:cs="Arial"/>
          <w:b/>
          <w:sz w:val="20"/>
          <w:szCs w:val="20"/>
        </w:rPr>
        <w:t>(</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sidR="00F33243" w:rsidRPr="00F33243">
        <w:rPr>
          <w:rStyle w:val="A6"/>
          <w:rFonts w:ascii="Arial" w:hAnsi="Arial" w:cs="Arial"/>
          <w:b/>
          <w:noProof/>
          <w:sz w:val="20"/>
          <w:szCs w:val="20"/>
        </w:rPr>
      </w:r>
      <w:r w:rsidR="00F33243">
        <w:rPr>
          <w:rStyle w:val="A6"/>
          <w:rFonts w:ascii="Arial" w:hAnsi="Arial" w:cs="Arial"/>
          <w:b/>
          <w:noProof/>
          <w:sz w:val="20"/>
          <w:szCs w:val="20"/>
        </w:rPr>
        <w:pict>
          <v:shape id="_x0000_s1052"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243517"/>
              </w:txbxContent>
            </v:textbox>
            <w10:wrap type="none"/>
            <w10:anchorlock/>
          </v:shape>
        </w:pic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00F33243" w:rsidRPr="00F33243">
        <w:rPr>
          <w:rStyle w:val="A6"/>
          <w:rFonts w:ascii="Arial" w:hAnsi="Arial" w:cs="Arial"/>
          <w:b/>
          <w:noProof/>
          <w:sz w:val="20"/>
          <w:szCs w:val="20"/>
        </w:rPr>
      </w:r>
      <w:r w:rsidR="00F33243">
        <w:rPr>
          <w:rStyle w:val="A6"/>
          <w:rFonts w:ascii="Arial" w:hAnsi="Arial" w:cs="Arial"/>
          <w:b/>
          <w:noProof/>
          <w:sz w:val="20"/>
          <w:szCs w:val="20"/>
        </w:rPr>
        <w:pict>
          <v:shape id="_x0000_s1051"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243517">
                  <w:r>
                    <w:t>X</w:t>
                  </w:r>
                </w:p>
              </w:txbxContent>
            </v:textbox>
            <w10:wrap type="none"/>
            <w10:anchorlock/>
          </v:shape>
        </w:pict>
      </w:r>
      <w:r>
        <w:rPr>
          <w:rStyle w:val="A6"/>
          <w:rFonts w:ascii="Arial" w:hAnsi="Arial" w:cs="Arial"/>
          <w:b/>
          <w:sz w:val="20"/>
          <w:szCs w:val="20"/>
        </w:rPr>
        <w:t xml:space="preserve">NO </w:t>
      </w:r>
    </w:p>
    <w:p w:rsidR="0056194E" w:rsidRDefault="0056194E">
      <w:pPr>
        <w:autoSpaceDE w:val="0"/>
        <w:spacing w:line="240" w:lineRule="atLeast"/>
        <w:jc w:val="both"/>
        <w:rPr>
          <w:rFonts w:ascii="Arial" w:hAnsi="Arial" w:cs="Arial"/>
          <w:b/>
          <w:color w:val="000000"/>
          <w:sz w:val="20"/>
          <w:szCs w:val="20"/>
        </w:rPr>
      </w:pPr>
    </w:p>
    <w:tbl>
      <w:tblPr>
        <w:tblW w:w="0" w:type="auto"/>
        <w:tblInd w:w="-125" w:type="dxa"/>
        <w:tblLayout w:type="fixed"/>
        <w:tblLook w:val="0000"/>
      </w:tblPr>
      <w:tblGrid>
        <w:gridCol w:w="5495"/>
        <w:gridCol w:w="1276"/>
        <w:gridCol w:w="1275"/>
        <w:gridCol w:w="457"/>
        <w:gridCol w:w="406"/>
        <w:gridCol w:w="40"/>
        <w:gridCol w:w="40"/>
        <w:gridCol w:w="40"/>
        <w:gridCol w:w="40"/>
        <w:gridCol w:w="40"/>
        <w:gridCol w:w="20"/>
      </w:tblGrid>
      <w:tr w:rsidR="0056194E">
        <w:tc>
          <w:tcPr>
            <w:tcW w:w="549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6"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Actividad</w:t>
            </w:r>
          </w:p>
        </w:tc>
        <w:tc>
          <w:tcPr>
            <w:tcW w:w="127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Institución</w:t>
            </w: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pacing w:line="240" w:lineRule="atLeast"/>
              <w:jc w:val="both"/>
            </w:pPr>
            <w:r>
              <w:rPr>
                <w:rFonts w:ascii="Arial" w:hAnsi="Arial" w:cs="Arial"/>
                <w:color w:val="000000"/>
                <w:sz w:val="20"/>
                <w:szCs w:val="20"/>
              </w:rPr>
              <w:t>Fecha</w:t>
            </w: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Honorarios como ponente (conferencias, cursos…)</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Financiación por participar en una investigación</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Consultoría para una compañía farmacéutica/otras tecnologías</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Accionista o con intereses comerciales en una compañía</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gridSpan w:val="8"/>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blPrEx>
          <w:tblCellMar>
            <w:left w:w="0" w:type="dxa"/>
            <w:right w:w="0" w:type="dxa"/>
          </w:tblCellMar>
        </w:tblPrEx>
        <w:trPr>
          <w:gridAfter w:val="1"/>
          <w:wAfter w:w="20" w:type="dxa"/>
          <w:trHeight w:val="226"/>
        </w:trPr>
        <w:tc>
          <w:tcPr>
            <w:tcW w:w="8503" w:type="dxa"/>
            <w:gridSpan w:val="4"/>
          </w:tcPr>
          <w:p w:rsidR="0056194E" w:rsidRDefault="0056194E">
            <w:pPr>
              <w:autoSpaceDE w:val="0"/>
              <w:snapToGrid w:val="0"/>
              <w:spacing w:line="240" w:lineRule="atLeast"/>
              <w:jc w:val="both"/>
            </w:pPr>
          </w:p>
        </w:tc>
        <w:tc>
          <w:tcPr>
            <w:tcW w:w="406" w:type="dxa"/>
          </w:tcPr>
          <w:p w:rsidR="0056194E" w:rsidRDefault="0056194E">
            <w:pPr>
              <w:snapToGrid w:val="0"/>
              <w:jc w:val="both"/>
            </w:pPr>
          </w:p>
        </w:tc>
        <w:tc>
          <w:tcPr>
            <w:tcW w:w="40" w:type="dxa"/>
          </w:tcPr>
          <w:p w:rsidR="0056194E" w:rsidRDefault="0056194E">
            <w:pPr>
              <w:snapToGrid w:val="0"/>
              <w:jc w:val="both"/>
            </w:pPr>
          </w:p>
        </w:tc>
        <w:tc>
          <w:tcPr>
            <w:tcW w:w="40" w:type="dxa"/>
          </w:tcPr>
          <w:p w:rsidR="0056194E" w:rsidRDefault="0056194E">
            <w:pPr>
              <w:snapToGrid w:val="0"/>
              <w:jc w:val="both"/>
            </w:pPr>
          </w:p>
        </w:tc>
        <w:tc>
          <w:tcPr>
            <w:tcW w:w="40" w:type="dxa"/>
          </w:tcPr>
          <w:p w:rsidR="0056194E" w:rsidRDefault="0056194E">
            <w:pPr>
              <w:snapToGrid w:val="0"/>
              <w:jc w:val="both"/>
            </w:pPr>
          </w:p>
        </w:tc>
        <w:tc>
          <w:tcPr>
            <w:tcW w:w="40" w:type="dxa"/>
          </w:tcPr>
          <w:p w:rsidR="0056194E" w:rsidRDefault="0056194E">
            <w:pPr>
              <w:snapToGrid w:val="0"/>
              <w:jc w:val="both"/>
            </w:pPr>
          </w:p>
        </w:tc>
        <w:tc>
          <w:tcPr>
            <w:tcW w:w="40" w:type="dxa"/>
          </w:tcPr>
          <w:p w:rsidR="0056194E" w:rsidRDefault="0056194E">
            <w:pPr>
              <w:snapToGrid w:val="0"/>
              <w:jc w:val="both"/>
            </w:pPr>
          </w:p>
        </w:tc>
      </w:tr>
    </w:tbl>
    <w:p w:rsidR="0056194E" w:rsidRDefault="0056194E">
      <w:pPr>
        <w:autoSpaceDE w:val="0"/>
        <w:spacing w:line="240" w:lineRule="atLeast"/>
        <w:jc w:val="both"/>
        <w:rPr>
          <w:rStyle w:val="A6"/>
          <w:rFonts w:ascii="Arial" w:hAnsi="Arial" w:cs="Arial"/>
          <w:b/>
          <w:sz w:val="20"/>
          <w:szCs w:val="20"/>
        </w:rPr>
      </w:pPr>
      <w:r>
        <w:rPr>
          <w:rFonts w:ascii="Arial" w:hAnsi="Arial" w:cs="Arial"/>
          <w:b/>
          <w:sz w:val="20"/>
          <w:szCs w:val="20"/>
        </w:rPr>
        <w:t>B- Intereses no personales (</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sidR="00F33243" w:rsidRPr="00F33243">
        <w:rPr>
          <w:rStyle w:val="A6"/>
          <w:rFonts w:ascii="Arial" w:hAnsi="Arial" w:cs="Arial"/>
          <w:b/>
          <w:noProof/>
          <w:sz w:val="20"/>
          <w:szCs w:val="20"/>
        </w:rPr>
      </w:r>
      <w:r w:rsidR="00F33243">
        <w:rPr>
          <w:rStyle w:val="A6"/>
          <w:rFonts w:ascii="Arial" w:hAnsi="Arial" w:cs="Arial"/>
          <w:b/>
          <w:noProof/>
          <w:sz w:val="20"/>
          <w:szCs w:val="20"/>
        </w:rPr>
        <w:pict>
          <v:shape id="_x0000_s1050"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243517"/>
              </w:txbxContent>
            </v:textbox>
            <w10:wrap type="none"/>
            <w10:anchorlock/>
          </v:shape>
        </w:pic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00F33243" w:rsidRPr="00F33243">
        <w:rPr>
          <w:rStyle w:val="A6"/>
          <w:rFonts w:ascii="Arial" w:hAnsi="Arial" w:cs="Arial"/>
          <w:b/>
          <w:noProof/>
          <w:sz w:val="20"/>
          <w:szCs w:val="20"/>
        </w:rPr>
      </w:r>
      <w:r w:rsidR="00F33243">
        <w:rPr>
          <w:rStyle w:val="A6"/>
          <w:rFonts w:ascii="Arial" w:hAnsi="Arial" w:cs="Arial"/>
          <w:b/>
          <w:noProof/>
          <w:sz w:val="20"/>
          <w:szCs w:val="20"/>
        </w:rPr>
        <w:pict>
          <v:shape id="_x0000_s1049" type="#_x0000_t202" style="width:16.45pt;height:13.85pt;visibility:visible;mso-left-percent:-10001;mso-top-percent:-10001;mso-position-horizontal:absolute;mso-position-horizontal-relative:char;mso-position-vertical:absolute;mso-position-vertical-relative:line;mso-left-percent:-10001;mso-top-percent:-10001">
            <v:path arrowok="t"/>
            <v:textbox inset="0,0,0,0">
              <w:txbxContent>
                <w:p w:rsidR="00FC0B62" w:rsidRDefault="00FC0B62" w:rsidP="00243517">
                  <w:r>
                    <w:t>X</w:t>
                  </w:r>
                </w:p>
              </w:txbxContent>
            </v:textbox>
            <w10:wrap type="none"/>
            <w10:anchorlock/>
          </v:shape>
        </w:pict>
      </w:r>
      <w:r>
        <w:rPr>
          <w:rStyle w:val="A6"/>
          <w:rFonts w:ascii="Arial" w:hAnsi="Arial" w:cs="Arial"/>
          <w:b/>
          <w:sz w:val="20"/>
          <w:szCs w:val="20"/>
        </w:rPr>
        <w:t>NO</w:t>
      </w:r>
    </w:p>
    <w:tbl>
      <w:tblPr>
        <w:tblW w:w="9039" w:type="dxa"/>
        <w:tblLayout w:type="fixed"/>
        <w:tblLook w:val="0000"/>
      </w:tblPr>
      <w:tblGrid>
        <w:gridCol w:w="9039"/>
      </w:tblGrid>
      <w:tr w:rsidR="0056194E" w:rsidTr="00D038B1">
        <w:trPr>
          <w:trHeight w:val="226"/>
        </w:trPr>
        <w:tc>
          <w:tcPr>
            <w:tcW w:w="9039" w:type="dxa"/>
          </w:tcPr>
          <w:p w:rsidR="0056194E" w:rsidRDefault="0056194E">
            <w:pPr>
              <w:pStyle w:val="Pa1"/>
              <w:snapToGrid w:val="0"/>
              <w:jc w:val="both"/>
              <w:rPr>
                <w:rFonts w:ascii="Arial" w:hAnsi="Arial" w:cs="Arial"/>
                <w:sz w:val="20"/>
                <w:szCs w:val="20"/>
              </w:rPr>
            </w:pPr>
          </w:p>
          <w:tbl>
            <w:tblPr>
              <w:tblW w:w="0" w:type="auto"/>
              <w:tblLayout w:type="fixed"/>
              <w:tblLook w:val="0000"/>
            </w:tblPr>
            <w:tblGrid>
              <w:gridCol w:w="5495"/>
              <w:gridCol w:w="1276"/>
              <w:gridCol w:w="1275"/>
              <w:gridCol w:w="1083"/>
            </w:tblGrid>
            <w:tr w:rsidR="0056194E">
              <w:tc>
                <w:tcPr>
                  <w:tcW w:w="549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6"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Actividad</w:t>
                  </w:r>
                </w:p>
              </w:tc>
              <w:tc>
                <w:tcPr>
                  <w:tcW w:w="127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Fonts w:ascii="Arial" w:hAnsi="Arial" w:cs="Arial"/>
                      <w:color w:val="000000"/>
                      <w:sz w:val="20"/>
                      <w:szCs w:val="20"/>
                    </w:rPr>
                    <w:t>Institución</w:t>
                  </w:r>
                </w:p>
              </w:tc>
              <w:tc>
                <w:tcPr>
                  <w:tcW w:w="1083" w:type="dxa"/>
                  <w:tcBorders>
                    <w:top w:val="single" w:sz="4" w:space="0" w:color="000000"/>
                    <w:left w:val="single" w:sz="4" w:space="0" w:color="000000"/>
                    <w:bottom w:val="single" w:sz="4" w:space="0" w:color="000000"/>
                    <w:right w:val="single" w:sz="4" w:space="0" w:color="000000"/>
                  </w:tcBorders>
                </w:tcPr>
                <w:p w:rsidR="0056194E" w:rsidRDefault="0056194E">
                  <w:pPr>
                    <w:autoSpaceDE w:val="0"/>
                    <w:spacing w:line="240" w:lineRule="atLeast"/>
                    <w:jc w:val="both"/>
                  </w:pPr>
                  <w:r>
                    <w:rPr>
                      <w:rFonts w:ascii="Arial" w:hAnsi="Arial" w:cs="Arial"/>
                      <w:color w:val="000000"/>
                      <w:sz w:val="20"/>
                      <w:szCs w:val="20"/>
                    </w:rPr>
                    <w:t>Fecha</w:t>
                  </w: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Style w:val="A6"/>
                      <w:rFonts w:ascii="Arial" w:hAnsi="Arial" w:cs="Arial"/>
                      <w:sz w:val="20"/>
                      <w:szCs w:val="20"/>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Style w:val="A6"/>
                      <w:rFonts w:ascii="Arial" w:hAnsi="Arial" w:cs="Arial"/>
                      <w:sz w:val="20"/>
                      <w:szCs w:val="20"/>
                    </w:rPr>
                    <w:t>Dotación significativa de material a la unidad o servicio</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Style w:val="A6"/>
                      <w:rFonts w:ascii="Arial" w:hAnsi="Arial" w:cs="Arial"/>
                      <w:sz w:val="20"/>
                      <w:szCs w:val="20"/>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Style w:val="A6"/>
                      <w:rFonts w:ascii="Arial" w:hAnsi="Arial" w:cs="Arial"/>
                      <w:sz w:val="20"/>
                      <w:szCs w:val="20"/>
                    </w:rPr>
                    <w:t>Ayuda económica para la financiación de una investigación</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r w:rsidR="0056194E">
              <w:tc>
                <w:tcPr>
                  <w:tcW w:w="5495" w:type="dxa"/>
                  <w:tcBorders>
                    <w:top w:val="single" w:sz="4" w:space="0" w:color="000000"/>
                    <w:left w:val="single" w:sz="4" w:space="0" w:color="000000"/>
                    <w:bottom w:val="single" w:sz="4" w:space="0" w:color="000000"/>
                  </w:tcBorders>
                </w:tcPr>
                <w:p w:rsidR="0056194E" w:rsidRDefault="0056194E">
                  <w:pPr>
                    <w:autoSpaceDE w:val="0"/>
                    <w:spacing w:line="240" w:lineRule="atLeast"/>
                    <w:jc w:val="both"/>
                  </w:pPr>
                  <w:r>
                    <w:rPr>
                      <w:rStyle w:val="A6"/>
                      <w:rFonts w:ascii="Arial" w:hAnsi="Arial" w:cs="Arial"/>
                      <w:sz w:val="20"/>
                      <w:szCs w:val="20"/>
                    </w:rPr>
                    <w:t>Financiación de programas educativos o cursos para la unidad</w:t>
                  </w:r>
                </w:p>
              </w:tc>
              <w:tc>
                <w:tcPr>
                  <w:tcW w:w="1276"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275" w:type="dxa"/>
                  <w:tcBorders>
                    <w:top w:val="single" w:sz="4" w:space="0" w:color="000000"/>
                    <w:left w:val="single" w:sz="4" w:space="0" w:color="000000"/>
                    <w:bottom w:val="single" w:sz="4" w:space="0" w:color="000000"/>
                  </w:tcBorders>
                </w:tcPr>
                <w:p w:rsidR="0056194E" w:rsidRDefault="0056194E">
                  <w:pPr>
                    <w:autoSpaceDE w:val="0"/>
                    <w:snapToGrid w:val="0"/>
                    <w:spacing w:line="240" w:lineRule="atLeast"/>
                    <w:jc w:val="both"/>
                  </w:pPr>
                </w:p>
              </w:tc>
              <w:tc>
                <w:tcPr>
                  <w:tcW w:w="1083" w:type="dxa"/>
                  <w:tcBorders>
                    <w:top w:val="single" w:sz="4" w:space="0" w:color="000000"/>
                    <w:left w:val="single" w:sz="4" w:space="0" w:color="000000"/>
                    <w:bottom w:val="single" w:sz="4" w:space="0" w:color="000000"/>
                    <w:right w:val="single" w:sz="4" w:space="0" w:color="000000"/>
                  </w:tcBorders>
                </w:tcPr>
                <w:p w:rsidR="0056194E" w:rsidRDefault="0056194E">
                  <w:pPr>
                    <w:autoSpaceDE w:val="0"/>
                    <w:snapToGrid w:val="0"/>
                    <w:spacing w:line="240" w:lineRule="atLeast"/>
                    <w:jc w:val="both"/>
                  </w:pPr>
                </w:p>
              </w:tc>
            </w:tr>
          </w:tbl>
          <w:p w:rsidR="0056194E" w:rsidRDefault="0056194E">
            <w:pPr>
              <w:pStyle w:val="Pa1"/>
              <w:jc w:val="both"/>
            </w:pPr>
          </w:p>
        </w:tc>
      </w:tr>
    </w:tbl>
    <w:p w:rsidR="0056194E" w:rsidRDefault="0056194E">
      <w:pPr>
        <w:jc w:val="both"/>
        <w:rPr>
          <w:rFonts w:ascii="Arial" w:hAnsi="Arial" w:cs="Arial"/>
          <w:b/>
          <w:color w:val="000000"/>
          <w:sz w:val="20"/>
          <w:szCs w:val="20"/>
        </w:rPr>
      </w:pPr>
    </w:p>
    <w:p w:rsidR="0056194E" w:rsidRDefault="0056194E">
      <w:pPr>
        <w:jc w:val="both"/>
        <w:rPr>
          <w:rFonts w:ascii="Arial" w:hAnsi="Arial" w:cs="Arial"/>
          <w:b/>
          <w:sz w:val="20"/>
          <w:szCs w:val="20"/>
        </w:rPr>
      </w:pPr>
      <w:r>
        <w:rPr>
          <w:rFonts w:ascii="Arial" w:hAnsi="Arial" w:cs="Arial"/>
          <w:b/>
          <w:color w:val="000000"/>
          <w:sz w:val="20"/>
          <w:szCs w:val="20"/>
        </w:rPr>
        <w:t>C-Otros posibles conflictos de intereses no señalados en apartados anteriores (especificar)</w:t>
      </w:r>
    </w:p>
    <w:p w:rsidR="0056194E" w:rsidRDefault="0056194E">
      <w:pPr>
        <w:snapToGrid w:val="0"/>
        <w:jc w:val="both"/>
        <w:rPr>
          <w:rFonts w:ascii="Arial" w:hAnsi="Arial" w:cs="Arial"/>
          <w:b/>
          <w:sz w:val="20"/>
          <w:szCs w:val="20"/>
        </w:rPr>
      </w:pPr>
      <w:r>
        <w:rPr>
          <w:rFonts w:ascii="Arial" w:hAnsi="Arial" w:cs="Arial"/>
          <w:b/>
          <w:sz w:val="20"/>
          <w:szCs w:val="20"/>
        </w:rPr>
        <w:t>FECHA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FIRMA</w:t>
      </w:r>
    </w:p>
    <w:p w:rsidR="0056194E" w:rsidRDefault="0056194E">
      <w:pPr>
        <w:snapToGrid w:val="0"/>
        <w:jc w:val="both"/>
        <w:rPr>
          <w:rFonts w:ascii="Arial" w:hAnsi="Arial" w:cs="Arial"/>
          <w:b/>
          <w:sz w:val="20"/>
          <w:szCs w:val="20"/>
        </w:rPr>
      </w:pPr>
    </w:p>
    <w:tbl>
      <w:tblPr>
        <w:tblW w:w="0" w:type="auto"/>
        <w:tblInd w:w="-100" w:type="dxa"/>
        <w:tblLayout w:type="fixed"/>
        <w:tblLook w:val="0000"/>
      </w:tblPr>
      <w:tblGrid>
        <w:gridCol w:w="1904"/>
        <w:gridCol w:w="4016"/>
        <w:gridCol w:w="1701"/>
        <w:gridCol w:w="1760"/>
      </w:tblGrid>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rPr>
                <w:rFonts w:ascii="Arial" w:hAnsi="Arial" w:cs="Arial"/>
                <w:b/>
                <w:bCs/>
                <w:sz w:val="18"/>
                <w:szCs w:val="18"/>
              </w:rPr>
            </w:pPr>
            <w:r>
              <w:rPr>
                <w:rFonts w:ascii="Arial" w:hAnsi="Arial" w:cs="Arial"/>
                <w:b/>
                <w:bCs/>
                <w:sz w:val="18"/>
                <w:szCs w:val="18"/>
              </w:rPr>
              <w:t>Tabla unificada de sesgos (Colaboración Cochrane)</w:t>
            </w:r>
            <w:r>
              <w:rPr>
                <w:rFonts w:ascii="Arial" w:hAnsi="Arial" w:cs="Arial"/>
                <w:sz w:val="18"/>
                <w:szCs w:val="18"/>
              </w:rPr>
              <w:t xml:space="preserve">. </w:t>
            </w:r>
          </w:p>
          <w:p w:rsidR="0056194E" w:rsidRDefault="0056194E" w:rsidP="00A6369C">
            <w:pPr>
              <w:autoSpaceDE w:val="0"/>
              <w:jc w:val="both"/>
            </w:pPr>
            <w:r>
              <w:rPr>
                <w:rFonts w:ascii="Arial" w:hAnsi="Arial" w:cs="Arial"/>
                <w:b/>
                <w:bCs/>
                <w:sz w:val="18"/>
                <w:szCs w:val="18"/>
              </w:rPr>
              <w:t>Evaluaciones del riesgo de sesgo para el ensayo STAMPEDE</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b/>
                <w:bCs/>
                <w:sz w:val="18"/>
                <w:szCs w:val="18"/>
              </w:rPr>
              <w:t>Ítem</w:t>
            </w:r>
          </w:p>
        </w:tc>
        <w:tc>
          <w:tcPr>
            <w:tcW w:w="4016"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b/>
                <w:bCs/>
                <w:sz w:val="18"/>
                <w:szCs w:val="18"/>
              </w:rPr>
              <w:t>Descripción (cita)</w:t>
            </w:r>
          </w:p>
        </w:tc>
        <w:tc>
          <w:tcPr>
            <w:tcW w:w="1701"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b/>
                <w:bCs/>
                <w:sz w:val="18"/>
                <w:szCs w:val="18"/>
              </w:rPr>
              <w:t>Apoyo para la valoración</w:t>
            </w:r>
          </w:p>
        </w:tc>
        <w:tc>
          <w:tcPr>
            <w:tcW w:w="1760" w:type="dxa"/>
            <w:tcBorders>
              <w:top w:val="single" w:sz="4" w:space="0" w:color="000000"/>
              <w:left w:val="single" w:sz="4" w:space="0" w:color="000000"/>
              <w:bottom w:val="single" w:sz="4" w:space="0" w:color="000000"/>
              <w:right w:val="single" w:sz="4" w:space="0" w:color="000000"/>
            </w:tcBorders>
            <w:shd w:val="clear" w:color="auto" w:fill="E6E6E6"/>
          </w:tcPr>
          <w:p w:rsidR="0056194E" w:rsidRDefault="0056194E" w:rsidP="00A6369C">
            <w:pPr>
              <w:autoSpaceDE w:val="0"/>
              <w:jc w:val="both"/>
            </w:pPr>
            <w:r>
              <w:rPr>
                <w:rFonts w:ascii="Arial" w:hAnsi="Arial" w:cs="Arial"/>
                <w:b/>
                <w:bCs/>
                <w:sz w:val="18"/>
                <w:szCs w:val="18"/>
              </w:rPr>
              <w:t>Evaluación del riesgo de sesgo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selección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Generación de la secuencia de aleatorización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Describir el método utilizado para generar la secuencia de asignación con detalle suficiente para permitir una evaluación de si la misma produjo grupos comparables.</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
                <w:bCs/>
                <w:sz w:val="16"/>
                <w:szCs w:val="16"/>
              </w:rPr>
            </w:pPr>
          </w:p>
          <w:p w:rsidR="0056194E" w:rsidRDefault="0056194E" w:rsidP="00A6369C">
            <w:pPr>
              <w:autoSpaceDE w:val="0"/>
              <w:jc w:val="both"/>
            </w:pPr>
            <w:r>
              <w:rPr>
                <w:rFonts w:ascii="Arial" w:hAnsi="Arial" w:cs="Arial"/>
                <w:bCs/>
                <w:sz w:val="16"/>
                <w:szCs w:val="16"/>
              </w:rPr>
              <w:t xml:space="preserve">Se asignaron de forma aleatorizada </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color w:val="FF0000"/>
                <w:sz w:val="16"/>
                <w:szCs w:val="16"/>
              </w:rPr>
            </w:pPr>
          </w:p>
          <w:p w:rsidR="0056194E" w:rsidRDefault="0056194E" w:rsidP="00A6369C">
            <w:pPr>
              <w:autoSpaceDE w:val="0"/>
              <w:jc w:val="both"/>
            </w:pPr>
            <w:r>
              <w:rPr>
                <w:rFonts w:ascii="Arial" w:hAnsi="Arial" w:cs="Arial"/>
                <w:sz w:val="16"/>
                <w:szCs w:val="16"/>
              </w:rPr>
              <w:t>Bajo riesgo</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Ocultación de la asignación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sz w:val="16"/>
                <w:szCs w:val="16"/>
              </w:rPr>
              <w:t xml:space="preserve">Describir el método utilizado para ocultar la secuencia de asignación con detalle suficiente para determinar si las asignaciones a la intervención se podían prever antes o durante el reclutamiento. </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 xml:space="preserve">Asignación aleatorizada 1:1 </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Bajo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realización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Cegamiento de los participantes y del personal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Describir las medidas utilizadas para cegar a los participantes y al personal del estudio al conocimiento de qué intervención recibió un participante.</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Abierto</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Alto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detección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Cegamiento de los evaluadores del resultado</w:t>
            </w:r>
          </w:p>
        </w:tc>
        <w:tc>
          <w:tcPr>
            <w:tcW w:w="4016" w:type="dxa"/>
            <w:tcBorders>
              <w:top w:val="single" w:sz="4" w:space="0" w:color="000000"/>
              <w:left w:val="single" w:sz="4" w:space="0" w:color="000000"/>
              <w:bottom w:val="single" w:sz="4" w:space="0" w:color="000000"/>
            </w:tcBorders>
          </w:tcPr>
          <w:p w:rsidR="0056194E" w:rsidRDefault="0056194E" w:rsidP="00A6369C">
            <w:pPr>
              <w:jc w:val="both"/>
            </w:pPr>
            <w:r>
              <w:rPr>
                <w:rFonts w:ascii="Arial" w:hAnsi="Arial" w:cs="Arial"/>
                <w:bCs/>
                <w:sz w:val="16"/>
                <w:szCs w:val="16"/>
              </w:rPr>
              <w:t>Describir las medidas utilizadas para cegar a los evaluadores y al personal del estudio al conocimiento de que intervención recibió un participante.</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Abierto</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Alto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20"/>
                <w:szCs w:val="20"/>
              </w:rPr>
              <w:t>Sesgo de desgaste</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Manejo de los datos de resultado incompletos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Describir la compleción de los datos de resultados para cada resultado principal, incluido los abandonos y las exclusiones del análisis</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Todos los pacientes aleatorizados se incluyen en el análisis</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jc w:val="both"/>
            </w:pPr>
            <w:r>
              <w:rPr>
                <w:rFonts w:ascii="Arial" w:hAnsi="Arial" w:cs="Arial"/>
                <w:bCs/>
                <w:sz w:val="16"/>
                <w:szCs w:val="16"/>
              </w:rPr>
              <w:t>Bajo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notificación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Notificación selectiva de resultados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lang w:val="es-ES_tradnl"/>
              </w:rPr>
              <w:t>Señalar cómo los revisores examinaron la posibilidad de la notificación selectiva de los resultados</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Sin datos</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jc w:val="both"/>
            </w:pPr>
            <w:r>
              <w:rPr>
                <w:rFonts w:ascii="Arial" w:hAnsi="Arial" w:cs="Arial"/>
                <w:b/>
                <w:bCs/>
                <w:sz w:val="16"/>
                <w:szCs w:val="16"/>
              </w:rPr>
              <w:t>-</w:t>
            </w:r>
          </w:p>
        </w:tc>
      </w:tr>
    </w:tbl>
    <w:p w:rsidR="0056194E" w:rsidRDefault="0056194E">
      <w:pPr>
        <w:snapToGrid w:val="0"/>
        <w:jc w:val="both"/>
        <w:rPr>
          <w:rFonts w:ascii="Arial" w:hAnsi="Arial" w:cs="Arial"/>
          <w:b/>
          <w:sz w:val="20"/>
          <w:szCs w:val="20"/>
        </w:rPr>
      </w:pPr>
    </w:p>
    <w:p w:rsidR="0056194E" w:rsidRDefault="0056194E">
      <w:pPr>
        <w:snapToGrid w:val="0"/>
        <w:jc w:val="both"/>
        <w:rPr>
          <w:rFonts w:ascii="Arial" w:hAnsi="Arial" w:cs="Arial"/>
          <w:b/>
          <w:sz w:val="20"/>
          <w:szCs w:val="20"/>
        </w:rPr>
      </w:pPr>
    </w:p>
    <w:p w:rsidR="0056194E" w:rsidRDefault="0056194E">
      <w:pPr>
        <w:snapToGrid w:val="0"/>
        <w:jc w:val="both"/>
        <w:rPr>
          <w:rFonts w:ascii="Arial" w:hAnsi="Arial" w:cs="Arial"/>
          <w:b/>
          <w:sz w:val="20"/>
          <w:szCs w:val="20"/>
        </w:rPr>
      </w:pPr>
    </w:p>
    <w:p w:rsidR="0056194E" w:rsidRDefault="0056194E">
      <w:pPr>
        <w:snapToGrid w:val="0"/>
        <w:jc w:val="both"/>
        <w:rPr>
          <w:rFonts w:ascii="Arial" w:hAnsi="Arial" w:cs="Arial"/>
          <w:b/>
          <w:sz w:val="20"/>
          <w:szCs w:val="20"/>
        </w:rPr>
      </w:pPr>
    </w:p>
    <w:tbl>
      <w:tblPr>
        <w:tblW w:w="9381" w:type="dxa"/>
        <w:tblInd w:w="-100" w:type="dxa"/>
        <w:tblLayout w:type="fixed"/>
        <w:tblLook w:val="0000"/>
      </w:tblPr>
      <w:tblGrid>
        <w:gridCol w:w="1904"/>
        <w:gridCol w:w="4016"/>
        <w:gridCol w:w="1701"/>
        <w:gridCol w:w="1760"/>
      </w:tblGrid>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rPr>
                <w:rFonts w:ascii="Arial" w:hAnsi="Arial" w:cs="Arial"/>
                <w:b/>
                <w:bCs/>
                <w:sz w:val="18"/>
                <w:szCs w:val="18"/>
              </w:rPr>
            </w:pPr>
            <w:r>
              <w:rPr>
                <w:rFonts w:ascii="Arial" w:hAnsi="Arial" w:cs="Arial"/>
                <w:b/>
                <w:bCs/>
                <w:sz w:val="18"/>
                <w:szCs w:val="18"/>
              </w:rPr>
              <w:t>Tabla unificada de sesgos (Colaboración Cochrane)</w:t>
            </w:r>
          </w:p>
          <w:p w:rsidR="0056194E" w:rsidRDefault="0056194E" w:rsidP="00A6369C">
            <w:pPr>
              <w:autoSpaceDE w:val="0"/>
              <w:jc w:val="both"/>
            </w:pPr>
            <w:r>
              <w:rPr>
                <w:rFonts w:ascii="Arial" w:hAnsi="Arial" w:cs="Arial"/>
                <w:b/>
                <w:bCs/>
                <w:sz w:val="18"/>
                <w:szCs w:val="18"/>
              </w:rPr>
              <w:t>Evaluaciones del riesgo de sesgo para el ensayo LATITUDE</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b/>
                <w:bCs/>
                <w:sz w:val="18"/>
                <w:szCs w:val="18"/>
              </w:rPr>
              <w:t>Ítem</w:t>
            </w:r>
          </w:p>
        </w:tc>
        <w:tc>
          <w:tcPr>
            <w:tcW w:w="4016"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rPr>
                <w:rFonts w:ascii="Arial" w:hAnsi="Arial" w:cs="Arial"/>
                <w:b/>
                <w:bCs/>
                <w:sz w:val="18"/>
                <w:szCs w:val="18"/>
              </w:rPr>
            </w:pPr>
            <w:r>
              <w:rPr>
                <w:rFonts w:ascii="Arial" w:hAnsi="Arial" w:cs="Arial"/>
                <w:b/>
                <w:bCs/>
                <w:sz w:val="18"/>
                <w:szCs w:val="18"/>
              </w:rPr>
              <w:t xml:space="preserve">Descripción </w:t>
            </w:r>
          </w:p>
          <w:p w:rsidR="0056194E" w:rsidRDefault="0056194E" w:rsidP="00A6369C">
            <w:pPr>
              <w:autoSpaceDE w:val="0"/>
              <w:jc w:val="both"/>
            </w:pPr>
            <w:r>
              <w:rPr>
                <w:rFonts w:ascii="Arial" w:hAnsi="Arial" w:cs="Arial"/>
                <w:b/>
                <w:bCs/>
                <w:sz w:val="18"/>
                <w:szCs w:val="18"/>
              </w:rPr>
              <w:t>(cita)</w:t>
            </w:r>
          </w:p>
        </w:tc>
        <w:tc>
          <w:tcPr>
            <w:tcW w:w="1701"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b/>
                <w:bCs/>
                <w:sz w:val="18"/>
                <w:szCs w:val="18"/>
              </w:rPr>
              <w:t>Apoyo para la valoración</w:t>
            </w:r>
          </w:p>
        </w:tc>
        <w:tc>
          <w:tcPr>
            <w:tcW w:w="1760" w:type="dxa"/>
            <w:tcBorders>
              <w:top w:val="single" w:sz="4" w:space="0" w:color="000000"/>
              <w:left w:val="single" w:sz="4" w:space="0" w:color="000000"/>
              <w:bottom w:val="single" w:sz="4" w:space="0" w:color="000000"/>
              <w:right w:val="single" w:sz="4" w:space="0" w:color="000000"/>
            </w:tcBorders>
            <w:shd w:val="clear" w:color="auto" w:fill="E6E6E6"/>
          </w:tcPr>
          <w:p w:rsidR="0056194E" w:rsidRDefault="0056194E" w:rsidP="00A6369C">
            <w:pPr>
              <w:autoSpaceDE w:val="0"/>
              <w:jc w:val="both"/>
            </w:pPr>
            <w:r>
              <w:rPr>
                <w:rFonts w:ascii="Arial" w:hAnsi="Arial" w:cs="Arial"/>
                <w:b/>
                <w:bCs/>
                <w:sz w:val="18"/>
                <w:szCs w:val="18"/>
              </w:rPr>
              <w:t>Evaluación del riesgo de sesgo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selección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Generación de la secuencia de aleatorización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Describir el método utilizado para generar la secuencia de asignación con detalle suficiente para permitir una evaluación de si la misma produjo grupos comparables.</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
                <w:bCs/>
                <w:sz w:val="16"/>
                <w:szCs w:val="16"/>
              </w:rPr>
            </w:pPr>
          </w:p>
          <w:p w:rsidR="0056194E" w:rsidRDefault="0056194E" w:rsidP="00A6369C">
            <w:pPr>
              <w:autoSpaceDE w:val="0"/>
              <w:jc w:val="both"/>
            </w:pPr>
            <w:r>
              <w:rPr>
                <w:rFonts w:ascii="Arial" w:hAnsi="Arial" w:cs="Arial"/>
                <w:bCs/>
                <w:sz w:val="16"/>
                <w:szCs w:val="16"/>
              </w:rPr>
              <w:t xml:space="preserve">Se asignaron de forma aleatorizada </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color w:val="FF0000"/>
                <w:sz w:val="16"/>
                <w:szCs w:val="16"/>
              </w:rPr>
            </w:pPr>
          </w:p>
          <w:p w:rsidR="0056194E" w:rsidRDefault="0056194E" w:rsidP="00A6369C">
            <w:pPr>
              <w:autoSpaceDE w:val="0"/>
              <w:jc w:val="both"/>
            </w:pPr>
            <w:r>
              <w:rPr>
                <w:rFonts w:ascii="Arial" w:hAnsi="Arial" w:cs="Arial"/>
                <w:sz w:val="16"/>
                <w:szCs w:val="16"/>
              </w:rPr>
              <w:t>Bajo riesgo</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Ocultación de la asignación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sz w:val="16"/>
                <w:szCs w:val="16"/>
              </w:rPr>
              <w:t xml:space="preserve">Describir el método utilizado para ocultar la secuencia de asignación con detalle suficiente para determinar si las asignaciones a la intervención se podían prever antes o durante el reclutamiento. </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 xml:space="preserve">Asignación aleatorizada 1:1 </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Bajo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realización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Cegamiento de los participantes y del personal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Describir las medidas utilizadas para cegar a los participantes y al personal del estudio al conocimiento de qué intervención recibió un participante.</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Cerrado</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Bajo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detección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Cegamiento de los evaluadores del resultado</w:t>
            </w:r>
          </w:p>
        </w:tc>
        <w:tc>
          <w:tcPr>
            <w:tcW w:w="4016" w:type="dxa"/>
            <w:tcBorders>
              <w:top w:val="single" w:sz="4" w:space="0" w:color="000000"/>
              <w:left w:val="single" w:sz="4" w:space="0" w:color="000000"/>
              <w:bottom w:val="single" w:sz="4" w:space="0" w:color="000000"/>
            </w:tcBorders>
          </w:tcPr>
          <w:p w:rsidR="0056194E" w:rsidRDefault="0056194E" w:rsidP="00A6369C">
            <w:pPr>
              <w:jc w:val="both"/>
            </w:pPr>
            <w:r>
              <w:rPr>
                <w:rFonts w:ascii="Arial" w:hAnsi="Arial" w:cs="Arial"/>
                <w:bCs/>
                <w:sz w:val="16"/>
                <w:szCs w:val="16"/>
              </w:rPr>
              <w:t>Describir las medidas utilizadas para cegar a los evaluadores y al personal del estudio al conocimiento de que intervención recibió un participante.</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Cerrado</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snapToGrid w:val="0"/>
              <w:jc w:val="both"/>
              <w:rPr>
                <w:rFonts w:ascii="Arial" w:hAnsi="Arial" w:cs="Arial"/>
                <w:bCs/>
                <w:sz w:val="16"/>
                <w:szCs w:val="16"/>
              </w:rPr>
            </w:pPr>
          </w:p>
          <w:p w:rsidR="0056194E" w:rsidRDefault="0056194E" w:rsidP="00A6369C">
            <w:pPr>
              <w:autoSpaceDE w:val="0"/>
              <w:jc w:val="both"/>
            </w:pPr>
            <w:r>
              <w:rPr>
                <w:rFonts w:ascii="Arial" w:hAnsi="Arial" w:cs="Arial"/>
                <w:bCs/>
                <w:sz w:val="16"/>
                <w:szCs w:val="16"/>
              </w:rPr>
              <w:t>Bajo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desgaste</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Manejo de los datos de resultado incompletos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Describir la compleción de los datos de resultados para cada resultado principal, incluido los abandonos y las exclusiones del análisis</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Todos los pacientes aleatorizados se incluyen en el análisis</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jc w:val="both"/>
            </w:pPr>
            <w:r>
              <w:rPr>
                <w:rFonts w:ascii="Arial" w:hAnsi="Arial" w:cs="Arial"/>
                <w:bCs/>
                <w:sz w:val="16"/>
                <w:szCs w:val="16"/>
              </w:rPr>
              <w:t>Bajo riesgo</w:t>
            </w:r>
          </w:p>
        </w:tc>
      </w:tr>
      <w:tr w:rsidR="0056194E">
        <w:tc>
          <w:tcPr>
            <w:tcW w:w="9381" w:type="dxa"/>
            <w:gridSpan w:val="4"/>
            <w:tcBorders>
              <w:top w:val="single" w:sz="4" w:space="0" w:color="000000"/>
              <w:left w:val="single" w:sz="4" w:space="0" w:color="000000"/>
              <w:bottom w:val="single" w:sz="4" w:space="0" w:color="000000"/>
              <w:right w:val="single" w:sz="4" w:space="0" w:color="000000"/>
            </w:tcBorders>
            <w:shd w:val="clear" w:color="auto" w:fill="CCFFCC"/>
          </w:tcPr>
          <w:p w:rsidR="0056194E" w:rsidRDefault="0056194E" w:rsidP="00A6369C">
            <w:pPr>
              <w:autoSpaceDE w:val="0"/>
              <w:jc w:val="both"/>
            </w:pPr>
            <w:r>
              <w:rPr>
                <w:rFonts w:ascii="Arial" w:hAnsi="Arial" w:cs="Arial"/>
                <w:b/>
                <w:bCs/>
                <w:sz w:val="18"/>
                <w:szCs w:val="18"/>
              </w:rPr>
              <w:t>Sesgo de notificación</w:t>
            </w:r>
          </w:p>
        </w:tc>
      </w:tr>
      <w:tr w:rsidR="0056194E">
        <w:tc>
          <w:tcPr>
            <w:tcW w:w="1904" w:type="dxa"/>
            <w:tcBorders>
              <w:top w:val="single" w:sz="4" w:space="0" w:color="000000"/>
              <w:left w:val="single" w:sz="4" w:space="0" w:color="000000"/>
              <w:bottom w:val="single" w:sz="4" w:space="0" w:color="000000"/>
            </w:tcBorders>
            <w:shd w:val="clear" w:color="auto" w:fill="E6E6E6"/>
          </w:tcPr>
          <w:p w:rsidR="0056194E" w:rsidRDefault="0056194E" w:rsidP="00A6369C">
            <w:pPr>
              <w:autoSpaceDE w:val="0"/>
              <w:jc w:val="both"/>
            </w:pPr>
            <w:r>
              <w:rPr>
                <w:rFonts w:ascii="Arial" w:hAnsi="Arial" w:cs="Arial"/>
                <w:sz w:val="16"/>
                <w:szCs w:val="16"/>
              </w:rPr>
              <w:t xml:space="preserve">Notificación selectiva de resultados </w:t>
            </w:r>
          </w:p>
        </w:tc>
        <w:tc>
          <w:tcPr>
            <w:tcW w:w="4016"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lang w:val="es-ES_tradnl"/>
              </w:rPr>
              <w:t>Señalar cómo los revisores examinaron la posibilidad de la notificación selectiva de los resultados</w:t>
            </w:r>
          </w:p>
        </w:tc>
        <w:tc>
          <w:tcPr>
            <w:tcW w:w="1701" w:type="dxa"/>
            <w:tcBorders>
              <w:top w:val="single" w:sz="4" w:space="0" w:color="000000"/>
              <w:left w:val="single" w:sz="4" w:space="0" w:color="000000"/>
              <w:bottom w:val="single" w:sz="4" w:space="0" w:color="000000"/>
            </w:tcBorders>
          </w:tcPr>
          <w:p w:rsidR="0056194E" w:rsidRDefault="0056194E" w:rsidP="00A6369C">
            <w:pPr>
              <w:autoSpaceDE w:val="0"/>
              <w:jc w:val="both"/>
            </w:pPr>
            <w:r>
              <w:rPr>
                <w:rFonts w:ascii="Arial" w:hAnsi="Arial" w:cs="Arial"/>
                <w:bCs/>
                <w:sz w:val="16"/>
                <w:szCs w:val="16"/>
              </w:rPr>
              <w:t>Sin datos</w:t>
            </w:r>
          </w:p>
        </w:tc>
        <w:tc>
          <w:tcPr>
            <w:tcW w:w="1760" w:type="dxa"/>
            <w:tcBorders>
              <w:top w:val="single" w:sz="4" w:space="0" w:color="000000"/>
              <w:left w:val="single" w:sz="4" w:space="0" w:color="000000"/>
              <w:bottom w:val="single" w:sz="4" w:space="0" w:color="000000"/>
              <w:right w:val="single" w:sz="4" w:space="0" w:color="000000"/>
            </w:tcBorders>
          </w:tcPr>
          <w:p w:rsidR="0056194E" w:rsidRDefault="0056194E" w:rsidP="00A6369C">
            <w:pPr>
              <w:autoSpaceDE w:val="0"/>
              <w:jc w:val="both"/>
            </w:pPr>
            <w:r>
              <w:rPr>
                <w:rFonts w:ascii="Arial" w:hAnsi="Arial" w:cs="Arial"/>
                <w:b/>
                <w:bCs/>
                <w:sz w:val="16"/>
                <w:szCs w:val="16"/>
              </w:rPr>
              <w:t>-</w:t>
            </w:r>
          </w:p>
        </w:tc>
      </w:tr>
    </w:tbl>
    <w:p w:rsidR="0056194E" w:rsidRDefault="0056194E">
      <w:pPr>
        <w:snapToGrid w:val="0"/>
        <w:jc w:val="both"/>
        <w:rPr>
          <w:rFonts w:ascii="Arial" w:hAnsi="Arial" w:cs="Arial"/>
          <w:b/>
          <w:sz w:val="20"/>
          <w:szCs w:val="20"/>
        </w:rPr>
      </w:pPr>
    </w:p>
    <w:tbl>
      <w:tblPr>
        <w:tblW w:w="9381" w:type="dxa"/>
        <w:tblInd w:w="-100" w:type="dxa"/>
        <w:tblLayout w:type="fixed"/>
        <w:tblCellMar>
          <w:left w:w="70" w:type="dxa"/>
          <w:right w:w="70" w:type="dxa"/>
        </w:tblCellMar>
        <w:tblLook w:val="0000"/>
      </w:tblPr>
      <w:tblGrid>
        <w:gridCol w:w="4686"/>
        <w:gridCol w:w="749"/>
        <w:gridCol w:w="3946"/>
      </w:tblGrid>
      <w:tr w:rsidR="00D038B1" w:rsidTr="000D6772">
        <w:trPr>
          <w:cantSplit/>
        </w:trPr>
        <w:tc>
          <w:tcPr>
            <w:tcW w:w="8774" w:type="dxa"/>
            <w:gridSpan w:val="3"/>
            <w:tcBorders>
              <w:top w:val="single" w:sz="4" w:space="0" w:color="000000"/>
              <w:left w:val="single" w:sz="4" w:space="0" w:color="000000"/>
              <w:bottom w:val="single" w:sz="4" w:space="0" w:color="000000"/>
              <w:right w:val="single" w:sz="4" w:space="0" w:color="000000"/>
            </w:tcBorders>
            <w:shd w:val="clear" w:color="auto" w:fill="CCFFCC"/>
          </w:tcPr>
          <w:p w:rsidR="00D038B1" w:rsidRPr="00A6369C" w:rsidRDefault="00D038B1" w:rsidP="000D6772">
            <w:pPr>
              <w:jc w:val="both"/>
              <w:rPr>
                <w:rFonts w:ascii="Arial" w:hAnsi="Arial" w:cs="Arial"/>
                <w:b/>
                <w:sz w:val="18"/>
                <w:szCs w:val="18"/>
                <w:lang w:val="es-ES_tradnl"/>
              </w:rPr>
            </w:pPr>
            <w:r w:rsidRPr="00A6369C">
              <w:rPr>
                <w:rFonts w:ascii="Arial" w:hAnsi="Arial" w:cs="Arial"/>
                <w:b/>
                <w:sz w:val="18"/>
                <w:szCs w:val="18"/>
                <w:lang w:val="es-ES_tradnl"/>
              </w:rPr>
              <w:t>Tabla 5.2.b.1.2</w:t>
            </w:r>
          </w:p>
          <w:p w:rsidR="00D038B1" w:rsidRDefault="00D038B1" w:rsidP="000D6772">
            <w:pPr>
              <w:jc w:val="both"/>
            </w:pPr>
            <w:r w:rsidRPr="00A6369C">
              <w:rPr>
                <w:rFonts w:ascii="Arial" w:hAnsi="Arial" w:cs="Arial"/>
                <w:b/>
                <w:sz w:val="18"/>
                <w:szCs w:val="18"/>
                <w:lang w:val="es-ES_tradnl"/>
              </w:rPr>
              <w:t>CUESTIONARIO SOBRE LA VALIDEZ DE UNA COMPARACIÓN INDIRECTA</w:t>
            </w: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sz w:val="16"/>
                <w:szCs w:val="16"/>
              </w:rPr>
            </w:pPr>
          </w:p>
        </w:tc>
        <w:tc>
          <w:tcPr>
            <w:tcW w:w="701" w:type="dxa"/>
            <w:tcBorders>
              <w:top w:val="single" w:sz="4" w:space="0" w:color="000000"/>
              <w:left w:val="single" w:sz="4" w:space="0" w:color="000000"/>
              <w:bottom w:val="single" w:sz="4" w:space="0" w:color="000000"/>
            </w:tcBorders>
          </w:tcPr>
          <w:p w:rsidR="00D038B1" w:rsidRPr="00A6369C" w:rsidRDefault="00D038B1" w:rsidP="000D6772">
            <w:pPr>
              <w:jc w:val="both"/>
              <w:rPr>
                <w:sz w:val="16"/>
                <w:szCs w:val="16"/>
              </w:rPr>
            </w:pPr>
            <w:r w:rsidRPr="00A6369C">
              <w:rPr>
                <w:rFonts w:ascii="Arial" w:hAnsi="Arial" w:cs="Arial"/>
                <w:b/>
                <w:sz w:val="16"/>
                <w:szCs w:val="16"/>
                <w:lang w:val="es-ES_tradnl"/>
              </w:rPr>
              <w:t>SI/NO</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jc w:val="both"/>
              <w:rPr>
                <w:sz w:val="16"/>
                <w:szCs w:val="16"/>
              </w:rPr>
            </w:pPr>
            <w:r w:rsidRPr="00A6369C">
              <w:rPr>
                <w:rFonts w:ascii="Arial" w:hAnsi="Arial" w:cs="Arial"/>
                <w:b/>
                <w:sz w:val="16"/>
                <w:szCs w:val="16"/>
                <w:lang w:val="es-ES_tradnl"/>
              </w:rPr>
              <w:t>JUSTIFICAR</w:t>
            </w: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rFonts w:ascii="Arial" w:hAnsi="Arial" w:cs="Arial"/>
                <w:b/>
                <w:bCs/>
                <w:sz w:val="16"/>
                <w:szCs w:val="16"/>
              </w:rPr>
            </w:pPr>
            <w:r w:rsidRPr="00A6369C">
              <w:rPr>
                <w:rFonts w:ascii="Arial" w:hAnsi="Arial" w:cs="Arial"/>
                <w:b/>
                <w:bCs/>
                <w:sz w:val="16"/>
                <w:szCs w:val="16"/>
              </w:rPr>
              <w:t>-¿Es adecuado el método utilizado para realizar la comparación indirecta?</w:t>
            </w:r>
          </w:p>
          <w:p w:rsidR="00D038B1" w:rsidRPr="00A6369C" w:rsidRDefault="00D038B1" w:rsidP="000D6772">
            <w:pPr>
              <w:jc w:val="both"/>
              <w:rPr>
                <w:sz w:val="16"/>
                <w:szCs w:val="16"/>
              </w:rPr>
            </w:pPr>
            <w:r w:rsidRPr="00A6369C">
              <w:rPr>
                <w:rFonts w:ascii="Arial" w:hAnsi="Arial" w:cs="Arial"/>
                <w:b/>
                <w:bCs/>
                <w:sz w:val="16"/>
                <w:szCs w:val="16"/>
              </w:rPr>
              <w:t>Rechazar comparaciones “</w:t>
            </w:r>
            <w:r w:rsidRPr="00A6369C">
              <w:rPr>
                <w:rFonts w:ascii="Arial" w:hAnsi="Arial" w:cs="Arial"/>
                <w:b/>
                <w:bCs/>
                <w:i/>
                <w:iCs/>
                <w:sz w:val="16"/>
                <w:szCs w:val="16"/>
              </w:rPr>
              <w:t>naïve</w:t>
            </w:r>
            <w:r w:rsidRPr="00A6369C">
              <w:rPr>
                <w:rFonts w:ascii="Arial" w:hAnsi="Arial" w:cs="Arial"/>
                <w:b/>
                <w:bCs/>
                <w:sz w:val="16"/>
                <w:szCs w:val="16"/>
              </w:rPr>
              <w:t>” realizadas con estimaciones puntuales derivadas de diferentes ensayos controlados o de los brazos activos de diferentes ensayos controlados</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rFonts w:ascii="Arial" w:hAnsi="Arial" w:cs="Arial"/>
                <w:b/>
                <w:bCs/>
                <w:sz w:val="16"/>
                <w:szCs w:val="16"/>
                <w:lang w:val="es-ES_tradnl"/>
              </w:rPr>
            </w:pPr>
          </w:p>
          <w:p w:rsidR="00D038B1" w:rsidRPr="00A6369C" w:rsidRDefault="00D038B1" w:rsidP="000D6772">
            <w:pPr>
              <w:snapToGrid w:val="0"/>
              <w:jc w:val="both"/>
              <w:rPr>
                <w:rFonts w:ascii="Arial" w:hAnsi="Arial" w:cs="Arial"/>
                <w:b/>
                <w:bCs/>
                <w:sz w:val="16"/>
                <w:szCs w:val="16"/>
                <w:lang w:val="es-ES_tradnl"/>
              </w:rPr>
            </w:pPr>
          </w:p>
          <w:p w:rsidR="00D038B1" w:rsidRPr="00A6369C" w:rsidRDefault="00D038B1" w:rsidP="000D6772">
            <w:pPr>
              <w:snapToGrid w:val="0"/>
              <w:jc w:val="both"/>
              <w:rPr>
                <w:sz w:val="16"/>
                <w:szCs w:val="16"/>
              </w:rPr>
            </w:pPr>
            <w:r w:rsidRPr="00A6369C">
              <w:rPr>
                <w:rFonts w:ascii="Arial" w:hAnsi="Arial" w:cs="Arial"/>
                <w:b/>
                <w:bCs/>
                <w:sz w:val="16"/>
                <w:szCs w:val="16"/>
                <w:lang w:val="es-ES_tradnl"/>
              </w:rPr>
              <w:t>SI</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rFonts w:ascii="Arial" w:hAnsi="Arial" w:cs="Arial"/>
                <w:b/>
                <w:bCs/>
                <w:sz w:val="16"/>
                <w:szCs w:val="16"/>
                <w:lang w:val="es-ES_tradnl"/>
              </w:rPr>
            </w:pPr>
          </w:p>
          <w:p w:rsidR="00D038B1" w:rsidRPr="00A6369C" w:rsidRDefault="00D038B1" w:rsidP="000D6772">
            <w:pPr>
              <w:snapToGrid w:val="0"/>
              <w:jc w:val="both"/>
              <w:rPr>
                <w:sz w:val="16"/>
                <w:szCs w:val="16"/>
              </w:rPr>
            </w:pPr>
            <w:r w:rsidRPr="00A6369C">
              <w:rPr>
                <w:rFonts w:ascii="Arial" w:hAnsi="Arial" w:cs="Arial"/>
                <w:b/>
                <w:bCs/>
                <w:sz w:val="16"/>
                <w:szCs w:val="16"/>
                <w:lang w:val="es-ES_tradnl"/>
              </w:rPr>
              <w:t xml:space="preserve">Se ha empleado el método de Bucher, considerado el mejor método para realizar comparaciones indirectas de ensayos clínicos </w:t>
            </w:r>
            <w:r>
              <w:rPr>
                <w:rFonts w:ascii="Arial" w:hAnsi="Arial" w:cs="Arial"/>
                <w:b/>
                <w:bCs/>
                <w:sz w:val="16"/>
                <w:szCs w:val="16"/>
                <w:lang w:val="es-ES_tradnl"/>
              </w:rPr>
              <w:t>aleatorizados</w:t>
            </w:r>
            <w:r w:rsidRPr="00A6369C">
              <w:rPr>
                <w:rFonts w:ascii="Arial" w:hAnsi="Arial" w:cs="Arial"/>
                <w:b/>
                <w:bCs/>
                <w:sz w:val="16"/>
                <w:szCs w:val="16"/>
                <w:lang w:val="es-ES_tradnl"/>
              </w:rPr>
              <w:t>.</w:t>
            </w:r>
          </w:p>
          <w:p w:rsidR="00D038B1" w:rsidRPr="00A6369C" w:rsidRDefault="00D038B1" w:rsidP="000D6772">
            <w:pPr>
              <w:snapToGrid w:val="0"/>
              <w:jc w:val="both"/>
              <w:rPr>
                <w:sz w:val="16"/>
                <w:szCs w:val="16"/>
              </w:rPr>
            </w:pPr>
          </w:p>
        </w:tc>
      </w:tr>
      <w:tr w:rsidR="00D038B1" w:rsidTr="000D6772">
        <w:trPr>
          <w:trHeight w:val="284"/>
        </w:trPr>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sz w:val="16"/>
                <w:szCs w:val="16"/>
              </w:rPr>
            </w:pPr>
            <w:r w:rsidRPr="00A6369C">
              <w:rPr>
                <w:rFonts w:ascii="Arial" w:hAnsi="Arial" w:cs="Arial"/>
                <w:b/>
                <w:bCs/>
                <w:sz w:val="16"/>
                <w:szCs w:val="16"/>
                <w:lang w:val="es-ES_tradnl"/>
              </w:rPr>
              <w:t>-¿</w:t>
            </w:r>
            <w:r w:rsidRPr="00A6369C">
              <w:rPr>
                <w:rFonts w:ascii="Arial" w:hAnsi="Arial" w:cs="Arial"/>
                <w:b/>
                <w:bCs/>
                <w:sz w:val="16"/>
                <w:szCs w:val="16"/>
              </w:rPr>
              <w:t>Se establece claramente cómo se realizó la búsqueda y la selección de los ensayos para la inclusión?</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sz w:val="16"/>
                <w:szCs w:val="16"/>
              </w:rPr>
            </w:pPr>
            <w:r w:rsidRPr="00A6369C">
              <w:rPr>
                <w:rFonts w:ascii="Arial" w:hAnsi="Arial" w:cs="Arial"/>
                <w:b/>
                <w:bCs/>
                <w:sz w:val="16"/>
                <w:szCs w:val="16"/>
                <w:lang w:val="es-ES_tradnl"/>
              </w:rPr>
              <w:t>SI</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sz w:val="16"/>
                <w:szCs w:val="16"/>
              </w:rPr>
            </w:pPr>
            <w:r w:rsidRPr="00A6369C">
              <w:rPr>
                <w:rFonts w:ascii="Arial" w:hAnsi="Arial" w:cs="Arial"/>
                <w:b/>
                <w:sz w:val="16"/>
                <w:szCs w:val="16"/>
                <w:lang w:val="es-ES_tradnl"/>
              </w:rPr>
              <w:t xml:space="preserve">Se eligieron ensayos clínicos fase III relevantes considerados de bajo riesgo de sesgo con una adecuada </w:t>
            </w:r>
            <w:r>
              <w:rPr>
                <w:rFonts w:ascii="Arial" w:hAnsi="Arial" w:cs="Arial"/>
                <w:b/>
                <w:sz w:val="16"/>
                <w:szCs w:val="16"/>
                <w:lang w:val="es-ES_tradnl"/>
              </w:rPr>
              <w:t>aleatorización</w:t>
            </w:r>
            <w:r w:rsidRPr="00A6369C">
              <w:rPr>
                <w:rFonts w:ascii="Arial" w:hAnsi="Arial" w:cs="Arial"/>
                <w:b/>
                <w:sz w:val="16"/>
                <w:szCs w:val="16"/>
                <w:lang w:val="es-ES_tradnl"/>
              </w:rPr>
              <w:t>. Todos ellos debían tener un brazo control en tratamiento con TDA en monoterapia.</w:t>
            </w:r>
          </w:p>
          <w:p w:rsidR="00D038B1" w:rsidRPr="00A6369C" w:rsidRDefault="00D038B1" w:rsidP="000D6772">
            <w:pPr>
              <w:jc w:val="both"/>
              <w:rPr>
                <w:sz w:val="16"/>
                <w:szCs w:val="16"/>
              </w:rPr>
            </w:pP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rFonts w:ascii="Arial" w:hAnsi="Arial" w:cs="Arial"/>
                <w:b/>
                <w:bCs/>
                <w:sz w:val="16"/>
                <w:szCs w:val="16"/>
              </w:rPr>
            </w:pPr>
            <w:r w:rsidRPr="00A6369C">
              <w:rPr>
                <w:rFonts w:ascii="Arial" w:hAnsi="Arial" w:cs="Arial"/>
                <w:b/>
                <w:bCs/>
                <w:sz w:val="16"/>
                <w:szCs w:val="16"/>
              </w:rPr>
              <w:t>-¿Se hace una descripción de los métodos de análisis/síntesis de la evidencia?</w:t>
            </w:r>
          </w:p>
          <w:p w:rsidR="00D038B1" w:rsidRPr="00A6369C" w:rsidRDefault="00D038B1" w:rsidP="000D6772">
            <w:pPr>
              <w:jc w:val="both"/>
              <w:rPr>
                <w:sz w:val="16"/>
                <w:szCs w:val="16"/>
              </w:rPr>
            </w:pPr>
            <w:r w:rsidRPr="00A6369C">
              <w:rPr>
                <w:rFonts w:ascii="Arial" w:hAnsi="Arial" w:cs="Arial"/>
                <w:b/>
                <w:bCs/>
                <w:sz w:val="16"/>
                <w:szCs w:val="16"/>
              </w:rPr>
              <w:t xml:space="preserve">Manejo de sesgos </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sz w:val="16"/>
                <w:szCs w:val="16"/>
              </w:rPr>
            </w:pPr>
            <w:r w:rsidRPr="00A6369C">
              <w:rPr>
                <w:rFonts w:ascii="Arial" w:hAnsi="Arial" w:cs="Arial"/>
                <w:b/>
                <w:bCs/>
                <w:sz w:val="16"/>
                <w:szCs w:val="16"/>
                <w:lang w:val="es-ES_tradnl"/>
              </w:rPr>
              <w:t>SI</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sz w:val="16"/>
                <w:szCs w:val="16"/>
              </w:rPr>
            </w:pPr>
            <w:r w:rsidRPr="00A6369C">
              <w:rPr>
                <w:rFonts w:ascii="Arial" w:hAnsi="Arial" w:cs="Arial"/>
                <w:b/>
                <w:sz w:val="16"/>
                <w:szCs w:val="16"/>
                <w:lang w:val="es-ES_tradnl"/>
              </w:rPr>
              <w:t>Se especifica el uso de  “ The Cochrane Collaboration'stool” para evaluar el riesgo de sesgo.</w:t>
            </w:r>
          </w:p>
          <w:p w:rsidR="00D038B1" w:rsidRPr="00A6369C" w:rsidRDefault="00D038B1" w:rsidP="000D6772">
            <w:pPr>
              <w:jc w:val="both"/>
              <w:rPr>
                <w:sz w:val="16"/>
                <w:szCs w:val="16"/>
              </w:rPr>
            </w:pP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rFonts w:ascii="Arial" w:hAnsi="Arial" w:cs="Arial"/>
                <w:b/>
                <w:bCs/>
                <w:sz w:val="16"/>
                <w:szCs w:val="16"/>
              </w:rPr>
            </w:pPr>
            <w:r w:rsidRPr="00A6369C">
              <w:rPr>
                <w:rFonts w:ascii="Arial" w:hAnsi="Arial" w:cs="Arial"/>
                <w:b/>
                <w:bCs/>
                <w:sz w:val="16"/>
                <w:szCs w:val="16"/>
              </w:rPr>
              <w:t>-¿Se analiza la homogeneidad de los ensayos y la estabilidad de los efectos?</w:t>
            </w:r>
          </w:p>
          <w:p w:rsidR="00D038B1" w:rsidRPr="00A6369C" w:rsidRDefault="00D038B1" w:rsidP="000D6772">
            <w:pPr>
              <w:jc w:val="both"/>
              <w:rPr>
                <w:sz w:val="16"/>
                <w:szCs w:val="16"/>
              </w:rPr>
            </w:pPr>
            <w:r w:rsidRPr="00A6369C">
              <w:rPr>
                <w:rFonts w:ascii="Arial" w:hAnsi="Arial" w:cs="Arial"/>
                <w:b/>
                <w:bCs/>
                <w:sz w:val="16"/>
                <w:szCs w:val="16"/>
              </w:rPr>
              <w:t>Todo los ensayos responden a la misma pregunta clínica en relación con el   tipo de pacientes estudiado y los tratamientos comparados</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sz w:val="16"/>
                <w:szCs w:val="16"/>
              </w:rPr>
            </w:pPr>
            <w:r w:rsidRPr="00A6369C">
              <w:rPr>
                <w:rFonts w:ascii="Arial" w:hAnsi="Arial" w:cs="Arial"/>
                <w:b/>
                <w:bCs/>
                <w:sz w:val="16"/>
                <w:szCs w:val="16"/>
                <w:lang w:val="es-ES_tradnl"/>
              </w:rPr>
              <w:t>SI</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rFonts w:ascii="Arial" w:hAnsi="Arial" w:cs="Arial"/>
                <w:b/>
                <w:sz w:val="16"/>
                <w:szCs w:val="16"/>
                <w:lang w:val="es-ES_tradnl"/>
              </w:rPr>
            </w:pPr>
            <w:r w:rsidRPr="00A6369C">
              <w:rPr>
                <w:rFonts w:ascii="Arial" w:hAnsi="Arial" w:cs="Arial"/>
                <w:b/>
                <w:sz w:val="16"/>
                <w:szCs w:val="16"/>
                <w:lang w:val="es-ES_tradnl"/>
              </w:rPr>
              <w:t>Todos los ensayos clínicos pretenden evaluar la eficacia de un fármaco+TDA frente a TDA en monoterapia para estimar la supervivencia global como variable primaria.</w:t>
            </w:r>
          </w:p>
          <w:p w:rsidR="00D038B1" w:rsidRPr="00A6369C" w:rsidRDefault="00D038B1" w:rsidP="000D6772">
            <w:pPr>
              <w:jc w:val="both"/>
              <w:rPr>
                <w:rFonts w:ascii="Arial" w:hAnsi="Arial" w:cs="Arial"/>
                <w:b/>
                <w:sz w:val="16"/>
                <w:szCs w:val="16"/>
                <w:lang w:val="es-ES_tradnl"/>
              </w:rPr>
            </w:pPr>
          </w:p>
          <w:p w:rsidR="00D038B1" w:rsidRPr="00A6369C" w:rsidRDefault="00D038B1" w:rsidP="000D6772">
            <w:pPr>
              <w:jc w:val="both"/>
              <w:rPr>
                <w:sz w:val="16"/>
                <w:szCs w:val="16"/>
              </w:rPr>
            </w:pP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rFonts w:ascii="Arial" w:hAnsi="Arial" w:cs="Arial"/>
                <w:b/>
                <w:bCs/>
                <w:sz w:val="16"/>
                <w:szCs w:val="16"/>
              </w:rPr>
            </w:pPr>
            <w:r w:rsidRPr="00A6369C">
              <w:rPr>
                <w:rFonts w:ascii="Arial" w:hAnsi="Arial" w:cs="Arial"/>
                <w:b/>
                <w:bCs/>
                <w:sz w:val="16"/>
                <w:szCs w:val="16"/>
              </w:rPr>
              <w:t>-¿Existe concordancia de los resultados?</w:t>
            </w:r>
          </w:p>
          <w:p w:rsidR="00D038B1" w:rsidRPr="00A6369C" w:rsidRDefault="00D038B1" w:rsidP="000D6772">
            <w:pPr>
              <w:jc w:val="both"/>
              <w:rPr>
                <w:sz w:val="16"/>
                <w:szCs w:val="16"/>
              </w:rPr>
            </w:pPr>
            <w:r w:rsidRPr="00A6369C">
              <w:rPr>
                <w:rFonts w:ascii="Arial" w:hAnsi="Arial" w:cs="Arial"/>
                <w:b/>
                <w:bCs/>
                <w:sz w:val="16"/>
                <w:szCs w:val="16"/>
              </w:rPr>
              <w:t>El resultado es el mismo independientemente de la cadena de comparaciones usadas para obtenerlo</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rFonts w:ascii="Arial" w:hAnsi="Arial" w:cs="Arial"/>
                <w:b/>
                <w:bCs/>
                <w:sz w:val="16"/>
                <w:szCs w:val="16"/>
                <w:lang w:val="es-ES_tradnl"/>
              </w:rPr>
            </w:pPr>
          </w:p>
          <w:p w:rsidR="00D038B1" w:rsidRPr="00A6369C" w:rsidRDefault="00D038B1" w:rsidP="000D6772">
            <w:pPr>
              <w:snapToGrid w:val="0"/>
              <w:jc w:val="both"/>
              <w:rPr>
                <w:sz w:val="16"/>
                <w:szCs w:val="16"/>
              </w:rPr>
            </w:pPr>
            <w:r w:rsidRPr="00A6369C">
              <w:rPr>
                <w:rFonts w:ascii="Arial" w:hAnsi="Arial" w:cs="Arial"/>
                <w:b/>
                <w:bCs/>
                <w:sz w:val="16"/>
                <w:szCs w:val="16"/>
                <w:lang w:val="es-ES_tradnl"/>
              </w:rPr>
              <w:t>--</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rFonts w:ascii="Arial" w:hAnsi="Arial" w:cs="Arial"/>
                <w:b/>
                <w:sz w:val="16"/>
                <w:szCs w:val="16"/>
                <w:lang w:val="es-ES_tradnl"/>
              </w:rPr>
            </w:pPr>
          </w:p>
          <w:p w:rsidR="00D038B1" w:rsidRPr="00A6369C" w:rsidRDefault="00D038B1" w:rsidP="000D6772">
            <w:pPr>
              <w:jc w:val="both"/>
              <w:rPr>
                <w:sz w:val="16"/>
                <w:szCs w:val="16"/>
              </w:rPr>
            </w:pPr>
            <w:r w:rsidRPr="00A6369C">
              <w:rPr>
                <w:rFonts w:ascii="Arial" w:hAnsi="Arial" w:cs="Arial"/>
                <w:b/>
                <w:sz w:val="16"/>
                <w:szCs w:val="16"/>
                <w:lang w:val="es-ES_tradnl"/>
              </w:rPr>
              <w:t>NO hay bucle, no procede.</w:t>
            </w:r>
          </w:p>
          <w:p w:rsidR="00D038B1" w:rsidRPr="00A6369C" w:rsidRDefault="00D038B1" w:rsidP="000D6772">
            <w:pPr>
              <w:jc w:val="both"/>
              <w:rPr>
                <w:sz w:val="16"/>
                <w:szCs w:val="16"/>
              </w:rPr>
            </w:pP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sz w:val="16"/>
                <w:szCs w:val="16"/>
              </w:rPr>
            </w:pPr>
            <w:r w:rsidRPr="00A6369C">
              <w:rPr>
                <w:rFonts w:ascii="Arial" w:hAnsi="Arial" w:cs="Arial"/>
                <w:b/>
                <w:bCs/>
                <w:sz w:val="16"/>
                <w:szCs w:val="16"/>
              </w:rPr>
              <w:t xml:space="preserve">-Si existe una comparación directa ¿se observa consistencia en los resultados? </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sz w:val="16"/>
                <w:szCs w:val="16"/>
              </w:rPr>
            </w:pPr>
            <w:r w:rsidRPr="00A6369C">
              <w:rPr>
                <w:rFonts w:ascii="Arial" w:hAnsi="Arial" w:cs="Arial"/>
                <w:b/>
                <w:bCs/>
                <w:sz w:val="16"/>
                <w:szCs w:val="16"/>
                <w:lang w:val="es-ES_tradnl"/>
              </w:rPr>
              <w:t>--</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sz w:val="16"/>
                <w:szCs w:val="16"/>
              </w:rPr>
            </w:pPr>
            <w:r w:rsidRPr="00A6369C">
              <w:rPr>
                <w:rFonts w:ascii="Arial" w:hAnsi="Arial" w:cs="Arial"/>
                <w:b/>
                <w:sz w:val="16"/>
                <w:szCs w:val="16"/>
                <w:lang w:val="es-ES_tradnl"/>
              </w:rPr>
              <w:t>NO hay comparaciones directas disponibles.</w:t>
            </w:r>
          </w:p>
          <w:p w:rsidR="00D038B1" w:rsidRPr="00A6369C" w:rsidRDefault="00D038B1" w:rsidP="000D6772">
            <w:pPr>
              <w:jc w:val="both"/>
              <w:rPr>
                <w:sz w:val="16"/>
                <w:szCs w:val="16"/>
              </w:rPr>
            </w:pP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rFonts w:ascii="Arial" w:hAnsi="Arial" w:cs="Arial"/>
                <w:b/>
                <w:bCs/>
                <w:sz w:val="16"/>
                <w:szCs w:val="16"/>
              </w:rPr>
            </w:pPr>
            <w:r w:rsidRPr="00A6369C">
              <w:rPr>
                <w:rFonts w:ascii="Arial" w:hAnsi="Arial" w:cs="Arial"/>
                <w:b/>
                <w:bCs/>
                <w:sz w:val="16"/>
                <w:szCs w:val="16"/>
              </w:rPr>
              <w:t>-Interpretación de los resultados. ¿Permiten obtener conclusiones claras?</w:t>
            </w:r>
          </w:p>
          <w:p w:rsidR="00D038B1" w:rsidRPr="00A6369C" w:rsidRDefault="00D038B1" w:rsidP="000D6772">
            <w:pPr>
              <w:jc w:val="both"/>
              <w:rPr>
                <w:sz w:val="16"/>
                <w:szCs w:val="16"/>
              </w:rPr>
            </w:pPr>
            <w:r w:rsidRPr="00A6369C">
              <w:rPr>
                <w:rFonts w:ascii="Arial" w:hAnsi="Arial" w:cs="Arial"/>
                <w:b/>
                <w:bCs/>
                <w:sz w:val="16"/>
                <w:szCs w:val="16"/>
              </w:rPr>
              <w:t>Analizar diferencias significativas en los riesgos basales y las respuestas en el grupo placebo</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rFonts w:ascii="Arial" w:hAnsi="Arial" w:cs="Arial"/>
                <w:b/>
                <w:bCs/>
                <w:sz w:val="16"/>
                <w:szCs w:val="16"/>
                <w:lang w:val="es-ES_tradnl"/>
              </w:rPr>
            </w:pPr>
          </w:p>
          <w:p w:rsidR="00D038B1" w:rsidRPr="00A6369C" w:rsidRDefault="00D038B1" w:rsidP="000D6772">
            <w:pPr>
              <w:snapToGrid w:val="0"/>
              <w:jc w:val="both"/>
              <w:rPr>
                <w:sz w:val="16"/>
                <w:szCs w:val="16"/>
              </w:rPr>
            </w:pPr>
            <w:r w:rsidRPr="00A6369C">
              <w:rPr>
                <w:rFonts w:ascii="Arial" w:hAnsi="Arial" w:cs="Arial"/>
                <w:b/>
                <w:bCs/>
                <w:sz w:val="16"/>
                <w:szCs w:val="16"/>
                <w:lang w:val="es-ES_tradnl"/>
              </w:rPr>
              <w:t>SI</w:t>
            </w: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rFonts w:ascii="Arial" w:hAnsi="Arial" w:cs="Arial"/>
                <w:b/>
                <w:sz w:val="16"/>
                <w:szCs w:val="16"/>
                <w:lang w:val="es-ES_tradnl"/>
              </w:rPr>
            </w:pPr>
          </w:p>
          <w:p w:rsidR="00D038B1" w:rsidRPr="00A6369C" w:rsidRDefault="00D038B1" w:rsidP="000D6772">
            <w:pPr>
              <w:snapToGrid w:val="0"/>
              <w:jc w:val="both"/>
              <w:rPr>
                <w:sz w:val="16"/>
                <w:szCs w:val="16"/>
              </w:rPr>
            </w:pPr>
            <w:r w:rsidRPr="00A6369C">
              <w:rPr>
                <w:rFonts w:ascii="Arial" w:hAnsi="Arial" w:cs="Arial"/>
                <w:b/>
                <w:sz w:val="16"/>
                <w:szCs w:val="16"/>
                <w:lang w:val="es-ES_tradnl"/>
              </w:rPr>
              <w:t>Permiten concluir que no existe diferencia significativa en la SG en la comparación indirecta entre abiraterona+TDA y docetaxel+TDA frente al mismo control TDA en monoterapia.</w:t>
            </w:r>
          </w:p>
        </w:tc>
      </w:tr>
      <w:tr w:rsidR="00D038B1" w:rsidTr="000D6772">
        <w:tc>
          <w:tcPr>
            <w:tcW w:w="4382" w:type="dxa"/>
            <w:tcBorders>
              <w:top w:val="single" w:sz="4" w:space="0" w:color="000000"/>
              <w:left w:val="single" w:sz="4" w:space="0" w:color="000000"/>
              <w:bottom w:val="single" w:sz="4" w:space="0" w:color="000000"/>
            </w:tcBorders>
          </w:tcPr>
          <w:p w:rsidR="00D038B1" w:rsidRPr="00A6369C" w:rsidRDefault="00D038B1" w:rsidP="000D6772">
            <w:pPr>
              <w:jc w:val="both"/>
              <w:rPr>
                <w:sz w:val="16"/>
                <w:szCs w:val="16"/>
              </w:rPr>
            </w:pPr>
            <w:r w:rsidRPr="00A6369C">
              <w:rPr>
                <w:rFonts w:ascii="Arial" w:hAnsi="Arial" w:cs="Arial"/>
                <w:b/>
                <w:bCs/>
                <w:sz w:val="16"/>
                <w:szCs w:val="16"/>
                <w:lang w:val="es-ES_tradnl"/>
              </w:rPr>
              <w:t>-O</w:t>
            </w:r>
            <w:r w:rsidRPr="00A6369C">
              <w:rPr>
                <w:rFonts w:ascii="Arial" w:hAnsi="Arial" w:cs="Arial"/>
                <w:b/>
                <w:bCs/>
                <w:sz w:val="16"/>
                <w:szCs w:val="16"/>
              </w:rPr>
              <w:t>tros sesgos o limitaciones encontradas en el estudio</w:t>
            </w:r>
          </w:p>
        </w:tc>
        <w:tc>
          <w:tcPr>
            <w:tcW w:w="701" w:type="dxa"/>
            <w:tcBorders>
              <w:top w:val="single" w:sz="4" w:space="0" w:color="000000"/>
              <w:left w:val="single" w:sz="4" w:space="0" w:color="000000"/>
              <w:bottom w:val="single" w:sz="4" w:space="0" w:color="000000"/>
            </w:tcBorders>
          </w:tcPr>
          <w:p w:rsidR="00D038B1" w:rsidRPr="00A6369C" w:rsidRDefault="00D038B1" w:rsidP="000D6772">
            <w:pPr>
              <w:snapToGrid w:val="0"/>
              <w:jc w:val="both"/>
              <w:rPr>
                <w:sz w:val="16"/>
                <w:szCs w:val="16"/>
              </w:rPr>
            </w:pPr>
          </w:p>
        </w:tc>
        <w:tc>
          <w:tcPr>
            <w:tcW w:w="3691" w:type="dxa"/>
            <w:tcBorders>
              <w:top w:val="single" w:sz="4" w:space="0" w:color="000000"/>
              <w:left w:val="single" w:sz="4" w:space="0" w:color="000000"/>
              <w:bottom w:val="single" w:sz="4" w:space="0" w:color="000000"/>
              <w:right w:val="single" w:sz="4" w:space="0" w:color="000000"/>
            </w:tcBorders>
          </w:tcPr>
          <w:p w:rsidR="00D038B1" w:rsidRPr="00A6369C" w:rsidRDefault="00D038B1" w:rsidP="000D6772">
            <w:pPr>
              <w:snapToGrid w:val="0"/>
              <w:jc w:val="both"/>
              <w:rPr>
                <w:rFonts w:ascii="Arial" w:hAnsi="Arial" w:cs="Arial"/>
                <w:b/>
                <w:bCs/>
                <w:sz w:val="16"/>
                <w:szCs w:val="16"/>
                <w:lang w:val="es-ES_tradnl"/>
              </w:rPr>
            </w:pPr>
          </w:p>
          <w:p w:rsidR="00D038B1" w:rsidRPr="00A6369C" w:rsidRDefault="00D038B1" w:rsidP="000D6772">
            <w:pPr>
              <w:jc w:val="both"/>
              <w:rPr>
                <w:sz w:val="16"/>
                <w:szCs w:val="16"/>
              </w:rPr>
            </w:pPr>
          </w:p>
        </w:tc>
      </w:tr>
    </w:tbl>
    <w:p w:rsidR="00D038B1" w:rsidRDefault="00D038B1" w:rsidP="00D038B1">
      <w:pPr>
        <w:snapToGrid w:val="0"/>
        <w:jc w:val="both"/>
        <w:rPr>
          <w:rFonts w:ascii="Arial" w:hAnsi="Arial" w:cs="Arial"/>
          <w:b/>
          <w:sz w:val="20"/>
          <w:szCs w:val="20"/>
        </w:rPr>
      </w:pPr>
    </w:p>
    <w:p w:rsidR="00D038B1" w:rsidRDefault="00D038B1" w:rsidP="00D038B1">
      <w:pPr>
        <w:snapToGrid w:val="0"/>
        <w:jc w:val="both"/>
        <w:rPr>
          <w:rFonts w:ascii="Arial" w:hAnsi="Arial" w:cs="Arial"/>
          <w:b/>
          <w:sz w:val="20"/>
          <w:szCs w:val="20"/>
        </w:rPr>
      </w:pPr>
    </w:p>
    <w:p w:rsidR="00D038B1" w:rsidRDefault="00D038B1">
      <w:pPr>
        <w:snapToGrid w:val="0"/>
        <w:jc w:val="both"/>
        <w:rPr>
          <w:rFonts w:ascii="Arial" w:hAnsi="Arial" w:cs="Arial"/>
          <w:b/>
          <w:sz w:val="20"/>
          <w:szCs w:val="20"/>
        </w:rPr>
      </w:pPr>
    </w:p>
    <w:tbl>
      <w:tblPr>
        <w:tblW w:w="0" w:type="auto"/>
        <w:tblInd w:w="-65" w:type="dxa"/>
        <w:tblLayout w:type="fixed"/>
        <w:tblCellMar>
          <w:left w:w="70" w:type="dxa"/>
          <w:right w:w="70" w:type="dxa"/>
        </w:tblCellMar>
        <w:tblLook w:val="0000"/>
      </w:tblPr>
      <w:tblGrid>
        <w:gridCol w:w="4465"/>
        <w:gridCol w:w="850"/>
        <w:gridCol w:w="3532"/>
      </w:tblGrid>
      <w:tr w:rsidR="0056194E">
        <w:trPr>
          <w:cantSplit/>
        </w:trPr>
        <w:tc>
          <w:tcPr>
            <w:tcW w:w="8847" w:type="dxa"/>
            <w:gridSpan w:val="3"/>
            <w:tcBorders>
              <w:top w:val="single" w:sz="4" w:space="0" w:color="000000"/>
              <w:left w:val="single" w:sz="4" w:space="0" w:color="000000"/>
              <w:bottom w:val="single" w:sz="4" w:space="0" w:color="000000"/>
              <w:right w:val="single" w:sz="4" w:space="0" w:color="000000"/>
            </w:tcBorders>
            <w:shd w:val="clear" w:color="auto" w:fill="CCFFCC"/>
          </w:tcPr>
          <w:p w:rsidR="0056194E" w:rsidRPr="00A6369C" w:rsidRDefault="0056194E" w:rsidP="00A6369C">
            <w:pPr>
              <w:jc w:val="both"/>
              <w:rPr>
                <w:rFonts w:ascii="Arial" w:hAnsi="Arial" w:cs="Arial"/>
                <w:b/>
                <w:bCs/>
                <w:sz w:val="18"/>
                <w:szCs w:val="18"/>
              </w:rPr>
            </w:pPr>
            <w:r w:rsidRPr="00A6369C">
              <w:rPr>
                <w:rFonts w:ascii="Arial" w:hAnsi="Arial" w:cs="Arial"/>
                <w:b/>
                <w:bCs/>
                <w:sz w:val="18"/>
                <w:szCs w:val="18"/>
              </w:rPr>
              <w:t>Tabla 5.2.b.1.3</w:t>
            </w:r>
          </w:p>
          <w:p w:rsidR="0056194E" w:rsidRDefault="0056194E" w:rsidP="00A6369C">
            <w:pPr>
              <w:jc w:val="both"/>
            </w:pPr>
            <w:r w:rsidRPr="00A6369C">
              <w:rPr>
                <w:rFonts w:ascii="Arial" w:hAnsi="Arial" w:cs="Arial"/>
                <w:b/>
                <w:bCs/>
                <w:sz w:val="18"/>
                <w:szCs w:val="18"/>
              </w:rPr>
              <w:t>CUESTIONARIO SOBRE LA APLICABILIDAD DE UNA COMPARACIÓN INDIRECTA</w:t>
            </w:r>
          </w:p>
        </w:tc>
      </w:tr>
      <w:tr w:rsidR="0056194E">
        <w:tc>
          <w:tcPr>
            <w:tcW w:w="4465" w:type="dxa"/>
            <w:tcBorders>
              <w:top w:val="single" w:sz="4" w:space="0" w:color="000000"/>
              <w:left w:val="single" w:sz="4" w:space="0" w:color="000000"/>
              <w:bottom w:val="single" w:sz="4" w:space="0" w:color="000000"/>
            </w:tcBorders>
          </w:tcPr>
          <w:p w:rsidR="0056194E" w:rsidRPr="00A6369C" w:rsidRDefault="0056194E" w:rsidP="00A6369C">
            <w:pPr>
              <w:snapToGrid w:val="0"/>
              <w:jc w:val="both"/>
              <w:rPr>
                <w:sz w:val="16"/>
                <w:szCs w:val="16"/>
              </w:rPr>
            </w:pPr>
          </w:p>
        </w:tc>
        <w:tc>
          <w:tcPr>
            <w:tcW w:w="850" w:type="dxa"/>
            <w:tcBorders>
              <w:top w:val="single" w:sz="4" w:space="0" w:color="000000"/>
              <w:left w:val="single" w:sz="4" w:space="0" w:color="000000"/>
              <w:bottom w:val="single" w:sz="4" w:space="0" w:color="000000"/>
            </w:tcBorders>
          </w:tcPr>
          <w:p w:rsidR="0056194E" w:rsidRPr="00A6369C" w:rsidRDefault="0056194E" w:rsidP="00A6369C">
            <w:pPr>
              <w:jc w:val="both"/>
              <w:rPr>
                <w:sz w:val="16"/>
                <w:szCs w:val="16"/>
              </w:rPr>
            </w:pPr>
            <w:r w:rsidRPr="00A6369C">
              <w:rPr>
                <w:rFonts w:ascii="Arial" w:hAnsi="Arial" w:cs="Arial"/>
                <w:b/>
                <w:sz w:val="16"/>
                <w:szCs w:val="16"/>
              </w:rPr>
              <w:t>SI/NO</w:t>
            </w:r>
          </w:p>
        </w:tc>
        <w:tc>
          <w:tcPr>
            <w:tcW w:w="3532" w:type="dxa"/>
            <w:tcBorders>
              <w:top w:val="single" w:sz="4" w:space="0" w:color="000000"/>
              <w:left w:val="single" w:sz="4" w:space="0" w:color="000000"/>
              <w:bottom w:val="single" w:sz="4" w:space="0" w:color="000000"/>
              <w:right w:val="single" w:sz="4" w:space="0" w:color="000000"/>
            </w:tcBorders>
          </w:tcPr>
          <w:p w:rsidR="0056194E" w:rsidRPr="00A6369C" w:rsidRDefault="0056194E" w:rsidP="00A6369C">
            <w:pPr>
              <w:pStyle w:val="Ttulo8"/>
              <w:rPr>
                <w:sz w:val="16"/>
                <w:szCs w:val="16"/>
              </w:rPr>
            </w:pPr>
            <w:r w:rsidRPr="00A6369C">
              <w:rPr>
                <w:color w:val="auto"/>
                <w:sz w:val="16"/>
                <w:szCs w:val="16"/>
              </w:rPr>
              <w:t>JUSTIFICAR</w:t>
            </w:r>
          </w:p>
        </w:tc>
      </w:tr>
      <w:tr w:rsidR="0056194E">
        <w:trPr>
          <w:trHeight w:val="604"/>
        </w:trPr>
        <w:tc>
          <w:tcPr>
            <w:tcW w:w="4465" w:type="dxa"/>
            <w:tcBorders>
              <w:top w:val="single" w:sz="4" w:space="0" w:color="000000"/>
              <w:left w:val="single" w:sz="4" w:space="0" w:color="000000"/>
              <w:bottom w:val="single" w:sz="4" w:space="0" w:color="000000"/>
            </w:tcBorders>
          </w:tcPr>
          <w:p w:rsidR="0056194E" w:rsidRPr="00A6369C" w:rsidRDefault="0056194E" w:rsidP="00A6369C">
            <w:pPr>
              <w:jc w:val="both"/>
              <w:rPr>
                <w:sz w:val="16"/>
                <w:szCs w:val="16"/>
              </w:rPr>
            </w:pPr>
            <w:r w:rsidRPr="00A6369C">
              <w:rPr>
                <w:rFonts w:ascii="Arial" w:hAnsi="Arial" w:cs="Arial"/>
                <w:b/>
                <w:sz w:val="16"/>
                <w:szCs w:val="16"/>
              </w:rPr>
              <w:t xml:space="preserve">¿Considera adecuado el/los comparadores? </w:t>
            </w:r>
            <w:r w:rsidRPr="00A6369C">
              <w:rPr>
                <w:rFonts w:ascii="Arial" w:hAnsi="Arial" w:cs="Arial"/>
                <w:sz w:val="16"/>
                <w:szCs w:val="16"/>
              </w:rPr>
              <w:t>¿Es el tratamiento del comparador común adecuado en nuestro medio?</w:t>
            </w:r>
          </w:p>
        </w:tc>
        <w:tc>
          <w:tcPr>
            <w:tcW w:w="850" w:type="dxa"/>
            <w:tcBorders>
              <w:top w:val="single" w:sz="4" w:space="0" w:color="000000"/>
              <w:left w:val="single" w:sz="4" w:space="0" w:color="000000"/>
              <w:bottom w:val="single" w:sz="4" w:space="0" w:color="000000"/>
            </w:tcBorders>
          </w:tcPr>
          <w:p w:rsidR="0056194E" w:rsidRPr="00A6369C" w:rsidRDefault="0056194E" w:rsidP="00A6369C">
            <w:pPr>
              <w:snapToGrid w:val="0"/>
              <w:jc w:val="both"/>
              <w:rPr>
                <w:sz w:val="16"/>
                <w:szCs w:val="16"/>
              </w:rPr>
            </w:pPr>
            <w:r w:rsidRPr="00A6369C">
              <w:rPr>
                <w:rFonts w:ascii="Arial" w:hAnsi="Arial" w:cs="Arial"/>
                <w:b/>
                <w:sz w:val="16"/>
                <w:szCs w:val="16"/>
              </w:rPr>
              <w:t>SI</w:t>
            </w:r>
          </w:p>
        </w:tc>
        <w:tc>
          <w:tcPr>
            <w:tcW w:w="3532" w:type="dxa"/>
            <w:tcBorders>
              <w:top w:val="single" w:sz="4" w:space="0" w:color="000000"/>
              <w:left w:val="single" w:sz="4" w:space="0" w:color="000000"/>
              <w:bottom w:val="single" w:sz="4" w:space="0" w:color="000000"/>
              <w:right w:val="single" w:sz="4" w:space="0" w:color="000000"/>
            </w:tcBorders>
          </w:tcPr>
          <w:p w:rsidR="0056194E" w:rsidRPr="00A6369C" w:rsidRDefault="0056194E" w:rsidP="00A6369C">
            <w:pPr>
              <w:snapToGrid w:val="0"/>
              <w:jc w:val="both"/>
              <w:rPr>
                <w:rFonts w:ascii="Arial" w:hAnsi="Arial" w:cs="Arial"/>
                <w:sz w:val="16"/>
                <w:szCs w:val="16"/>
              </w:rPr>
            </w:pPr>
          </w:p>
          <w:p w:rsidR="0056194E" w:rsidRPr="00A6369C" w:rsidRDefault="0056194E" w:rsidP="00A6369C">
            <w:pPr>
              <w:snapToGrid w:val="0"/>
              <w:jc w:val="both"/>
              <w:rPr>
                <w:sz w:val="16"/>
                <w:szCs w:val="16"/>
              </w:rPr>
            </w:pPr>
            <w:r w:rsidRPr="00A6369C">
              <w:rPr>
                <w:rFonts w:ascii="Arial" w:hAnsi="Arial" w:cs="Arial"/>
                <w:sz w:val="16"/>
                <w:szCs w:val="16"/>
              </w:rPr>
              <w:t>Si, el tratamiento con TDA en la fase previa de la enfermedad constituye el estándar.</w:t>
            </w:r>
          </w:p>
        </w:tc>
      </w:tr>
      <w:tr w:rsidR="0056194E">
        <w:trPr>
          <w:trHeight w:val="243"/>
        </w:trPr>
        <w:tc>
          <w:tcPr>
            <w:tcW w:w="4465" w:type="dxa"/>
            <w:tcBorders>
              <w:top w:val="single" w:sz="4" w:space="0" w:color="000000"/>
              <w:left w:val="single" w:sz="4" w:space="0" w:color="000000"/>
              <w:bottom w:val="single" w:sz="4" w:space="0" w:color="000000"/>
            </w:tcBorders>
          </w:tcPr>
          <w:p w:rsidR="0056194E" w:rsidRPr="00A6369C" w:rsidRDefault="0056194E" w:rsidP="00A6369C">
            <w:pPr>
              <w:jc w:val="both"/>
              <w:rPr>
                <w:sz w:val="16"/>
                <w:szCs w:val="16"/>
              </w:rPr>
            </w:pPr>
            <w:r w:rsidRPr="00A6369C">
              <w:rPr>
                <w:rFonts w:ascii="Arial" w:hAnsi="Arial" w:cs="Arial"/>
                <w:b/>
                <w:bCs/>
                <w:sz w:val="16"/>
                <w:szCs w:val="16"/>
              </w:rPr>
              <w:t>¿Son importantes clínicamente los resultados?</w:t>
            </w:r>
          </w:p>
        </w:tc>
        <w:tc>
          <w:tcPr>
            <w:tcW w:w="850" w:type="dxa"/>
            <w:tcBorders>
              <w:top w:val="single" w:sz="4" w:space="0" w:color="000000"/>
              <w:left w:val="single" w:sz="4" w:space="0" w:color="000000"/>
              <w:bottom w:val="single" w:sz="4" w:space="0" w:color="000000"/>
            </w:tcBorders>
          </w:tcPr>
          <w:p w:rsidR="0056194E" w:rsidRPr="00A6369C" w:rsidRDefault="0056194E" w:rsidP="00A6369C">
            <w:pPr>
              <w:snapToGrid w:val="0"/>
              <w:jc w:val="both"/>
              <w:rPr>
                <w:sz w:val="16"/>
                <w:szCs w:val="16"/>
              </w:rPr>
            </w:pPr>
            <w:r w:rsidRPr="00A6369C">
              <w:rPr>
                <w:rFonts w:ascii="Arial" w:hAnsi="Arial" w:cs="Arial"/>
                <w:b/>
                <w:bCs/>
                <w:sz w:val="16"/>
                <w:szCs w:val="16"/>
              </w:rPr>
              <w:t>SI</w:t>
            </w:r>
          </w:p>
        </w:tc>
        <w:tc>
          <w:tcPr>
            <w:tcW w:w="3532" w:type="dxa"/>
            <w:tcBorders>
              <w:top w:val="single" w:sz="4" w:space="0" w:color="000000"/>
              <w:left w:val="single" w:sz="4" w:space="0" w:color="000000"/>
              <w:bottom w:val="single" w:sz="4" w:space="0" w:color="000000"/>
              <w:right w:val="single" w:sz="4" w:space="0" w:color="000000"/>
            </w:tcBorders>
          </w:tcPr>
          <w:p w:rsidR="0056194E" w:rsidRPr="00A6369C" w:rsidRDefault="0056194E" w:rsidP="00A6369C">
            <w:pPr>
              <w:snapToGrid w:val="0"/>
              <w:jc w:val="both"/>
              <w:rPr>
                <w:sz w:val="16"/>
                <w:szCs w:val="16"/>
              </w:rPr>
            </w:pPr>
            <w:r w:rsidRPr="00A6369C">
              <w:rPr>
                <w:rFonts w:ascii="Arial" w:hAnsi="Arial" w:cs="Arial"/>
                <w:sz w:val="16"/>
                <w:szCs w:val="16"/>
              </w:rPr>
              <w:t>Se trata de evaluar si existe diferencia de beneficio clínico al añadir abirateronaó docetaxel a la terapia inicial con TDA.</w:t>
            </w:r>
          </w:p>
        </w:tc>
      </w:tr>
      <w:tr w:rsidR="0056194E">
        <w:trPr>
          <w:trHeight w:val="288"/>
        </w:trPr>
        <w:tc>
          <w:tcPr>
            <w:tcW w:w="4465" w:type="dxa"/>
            <w:tcBorders>
              <w:top w:val="single" w:sz="4" w:space="0" w:color="000000"/>
              <w:left w:val="single" w:sz="4" w:space="0" w:color="000000"/>
              <w:bottom w:val="single" w:sz="4" w:space="0" w:color="000000"/>
            </w:tcBorders>
          </w:tcPr>
          <w:p w:rsidR="0056194E" w:rsidRPr="00A6369C" w:rsidRDefault="0056194E" w:rsidP="00A6369C">
            <w:pPr>
              <w:jc w:val="both"/>
              <w:rPr>
                <w:sz w:val="16"/>
                <w:szCs w:val="16"/>
              </w:rPr>
            </w:pPr>
            <w:r w:rsidRPr="00A6369C">
              <w:rPr>
                <w:rFonts w:ascii="Arial" w:hAnsi="Arial" w:cs="Arial"/>
                <w:b/>
                <w:sz w:val="16"/>
                <w:szCs w:val="16"/>
              </w:rPr>
              <w:t xml:space="preserve">¿Considera adecuada la variable de medida utilizada? </w:t>
            </w:r>
          </w:p>
        </w:tc>
        <w:tc>
          <w:tcPr>
            <w:tcW w:w="850" w:type="dxa"/>
            <w:tcBorders>
              <w:top w:val="single" w:sz="4" w:space="0" w:color="000000"/>
              <w:left w:val="single" w:sz="4" w:space="0" w:color="000000"/>
              <w:bottom w:val="single" w:sz="4" w:space="0" w:color="000000"/>
            </w:tcBorders>
          </w:tcPr>
          <w:p w:rsidR="0056194E" w:rsidRPr="00A6369C" w:rsidRDefault="0056194E" w:rsidP="00A6369C">
            <w:pPr>
              <w:snapToGrid w:val="0"/>
              <w:jc w:val="both"/>
              <w:rPr>
                <w:sz w:val="16"/>
                <w:szCs w:val="16"/>
              </w:rPr>
            </w:pPr>
            <w:r w:rsidRPr="00A6369C">
              <w:rPr>
                <w:rFonts w:ascii="Arial" w:hAnsi="Arial" w:cs="Arial"/>
                <w:b/>
                <w:sz w:val="16"/>
                <w:szCs w:val="16"/>
              </w:rPr>
              <w:t>SI</w:t>
            </w:r>
          </w:p>
        </w:tc>
        <w:tc>
          <w:tcPr>
            <w:tcW w:w="3532" w:type="dxa"/>
            <w:tcBorders>
              <w:top w:val="single" w:sz="4" w:space="0" w:color="000000"/>
              <w:left w:val="single" w:sz="4" w:space="0" w:color="000000"/>
              <w:bottom w:val="single" w:sz="4" w:space="0" w:color="000000"/>
              <w:right w:val="single" w:sz="4" w:space="0" w:color="000000"/>
            </w:tcBorders>
          </w:tcPr>
          <w:p w:rsidR="0056194E" w:rsidRPr="00A6369C" w:rsidRDefault="0056194E" w:rsidP="00A6369C">
            <w:pPr>
              <w:snapToGrid w:val="0"/>
              <w:jc w:val="both"/>
              <w:rPr>
                <w:sz w:val="16"/>
                <w:szCs w:val="16"/>
              </w:rPr>
            </w:pPr>
            <w:r w:rsidRPr="00A6369C">
              <w:rPr>
                <w:rFonts w:ascii="Arial" w:hAnsi="Arial" w:cs="Arial"/>
                <w:sz w:val="16"/>
                <w:szCs w:val="16"/>
              </w:rPr>
              <w:t>La variable principal es la supervivencia global, la variable de máxima relevancia clínica.</w:t>
            </w:r>
          </w:p>
        </w:tc>
      </w:tr>
      <w:tr w:rsidR="0056194E">
        <w:trPr>
          <w:trHeight w:val="634"/>
        </w:trPr>
        <w:tc>
          <w:tcPr>
            <w:tcW w:w="4465" w:type="dxa"/>
            <w:tcBorders>
              <w:top w:val="single" w:sz="4" w:space="0" w:color="000000"/>
              <w:left w:val="single" w:sz="4" w:space="0" w:color="000000"/>
              <w:bottom w:val="single" w:sz="4" w:space="0" w:color="000000"/>
            </w:tcBorders>
          </w:tcPr>
          <w:p w:rsidR="0056194E" w:rsidRPr="00A6369C" w:rsidRDefault="0056194E" w:rsidP="00A6369C">
            <w:pPr>
              <w:jc w:val="both"/>
              <w:rPr>
                <w:rFonts w:ascii="Arial" w:hAnsi="Arial" w:cs="Arial"/>
                <w:b/>
                <w:sz w:val="16"/>
                <w:szCs w:val="16"/>
              </w:rPr>
            </w:pPr>
            <w:r w:rsidRPr="00A6369C">
              <w:rPr>
                <w:rFonts w:ascii="Arial" w:hAnsi="Arial" w:cs="Arial"/>
                <w:b/>
                <w:sz w:val="16"/>
                <w:szCs w:val="16"/>
              </w:rPr>
              <w:t xml:space="preserve">¿Considera adecuados los criterios de inclusión y/o exclusión de los pacientes? </w:t>
            </w:r>
          </w:p>
          <w:p w:rsidR="0056194E" w:rsidRPr="00A6369C" w:rsidRDefault="0056194E" w:rsidP="00A6369C">
            <w:pPr>
              <w:jc w:val="both"/>
              <w:rPr>
                <w:sz w:val="16"/>
                <w:szCs w:val="16"/>
              </w:rPr>
            </w:pPr>
            <w:r w:rsidRPr="00A6369C">
              <w:rPr>
                <w:rFonts w:ascii="Arial" w:hAnsi="Arial" w:cs="Arial"/>
                <w:b/>
                <w:sz w:val="16"/>
                <w:szCs w:val="16"/>
              </w:rPr>
              <w:t xml:space="preserve">Generalización de los hallazgos (Población de pacientes en los ensayos y entre los ensayos) </w:t>
            </w:r>
          </w:p>
        </w:tc>
        <w:tc>
          <w:tcPr>
            <w:tcW w:w="850" w:type="dxa"/>
            <w:tcBorders>
              <w:top w:val="single" w:sz="4" w:space="0" w:color="000000"/>
              <w:left w:val="single" w:sz="4" w:space="0" w:color="000000"/>
              <w:bottom w:val="single" w:sz="4" w:space="0" w:color="000000"/>
            </w:tcBorders>
          </w:tcPr>
          <w:p w:rsidR="0056194E" w:rsidRPr="00A6369C" w:rsidRDefault="0056194E" w:rsidP="00A6369C">
            <w:pPr>
              <w:snapToGrid w:val="0"/>
              <w:jc w:val="both"/>
              <w:rPr>
                <w:sz w:val="16"/>
                <w:szCs w:val="16"/>
              </w:rPr>
            </w:pPr>
            <w:r w:rsidRPr="00A6369C">
              <w:rPr>
                <w:rFonts w:ascii="Arial" w:hAnsi="Arial" w:cs="Arial"/>
                <w:b/>
                <w:sz w:val="16"/>
                <w:szCs w:val="16"/>
              </w:rPr>
              <w:t>SI</w:t>
            </w:r>
          </w:p>
        </w:tc>
        <w:tc>
          <w:tcPr>
            <w:tcW w:w="3532" w:type="dxa"/>
            <w:tcBorders>
              <w:top w:val="single" w:sz="4" w:space="0" w:color="000000"/>
              <w:left w:val="single" w:sz="4" w:space="0" w:color="000000"/>
              <w:bottom w:val="single" w:sz="4" w:space="0" w:color="000000"/>
              <w:right w:val="single" w:sz="4" w:space="0" w:color="000000"/>
            </w:tcBorders>
          </w:tcPr>
          <w:p w:rsidR="0056194E" w:rsidRPr="00A6369C" w:rsidRDefault="0056194E" w:rsidP="00A6369C">
            <w:pPr>
              <w:snapToGrid w:val="0"/>
              <w:jc w:val="both"/>
              <w:rPr>
                <w:sz w:val="16"/>
                <w:szCs w:val="16"/>
              </w:rPr>
            </w:pPr>
            <w:r w:rsidRPr="00A6369C">
              <w:rPr>
                <w:rFonts w:ascii="Arial" w:hAnsi="Arial" w:cs="Arial"/>
                <w:sz w:val="16"/>
                <w:szCs w:val="16"/>
              </w:rPr>
              <w:t>Pacientes &gt;18 años con cáncer de próstata metastásico (excepto en STAMPEDE, que incluye también pacientes no metastásicos de alto riesgo) que no han recibido quimioterapia  previamente con TDA en monoterapia en el grupo control.</w:t>
            </w:r>
          </w:p>
        </w:tc>
      </w:tr>
      <w:tr w:rsidR="0056194E">
        <w:trPr>
          <w:trHeight w:val="387"/>
        </w:trPr>
        <w:tc>
          <w:tcPr>
            <w:tcW w:w="4465" w:type="dxa"/>
            <w:tcBorders>
              <w:top w:val="single" w:sz="4" w:space="0" w:color="000000"/>
              <w:left w:val="single" w:sz="4" w:space="0" w:color="000000"/>
              <w:bottom w:val="single" w:sz="4" w:space="0" w:color="000000"/>
            </w:tcBorders>
          </w:tcPr>
          <w:p w:rsidR="0056194E" w:rsidRPr="00A6369C" w:rsidRDefault="0056194E" w:rsidP="00A6369C">
            <w:pPr>
              <w:jc w:val="both"/>
              <w:rPr>
                <w:sz w:val="16"/>
                <w:szCs w:val="16"/>
              </w:rPr>
            </w:pPr>
            <w:r w:rsidRPr="00A6369C">
              <w:rPr>
                <w:rFonts w:ascii="Arial" w:hAnsi="Arial" w:cs="Arial"/>
                <w:b/>
                <w:sz w:val="16"/>
                <w:szCs w:val="16"/>
              </w:rPr>
              <w:t>¿Cree que los resultados pueden ser aplicados directamente a la práctica clínica?</w:t>
            </w:r>
          </w:p>
        </w:tc>
        <w:tc>
          <w:tcPr>
            <w:tcW w:w="850" w:type="dxa"/>
            <w:tcBorders>
              <w:top w:val="single" w:sz="4" w:space="0" w:color="000000"/>
              <w:left w:val="single" w:sz="4" w:space="0" w:color="000000"/>
              <w:bottom w:val="single" w:sz="4" w:space="0" w:color="000000"/>
            </w:tcBorders>
          </w:tcPr>
          <w:p w:rsidR="0056194E" w:rsidRPr="00A6369C" w:rsidRDefault="0056194E" w:rsidP="00A6369C">
            <w:pPr>
              <w:snapToGrid w:val="0"/>
              <w:jc w:val="both"/>
              <w:rPr>
                <w:rFonts w:ascii="Arial" w:hAnsi="Arial" w:cs="Arial"/>
                <w:b/>
                <w:sz w:val="16"/>
                <w:szCs w:val="16"/>
              </w:rPr>
            </w:pPr>
          </w:p>
          <w:p w:rsidR="0056194E" w:rsidRPr="00A6369C" w:rsidRDefault="0056194E" w:rsidP="00A6369C">
            <w:pPr>
              <w:snapToGrid w:val="0"/>
              <w:jc w:val="both"/>
              <w:rPr>
                <w:sz w:val="16"/>
                <w:szCs w:val="16"/>
              </w:rPr>
            </w:pPr>
            <w:r w:rsidRPr="00A6369C">
              <w:rPr>
                <w:rFonts w:ascii="Arial" w:hAnsi="Arial" w:cs="Arial"/>
                <w:b/>
                <w:sz w:val="16"/>
                <w:szCs w:val="16"/>
              </w:rPr>
              <w:t>SI</w:t>
            </w:r>
          </w:p>
        </w:tc>
        <w:tc>
          <w:tcPr>
            <w:tcW w:w="3532" w:type="dxa"/>
            <w:tcBorders>
              <w:top w:val="single" w:sz="4" w:space="0" w:color="000000"/>
              <w:left w:val="single" w:sz="4" w:space="0" w:color="000000"/>
              <w:bottom w:val="single" w:sz="4" w:space="0" w:color="000000"/>
              <w:right w:val="single" w:sz="4" w:space="0" w:color="000000"/>
            </w:tcBorders>
          </w:tcPr>
          <w:p w:rsidR="0056194E" w:rsidRPr="00A6369C" w:rsidRDefault="0056194E" w:rsidP="00A6369C">
            <w:pPr>
              <w:snapToGrid w:val="0"/>
              <w:jc w:val="both"/>
              <w:rPr>
                <w:rFonts w:ascii="Arial" w:hAnsi="Arial" w:cs="Arial"/>
                <w:sz w:val="16"/>
                <w:szCs w:val="16"/>
              </w:rPr>
            </w:pPr>
          </w:p>
          <w:p w:rsidR="0056194E" w:rsidRPr="00A6369C" w:rsidRDefault="0056194E" w:rsidP="00A6369C">
            <w:pPr>
              <w:snapToGrid w:val="0"/>
              <w:jc w:val="both"/>
              <w:rPr>
                <w:sz w:val="16"/>
                <w:szCs w:val="16"/>
              </w:rPr>
            </w:pPr>
            <w:r w:rsidRPr="00A6369C">
              <w:rPr>
                <w:rFonts w:ascii="Arial" w:hAnsi="Arial" w:cs="Arial"/>
                <w:sz w:val="16"/>
                <w:szCs w:val="16"/>
              </w:rPr>
              <w:t>Permite concluir que tanto abiraterona como docetaxel en combinación con TDA  empleados en la fase previa de la enfermedad presentan la misma eficacia en términos de supervivencia global.</w:t>
            </w:r>
          </w:p>
        </w:tc>
      </w:tr>
      <w:tr w:rsidR="0056194E">
        <w:trPr>
          <w:trHeight w:val="259"/>
        </w:trPr>
        <w:tc>
          <w:tcPr>
            <w:tcW w:w="4465" w:type="dxa"/>
            <w:tcBorders>
              <w:top w:val="single" w:sz="4" w:space="0" w:color="000000"/>
              <w:left w:val="single" w:sz="4" w:space="0" w:color="000000"/>
              <w:bottom w:val="single" w:sz="4" w:space="0" w:color="000000"/>
            </w:tcBorders>
          </w:tcPr>
          <w:p w:rsidR="0056194E" w:rsidRPr="00A6369C" w:rsidRDefault="0056194E" w:rsidP="00A6369C">
            <w:pPr>
              <w:jc w:val="both"/>
              <w:rPr>
                <w:b/>
                <w:sz w:val="16"/>
                <w:szCs w:val="16"/>
              </w:rPr>
            </w:pPr>
            <w:r w:rsidRPr="00A6369C">
              <w:rPr>
                <w:rFonts w:ascii="Arial" w:hAnsi="Arial" w:cs="Arial"/>
                <w:b/>
                <w:bCs/>
                <w:sz w:val="16"/>
                <w:szCs w:val="16"/>
              </w:rPr>
              <w:t>Otros sesgos o limitaciones encontradas en el estudio</w:t>
            </w:r>
          </w:p>
        </w:tc>
        <w:tc>
          <w:tcPr>
            <w:tcW w:w="850" w:type="dxa"/>
            <w:tcBorders>
              <w:top w:val="single" w:sz="4" w:space="0" w:color="000000"/>
              <w:left w:val="single" w:sz="4" w:space="0" w:color="000000"/>
              <w:bottom w:val="single" w:sz="4" w:space="0" w:color="000000"/>
            </w:tcBorders>
          </w:tcPr>
          <w:p w:rsidR="0056194E" w:rsidRPr="00A6369C" w:rsidRDefault="0056194E" w:rsidP="00A6369C">
            <w:pPr>
              <w:snapToGrid w:val="0"/>
              <w:jc w:val="both"/>
              <w:rPr>
                <w:sz w:val="16"/>
                <w:szCs w:val="16"/>
              </w:rPr>
            </w:pPr>
          </w:p>
        </w:tc>
        <w:tc>
          <w:tcPr>
            <w:tcW w:w="3532" w:type="dxa"/>
            <w:tcBorders>
              <w:top w:val="single" w:sz="4" w:space="0" w:color="000000"/>
              <w:left w:val="single" w:sz="4" w:space="0" w:color="000000"/>
              <w:bottom w:val="single" w:sz="4" w:space="0" w:color="000000"/>
              <w:right w:val="single" w:sz="4" w:space="0" w:color="000000"/>
            </w:tcBorders>
          </w:tcPr>
          <w:p w:rsidR="0056194E" w:rsidRPr="00A6369C" w:rsidRDefault="0056194E" w:rsidP="00A6369C">
            <w:pPr>
              <w:snapToGrid w:val="0"/>
              <w:jc w:val="both"/>
              <w:rPr>
                <w:sz w:val="16"/>
                <w:szCs w:val="16"/>
              </w:rPr>
            </w:pPr>
          </w:p>
        </w:tc>
      </w:tr>
    </w:tbl>
    <w:p w:rsidR="0056194E" w:rsidRDefault="0056194E">
      <w:pPr>
        <w:snapToGrid w:val="0"/>
        <w:jc w:val="both"/>
      </w:pPr>
    </w:p>
    <w:p w:rsidR="00A43D05" w:rsidRDefault="00A43D05">
      <w:pPr>
        <w:snapToGrid w:val="0"/>
        <w:jc w:val="both"/>
      </w:pPr>
    </w:p>
    <w:p w:rsidR="00A43D05" w:rsidRDefault="00A43D05">
      <w:pPr>
        <w:snapToGrid w:val="0"/>
        <w:jc w:val="both"/>
      </w:pPr>
    </w:p>
    <w:p w:rsidR="00A43D05" w:rsidRDefault="00A43D05">
      <w:pPr>
        <w:snapToGrid w:val="0"/>
        <w:jc w:val="both"/>
      </w:pPr>
    </w:p>
    <w:p w:rsidR="00A43D05" w:rsidRDefault="00A43D05">
      <w:pPr>
        <w:snapToGrid w:val="0"/>
        <w:jc w:val="both"/>
        <w:sectPr w:rsidR="00A43D05" w:rsidSect="00233B47">
          <w:headerReference w:type="default" r:id="rId41"/>
          <w:footerReference w:type="default" r:id="rId42"/>
          <w:pgSz w:w="11906" w:h="16838"/>
          <w:pgMar w:top="1417" w:right="1466" w:bottom="1417" w:left="1701" w:header="708" w:footer="708" w:gutter="0"/>
          <w:cols w:space="720"/>
          <w:docGrid w:linePitch="360"/>
        </w:sectPr>
      </w:pPr>
    </w:p>
    <w:p w:rsidR="00A43D05" w:rsidRPr="00311D64" w:rsidRDefault="00A43D05" w:rsidP="00A43D05">
      <w:pPr>
        <w:tabs>
          <w:tab w:val="left" w:pos="7371"/>
        </w:tabs>
        <w:rPr>
          <w:rFonts w:ascii="Calibri" w:hAnsi="Calibri"/>
          <w:b/>
          <w:sz w:val="22"/>
        </w:rPr>
      </w:pPr>
      <w:r w:rsidRPr="00311D64">
        <w:rPr>
          <w:rFonts w:ascii="Calibri" w:hAnsi="Calibri"/>
          <w:b/>
          <w:sz w:val="22"/>
        </w:rPr>
        <w:t>FORMULARIO PARA RESPUESTA A LAS ALEGACIONES</w:t>
      </w:r>
    </w:p>
    <w:p w:rsidR="00A43D05" w:rsidRPr="00311D64" w:rsidRDefault="00A43D05" w:rsidP="00A43D05">
      <w:pPr>
        <w:rPr>
          <w:rFonts w:ascii="Calibri" w:hAnsi="Calibri"/>
          <w:b/>
          <w:sz w:val="22"/>
        </w:rPr>
      </w:pPr>
      <w:r w:rsidRPr="00311D64">
        <w:rPr>
          <w:rFonts w:ascii="Calibri" w:hAnsi="Calibri"/>
          <w:b/>
          <w:sz w:val="22"/>
        </w:rPr>
        <w:t>TUTOR:</w:t>
      </w:r>
      <w:r>
        <w:rPr>
          <w:rFonts w:ascii="Calibri" w:hAnsi="Calibri"/>
          <w:b/>
          <w:sz w:val="22"/>
        </w:rPr>
        <w:t xml:space="preserve"> Juan Carlos García de Paredes</w:t>
      </w:r>
    </w:p>
    <w:p w:rsidR="00A43D05" w:rsidRPr="001C0B2C" w:rsidRDefault="00A43D05" w:rsidP="00A43D05">
      <w:pPr>
        <w:rPr>
          <w:rFonts w:ascii="Arial Narrow" w:hAnsi="Arial Narrow"/>
        </w:rPr>
      </w:pPr>
    </w:p>
    <w:p w:rsidR="00A43D05" w:rsidRPr="001C0B2C" w:rsidRDefault="00A43D05" w:rsidP="00A43D05">
      <w:pPr>
        <w:rPr>
          <w:rFonts w:ascii="Arial Narrow" w:hAnsi="Arial Narrow"/>
        </w:rPr>
      </w:pPr>
      <w:r w:rsidRPr="001C0B2C">
        <w:rPr>
          <w:rFonts w:ascii="Arial Narrow" w:hAnsi="Arial Narr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177"/>
        <w:gridCol w:w="5953"/>
      </w:tblGrid>
      <w:tr w:rsidR="00A43D05" w:rsidRPr="00683AE2" w:rsidTr="007906EB">
        <w:tc>
          <w:tcPr>
            <w:tcW w:w="13858" w:type="dxa"/>
            <w:gridSpan w:val="3"/>
            <w:vAlign w:val="center"/>
          </w:tcPr>
          <w:p w:rsidR="00A43D05" w:rsidRPr="00683AE2" w:rsidRDefault="00A43D05" w:rsidP="00A43D05">
            <w:pPr>
              <w:jc w:val="both"/>
              <w:rPr>
                <w:rFonts w:ascii="Arial Narrow" w:hAnsi="Arial Narrow" w:cs="Arial"/>
                <w:b/>
                <w:sz w:val="16"/>
                <w:szCs w:val="16"/>
              </w:rPr>
            </w:pPr>
            <w:r w:rsidRPr="00683AE2">
              <w:rPr>
                <w:rFonts w:ascii="Arial Narrow" w:hAnsi="Arial Narrow" w:cs="Arial"/>
                <w:b/>
                <w:sz w:val="16"/>
                <w:szCs w:val="16"/>
              </w:rPr>
              <w:t>Alegaciones al borrador público de: ABIRATERONA en combinación con la terapia de deprivación de andrógenos en 1ª línea de Cáncer de Próstata metastásico de alto riesgo hormono sensible</w:t>
            </w:r>
          </w:p>
          <w:p w:rsidR="00A43D05" w:rsidRPr="00683AE2" w:rsidRDefault="00A43D05" w:rsidP="00A43D05">
            <w:pPr>
              <w:rPr>
                <w:rFonts w:ascii="Arial Narrow" w:hAnsi="Arial Narrow" w:cs="Arial"/>
                <w:b/>
                <w:sz w:val="16"/>
                <w:szCs w:val="16"/>
              </w:rPr>
            </w:pPr>
          </w:p>
        </w:tc>
      </w:tr>
      <w:tr w:rsidR="00A43D05" w:rsidRPr="00683AE2" w:rsidTr="007906EB">
        <w:tc>
          <w:tcPr>
            <w:tcW w:w="1728" w:type="dxa"/>
            <w:vAlign w:val="center"/>
          </w:tcPr>
          <w:p w:rsidR="00A43D05" w:rsidRPr="00683AE2" w:rsidRDefault="00A43D05" w:rsidP="00A43D05">
            <w:pPr>
              <w:jc w:val="center"/>
              <w:rPr>
                <w:rFonts w:ascii="Arial Narrow" w:hAnsi="Arial Narrow" w:cs="Arial"/>
                <w:b/>
                <w:sz w:val="16"/>
                <w:szCs w:val="16"/>
              </w:rPr>
            </w:pPr>
            <w:r w:rsidRPr="00683AE2">
              <w:rPr>
                <w:rFonts w:ascii="Arial Narrow" w:hAnsi="Arial Narrow" w:cs="Arial"/>
                <w:b/>
                <w:sz w:val="16"/>
                <w:szCs w:val="16"/>
              </w:rPr>
              <w:t>Autor. Cargo. Centro, sociedad o empresa.</w:t>
            </w:r>
          </w:p>
        </w:tc>
        <w:tc>
          <w:tcPr>
            <w:tcW w:w="6177" w:type="dxa"/>
            <w:vAlign w:val="center"/>
          </w:tcPr>
          <w:p w:rsidR="00A43D05" w:rsidRPr="00683AE2" w:rsidRDefault="00A43D05" w:rsidP="00A43D05">
            <w:pPr>
              <w:jc w:val="center"/>
              <w:rPr>
                <w:rFonts w:ascii="Arial Narrow" w:hAnsi="Arial Narrow" w:cs="Arial"/>
                <w:b/>
                <w:sz w:val="16"/>
                <w:szCs w:val="16"/>
              </w:rPr>
            </w:pPr>
            <w:r w:rsidRPr="00683AE2">
              <w:rPr>
                <w:rFonts w:ascii="Arial Narrow" w:hAnsi="Arial Narrow" w:cs="Arial"/>
                <w:b/>
                <w:sz w:val="16"/>
                <w:szCs w:val="16"/>
              </w:rPr>
              <w:t>Texto de la alegación</w:t>
            </w:r>
          </w:p>
        </w:tc>
        <w:tc>
          <w:tcPr>
            <w:tcW w:w="5953" w:type="dxa"/>
            <w:vAlign w:val="center"/>
          </w:tcPr>
          <w:p w:rsidR="00A43D05" w:rsidRPr="00683AE2" w:rsidRDefault="00A43D05" w:rsidP="00A43D05">
            <w:pPr>
              <w:jc w:val="center"/>
              <w:rPr>
                <w:rFonts w:ascii="Arial Narrow" w:hAnsi="Arial Narrow" w:cs="Arial"/>
                <w:b/>
                <w:sz w:val="16"/>
                <w:szCs w:val="16"/>
              </w:rPr>
            </w:pPr>
            <w:r w:rsidRPr="00683AE2">
              <w:rPr>
                <w:rFonts w:ascii="Arial Narrow" w:hAnsi="Arial Narrow" w:cs="Arial"/>
                <w:b/>
                <w:sz w:val="16"/>
                <w:szCs w:val="16"/>
              </w:rPr>
              <w:t>Respuesta</w:t>
            </w:r>
          </w:p>
        </w:tc>
      </w:tr>
      <w:tr w:rsidR="00A43D05" w:rsidRPr="00683AE2" w:rsidTr="007906EB">
        <w:tc>
          <w:tcPr>
            <w:tcW w:w="1728" w:type="dxa"/>
            <w:vAlign w:val="center"/>
          </w:tcPr>
          <w:p w:rsidR="00A43D05" w:rsidRPr="00683AE2" w:rsidRDefault="00A43D05" w:rsidP="00A43D05">
            <w:pPr>
              <w:rPr>
                <w:rFonts w:ascii="Arial Narrow" w:hAnsi="Arial Narrow" w:cs="Arial"/>
                <w:sz w:val="16"/>
                <w:szCs w:val="16"/>
                <w:lang w:val="en-GB"/>
              </w:rPr>
            </w:pPr>
            <w:r w:rsidRPr="00683AE2">
              <w:rPr>
                <w:rFonts w:ascii="Arial Narrow" w:hAnsi="Arial Narrow" w:cs="Arial"/>
                <w:sz w:val="16"/>
                <w:szCs w:val="16"/>
                <w:lang w:val="en-GB"/>
              </w:rPr>
              <w:t>Paola Moreno Pérez (Market Access Manager, Janssen)</w:t>
            </w:r>
            <w:r w:rsidRPr="00683AE2">
              <w:rPr>
                <w:rFonts w:ascii="Calibri" w:hAnsi="Calibri"/>
                <w:lang w:val="en-GB"/>
              </w:rPr>
              <w:t xml:space="preserve"> </w:t>
            </w:r>
          </w:p>
        </w:tc>
        <w:tc>
          <w:tcPr>
            <w:tcW w:w="6177" w:type="dxa"/>
            <w:vAlign w:val="center"/>
          </w:tcPr>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1.</w:t>
            </w:r>
            <w:r w:rsidRPr="00683AE2">
              <w:rPr>
                <w:rFonts w:ascii="Arial Narrow" w:hAnsi="Arial Narrow" w:cs="Arial"/>
                <w:sz w:val="16"/>
                <w:szCs w:val="16"/>
              </w:rPr>
              <w:tab/>
              <w:t xml:space="preserve">Relevancia de las variables de resultado supervivencia sin fallo a tratamiento (SSFT) y supervivencia libre de progresión radiológica (SLPr). Secciones: 5.3.b.1, pág. 26; 7.2.b, pág. 37; 9.1, pág. 42 </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El motivo de la alegación en la Sección 5.3.b.1, pág.26, es la falta de la descripción de los resultados tanto de SSFT como SLPr en la comparación directa y que muestran, un beneficio clínico, estadísticamente significativo, mayor de abiraterora con respecto a docetaxel. En el documento de evaluación sólo están descritos los resultados observados en SG.</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El motivo de la alegación en las secciones 7.2.b, pág. 37 (“Abiraterona muestra superioridad con respecto a docetaxel en SSFT pero no en SG, por lo que podemos decir que adelantar el tratamiento con abiraterona a la fase previa de la enfermedad podría no suponer un beneficio en la eficacia.”) y 9.1, pág. 42 (”En una comparación directa post hoc de los brazos de STAMPEDE-abiraterona y STAMPEDE-docetaxel y en diversas comparaciones indirectas, no se ha mostrado diferencia significativa de eficacia entre abiraterona y docetaxel”), al igual que en el caso anterior, es que no se tienen en cuenta los resultados de SSFT y SLPr que muestran la superioridad significativa de abiraterona con respecto a docetaxel en el retraso de la progresión de la enfermedad.</w:t>
            </w:r>
          </w:p>
        </w:tc>
        <w:tc>
          <w:tcPr>
            <w:tcW w:w="5953" w:type="dxa"/>
            <w:vAlign w:val="center"/>
          </w:tcPr>
          <w:p w:rsidR="00A43D05" w:rsidRPr="00683AE2" w:rsidRDefault="00A43D05" w:rsidP="00A43D05">
            <w:pPr>
              <w:jc w:val="both"/>
              <w:rPr>
                <w:rFonts w:ascii="Arial Narrow" w:hAnsi="Arial Narrow" w:cs="Arial"/>
                <w:sz w:val="16"/>
                <w:szCs w:val="16"/>
              </w:rPr>
            </w:pPr>
            <w:r w:rsidRPr="00683AE2">
              <w:rPr>
                <w:rFonts w:ascii="Arial Narrow" w:hAnsi="Arial Narrow" w:cs="Arial"/>
                <w:sz w:val="16"/>
                <w:szCs w:val="16"/>
              </w:rPr>
              <w:t xml:space="preserve">Se acepta parcialmente y se modifica en el texto. Se incluyen datos de SSFT y SLP así como el artículo de tipo open acces: Sydes, M.R. et col. </w:t>
            </w:r>
            <w:r w:rsidRPr="00683AE2">
              <w:rPr>
                <w:rFonts w:ascii="Arial Narrow" w:hAnsi="Arial Narrow" w:cs="Arial"/>
                <w:sz w:val="16"/>
                <w:szCs w:val="16"/>
                <w:lang w:val="en-GB"/>
              </w:rPr>
              <w:t xml:space="preserve">“Adding abiraterone or docetaxel to long-term hormone therapy for prostate cancer: directly randomised data from the STAMPEDE multi-arm, multi-stage platform protocol”.  </w:t>
            </w:r>
            <w:r w:rsidRPr="00683AE2">
              <w:rPr>
                <w:rFonts w:ascii="Arial Narrow" w:hAnsi="Arial Narrow" w:cs="Arial"/>
                <w:sz w:val="16"/>
                <w:szCs w:val="16"/>
              </w:rPr>
              <w:t>La supervivencia global (SG) aparte de ser una de las variables principales de ambos ensayos clínicos con Abiraterona, se considera una variable final y no una variable intermedia como pueden ser la SSFT o SLP</w:t>
            </w:r>
          </w:p>
        </w:tc>
      </w:tr>
      <w:tr w:rsidR="00A43D05" w:rsidRPr="00683AE2" w:rsidTr="007906EB">
        <w:tc>
          <w:tcPr>
            <w:tcW w:w="1728" w:type="dxa"/>
            <w:vAlign w:val="center"/>
          </w:tcPr>
          <w:p w:rsidR="00A43D05" w:rsidRPr="00683AE2" w:rsidRDefault="00A43D05" w:rsidP="00A43D05">
            <w:pPr>
              <w:rPr>
                <w:rFonts w:ascii="Arial Narrow" w:hAnsi="Arial Narrow" w:cs="Arial"/>
                <w:sz w:val="16"/>
                <w:szCs w:val="16"/>
                <w:lang w:val="en-GB"/>
              </w:rPr>
            </w:pPr>
            <w:r w:rsidRPr="00683AE2">
              <w:rPr>
                <w:rFonts w:ascii="Arial Narrow" w:hAnsi="Arial Narrow" w:cs="Arial"/>
                <w:sz w:val="16"/>
                <w:szCs w:val="16"/>
                <w:lang w:val="en-GB"/>
              </w:rPr>
              <w:t>Paola Moreno Pérez (Market Access Manager, Janssen)</w:t>
            </w:r>
          </w:p>
        </w:tc>
        <w:tc>
          <w:tcPr>
            <w:tcW w:w="6177" w:type="dxa"/>
            <w:vAlign w:val="center"/>
          </w:tcPr>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 xml:space="preserve">2. Inclusión y actualización de las guías de práctica clínica. Sección 5.4.1, pág. 28 </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El motivo de la alegación es la desactualización de las Guías de las NCCN recogidas en el documento GHEMA y la ausencia de las guías de oncología y urología europeas, en las que se describe el tratamiento de abiraterona en pacientes CPHSm.</w:t>
            </w:r>
          </w:p>
        </w:tc>
        <w:tc>
          <w:tcPr>
            <w:tcW w:w="5953" w:type="dxa"/>
            <w:vAlign w:val="center"/>
          </w:tcPr>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Se acepta. Se incluye la guía NCCN más actualizada, así como la recomendación por la guía ESMO.</w:t>
            </w:r>
          </w:p>
        </w:tc>
      </w:tr>
      <w:tr w:rsidR="00A43D05" w:rsidRPr="00683AE2" w:rsidTr="007906EB">
        <w:tc>
          <w:tcPr>
            <w:tcW w:w="1728" w:type="dxa"/>
            <w:vAlign w:val="center"/>
          </w:tcPr>
          <w:p w:rsidR="00A43D05" w:rsidRPr="00683AE2" w:rsidRDefault="00A43D05" w:rsidP="00A43D05">
            <w:pPr>
              <w:rPr>
                <w:rFonts w:ascii="Arial Narrow" w:hAnsi="Arial Narrow" w:cs="Arial"/>
                <w:sz w:val="16"/>
                <w:szCs w:val="16"/>
                <w:lang w:val="en-GB"/>
              </w:rPr>
            </w:pPr>
            <w:r w:rsidRPr="00683AE2">
              <w:rPr>
                <w:rFonts w:ascii="Arial Narrow" w:hAnsi="Arial Narrow" w:cs="Arial"/>
                <w:sz w:val="16"/>
                <w:szCs w:val="16"/>
                <w:lang w:val="en-GB"/>
              </w:rPr>
              <w:t>Paola Moreno Pérez (Market Access Manager, Janssen)</w:t>
            </w:r>
          </w:p>
        </w:tc>
        <w:tc>
          <w:tcPr>
            <w:tcW w:w="6177" w:type="dxa"/>
            <w:vAlign w:val="center"/>
          </w:tcPr>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 xml:space="preserve">3. Resultado del análisis SUCRA (Surface Under the Cumulative Ranking Analysis) realizado en la comparación indirecta de Wallis et al1. y que se describe en los resultados de la publicación.  </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El motivo de la alegación es la falta del análisis SUCRA realizado en la comparación indirecta de Wallis et al. que se recoge en este informe (sección 5.3.b.1 Comparaciones Indirectas publicadas, pág. 25), y que muestra el efecto beneficioso de abiraterona.</w:t>
            </w:r>
            <w:r w:rsidRPr="00683AE2">
              <w:t xml:space="preserve"> </w:t>
            </w:r>
            <w:r w:rsidRPr="00683AE2">
              <w:rPr>
                <w:rFonts w:ascii="Arial Narrow" w:hAnsi="Arial Narrow" w:cs="Arial"/>
                <w:sz w:val="16"/>
                <w:szCs w:val="16"/>
              </w:rPr>
              <w:t>En el documento de evaluación, pág. 25, se describe lo siguiente: “Según los resultados del Network metaanálisis puede afirmarse que no hay diferencia estadísticamente significativa entre Abiraterona+TDA y Docetaxel+TDA en términos de SG”</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Sugerimos que se incluya a continuación de la frase anterior, el siguiente texto descrito en los resultados de la publicación de Wallis et al. que se recoge en este informe: A pesar de la falta de significancia estadística, el análisis SUCRA realizado mostró que abiraterona tiene un 89% de probabilidad de ser la terapia preferida para el tratamiento de estos pacientes”</w:t>
            </w:r>
          </w:p>
        </w:tc>
        <w:tc>
          <w:tcPr>
            <w:tcW w:w="5953" w:type="dxa"/>
            <w:vAlign w:val="center"/>
          </w:tcPr>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Se rechaza la alegación. Se busca en este apartado discernir sobre resultados de eficacia del fármaco en evaluación, no de la conveniencia o preferencia de los pacientes.</w:t>
            </w:r>
          </w:p>
        </w:tc>
      </w:tr>
      <w:tr w:rsidR="00A43D05" w:rsidRPr="00683AE2" w:rsidTr="007906EB">
        <w:tc>
          <w:tcPr>
            <w:tcW w:w="1728" w:type="dxa"/>
            <w:vAlign w:val="center"/>
          </w:tcPr>
          <w:p w:rsidR="00A43D05" w:rsidRPr="00683AE2" w:rsidRDefault="00A43D05" w:rsidP="00A43D05">
            <w:pPr>
              <w:rPr>
                <w:rFonts w:ascii="Arial Narrow" w:hAnsi="Arial Narrow" w:cs="Arial"/>
                <w:sz w:val="16"/>
                <w:szCs w:val="16"/>
                <w:lang w:val="en-GB"/>
              </w:rPr>
            </w:pPr>
            <w:r w:rsidRPr="00683AE2">
              <w:rPr>
                <w:rFonts w:ascii="Arial Narrow" w:hAnsi="Arial Narrow" w:cs="Arial"/>
                <w:sz w:val="16"/>
                <w:szCs w:val="16"/>
                <w:lang w:val="en-GB"/>
              </w:rPr>
              <w:t>Paola Moreno Pérez (Market Access Manager, Janssen)</w:t>
            </w:r>
          </w:p>
        </w:tc>
        <w:tc>
          <w:tcPr>
            <w:tcW w:w="6177" w:type="dxa"/>
            <w:vAlign w:val="center"/>
          </w:tcPr>
          <w:p w:rsidR="00A43D05" w:rsidRPr="00683AE2" w:rsidRDefault="00A43D05" w:rsidP="00A43D05">
            <w:pPr>
              <w:pStyle w:val="NormalWeb"/>
              <w:spacing w:before="0" w:after="0"/>
              <w:rPr>
                <w:rFonts w:ascii="Arial Narrow" w:hAnsi="Arial Narrow" w:cs="Arial"/>
                <w:sz w:val="16"/>
                <w:szCs w:val="16"/>
                <w:lang w:eastAsia="es-ES"/>
              </w:rPr>
            </w:pPr>
            <w:r w:rsidRPr="00683AE2">
              <w:rPr>
                <w:rFonts w:ascii="Arial Narrow" w:hAnsi="Arial Narrow" w:cs="Arial"/>
                <w:sz w:val="16"/>
                <w:szCs w:val="16"/>
                <w:lang w:eastAsia="es-ES"/>
              </w:rPr>
              <w:t>Se han propuesto las siguientes Fe de erratas:</w:t>
            </w:r>
          </w:p>
          <w:p w:rsidR="00A43D05" w:rsidRPr="00683AE2" w:rsidRDefault="00A43D05" w:rsidP="00A43D05">
            <w:pPr>
              <w:pStyle w:val="NormalWeb"/>
              <w:spacing w:before="0" w:after="0"/>
              <w:rPr>
                <w:rFonts w:ascii="Arial Narrow" w:hAnsi="Arial Narrow" w:cs="Arial"/>
                <w:sz w:val="16"/>
                <w:szCs w:val="16"/>
                <w:lang w:eastAsia="es-ES"/>
              </w:rPr>
            </w:pPr>
            <w:r w:rsidRPr="00683AE2">
              <w:rPr>
                <w:rFonts w:ascii="Arial Narrow" w:hAnsi="Arial Narrow" w:cs="Arial"/>
                <w:sz w:val="16"/>
                <w:szCs w:val="16"/>
                <w:lang w:eastAsia="es-ES"/>
              </w:rPr>
              <w:t>1. 3.1 Área descriptiva del medicamento: Presentaciones y precios; página 2. Se sugiere la corrección del coste por unida (marcado en amarillo) tanto para la presentación de 250 mg como de 500 mg. El PVL de Zytiga es de 3.400 euros + 4% de IVA, sería de 3.536 euros que, dividido por el número de unidades por cada envase, sería de 29,47 euros para comprimidos de 250 mg y de 58,93 euros para los de 500 mg.</w:t>
            </w:r>
          </w:p>
          <w:p w:rsidR="00A43D05" w:rsidRPr="00683AE2" w:rsidRDefault="00A43D05" w:rsidP="00A43D05">
            <w:pPr>
              <w:pStyle w:val="NormalWeb"/>
              <w:spacing w:before="0" w:after="0"/>
              <w:rPr>
                <w:rFonts w:ascii="Arial Narrow" w:hAnsi="Arial Narrow" w:cs="Arial"/>
                <w:sz w:val="16"/>
                <w:szCs w:val="16"/>
                <w:lang w:eastAsia="es-ES"/>
              </w:rPr>
            </w:pPr>
          </w:p>
          <w:p w:rsidR="00A43D05" w:rsidRPr="00683AE2" w:rsidRDefault="00A43D05" w:rsidP="00A43D05">
            <w:pPr>
              <w:pStyle w:val="NormalWeb"/>
              <w:spacing w:before="0" w:after="0"/>
              <w:rPr>
                <w:rFonts w:ascii="Arial Narrow" w:hAnsi="Arial Narrow" w:cs="Arial"/>
                <w:sz w:val="16"/>
                <w:szCs w:val="16"/>
                <w:lang w:eastAsia="es-ES"/>
              </w:rPr>
            </w:pPr>
            <w:r w:rsidRPr="00683AE2">
              <w:rPr>
                <w:rFonts w:ascii="Arial Narrow" w:hAnsi="Arial Narrow" w:cs="Arial"/>
                <w:sz w:val="16"/>
                <w:szCs w:val="16"/>
                <w:lang w:eastAsia="es-ES"/>
              </w:rPr>
              <w:t>2. Se sugiere la corrección de las secciones subrayadas en amarillo puesto que abiraterona desde 17/11/2017 cuenta con la aprobación de la EMA y, por tanto, está indicado en pacientes con cáncer de próstata metastásicos, hormono sensibles, de alto riesgo y nuevo diagnóstico.</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3. Actualizar la fecha subrayada en amarillo a 17 de noviembre del 2017, fecha en la fue aprobada la nueva indicación de abiraterona en pacientes con cáncer de próstata metastásicos, hormono sensibles, de alto riesgo y nuevo diagnóstico, y con la que abiraterona pasó a tener 3 indicaciones en el tratamiento del cáncer de próstata1.</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Actualizar también la fecha en rojo a noviembre del 2107.</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4.2 Indicaciones clínicas formalmente aprobadas y fecha de aprobación</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AEMyPSy EMA (</w:t>
            </w:r>
            <w:r w:rsidRPr="00683AE2">
              <w:rPr>
                <w:rFonts w:ascii="Arial Narrow" w:hAnsi="Arial Narrow" w:cs="Arial"/>
                <w:color w:val="FF0000"/>
                <w:sz w:val="16"/>
                <w:szCs w:val="16"/>
              </w:rPr>
              <w:t>18/12/2012</w:t>
            </w:r>
            <w:r w:rsidRPr="00683AE2">
              <w:rPr>
                <w:rFonts w:ascii="Arial Narrow" w:hAnsi="Arial Narrow" w:cs="Arial"/>
                <w:sz w:val="16"/>
                <w:szCs w:val="16"/>
              </w:rPr>
              <w:t xml:space="preserve">): </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1.</w:t>
            </w:r>
            <w:r w:rsidRPr="00683AE2">
              <w:rPr>
                <w:rFonts w:ascii="Arial Narrow" w:hAnsi="Arial Narrow" w:cs="Arial"/>
                <w:sz w:val="16"/>
                <w:szCs w:val="16"/>
              </w:rPr>
              <w:tab/>
              <w:t>Indicado con prednisona o prednisolona para el tratamiento de CPRC metastásico en hombres adultos cuya enfermedad ha progresado durante o tras un régimen de quimioterapia basado en docetaxel. (Autorización 9/2011).</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2.</w:t>
            </w:r>
            <w:r w:rsidRPr="00683AE2">
              <w:rPr>
                <w:rFonts w:ascii="Arial Narrow" w:hAnsi="Arial Narrow" w:cs="Arial"/>
                <w:sz w:val="16"/>
                <w:szCs w:val="16"/>
              </w:rPr>
              <w:tab/>
              <w:t>Indicado con prednisona o prednisolona para el tratamiento de cáncer de próstata metastásico resistente a la castración en hombres adultos que sean asintomáticos o levemente sintomáticos tras el fracaso de tratamiento de deprivación de andrógenos en los cuales la quimioterapia no está aún clínicamente indicada. (Autorización 12/2012).</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3.</w:t>
            </w:r>
            <w:r w:rsidRPr="00683AE2">
              <w:rPr>
                <w:rFonts w:ascii="Arial Narrow" w:hAnsi="Arial Narrow" w:cs="Arial"/>
                <w:sz w:val="16"/>
                <w:szCs w:val="16"/>
              </w:rPr>
              <w:tab/>
              <w:t>Indicado en CPHS metastático con diagnóstico de novo en pacientes de alto riesgo en combinación con TDA. (Alto riesgo cumplir 2 de los siguientes criterios: Gleason 8-10, al menos 3 metástasis óseas, al menos 1 metástasis visceral). (Indicación objeto de esta evaluación. (Autorizada 1/2018).</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4. Sección 5.2.b Evaluación de la validez y de la utilidad práctica de los resultados: pág. 15</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Se sugiere el cambio de cegamiento por enmascaramiento al ser el termino empleado en estadísitica1</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A. Validez interna. Limitaciones de diseño y/o comentarios:</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La principal limitación del estudio STAMPEDE es la no realización de cegamiento, tanto de los pacientes como de los investigadores. En el estudio LATITUDE no encontramos limitaciones de este tipo ya que su diseño es de doble ciego.</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Bibliografía</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1.</w:t>
            </w:r>
            <w:r w:rsidRPr="00683AE2">
              <w:rPr>
                <w:rFonts w:ascii="Arial Narrow" w:hAnsi="Arial Narrow" w:cs="Arial"/>
                <w:sz w:val="16"/>
                <w:szCs w:val="16"/>
              </w:rPr>
              <w:tab/>
              <w:t>Delgado et al. Estudios experimentales (unidad 2, apartado 1.4.1, página 64). 8ª edición. Barcelona, 2017</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5. Actualizar la fecha del documento, marcado en amarillo, a fecha de realización de la evaluación.</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GENESIS-SEFH</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 xml:space="preserve">Programa MADRE versión 4.0  </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Informe Base</w:t>
            </w:r>
            <w:r w:rsidRPr="00683AE2">
              <w:rPr>
                <w:rFonts w:ascii="Arial Narrow" w:hAnsi="Arial Narrow" w:cs="Arial"/>
                <w:sz w:val="16"/>
                <w:szCs w:val="16"/>
              </w:rPr>
              <w:tab/>
              <w:t>Versión:</w:t>
            </w:r>
            <w:r w:rsidRPr="00683AE2">
              <w:rPr>
                <w:rFonts w:ascii="Arial Narrow" w:hAnsi="Arial Narrow" w:cs="Arial"/>
                <w:sz w:val="16"/>
                <w:szCs w:val="16"/>
              </w:rPr>
              <w:tab/>
              <w:t>4.0</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ab/>
              <w:t>Fecha:</w:t>
            </w:r>
            <w:r w:rsidRPr="00683AE2">
              <w:rPr>
                <w:rFonts w:ascii="Arial Narrow" w:hAnsi="Arial Narrow" w:cs="Arial"/>
                <w:sz w:val="16"/>
                <w:szCs w:val="16"/>
              </w:rPr>
              <w:tab/>
              <w:t>10-12-2012</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ab/>
              <w:t>Página:</w:t>
            </w:r>
            <w:r w:rsidRPr="00683AE2">
              <w:rPr>
                <w:rFonts w:ascii="Arial Narrow" w:hAnsi="Arial Narrow" w:cs="Arial"/>
                <w:sz w:val="16"/>
                <w:szCs w:val="16"/>
              </w:rPr>
              <w:tab/>
              <w:t>7</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6. 6.5 Precauciones de empleo en casos especiales; pág. 34</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Puesto que existen dos presentaciones de abiraterona, 250 mg y 500 mg, sugerimos que se modifique el texto, subrayado en amarillo, por “dos comprimidos de 250 mg o uno de 500 mg”</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-Hepatotoxicidad: Se deben medir las concentraciones de transaminasas séricas antes de iniciar el tratamiento, cada dos semanas durante los tres primeros meses de tratamiento y posteriormente una vez al mes.</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Si se desarrolla hepatotoxicidad durante el tratamiento (elevación de ALT más de 5 veces por encima del límite superior de la normalidad), se debe suspender el mismo inmediatamente. Una vez que las pruebas de la función hepática vuelvan a los valores basales del paciente, el tratamiento podrá reanudarse con una dosis reducida de 500 mg (dos comprimidos) una vez al día.</w:t>
            </w:r>
          </w:p>
          <w:p w:rsidR="00A43D05" w:rsidRPr="00683AE2" w:rsidRDefault="00A43D05" w:rsidP="00A43D05">
            <w:pPr>
              <w:rPr>
                <w:rFonts w:ascii="Arial Narrow" w:hAnsi="Arial Narrow" w:cs="Arial"/>
                <w:sz w:val="16"/>
                <w:szCs w:val="16"/>
              </w:rPr>
            </w:pPr>
          </w:p>
        </w:tc>
        <w:tc>
          <w:tcPr>
            <w:tcW w:w="5953" w:type="dxa"/>
            <w:vAlign w:val="center"/>
          </w:tcPr>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1. Se recalcula el precio por unidad en base al descuento según Real Decreto 8/2010 del 7.5% más el IVA del 4%.</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2. Se actualizan los puntos del informe 5.4.2, 5.4.4 y 9.1. apartado a)</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 xml:space="preserve">3. Se actualiza a fecha 15/11/2017 según los datos disponibles en: </w:t>
            </w:r>
            <w:hyperlink r:id="rId43" w:history="1">
              <w:r w:rsidRPr="00683AE2">
                <w:rPr>
                  <w:rStyle w:val="Hipervnculo"/>
                  <w:rFonts w:ascii="Arial Narrow" w:hAnsi="Arial Narrow" w:cs="Arial"/>
                  <w:sz w:val="16"/>
                  <w:szCs w:val="16"/>
                </w:rPr>
                <w:t>https://www.ema.europa.eu/documents/procedural-steps-after/zytiga-epar-procedural-steps-taken-scientific-information-after-authorisation_en.pdf</w:t>
              </w:r>
            </w:hyperlink>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4. Se rechaza. Cegamiento es cuando investigadores /pacientes no saben la asignación al tratamiento. Enmascaramiento es para cuando se oculta que es lo que toma el paciente.</w:t>
            </w: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5. Esta fecha es la de la versión del programa madre.</w:t>
            </w: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6. Se acepta y se cambia en el texto.</w:t>
            </w:r>
          </w:p>
        </w:tc>
      </w:tr>
      <w:tr w:rsidR="00A43D05" w:rsidRPr="001C0B2C" w:rsidTr="00310032">
        <w:tc>
          <w:tcPr>
            <w:tcW w:w="1728" w:type="dxa"/>
          </w:tcPr>
          <w:p w:rsidR="00A43D05" w:rsidRPr="00683AE2" w:rsidRDefault="00A43D05" w:rsidP="00A43D05">
            <w:pPr>
              <w:rPr>
                <w:rFonts w:ascii="Arial Narrow" w:hAnsi="Arial Narrow" w:cs="Arial"/>
                <w:sz w:val="16"/>
                <w:szCs w:val="16"/>
                <w:lang w:val="en-GB"/>
              </w:rPr>
            </w:pPr>
            <w:r w:rsidRPr="00683AE2">
              <w:rPr>
                <w:rFonts w:ascii="Arial Narrow" w:hAnsi="Arial Narrow" w:cs="Arial"/>
                <w:sz w:val="16"/>
                <w:szCs w:val="16"/>
                <w:lang w:val="en-GB"/>
              </w:rPr>
              <w:t>Paola Moreno Pérez (Market Access Manager, Janssen)</w:t>
            </w:r>
          </w:p>
        </w:tc>
        <w:tc>
          <w:tcPr>
            <w:tcW w:w="6177" w:type="dxa"/>
          </w:tcPr>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Aunque no es el formato establecido, se han considerado como alegaciones las siguientes puntualizaciones enviadas:</w:t>
            </w:r>
          </w:p>
          <w:p w:rsidR="00310032" w:rsidRPr="00683AE2" w:rsidRDefault="00310032" w:rsidP="00A43D05">
            <w:pPr>
              <w:rPr>
                <w:rFonts w:ascii="Arial Narrow" w:hAnsi="Arial Narrow" w:cs="Arial"/>
                <w:sz w:val="16"/>
                <w:szCs w:val="16"/>
              </w:rPr>
            </w:pPr>
          </w:p>
          <w:p w:rsidR="00A43D05" w:rsidRPr="00683AE2" w:rsidRDefault="00A43D05" w:rsidP="00A43D05">
            <w:pPr>
              <w:pStyle w:val="NormalWeb"/>
              <w:spacing w:before="0" w:after="0"/>
              <w:jc w:val="both"/>
              <w:rPr>
                <w:rFonts w:ascii="Arial Narrow" w:hAnsi="Arial Narrow" w:cs="Arial"/>
                <w:sz w:val="16"/>
                <w:szCs w:val="16"/>
                <w:lang w:eastAsia="es-ES"/>
              </w:rPr>
            </w:pPr>
            <w:r w:rsidRPr="00683AE2">
              <w:rPr>
                <w:rFonts w:ascii="Arial Narrow" w:hAnsi="Arial Narrow" w:cs="Arial"/>
                <w:sz w:val="16"/>
                <w:szCs w:val="16"/>
              </w:rPr>
              <w:t>1</w:t>
            </w:r>
            <w:r w:rsidRPr="00683AE2">
              <w:rPr>
                <w:rFonts w:ascii="Arial Narrow" w:hAnsi="Arial Narrow" w:cs="Arial"/>
                <w:sz w:val="16"/>
                <w:szCs w:val="16"/>
                <w:lang w:eastAsia="es-ES"/>
              </w:rPr>
              <w:t>. Párrafo del documento:</w:t>
            </w:r>
          </w:p>
          <w:p w:rsidR="00A43D05" w:rsidRPr="00683AE2" w:rsidRDefault="00A43D05" w:rsidP="00A43D05">
            <w:pPr>
              <w:pStyle w:val="NormalWeb"/>
              <w:spacing w:before="0" w:after="0"/>
              <w:jc w:val="both"/>
              <w:rPr>
                <w:rFonts w:ascii="Arial Narrow" w:hAnsi="Arial Narrow" w:cs="Arial"/>
                <w:sz w:val="16"/>
                <w:szCs w:val="16"/>
                <w:lang w:eastAsia="es-ES"/>
              </w:rPr>
            </w:pPr>
            <w:r w:rsidRPr="00683AE2">
              <w:rPr>
                <w:rFonts w:ascii="Arial Narrow" w:hAnsi="Arial Narrow" w:cs="Arial"/>
                <w:sz w:val="16"/>
                <w:szCs w:val="16"/>
                <w:lang w:eastAsia="es-ES"/>
              </w:rPr>
              <w:t>Si falla la primera línea hormonal, en ocasiones se puede intentar un segundo tratamiento hormonal:</w:t>
            </w:r>
          </w:p>
          <w:p w:rsidR="00A43D05" w:rsidRPr="00683AE2" w:rsidRDefault="00A43D05" w:rsidP="00A43D05">
            <w:pPr>
              <w:pStyle w:val="Prrafodelista1"/>
              <w:numPr>
                <w:ilvl w:val="0"/>
                <w:numId w:val="3"/>
              </w:numPr>
              <w:jc w:val="both"/>
              <w:rPr>
                <w:rFonts w:ascii="Arial Narrow" w:hAnsi="Arial Narrow" w:cs="Arial"/>
                <w:sz w:val="16"/>
                <w:szCs w:val="16"/>
                <w:lang w:eastAsia="es-ES"/>
              </w:rPr>
            </w:pPr>
            <w:r w:rsidRPr="00683AE2">
              <w:rPr>
                <w:rFonts w:ascii="Arial Narrow" w:hAnsi="Arial Narrow" w:cs="Arial"/>
                <w:sz w:val="16"/>
                <w:szCs w:val="16"/>
                <w:lang w:eastAsia="es-ES"/>
              </w:rPr>
              <w:t xml:space="preserve">Si la supresión androgénica pierde eficacia, se puede añadir un antiandrógeno a la terapia. </w:t>
            </w:r>
          </w:p>
          <w:p w:rsidR="00A43D05" w:rsidRPr="00683AE2" w:rsidRDefault="00A43D05" w:rsidP="00A43D05">
            <w:pPr>
              <w:pStyle w:val="Prrafodelista1"/>
              <w:numPr>
                <w:ilvl w:val="0"/>
                <w:numId w:val="3"/>
              </w:numPr>
              <w:jc w:val="both"/>
              <w:rPr>
                <w:rFonts w:ascii="Arial Narrow" w:hAnsi="Arial Narrow" w:cs="Arial"/>
                <w:sz w:val="16"/>
                <w:szCs w:val="16"/>
                <w:lang w:eastAsia="es-ES"/>
              </w:rPr>
            </w:pPr>
            <w:r w:rsidRPr="00683AE2">
              <w:rPr>
                <w:rFonts w:ascii="Arial Narrow" w:hAnsi="Arial Narrow" w:cs="Arial"/>
                <w:sz w:val="16"/>
                <w:szCs w:val="16"/>
                <w:lang w:eastAsia="es-ES"/>
              </w:rPr>
              <w:t>Si lo que fracasa es el bloqueo androgénico completo, se retirará el antiandrógeno.</w:t>
            </w:r>
          </w:p>
          <w:p w:rsidR="00A43D05" w:rsidRPr="00683AE2" w:rsidRDefault="00A43D05" w:rsidP="00A43D05">
            <w:pPr>
              <w:jc w:val="both"/>
              <w:rPr>
                <w:rFonts w:ascii="Arial Narrow" w:hAnsi="Arial Narrow" w:cs="Arial"/>
                <w:sz w:val="16"/>
                <w:szCs w:val="16"/>
              </w:rPr>
            </w:pPr>
            <w:r w:rsidRPr="00683AE2">
              <w:rPr>
                <w:rFonts w:ascii="Arial Narrow" w:hAnsi="Arial Narrow" w:cs="Arial"/>
                <w:sz w:val="16"/>
                <w:szCs w:val="16"/>
              </w:rPr>
              <w:t>Este tratamiento es eficaz hasta que la enfermedad progresa hacia una situación conocida como carcinoma de próstata resistente a castración (CPRC).</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Motivo de la puntualización:</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 xml:space="preserve">Las segundas maniobras hormonales estaban recomendadas en pacientes con CPRC no metastásico con alto riesgo de desarrollar metástasis porque no había ningún tratamiento aprobado hasta ahora en esta fase de la enfermedad, pero en cualquier caso no mejoran la supervivencia1. Ahora sí hay tratamientos en esta fase2,3. </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En CPRC metastásico (que es el estadio en las personas que debutan con CP metastásico y reciben TDA) no se recomiendan estas maniobras porque hay varios tratamientos aprobados (abiraterona, enzalutamida, docetaxel) que aumentan la supervivencia4,5.</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Propuesta de texto:</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 xml:space="preserve">Si falla la primera línea hormonal, la enfermedad deriva en una fase conocida como carcinoma de próstata resistente a la castración (CPRC). En función del estatus de metástasis en esta fase, existen diferentes terapias que han demostrado un beneficio en supervivencia: </w:t>
            </w:r>
          </w:p>
          <w:p w:rsidR="00A43D05" w:rsidRPr="00683AE2" w:rsidRDefault="00A43D05" w:rsidP="00A43D05">
            <w:pPr>
              <w:pStyle w:val="Textoindependiente2"/>
              <w:numPr>
                <w:ilvl w:val="0"/>
                <w:numId w:val="29"/>
              </w:numPr>
              <w:spacing w:after="0" w:line="240" w:lineRule="auto"/>
              <w:jc w:val="both"/>
              <w:rPr>
                <w:rFonts w:ascii="Arial Narrow" w:hAnsi="Arial Narrow" w:cs="Arial"/>
                <w:sz w:val="16"/>
                <w:szCs w:val="16"/>
              </w:rPr>
            </w:pPr>
            <w:r w:rsidRPr="00683AE2">
              <w:rPr>
                <w:rFonts w:ascii="Arial Narrow" w:hAnsi="Arial Narrow" w:cs="Arial"/>
                <w:sz w:val="16"/>
                <w:szCs w:val="16"/>
              </w:rPr>
              <w:t xml:space="preserve">CPRC no metastásico: apalutamida, enzalutamida. </w:t>
            </w:r>
          </w:p>
          <w:p w:rsidR="00A43D05" w:rsidRPr="00683AE2" w:rsidRDefault="00A43D05" w:rsidP="00A43D05">
            <w:pPr>
              <w:pStyle w:val="Textoindependiente2"/>
              <w:numPr>
                <w:ilvl w:val="0"/>
                <w:numId w:val="29"/>
              </w:numPr>
              <w:spacing w:after="0" w:line="240" w:lineRule="auto"/>
              <w:ind w:left="714" w:hanging="357"/>
              <w:jc w:val="both"/>
              <w:rPr>
                <w:rFonts w:ascii="Arial Narrow" w:hAnsi="Arial Narrow" w:cs="Arial"/>
                <w:sz w:val="16"/>
                <w:szCs w:val="16"/>
              </w:rPr>
            </w:pPr>
            <w:r w:rsidRPr="00683AE2">
              <w:rPr>
                <w:rFonts w:ascii="Arial Narrow" w:hAnsi="Arial Narrow" w:cs="Arial"/>
                <w:sz w:val="16"/>
                <w:szCs w:val="16"/>
              </w:rPr>
              <w:t xml:space="preserve">CPRC metastásico: acetato de abiraterona, docetaxel, enzalutamida, Radium 223. </w:t>
            </w:r>
          </w:p>
          <w:p w:rsidR="00A43D05" w:rsidRPr="00683AE2" w:rsidRDefault="00A43D05" w:rsidP="00A43D05">
            <w:pPr>
              <w:jc w:val="both"/>
              <w:rPr>
                <w:rFonts w:ascii="Arial Narrow" w:hAnsi="Arial Narrow" w:cs="Arial"/>
                <w:sz w:val="16"/>
                <w:szCs w:val="16"/>
              </w:rPr>
            </w:pPr>
            <w:r w:rsidRPr="00683AE2">
              <w:rPr>
                <w:rFonts w:ascii="Arial Narrow" w:hAnsi="Arial Narrow" w:cs="Arial"/>
                <w:sz w:val="16"/>
                <w:szCs w:val="16"/>
              </w:rPr>
              <w:t>Bibliografía:</w:t>
            </w:r>
          </w:p>
          <w:p w:rsidR="00A43D05" w:rsidRPr="00683AE2" w:rsidRDefault="00A43D05" w:rsidP="00A43D05">
            <w:pPr>
              <w:pStyle w:val="Prrafodelista"/>
              <w:numPr>
                <w:ilvl w:val="1"/>
                <w:numId w:val="13"/>
              </w:numPr>
              <w:tabs>
                <w:tab w:val="clear" w:pos="1080"/>
              </w:tabs>
              <w:ind w:left="709" w:hanging="283"/>
              <w:jc w:val="both"/>
              <w:rPr>
                <w:rFonts w:ascii="Arial Narrow" w:hAnsi="Arial Narrow" w:cs="Arial"/>
                <w:sz w:val="16"/>
                <w:szCs w:val="16"/>
                <w:lang w:eastAsia="es-ES"/>
              </w:rPr>
            </w:pPr>
            <w:r w:rsidRPr="00683AE2">
              <w:rPr>
                <w:rFonts w:ascii="Arial Narrow" w:hAnsi="Arial Narrow" w:cs="Arial"/>
                <w:sz w:val="16"/>
                <w:szCs w:val="16"/>
                <w:lang w:val="en-GB" w:eastAsia="es-ES"/>
              </w:rPr>
              <w:t>Muñoz-Velez D. [Management of non-metastatic castration resistant prostate cancer]. Arch Esp Urol. 2015 Mar;68(2):125–34.</w:t>
            </w:r>
          </w:p>
          <w:p w:rsidR="00A43D05" w:rsidRPr="00683AE2" w:rsidRDefault="00A43D05" w:rsidP="00A43D05">
            <w:pPr>
              <w:pStyle w:val="Prrafodelista"/>
              <w:numPr>
                <w:ilvl w:val="1"/>
                <w:numId w:val="13"/>
              </w:numPr>
              <w:tabs>
                <w:tab w:val="clear" w:pos="1080"/>
              </w:tabs>
              <w:ind w:left="709" w:hanging="283"/>
              <w:jc w:val="both"/>
              <w:rPr>
                <w:rFonts w:ascii="Arial Narrow" w:hAnsi="Arial Narrow" w:cs="Arial"/>
                <w:sz w:val="16"/>
                <w:szCs w:val="16"/>
                <w:lang w:val="en-GB" w:eastAsia="es-ES"/>
              </w:rPr>
            </w:pPr>
            <w:r w:rsidRPr="00683AE2">
              <w:rPr>
                <w:rFonts w:ascii="Arial Narrow" w:hAnsi="Arial Narrow" w:cs="Arial"/>
                <w:sz w:val="16"/>
                <w:szCs w:val="16"/>
                <w:lang w:val="en-GB" w:eastAsia="es-ES"/>
              </w:rPr>
              <w:t xml:space="preserve">Smith MR, Saad F, Chowdhury S, Oudard S, Hadaschik BA, Graff JN, et al. Apalutamide Treatment and Metastasis-free Survival in Prostate Cancer. N Engl J Med. 2018 Feb 8; </w:t>
            </w:r>
          </w:p>
          <w:p w:rsidR="00A43D05" w:rsidRPr="00683AE2" w:rsidRDefault="00A43D05" w:rsidP="00A43D05">
            <w:pPr>
              <w:pStyle w:val="Prrafodelista"/>
              <w:numPr>
                <w:ilvl w:val="1"/>
                <w:numId w:val="13"/>
              </w:numPr>
              <w:tabs>
                <w:tab w:val="clear" w:pos="1080"/>
              </w:tabs>
              <w:ind w:left="709" w:hanging="283"/>
              <w:jc w:val="both"/>
              <w:rPr>
                <w:rFonts w:ascii="Arial Narrow" w:hAnsi="Arial Narrow" w:cs="Arial"/>
                <w:sz w:val="16"/>
                <w:szCs w:val="16"/>
                <w:lang w:val="en-GB" w:eastAsia="es-ES"/>
              </w:rPr>
            </w:pPr>
            <w:r w:rsidRPr="00683AE2">
              <w:rPr>
                <w:rFonts w:ascii="Arial Narrow" w:hAnsi="Arial Narrow" w:cs="Arial"/>
                <w:sz w:val="16"/>
                <w:szCs w:val="16"/>
                <w:lang w:val="en-GB" w:eastAsia="es-ES"/>
              </w:rPr>
              <w:t>Hussain M, Fizazi K, Saad F, Rathenborg P, Shore N, Ferreira U, et al. Enzalutamide in Men with Nonmetastatic, Castration-Resistant Prostate Cancer. N Engl J Med. 2018 Jun 28;378(26):2465–74.</w:t>
            </w:r>
          </w:p>
          <w:p w:rsidR="00A43D05" w:rsidRPr="00683AE2" w:rsidRDefault="00A43D05" w:rsidP="00A43D05">
            <w:pPr>
              <w:pStyle w:val="Prrafodelista"/>
              <w:numPr>
                <w:ilvl w:val="1"/>
                <w:numId w:val="13"/>
              </w:numPr>
              <w:tabs>
                <w:tab w:val="clear" w:pos="1080"/>
              </w:tabs>
              <w:ind w:left="709" w:hanging="283"/>
              <w:jc w:val="both"/>
              <w:rPr>
                <w:rFonts w:ascii="Arial Narrow" w:hAnsi="Arial Narrow" w:cs="Arial"/>
                <w:sz w:val="16"/>
                <w:szCs w:val="16"/>
                <w:lang w:eastAsia="es-ES"/>
              </w:rPr>
            </w:pPr>
            <w:r w:rsidRPr="00683AE2">
              <w:rPr>
                <w:rFonts w:ascii="Arial Narrow" w:hAnsi="Arial Narrow" w:cs="Arial"/>
                <w:sz w:val="16"/>
                <w:szCs w:val="16"/>
                <w:lang w:val="en-GB" w:eastAsia="es-ES"/>
              </w:rPr>
              <w:t xml:space="preserve">NCCN: National Comprehensive Cancer Network. [internet] Washington: NCCN; 2018. NCCN Clinical Practice Guidelines in Oncology (NCCN guidelines®) Prostate Cancer [Consulta: 29/11/2018]. </w:t>
            </w:r>
            <w:r w:rsidRPr="00683AE2">
              <w:rPr>
                <w:rFonts w:ascii="Arial Narrow" w:hAnsi="Arial Narrow" w:cs="Arial"/>
                <w:sz w:val="16"/>
                <w:szCs w:val="16"/>
                <w:lang w:eastAsia="es-ES"/>
              </w:rPr>
              <w:t>Disponible en: https://www.nccn.org/professionals/physician_gls/pdf/prostate_blocks.pdf</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Mottet N, et al. EAU - ESTRO - ESUR - SIOG Guidelines on Prostate Cancer, 2018. Accesible en http://uroweb.org/guideline/prostate-cancer/ Último acceso noviembre 2018</w:t>
            </w:r>
          </w:p>
          <w:p w:rsidR="00310032" w:rsidRPr="00683AE2" w:rsidRDefault="00310032" w:rsidP="00A43D05">
            <w:pPr>
              <w:pStyle w:val="NormalWeb"/>
              <w:spacing w:before="0" w:after="0"/>
              <w:jc w:val="both"/>
              <w:rPr>
                <w:rFonts w:ascii="Arial Narrow" w:hAnsi="Arial Narrow" w:cs="Arial"/>
                <w:sz w:val="16"/>
                <w:szCs w:val="16"/>
              </w:rPr>
            </w:pPr>
          </w:p>
          <w:p w:rsidR="00310032" w:rsidRPr="00683AE2" w:rsidRDefault="00310032" w:rsidP="00A43D05">
            <w:pPr>
              <w:pStyle w:val="NormalWeb"/>
              <w:spacing w:before="0" w:after="0"/>
              <w:jc w:val="both"/>
              <w:rPr>
                <w:rFonts w:ascii="Arial Narrow" w:hAnsi="Arial Narrow" w:cs="Arial"/>
                <w:sz w:val="16"/>
                <w:szCs w:val="16"/>
              </w:rPr>
            </w:pPr>
          </w:p>
          <w:p w:rsidR="00A43D05" w:rsidRPr="00683AE2" w:rsidRDefault="00A43D05" w:rsidP="00A43D05">
            <w:pPr>
              <w:pStyle w:val="NormalWeb"/>
              <w:spacing w:before="0" w:after="0"/>
              <w:jc w:val="both"/>
              <w:rPr>
                <w:rFonts w:ascii="Arial Narrow" w:hAnsi="Arial Narrow" w:cs="Arial"/>
                <w:sz w:val="16"/>
                <w:szCs w:val="16"/>
                <w:lang w:eastAsia="es-ES"/>
              </w:rPr>
            </w:pPr>
            <w:r w:rsidRPr="00683AE2">
              <w:rPr>
                <w:rFonts w:ascii="Arial Narrow" w:hAnsi="Arial Narrow" w:cs="Arial"/>
                <w:sz w:val="16"/>
                <w:szCs w:val="16"/>
              </w:rPr>
              <w:t xml:space="preserve">2. </w:t>
            </w:r>
            <w:r w:rsidRPr="00683AE2">
              <w:rPr>
                <w:rFonts w:ascii="Arial Narrow" w:hAnsi="Arial Narrow" w:cs="Arial"/>
                <w:sz w:val="16"/>
                <w:szCs w:val="16"/>
                <w:lang w:eastAsia="es-ES"/>
              </w:rPr>
              <w:t>Párrafo del documento:</w:t>
            </w:r>
          </w:p>
          <w:p w:rsidR="00A43D05" w:rsidRPr="00683AE2" w:rsidRDefault="00A43D05" w:rsidP="00A43D05">
            <w:pPr>
              <w:jc w:val="both"/>
              <w:rPr>
                <w:rFonts w:ascii="Arial Narrow" w:hAnsi="Arial Narrow" w:cs="Arial"/>
                <w:sz w:val="16"/>
                <w:szCs w:val="16"/>
              </w:rPr>
            </w:pPr>
            <w:r w:rsidRPr="00683AE2">
              <w:rPr>
                <w:rFonts w:ascii="Arial Narrow" w:hAnsi="Arial Narrow" w:cs="Arial"/>
                <w:sz w:val="16"/>
                <w:szCs w:val="16"/>
              </w:rPr>
              <w:t>“Llama la atención que en el apéndice del estudio LATITUDE donde se especifican las características basales de la población y sus proporciones en ambos brazos del ensayo (Supplementary Table S3. Demographic and BaselineDiseaseCharacteristics) no se especifica la proporción de pacientes que presenta ECOG 0 con respecto a ECOG 1-2, mientras que sí encontramos un análisis por subgrupos estratificados en puntuación ECOG.”</w:t>
            </w:r>
          </w:p>
          <w:p w:rsidR="00310032" w:rsidRPr="00683AE2" w:rsidRDefault="00310032" w:rsidP="00A43D05">
            <w:pPr>
              <w:jc w:val="both"/>
              <w:rPr>
                <w:rFonts w:ascii="Arial Narrow" w:hAnsi="Arial Narrow" w:cs="Arial"/>
                <w:sz w:val="16"/>
                <w:szCs w:val="16"/>
              </w:rPr>
            </w:pPr>
          </w:p>
          <w:p w:rsidR="00310032" w:rsidRPr="00683AE2" w:rsidRDefault="00310032" w:rsidP="00A43D05">
            <w:pPr>
              <w:jc w:val="both"/>
              <w:rPr>
                <w:rFonts w:ascii="Arial Narrow" w:hAnsi="Arial Narrow" w:cs="Arial"/>
                <w:sz w:val="16"/>
                <w:szCs w:val="16"/>
              </w:rPr>
            </w:pP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3. Motivo de la puntualización:</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En el EPAR de Zytiga (pág. 53)1 del 12 de octubre de 2017 (Figura 1) aparecen los porcentajes de todos los subgrupos, se adjunta imagen. En el análisis se juntan ECOG 1-2 por el bajo número de pacientes ECOG 2 (&lt;5%) que impiden hacer un análisis de este subgrupo.</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3. Motivo de la puntualización:</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La búsqueda en Medline de publicaciones comparando abiraterona y docetaxel descrita en el documento de evaluación fue realizada el 6/11/17, hace más de un año, cuando abiraterona ni siquiera tenía indicación en estos pacientes.</w:t>
            </w: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Al actualizar la búsqueda en Medline a fecha 23/11/2018, se encontraron publicados tres estudios que comparan la eficacia de abiraterona y docetaxel. Debido a la falta de evidencia publicada sobre todo comparando de forma directa ambos fármacos, sugerimos que sean recogidos en el documento de evaluación los tres estudios publicados, descritos a continuación:</w:t>
            </w:r>
          </w:p>
          <w:p w:rsidR="00A43D05" w:rsidRPr="00683AE2" w:rsidRDefault="00A43D05" w:rsidP="00A43D05">
            <w:pPr>
              <w:pStyle w:val="Prrafodelista"/>
              <w:ind w:left="0"/>
              <w:jc w:val="both"/>
              <w:rPr>
                <w:rFonts w:ascii="Arial Narrow" w:hAnsi="Arial Narrow" w:cs="Arial"/>
                <w:sz w:val="16"/>
                <w:szCs w:val="16"/>
                <w:lang w:eastAsia="es-ES"/>
              </w:rPr>
            </w:pPr>
            <w:r w:rsidRPr="00683AE2">
              <w:rPr>
                <w:rFonts w:ascii="Arial Narrow" w:hAnsi="Arial Narrow" w:cs="Arial"/>
                <w:sz w:val="16"/>
                <w:szCs w:val="16"/>
                <w:lang w:eastAsia="es-ES"/>
              </w:rPr>
              <w:t>Bibliografía:</w:t>
            </w:r>
          </w:p>
          <w:p w:rsidR="00A43D05" w:rsidRPr="00683AE2" w:rsidRDefault="00A43D05" w:rsidP="00D15B99">
            <w:pPr>
              <w:pStyle w:val="Prrafodelista"/>
              <w:numPr>
                <w:ilvl w:val="0"/>
                <w:numId w:val="30"/>
              </w:numPr>
              <w:jc w:val="both"/>
              <w:rPr>
                <w:rFonts w:ascii="Arial Narrow" w:hAnsi="Arial Narrow" w:cs="Arial"/>
                <w:sz w:val="16"/>
                <w:szCs w:val="16"/>
                <w:lang w:val="en-GB" w:eastAsia="es-ES"/>
              </w:rPr>
            </w:pPr>
            <w:r w:rsidRPr="00683AE2">
              <w:rPr>
                <w:rFonts w:ascii="Arial Narrow" w:hAnsi="Arial Narrow" w:cs="Arial"/>
                <w:sz w:val="16"/>
                <w:szCs w:val="16"/>
                <w:lang w:val="en-GB" w:eastAsia="es-ES"/>
              </w:rPr>
              <w:t xml:space="preserve">Rydzewska HM. et al. Adding abiraterone to androgen deprivation therapy in men with metastatic hormone-sensitive prostate cancer: A systematic review and meta-analysis. European Journal of Cancer 84 (2017) 88-101. </w:t>
            </w:r>
          </w:p>
          <w:p w:rsidR="00A43D05" w:rsidRPr="00683AE2" w:rsidRDefault="00A43D05" w:rsidP="00A43D05">
            <w:pPr>
              <w:pStyle w:val="Prrafodelista"/>
              <w:numPr>
                <w:ilvl w:val="0"/>
                <w:numId w:val="30"/>
              </w:numPr>
              <w:suppressAutoHyphens w:val="0"/>
              <w:autoSpaceDE w:val="0"/>
              <w:autoSpaceDN w:val="0"/>
              <w:adjustRightInd w:val="0"/>
              <w:jc w:val="both"/>
              <w:rPr>
                <w:rFonts w:ascii="Arial Narrow" w:hAnsi="Arial Narrow" w:cs="Arial"/>
                <w:sz w:val="16"/>
                <w:szCs w:val="16"/>
                <w:lang w:val="en-GB" w:eastAsia="es-ES"/>
              </w:rPr>
            </w:pPr>
            <w:r w:rsidRPr="00683AE2">
              <w:rPr>
                <w:rFonts w:ascii="Arial Narrow" w:hAnsi="Arial Narrow" w:cs="Arial"/>
                <w:sz w:val="16"/>
                <w:szCs w:val="16"/>
                <w:lang w:val="en-GB" w:eastAsia="es-ES"/>
              </w:rPr>
              <w:t>Aoun et al.The optimal treatment of metastatic hormone-naive prostate cancer: abiraterone acetate or docetaxel?. Future Oncology: 2017-0445, 2017.</w:t>
            </w:r>
          </w:p>
          <w:p w:rsidR="00A43D05" w:rsidRPr="00683AE2" w:rsidRDefault="00A43D05" w:rsidP="00A43D05">
            <w:pPr>
              <w:pStyle w:val="Prrafodelista"/>
              <w:numPr>
                <w:ilvl w:val="0"/>
                <w:numId w:val="30"/>
              </w:numPr>
              <w:suppressAutoHyphens w:val="0"/>
              <w:autoSpaceDN w:val="0"/>
              <w:adjustRightInd w:val="0"/>
              <w:ind w:left="714" w:hanging="357"/>
              <w:jc w:val="both"/>
              <w:rPr>
                <w:rFonts w:ascii="Arial Narrow" w:hAnsi="Arial Narrow" w:cs="Arial"/>
                <w:sz w:val="16"/>
                <w:szCs w:val="16"/>
                <w:lang w:val="en-GB" w:eastAsia="es-ES"/>
              </w:rPr>
            </w:pPr>
            <w:r w:rsidRPr="00683AE2">
              <w:rPr>
                <w:rFonts w:ascii="Arial Narrow" w:hAnsi="Arial Narrow" w:cs="Arial"/>
                <w:sz w:val="16"/>
                <w:szCs w:val="16"/>
                <w:lang w:val="en-GB" w:eastAsia="es-ES"/>
              </w:rPr>
              <w:t>Kassen et al. Abiraterone acetate/androgen deprivation therapy combination versus docetaxel/androgen deprivation therapy combination in advanced hormone-sensitive prostate cancer: a network meta-analysis on safety and efficacy. Current Medial Research and Opinion, 34: 903-910, 2018</w:t>
            </w:r>
          </w:p>
          <w:p w:rsidR="00310032" w:rsidRPr="00683AE2" w:rsidRDefault="00310032" w:rsidP="00310032">
            <w:pPr>
              <w:pStyle w:val="Prrafodelista"/>
              <w:suppressAutoHyphens w:val="0"/>
              <w:autoSpaceDN w:val="0"/>
              <w:adjustRightInd w:val="0"/>
              <w:jc w:val="both"/>
              <w:rPr>
                <w:rFonts w:ascii="Arial Narrow" w:hAnsi="Arial Narrow" w:cs="Arial"/>
                <w:sz w:val="16"/>
                <w:szCs w:val="16"/>
                <w:lang w:val="en-GB" w:eastAsia="es-ES"/>
              </w:rPr>
            </w:pPr>
          </w:p>
          <w:p w:rsidR="00310032" w:rsidRPr="00683AE2" w:rsidRDefault="00310032" w:rsidP="00310032">
            <w:pPr>
              <w:pStyle w:val="Prrafodelista"/>
              <w:suppressAutoHyphens w:val="0"/>
              <w:autoSpaceDN w:val="0"/>
              <w:adjustRightInd w:val="0"/>
              <w:jc w:val="both"/>
              <w:rPr>
                <w:rFonts w:ascii="Arial Narrow" w:hAnsi="Arial Narrow" w:cs="Arial"/>
                <w:sz w:val="16"/>
                <w:szCs w:val="16"/>
                <w:lang w:val="en-GB" w:eastAsia="es-ES"/>
              </w:rPr>
            </w:pPr>
          </w:p>
          <w:p w:rsidR="00310032" w:rsidRPr="00683AE2" w:rsidRDefault="00310032" w:rsidP="00310032">
            <w:pPr>
              <w:pStyle w:val="Prrafodelista"/>
              <w:suppressAutoHyphens w:val="0"/>
              <w:autoSpaceDN w:val="0"/>
              <w:adjustRightInd w:val="0"/>
              <w:jc w:val="both"/>
              <w:rPr>
                <w:rFonts w:ascii="Arial Narrow" w:hAnsi="Arial Narrow" w:cs="Arial"/>
                <w:sz w:val="16"/>
                <w:szCs w:val="16"/>
                <w:lang w:val="en-GB" w:eastAsia="es-ES"/>
              </w:rPr>
            </w:pPr>
          </w:p>
          <w:p w:rsidR="00A43D05" w:rsidRPr="00683AE2" w:rsidRDefault="00A43D05" w:rsidP="00A43D05">
            <w:pPr>
              <w:pStyle w:val="Textoindependiente2"/>
              <w:spacing w:after="0" w:line="240" w:lineRule="auto"/>
              <w:rPr>
                <w:rFonts w:ascii="Arial Narrow" w:hAnsi="Arial Narrow" w:cs="Arial"/>
                <w:sz w:val="16"/>
                <w:szCs w:val="16"/>
              </w:rPr>
            </w:pPr>
            <w:r w:rsidRPr="00683AE2">
              <w:rPr>
                <w:rFonts w:ascii="Arial Narrow" w:hAnsi="Arial Narrow" w:cs="Arial"/>
                <w:sz w:val="16"/>
                <w:szCs w:val="16"/>
              </w:rPr>
              <w:t>4. Motivo de la puntualización:</w:t>
            </w:r>
          </w:p>
          <w:p w:rsidR="00A43D05" w:rsidRPr="00683AE2" w:rsidRDefault="00A43D05" w:rsidP="00A43D05">
            <w:pPr>
              <w:pStyle w:val="Prrafodelista"/>
              <w:suppressAutoHyphens w:val="0"/>
              <w:autoSpaceDN w:val="0"/>
              <w:adjustRightInd w:val="0"/>
              <w:ind w:left="0"/>
              <w:jc w:val="both"/>
              <w:rPr>
                <w:rFonts w:ascii="Arial Narrow" w:hAnsi="Arial Narrow" w:cs="Arial"/>
                <w:sz w:val="16"/>
                <w:szCs w:val="16"/>
                <w:lang w:eastAsia="es-ES"/>
              </w:rPr>
            </w:pPr>
            <w:r w:rsidRPr="00683AE2">
              <w:rPr>
                <w:rFonts w:ascii="Arial Narrow" w:hAnsi="Arial Narrow" w:cs="Arial"/>
                <w:sz w:val="16"/>
                <w:szCs w:val="16"/>
                <w:lang w:eastAsia="es-ES"/>
              </w:rPr>
              <w:t>A nivel de seguridad, debido a la falta de comparaciones directas realizadas entre abiarterona y docetaxel, consideramos que deberían tenerse en cuenta aquella realizada por Riaz et al.  en la que se compara de manera indirecta el perfil de seguridad de ambos fármacos.</w:t>
            </w:r>
          </w:p>
          <w:p w:rsidR="00A43D05" w:rsidRPr="00683AE2" w:rsidRDefault="00A43D05" w:rsidP="00A43D05">
            <w:pPr>
              <w:pStyle w:val="Prrafodelista"/>
              <w:suppressAutoHyphens w:val="0"/>
              <w:autoSpaceDN w:val="0"/>
              <w:adjustRightInd w:val="0"/>
              <w:ind w:left="0"/>
              <w:jc w:val="both"/>
              <w:rPr>
                <w:rFonts w:ascii="Arial Narrow" w:hAnsi="Arial Narrow" w:cs="Arial"/>
                <w:sz w:val="16"/>
                <w:szCs w:val="16"/>
                <w:lang w:eastAsia="es-ES"/>
              </w:rPr>
            </w:pPr>
            <w:r w:rsidRPr="00683AE2">
              <w:rPr>
                <w:rFonts w:ascii="Arial Narrow" w:hAnsi="Arial Narrow" w:cs="Arial"/>
                <w:sz w:val="16"/>
                <w:szCs w:val="16"/>
                <w:lang w:eastAsia="es-ES"/>
              </w:rPr>
              <w:t>Sugerimos que sea incluido el metaanálsis de Riaz et al., descrito a continuación:</w:t>
            </w:r>
          </w:p>
          <w:p w:rsidR="00A43D05" w:rsidRPr="00683AE2" w:rsidRDefault="00A43D05" w:rsidP="00A43D05">
            <w:pPr>
              <w:pStyle w:val="Prrafodelista"/>
              <w:suppressAutoHyphens w:val="0"/>
              <w:autoSpaceDN w:val="0"/>
              <w:adjustRightInd w:val="0"/>
              <w:ind w:left="0"/>
              <w:jc w:val="both"/>
              <w:rPr>
                <w:rFonts w:ascii="Arial Narrow" w:hAnsi="Arial Narrow" w:cs="Arial"/>
                <w:sz w:val="16"/>
                <w:szCs w:val="16"/>
                <w:lang w:eastAsia="es-ES"/>
              </w:rPr>
            </w:pPr>
            <w:r w:rsidRPr="00683AE2">
              <w:rPr>
                <w:rFonts w:ascii="Arial Narrow" w:hAnsi="Arial Narrow" w:cs="Arial"/>
                <w:sz w:val="16"/>
                <w:szCs w:val="16"/>
                <w:lang w:eastAsia="es-ES"/>
              </w:rPr>
              <w:t xml:space="preserve">Se llevó a cabo una revisión sistemática y un metaánalisis con 5 estudios:  CHAARTED, GETUG-15, STAPEDE -brazo de docetaxel y brazo de abiraterona-, LATITUDE. Los resultados obtenidos mostraron que abiraterona tenía, significativamente menos eventos de anemia (OR=0,14, 95%IC: 0,08-0,23), neutropenia (OR=0,06, 95%IC: 0,03-0,12), nauseas (OR=0,09, 95%IC: 0,02-0,24), diarrea (OR=0,06, 95%IC: 0,02-0,15), estreñimiento (OR=0,25, 95%IC: 0,11-0,53) y fatiga (OR=0,12, 95%IC: 0,07-0,20). Sin embargo, presentaba más sofocos (OR=3,85, 95%IC: 2,33-6,25). Ante las diferencias significativas y debido a la falta de comparaciones directas entre ambos fármacos, se puede afirmar que abiraterona+TDA tiene más probabilidad de ser superior en seguridad que docetaxel. </w:t>
            </w:r>
          </w:p>
          <w:p w:rsidR="00A43D05" w:rsidRPr="00683AE2" w:rsidRDefault="00A43D05" w:rsidP="00A43D05">
            <w:pPr>
              <w:pStyle w:val="Prrafodelista"/>
              <w:ind w:left="0"/>
              <w:jc w:val="both"/>
              <w:rPr>
                <w:rFonts w:ascii="Arial Narrow" w:hAnsi="Arial Narrow" w:cs="Arial"/>
                <w:sz w:val="16"/>
                <w:szCs w:val="16"/>
                <w:lang w:eastAsia="es-ES"/>
              </w:rPr>
            </w:pPr>
            <w:r w:rsidRPr="00683AE2">
              <w:rPr>
                <w:rFonts w:ascii="Arial Narrow" w:hAnsi="Arial Narrow" w:cs="Arial"/>
                <w:sz w:val="16"/>
                <w:szCs w:val="16"/>
                <w:lang w:eastAsia="es-ES"/>
              </w:rPr>
              <w:t>Bibliografía:</w:t>
            </w:r>
          </w:p>
          <w:p w:rsidR="00A43D05" w:rsidRPr="00683AE2" w:rsidRDefault="00A43D05" w:rsidP="00A43D05">
            <w:pPr>
              <w:pStyle w:val="Prrafodelista"/>
              <w:numPr>
                <w:ilvl w:val="0"/>
                <w:numId w:val="31"/>
              </w:numPr>
              <w:jc w:val="both"/>
              <w:rPr>
                <w:rFonts w:ascii="Arial Narrow" w:hAnsi="Arial Narrow" w:cs="Arial"/>
                <w:sz w:val="16"/>
                <w:szCs w:val="16"/>
                <w:lang w:val="en-GB" w:eastAsia="es-ES"/>
              </w:rPr>
            </w:pPr>
            <w:r w:rsidRPr="00683AE2">
              <w:rPr>
                <w:rFonts w:ascii="Arial Narrow" w:hAnsi="Arial Narrow" w:cs="Arial"/>
                <w:sz w:val="16"/>
                <w:szCs w:val="16"/>
                <w:lang w:val="en-GB" w:eastAsia="es-ES"/>
              </w:rPr>
              <w:t>Riaz et al. Abiraterone acetate (AA) or docetaxel (D) in metastatic castration-sensitive prostate cancer (mCSPC): a systematic review and network meta-analysis of randomized clinical trials. Journal of Clinical Oncology, 36(suppl 6S; abstr 243); ASCO GU, 2018</w:t>
            </w:r>
          </w:p>
        </w:tc>
        <w:tc>
          <w:tcPr>
            <w:tcW w:w="5953" w:type="dxa"/>
          </w:tcPr>
          <w:p w:rsidR="00310032" w:rsidRPr="00683AE2" w:rsidRDefault="00310032" w:rsidP="00A43D05">
            <w:pPr>
              <w:rPr>
                <w:rFonts w:ascii="Arial Narrow" w:hAnsi="Arial Narrow" w:cs="Arial"/>
                <w:sz w:val="16"/>
                <w:szCs w:val="16"/>
                <w:lang w:val="en-GB"/>
              </w:rPr>
            </w:pPr>
          </w:p>
          <w:p w:rsidR="00310032" w:rsidRPr="00683AE2" w:rsidRDefault="00310032" w:rsidP="00A43D05">
            <w:pPr>
              <w:rPr>
                <w:rFonts w:ascii="Arial Narrow" w:hAnsi="Arial Narrow" w:cs="Arial"/>
                <w:sz w:val="16"/>
                <w:szCs w:val="16"/>
                <w:lang w:val="en-GB"/>
              </w:rPr>
            </w:pPr>
          </w:p>
          <w:p w:rsidR="00310032" w:rsidRPr="00683AE2" w:rsidRDefault="00310032" w:rsidP="00A43D05">
            <w:pPr>
              <w:rPr>
                <w:rFonts w:ascii="Arial Narrow" w:hAnsi="Arial Narrow" w:cs="Arial"/>
                <w:sz w:val="16"/>
                <w:szCs w:val="16"/>
                <w:lang w:val="en-GB"/>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1. Se acepta y se modifica el texto.</w:t>
            </w:r>
          </w:p>
          <w:p w:rsidR="00A43D05" w:rsidRPr="00683AE2" w:rsidRDefault="00A43D05"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r w:rsidRPr="00683AE2">
              <w:rPr>
                <w:rFonts w:ascii="Arial Narrow" w:hAnsi="Arial Narrow" w:cs="Arial"/>
                <w:sz w:val="16"/>
                <w:szCs w:val="16"/>
              </w:rPr>
              <w:t>2. Nos referimos al ensayo LATITUDE, no al epar. Aún así se ha consultado el enlace que incluyen y el epar y no se ha encontrado dicha información.</w:t>
            </w: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A43D05" w:rsidRPr="00683AE2" w:rsidRDefault="00A43D05" w:rsidP="00A43D05">
            <w:pPr>
              <w:rPr>
                <w:rFonts w:ascii="Arial Narrow" w:hAnsi="Arial Narrow" w:cs="Arial"/>
                <w:sz w:val="16"/>
                <w:szCs w:val="16"/>
              </w:rPr>
            </w:pPr>
          </w:p>
          <w:p w:rsidR="00A43D05" w:rsidRPr="00683AE2" w:rsidRDefault="00A43D05" w:rsidP="00A43D05">
            <w:pPr>
              <w:rPr>
                <w:rFonts w:ascii="Arial Narrow" w:hAnsi="Arial Narrow" w:cs="Arial"/>
                <w:b/>
                <w:color w:val="FF0000"/>
                <w:sz w:val="16"/>
                <w:szCs w:val="16"/>
              </w:rPr>
            </w:pPr>
            <w:r w:rsidRPr="00683AE2">
              <w:rPr>
                <w:rFonts w:ascii="Arial Narrow" w:hAnsi="Arial Narrow" w:cs="Arial"/>
                <w:sz w:val="16"/>
                <w:szCs w:val="16"/>
              </w:rPr>
              <w:t xml:space="preserve">3. </w:t>
            </w:r>
            <w:r w:rsidR="00A42A3B" w:rsidRPr="00683AE2">
              <w:rPr>
                <w:rFonts w:ascii="Arial Narrow" w:hAnsi="Arial Narrow" w:cs="Arial"/>
                <w:sz w:val="16"/>
                <w:szCs w:val="16"/>
              </w:rPr>
              <w:t xml:space="preserve">Se acepta y se </w:t>
            </w:r>
            <w:r w:rsidRPr="00683AE2">
              <w:rPr>
                <w:rFonts w:ascii="Arial Narrow" w:hAnsi="Arial Narrow" w:cs="Arial"/>
                <w:sz w:val="16"/>
                <w:szCs w:val="16"/>
              </w:rPr>
              <w:t xml:space="preserve">actualiza la búsqueda de información </w:t>
            </w:r>
            <w:r w:rsidR="00A42A3B" w:rsidRPr="00683AE2">
              <w:rPr>
                <w:rFonts w:ascii="Arial Narrow" w:hAnsi="Arial Narrow" w:cs="Arial"/>
                <w:sz w:val="16"/>
                <w:szCs w:val="16"/>
              </w:rPr>
              <w:t xml:space="preserve">con </w:t>
            </w:r>
            <w:r w:rsidRPr="00683AE2">
              <w:rPr>
                <w:rFonts w:ascii="Arial Narrow" w:hAnsi="Arial Narrow" w:cs="Arial"/>
                <w:sz w:val="16"/>
                <w:szCs w:val="16"/>
              </w:rPr>
              <w:t xml:space="preserve">fecha actualizada. El primer estudio al que se refieren se basa únicamente en un network metaánalisis de abiraterona y no incluye docetaxel en su comparación. </w:t>
            </w:r>
          </w:p>
          <w:p w:rsidR="00A43D05" w:rsidRPr="00683AE2" w:rsidRDefault="00A43D05" w:rsidP="00A43D05">
            <w:pPr>
              <w:rPr>
                <w:rFonts w:ascii="Arial Narrow" w:hAnsi="Arial Narrow" w:cs="Arial"/>
                <w:b/>
                <w:color w:val="FF0000"/>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310032" w:rsidRPr="00683AE2" w:rsidRDefault="00310032" w:rsidP="00A43D05">
            <w:pPr>
              <w:rPr>
                <w:rFonts w:ascii="Arial Narrow" w:hAnsi="Arial Narrow" w:cs="Arial"/>
                <w:sz w:val="16"/>
                <w:szCs w:val="16"/>
              </w:rPr>
            </w:pPr>
          </w:p>
          <w:p w:rsidR="00A43D05" w:rsidRPr="00701D85" w:rsidRDefault="00A43D05" w:rsidP="00A43D05">
            <w:pPr>
              <w:rPr>
                <w:rFonts w:ascii="Arial Narrow" w:hAnsi="Arial Narrow" w:cs="Arial"/>
                <w:sz w:val="16"/>
                <w:szCs w:val="16"/>
              </w:rPr>
            </w:pPr>
            <w:r w:rsidRPr="00683AE2">
              <w:rPr>
                <w:rFonts w:ascii="Arial Narrow" w:hAnsi="Arial Narrow" w:cs="Arial"/>
                <w:sz w:val="16"/>
                <w:szCs w:val="16"/>
              </w:rPr>
              <w:t>4.</w:t>
            </w:r>
            <w:r w:rsidRPr="00683AE2">
              <w:rPr>
                <w:rFonts w:ascii="Arial Narrow" w:hAnsi="Arial Narrow" w:cs="Arial"/>
                <w:b/>
                <w:color w:val="FF0000"/>
                <w:sz w:val="16"/>
                <w:szCs w:val="16"/>
              </w:rPr>
              <w:t xml:space="preserve"> </w:t>
            </w:r>
            <w:r w:rsidRPr="00683AE2">
              <w:rPr>
                <w:rFonts w:ascii="Arial Narrow" w:hAnsi="Arial Narrow" w:cs="Arial"/>
                <w:sz w:val="16"/>
                <w:szCs w:val="16"/>
              </w:rPr>
              <w:t>Se rechaza. Existe un sesgo importante en la realización de esta comparación indirecta en términos de seguridad ya que la forma en que se han recogido los eventos adversos en los distintos ensayos clínicos difiere mucho, encontrándose diferencias sustancialmente significativas en la tasa de eventos adversos Grado 3-5 en el brazo control (TDA en monoterapia).</w:t>
            </w:r>
          </w:p>
        </w:tc>
      </w:tr>
    </w:tbl>
    <w:p w:rsidR="00A43D05" w:rsidRPr="001C0B2C" w:rsidRDefault="00A43D05" w:rsidP="00A43D05">
      <w:pPr>
        <w:rPr>
          <w:rFonts w:ascii="Arial Narrow" w:hAnsi="Arial Narrow"/>
        </w:rPr>
      </w:pPr>
    </w:p>
    <w:p w:rsidR="00A43D05" w:rsidRPr="001C0B2C" w:rsidRDefault="00A43D05" w:rsidP="00A43D05">
      <w:pPr>
        <w:rPr>
          <w:rFonts w:ascii="Arial Narrow" w:hAnsi="Arial Narrow" w:cs="Arial"/>
          <w:sz w:val="16"/>
          <w:szCs w:val="16"/>
        </w:rPr>
      </w:pPr>
      <w:r w:rsidRPr="001C0B2C">
        <w:rPr>
          <w:rFonts w:ascii="Arial Narrow" w:hAnsi="Arial Narrow" w:cs="Arial"/>
          <w:sz w:val="16"/>
          <w:szCs w:val="16"/>
        </w:rPr>
        <w:t>NOTA. Las alegaciones pueden servir para corregir o no el borrador, o para realizar aclaraciones en el mismo que faciliten la comprensión del ítem que se trate. En cualquier caso, en el cuadro de respuesta, el tutor tratará de dar una explicación justificada de por qué se modifican o mantienen los puntos sobre los que versa la propuesta. Para facilitar su análisis, algunas propuestas se pueden separar en varios cuadros. En los cuadros, respetar el tipo de letra Arial Narrow 8.</w:t>
      </w:r>
    </w:p>
    <w:p w:rsidR="00A43D05" w:rsidRPr="001C0B2C" w:rsidRDefault="00A43D05" w:rsidP="00A43D05">
      <w:pPr>
        <w:rPr>
          <w:rFonts w:ascii="Arial Narrow" w:hAnsi="Arial Narrow" w:cs="Arial"/>
          <w:sz w:val="16"/>
          <w:szCs w:val="16"/>
        </w:rPr>
      </w:pPr>
    </w:p>
    <w:p w:rsidR="00A43D05" w:rsidRPr="001C0B2C" w:rsidRDefault="00A43D05" w:rsidP="00A43D05">
      <w:pPr>
        <w:rPr>
          <w:rFonts w:ascii="Arial Narrow" w:hAnsi="Arial Narrow"/>
        </w:rPr>
      </w:pPr>
    </w:p>
    <w:p w:rsidR="00A43D05" w:rsidRDefault="00A43D05">
      <w:pPr>
        <w:snapToGrid w:val="0"/>
        <w:jc w:val="both"/>
      </w:pPr>
    </w:p>
    <w:sectPr w:rsidR="00A43D05" w:rsidSect="007906EB">
      <w:pgSz w:w="16838" w:h="11906" w:orient="landscape" w:code="9"/>
      <w:pgMar w:top="1701" w:right="1418" w:bottom="1701"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98E" w:rsidRDefault="000D398E">
      <w:r>
        <w:separator/>
      </w:r>
    </w:p>
  </w:endnote>
  <w:endnote w:type="continuationSeparator" w:id="0">
    <w:p w:rsidR="000D398E" w:rsidRDefault="000D398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ZMIPA+HelveticaNeue-Medium">
    <w:altName w:val="Helvetica Neue"/>
    <w:charset w:val="00"/>
    <w:family w:val="swiss"/>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ZYYKLI+TimesTen-Roman">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BIQZG+HelveticaNeue-Light">
    <w:altName w:val="Helvetica Neue"/>
    <w:charset w:val="00"/>
    <w:family w:val="swiss"/>
    <w:pitch w:val="default"/>
    <w:sig w:usb0="00000003" w:usb1="00000000" w:usb2="00000000" w:usb3="00000000" w:csb0="00000001" w:csb1="00000000"/>
  </w:font>
  <w:font w:name="GNQAFU+HelveticaNeue-Black">
    <w:altName w:val="Calibri"/>
    <w:charset w:val="00"/>
    <w:family w:val="swiss"/>
    <w:pitch w:val="default"/>
    <w:sig w:usb0="00000003" w:usb1="00000000" w:usb2="00000000" w:usb3="00000000" w:csb0="00000001" w:csb1="00000000"/>
  </w:font>
  <w:font w:name="Liberation Mono">
    <w:altName w:val="Calibri"/>
    <w:charset w:val="00"/>
    <w:family w:val="modern"/>
    <w:pitch w:val="fixed"/>
    <w:sig w:usb0="E0001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inherit">
    <w:altName w:val="Cambria"/>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62" w:rsidRDefault="00FC0B62">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98E" w:rsidRDefault="000D398E">
      <w:r>
        <w:separator/>
      </w:r>
    </w:p>
  </w:footnote>
  <w:footnote w:type="continuationSeparator" w:id="0">
    <w:p w:rsidR="000D398E" w:rsidRDefault="000D3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68"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70" w:type="dxa"/>
        <w:right w:w="70" w:type="dxa"/>
      </w:tblCellMar>
      <w:tblLook w:val="0000"/>
    </w:tblPr>
    <w:tblGrid>
      <w:gridCol w:w="6480"/>
      <w:gridCol w:w="2880"/>
    </w:tblGrid>
    <w:tr w:rsidR="00FC0B62" w:rsidTr="007906EB">
      <w:trPr>
        <w:trHeight w:val="240"/>
      </w:trPr>
      <w:tc>
        <w:tcPr>
          <w:tcW w:w="6480" w:type="dxa"/>
          <w:vMerge w:val="restart"/>
          <w:tcBorders>
            <w:top w:val="single" w:sz="4" w:space="0" w:color="000000"/>
          </w:tcBorders>
          <w:vAlign w:val="center"/>
        </w:tcPr>
        <w:p w:rsidR="00FC0B62" w:rsidRPr="001C0775" w:rsidRDefault="00FC0B62" w:rsidP="00A43D05">
          <w:pPr>
            <w:pStyle w:val="Normal1"/>
            <w:tabs>
              <w:tab w:val="center" w:pos="4252"/>
              <w:tab w:val="right" w:pos="8504"/>
            </w:tabs>
            <w:rPr>
              <w:rFonts w:ascii="Verdana" w:hAnsi="Verdana" w:cs="Verdana"/>
              <w:color w:val="808080"/>
              <w:sz w:val="14"/>
              <w:szCs w:val="14"/>
            </w:rPr>
          </w:pPr>
          <w:r w:rsidRPr="001C0775">
            <w:rPr>
              <w:rFonts w:ascii="Verdana" w:hAnsi="Verdana" w:cs="Verdana"/>
              <w:b/>
              <w:bCs/>
              <w:i/>
              <w:iCs/>
              <w:color w:val="808080"/>
              <w:sz w:val="14"/>
              <w:szCs w:val="14"/>
            </w:rPr>
            <w:t>Guía Farmacoterapéutica de Hospitales de Andalucía</w:t>
          </w:r>
        </w:p>
        <w:p w:rsidR="00FC0B62" w:rsidRPr="001C0775" w:rsidRDefault="00FC0B62" w:rsidP="00A43D05">
          <w:pPr>
            <w:pStyle w:val="Normal1"/>
            <w:tabs>
              <w:tab w:val="center" w:pos="4252"/>
              <w:tab w:val="right" w:pos="8504"/>
            </w:tabs>
            <w:rPr>
              <w:rFonts w:ascii="Verdana" w:hAnsi="Verdana" w:cs="Verdana"/>
              <w:color w:val="808080"/>
              <w:sz w:val="14"/>
              <w:szCs w:val="14"/>
            </w:rPr>
          </w:pPr>
          <w:r w:rsidRPr="001C0775">
            <w:rPr>
              <w:rFonts w:ascii="Verdana" w:hAnsi="Verdana" w:cs="Verdana"/>
              <w:b/>
              <w:bCs/>
              <w:i/>
              <w:iCs/>
              <w:color w:val="808080"/>
              <w:sz w:val="14"/>
              <w:szCs w:val="14"/>
            </w:rPr>
            <w:t xml:space="preserve">Grupo Hospitalario de Evaluación de Medicamentos de Andalucía (GHEMA-SAFH)   </w:t>
          </w:r>
        </w:p>
        <w:p w:rsidR="00FC0B62" w:rsidRPr="001C0775" w:rsidRDefault="00FC0B62" w:rsidP="00A43D05">
          <w:pPr>
            <w:pStyle w:val="Normal1"/>
            <w:tabs>
              <w:tab w:val="center" w:pos="4252"/>
              <w:tab w:val="right" w:pos="8504"/>
            </w:tabs>
            <w:rPr>
              <w:rFonts w:ascii="Verdana" w:hAnsi="Verdana" w:cs="Verdana"/>
              <w:color w:val="7B7B7B"/>
              <w:sz w:val="14"/>
              <w:szCs w:val="14"/>
            </w:rPr>
          </w:pPr>
          <w:r w:rsidRPr="001C0775">
            <w:rPr>
              <w:rFonts w:ascii="Verdana" w:hAnsi="Verdana" w:cs="Verdana"/>
              <w:b/>
              <w:bCs/>
              <w:i/>
              <w:iCs/>
              <w:color w:val="808080"/>
              <w:sz w:val="14"/>
              <w:szCs w:val="14"/>
            </w:rPr>
            <w:t>Modelo de informe base: MADRE 4.0 (GENESIS)</w:t>
          </w:r>
        </w:p>
      </w:tc>
      <w:tc>
        <w:tcPr>
          <w:tcW w:w="2880" w:type="dxa"/>
          <w:tcBorders>
            <w:top w:val="single" w:sz="4" w:space="0" w:color="000000"/>
          </w:tcBorders>
          <w:vAlign w:val="center"/>
        </w:tcPr>
        <w:p w:rsidR="00FC0B62" w:rsidRPr="001C0775" w:rsidRDefault="00FC0B62" w:rsidP="00A43D05">
          <w:pPr>
            <w:pStyle w:val="Normal1"/>
            <w:tabs>
              <w:tab w:val="center" w:pos="4252"/>
              <w:tab w:val="right" w:pos="8504"/>
            </w:tabs>
            <w:jc w:val="right"/>
            <w:rPr>
              <w:rFonts w:ascii="Verdana" w:hAnsi="Verdana" w:cs="Verdana"/>
              <w:color w:val="808080"/>
              <w:sz w:val="14"/>
              <w:szCs w:val="14"/>
            </w:rPr>
          </w:pPr>
          <w:r>
            <w:rPr>
              <w:rFonts w:ascii="Verdana" w:hAnsi="Verdana" w:cs="Verdana"/>
              <w:b/>
              <w:bCs/>
              <w:i/>
              <w:iCs/>
              <w:color w:val="808080"/>
              <w:sz w:val="14"/>
              <w:szCs w:val="14"/>
            </w:rPr>
            <w:t>ABIRATERONA</w:t>
          </w:r>
        </w:p>
      </w:tc>
    </w:tr>
    <w:tr w:rsidR="00FC0B62" w:rsidTr="007906EB">
      <w:trPr>
        <w:trHeight w:val="500"/>
      </w:trPr>
      <w:tc>
        <w:tcPr>
          <w:tcW w:w="6480" w:type="dxa"/>
          <w:vMerge/>
          <w:tcBorders>
            <w:bottom w:val="single" w:sz="4" w:space="0" w:color="000000"/>
          </w:tcBorders>
          <w:vAlign w:val="center"/>
        </w:tcPr>
        <w:p w:rsidR="00FC0B62" w:rsidRPr="001C0775" w:rsidRDefault="00FC0B62" w:rsidP="00A43D05">
          <w:pPr>
            <w:pStyle w:val="Normal1"/>
            <w:tabs>
              <w:tab w:val="center" w:pos="4252"/>
              <w:tab w:val="right" w:pos="8504"/>
            </w:tabs>
            <w:spacing w:line="360" w:lineRule="auto"/>
            <w:rPr>
              <w:rFonts w:ascii="Verdana" w:hAnsi="Verdana" w:cs="Verdana"/>
              <w:color w:val="7B7B7B"/>
              <w:sz w:val="14"/>
              <w:szCs w:val="14"/>
            </w:rPr>
          </w:pPr>
        </w:p>
      </w:tc>
      <w:tc>
        <w:tcPr>
          <w:tcW w:w="2880" w:type="dxa"/>
          <w:tcBorders>
            <w:bottom w:val="single" w:sz="4" w:space="0" w:color="000000"/>
          </w:tcBorders>
          <w:vAlign w:val="center"/>
        </w:tcPr>
        <w:p w:rsidR="00FC0B62" w:rsidRPr="001C0775" w:rsidRDefault="00FC0B62" w:rsidP="00A43D05">
          <w:pPr>
            <w:pStyle w:val="Normal1"/>
            <w:tabs>
              <w:tab w:val="center" w:pos="4252"/>
              <w:tab w:val="right" w:pos="8504"/>
            </w:tabs>
            <w:jc w:val="right"/>
            <w:rPr>
              <w:rFonts w:ascii="Verdana" w:hAnsi="Verdana" w:cs="Verdana"/>
              <w:color w:val="808080"/>
              <w:sz w:val="14"/>
              <w:szCs w:val="14"/>
            </w:rPr>
          </w:pPr>
          <w:r w:rsidRPr="00A43D05">
            <w:rPr>
              <w:rFonts w:ascii="Verdana" w:hAnsi="Verdana" w:cs="Verdana"/>
              <w:b/>
              <w:bCs/>
              <w:i/>
              <w:iCs/>
              <w:color w:val="808080"/>
              <w:sz w:val="14"/>
              <w:szCs w:val="14"/>
            </w:rPr>
            <w:t>Cáncer de Próstata metastásico de alto riesgo hormono sensible</w:t>
          </w:r>
        </w:p>
      </w:tc>
    </w:tr>
  </w:tbl>
  <w:p w:rsidR="00FC0B62" w:rsidRDefault="00FC0B62">
    <w:pPr>
      <w:pStyle w:val="Encabezado"/>
      <w:rPr>
        <w:color w:val="FFFFFF"/>
      </w:rPr>
    </w:pPr>
  </w:p>
  <w:p w:rsidR="00FC0B62" w:rsidRDefault="00FC0B62">
    <w:pPr>
      <w:pStyle w:val="Encabezado"/>
      <w:rPr>
        <w:color w:va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pPr>
      <w:rPr>
        <w:rFonts w:ascii="Arial" w:hAnsi="Arial" w:cs="Arial"/>
        <w:sz w:val="20"/>
        <w:szCs w:val="20"/>
      </w:rPr>
    </w:lvl>
    <w:lvl w:ilvl="1">
      <w:start w:val="1"/>
      <w:numFmt w:val="none"/>
      <w:pStyle w:val="Ttulo2"/>
      <w:suff w:val="nothing"/>
      <w:lvlText w:val=""/>
      <w:lvlJc w:val="left"/>
      <w:pPr>
        <w:tabs>
          <w:tab w:val="num" w:pos="0"/>
        </w:tabs>
      </w:pPr>
      <w:rPr>
        <w:rFonts w:cs="Times New Roman"/>
      </w:rPr>
    </w:lvl>
    <w:lvl w:ilvl="2">
      <w:start w:val="1"/>
      <w:numFmt w:val="none"/>
      <w:pStyle w:val="Ttulo3"/>
      <w:suff w:val="nothing"/>
      <w:lvlText w:val=""/>
      <w:lvlJc w:val="left"/>
      <w:pPr>
        <w:tabs>
          <w:tab w:val="num" w:pos="0"/>
        </w:tabs>
      </w:pPr>
      <w:rPr>
        <w:rFonts w:cs="Times New Roman"/>
      </w:rPr>
    </w:lvl>
    <w:lvl w:ilvl="3">
      <w:start w:val="1"/>
      <w:numFmt w:val="none"/>
      <w:pStyle w:val="Ttulo4"/>
      <w:suff w:val="nothing"/>
      <w:lvlText w:val=""/>
      <w:lvlJc w:val="left"/>
      <w:pPr>
        <w:tabs>
          <w:tab w:val="num" w:pos="0"/>
        </w:tabs>
      </w:pPr>
      <w:rPr>
        <w:rFonts w:cs="Times New Roman"/>
      </w:rPr>
    </w:lvl>
    <w:lvl w:ilvl="4">
      <w:start w:val="1"/>
      <w:numFmt w:val="none"/>
      <w:pStyle w:val="Ttulo5"/>
      <w:suff w:val="nothing"/>
      <w:lvlText w:val=""/>
      <w:lvlJc w:val="left"/>
      <w:pPr>
        <w:tabs>
          <w:tab w:val="num" w:pos="0"/>
        </w:tabs>
      </w:pPr>
      <w:rPr>
        <w:rFonts w:cs="Times New Roman"/>
      </w:rPr>
    </w:lvl>
    <w:lvl w:ilvl="5">
      <w:start w:val="1"/>
      <w:numFmt w:val="none"/>
      <w:pStyle w:val="Ttulo6"/>
      <w:suff w:val="nothing"/>
      <w:lvlText w:val=""/>
      <w:lvlJc w:val="left"/>
      <w:pPr>
        <w:tabs>
          <w:tab w:val="num" w:pos="0"/>
        </w:tabs>
      </w:pPr>
      <w:rPr>
        <w:rFonts w:cs="Times New Roman"/>
      </w:rPr>
    </w:lvl>
    <w:lvl w:ilvl="6">
      <w:start w:val="1"/>
      <w:numFmt w:val="none"/>
      <w:pStyle w:val="Ttulo7"/>
      <w:suff w:val="nothing"/>
      <w:lvlText w:val=""/>
      <w:lvlJc w:val="left"/>
      <w:pPr>
        <w:tabs>
          <w:tab w:val="num" w:pos="0"/>
        </w:tabs>
      </w:pPr>
      <w:rPr>
        <w:rFonts w:cs="Times New Roman"/>
      </w:rPr>
    </w:lvl>
    <w:lvl w:ilvl="7">
      <w:start w:val="1"/>
      <w:numFmt w:val="none"/>
      <w:pStyle w:val="Ttulo8"/>
      <w:suff w:val="nothing"/>
      <w:lvlText w:val=""/>
      <w:lvlJc w:val="left"/>
      <w:pPr>
        <w:tabs>
          <w:tab w:val="num" w:pos="0"/>
        </w:tabs>
      </w:pPr>
      <w:rPr>
        <w:rFonts w:cs="Times New Roman"/>
      </w:rPr>
    </w:lvl>
    <w:lvl w:ilvl="8">
      <w:start w:val="1"/>
      <w:numFmt w:val="none"/>
      <w:pStyle w:val="Ttulo9"/>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ascii="Arial" w:hAnsi="Arial" w:cs="Arial"/>
        <w:sz w:val="20"/>
        <w:szCs w:val="20"/>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olor w:val="FF0000"/>
        <w:sz w:val="20"/>
      </w:rPr>
    </w:lvl>
  </w:abstractNum>
  <w:abstractNum w:abstractNumId="3">
    <w:nsid w:val="00000004"/>
    <w:multiLevelType w:val="singleLevel"/>
    <w:tmpl w:val="00000004"/>
    <w:name w:val="WW8Num4"/>
    <w:lvl w:ilvl="0">
      <w:start w:val="1"/>
      <w:numFmt w:val="bullet"/>
      <w:lvlText w:val="-"/>
      <w:lvlJc w:val="left"/>
      <w:pPr>
        <w:tabs>
          <w:tab w:val="num" w:pos="786"/>
        </w:tabs>
        <w:ind w:left="786" w:hanging="360"/>
      </w:pPr>
      <w:rPr>
        <w:rFonts w:ascii="Times New Roman" w:hAnsi="Times New Roman"/>
      </w:rPr>
    </w:lvl>
  </w:abstractNum>
  <w:abstractNum w:abstractNumId="4">
    <w:nsid w:val="00000005"/>
    <w:multiLevelType w:val="multilevel"/>
    <w:tmpl w:val="00000005"/>
    <w:name w:val="WW8Num5"/>
    <w:lvl w:ilvl="0">
      <w:start w:val="1"/>
      <w:numFmt w:val="decimal"/>
      <w:lvlText w:val="%1."/>
      <w:lvlJc w:val="left"/>
      <w:pPr>
        <w:tabs>
          <w:tab w:val="num" w:pos="707"/>
        </w:tabs>
        <w:ind w:left="707" w:hanging="283"/>
      </w:pPr>
      <w:rPr>
        <w:rFonts w:ascii="Arial" w:hAnsi="Arial" w:cs="Arial"/>
        <w:sz w:val="20"/>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rPr>
        <w:rFonts w:ascii="Arial" w:eastAsia="Times New Roman" w:hAnsi="Arial" w:cs="Arial"/>
        <w:b w:val="0"/>
        <w:bCs/>
        <w:i w:val="0"/>
        <w:caps w:val="0"/>
        <w:smallCaps w:val="0"/>
        <w:spacing w:val="0"/>
        <w:sz w:val="20"/>
        <w:szCs w:val="2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nsid w:val="0000000F"/>
    <w:multiLevelType w:val="singleLevel"/>
    <w:tmpl w:val="0000000F"/>
    <w:name w:val="WW8Num15"/>
    <w:lvl w:ilvl="0">
      <w:start w:val="1"/>
      <w:numFmt w:val="upperLetter"/>
      <w:lvlText w:val="%1)"/>
      <w:lvlJc w:val="left"/>
      <w:pPr>
        <w:tabs>
          <w:tab w:val="num" w:pos="-360"/>
        </w:tabs>
        <w:ind w:left="360" w:hanging="360"/>
      </w:pPr>
      <w:rPr>
        <w:rFonts w:cs="Times New Roman" w:hint="default"/>
      </w:rPr>
    </w:lvl>
  </w:abstractNum>
  <w:abstractNum w:abstractNumId="15">
    <w:nsid w:val="00000010"/>
    <w:multiLevelType w:val="singleLevel"/>
    <w:tmpl w:val="00000010"/>
    <w:name w:val="WW8Num16"/>
    <w:lvl w:ilvl="0">
      <w:start w:val="1"/>
      <w:numFmt w:val="bullet"/>
      <w:lvlText w:val=""/>
      <w:lvlJc w:val="left"/>
      <w:pPr>
        <w:tabs>
          <w:tab w:val="num" w:pos="0"/>
        </w:tabs>
        <w:ind w:left="720" w:hanging="360"/>
      </w:pPr>
      <w:rPr>
        <w:rFonts w:ascii="Symbol" w:hAnsi="Symbol" w:hint="default"/>
      </w:rPr>
    </w:lvl>
  </w:abstractNum>
  <w:abstractNum w:abstractNumId="16">
    <w:nsid w:val="00000011"/>
    <w:multiLevelType w:val="singleLevel"/>
    <w:tmpl w:val="00000011"/>
    <w:name w:val="WW8Num17"/>
    <w:lvl w:ilvl="0">
      <w:start w:val="1"/>
      <w:numFmt w:val="bullet"/>
      <w:lvlText w:val=""/>
      <w:lvlJc w:val="left"/>
      <w:pPr>
        <w:tabs>
          <w:tab w:val="num" w:pos="0"/>
        </w:tabs>
        <w:ind w:left="1440" w:hanging="360"/>
      </w:pPr>
      <w:rPr>
        <w:rFonts w:ascii="Symbol" w:hAnsi="Symbol" w:hint="default"/>
        <w:sz w:val="20"/>
      </w:rPr>
    </w:lvl>
  </w:abstractNum>
  <w:abstractNum w:abstractNumId="17">
    <w:nsid w:val="00000012"/>
    <w:multiLevelType w:val="singleLevel"/>
    <w:tmpl w:val="C68471B4"/>
    <w:name w:val="WW8Num18"/>
    <w:lvl w:ilvl="0">
      <w:start w:val="1"/>
      <w:numFmt w:val="lowerLetter"/>
      <w:lvlText w:val="%1)"/>
      <w:lvlJc w:val="left"/>
      <w:pPr>
        <w:tabs>
          <w:tab w:val="num" w:pos="0"/>
        </w:tabs>
        <w:ind w:left="720" w:hanging="360"/>
      </w:pPr>
      <w:rPr>
        <w:rFonts w:cs="Times New Roman" w:hint="default"/>
        <w:b w:val="0"/>
        <w:bCs/>
        <w:color w:val="auto"/>
        <w:sz w:val="20"/>
      </w:rPr>
    </w:lvl>
  </w:abstractNum>
  <w:abstractNum w:abstractNumId="18">
    <w:nsid w:val="18012089"/>
    <w:multiLevelType w:val="hybridMultilevel"/>
    <w:tmpl w:val="4FA6012E"/>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1B06727A"/>
    <w:multiLevelType w:val="hybridMultilevel"/>
    <w:tmpl w:val="895CFA2E"/>
    <w:lvl w:ilvl="0" w:tplc="6832BBAA">
      <w:start w:val="1"/>
      <w:numFmt w:val="decimal"/>
      <w:lvlText w:val="%1."/>
      <w:lvlJc w:val="left"/>
      <w:pPr>
        <w:ind w:left="720" w:hanging="360"/>
      </w:pPr>
      <w:rPr>
        <w:rFonts w:ascii="Calibri" w:hAnsi="Calibri"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EE7133"/>
    <w:multiLevelType w:val="hybridMultilevel"/>
    <w:tmpl w:val="BC64CCC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nsid w:val="3ED11907"/>
    <w:multiLevelType w:val="hybridMultilevel"/>
    <w:tmpl w:val="E44AA2F2"/>
    <w:lvl w:ilvl="0" w:tplc="D4DC7A00">
      <w:start w:val="40"/>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15F1CD3"/>
    <w:multiLevelType w:val="hybridMultilevel"/>
    <w:tmpl w:val="089EF3E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4CCB4B58"/>
    <w:multiLevelType w:val="hybridMultilevel"/>
    <w:tmpl w:val="895CFA2E"/>
    <w:lvl w:ilvl="0" w:tplc="6832BBAA">
      <w:start w:val="1"/>
      <w:numFmt w:val="decimal"/>
      <w:lvlText w:val="%1."/>
      <w:lvlJc w:val="left"/>
      <w:pPr>
        <w:ind w:left="720" w:hanging="360"/>
      </w:pPr>
      <w:rPr>
        <w:rFonts w:ascii="Calibri" w:hAnsi="Calibri"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A91032"/>
    <w:multiLevelType w:val="hybridMultilevel"/>
    <w:tmpl w:val="FBA46622"/>
    <w:lvl w:ilvl="0" w:tplc="AAF2BAD2">
      <w:start w:val="1"/>
      <w:numFmt w:val="lowerLetter"/>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50156F7C"/>
    <w:multiLevelType w:val="hybridMultilevel"/>
    <w:tmpl w:val="089EF3E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63480F2D"/>
    <w:multiLevelType w:val="hybridMultilevel"/>
    <w:tmpl w:val="DF766398"/>
    <w:lvl w:ilvl="0" w:tplc="37308F5C">
      <w:start w:val="1"/>
      <w:numFmt w:val="lowerLetter"/>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6BCD6B83"/>
    <w:multiLevelType w:val="hybridMultilevel"/>
    <w:tmpl w:val="B33EC36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nsid w:val="6C1C3220"/>
    <w:multiLevelType w:val="hybridMultilevel"/>
    <w:tmpl w:val="7752F6E4"/>
    <w:lvl w:ilvl="0" w:tplc="0C0A000F">
      <w:start w:val="1"/>
      <w:numFmt w:val="decimal"/>
      <w:lvlText w:val="%1."/>
      <w:lvlJc w:val="left"/>
      <w:pPr>
        <w:tabs>
          <w:tab w:val="num" w:pos="644"/>
        </w:tabs>
        <w:ind w:left="644"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BBF1CE7"/>
    <w:multiLevelType w:val="multilevel"/>
    <w:tmpl w:val="01DA7732"/>
    <w:lvl w:ilvl="0">
      <w:start w:val="1"/>
      <w:numFmt w:val="bullet"/>
      <w:lvlText w:val="-"/>
      <w:lvlJc w:val="left"/>
      <w:pPr>
        <w:tabs>
          <w:tab w:val="num" w:pos="720"/>
        </w:tabs>
        <w:ind w:left="720" w:hanging="360"/>
      </w:pPr>
      <w:rPr>
        <w:rFonts w:ascii="Times New Roman" w:hAnsi="Times New Roman"/>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0">
    <w:nsid w:val="7FC8789E"/>
    <w:multiLevelType w:val="multilevel"/>
    <w:tmpl w:val="FBA46622"/>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6"/>
  </w:num>
  <w:num w:numId="20">
    <w:abstractNumId w:val="24"/>
  </w:num>
  <w:num w:numId="21">
    <w:abstractNumId w:val="30"/>
  </w:num>
  <w:num w:numId="22">
    <w:abstractNumId w:val="18"/>
  </w:num>
  <w:num w:numId="23">
    <w:abstractNumId w:val="20"/>
  </w:num>
  <w:num w:numId="24">
    <w:abstractNumId w:val="29"/>
  </w:num>
  <w:num w:numId="25">
    <w:abstractNumId w:val="22"/>
  </w:num>
  <w:num w:numId="26">
    <w:abstractNumId w:val="28"/>
  </w:num>
  <w:num w:numId="27">
    <w:abstractNumId w:val="25"/>
  </w:num>
  <w:num w:numId="28">
    <w:abstractNumId w:val="27"/>
  </w:num>
  <w:num w:numId="29">
    <w:abstractNumId w:val="21"/>
  </w:num>
  <w:num w:numId="30">
    <w:abstractNumId w:val="19"/>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proofState w:grammar="clean"/>
  <w:stylePaneFormatFilter w:val="000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311C"/>
    <w:rsid w:val="00016285"/>
    <w:rsid w:val="000208C0"/>
    <w:rsid w:val="00023219"/>
    <w:rsid w:val="00031216"/>
    <w:rsid w:val="000464E1"/>
    <w:rsid w:val="0005340E"/>
    <w:rsid w:val="0005529C"/>
    <w:rsid w:val="0006048A"/>
    <w:rsid w:val="000643AF"/>
    <w:rsid w:val="0007542F"/>
    <w:rsid w:val="00082EFE"/>
    <w:rsid w:val="00085C0D"/>
    <w:rsid w:val="000862DE"/>
    <w:rsid w:val="0008716D"/>
    <w:rsid w:val="00087E4E"/>
    <w:rsid w:val="00095980"/>
    <w:rsid w:val="000A4B04"/>
    <w:rsid w:val="000A5A69"/>
    <w:rsid w:val="000D398E"/>
    <w:rsid w:val="000D6346"/>
    <w:rsid w:val="000F2F23"/>
    <w:rsid w:val="00105468"/>
    <w:rsid w:val="001161F8"/>
    <w:rsid w:val="001375BE"/>
    <w:rsid w:val="00143FB6"/>
    <w:rsid w:val="00150F3B"/>
    <w:rsid w:val="00153397"/>
    <w:rsid w:val="00162910"/>
    <w:rsid w:val="00163D65"/>
    <w:rsid w:val="00164CCD"/>
    <w:rsid w:val="0016503B"/>
    <w:rsid w:val="00167E89"/>
    <w:rsid w:val="0017169E"/>
    <w:rsid w:val="0019723E"/>
    <w:rsid w:val="001A349E"/>
    <w:rsid w:val="001B0256"/>
    <w:rsid w:val="001B143F"/>
    <w:rsid w:val="001C7F2E"/>
    <w:rsid w:val="001D0778"/>
    <w:rsid w:val="001D4DEC"/>
    <w:rsid w:val="001F1ECA"/>
    <w:rsid w:val="001F3267"/>
    <w:rsid w:val="00201DE8"/>
    <w:rsid w:val="00211199"/>
    <w:rsid w:val="002157FB"/>
    <w:rsid w:val="00222870"/>
    <w:rsid w:val="00223CE2"/>
    <w:rsid w:val="00224EA7"/>
    <w:rsid w:val="002269B8"/>
    <w:rsid w:val="00231205"/>
    <w:rsid w:val="00233B47"/>
    <w:rsid w:val="00240F95"/>
    <w:rsid w:val="002412A7"/>
    <w:rsid w:val="00243517"/>
    <w:rsid w:val="00247400"/>
    <w:rsid w:val="00252DB7"/>
    <w:rsid w:val="002533DD"/>
    <w:rsid w:val="00270D14"/>
    <w:rsid w:val="00275A91"/>
    <w:rsid w:val="00284465"/>
    <w:rsid w:val="00286107"/>
    <w:rsid w:val="00291844"/>
    <w:rsid w:val="00296789"/>
    <w:rsid w:val="002A0AD3"/>
    <w:rsid w:val="002A0CAE"/>
    <w:rsid w:val="002B37FD"/>
    <w:rsid w:val="002B7E11"/>
    <w:rsid w:val="002C04AC"/>
    <w:rsid w:val="002C4335"/>
    <w:rsid w:val="002C514F"/>
    <w:rsid w:val="002D3A49"/>
    <w:rsid w:val="002E0BF5"/>
    <w:rsid w:val="002E20BD"/>
    <w:rsid w:val="002E254C"/>
    <w:rsid w:val="002E614B"/>
    <w:rsid w:val="002F02D9"/>
    <w:rsid w:val="003015B5"/>
    <w:rsid w:val="00304333"/>
    <w:rsid w:val="00304A01"/>
    <w:rsid w:val="00310032"/>
    <w:rsid w:val="00315BC0"/>
    <w:rsid w:val="00316A3E"/>
    <w:rsid w:val="003209BF"/>
    <w:rsid w:val="003241D1"/>
    <w:rsid w:val="0032657F"/>
    <w:rsid w:val="00340729"/>
    <w:rsid w:val="00354F3F"/>
    <w:rsid w:val="00355167"/>
    <w:rsid w:val="0035640B"/>
    <w:rsid w:val="00362377"/>
    <w:rsid w:val="00382F34"/>
    <w:rsid w:val="003916FC"/>
    <w:rsid w:val="003942FC"/>
    <w:rsid w:val="00394661"/>
    <w:rsid w:val="003950AC"/>
    <w:rsid w:val="00396193"/>
    <w:rsid w:val="003963BA"/>
    <w:rsid w:val="003A3BD7"/>
    <w:rsid w:val="003C3BF6"/>
    <w:rsid w:val="003D083A"/>
    <w:rsid w:val="003D70B9"/>
    <w:rsid w:val="003E0DA4"/>
    <w:rsid w:val="003E18B6"/>
    <w:rsid w:val="003F0BF6"/>
    <w:rsid w:val="003F271D"/>
    <w:rsid w:val="00401FC2"/>
    <w:rsid w:val="00406AFC"/>
    <w:rsid w:val="00407938"/>
    <w:rsid w:val="00415B8A"/>
    <w:rsid w:val="004175FD"/>
    <w:rsid w:val="00417F5B"/>
    <w:rsid w:val="00424A6E"/>
    <w:rsid w:val="004275FF"/>
    <w:rsid w:val="00433F74"/>
    <w:rsid w:val="00433FF5"/>
    <w:rsid w:val="00436FB7"/>
    <w:rsid w:val="00440BBB"/>
    <w:rsid w:val="00444068"/>
    <w:rsid w:val="00444E52"/>
    <w:rsid w:val="00455BE9"/>
    <w:rsid w:val="00461084"/>
    <w:rsid w:val="00466250"/>
    <w:rsid w:val="00466DD3"/>
    <w:rsid w:val="00466EF7"/>
    <w:rsid w:val="00477B7D"/>
    <w:rsid w:val="00482F45"/>
    <w:rsid w:val="004841D4"/>
    <w:rsid w:val="004A3A8D"/>
    <w:rsid w:val="004B58D8"/>
    <w:rsid w:val="004C221E"/>
    <w:rsid w:val="004C27E3"/>
    <w:rsid w:val="004C7628"/>
    <w:rsid w:val="004D0B16"/>
    <w:rsid w:val="004D2E32"/>
    <w:rsid w:val="004D7F06"/>
    <w:rsid w:val="004E4D83"/>
    <w:rsid w:val="004E6269"/>
    <w:rsid w:val="004E782D"/>
    <w:rsid w:val="004F11F1"/>
    <w:rsid w:val="005013C9"/>
    <w:rsid w:val="00503BDD"/>
    <w:rsid w:val="0050448E"/>
    <w:rsid w:val="005065FF"/>
    <w:rsid w:val="00507935"/>
    <w:rsid w:val="005120EB"/>
    <w:rsid w:val="00516E22"/>
    <w:rsid w:val="005233A8"/>
    <w:rsid w:val="00527540"/>
    <w:rsid w:val="00535608"/>
    <w:rsid w:val="0054654F"/>
    <w:rsid w:val="005553DE"/>
    <w:rsid w:val="005609CD"/>
    <w:rsid w:val="0056194E"/>
    <w:rsid w:val="00563C09"/>
    <w:rsid w:val="00573E3C"/>
    <w:rsid w:val="00577AB2"/>
    <w:rsid w:val="00581D32"/>
    <w:rsid w:val="00585BFE"/>
    <w:rsid w:val="005875CD"/>
    <w:rsid w:val="00591DD1"/>
    <w:rsid w:val="00592076"/>
    <w:rsid w:val="00594DBE"/>
    <w:rsid w:val="00596BAD"/>
    <w:rsid w:val="005A2C83"/>
    <w:rsid w:val="005C0147"/>
    <w:rsid w:val="005C0D0A"/>
    <w:rsid w:val="005C45C1"/>
    <w:rsid w:val="005C69E6"/>
    <w:rsid w:val="005C6AF8"/>
    <w:rsid w:val="005D699D"/>
    <w:rsid w:val="005E0F1D"/>
    <w:rsid w:val="005E34D0"/>
    <w:rsid w:val="005E3583"/>
    <w:rsid w:val="005F78A0"/>
    <w:rsid w:val="00603973"/>
    <w:rsid w:val="0060687B"/>
    <w:rsid w:val="006116DA"/>
    <w:rsid w:val="0062347F"/>
    <w:rsid w:val="00627DE0"/>
    <w:rsid w:val="00631B94"/>
    <w:rsid w:val="0063474A"/>
    <w:rsid w:val="00652975"/>
    <w:rsid w:val="00680CAC"/>
    <w:rsid w:val="00683AE2"/>
    <w:rsid w:val="0068466A"/>
    <w:rsid w:val="00691C40"/>
    <w:rsid w:val="0069231B"/>
    <w:rsid w:val="00692A97"/>
    <w:rsid w:val="0069477D"/>
    <w:rsid w:val="0069690D"/>
    <w:rsid w:val="006A311C"/>
    <w:rsid w:val="006A4550"/>
    <w:rsid w:val="006A713C"/>
    <w:rsid w:val="006A75D5"/>
    <w:rsid w:val="006A7956"/>
    <w:rsid w:val="006C3687"/>
    <w:rsid w:val="006C36D8"/>
    <w:rsid w:val="006C730E"/>
    <w:rsid w:val="006D5C3C"/>
    <w:rsid w:val="006D7672"/>
    <w:rsid w:val="006D7D4D"/>
    <w:rsid w:val="006E63E3"/>
    <w:rsid w:val="006E7B2B"/>
    <w:rsid w:val="006F3057"/>
    <w:rsid w:val="006F435F"/>
    <w:rsid w:val="006F46BA"/>
    <w:rsid w:val="00705E5E"/>
    <w:rsid w:val="00710D2D"/>
    <w:rsid w:val="0071121B"/>
    <w:rsid w:val="00716375"/>
    <w:rsid w:val="00720B55"/>
    <w:rsid w:val="00730D01"/>
    <w:rsid w:val="00731ED8"/>
    <w:rsid w:val="00742FAB"/>
    <w:rsid w:val="00745F4D"/>
    <w:rsid w:val="00753CDA"/>
    <w:rsid w:val="00770AFE"/>
    <w:rsid w:val="00773E01"/>
    <w:rsid w:val="007906EB"/>
    <w:rsid w:val="007943C1"/>
    <w:rsid w:val="007B0488"/>
    <w:rsid w:val="007B6590"/>
    <w:rsid w:val="007C6688"/>
    <w:rsid w:val="007D3294"/>
    <w:rsid w:val="007E0C0D"/>
    <w:rsid w:val="007E21A3"/>
    <w:rsid w:val="007E5054"/>
    <w:rsid w:val="007F33EE"/>
    <w:rsid w:val="007F4038"/>
    <w:rsid w:val="008049FE"/>
    <w:rsid w:val="008056DE"/>
    <w:rsid w:val="00815489"/>
    <w:rsid w:val="00816E38"/>
    <w:rsid w:val="00817F5C"/>
    <w:rsid w:val="0082564A"/>
    <w:rsid w:val="0083280C"/>
    <w:rsid w:val="008405D6"/>
    <w:rsid w:val="008419D8"/>
    <w:rsid w:val="008503B4"/>
    <w:rsid w:val="00874DB5"/>
    <w:rsid w:val="008762CD"/>
    <w:rsid w:val="008774CB"/>
    <w:rsid w:val="00890ACE"/>
    <w:rsid w:val="00894240"/>
    <w:rsid w:val="008944C3"/>
    <w:rsid w:val="008A0048"/>
    <w:rsid w:val="008A1251"/>
    <w:rsid w:val="008A306D"/>
    <w:rsid w:val="008A4315"/>
    <w:rsid w:val="008A4397"/>
    <w:rsid w:val="008A6D86"/>
    <w:rsid w:val="008C4A33"/>
    <w:rsid w:val="008C6043"/>
    <w:rsid w:val="008D2D6A"/>
    <w:rsid w:val="008D3A26"/>
    <w:rsid w:val="008E358D"/>
    <w:rsid w:val="008F1071"/>
    <w:rsid w:val="008F6199"/>
    <w:rsid w:val="00901D24"/>
    <w:rsid w:val="009113A7"/>
    <w:rsid w:val="009115B0"/>
    <w:rsid w:val="0093193E"/>
    <w:rsid w:val="00941C72"/>
    <w:rsid w:val="00942897"/>
    <w:rsid w:val="00943F57"/>
    <w:rsid w:val="00950CA7"/>
    <w:rsid w:val="00963105"/>
    <w:rsid w:val="00963132"/>
    <w:rsid w:val="009707B2"/>
    <w:rsid w:val="00973977"/>
    <w:rsid w:val="00980F0B"/>
    <w:rsid w:val="009822E4"/>
    <w:rsid w:val="009829A6"/>
    <w:rsid w:val="00983BD6"/>
    <w:rsid w:val="009B0718"/>
    <w:rsid w:val="009B4CFB"/>
    <w:rsid w:val="009B6A9B"/>
    <w:rsid w:val="009B7959"/>
    <w:rsid w:val="009C50F2"/>
    <w:rsid w:val="009D23F6"/>
    <w:rsid w:val="009E075C"/>
    <w:rsid w:val="009E1D7E"/>
    <w:rsid w:val="009F4623"/>
    <w:rsid w:val="009F7FE3"/>
    <w:rsid w:val="00A05F92"/>
    <w:rsid w:val="00A113AF"/>
    <w:rsid w:val="00A17E89"/>
    <w:rsid w:val="00A42A3B"/>
    <w:rsid w:val="00A431D0"/>
    <w:rsid w:val="00A43D05"/>
    <w:rsid w:val="00A45C3B"/>
    <w:rsid w:val="00A50ABB"/>
    <w:rsid w:val="00A5448F"/>
    <w:rsid w:val="00A55ECE"/>
    <w:rsid w:val="00A62D19"/>
    <w:rsid w:val="00A6369C"/>
    <w:rsid w:val="00A64442"/>
    <w:rsid w:val="00A64CC3"/>
    <w:rsid w:val="00A82B3F"/>
    <w:rsid w:val="00A86AC9"/>
    <w:rsid w:val="00A975DC"/>
    <w:rsid w:val="00AA3705"/>
    <w:rsid w:val="00AA6946"/>
    <w:rsid w:val="00AC1E32"/>
    <w:rsid w:val="00AC3E0B"/>
    <w:rsid w:val="00AD17D3"/>
    <w:rsid w:val="00AD517D"/>
    <w:rsid w:val="00AD6DF6"/>
    <w:rsid w:val="00AD7DE5"/>
    <w:rsid w:val="00AE0A2B"/>
    <w:rsid w:val="00AE2F3C"/>
    <w:rsid w:val="00AE4CBA"/>
    <w:rsid w:val="00AE5AE1"/>
    <w:rsid w:val="00AE6B16"/>
    <w:rsid w:val="00AF6714"/>
    <w:rsid w:val="00B0316A"/>
    <w:rsid w:val="00B14D56"/>
    <w:rsid w:val="00B20E7B"/>
    <w:rsid w:val="00B2335C"/>
    <w:rsid w:val="00B27BC9"/>
    <w:rsid w:val="00B27F5D"/>
    <w:rsid w:val="00B30B26"/>
    <w:rsid w:val="00B31B9F"/>
    <w:rsid w:val="00B3346D"/>
    <w:rsid w:val="00B34423"/>
    <w:rsid w:val="00B34518"/>
    <w:rsid w:val="00B4204E"/>
    <w:rsid w:val="00B45E2D"/>
    <w:rsid w:val="00B54233"/>
    <w:rsid w:val="00B647B5"/>
    <w:rsid w:val="00B64E1F"/>
    <w:rsid w:val="00B654A0"/>
    <w:rsid w:val="00B77460"/>
    <w:rsid w:val="00B906DD"/>
    <w:rsid w:val="00B96356"/>
    <w:rsid w:val="00B96E28"/>
    <w:rsid w:val="00BA1D7E"/>
    <w:rsid w:val="00BA5934"/>
    <w:rsid w:val="00BA6E3A"/>
    <w:rsid w:val="00BB0FA1"/>
    <w:rsid w:val="00BB20B8"/>
    <w:rsid w:val="00BC165A"/>
    <w:rsid w:val="00BC3E86"/>
    <w:rsid w:val="00BC6223"/>
    <w:rsid w:val="00BD0D09"/>
    <w:rsid w:val="00BD3961"/>
    <w:rsid w:val="00BD3BC1"/>
    <w:rsid w:val="00BD5618"/>
    <w:rsid w:val="00BD6EBB"/>
    <w:rsid w:val="00BE4070"/>
    <w:rsid w:val="00C025C5"/>
    <w:rsid w:val="00C028B2"/>
    <w:rsid w:val="00C04E0A"/>
    <w:rsid w:val="00C06F6F"/>
    <w:rsid w:val="00C14D5A"/>
    <w:rsid w:val="00C20A61"/>
    <w:rsid w:val="00C23F0B"/>
    <w:rsid w:val="00C2575B"/>
    <w:rsid w:val="00C27F12"/>
    <w:rsid w:val="00C27FE1"/>
    <w:rsid w:val="00C30682"/>
    <w:rsid w:val="00C4231A"/>
    <w:rsid w:val="00C42976"/>
    <w:rsid w:val="00C45A23"/>
    <w:rsid w:val="00C46D09"/>
    <w:rsid w:val="00C5118D"/>
    <w:rsid w:val="00C57E0E"/>
    <w:rsid w:val="00C63482"/>
    <w:rsid w:val="00C650DE"/>
    <w:rsid w:val="00C66B08"/>
    <w:rsid w:val="00C83ADD"/>
    <w:rsid w:val="00C84240"/>
    <w:rsid w:val="00C90CAF"/>
    <w:rsid w:val="00C94539"/>
    <w:rsid w:val="00CA0653"/>
    <w:rsid w:val="00CA25B0"/>
    <w:rsid w:val="00CE2107"/>
    <w:rsid w:val="00CE3A53"/>
    <w:rsid w:val="00CE52DE"/>
    <w:rsid w:val="00D00891"/>
    <w:rsid w:val="00D0122D"/>
    <w:rsid w:val="00D038B1"/>
    <w:rsid w:val="00D038C9"/>
    <w:rsid w:val="00D07782"/>
    <w:rsid w:val="00D15B99"/>
    <w:rsid w:val="00D25182"/>
    <w:rsid w:val="00D439B3"/>
    <w:rsid w:val="00D43D28"/>
    <w:rsid w:val="00D44157"/>
    <w:rsid w:val="00D476EE"/>
    <w:rsid w:val="00D51253"/>
    <w:rsid w:val="00D63E94"/>
    <w:rsid w:val="00D65352"/>
    <w:rsid w:val="00D67803"/>
    <w:rsid w:val="00D72E50"/>
    <w:rsid w:val="00D74AAA"/>
    <w:rsid w:val="00D76C81"/>
    <w:rsid w:val="00D771ED"/>
    <w:rsid w:val="00D85789"/>
    <w:rsid w:val="00D916CB"/>
    <w:rsid w:val="00D91FAE"/>
    <w:rsid w:val="00DA1216"/>
    <w:rsid w:val="00DB17F1"/>
    <w:rsid w:val="00DB199E"/>
    <w:rsid w:val="00DB3443"/>
    <w:rsid w:val="00DB3DD7"/>
    <w:rsid w:val="00DB4C05"/>
    <w:rsid w:val="00DB5554"/>
    <w:rsid w:val="00DC1990"/>
    <w:rsid w:val="00DD5F68"/>
    <w:rsid w:val="00DE1404"/>
    <w:rsid w:val="00DE2420"/>
    <w:rsid w:val="00DE735E"/>
    <w:rsid w:val="00DE7A30"/>
    <w:rsid w:val="00DF0245"/>
    <w:rsid w:val="00DF3ED5"/>
    <w:rsid w:val="00DF4C81"/>
    <w:rsid w:val="00E05A27"/>
    <w:rsid w:val="00E2487F"/>
    <w:rsid w:val="00E331EC"/>
    <w:rsid w:val="00E40732"/>
    <w:rsid w:val="00E545B3"/>
    <w:rsid w:val="00E549C8"/>
    <w:rsid w:val="00E56ABD"/>
    <w:rsid w:val="00E577CE"/>
    <w:rsid w:val="00E6251D"/>
    <w:rsid w:val="00E71D61"/>
    <w:rsid w:val="00E7393D"/>
    <w:rsid w:val="00E740C4"/>
    <w:rsid w:val="00E8621D"/>
    <w:rsid w:val="00E86EB3"/>
    <w:rsid w:val="00E929D1"/>
    <w:rsid w:val="00EA3A8D"/>
    <w:rsid w:val="00EB1013"/>
    <w:rsid w:val="00EB221A"/>
    <w:rsid w:val="00EC3067"/>
    <w:rsid w:val="00EC751D"/>
    <w:rsid w:val="00ED07F5"/>
    <w:rsid w:val="00EE7142"/>
    <w:rsid w:val="00F14AB9"/>
    <w:rsid w:val="00F1507B"/>
    <w:rsid w:val="00F22A86"/>
    <w:rsid w:val="00F33243"/>
    <w:rsid w:val="00F33B59"/>
    <w:rsid w:val="00F4197F"/>
    <w:rsid w:val="00F50EC3"/>
    <w:rsid w:val="00F5643E"/>
    <w:rsid w:val="00F63ADA"/>
    <w:rsid w:val="00FA3E3D"/>
    <w:rsid w:val="00FA589F"/>
    <w:rsid w:val="00FA70F6"/>
    <w:rsid w:val="00FB4A84"/>
    <w:rsid w:val="00FC0B62"/>
    <w:rsid w:val="00FC6F8A"/>
    <w:rsid w:val="00FC75D5"/>
    <w:rsid w:val="00FD45DB"/>
    <w:rsid w:val="00FE47EB"/>
    <w:rsid w:val="00FF06F3"/>
    <w:rsid w:val="00FF567D"/>
    <w:rsid w:val="00FF6AC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3474A"/>
    <w:pPr>
      <w:suppressAutoHyphens/>
    </w:pPr>
    <w:rPr>
      <w:sz w:val="24"/>
      <w:szCs w:val="24"/>
      <w:lang w:eastAsia="zh-CN"/>
    </w:rPr>
  </w:style>
  <w:style w:type="paragraph" w:styleId="Ttulo1">
    <w:name w:val="heading 1"/>
    <w:basedOn w:val="Normal"/>
    <w:next w:val="Normal"/>
    <w:link w:val="Ttulo1Car1"/>
    <w:uiPriority w:val="99"/>
    <w:qFormat/>
    <w:rsid w:val="0063474A"/>
    <w:pPr>
      <w:keepNext/>
      <w:numPr>
        <w:numId w:val="1"/>
      </w:numPr>
      <w:autoSpaceDE w:val="0"/>
      <w:outlineLvl w:val="0"/>
    </w:pPr>
    <w:rPr>
      <w:rFonts w:ascii="Arial" w:hAnsi="Arial" w:cs="Arial"/>
      <w:b/>
      <w:sz w:val="20"/>
      <w:szCs w:val="20"/>
    </w:rPr>
  </w:style>
  <w:style w:type="paragraph" w:styleId="Ttulo2">
    <w:name w:val="heading 2"/>
    <w:basedOn w:val="Normal"/>
    <w:next w:val="Normal"/>
    <w:link w:val="Ttulo2Car1"/>
    <w:uiPriority w:val="99"/>
    <w:qFormat/>
    <w:rsid w:val="0063474A"/>
    <w:pPr>
      <w:keepNext/>
      <w:numPr>
        <w:ilvl w:val="1"/>
        <w:numId w:val="1"/>
      </w:numPr>
      <w:jc w:val="both"/>
      <w:outlineLvl w:val="1"/>
    </w:pPr>
    <w:rPr>
      <w:rFonts w:ascii="Arial" w:hAnsi="Arial" w:cs="Arial"/>
      <w:b/>
      <w:bCs/>
      <w:szCs w:val="20"/>
    </w:rPr>
  </w:style>
  <w:style w:type="paragraph" w:styleId="Ttulo3">
    <w:name w:val="heading 3"/>
    <w:basedOn w:val="Normal"/>
    <w:next w:val="Normal"/>
    <w:link w:val="Ttulo3Car1"/>
    <w:uiPriority w:val="99"/>
    <w:qFormat/>
    <w:rsid w:val="0063474A"/>
    <w:pPr>
      <w:keepNext/>
      <w:numPr>
        <w:ilvl w:val="2"/>
        <w:numId w:val="1"/>
      </w:numPr>
      <w:jc w:val="center"/>
      <w:outlineLvl w:val="2"/>
    </w:pPr>
    <w:rPr>
      <w:rFonts w:ascii="Arial" w:hAnsi="Arial" w:cs="Arial"/>
      <w:b/>
      <w:bCs/>
      <w:sz w:val="20"/>
      <w:szCs w:val="20"/>
    </w:rPr>
  </w:style>
  <w:style w:type="paragraph" w:styleId="Ttulo4">
    <w:name w:val="heading 4"/>
    <w:basedOn w:val="Normal"/>
    <w:next w:val="Normal"/>
    <w:link w:val="Ttulo4Car1"/>
    <w:uiPriority w:val="99"/>
    <w:qFormat/>
    <w:rsid w:val="0063474A"/>
    <w:pPr>
      <w:keepNext/>
      <w:numPr>
        <w:ilvl w:val="3"/>
        <w:numId w:val="1"/>
      </w:numPr>
      <w:jc w:val="both"/>
      <w:outlineLvl w:val="3"/>
    </w:pPr>
    <w:rPr>
      <w:rFonts w:ascii="Arial" w:hAnsi="Arial" w:cs="Arial"/>
      <w:szCs w:val="20"/>
    </w:rPr>
  </w:style>
  <w:style w:type="paragraph" w:styleId="Ttulo5">
    <w:name w:val="heading 5"/>
    <w:basedOn w:val="Normal"/>
    <w:next w:val="Normal"/>
    <w:link w:val="Ttulo5Car1"/>
    <w:uiPriority w:val="99"/>
    <w:qFormat/>
    <w:rsid w:val="0063474A"/>
    <w:pPr>
      <w:keepNext/>
      <w:numPr>
        <w:ilvl w:val="4"/>
        <w:numId w:val="1"/>
      </w:numPr>
      <w:outlineLvl w:val="4"/>
    </w:pPr>
    <w:rPr>
      <w:rFonts w:ascii="Arial" w:hAnsi="Arial" w:cs="Arial"/>
      <w:b/>
      <w:bCs/>
      <w:szCs w:val="20"/>
    </w:rPr>
  </w:style>
  <w:style w:type="paragraph" w:styleId="Ttulo6">
    <w:name w:val="heading 6"/>
    <w:basedOn w:val="Normal"/>
    <w:next w:val="Normal"/>
    <w:link w:val="Ttulo6Car1"/>
    <w:uiPriority w:val="99"/>
    <w:qFormat/>
    <w:rsid w:val="0063474A"/>
    <w:pPr>
      <w:keepNext/>
      <w:numPr>
        <w:ilvl w:val="5"/>
        <w:numId w:val="1"/>
      </w:numPr>
      <w:autoSpaceDE w:val="0"/>
      <w:outlineLvl w:val="5"/>
    </w:pPr>
    <w:rPr>
      <w:rFonts w:ascii="Arial" w:hAnsi="Arial" w:cs="Arial"/>
      <w:b/>
      <w:bCs/>
      <w:color w:val="FFFFFF"/>
    </w:rPr>
  </w:style>
  <w:style w:type="paragraph" w:styleId="Ttulo7">
    <w:name w:val="heading 7"/>
    <w:basedOn w:val="Normal"/>
    <w:next w:val="Normal"/>
    <w:link w:val="Ttulo7Car1"/>
    <w:uiPriority w:val="99"/>
    <w:qFormat/>
    <w:rsid w:val="0063474A"/>
    <w:pPr>
      <w:keepNext/>
      <w:numPr>
        <w:ilvl w:val="6"/>
        <w:numId w:val="1"/>
      </w:numPr>
      <w:tabs>
        <w:tab w:val="left" w:pos="1673"/>
      </w:tabs>
      <w:jc w:val="center"/>
      <w:outlineLvl w:val="6"/>
    </w:pPr>
    <w:rPr>
      <w:b/>
      <w:sz w:val="20"/>
      <w:szCs w:val="20"/>
    </w:rPr>
  </w:style>
  <w:style w:type="paragraph" w:styleId="Ttulo8">
    <w:name w:val="heading 8"/>
    <w:basedOn w:val="Normal"/>
    <w:next w:val="Normal"/>
    <w:link w:val="Ttulo8Car1"/>
    <w:uiPriority w:val="99"/>
    <w:qFormat/>
    <w:rsid w:val="0063474A"/>
    <w:pPr>
      <w:keepNext/>
      <w:numPr>
        <w:ilvl w:val="7"/>
        <w:numId w:val="1"/>
      </w:numPr>
      <w:jc w:val="both"/>
      <w:outlineLvl w:val="7"/>
    </w:pPr>
    <w:rPr>
      <w:rFonts w:ascii="Arial" w:hAnsi="Arial" w:cs="Arial"/>
      <w:b/>
      <w:color w:val="FFFFFF"/>
      <w:szCs w:val="20"/>
    </w:rPr>
  </w:style>
  <w:style w:type="paragraph" w:styleId="Ttulo9">
    <w:name w:val="heading 9"/>
    <w:basedOn w:val="Normal"/>
    <w:next w:val="Normal"/>
    <w:link w:val="Ttulo9Car1"/>
    <w:uiPriority w:val="99"/>
    <w:qFormat/>
    <w:rsid w:val="0063474A"/>
    <w:pPr>
      <w:keepNext/>
      <w:numPr>
        <w:ilvl w:val="8"/>
        <w:numId w:val="1"/>
      </w:numPr>
      <w:jc w:val="both"/>
      <w:outlineLvl w:val="8"/>
    </w:pPr>
    <w:rPr>
      <w:rFonts w:ascii="Arial" w:hAnsi="Arial" w:cs="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uiPriority w:val="99"/>
    <w:locked/>
    <w:rsid w:val="000A5A69"/>
    <w:rPr>
      <w:rFonts w:ascii="Cambria" w:hAnsi="Cambria" w:cs="Times New Roman"/>
      <w:b/>
      <w:bCs/>
      <w:kern w:val="32"/>
      <w:sz w:val="32"/>
      <w:szCs w:val="32"/>
      <w:lang w:eastAsia="zh-CN"/>
    </w:rPr>
  </w:style>
  <w:style w:type="character" w:customStyle="1" w:styleId="Ttulo2Car1">
    <w:name w:val="Título 2 Car1"/>
    <w:basedOn w:val="Fuentedeprrafopredeter"/>
    <w:link w:val="Ttulo2"/>
    <w:uiPriority w:val="99"/>
    <w:semiHidden/>
    <w:locked/>
    <w:rsid w:val="000A5A69"/>
    <w:rPr>
      <w:rFonts w:ascii="Cambria" w:hAnsi="Cambria" w:cs="Times New Roman"/>
      <w:b/>
      <w:bCs/>
      <w:i/>
      <w:iCs/>
      <w:sz w:val="28"/>
      <w:szCs w:val="28"/>
      <w:lang w:eastAsia="zh-CN"/>
    </w:rPr>
  </w:style>
  <w:style w:type="character" w:customStyle="1" w:styleId="Ttulo3Car1">
    <w:name w:val="Título 3 Car1"/>
    <w:basedOn w:val="Fuentedeprrafopredeter"/>
    <w:link w:val="Ttulo3"/>
    <w:uiPriority w:val="99"/>
    <w:semiHidden/>
    <w:locked/>
    <w:rsid w:val="000A5A69"/>
    <w:rPr>
      <w:rFonts w:ascii="Cambria" w:hAnsi="Cambria" w:cs="Times New Roman"/>
      <w:b/>
      <w:bCs/>
      <w:sz w:val="26"/>
      <w:szCs w:val="26"/>
      <w:lang w:eastAsia="zh-CN"/>
    </w:rPr>
  </w:style>
  <w:style w:type="character" w:customStyle="1" w:styleId="Ttulo4Car1">
    <w:name w:val="Título 4 Car1"/>
    <w:basedOn w:val="Fuentedeprrafopredeter"/>
    <w:link w:val="Ttulo4"/>
    <w:uiPriority w:val="99"/>
    <w:semiHidden/>
    <w:locked/>
    <w:rsid w:val="000A5A69"/>
    <w:rPr>
      <w:rFonts w:ascii="Calibri" w:hAnsi="Calibri" w:cs="Times New Roman"/>
      <w:b/>
      <w:bCs/>
      <w:sz w:val="28"/>
      <w:szCs w:val="28"/>
      <w:lang w:eastAsia="zh-CN"/>
    </w:rPr>
  </w:style>
  <w:style w:type="character" w:customStyle="1" w:styleId="Ttulo5Car1">
    <w:name w:val="Título 5 Car1"/>
    <w:basedOn w:val="Fuentedeprrafopredeter"/>
    <w:link w:val="Ttulo5"/>
    <w:uiPriority w:val="99"/>
    <w:semiHidden/>
    <w:locked/>
    <w:rsid w:val="000A5A69"/>
    <w:rPr>
      <w:rFonts w:ascii="Calibri" w:hAnsi="Calibri" w:cs="Times New Roman"/>
      <w:b/>
      <w:bCs/>
      <w:i/>
      <w:iCs/>
      <w:sz w:val="26"/>
      <w:szCs w:val="26"/>
      <w:lang w:eastAsia="zh-CN"/>
    </w:rPr>
  </w:style>
  <w:style w:type="character" w:customStyle="1" w:styleId="Ttulo6Car1">
    <w:name w:val="Título 6 Car1"/>
    <w:basedOn w:val="Fuentedeprrafopredeter"/>
    <w:link w:val="Ttulo6"/>
    <w:uiPriority w:val="99"/>
    <w:semiHidden/>
    <w:locked/>
    <w:rsid w:val="000A5A69"/>
    <w:rPr>
      <w:rFonts w:ascii="Calibri" w:hAnsi="Calibri" w:cs="Times New Roman"/>
      <w:b/>
      <w:bCs/>
      <w:lang w:eastAsia="zh-CN"/>
    </w:rPr>
  </w:style>
  <w:style w:type="character" w:customStyle="1" w:styleId="Ttulo7Car1">
    <w:name w:val="Título 7 Car1"/>
    <w:basedOn w:val="Fuentedeprrafopredeter"/>
    <w:link w:val="Ttulo7"/>
    <w:uiPriority w:val="99"/>
    <w:semiHidden/>
    <w:locked/>
    <w:rsid w:val="000A5A69"/>
    <w:rPr>
      <w:rFonts w:ascii="Calibri" w:hAnsi="Calibri" w:cs="Times New Roman"/>
      <w:sz w:val="24"/>
      <w:szCs w:val="24"/>
      <w:lang w:eastAsia="zh-CN"/>
    </w:rPr>
  </w:style>
  <w:style w:type="character" w:customStyle="1" w:styleId="Ttulo8Car1">
    <w:name w:val="Título 8 Car1"/>
    <w:basedOn w:val="Fuentedeprrafopredeter"/>
    <w:link w:val="Ttulo8"/>
    <w:uiPriority w:val="99"/>
    <w:semiHidden/>
    <w:locked/>
    <w:rsid w:val="000A5A69"/>
    <w:rPr>
      <w:rFonts w:ascii="Calibri" w:hAnsi="Calibri" w:cs="Times New Roman"/>
      <w:i/>
      <w:iCs/>
      <w:sz w:val="24"/>
      <w:szCs w:val="24"/>
      <w:lang w:eastAsia="zh-CN"/>
    </w:rPr>
  </w:style>
  <w:style w:type="character" w:customStyle="1" w:styleId="Ttulo9Car1">
    <w:name w:val="Título 9 Car1"/>
    <w:basedOn w:val="Fuentedeprrafopredeter"/>
    <w:link w:val="Ttulo9"/>
    <w:uiPriority w:val="99"/>
    <w:semiHidden/>
    <w:locked/>
    <w:rsid w:val="000A5A69"/>
    <w:rPr>
      <w:rFonts w:ascii="Cambria" w:hAnsi="Cambria" w:cs="Times New Roman"/>
      <w:lang w:eastAsia="zh-CN"/>
    </w:rPr>
  </w:style>
  <w:style w:type="character" w:customStyle="1" w:styleId="WW8Num1z0">
    <w:name w:val="WW8Num1z0"/>
    <w:uiPriority w:val="99"/>
    <w:rsid w:val="0063474A"/>
    <w:rPr>
      <w:rFonts w:ascii="Arial" w:hAnsi="Arial"/>
      <w:sz w:val="20"/>
    </w:rPr>
  </w:style>
  <w:style w:type="character" w:customStyle="1" w:styleId="WW8Num1z1">
    <w:name w:val="WW8Num1z1"/>
    <w:uiPriority w:val="99"/>
    <w:rsid w:val="0063474A"/>
  </w:style>
  <w:style w:type="character" w:customStyle="1" w:styleId="WW8Num1z2">
    <w:name w:val="WW8Num1z2"/>
    <w:uiPriority w:val="99"/>
    <w:rsid w:val="0063474A"/>
  </w:style>
  <w:style w:type="character" w:customStyle="1" w:styleId="WW8Num1z3">
    <w:name w:val="WW8Num1z3"/>
    <w:uiPriority w:val="99"/>
    <w:rsid w:val="0063474A"/>
  </w:style>
  <w:style w:type="character" w:customStyle="1" w:styleId="WW8Num1z4">
    <w:name w:val="WW8Num1z4"/>
    <w:uiPriority w:val="99"/>
    <w:rsid w:val="0063474A"/>
  </w:style>
  <w:style w:type="character" w:customStyle="1" w:styleId="WW8Num1z5">
    <w:name w:val="WW8Num1z5"/>
    <w:uiPriority w:val="99"/>
    <w:rsid w:val="0063474A"/>
  </w:style>
  <w:style w:type="character" w:customStyle="1" w:styleId="WW8Num1z6">
    <w:name w:val="WW8Num1z6"/>
    <w:uiPriority w:val="99"/>
    <w:rsid w:val="0063474A"/>
  </w:style>
  <w:style w:type="character" w:customStyle="1" w:styleId="WW8Num1z7">
    <w:name w:val="WW8Num1z7"/>
    <w:uiPriority w:val="99"/>
    <w:rsid w:val="0063474A"/>
  </w:style>
  <w:style w:type="character" w:customStyle="1" w:styleId="WW8Num1z8">
    <w:name w:val="WW8Num1z8"/>
    <w:uiPriority w:val="99"/>
    <w:rsid w:val="0063474A"/>
  </w:style>
  <w:style w:type="character" w:customStyle="1" w:styleId="WW8Num2z0">
    <w:name w:val="WW8Num2z0"/>
    <w:uiPriority w:val="99"/>
    <w:rsid w:val="0063474A"/>
    <w:rPr>
      <w:rFonts w:ascii="Arial" w:hAnsi="Arial"/>
      <w:sz w:val="20"/>
    </w:rPr>
  </w:style>
  <w:style w:type="character" w:customStyle="1" w:styleId="WW8Num2z1">
    <w:name w:val="WW8Num2z1"/>
    <w:uiPriority w:val="99"/>
    <w:rsid w:val="0063474A"/>
  </w:style>
  <w:style w:type="character" w:customStyle="1" w:styleId="WW8Num2z2">
    <w:name w:val="WW8Num2z2"/>
    <w:uiPriority w:val="99"/>
    <w:rsid w:val="0063474A"/>
  </w:style>
  <w:style w:type="character" w:customStyle="1" w:styleId="WW8Num2z3">
    <w:name w:val="WW8Num2z3"/>
    <w:uiPriority w:val="99"/>
    <w:rsid w:val="0063474A"/>
  </w:style>
  <w:style w:type="character" w:customStyle="1" w:styleId="WW8Num2z4">
    <w:name w:val="WW8Num2z4"/>
    <w:uiPriority w:val="99"/>
    <w:rsid w:val="0063474A"/>
  </w:style>
  <w:style w:type="character" w:customStyle="1" w:styleId="WW8Num2z5">
    <w:name w:val="WW8Num2z5"/>
    <w:uiPriority w:val="99"/>
    <w:rsid w:val="0063474A"/>
  </w:style>
  <w:style w:type="character" w:customStyle="1" w:styleId="WW8Num2z6">
    <w:name w:val="WW8Num2z6"/>
    <w:uiPriority w:val="99"/>
    <w:rsid w:val="0063474A"/>
  </w:style>
  <w:style w:type="character" w:customStyle="1" w:styleId="WW8Num2z7">
    <w:name w:val="WW8Num2z7"/>
    <w:uiPriority w:val="99"/>
    <w:rsid w:val="0063474A"/>
  </w:style>
  <w:style w:type="character" w:customStyle="1" w:styleId="WW8Num2z8">
    <w:name w:val="WW8Num2z8"/>
    <w:uiPriority w:val="99"/>
    <w:rsid w:val="0063474A"/>
  </w:style>
  <w:style w:type="character" w:customStyle="1" w:styleId="WW8Num3z0">
    <w:name w:val="WW8Num3z0"/>
    <w:uiPriority w:val="99"/>
    <w:rsid w:val="0063474A"/>
    <w:rPr>
      <w:rFonts w:ascii="Times New Roman" w:hAnsi="Times New Roman"/>
      <w:color w:val="FF0000"/>
      <w:sz w:val="20"/>
    </w:rPr>
  </w:style>
  <w:style w:type="character" w:customStyle="1" w:styleId="WW8Num4z0">
    <w:name w:val="WW8Num4z0"/>
    <w:uiPriority w:val="99"/>
    <w:rsid w:val="0063474A"/>
    <w:rPr>
      <w:rFonts w:ascii="Times New Roman" w:hAnsi="Times New Roman"/>
    </w:rPr>
  </w:style>
  <w:style w:type="character" w:customStyle="1" w:styleId="WW8Num5z0">
    <w:name w:val="WW8Num5z0"/>
    <w:uiPriority w:val="99"/>
    <w:rsid w:val="0063474A"/>
    <w:rPr>
      <w:rFonts w:ascii="Arial" w:hAnsi="Arial"/>
      <w:sz w:val="20"/>
    </w:rPr>
  </w:style>
  <w:style w:type="character" w:customStyle="1" w:styleId="WW8Num5z1">
    <w:name w:val="WW8Num5z1"/>
    <w:uiPriority w:val="99"/>
    <w:rsid w:val="0063474A"/>
  </w:style>
  <w:style w:type="character" w:customStyle="1" w:styleId="WW8Num5z2">
    <w:name w:val="WW8Num5z2"/>
    <w:uiPriority w:val="99"/>
    <w:rsid w:val="0063474A"/>
  </w:style>
  <w:style w:type="character" w:customStyle="1" w:styleId="WW8Num5z3">
    <w:name w:val="WW8Num5z3"/>
    <w:uiPriority w:val="99"/>
    <w:rsid w:val="0063474A"/>
  </w:style>
  <w:style w:type="character" w:customStyle="1" w:styleId="WW8Num5z4">
    <w:name w:val="WW8Num5z4"/>
    <w:uiPriority w:val="99"/>
    <w:rsid w:val="0063474A"/>
  </w:style>
  <w:style w:type="character" w:customStyle="1" w:styleId="WW8Num5z5">
    <w:name w:val="WW8Num5z5"/>
    <w:uiPriority w:val="99"/>
    <w:rsid w:val="0063474A"/>
  </w:style>
  <w:style w:type="character" w:customStyle="1" w:styleId="WW8Num5z6">
    <w:name w:val="WW8Num5z6"/>
    <w:uiPriority w:val="99"/>
    <w:rsid w:val="0063474A"/>
  </w:style>
  <w:style w:type="character" w:customStyle="1" w:styleId="WW8Num5z7">
    <w:name w:val="WW8Num5z7"/>
    <w:uiPriority w:val="99"/>
    <w:rsid w:val="0063474A"/>
  </w:style>
  <w:style w:type="character" w:customStyle="1" w:styleId="WW8Num5z8">
    <w:name w:val="WW8Num5z8"/>
    <w:uiPriority w:val="99"/>
    <w:rsid w:val="0063474A"/>
  </w:style>
  <w:style w:type="character" w:customStyle="1" w:styleId="WW8Num6z0">
    <w:name w:val="WW8Num6z0"/>
    <w:uiPriority w:val="99"/>
    <w:rsid w:val="0063474A"/>
    <w:rPr>
      <w:rFonts w:ascii="Symbol" w:hAnsi="Symbol"/>
      <w:sz w:val="20"/>
    </w:rPr>
  </w:style>
  <w:style w:type="character" w:customStyle="1" w:styleId="WW8Num6z1">
    <w:name w:val="WW8Num6z1"/>
    <w:uiPriority w:val="99"/>
    <w:rsid w:val="0063474A"/>
    <w:rPr>
      <w:rFonts w:ascii="OpenSymbol" w:hAnsi="OpenSymbol"/>
    </w:rPr>
  </w:style>
  <w:style w:type="character" w:customStyle="1" w:styleId="WW8Num7z0">
    <w:name w:val="WW8Num7z0"/>
    <w:uiPriority w:val="99"/>
    <w:rsid w:val="0063474A"/>
    <w:rPr>
      <w:rFonts w:ascii="Symbol" w:hAnsi="Symbol"/>
      <w:color w:val="000000"/>
      <w:sz w:val="20"/>
      <w:lang w:val="es-ES"/>
    </w:rPr>
  </w:style>
  <w:style w:type="character" w:customStyle="1" w:styleId="WW8Num7z1">
    <w:name w:val="WW8Num7z1"/>
    <w:uiPriority w:val="99"/>
    <w:rsid w:val="0063474A"/>
    <w:rPr>
      <w:rFonts w:ascii="OpenSymbol" w:hAnsi="OpenSymbol"/>
    </w:rPr>
  </w:style>
  <w:style w:type="character" w:customStyle="1" w:styleId="WW8Num8z0">
    <w:name w:val="WW8Num8z0"/>
    <w:uiPriority w:val="99"/>
    <w:rsid w:val="0063474A"/>
    <w:rPr>
      <w:rFonts w:ascii="Symbol" w:hAnsi="Symbol"/>
      <w:color w:val="000000"/>
      <w:sz w:val="20"/>
      <w:lang w:val="es-ES"/>
    </w:rPr>
  </w:style>
  <w:style w:type="character" w:customStyle="1" w:styleId="WW8Num8z1">
    <w:name w:val="WW8Num8z1"/>
    <w:uiPriority w:val="99"/>
    <w:rsid w:val="0063474A"/>
    <w:rPr>
      <w:rFonts w:ascii="OpenSymbol" w:hAnsi="OpenSymbol"/>
    </w:rPr>
  </w:style>
  <w:style w:type="character" w:customStyle="1" w:styleId="WW8Num9z0">
    <w:name w:val="WW8Num9z0"/>
    <w:uiPriority w:val="99"/>
    <w:rsid w:val="0063474A"/>
    <w:rPr>
      <w:rFonts w:ascii="Symbol" w:hAnsi="Symbol"/>
      <w:color w:val="000000"/>
      <w:sz w:val="20"/>
    </w:rPr>
  </w:style>
  <w:style w:type="character" w:customStyle="1" w:styleId="WW8Num9z1">
    <w:name w:val="WW8Num9z1"/>
    <w:uiPriority w:val="99"/>
    <w:rsid w:val="0063474A"/>
    <w:rPr>
      <w:rFonts w:ascii="OpenSymbol" w:hAnsi="OpenSymbol"/>
    </w:rPr>
  </w:style>
  <w:style w:type="character" w:customStyle="1" w:styleId="WW8Num10z0">
    <w:name w:val="WW8Num10z0"/>
    <w:uiPriority w:val="99"/>
    <w:rsid w:val="0063474A"/>
    <w:rPr>
      <w:rFonts w:ascii="Symbol" w:hAnsi="Symbol"/>
      <w:color w:val="000000"/>
      <w:sz w:val="20"/>
    </w:rPr>
  </w:style>
  <w:style w:type="character" w:customStyle="1" w:styleId="WW8Num10z1">
    <w:name w:val="WW8Num10z1"/>
    <w:uiPriority w:val="99"/>
    <w:rsid w:val="0063474A"/>
    <w:rPr>
      <w:rFonts w:ascii="OpenSymbol" w:hAnsi="OpenSymbol"/>
    </w:rPr>
  </w:style>
  <w:style w:type="character" w:customStyle="1" w:styleId="WW8Num11z0">
    <w:name w:val="WW8Num11z0"/>
    <w:uiPriority w:val="99"/>
    <w:rsid w:val="0063474A"/>
    <w:rPr>
      <w:rFonts w:ascii="Symbol" w:hAnsi="Symbol"/>
      <w:color w:val="000000"/>
      <w:sz w:val="20"/>
      <w:lang w:val="es-ES"/>
    </w:rPr>
  </w:style>
  <w:style w:type="character" w:customStyle="1" w:styleId="WW8Num11z1">
    <w:name w:val="WW8Num11z1"/>
    <w:uiPriority w:val="99"/>
    <w:rsid w:val="0063474A"/>
    <w:rPr>
      <w:rFonts w:ascii="OpenSymbol" w:hAnsi="OpenSymbol"/>
    </w:rPr>
  </w:style>
  <w:style w:type="character" w:customStyle="1" w:styleId="WW8Num12z0">
    <w:name w:val="WW8Num12z0"/>
    <w:uiPriority w:val="99"/>
    <w:rsid w:val="0063474A"/>
    <w:rPr>
      <w:rFonts w:ascii="Symbol" w:hAnsi="Symbol"/>
    </w:rPr>
  </w:style>
  <w:style w:type="character" w:customStyle="1" w:styleId="WW8Num12z1">
    <w:name w:val="WW8Num12z1"/>
    <w:uiPriority w:val="99"/>
    <w:rsid w:val="0063474A"/>
    <w:rPr>
      <w:rFonts w:ascii="OpenSymbol" w:hAnsi="OpenSymbol"/>
    </w:rPr>
  </w:style>
  <w:style w:type="character" w:customStyle="1" w:styleId="WW8Num13z0">
    <w:name w:val="WW8Num13z0"/>
    <w:uiPriority w:val="99"/>
    <w:rsid w:val="0063474A"/>
    <w:rPr>
      <w:rFonts w:ascii="Arial" w:hAnsi="Arial"/>
      <w:spacing w:val="0"/>
      <w:sz w:val="20"/>
      <w:lang w:val="es-ES" w:eastAsia="zh-CN"/>
    </w:rPr>
  </w:style>
  <w:style w:type="character" w:customStyle="1" w:styleId="WW8Num13z1">
    <w:name w:val="WW8Num13z1"/>
    <w:uiPriority w:val="99"/>
    <w:rsid w:val="0063474A"/>
  </w:style>
  <w:style w:type="character" w:customStyle="1" w:styleId="WW8Num13z2">
    <w:name w:val="WW8Num13z2"/>
    <w:uiPriority w:val="99"/>
    <w:rsid w:val="0063474A"/>
  </w:style>
  <w:style w:type="character" w:customStyle="1" w:styleId="WW8Num13z3">
    <w:name w:val="WW8Num13z3"/>
    <w:uiPriority w:val="99"/>
    <w:rsid w:val="0063474A"/>
  </w:style>
  <w:style w:type="character" w:customStyle="1" w:styleId="WW8Num13z4">
    <w:name w:val="WW8Num13z4"/>
    <w:uiPriority w:val="99"/>
    <w:rsid w:val="0063474A"/>
  </w:style>
  <w:style w:type="character" w:customStyle="1" w:styleId="WW8Num13z5">
    <w:name w:val="WW8Num13z5"/>
    <w:uiPriority w:val="99"/>
    <w:rsid w:val="0063474A"/>
  </w:style>
  <w:style w:type="character" w:customStyle="1" w:styleId="WW8Num13z6">
    <w:name w:val="WW8Num13z6"/>
    <w:uiPriority w:val="99"/>
    <w:rsid w:val="0063474A"/>
  </w:style>
  <w:style w:type="character" w:customStyle="1" w:styleId="WW8Num13z7">
    <w:name w:val="WW8Num13z7"/>
    <w:uiPriority w:val="99"/>
    <w:rsid w:val="0063474A"/>
  </w:style>
  <w:style w:type="character" w:customStyle="1" w:styleId="WW8Num13z8">
    <w:name w:val="WW8Num13z8"/>
    <w:uiPriority w:val="99"/>
    <w:rsid w:val="0063474A"/>
  </w:style>
  <w:style w:type="character" w:customStyle="1" w:styleId="WW8Num14z0">
    <w:name w:val="WW8Num14z0"/>
    <w:uiPriority w:val="99"/>
    <w:rsid w:val="0063474A"/>
    <w:rPr>
      <w:rFonts w:ascii="Symbol" w:hAnsi="Symbol"/>
    </w:rPr>
  </w:style>
  <w:style w:type="character" w:customStyle="1" w:styleId="WW8Num14z1">
    <w:name w:val="WW8Num14z1"/>
    <w:uiPriority w:val="99"/>
    <w:rsid w:val="0063474A"/>
    <w:rPr>
      <w:rFonts w:ascii="OpenSymbol" w:hAnsi="OpenSymbol"/>
    </w:rPr>
  </w:style>
  <w:style w:type="character" w:customStyle="1" w:styleId="WW8Num15z0">
    <w:name w:val="WW8Num15z0"/>
    <w:uiPriority w:val="99"/>
    <w:rsid w:val="0063474A"/>
  </w:style>
  <w:style w:type="character" w:customStyle="1" w:styleId="WW8Num16z0">
    <w:name w:val="WW8Num16z0"/>
    <w:uiPriority w:val="99"/>
    <w:rsid w:val="0063474A"/>
    <w:rPr>
      <w:rFonts w:ascii="Symbol" w:hAnsi="Symbol"/>
    </w:rPr>
  </w:style>
  <w:style w:type="character" w:customStyle="1" w:styleId="WW8Num17z0">
    <w:name w:val="WW8Num17z0"/>
    <w:uiPriority w:val="99"/>
    <w:rsid w:val="0063474A"/>
    <w:rPr>
      <w:rFonts w:ascii="Symbol" w:hAnsi="Symbol"/>
      <w:sz w:val="20"/>
    </w:rPr>
  </w:style>
  <w:style w:type="character" w:customStyle="1" w:styleId="WW8Num18z0">
    <w:name w:val="WW8Num18z0"/>
    <w:uiPriority w:val="99"/>
    <w:rsid w:val="0063474A"/>
    <w:rPr>
      <w:sz w:val="20"/>
    </w:rPr>
  </w:style>
  <w:style w:type="character" w:customStyle="1" w:styleId="Fuentedeprrafopredeter3">
    <w:name w:val="Fuente de párrafo predeter.3"/>
    <w:uiPriority w:val="99"/>
    <w:rsid w:val="0063474A"/>
  </w:style>
  <w:style w:type="character" w:customStyle="1" w:styleId="WW8Num4z1">
    <w:name w:val="WW8Num4z1"/>
    <w:uiPriority w:val="99"/>
    <w:rsid w:val="0063474A"/>
  </w:style>
  <w:style w:type="character" w:customStyle="1" w:styleId="WW8Num4z2">
    <w:name w:val="WW8Num4z2"/>
    <w:uiPriority w:val="99"/>
    <w:rsid w:val="0063474A"/>
  </w:style>
  <w:style w:type="character" w:customStyle="1" w:styleId="WW8Num4z3">
    <w:name w:val="WW8Num4z3"/>
    <w:uiPriority w:val="99"/>
    <w:rsid w:val="0063474A"/>
  </w:style>
  <w:style w:type="character" w:customStyle="1" w:styleId="WW8Num4z4">
    <w:name w:val="WW8Num4z4"/>
    <w:uiPriority w:val="99"/>
    <w:rsid w:val="0063474A"/>
  </w:style>
  <w:style w:type="character" w:customStyle="1" w:styleId="WW8Num4z5">
    <w:name w:val="WW8Num4z5"/>
    <w:uiPriority w:val="99"/>
    <w:rsid w:val="0063474A"/>
  </w:style>
  <w:style w:type="character" w:customStyle="1" w:styleId="WW8Num4z6">
    <w:name w:val="WW8Num4z6"/>
    <w:uiPriority w:val="99"/>
    <w:rsid w:val="0063474A"/>
  </w:style>
  <w:style w:type="character" w:customStyle="1" w:styleId="WW8Num4z7">
    <w:name w:val="WW8Num4z7"/>
    <w:uiPriority w:val="99"/>
    <w:rsid w:val="0063474A"/>
  </w:style>
  <w:style w:type="character" w:customStyle="1" w:styleId="WW8Num4z8">
    <w:name w:val="WW8Num4z8"/>
    <w:uiPriority w:val="99"/>
    <w:rsid w:val="0063474A"/>
  </w:style>
  <w:style w:type="character" w:customStyle="1" w:styleId="WW8Num12z2">
    <w:name w:val="WW8Num12z2"/>
    <w:uiPriority w:val="99"/>
    <w:rsid w:val="0063474A"/>
  </w:style>
  <w:style w:type="character" w:customStyle="1" w:styleId="WW8Num12z3">
    <w:name w:val="WW8Num12z3"/>
    <w:uiPriority w:val="99"/>
    <w:rsid w:val="0063474A"/>
  </w:style>
  <w:style w:type="character" w:customStyle="1" w:styleId="WW8Num12z4">
    <w:name w:val="WW8Num12z4"/>
    <w:uiPriority w:val="99"/>
    <w:rsid w:val="0063474A"/>
  </w:style>
  <w:style w:type="character" w:customStyle="1" w:styleId="WW8Num12z5">
    <w:name w:val="WW8Num12z5"/>
    <w:uiPriority w:val="99"/>
    <w:rsid w:val="0063474A"/>
  </w:style>
  <w:style w:type="character" w:customStyle="1" w:styleId="WW8Num12z6">
    <w:name w:val="WW8Num12z6"/>
    <w:uiPriority w:val="99"/>
    <w:rsid w:val="0063474A"/>
  </w:style>
  <w:style w:type="character" w:customStyle="1" w:styleId="WW8Num12z7">
    <w:name w:val="WW8Num12z7"/>
    <w:uiPriority w:val="99"/>
    <w:rsid w:val="0063474A"/>
  </w:style>
  <w:style w:type="character" w:customStyle="1" w:styleId="WW8Num12z8">
    <w:name w:val="WW8Num12z8"/>
    <w:uiPriority w:val="99"/>
    <w:rsid w:val="0063474A"/>
  </w:style>
  <w:style w:type="character" w:customStyle="1" w:styleId="WW8Num15z1">
    <w:name w:val="WW8Num15z1"/>
    <w:uiPriority w:val="99"/>
    <w:rsid w:val="0063474A"/>
    <w:rPr>
      <w:rFonts w:ascii="OpenSymbol" w:hAnsi="OpenSymbol"/>
      <w:sz w:val="24"/>
    </w:rPr>
  </w:style>
  <w:style w:type="character" w:customStyle="1" w:styleId="WW8Num16z1">
    <w:name w:val="WW8Num16z1"/>
    <w:uiPriority w:val="99"/>
    <w:rsid w:val="0063474A"/>
  </w:style>
  <w:style w:type="character" w:customStyle="1" w:styleId="WW8Num16z2">
    <w:name w:val="WW8Num16z2"/>
    <w:uiPriority w:val="99"/>
    <w:rsid w:val="0063474A"/>
  </w:style>
  <w:style w:type="character" w:customStyle="1" w:styleId="WW8Num16z3">
    <w:name w:val="WW8Num16z3"/>
    <w:uiPriority w:val="99"/>
    <w:rsid w:val="0063474A"/>
  </w:style>
  <w:style w:type="character" w:customStyle="1" w:styleId="WW8Num16z4">
    <w:name w:val="WW8Num16z4"/>
    <w:uiPriority w:val="99"/>
    <w:rsid w:val="0063474A"/>
  </w:style>
  <w:style w:type="character" w:customStyle="1" w:styleId="WW8Num16z5">
    <w:name w:val="WW8Num16z5"/>
    <w:uiPriority w:val="99"/>
    <w:rsid w:val="0063474A"/>
  </w:style>
  <w:style w:type="character" w:customStyle="1" w:styleId="WW8Num16z6">
    <w:name w:val="WW8Num16z6"/>
    <w:uiPriority w:val="99"/>
    <w:rsid w:val="0063474A"/>
  </w:style>
  <w:style w:type="character" w:customStyle="1" w:styleId="WW8Num16z7">
    <w:name w:val="WW8Num16z7"/>
    <w:uiPriority w:val="99"/>
    <w:rsid w:val="0063474A"/>
  </w:style>
  <w:style w:type="character" w:customStyle="1" w:styleId="WW8Num16z8">
    <w:name w:val="WW8Num16z8"/>
    <w:uiPriority w:val="99"/>
    <w:rsid w:val="0063474A"/>
  </w:style>
  <w:style w:type="character" w:customStyle="1" w:styleId="WW8Num17z1">
    <w:name w:val="WW8Num17z1"/>
    <w:uiPriority w:val="99"/>
    <w:rsid w:val="0063474A"/>
  </w:style>
  <w:style w:type="character" w:customStyle="1" w:styleId="WW8Num17z2">
    <w:name w:val="WW8Num17z2"/>
    <w:uiPriority w:val="99"/>
    <w:rsid w:val="0063474A"/>
  </w:style>
  <w:style w:type="character" w:customStyle="1" w:styleId="WW8Num17z3">
    <w:name w:val="WW8Num17z3"/>
    <w:uiPriority w:val="99"/>
    <w:rsid w:val="0063474A"/>
  </w:style>
  <w:style w:type="character" w:customStyle="1" w:styleId="WW8Num17z4">
    <w:name w:val="WW8Num17z4"/>
    <w:uiPriority w:val="99"/>
    <w:rsid w:val="0063474A"/>
  </w:style>
  <w:style w:type="character" w:customStyle="1" w:styleId="WW8Num17z5">
    <w:name w:val="WW8Num17z5"/>
    <w:uiPriority w:val="99"/>
    <w:rsid w:val="0063474A"/>
  </w:style>
  <w:style w:type="character" w:customStyle="1" w:styleId="WW8Num17z6">
    <w:name w:val="WW8Num17z6"/>
    <w:uiPriority w:val="99"/>
    <w:rsid w:val="0063474A"/>
  </w:style>
  <w:style w:type="character" w:customStyle="1" w:styleId="WW8Num17z7">
    <w:name w:val="WW8Num17z7"/>
    <w:uiPriority w:val="99"/>
    <w:rsid w:val="0063474A"/>
  </w:style>
  <w:style w:type="character" w:customStyle="1" w:styleId="WW8Num17z8">
    <w:name w:val="WW8Num17z8"/>
    <w:uiPriority w:val="99"/>
    <w:rsid w:val="0063474A"/>
  </w:style>
  <w:style w:type="character" w:customStyle="1" w:styleId="WW8Num18z1">
    <w:name w:val="WW8Num18z1"/>
    <w:uiPriority w:val="99"/>
    <w:rsid w:val="0063474A"/>
    <w:rPr>
      <w:rFonts w:ascii="Courier New" w:hAnsi="Courier New"/>
    </w:rPr>
  </w:style>
  <w:style w:type="character" w:customStyle="1" w:styleId="WW8Num18z2">
    <w:name w:val="WW8Num18z2"/>
    <w:uiPriority w:val="99"/>
    <w:rsid w:val="0063474A"/>
    <w:rPr>
      <w:rFonts w:ascii="Wingdings" w:hAnsi="Wingdings"/>
    </w:rPr>
  </w:style>
  <w:style w:type="character" w:customStyle="1" w:styleId="WW8Num19z0">
    <w:name w:val="WW8Num19z0"/>
    <w:uiPriority w:val="99"/>
    <w:rsid w:val="0063474A"/>
  </w:style>
  <w:style w:type="character" w:customStyle="1" w:styleId="WW8Num19z1">
    <w:name w:val="WW8Num19z1"/>
    <w:uiPriority w:val="99"/>
    <w:rsid w:val="0063474A"/>
  </w:style>
  <w:style w:type="character" w:customStyle="1" w:styleId="WW8Num19z2">
    <w:name w:val="WW8Num19z2"/>
    <w:uiPriority w:val="99"/>
    <w:rsid w:val="0063474A"/>
  </w:style>
  <w:style w:type="character" w:customStyle="1" w:styleId="WW8Num19z3">
    <w:name w:val="WW8Num19z3"/>
    <w:uiPriority w:val="99"/>
    <w:rsid w:val="0063474A"/>
  </w:style>
  <w:style w:type="character" w:customStyle="1" w:styleId="WW8Num19z4">
    <w:name w:val="WW8Num19z4"/>
    <w:uiPriority w:val="99"/>
    <w:rsid w:val="0063474A"/>
  </w:style>
  <w:style w:type="character" w:customStyle="1" w:styleId="WW8Num19z5">
    <w:name w:val="WW8Num19z5"/>
    <w:uiPriority w:val="99"/>
    <w:rsid w:val="0063474A"/>
  </w:style>
  <w:style w:type="character" w:customStyle="1" w:styleId="WW8Num19z6">
    <w:name w:val="WW8Num19z6"/>
    <w:uiPriority w:val="99"/>
    <w:rsid w:val="0063474A"/>
  </w:style>
  <w:style w:type="character" w:customStyle="1" w:styleId="WW8Num19z7">
    <w:name w:val="WW8Num19z7"/>
    <w:uiPriority w:val="99"/>
    <w:rsid w:val="0063474A"/>
  </w:style>
  <w:style w:type="character" w:customStyle="1" w:styleId="WW8Num19z8">
    <w:name w:val="WW8Num19z8"/>
    <w:uiPriority w:val="99"/>
    <w:rsid w:val="0063474A"/>
  </w:style>
  <w:style w:type="character" w:customStyle="1" w:styleId="WW8Num20z0">
    <w:name w:val="WW8Num20z0"/>
    <w:uiPriority w:val="99"/>
    <w:rsid w:val="0063474A"/>
  </w:style>
  <w:style w:type="character" w:customStyle="1" w:styleId="WW8Num20z1">
    <w:name w:val="WW8Num20z1"/>
    <w:uiPriority w:val="99"/>
    <w:rsid w:val="0063474A"/>
  </w:style>
  <w:style w:type="character" w:customStyle="1" w:styleId="WW8Num20z2">
    <w:name w:val="WW8Num20z2"/>
    <w:uiPriority w:val="99"/>
    <w:rsid w:val="0063474A"/>
  </w:style>
  <w:style w:type="character" w:customStyle="1" w:styleId="WW8Num20z3">
    <w:name w:val="WW8Num20z3"/>
    <w:uiPriority w:val="99"/>
    <w:rsid w:val="0063474A"/>
  </w:style>
  <w:style w:type="character" w:customStyle="1" w:styleId="WW8Num20z4">
    <w:name w:val="WW8Num20z4"/>
    <w:uiPriority w:val="99"/>
    <w:rsid w:val="0063474A"/>
  </w:style>
  <w:style w:type="character" w:customStyle="1" w:styleId="WW8Num20z5">
    <w:name w:val="WW8Num20z5"/>
    <w:uiPriority w:val="99"/>
    <w:rsid w:val="0063474A"/>
  </w:style>
  <w:style w:type="character" w:customStyle="1" w:styleId="WW8Num20z6">
    <w:name w:val="WW8Num20z6"/>
    <w:uiPriority w:val="99"/>
    <w:rsid w:val="0063474A"/>
  </w:style>
  <w:style w:type="character" w:customStyle="1" w:styleId="WW8Num20z7">
    <w:name w:val="WW8Num20z7"/>
    <w:uiPriority w:val="99"/>
    <w:rsid w:val="0063474A"/>
  </w:style>
  <w:style w:type="character" w:customStyle="1" w:styleId="WW8Num20z8">
    <w:name w:val="WW8Num20z8"/>
    <w:uiPriority w:val="99"/>
    <w:rsid w:val="0063474A"/>
  </w:style>
  <w:style w:type="character" w:customStyle="1" w:styleId="WW8Num21z0">
    <w:name w:val="WW8Num21z0"/>
    <w:uiPriority w:val="99"/>
    <w:rsid w:val="0063474A"/>
    <w:rPr>
      <w:rFonts w:ascii="Symbol" w:hAnsi="Symbol"/>
    </w:rPr>
  </w:style>
  <w:style w:type="character" w:customStyle="1" w:styleId="WW8Num21z1">
    <w:name w:val="WW8Num21z1"/>
    <w:uiPriority w:val="99"/>
    <w:rsid w:val="0063474A"/>
    <w:rPr>
      <w:rFonts w:ascii="Courier New" w:hAnsi="Courier New"/>
    </w:rPr>
  </w:style>
  <w:style w:type="character" w:customStyle="1" w:styleId="WW8Num21z2">
    <w:name w:val="WW8Num21z2"/>
    <w:uiPriority w:val="99"/>
    <w:rsid w:val="0063474A"/>
    <w:rPr>
      <w:rFonts w:ascii="Wingdings" w:hAnsi="Wingdings"/>
    </w:rPr>
  </w:style>
  <w:style w:type="character" w:customStyle="1" w:styleId="WW8Num22z0">
    <w:name w:val="WW8Num22z0"/>
    <w:uiPriority w:val="99"/>
    <w:rsid w:val="0063474A"/>
    <w:rPr>
      <w:sz w:val="20"/>
    </w:rPr>
  </w:style>
  <w:style w:type="character" w:customStyle="1" w:styleId="WW8Num22z1">
    <w:name w:val="WW8Num22z1"/>
    <w:uiPriority w:val="99"/>
    <w:rsid w:val="0063474A"/>
  </w:style>
  <w:style w:type="character" w:customStyle="1" w:styleId="WW8Num22z2">
    <w:name w:val="WW8Num22z2"/>
    <w:uiPriority w:val="99"/>
    <w:rsid w:val="0063474A"/>
  </w:style>
  <w:style w:type="character" w:customStyle="1" w:styleId="WW8Num22z3">
    <w:name w:val="WW8Num22z3"/>
    <w:uiPriority w:val="99"/>
    <w:rsid w:val="0063474A"/>
  </w:style>
  <w:style w:type="character" w:customStyle="1" w:styleId="WW8Num22z4">
    <w:name w:val="WW8Num22z4"/>
    <w:uiPriority w:val="99"/>
    <w:rsid w:val="0063474A"/>
  </w:style>
  <w:style w:type="character" w:customStyle="1" w:styleId="WW8Num22z5">
    <w:name w:val="WW8Num22z5"/>
    <w:uiPriority w:val="99"/>
    <w:rsid w:val="0063474A"/>
  </w:style>
  <w:style w:type="character" w:customStyle="1" w:styleId="WW8Num22z6">
    <w:name w:val="WW8Num22z6"/>
    <w:uiPriority w:val="99"/>
    <w:rsid w:val="0063474A"/>
  </w:style>
  <w:style w:type="character" w:customStyle="1" w:styleId="WW8Num22z7">
    <w:name w:val="WW8Num22z7"/>
    <w:uiPriority w:val="99"/>
    <w:rsid w:val="0063474A"/>
  </w:style>
  <w:style w:type="character" w:customStyle="1" w:styleId="WW8Num22z8">
    <w:name w:val="WW8Num22z8"/>
    <w:uiPriority w:val="99"/>
    <w:rsid w:val="0063474A"/>
  </w:style>
  <w:style w:type="character" w:customStyle="1" w:styleId="WW8Num23z0">
    <w:name w:val="WW8Num23z0"/>
    <w:uiPriority w:val="99"/>
    <w:rsid w:val="0063474A"/>
  </w:style>
  <w:style w:type="character" w:customStyle="1" w:styleId="WW8Num23z1">
    <w:name w:val="WW8Num23z1"/>
    <w:uiPriority w:val="99"/>
    <w:rsid w:val="0063474A"/>
  </w:style>
  <w:style w:type="character" w:customStyle="1" w:styleId="WW8Num23z2">
    <w:name w:val="WW8Num23z2"/>
    <w:uiPriority w:val="99"/>
    <w:rsid w:val="0063474A"/>
  </w:style>
  <w:style w:type="character" w:customStyle="1" w:styleId="WW8Num23z3">
    <w:name w:val="WW8Num23z3"/>
    <w:uiPriority w:val="99"/>
    <w:rsid w:val="0063474A"/>
  </w:style>
  <w:style w:type="character" w:customStyle="1" w:styleId="WW8Num23z4">
    <w:name w:val="WW8Num23z4"/>
    <w:uiPriority w:val="99"/>
    <w:rsid w:val="0063474A"/>
  </w:style>
  <w:style w:type="character" w:customStyle="1" w:styleId="WW8Num23z5">
    <w:name w:val="WW8Num23z5"/>
    <w:uiPriority w:val="99"/>
    <w:rsid w:val="0063474A"/>
  </w:style>
  <w:style w:type="character" w:customStyle="1" w:styleId="WW8Num23z6">
    <w:name w:val="WW8Num23z6"/>
    <w:uiPriority w:val="99"/>
    <w:rsid w:val="0063474A"/>
  </w:style>
  <w:style w:type="character" w:customStyle="1" w:styleId="WW8Num23z7">
    <w:name w:val="WW8Num23z7"/>
    <w:uiPriority w:val="99"/>
    <w:rsid w:val="0063474A"/>
  </w:style>
  <w:style w:type="character" w:customStyle="1" w:styleId="WW8Num23z8">
    <w:name w:val="WW8Num23z8"/>
    <w:uiPriority w:val="99"/>
    <w:rsid w:val="0063474A"/>
  </w:style>
  <w:style w:type="character" w:customStyle="1" w:styleId="Fuentedeprrafopredeter2">
    <w:name w:val="Fuente de párrafo predeter.2"/>
    <w:uiPriority w:val="99"/>
    <w:rsid w:val="0063474A"/>
  </w:style>
  <w:style w:type="character" w:customStyle="1" w:styleId="WW8Num3z1">
    <w:name w:val="WW8Num3z1"/>
    <w:uiPriority w:val="99"/>
    <w:rsid w:val="0063474A"/>
  </w:style>
  <w:style w:type="character" w:customStyle="1" w:styleId="WW8Num3z2">
    <w:name w:val="WW8Num3z2"/>
    <w:uiPriority w:val="99"/>
    <w:rsid w:val="0063474A"/>
  </w:style>
  <w:style w:type="character" w:customStyle="1" w:styleId="WW8Num3z3">
    <w:name w:val="WW8Num3z3"/>
    <w:uiPriority w:val="99"/>
    <w:rsid w:val="0063474A"/>
  </w:style>
  <w:style w:type="character" w:customStyle="1" w:styleId="WW8Num3z4">
    <w:name w:val="WW8Num3z4"/>
    <w:uiPriority w:val="99"/>
    <w:rsid w:val="0063474A"/>
  </w:style>
  <w:style w:type="character" w:customStyle="1" w:styleId="WW8Num3z5">
    <w:name w:val="WW8Num3z5"/>
    <w:uiPriority w:val="99"/>
    <w:rsid w:val="0063474A"/>
  </w:style>
  <w:style w:type="character" w:customStyle="1" w:styleId="WW8Num3z6">
    <w:name w:val="WW8Num3z6"/>
    <w:uiPriority w:val="99"/>
    <w:rsid w:val="0063474A"/>
  </w:style>
  <w:style w:type="character" w:customStyle="1" w:styleId="WW8Num3z7">
    <w:name w:val="WW8Num3z7"/>
    <w:uiPriority w:val="99"/>
    <w:rsid w:val="0063474A"/>
  </w:style>
  <w:style w:type="character" w:customStyle="1" w:styleId="WW8Num3z8">
    <w:name w:val="WW8Num3z8"/>
    <w:uiPriority w:val="99"/>
    <w:rsid w:val="0063474A"/>
  </w:style>
  <w:style w:type="character" w:customStyle="1" w:styleId="WW8Num6z2">
    <w:name w:val="WW8Num6z2"/>
    <w:uiPriority w:val="99"/>
    <w:rsid w:val="0063474A"/>
    <w:rPr>
      <w:rFonts w:ascii="Wingdings" w:hAnsi="Wingdings"/>
    </w:rPr>
  </w:style>
  <w:style w:type="character" w:customStyle="1" w:styleId="WW8Num6z3">
    <w:name w:val="WW8Num6z3"/>
    <w:uiPriority w:val="99"/>
    <w:rsid w:val="0063474A"/>
    <w:rPr>
      <w:rFonts w:ascii="Symbol" w:hAnsi="Symbol"/>
    </w:rPr>
  </w:style>
  <w:style w:type="character" w:customStyle="1" w:styleId="WW8Num8z2">
    <w:name w:val="WW8Num8z2"/>
    <w:uiPriority w:val="99"/>
    <w:rsid w:val="0063474A"/>
  </w:style>
  <w:style w:type="character" w:customStyle="1" w:styleId="WW8Num8z3">
    <w:name w:val="WW8Num8z3"/>
    <w:uiPriority w:val="99"/>
    <w:rsid w:val="0063474A"/>
  </w:style>
  <w:style w:type="character" w:customStyle="1" w:styleId="WW8Num8z4">
    <w:name w:val="WW8Num8z4"/>
    <w:uiPriority w:val="99"/>
    <w:rsid w:val="0063474A"/>
  </w:style>
  <w:style w:type="character" w:customStyle="1" w:styleId="WW8Num8z5">
    <w:name w:val="WW8Num8z5"/>
    <w:uiPriority w:val="99"/>
    <w:rsid w:val="0063474A"/>
  </w:style>
  <w:style w:type="character" w:customStyle="1" w:styleId="WW8Num8z6">
    <w:name w:val="WW8Num8z6"/>
    <w:uiPriority w:val="99"/>
    <w:rsid w:val="0063474A"/>
  </w:style>
  <w:style w:type="character" w:customStyle="1" w:styleId="WW8Num8z7">
    <w:name w:val="WW8Num8z7"/>
    <w:uiPriority w:val="99"/>
    <w:rsid w:val="0063474A"/>
  </w:style>
  <w:style w:type="character" w:customStyle="1" w:styleId="WW8Num8z8">
    <w:name w:val="WW8Num8z8"/>
    <w:uiPriority w:val="99"/>
    <w:rsid w:val="0063474A"/>
  </w:style>
  <w:style w:type="character" w:customStyle="1" w:styleId="WW8Num9z2">
    <w:name w:val="WW8Num9z2"/>
    <w:uiPriority w:val="99"/>
    <w:rsid w:val="0063474A"/>
  </w:style>
  <w:style w:type="character" w:customStyle="1" w:styleId="WW8Num9z3">
    <w:name w:val="WW8Num9z3"/>
    <w:uiPriority w:val="99"/>
    <w:rsid w:val="0063474A"/>
  </w:style>
  <w:style w:type="character" w:customStyle="1" w:styleId="WW8Num9z4">
    <w:name w:val="WW8Num9z4"/>
    <w:uiPriority w:val="99"/>
    <w:rsid w:val="0063474A"/>
  </w:style>
  <w:style w:type="character" w:customStyle="1" w:styleId="WW8Num9z5">
    <w:name w:val="WW8Num9z5"/>
    <w:uiPriority w:val="99"/>
    <w:rsid w:val="0063474A"/>
  </w:style>
  <w:style w:type="character" w:customStyle="1" w:styleId="WW8Num9z6">
    <w:name w:val="WW8Num9z6"/>
    <w:uiPriority w:val="99"/>
    <w:rsid w:val="0063474A"/>
  </w:style>
  <w:style w:type="character" w:customStyle="1" w:styleId="WW8Num9z7">
    <w:name w:val="WW8Num9z7"/>
    <w:uiPriority w:val="99"/>
    <w:rsid w:val="0063474A"/>
  </w:style>
  <w:style w:type="character" w:customStyle="1" w:styleId="WW8Num9z8">
    <w:name w:val="WW8Num9z8"/>
    <w:uiPriority w:val="99"/>
    <w:rsid w:val="0063474A"/>
  </w:style>
  <w:style w:type="character" w:customStyle="1" w:styleId="WW8Num10z2">
    <w:name w:val="WW8Num10z2"/>
    <w:uiPriority w:val="99"/>
    <w:rsid w:val="0063474A"/>
    <w:rPr>
      <w:rFonts w:ascii="Wingdings" w:hAnsi="Wingdings"/>
    </w:rPr>
  </w:style>
  <w:style w:type="character" w:customStyle="1" w:styleId="WW8Num10z3">
    <w:name w:val="WW8Num10z3"/>
    <w:uiPriority w:val="99"/>
    <w:rsid w:val="0063474A"/>
    <w:rPr>
      <w:rFonts w:ascii="Symbol" w:hAnsi="Symbol"/>
    </w:rPr>
  </w:style>
  <w:style w:type="character" w:customStyle="1" w:styleId="WW8Num11z2">
    <w:name w:val="WW8Num11z2"/>
    <w:uiPriority w:val="99"/>
    <w:rsid w:val="0063474A"/>
    <w:rPr>
      <w:rFonts w:ascii="Wingdings" w:hAnsi="Wingdings"/>
    </w:rPr>
  </w:style>
  <w:style w:type="character" w:customStyle="1" w:styleId="WW8Num11z3">
    <w:name w:val="WW8Num11z3"/>
    <w:uiPriority w:val="99"/>
    <w:rsid w:val="0063474A"/>
    <w:rPr>
      <w:rFonts w:ascii="Symbol" w:hAnsi="Symbol"/>
    </w:rPr>
  </w:style>
  <w:style w:type="character" w:customStyle="1" w:styleId="WW8Num14z2">
    <w:name w:val="WW8Num14z2"/>
    <w:uiPriority w:val="99"/>
    <w:rsid w:val="0063474A"/>
  </w:style>
  <w:style w:type="character" w:customStyle="1" w:styleId="WW8Num14z3">
    <w:name w:val="WW8Num14z3"/>
    <w:uiPriority w:val="99"/>
    <w:rsid w:val="0063474A"/>
  </w:style>
  <w:style w:type="character" w:customStyle="1" w:styleId="WW8Num14z4">
    <w:name w:val="WW8Num14z4"/>
    <w:uiPriority w:val="99"/>
    <w:rsid w:val="0063474A"/>
  </w:style>
  <w:style w:type="character" w:customStyle="1" w:styleId="WW8Num14z5">
    <w:name w:val="WW8Num14z5"/>
    <w:uiPriority w:val="99"/>
    <w:rsid w:val="0063474A"/>
  </w:style>
  <w:style w:type="character" w:customStyle="1" w:styleId="WW8Num14z6">
    <w:name w:val="WW8Num14z6"/>
    <w:uiPriority w:val="99"/>
    <w:rsid w:val="0063474A"/>
  </w:style>
  <w:style w:type="character" w:customStyle="1" w:styleId="WW8Num14z7">
    <w:name w:val="WW8Num14z7"/>
    <w:uiPriority w:val="99"/>
    <w:rsid w:val="0063474A"/>
  </w:style>
  <w:style w:type="character" w:customStyle="1" w:styleId="WW8Num14z8">
    <w:name w:val="WW8Num14z8"/>
    <w:uiPriority w:val="99"/>
    <w:rsid w:val="0063474A"/>
  </w:style>
  <w:style w:type="character" w:customStyle="1" w:styleId="WW8Num15z2">
    <w:name w:val="WW8Num15z2"/>
    <w:uiPriority w:val="99"/>
    <w:rsid w:val="0063474A"/>
    <w:rPr>
      <w:rFonts w:ascii="Wingdings" w:hAnsi="Wingdings"/>
    </w:rPr>
  </w:style>
  <w:style w:type="character" w:customStyle="1" w:styleId="WW8Num15z3">
    <w:name w:val="WW8Num15z3"/>
    <w:uiPriority w:val="99"/>
    <w:rsid w:val="0063474A"/>
    <w:rPr>
      <w:rFonts w:ascii="Symbol" w:hAnsi="Symbol"/>
    </w:rPr>
  </w:style>
  <w:style w:type="character" w:customStyle="1" w:styleId="WW8Num18z3">
    <w:name w:val="WW8Num18z3"/>
    <w:uiPriority w:val="99"/>
    <w:rsid w:val="0063474A"/>
  </w:style>
  <w:style w:type="character" w:customStyle="1" w:styleId="WW8Num18z4">
    <w:name w:val="WW8Num18z4"/>
    <w:uiPriority w:val="99"/>
    <w:rsid w:val="0063474A"/>
  </w:style>
  <w:style w:type="character" w:customStyle="1" w:styleId="WW8Num18z5">
    <w:name w:val="WW8Num18z5"/>
    <w:uiPriority w:val="99"/>
    <w:rsid w:val="0063474A"/>
  </w:style>
  <w:style w:type="character" w:customStyle="1" w:styleId="WW8Num18z6">
    <w:name w:val="WW8Num18z6"/>
    <w:uiPriority w:val="99"/>
    <w:rsid w:val="0063474A"/>
  </w:style>
  <w:style w:type="character" w:customStyle="1" w:styleId="WW8Num18z7">
    <w:name w:val="WW8Num18z7"/>
    <w:uiPriority w:val="99"/>
    <w:rsid w:val="0063474A"/>
  </w:style>
  <w:style w:type="character" w:customStyle="1" w:styleId="WW8Num18z8">
    <w:name w:val="WW8Num18z8"/>
    <w:uiPriority w:val="99"/>
    <w:rsid w:val="0063474A"/>
  </w:style>
  <w:style w:type="character" w:customStyle="1" w:styleId="WW8Num21z3">
    <w:name w:val="WW8Num21z3"/>
    <w:uiPriority w:val="99"/>
    <w:rsid w:val="0063474A"/>
  </w:style>
  <w:style w:type="character" w:customStyle="1" w:styleId="WW8Num21z4">
    <w:name w:val="WW8Num21z4"/>
    <w:uiPriority w:val="99"/>
    <w:rsid w:val="0063474A"/>
  </w:style>
  <w:style w:type="character" w:customStyle="1" w:styleId="WW8Num21z5">
    <w:name w:val="WW8Num21z5"/>
    <w:uiPriority w:val="99"/>
    <w:rsid w:val="0063474A"/>
  </w:style>
  <w:style w:type="character" w:customStyle="1" w:styleId="WW8Num21z6">
    <w:name w:val="WW8Num21z6"/>
    <w:uiPriority w:val="99"/>
    <w:rsid w:val="0063474A"/>
  </w:style>
  <w:style w:type="character" w:customStyle="1" w:styleId="WW8Num21z7">
    <w:name w:val="WW8Num21z7"/>
    <w:uiPriority w:val="99"/>
    <w:rsid w:val="0063474A"/>
  </w:style>
  <w:style w:type="character" w:customStyle="1" w:styleId="WW8Num21z8">
    <w:name w:val="WW8Num21z8"/>
    <w:uiPriority w:val="99"/>
    <w:rsid w:val="0063474A"/>
  </w:style>
  <w:style w:type="character" w:customStyle="1" w:styleId="WW8Num24z0">
    <w:name w:val="WW8Num24z0"/>
    <w:uiPriority w:val="99"/>
    <w:rsid w:val="0063474A"/>
    <w:rPr>
      <w:rFonts w:ascii="Symbol" w:hAnsi="Symbol"/>
    </w:rPr>
  </w:style>
  <w:style w:type="character" w:customStyle="1" w:styleId="WW8Num24z1">
    <w:name w:val="WW8Num24z1"/>
    <w:uiPriority w:val="99"/>
    <w:rsid w:val="0063474A"/>
    <w:rPr>
      <w:rFonts w:ascii="Courier New" w:hAnsi="Courier New"/>
    </w:rPr>
  </w:style>
  <w:style w:type="character" w:customStyle="1" w:styleId="WW8Num24z2">
    <w:name w:val="WW8Num24z2"/>
    <w:uiPriority w:val="99"/>
    <w:rsid w:val="0063474A"/>
    <w:rPr>
      <w:rFonts w:ascii="Wingdings" w:hAnsi="Wingdings"/>
    </w:rPr>
  </w:style>
  <w:style w:type="character" w:customStyle="1" w:styleId="WW8Num25z0">
    <w:name w:val="WW8Num25z0"/>
    <w:uiPriority w:val="99"/>
    <w:rsid w:val="0063474A"/>
    <w:rPr>
      <w:rFonts w:ascii="Symbol" w:hAnsi="Symbol"/>
    </w:rPr>
  </w:style>
  <w:style w:type="character" w:customStyle="1" w:styleId="WW8Num25z1">
    <w:name w:val="WW8Num25z1"/>
    <w:uiPriority w:val="99"/>
    <w:rsid w:val="0063474A"/>
    <w:rPr>
      <w:rFonts w:ascii="Courier New" w:hAnsi="Courier New"/>
    </w:rPr>
  </w:style>
  <w:style w:type="character" w:customStyle="1" w:styleId="WW8Num25z2">
    <w:name w:val="WW8Num25z2"/>
    <w:uiPriority w:val="99"/>
    <w:rsid w:val="0063474A"/>
    <w:rPr>
      <w:rFonts w:ascii="Wingdings" w:hAnsi="Wingdings"/>
    </w:rPr>
  </w:style>
  <w:style w:type="character" w:customStyle="1" w:styleId="WW8Num26z0">
    <w:name w:val="WW8Num26z0"/>
    <w:uiPriority w:val="99"/>
    <w:rsid w:val="0063474A"/>
    <w:rPr>
      <w:rFonts w:ascii="Wingdings" w:hAnsi="Wingdings"/>
    </w:rPr>
  </w:style>
  <w:style w:type="character" w:customStyle="1" w:styleId="WW8Num26z1">
    <w:name w:val="WW8Num26z1"/>
    <w:uiPriority w:val="99"/>
    <w:rsid w:val="0063474A"/>
    <w:rPr>
      <w:rFonts w:ascii="Courier New" w:hAnsi="Courier New"/>
    </w:rPr>
  </w:style>
  <w:style w:type="character" w:customStyle="1" w:styleId="WW8Num26z4">
    <w:name w:val="WW8Num26z4"/>
    <w:uiPriority w:val="99"/>
    <w:rsid w:val="0063474A"/>
    <w:rPr>
      <w:rFonts w:ascii="Lucida Sans Unicode" w:hAnsi="Lucida Sans Unicode"/>
    </w:rPr>
  </w:style>
  <w:style w:type="character" w:customStyle="1" w:styleId="WW8Num26z6">
    <w:name w:val="WW8Num26z6"/>
    <w:uiPriority w:val="99"/>
    <w:rsid w:val="0063474A"/>
    <w:rPr>
      <w:rFonts w:ascii="Symbol" w:hAnsi="Symbol"/>
    </w:rPr>
  </w:style>
  <w:style w:type="character" w:customStyle="1" w:styleId="WW8Num27z0">
    <w:name w:val="WW8Num27z0"/>
    <w:uiPriority w:val="99"/>
    <w:rsid w:val="0063474A"/>
    <w:rPr>
      <w:rFonts w:ascii="Symbol" w:hAnsi="Symbol"/>
    </w:rPr>
  </w:style>
  <w:style w:type="character" w:customStyle="1" w:styleId="WW8Num27z1">
    <w:name w:val="WW8Num27z1"/>
    <w:uiPriority w:val="99"/>
    <w:rsid w:val="0063474A"/>
    <w:rPr>
      <w:rFonts w:ascii="Courier New" w:hAnsi="Courier New"/>
    </w:rPr>
  </w:style>
  <w:style w:type="character" w:customStyle="1" w:styleId="WW8Num27z2">
    <w:name w:val="WW8Num27z2"/>
    <w:uiPriority w:val="99"/>
    <w:rsid w:val="0063474A"/>
    <w:rPr>
      <w:rFonts w:ascii="Wingdings" w:hAnsi="Wingdings"/>
    </w:rPr>
  </w:style>
  <w:style w:type="character" w:customStyle="1" w:styleId="WW8Num28z0">
    <w:name w:val="WW8Num28z0"/>
    <w:uiPriority w:val="99"/>
    <w:rsid w:val="0063474A"/>
  </w:style>
  <w:style w:type="character" w:customStyle="1" w:styleId="WW8Num28z2">
    <w:name w:val="WW8Num28z2"/>
    <w:uiPriority w:val="99"/>
    <w:rsid w:val="0063474A"/>
  </w:style>
  <w:style w:type="character" w:customStyle="1" w:styleId="WW8Num28z3">
    <w:name w:val="WW8Num28z3"/>
    <w:uiPriority w:val="99"/>
    <w:rsid w:val="0063474A"/>
    <w:rPr>
      <w:rFonts w:ascii="Symbol" w:hAnsi="Symbol"/>
    </w:rPr>
  </w:style>
  <w:style w:type="character" w:customStyle="1" w:styleId="WW8Num28z4">
    <w:name w:val="WW8Num28z4"/>
    <w:uiPriority w:val="99"/>
    <w:rsid w:val="0063474A"/>
  </w:style>
  <w:style w:type="character" w:customStyle="1" w:styleId="WW8Num28z5">
    <w:name w:val="WW8Num28z5"/>
    <w:uiPriority w:val="99"/>
    <w:rsid w:val="0063474A"/>
  </w:style>
  <w:style w:type="character" w:customStyle="1" w:styleId="WW8Num28z6">
    <w:name w:val="WW8Num28z6"/>
    <w:uiPriority w:val="99"/>
    <w:rsid w:val="0063474A"/>
  </w:style>
  <w:style w:type="character" w:customStyle="1" w:styleId="WW8Num28z7">
    <w:name w:val="WW8Num28z7"/>
    <w:uiPriority w:val="99"/>
    <w:rsid w:val="0063474A"/>
  </w:style>
  <w:style w:type="character" w:customStyle="1" w:styleId="WW8Num28z8">
    <w:name w:val="WW8Num28z8"/>
    <w:uiPriority w:val="99"/>
    <w:rsid w:val="0063474A"/>
  </w:style>
  <w:style w:type="character" w:customStyle="1" w:styleId="WW8Num29z0">
    <w:name w:val="WW8Num29z0"/>
    <w:uiPriority w:val="99"/>
    <w:rsid w:val="0063474A"/>
    <w:rPr>
      <w:rFonts w:ascii="Symbol" w:hAnsi="Symbol"/>
      <w:color w:val="000000"/>
    </w:rPr>
  </w:style>
  <w:style w:type="character" w:customStyle="1" w:styleId="WW8Num29z1">
    <w:name w:val="WW8Num29z1"/>
    <w:uiPriority w:val="99"/>
    <w:rsid w:val="0063474A"/>
    <w:rPr>
      <w:rFonts w:ascii="Times New Roman" w:hAnsi="Times New Roman"/>
    </w:rPr>
  </w:style>
  <w:style w:type="character" w:customStyle="1" w:styleId="WW8Num29z2">
    <w:name w:val="WW8Num29z2"/>
    <w:uiPriority w:val="99"/>
    <w:rsid w:val="0063474A"/>
    <w:rPr>
      <w:rFonts w:ascii="Wingdings" w:hAnsi="Wingdings"/>
    </w:rPr>
  </w:style>
  <w:style w:type="character" w:customStyle="1" w:styleId="WW8Num29z3">
    <w:name w:val="WW8Num29z3"/>
    <w:uiPriority w:val="99"/>
    <w:rsid w:val="0063474A"/>
    <w:rPr>
      <w:rFonts w:ascii="Symbol" w:hAnsi="Symbol"/>
    </w:rPr>
  </w:style>
  <w:style w:type="character" w:customStyle="1" w:styleId="WW8Num29z4">
    <w:name w:val="WW8Num29z4"/>
    <w:uiPriority w:val="99"/>
    <w:rsid w:val="0063474A"/>
    <w:rPr>
      <w:rFonts w:ascii="Courier New" w:hAnsi="Courier New"/>
    </w:rPr>
  </w:style>
  <w:style w:type="character" w:customStyle="1" w:styleId="WW8Num30z0">
    <w:name w:val="WW8Num30z0"/>
    <w:uiPriority w:val="99"/>
    <w:rsid w:val="0063474A"/>
  </w:style>
  <w:style w:type="character" w:customStyle="1" w:styleId="WW8Num30z1">
    <w:name w:val="WW8Num30z1"/>
    <w:uiPriority w:val="99"/>
    <w:rsid w:val="0063474A"/>
    <w:rPr>
      <w:rFonts w:ascii="Times New Roman" w:hAnsi="Times New Roman"/>
    </w:rPr>
  </w:style>
  <w:style w:type="character" w:customStyle="1" w:styleId="WW8Num30z2">
    <w:name w:val="WW8Num30z2"/>
    <w:uiPriority w:val="99"/>
    <w:rsid w:val="0063474A"/>
  </w:style>
  <w:style w:type="character" w:customStyle="1" w:styleId="WW8Num30z3">
    <w:name w:val="WW8Num30z3"/>
    <w:uiPriority w:val="99"/>
    <w:rsid w:val="0063474A"/>
  </w:style>
  <w:style w:type="character" w:customStyle="1" w:styleId="WW8Num30z4">
    <w:name w:val="WW8Num30z4"/>
    <w:uiPriority w:val="99"/>
    <w:rsid w:val="0063474A"/>
  </w:style>
  <w:style w:type="character" w:customStyle="1" w:styleId="WW8Num30z5">
    <w:name w:val="WW8Num30z5"/>
    <w:uiPriority w:val="99"/>
    <w:rsid w:val="0063474A"/>
  </w:style>
  <w:style w:type="character" w:customStyle="1" w:styleId="WW8Num30z6">
    <w:name w:val="WW8Num30z6"/>
    <w:uiPriority w:val="99"/>
    <w:rsid w:val="0063474A"/>
  </w:style>
  <w:style w:type="character" w:customStyle="1" w:styleId="WW8Num30z7">
    <w:name w:val="WW8Num30z7"/>
    <w:uiPriority w:val="99"/>
    <w:rsid w:val="0063474A"/>
  </w:style>
  <w:style w:type="character" w:customStyle="1" w:styleId="WW8Num30z8">
    <w:name w:val="WW8Num30z8"/>
    <w:uiPriority w:val="99"/>
    <w:rsid w:val="0063474A"/>
  </w:style>
  <w:style w:type="character" w:customStyle="1" w:styleId="WW8Num31z0">
    <w:name w:val="WW8Num31z0"/>
    <w:uiPriority w:val="99"/>
    <w:rsid w:val="0063474A"/>
    <w:rPr>
      <w:rFonts w:ascii="Calibri" w:hAnsi="Calibri"/>
    </w:rPr>
  </w:style>
  <w:style w:type="character" w:customStyle="1" w:styleId="WW8Num32z0">
    <w:name w:val="WW8Num32z0"/>
    <w:uiPriority w:val="99"/>
    <w:rsid w:val="0063474A"/>
    <w:rPr>
      <w:color w:val="000000"/>
    </w:rPr>
  </w:style>
  <w:style w:type="character" w:customStyle="1" w:styleId="WW8Num32z1">
    <w:name w:val="WW8Num32z1"/>
    <w:uiPriority w:val="99"/>
    <w:rsid w:val="0063474A"/>
  </w:style>
  <w:style w:type="character" w:customStyle="1" w:styleId="WW8Num32z2">
    <w:name w:val="WW8Num32z2"/>
    <w:uiPriority w:val="99"/>
    <w:rsid w:val="0063474A"/>
  </w:style>
  <w:style w:type="character" w:customStyle="1" w:styleId="WW8Num32z3">
    <w:name w:val="WW8Num32z3"/>
    <w:uiPriority w:val="99"/>
    <w:rsid w:val="0063474A"/>
  </w:style>
  <w:style w:type="character" w:customStyle="1" w:styleId="WW8Num32z4">
    <w:name w:val="WW8Num32z4"/>
    <w:uiPriority w:val="99"/>
    <w:rsid w:val="0063474A"/>
  </w:style>
  <w:style w:type="character" w:customStyle="1" w:styleId="WW8Num32z5">
    <w:name w:val="WW8Num32z5"/>
    <w:uiPriority w:val="99"/>
    <w:rsid w:val="0063474A"/>
  </w:style>
  <w:style w:type="character" w:customStyle="1" w:styleId="WW8Num32z6">
    <w:name w:val="WW8Num32z6"/>
    <w:uiPriority w:val="99"/>
    <w:rsid w:val="0063474A"/>
  </w:style>
  <w:style w:type="character" w:customStyle="1" w:styleId="WW8Num32z7">
    <w:name w:val="WW8Num32z7"/>
    <w:uiPriority w:val="99"/>
    <w:rsid w:val="0063474A"/>
  </w:style>
  <w:style w:type="character" w:customStyle="1" w:styleId="WW8Num32z8">
    <w:name w:val="WW8Num32z8"/>
    <w:uiPriority w:val="99"/>
    <w:rsid w:val="0063474A"/>
  </w:style>
  <w:style w:type="character" w:customStyle="1" w:styleId="WW8Num33z0">
    <w:name w:val="WW8Num33z0"/>
    <w:uiPriority w:val="99"/>
    <w:rsid w:val="0063474A"/>
    <w:rPr>
      <w:rFonts w:ascii="Wingdings" w:hAnsi="Wingdings"/>
    </w:rPr>
  </w:style>
  <w:style w:type="character" w:customStyle="1" w:styleId="WW8Num33z1">
    <w:name w:val="WW8Num33z1"/>
    <w:uiPriority w:val="99"/>
    <w:rsid w:val="0063474A"/>
    <w:rPr>
      <w:rFonts w:ascii="Courier New" w:hAnsi="Courier New"/>
    </w:rPr>
  </w:style>
  <w:style w:type="character" w:customStyle="1" w:styleId="WW8Num33z3">
    <w:name w:val="WW8Num33z3"/>
    <w:uiPriority w:val="99"/>
    <w:rsid w:val="0063474A"/>
    <w:rPr>
      <w:rFonts w:ascii="Symbol" w:hAnsi="Symbol"/>
    </w:rPr>
  </w:style>
  <w:style w:type="character" w:customStyle="1" w:styleId="WW8Num34z0">
    <w:name w:val="WW8Num34z0"/>
    <w:uiPriority w:val="99"/>
    <w:rsid w:val="0063474A"/>
    <w:rPr>
      <w:rFonts w:ascii="Arial" w:hAnsi="Arial"/>
    </w:rPr>
  </w:style>
  <w:style w:type="character" w:customStyle="1" w:styleId="WW8Num34z1">
    <w:name w:val="WW8Num34z1"/>
    <w:uiPriority w:val="99"/>
    <w:rsid w:val="0063474A"/>
    <w:rPr>
      <w:rFonts w:ascii="Courier New" w:hAnsi="Courier New"/>
    </w:rPr>
  </w:style>
  <w:style w:type="character" w:customStyle="1" w:styleId="WW8Num34z2">
    <w:name w:val="WW8Num34z2"/>
    <w:uiPriority w:val="99"/>
    <w:rsid w:val="0063474A"/>
    <w:rPr>
      <w:rFonts w:ascii="Wingdings" w:hAnsi="Wingdings"/>
    </w:rPr>
  </w:style>
  <w:style w:type="character" w:customStyle="1" w:styleId="WW8Num34z3">
    <w:name w:val="WW8Num34z3"/>
    <w:uiPriority w:val="99"/>
    <w:rsid w:val="0063474A"/>
    <w:rPr>
      <w:rFonts w:ascii="Symbol" w:hAnsi="Symbol"/>
    </w:rPr>
  </w:style>
  <w:style w:type="character" w:customStyle="1" w:styleId="WW8Num35z0">
    <w:name w:val="WW8Num35z0"/>
    <w:uiPriority w:val="99"/>
    <w:rsid w:val="0063474A"/>
    <w:rPr>
      <w:rFonts w:ascii="Symbol" w:hAnsi="Symbol"/>
    </w:rPr>
  </w:style>
  <w:style w:type="character" w:customStyle="1" w:styleId="WW8Num35z1">
    <w:name w:val="WW8Num35z1"/>
    <w:uiPriority w:val="99"/>
    <w:rsid w:val="0063474A"/>
    <w:rPr>
      <w:rFonts w:ascii="Courier New" w:hAnsi="Courier New"/>
    </w:rPr>
  </w:style>
  <w:style w:type="character" w:customStyle="1" w:styleId="WW8Num35z2">
    <w:name w:val="WW8Num35z2"/>
    <w:uiPriority w:val="99"/>
    <w:rsid w:val="0063474A"/>
    <w:rPr>
      <w:rFonts w:ascii="Wingdings" w:hAnsi="Wingdings"/>
    </w:rPr>
  </w:style>
  <w:style w:type="character" w:customStyle="1" w:styleId="WW8Num36z0">
    <w:name w:val="WW8Num36z0"/>
    <w:uiPriority w:val="99"/>
    <w:rsid w:val="0063474A"/>
  </w:style>
  <w:style w:type="character" w:customStyle="1" w:styleId="WW8Num36z1">
    <w:name w:val="WW8Num36z1"/>
    <w:uiPriority w:val="99"/>
    <w:rsid w:val="0063474A"/>
  </w:style>
  <w:style w:type="character" w:customStyle="1" w:styleId="WW8Num36z2">
    <w:name w:val="WW8Num36z2"/>
    <w:uiPriority w:val="99"/>
    <w:rsid w:val="0063474A"/>
  </w:style>
  <w:style w:type="character" w:customStyle="1" w:styleId="WW8Num36z3">
    <w:name w:val="WW8Num36z3"/>
    <w:uiPriority w:val="99"/>
    <w:rsid w:val="0063474A"/>
  </w:style>
  <w:style w:type="character" w:customStyle="1" w:styleId="WW8Num36z4">
    <w:name w:val="WW8Num36z4"/>
    <w:uiPriority w:val="99"/>
    <w:rsid w:val="0063474A"/>
  </w:style>
  <w:style w:type="character" w:customStyle="1" w:styleId="WW8Num36z5">
    <w:name w:val="WW8Num36z5"/>
    <w:uiPriority w:val="99"/>
    <w:rsid w:val="0063474A"/>
  </w:style>
  <w:style w:type="character" w:customStyle="1" w:styleId="WW8Num36z6">
    <w:name w:val="WW8Num36z6"/>
    <w:uiPriority w:val="99"/>
    <w:rsid w:val="0063474A"/>
  </w:style>
  <w:style w:type="character" w:customStyle="1" w:styleId="WW8Num36z7">
    <w:name w:val="WW8Num36z7"/>
    <w:uiPriority w:val="99"/>
    <w:rsid w:val="0063474A"/>
  </w:style>
  <w:style w:type="character" w:customStyle="1" w:styleId="WW8Num36z8">
    <w:name w:val="WW8Num36z8"/>
    <w:uiPriority w:val="99"/>
    <w:rsid w:val="0063474A"/>
  </w:style>
  <w:style w:type="character" w:customStyle="1" w:styleId="WW8Num37z0">
    <w:name w:val="WW8Num37z0"/>
    <w:uiPriority w:val="99"/>
    <w:rsid w:val="0063474A"/>
  </w:style>
  <w:style w:type="character" w:customStyle="1" w:styleId="WW8Num37z1">
    <w:name w:val="WW8Num37z1"/>
    <w:uiPriority w:val="99"/>
    <w:rsid w:val="0063474A"/>
  </w:style>
  <w:style w:type="character" w:customStyle="1" w:styleId="WW8Num37z2">
    <w:name w:val="WW8Num37z2"/>
    <w:uiPriority w:val="99"/>
    <w:rsid w:val="0063474A"/>
  </w:style>
  <w:style w:type="character" w:customStyle="1" w:styleId="WW8Num37z3">
    <w:name w:val="WW8Num37z3"/>
    <w:uiPriority w:val="99"/>
    <w:rsid w:val="0063474A"/>
  </w:style>
  <w:style w:type="character" w:customStyle="1" w:styleId="WW8Num37z4">
    <w:name w:val="WW8Num37z4"/>
    <w:uiPriority w:val="99"/>
    <w:rsid w:val="0063474A"/>
  </w:style>
  <w:style w:type="character" w:customStyle="1" w:styleId="WW8Num37z5">
    <w:name w:val="WW8Num37z5"/>
    <w:uiPriority w:val="99"/>
    <w:rsid w:val="0063474A"/>
  </w:style>
  <w:style w:type="character" w:customStyle="1" w:styleId="WW8Num37z6">
    <w:name w:val="WW8Num37z6"/>
    <w:uiPriority w:val="99"/>
    <w:rsid w:val="0063474A"/>
  </w:style>
  <w:style w:type="character" w:customStyle="1" w:styleId="WW8Num37z7">
    <w:name w:val="WW8Num37z7"/>
    <w:uiPriority w:val="99"/>
    <w:rsid w:val="0063474A"/>
  </w:style>
  <w:style w:type="character" w:customStyle="1" w:styleId="WW8Num37z8">
    <w:name w:val="WW8Num37z8"/>
    <w:uiPriority w:val="99"/>
    <w:rsid w:val="0063474A"/>
  </w:style>
  <w:style w:type="character" w:customStyle="1" w:styleId="Fuentedeprrafopredeter1">
    <w:name w:val="Fuente de párrafo predeter.1"/>
    <w:uiPriority w:val="99"/>
    <w:rsid w:val="0063474A"/>
  </w:style>
  <w:style w:type="character" w:customStyle="1" w:styleId="Ttulo1Car">
    <w:name w:val="Título 1 Car"/>
    <w:uiPriority w:val="99"/>
    <w:rsid w:val="0063474A"/>
    <w:rPr>
      <w:rFonts w:ascii="Cambria" w:hAnsi="Cambria"/>
      <w:b/>
      <w:kern w:val="1"/>
      <w:sz w:val="32"/>
    </w:rPr>
  </w:style>
  <w:style w:type="character" w:customStyle="1" w:styleId="Ttulo2Car">
    <w:name w:val="Título 2 Car"/>
    <w:uiPriority w:val="99"/>
    <w:rsid w:val="0063474A"/>
    <w:rPr>
      <w:rFonts w:ascii="Cambria" w:hAnsi="Cambria"/>
      <w:b/>
      <w:i/>
      <w:sz w:val="28"/>
    </w:rPr>
  </w:style>
  <w:style w:type="character" w:customStyle="1" w:styleId="Ttulo3Car">
    <w:name w:val="Título 3 Car"/>
    <w:uiPriority w:val="99"/>
    <w:rsid w:val="0063474A"/>
    <w:rPr>
      <w:rFonts w:ascii="Cambria" w:hAnsi="Cambria"/>
      <w:b/>
      <w:sz w:val="26"/>
    </w:rPr>
  </w:style>
  <w:style w:type="character" w:customStyle="1" w:styleId="Ttulo4Car">
    <w:name w:val="Título 4 Car"/>
    <w:uiPriority w:val="99"/>
    <w:rsid w:val="0063474A"/>
    <w:rPr>
      <w:rFonts w:ascii="Calibri" w:hAnsi="Calibri"/>
      <w:b/>
      <w:sz w:val="28"/>
    </w:rPr>
  </w:style>
  <w:style w:type="character" w:customStyle="1" w:styleId="Ttulo5Car">
    <w:name w:val="Título 5 Car"/>
    <w:uiPriority w:val="99"/>
    <w:rsid w:val="0063474A"/>
    <w:rPr>
      <w:rFonts w:ascii="Calibri" w:hAnsi="Calibri"/>
      <w:b/>
      <w:i/>
      <w:sz w:val="26"/>
    </w:rPr>
  </w:style>
  <w:style w:type="character" w:customStyle="1" w:styleId="Ttulo6Car">
    <w:name w:val="Título 6 Car"/>
    <w:uiPriority w:val="99"/>
    <w:rsid w:val="0063474A"/>
    <w:rPr>
      <w:rFonts w:ascii="Calibri" w:hAnsi="Calibri"/>
      <w:b/>
      <w:sz w:val="22"/>
    </w:rPr>
  </w:style>
  <w:style w:type="character" w:customStyle="1" w:styleId="Ttulo7Car">
    <w:name w:val="Título 7 Car"/>
    <w:uiPriority w:val="99"/>
    <w:rsid w:val="0063474A"/>
    <w:rPr>
      <w:rFonts w:ascii="Calibri" w:hAnsi="Calibri"/>
      <w:sz w:val="24"/>
    </w:rPr>
  </w:style>
  <w:style w:type="character" w:customStyle="1" w:styleId="Ttulo8Car">
    <w:name w:val="Título 8 Car"/>
    <w:uiPriority w:val="99"/>
    <w:rsid w:val="0063474A"/>
    <w:rPr>
      <w:rFonts w:ascii="Calibri" w:hAnsi="Calibri"/>
      <w:i/>
      <w:sz w:val="24"/>
    </w:rPr>
  </w:style>
  <w:style w:type="character" w:customStyle="1" w:styleId="Ttulo9Car">
    <w:name w:val="Título 9 Car"/>
    <w:uiPriority w:val="99"/>
    <w:rsid w:val="0063474A"/>
    <w:rPr>
      <w:rFonts w:ascii="Cambria" w:hAnsi="Cambria"/>
      <w:sz w:val="22"/>
    </w:rPr>
  </w:style>
  <w:style w:type="character" w:customStyle="1" w:styleId="TextodegloboCar">
    <w:name w:val="Texto de globo Car"/>
    <w:uiPriority w:val="99"/>
    <w:rsid w:val="0063474A"/>
    <w:rPr>
      <w:sz w:val="2"/>
    </w:rPr>
  </w:style>
  <w:style w:type="character" w:styleId="Hipervnculo">
    <w:name w:val="Hyperlink"/>
    <w:basedOn w:val="Fuentedeprrafopredeter"/>
    <w:uiPriority w:val="99"/>
    <w:rsid w:val="0063474A"/>
    <w:rPr>
      <w:rFonts w:cs="Times New Roman"/>
      <w:color w:val="0000FF"/>
      <w:u w:val="single"/>
    </w:rPr>
  </w:style>
  <w:style w:type="character" w:customStyle="1" w:styleId="TtuloCar">
    <w:name w:val="Título Car"/>
    <w:uiPriority w:val="99"/>
    <w:rsid w:val="0063474A"/>
    <w:rPr>
      <w:rFonts w:ascii="Cambria" w:hAnsi="Cambria"/>
      <w:b/>
      <w:kern w:val="1"/>
      <w:sz w:val="32"/>
    </w:rPr>
  </w:style>
  <w:style w:type="character" w:customStyle="1" w:styleId="SangradetextonormalCar">
    <w:name w:val="Sangría de texto normal Car"/>
    <w:uiPriority w:val="99"/>
    <w:rsid w:val="0063474A"/>
    <w:rPr>
      <w:sz w:val="24"/>
    </w:rPr>
  </w:style>
  <w:style w:type="character" w:customStyle="1" w:styleId="TextoindependienteCar">
    <w:name w:val="Texto independiente Car"/>
    <w:uiPriority w:val="99"/>
    <w:rsid w:val="0063474A"/>
    <w:rPr>
      <w:sz w:val="24"/>
    </w:rPr>
  </w:style>
  <w:style w:type="character" w:customStyle="1" w:styleId="EncabezadoCar">
    <w:name w:val="Encabezado Car"/>
    <w:uiPriority w:val="99"/>
    <w:rsid w:val="0063474A"/>
    <w:rPr>
      <w:sz w:val="24"/>
    </w:rPr>
  </w:style>
  <w:style w:type="character" w:customStyle="1" w:styleId="PiedepginaCar">
    <w:name w:val="Pie de página Car"/>
    <w:uiPriority w:val="99"/>
    <w:rsid w:val="0063474A"/>
    <w:rPr>
      <w:sz w:val="24"/>
    </w:rPr>
  </w:style>
  <w:style w:type="character" w:styleId="Nmerodepgina">
    <w:name w:val="page number"/>
    <w:basedOn w:val="Fuentedeprrafopredeter"/>
    <w:uiPriority w:val="99"/>
    <w:rsid w:val="0063474A"/>
    <w:rPr>
      <w:rFonts w:cs="Times New Roman"/>
    </w:rPr>
  </w:style>
  <w:style w:type="character" w:customStyle="1" w:styleId="Textoindependiente2Car">
    <w:name w:val="Texto independiente 2 Car"/>
    <w:uiPriority w:val="99"/>
    <w:rsid w:val="0063474A"/>
    <w:rPr>
      <w:sz w:val="24"/>
    </w:rPr>
  </w:style>
  <w:style w:type="character" w:styleId="Hipervnculovisitado">
    <w:name w:val="FollowedHyperlink"/>
    <w:basedOn w:val="Fuentedeprrafopredeter"/>
    <w:uiPriority w:val="99"/>
    <w:rsid w:val="0063474A"/>
    <w:rPr>
      <w:rFonts w:cs="Times New Roman"/>
      <w:color w:val="800080"/>
      <w:u w:val="single"/>
    </w:rPr>
  </w:style>
  <w:style w:type="character" w:customStyle="1" w:styleId="Textoindependiente3Car">
    <w:name w:val="Texto independiente 3 Car"/>
    <w:uiPriority w:val="99"/>
    <w:rsid w:val="0063474A"/>
    <w:rPr>
      <w:sz w:val="16"/>
    </w:rPr>
  </w:style>
  <w:style w:type="character" w:customStyle="1" w:styleId="t101">
    <w:name w:val="t101"/>
    <w:uiPriority w:val="99"/>
    <w:rsid w:val="0063474A"/>
    <w:rPr>
      <w:rFonts w:ascii="Arial" w:hAnsi="Arial"/>
      <w:sz w:val="24"/>
    </w:rPr>
  </w:style>
  <w:style w:type="character" w:styleId="Textoennegrita">
    <w:name w:val="Strong"/>
    <w:basedOn w:val="Fuentedeprrafopredeter"/>
    <w:uiPriority w:val="99"/>
    <w:qFormat/>
    <w:rsid w:val="0063474A"/>
    <w:rPr>
      <w:rFonts w:cs="Times New Roman"/>
      <w:b/>
    </w:rPr>
  </w:style>
  <w:style w:type="character" w:customStyle="1" w:styleId="para1">
    <w:name w:val="para1"/>
    <w:uiPriority w:val="99"/>
    <w:rsid w:val="0063474A"/>
    <w:rPr>
      <w:rFonts w:ascii="Arial" w:hAnsi="Arial"/>
      <w:sz w:val="19"/>
    </w:rPr>
  </w:style>
  <w:style w:type="character" w:customStyle="1" w:styleId="z-PrincipiodelformularioCar">
    <w:name w:val="z-Principio del formulario Car"/>
    <w:uiPriority w:val="99"/>
    <w:rsid w:val="0063474A"/>
    <w:rPr>
      <w:rFonts w:ascii="Arial" w:hAnsi="Arial"/>
      <w:vanish/>
      <w:sz w:val="16"/>
    </w:rPr>
  </w:style>
  <w:style w:type="character" w:customStyle="1" w:styleId="Sangra3detindependienteCar">
    <w:name w:val="Sangría 3 de t. independiente Car"/>
    <w:uiPriority w:val="99"/>
    <w:rsid w:val="0063474A"/>
    <w:rPr>
      <w:sz w:val="16"/>
    </w:rPr>
  </w:style>
  <w:style w:type="character" w:customStyle="1" w:styleId="TextosinformatoCar">
    <w:name w:val="Texto sin formato Car"/>
    <w:uiPriority w:val="99"/>
    <w:rsid w:val="0063474A"/>
    <w:rPr>
      <w:rFonts w:ascii="Courier New" w:hAnsi="Courier New"/>
    </w:rPr>
  </w:style>
  <w:style w:type="character" w:styleId="nfasis">
    <w:name w:val="Emphasis"/>
    <w:basedOn w:val="Fuentedeprrafopredeter"/>
    <w:uiPriority w:val="99"/>
    <w:qFormat/>
    <w:rsid w:val="0063474A"/>
    <w:rPr>
      <w:rFonts w:cs="Times New Roman"/>
      <w:i/>
    </w:rPr>
  </w:style>
  <w:style w:type="character" w:customStyle="1" w:styleId="CitadestacadaCar">
    <w:name w:val="Cita destacada Car"/>
    <w:uiPriority w:val="99"/>
    <w:rsid w:val="0063474A"/>
    <w:rPr>
      <w:b/>
      <w:i/>
      <w:color w:val="4F81BD"/>
      <w:sz w:val="24"/>
      <w:lang w:val="es-ES"/>
    </w:rPr>
  </w:style>
  <w:style w:type="character" w:customStyle="1" w:styleId="st1">
    <w:name w:val="st1"/>
    <w:basedOn w:val="Fuentedeprrafopredeter1"/>
    <w:uiPriority w:val="99"/>
    <w:rsid w:val="0063474A"/>
    <w:rPr>
      <w:rFonts w:cs="Times New Roman"/>
    </w:rPr>
  </w:style>
  <w:style w:type="character" w:customStyle="1" w:styleId="A6">
    <w:name w:val="A6"/>
    <w:uiPriority w:val="99"/>
    <w:rsid w:val="0063474A"/>
    <w:rPr>
      <w:color w:val="000000"/>
      <w:sz w:val="18"/>
    </w:rPr>
  </w:style>
  <w:style w:type="character" w:customStyle="1" w:styleId="Caracteresdenotafinal">
    <w:name w:val="Caracteres de nota final"/>
    <w:uiPriority w:val="99"/>
    <w:rsid w:val="0063474A"/>
    <w:rPr>
      <w:vertAlign w:val="superscript"/>
    </w:rPr>
  </w:style>
  <w:style w:type="character" w:customStyle="1" w:styleId="sel1348427992542">
    <w:name w:val="sel_1348427992542"/>
    <w:basedOn w:val="Fuentedeprrafopredeter1"/>
    <w:uiPriority w:val="99"/>
    <w:rsid w:val="0063474A"/>
    <w:rPr>
      <w:rFonts w:cs="Times New Roman"/>
    </w:rPr>
  </w:style>
  <w:style w:type="character" w:customStyle="1" w:styleId="Refdecomentario1">
    <w:name w:val="Ref. de comentario1"/>
    <w:uiPriority w:val="99"/>
    <w:rsid w:val="0063474A"/>
    <w:rPr>
      <w:sz w:val="16"/>
    </w:rPr>
  </w:style>
  <w:style w:type="character" w:customStyle="1" w:styleId="HeaderChar">
    <w:name w:val="Header Char"/>
    <w:uiPriority w:val="99"/>
    <w:rsid w:val="0063474A"/>
    <w:rPr>
      <w:sz w:val="24"/>
    </w:rPr>
  </w:style>
  <w:style w:type="character" w:styleId="CitaHTML">
    <w:name w:val="HTML Cite"/>
    <w:basedOn w:val="Fuentedeprrafopredeter"/>
    <w:uiPriority w:val="99"/>
    <w:rsid w:val="0063474A"/>
    <w:rPr>
      <w:rFonts w:cs="Times New Roman"/>
      <w:color w:val="009933"/>
    </w:rPr>
  </w:style>
  <w:style w:type="character" w:customStyle="1" w:styleId="yiv1702884738149114909-15062012">
    <w:name w:val="yiv1702884738149114909-15062012"/>
    <w:basedOn w:val="Fuentedeprrafopredeter1"/>
    <w:uiPriority w:val="99"/>
    <w:rsid w:val="0063474A"/>
    <w:rPr>
      <w:rFonts w:cs="Times New Roman"/>
    </w:rPr>
  </w:style>
  <w:style w:type="character" w:customStyle="1" w:styleId="highlight">
    <w:name w:val="highlight"/>
    <w:basedOn w:val="Fuentedeprrafopredeter1"/>
    <w:uiPriority w:val="99"/>
    <w:rsid w:val="0063474A"/>
    <w:rPr>
      <w:rFonts w:cs="Times New Roman"/>
    </w:rPr>
  </w:style>
  <w:style w:type="character" w:customStyle="1" w:styleId="CarCar22">
    <w:name w:val="Car Car22"/>
    <w:uiPriority w:val="99"/>
    <w:rsid w:val="0063474A"/>
    <w:rPr>
      <w:rFonts w:ascii="Cambria" w:hAnsi="Cambria"/>
      <w:b/>
      <w:kern w:val="1"/>
      <w:sz w:val="32"/>
    </w:rPr>
  </w:style>
  <w:style w:type="character" w:customStyle="1" w:styleId="A2">
    <w:name w:val="A2"/>
    <w:uiPriority w:val="99"/>
    <w:rsid w:val="0063474A"/>
    <w:rPr>
      <w:rFonts w:ascii="DZMIPA+HelveticaNeue-Medium" w:hAnsi="DZMIPA+HelveticaNeue-Medium"/>
      <w:color w:val="000000"/>
      <w:sz w:val="16"/>
    </w:rPr>
  </w:style>
  <w:style w:type="character" w:customStyle="1" w:styleId="longtext">
    <w:name w:val="long_text"/>
    <w:basedOn w:val="Fuentedeprrafopredeter1"/>
    <w:uiPriority w:val="99"/>
    <w:rsid w:val="0063474A"/>
    <w:rPr>
      <w:rFonts w:cs="Times New Roman"/>
    </w:rPr>
  </w:style>
  <w:style w:type="character" w:customStyle="1" w:styleId="hps">
    <w:name w:val="hps"/>
    <w:basedOn w:val="Fuentedeprrafopredeter1"/>
    <w:uiPriority w:val="99"/>
    <w:rsid w:val="0063474A"/>
    <w:rPr>
      <w:rFonts w:cs="Times New Roman"/>
    </w:rPr>
  </w:style>
  <w:style w:type="character" w:customStyle="1" w:styleId="hpsatn">
    <w:name w:val="hps atn"/>
    <w:basedOn w:val="Fuentedeprrafopredeter1"/>
    <w:uiPriority w:val="99"/>
    <w:rsid w:val="0063474A"/>
    <w:rPr>
      <w:rFonts w:cs="Times New Roman"/>
    </w:rPr>
  </w:style>
  <w:style w:type="character" w:customStyle="1" w:styleId="Caracteresdenotaalpie">
    <w:name w:val="Caracteres de nota al pie"/>
    <w:uiPriority w:val="99"/>
    <w:rsid w:val="0063474A"/>
    <w:rPr>
      <w:vertAlign w:val="superscript"/>
    </w:rPr>
  </w:style>
  <w:style w:type="character" w:customStyle="1" w:styleId="Smbolosdenumeracin">
    <w:name w:val="Símbolos de numeración"/>
    <w:uiPriority w:val="99"/>
    <w:rsid w:val="0063474A"/>
  </w:style>
  <w:style w:type="character" w:customStyle="1" w:styleId="Vietas">
    <w:name w:val="Viñetas"/>
    <w:uiPriority w:val="99"/>
    <w:rsid w:val="0063474A"/>
    <w:rPr>
      <w:rFonts w:ascii="Symbol" w:hAnsi="Symbol"/>
      <w:sz w:val="24"/>
    </w:rPr>
  </w:style>
  <w:style w:type="character" w:customStyle="1" w:styleId="Refdenotaalfinal1">
    <w:name w:val="Ref. de nota al final1"/>
    <w:uiPriority w:val="99"/>
    <w:rsid w:val="0063474A"/>
    <w:rPr>
      <w:vertAlign w:val="superscript"/>
    </w:rPr>
  </w:style>
  <w:style w:type="character" w:customStyle="1" w:styleId="Refdenotaalpie1">
    <w:name w:val="Ref. de nota al pie1"/>
    <w:uiPriority w:val="99"/>
    <w:rsid w:val="0063474A"/>
    <w:rPr>
      <w:vertAlign w:val="superscript"/>
    </w:rPr>
  </w:style>
  <w:style w:type="character" w:customStyle="1" w:styleId="organisation-logo">
    <w:name w:val="organisation-logo"/>
    <w:basedOn w:val="Fuentedeprrafopredeter1"/>
    <w:uiPriority w:val="99"/>
    <w:rsid w:val="0063474A"/>
    <w:rPr>
      <w:rFonts w:cs="Times New Roman"/>
    </w:rPr>
  </w:style>
  <w:style w:type="character" w:customStyle="1" w:styleId="Refdenotaalfinal2">
    <w:name w:val="Ref. de nota al final2"/>
    <w:uiPriority w:val="99"/>
    <w:rsid w:val="0063474A"/>
    <w:rPr>
      <w:vertAlign w:val="superscript"/>
    </w:rPr>
  </w:style>
  <w:style w:type="character" w:customStyle="1" w:styleId="Refdenotaalpie2">
    <w:name w:val="Ref. de nota al pie2"/>
    <w:uiPriority w:val="99"/>
    <w:rsid w:val="0063474A"/>
    <w:rPr>
      <w:vertAlign w:val="superscript"/>
    </w:rPr>
  </w:style>
  <w:style w:type="paragraph" w:customStyle="1" w:styleId="Encabezado2">
    <w:name w:val="Encabezado2"/>
    <w:basedOn w:val="Normal"/>
    <w:next w:val="Textoindependiente"/>
    <w:uiPriority w:val="99"/>
    <w:rsid w:val="0063474A"/>
    <w:pPr>
      <w:keepNext/>
      <w:spacing w:before="240" w:after="120"/>
    </w:pPr>
    <w:rPr>
      <w:rFonts w:ascii="Liberation Sans" w:eastAsia="Microsoft YaHei" w:hAnsi="Liberation Sans" w:cs="Mangal"/>
      <w:sz w:val="28"/>
      <w:szCs w:val="28"/>
    </w:rPr>
  </w:style>
  <w:style w:type="paragraph" w:styleId="Textoindependiente">
    <w:name w:val="Body Text"/>
    <w:basedOn w:val="Normal"/>
    <w:link w:val="TextoindependienteCar1"/>
    <w:uiPriority w:val="99"/>
    <w:rsid w:val="0063474A"/>
    <w:rPr>
      <w:szCs w:val="20"/>
    </w:rPr>
  </w:style>
  <w:style w:type="character" w:customStyle="1" w:styleId="TextoindependienteCar1">
    <w:name w:val="Texto independiente Car1"/>
    <w:basedOn w:val="Fuentedeprrafopredeter"/>
    <w:link w:val="Textoindependiente"/>
    <w:uiPriority w:val="99"/>
    <w:semiHidden/>
    <w:locked/>
    <w:rsid w:val="000A5A69"/>
    <w:rPr>
      <w:rFonts w:cs="Times New Roman"/>
      <w:sz w:val="24"/>
      <w:szCs w:val="24"/>
      <w:lang w:eastAsia="zh-CN"/>
    </w:rPr>
  </w:style>
  <w:style w:type="paragraph" w:styleId="Lista">
    <w:name w:val="List"/>
    <w:basedOn w:val="Textoindependiente"/>
    <w:uiPriority w:val="99"/>
    <w:rsid w:val="0063474A"/>
    <w:rPr>
      <w:rFonts w:cs="Lucida Sans"/>
    </w:rPr>
  </w:style>
  <w:style w:type="paragraph" w:styleId="Epgrafe">
    <w:name w:val="caption"/>
    <w:basedOn w:val="Normal"/>
    <w:uiPriority w:val="99"/>
    <w:qFormat/>
    <w:rsid w:val="0063474A"/>
    <w:pPr>
      <w:suppressLineNumbers/>
      <w:spacing w:before="120" w:after="120"/>
    </w:pPr>
    <w:rPr>
      <w:rFonts w:cs="Mangal"/>
      <w:i/>
      <w:iCs/>
    </w:rPr>
  </w:style>
  <w:style w:type="paragraph" w:customStyle="1" w:styleId="ndice">
    <w:name w:val="Índice"/>
    <w:basedOn w:val="Normal"/>
    <w:uiPriority w:val="99"/>
    <w:rsid w:val="0063474A"/>
    <w:pPr>
      <w:suppressLineNumbers/>
    </w:pPr>
    <w:rPr>
      <w:rFonts w:cs="Lucida Sans"/>
    </w:rPr>
  </w:style>
  <w:style w:type="paragraph" w:customStyle="1" w:styleId="Encabezado1">
    <w:name w:val="Encabezado1"/>
    <w:basedOn w:val="Normal"/>
    <w:next w:val="Textoindependiente"/>
    <w:uiPriority w:val="99"/>
    <w:rsid w:val="0063474A"/>
    <w:pPr>
      <w:keepNext/>
      <w:spacing w:before="240" w:after="120"/>
    </w:pPr>
    <w:rPr>
      <w:rFonts w:ascii="Liberation Sans" w:eastAsia="Microsoft YaHei" w:hAnsi="Liberation Sans" w:cs="Mangal"/>
      <w:sz w:val="28"/>
      <w:szCs w:val="28"/>
    </w:rPr>
  </w:style>
  <w:style w:type="paragraph" w:customStyle="1" w:styleId="Epgrafe2">
    <w:name w:val="Epígrafe2"/>
    <w:basedOn w:val="Normal"/>
    <w:uiPriority w:val="99"/>
    <w:rsid w:val="0063474A"/>
    <w:pPr>
      <w:suppressLineNumbers/>
      <w:spacing w:before="120" w:after="120"/>
    </w:pPr>
    <w:rPr>
      <w:rFonts w:cs="Mangal"/>
      <w:i/>
      <w:iCs/>
    </w:rPr>
  </w:style>
  <w:style w:type="paragraph" w:customStyle="1" w:styleId="Ttulo10">
    <w:name w:val="Título1"/>
    <w:basedOn w:val="Normal"/>
    <w:next w:val="Textoindependiente"/>
    <w:uiPriority w:val="99"/>
    <w:rsid w:val="0063474A"/>
    <w:pPr>
      <w:autoSpaceDE w:val="0"/>
      <w:jc w:val="center"/>
    </w:pPr>
    <w:rPr>
      <w:rFonts w:ascii="Arial" w:hAnsi="Arial" w:cs="Arial"/>
      <w:b/>
      <w:sz w:val="36"/>
      <w:szCs w:val="20"/>
    </w:rPr>
  </w:style>
  <w:style w:type="paragraph" w:customStyle="1" w:styleId="Epgrafe1">
    <w:name w:val="Epígrafe1"/>
    <w:basedOn w:val="Normal"/>
    <w:uiPriority w:val="99"/>
    <w:rsid w:val="0063474A"/>
    <w:pPr>
      <w:suppressLineNumbers/>
      <w:spacing w:before="120" w:after="120"/>
    </w:pPr>
    <w:rPr>
      <w:rFonts w:cs="Lucida Sans"/>
      <w:i/>
      <w:iCs/>
    </w:rPr>
  </w:style>
  <w:style w:type="paragraph" w:styleId="Textodeglobo">
    <w:name w:val="Balloon Text"/>
    <w:basedOn w:val="Normal"/>
    <w:link w:val="TextodegloboCar1"/>
    <w:uiPriority w:val="99"/>
    <w:rsid w:val="0063474A"/>
    <w:rPr>
      <w:rFonts w:ascii="Tahoma" w:hAnsi="Tahoma" w:cs="Tahoma"/>
      <w:sz w:val="16"/>
      <w:szCs w:val="16"/>
    </w:rPr>
  </w:style>
  <w:style w:type="character" w:customStyle="1" w:styleId="TextodegloboCar1">
    <w:name w:val="Texto de globo Car1"/>
    <w:basedOn w:val="Fuentedeprrafopredeter"/>
    <w:link w:val="Textodeglobo"/>
    <w:uiPriority w:val="99"/>
    <w:semiHidden/>
    <w:locked/>
    <w:rsid w:val="000A5A69"/>
    <w:rPr>
      <w:rFonts w:cs="Times New Roman"/>
      <w:sz w:val="2"/>
      <w:lang w:eastAsia="zh-CN"/>
    </w:rPr>
  </w:style>
  <w:style w:type="paragraph" w:styleId="Sangradetextonormal">
    <w:name w:val="Body Text Indent"/>
    <w:basedOn w:val="Normal"/>
    <w:link w:val="SangradetextonormalCar1"/>
    <w:uiPriority w:val="99"/>
    <w:rsid w:val="0063474A"/>
    <w:pPr>
      <w:ind w:left="708"/>
      <w:jc w:val="both"/>
    </w:pPr>
    <w:rPr>
      <w:rFonts w:ascii="Arial" w:hAnsi="Arial" w:cs="Arial"/>
      <w:sz w:val="20"/>
      <w:szCs w:val="20"/>
    </w:rPr>
  </w:style>
  <w:style w:type="character" w:customStyle="1" w:styleId="SangradetextonormalCar1">
    <w:name w:val="Sangría de texto normal Car1"/>
    <w:basedOn w:val="Fuentedeprrafopredeter"/>
    <w:link w:val="Sangradetextonormal"/>
    <w:uiPriority w:val="99"/>
    <w:semiHidden/>
    <w:locked/>
    <w:rsid w:val="000A5A69"/>
    <w:rPr>
      <w:rFonts w:cs="Times New Roman"/>
      <w:sz w:val="24"/>
      <w:szCs w:val="24"/>
      <w:lang w:eastAsia="zh-CN"/>
    </w:rPr>
  </w:style>
  <w:style w:type="paragraph" w:styleId="Encabezado">
    <w:name w:val="header"/>
    <w:basedOn w:val="Normal"/>
    <w:link w:val="EncabezadoCar1"/>
    <w:uiPriority w:val="99"/>
    <w:rsid w:val="0063474A"/>
    <w:pPr>
      <w:tabs>
        <w:tab w:val="center" w:pos="4252"/>
        <w:tab w:val="right" w:pos="8504"/>
      </w:tabs>
    </w:pPr>
    <w:rPr>
      <w:sz w:val="20"/>
      <w:szCs w:val="20"/>
    </w:rPr>
  </w:style>
  <w:style w:type="character" w:customStyle="1" w:styleId="EncabezadoCar1">
    <w:name w:val="Encabezado Car1"/>
    <w:basedOn w:val="Fuentedeprrafopredeter"/>
    <w:link w:val="Encabezado"/>
    <w:uiPriority w:val="99"/>
    <w:semiHidden/>
    <w:locked/>
    <w:rsid w:val="000A5A69"/>
    <w:rPr>
      <w:rFonts w:cs="Times New Roman"/>
      <w:sz w:val="24"/>
      <w:szCs w:val="24"/>
      <w:lang w:eastAsia="zh-CN"/>
    </w:rPr>
  </w:style>
  <w:style w:type="paragraph" w:styleId="Piedepgina">
    <w:name w:val="footer"/>
    <w:basedOn w:val="Normal"/>
    <w:link w:val="PiedepginaCar1"/>
    <w:uiPriority w:val="99"/>
    <w:rsid w:val="0063474A"/>
    <w:pPr>
      <w:tabs>
        <w:tab w:val="center" w:pos="4252"/>
        <w:tab w:val="right" w:pos="8504"/>
      </w:tabs>
    </w:pPr>
    <w:rPr>
      <w:sz w:val="20"/>
      <w:szCs w:val="20"/>
    </w:rPr>
  </w:style>
  <w:style w:type="character" w:customStyle="1" w:styleId="PiedepginaCar1">
    <w:name w:val="Pie de página Car1"/>
    <w:basedOn w:val="Fuentedeprrafopredeter"/>
    <w:link w:val="Piedepgina"/>
    <w:uiPriority w:val="99"/>
    <w:semiHidden/>
    <w:locked/>
    <w:rsid w:val="000A5A69"/>
    <w:rPr>
      <w:rFonts w:cs="Times New Roman"/>
      <w:sz w:val="24"/>
      <w:szCs w:val="24"/>
      <w:lang w:eastAsia="zh-CN"/>
    </w:rPr>
  </w:style>
  <w:style w:type="paragraph" w:customStyle="1" w:styleId="Textoindependiente21">
    <w:name w:val="Texto independiente 21"/>
    <w:basedOn w:val="Normal"/>
    <w:uiPriority w:val="99"/>
    <w:rsid w:val="0063474A"/>
    <w:pPr>
      <w:autoSpaceDE w:val="0"/>
      <w:jc w:val="center"/>
    </w:pPr>
    <w:rPr>
      <w:rFonts w:ascii="Arial" w:hAnsi="Arial" w:cs="Arial"/>
      <w:b/>
      <w:sz w:val="36"/>
      <w:szCs w:val="20"/>
    </w:rPr>
  </w:style>
  <w:style w:type="paragraph" w:customStyle="1" w:styleId="Authors">
    <w:name w:val="Authors"/>
    <w:basedOn w:val="Normal"/>
    <w:uiPriority w:val="99"/>
    <w:rsid w:val="0063474A"/>
    <w:pPr>
      <w:keepNext/>
      <w:spacing w:before="240"/>
    </w:pPr>
    <w:rPr>
      <w:rFonts w:ascii="Arial" w:hAnsi="Arial" w:cs="Arial"/>
      <w:color w:val="000000"/>
      <w:sz w:val="22"/>
      <w:szCs w:val="20"/>
      <w:lang w:val="en-US"/>
    </w:rPr>
  </w:style>
  <w:style w:type="paragraph" w:customStyle="1" w:styleId="Encabezadobase">
    <w:name w:val="Encabezado base"/>
    <w:basedOn w:val="Normal"/>
    <w:uiPriority w:val="99"/>
    <w:rsid w:val="0063474A"/>
    <w:pPr>
      <w:keepLines/>
      <w:tabs>
        <w:tab w:val="center" w:pos="4320"/>
        <w:tab w:val="right" w:pos="8640"/>
      </w:tabs>
      <w:spacing w:after="240"/>
      <w:ind w:firstLine="709"/>
      <w:jc w:val="both"/>
    </w:pPr>
    <w:rPr>
      <w:rFonts w:ascii="Arial" w:hAnsi="Arial" w:cs="Arial"/>
      <w:spacing w:val="-4"/>
      <w:szCs w:val="20"/>
    </w:rPr>
  </w:style>
  <w:style w:type="paragraph" w:styleId="NormalWeb">
    <w:name w:val="Normal (Web)"/>
    <w:basedOn w:val="Normal"/>
    <w:uiPriority w:val="99"/>
    <w:rsid w:val="0063474A"/>
    <w:pPr>
      <w:spacing w:before="280" w:after="280"/>
    </w:pPr>
  </w:style>
  <w:style w:type="paragraph" w:customStyle="1" w:styleId="Textoindependiente33">
    <w:name w:val="Texto independiente 33"/>
    <w:basedOn w:val="Normal"/>
    <w:uiPriority w:val="99"/>
    <w:rsid w:val="0063474A"/>
    <w:rPr>
      <w:rFonts w:ascii="Arial" w:hAnsi="Arial" w:cs="Arial"/>
      <w:sz w:val="36"/>
      <w:szCs w:val="20"/>
    </w:rPr>
  </w:style>
  <w:style w:type="paragraph" w:styleId="z-Principiodelformulario">
    <w:name w:val="HTML Top of Form"/>
    <w:basedOn w:val="Normal"/>
    <w:next w:val="Normal"/>
    <w:link w:val="z-PrincipiodelformularioCar1"/>
    <w:uiPriority w:val="99"/>
    <w:rsid w:val="0063474A"/>
    <w:pPr>
      <w:pBdr>
        <w:top w:val="none" w:sz="0" w:space="0" w:color="000000"/>
        <w:left w:val="none" w:sz="0" w:space="0" w:color="000000"/>
        <w:bottom w:val="single" w:sz="6" w:space="1" w:color="000000"/>
        <w:right w:val="none" w:sz="0" w:space="0" w:color="000000"/>
      </w:pBdr>
      <w:jc w:val="center"/>
    </w:pPr>
    <w:rPr>
      <w:rFonts w:ascii="Arial" w:eastAsia="Arial Unicode MS" w:hAnsi="Arial" w:cs="Arial"/>
      <w:vanish/>
      <w:sz w:val="16"/>
      <w:szCs w:val="16"/>
    </w:rPr>
  </w:style>
  <w:style w:type="character" w:customStyle="1" w:styleId="z-PrincipiodelformularioCar1">
    <w:name w:val="z-Principio del formulario Car1"/>
    <w:basedOn w:val="Fuentedeprrafopredeter"/>
    <w:link w:val="z-Principiodelformulario"/>
    <w:uiPriority w:val="99"/>
    <w:semiHidden/>
    <w:locked/>
    <w:rsid w:val="000A5A69"/>
    <w:rPr>
      <w:rFonts w:ascii="Arial" w:hAnsi="Arial" w:cs="Arial"/>
      <w:vanish/>
      <w:sz w:val="16"/>
      <w:szCs w:val="16"/>
      <w:lang w:eastAsia="zh-CN"/>
    </w:rPr>
  </w:style>
  <w:style w:type="paragraph" w:customStyle="1" w:styleId="Sangra3detindependiente1">
    <w:name w:val="Sangría 3 de t. independiente1"/>
    <w:basedOn w:val="Normal"/>
    <w:uiPriority w:val="99"/>
    <w:rsid w:val="0063474A"/>
    <w:pPr>
      <w:ind w:left="708"/>
      <w:jc w:val="both"/>
    </w:pPr>
    <w:rPr>
      <w:rFonts w:ascii="Arial" w:hAnsi="Arial" w:cs="Arial"/>
      <w:bCs/>
      <w:sz w:val="22"/>
      <w:szCs w:val="20"/>
    </w:rPr>
  </w:style>
  <w:style w:type="paragraph" w:customStyle="1" w:styleId="Textosinformato1">
    <w:name w:val="Texto sin formato1"/>
    <w:basedOn w:val="Normal"/>
    <w:uiPriority w:val="99"/>
    <w:rsid w:val="0063474A"/>
    <w:rPr>
      <w:rFonts w:ascii="Courier New" w:hAnsi="Courier New" w:cs="Courier New"/>
      <w:sz w:val="20"/>
      <w:szCs w:val="20"/>
    </w:rPr>
  </w:style>
  <w:style w:type="paragraph" w:customStyle="1" w:styleId="Textoindependiente31">
    <w:name w:val="Texto independiente 31"/>
    <w:basedOn w:val="Normal"/>
    <w:uiPriority w:val="99"/>
    <w:rsid w:val="0063474A"/>
    <w:pPr>
      <w:widowControl w:val="0"/>
    </w:pPr>
    <w:rPr>
      <w:color w:val="0000FF"/>
      <w:kern w:val="1"/>
      <w:sz w:val="48"/>
    </w:rPr>
  </w:style>
  <w:style w:type="paragraph" w:styleId="Textonotapie">
    <w:name w:val="footnote text"/>
    <w:basedOn w:val="Normal"/>
    <w:link w:val="TextonotapieCar"/>
    <w:uiPriority w:val="99"/>
    <w:rsid w:val="0063474A"/>
    <w:rPr>
      <w:rFonts w:ascii="Arial" w:hAnsi="Arial" w:cs="Arial"/>
      <w:sz w:val="20"/>
      <w:szCs w:val="20"/>
    </w:rPr>
  </w:style>
  <w:style w:type="character" w:customStyle="1" w:styleId="TextonotapieCar">
    <w:name w:val="Texto nota pie Car"/>
    <w:basedOn w:val="Fuentedeprrafopredeter"/>
    <w:link w:val="Textonotapie"/>
    <w:uiPriority w:val="99"/>
    <w:semiHidden/>
    <w:locked/>
    <w:rsid w:val="000A5A69"/>
    <w:rPr>
      <w:rFonts w:cs="Times New Roman"/>
      <w:sz w:val="20"/>
      <w:szCs w:val="20"/>
      <w:lang w:eastAsia="zh-CN"/>
    </w:rPr>
  </w:style>
  <w:style w:type="paragraph" w:customStyle="1" w:styleId="Textocomentario1">
    <w:name w:val="Texto comentario1"/>
    <w:basedOn w:val="Normal"/>
    <w:uiPriority w:val="99"/>
    <w:rsid w:val="0063474A"/>
    <w:rPr>
      <w:sz w:val="20"/>
      <w:szCs w:val="20"/>
    </w:rPr>
  </w:style>
  <w:style w:type="paragraph" w:customStyle="1" w:styleId="Default">
    <w:name w:val="Default"/>
    <w:uiPriority w:val="99"/>
    <w:rsid w:val="0063474A"/>
    <w:pPr>
      <w:suppressAutoHyphens/>
      <w:autoSpaceDE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63474A"/>
    <w:pPr>
      <w:spacing w:line="240" w:lineRule="atLeast"/>
    </w:pPr>
    <w:rPr>
      <w:rFonts w:cs="Times New Roman"/>
    </w:rPr>
  </w:style>
  <w:style w:type="paragraph" w:customStyle="1" w:styleId="Pa50">
    <w:name w:val="Pa50"/>
    <w:basedOn w:val="Default"/>
    <w:next w:val="Default"/>
    <w:uiPriority w:val="99"/>
    <w:rsid w:val="0063474A"/>
    <w:pPr>
      <w:spacing w:line="240" w:lineRule="atLeast"/>
    </w:pPr>
    <w:rPr>
      <w:rFonts w:cs="Times New Roman"/>
    </w:rPr>
  </w:style>
  <w:style w:type="paragraph" w:customStyle="1" w:styleId="Pa51">
    <w:name w:val="Pa51"/>
    <w:basedOn w:val="Default"/>
    <w:next w:val="Default"/>
    <w:uiPriority w:val="99"/>
    <w:rsid w:val="0063474A"/>
    <w:pPr>
      <w:spacing w:line="240" w:lineRule="atLeast"/>
    </w:pPr>
    <w:rPr>
      <w:rFonts w:cs="Times New Roman"/>
    </w:rPr>
  </w:style>
  <w:style w:type="paragraph" w:customStyle="1" w:styleId="Pa53">
    <w:name w:val="Pa53"/>
    <w:basedOn w:val="Default"/>
    <w:next w:val="Default"/>
    <w:uiPriority w:val="99"/>
    <w:rsid w:val="0063474A"/>
    <w:pPr>
      <w:spacing w:line="240" w:lineRule="atLeast"/>
    </w:pPr>
    <w:rPr>
      <w:rFonts w:cs="Times New Roman"/>
    </w:rPr>
  </w:style>
  <w:style w:type="paragraph" w:customStyle="1" w:styleId="Pa14">
    <w:name w:val="Pa14"/>
    <w:basedOn w:val="Default"/>
    <w:next w:val="Default"/>
    <w:uiPriority w:val="99"/>
    <w:rsid w:val="0063474A"/>
    <w:pPr>
      <w:spacing w:line="240" w:lineRule="atLeast"/>
    </w:pPr>
    <w:rPr>
      <w:rFonts w:cs="Times New Roman"/>
    </w:rPr>
  </w:style>
  <w:style w:type="paragraph" w:styleId="Citadestacada">
    <w:name w:val="Intense Quote"/>
    <w:basedOn w:val="Normal"/>
    <w:next w:val="Normal"/>
    <w:link w:val="CitadestacadaCar1"/>
    <w:uiPriority w:val="99"/>
    <w:qFormat/>
    <w:rsid w:val="0063474A"/>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character" w:customStyle="1" w:styleId="CitadestacadaCar1">
    <w:name w:val="Cita destacada Car1"/>
    <w:basedOn w:val="Fuentedeprrafopredeter"/>
    <w:link w:val="Citadestacada"/>
    <w:uiPriority w:val="99"/>
    <w:locked/>
    <w:rsid w:val="000A5A69"/>
    <w:rPr>
      <w:rFonts w:cs="Times New Roman"/>
      <w:b/>
      <w:bCs/>
      <w:i/>
      <w:iCs/>
      <w:color w:val="4F81BD"/>
      <w:sz w:val="24"/>
      <w:szCs w:val="24"/>
      <w:lang w:eastAsia="zh-CN"/>
    </w:rPr>
  </w:style>
  <w:style w:type="paragraph" w:styleId="HTMLconformatoprevio">
    <w:name w:val="HTML Preformatted"/>
    <w:basedOn w:val="Normal"/>
    <w:link w:val="HTMLconformatoprevioCar"/>
    <w:uiPriority w:val="99"/>
    <w:rsid w:val="00634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0A5A69"/>
    <w:rPr>
      <w:rFonts w:ascii="Courier New" w:hAnsi="Courier New" w:cs="Courier New"/>
      <w:sz w:val="20"/>
      <w:szCs w:val="20"/>
      <w:lang w:eastAsia="zh-CN"/>
    </w:rPr>
  </w:style>
  <w:style w:type="paragraph" w:customStyle="1" w:styleId="Pa54">
    <w:name w:val="Pa54"/>
    <w:basedOn w:val="Normal"/>
    <w:next w:val="Normal"/>
    <w:uiPriority w:val="99"/>
    <w:rsid w:val="0063474A"/>
    <w:pPr>
      <w:autoSpaceDE w:val="0"/>
      <w:spacing w:line="240" w:lineRule="atLeast"/>
    </w:pPr>
    <w:rPr>
      <w:rFonts w:ascii="NBIQZG+HelveticaNeue-Light" w:hAnsi="NBIQZG+HelveticaNeue-Light" w:cs="NBIQZG+HelveticaNeue-Light"/>
    </w:rPr>
  </w:style>
  <w:style w:type="paragraph" w:customStyle="1" w:styleId="Sangra2detindependiente1">
    <w:name w:val="Sangría 2 de t. independiente1"/>
    <w:basedOn w:val="Normal"/>
    <w:uiPriority w:val="99"/>
    <w:rsid w:val="0063474A"/>
    <w:pPr>
      <w:spacing w:after="120" w:line="480" w:lineRule="auto"/>
      <w:ind w:left="283"/>
    </w:pPr>
    <w:rPr>
      <w:sz w:val="20"/>
      <w:szCs w:val="20"/>
    </w:rPr>
  </w:style>
  <w:style w:type="paragraph" w:styleId="Textonotaalfinal">
    <w:name w:val="endnote text"/>
    <w:basedOn w:val="Normal"/>
    <w:link w:val="TextonotaalfinalCar"/>
    <w:uiPriority w:val="99"/>
    <w:rsid w:val="0063474A"/>
    <w:rPr>
      <w:sz w:val="20"/>
      <w:szCs w:val="20"/>
    </w:rPr>
  </w:style>
  <w:style w:type="character" w:customStyle="1" w:styleId="TextonotaalfinalCar">
    <w:name w:val="Texto nota al final Car"/>
    <w:basedOn w:val="Fuentedeprrafopredeter"/>
    <w:link w:val="Textonotaalfinal"/>
    <w:uiPriority w:val="99"/>
    <w:semiHidden/>
    <w:locked/>
    <w:rsid w:val="000A5A69"/>
    <w:rPr>
      <w:rFonts w:cs="Times New Roman"/>
      <w:sz w:val="20"/>
      <w:szCs w:val="20"/>
      <w:lang w:eastAsia="zh-CN"/>
    </w:rPr>
  </w:style>
  <w:style w:type="paragraph" w:styleId="Textocomentario">
    <w:name w:val="annotation text"/>
    <w:basedOn w:val="Normal"/>
    <w:link w:val="TextocomentarioCar"/>
    <w:uiPriority w:val="99"/>
    <w:rsid w:val="009822E4"/>
    <w:rPr>
      <w:sz w:val="20"/>
      <w:szCs w:val="20"/>
    </w:rPr>
  </w:style>
  <w:style w:type="character" w:customStyle="1" w:styleId="TextocomentarioCar">
    <w:name w:val="Texto comentario Car"/>
    <w:basedOn w:val="Fuentedeprrafopredeter"/>
    <w:link w:val="Textocomentario"/>
    <w:uiPriority w:val="99"/>
    <w:locked/>
    <w:rsid w:val="009822E4"/>
    <w:rPr>
      <w:rFonts w:cs="Times New Roman"/>
      <w:lang w:eastAsia="zh-CN"/>
    </w:rPr>
  </w:style>
  <w:style w:type="paragraph" w:styleId="Asuntodelcomentario">
    <w:name w:val="annotation subject"/>
    <w:basedOn w:val="Textocomentario1"/>
    <w:next w:val="Textocomentario1"/>
    <w:link w:val="AsuntodelcomentarioCar"/>
    <w:uiPriority w:val="99"/>
    <w:rsid w:val="0063474A"/>
    <w:rPr>
      <w:b/>
      <w:bCs/>
    </w:rPr>
  </w:style>
  <w:style w:type="character" w:customStyle="1" w:styleId="AsuntodelcomentarioCar">
    <w:name w:val="Asunto del comentario Car"/>
    <w:basedOn w:val="TextocomentarioCar"/>
    <w:link w:val="Asuntodelcomentario"/>
    <w:uiPriority w:val="99"/>
    <w:semiHidden/>
    <w:locked/>
    <w:rsid w:val="000A5A69"/>
    <w:rPr>
      <w:rFonts w:cs="Times New Roman"/>
      <w:b/>
      <w:bCs/>
      <w:sz w:val="20"/>
      <w:szCs w:val="20"/>
      <w:lang w:eastAsia="zh-CN"/>
    </w:rPr>
  </w:style>
  <w:style w:type="paragraph" w:customStyle="1" w:styleId="yiv1702884738msonormal">
    <w:name w:val="yiv1702884738msonormal"/>
    <w:basedOn w:val="Normal"/>
    <w:uiPriority w:val="99"/>
    <w:rsid w:val="0063474A"/>
    <w:pPr>
      <w:spacing w:before="280" w:after="280"/>
    </w:pPr>
  </w:style>
  <w:style w:type="paragraph" w:styleId="Prrafodelista">
    <w:name w:val="List Paragraph"/>
    <w:basedOn w:val="Normal"/>
    <w:uiPriority w:val="99"/>
    <w:qFormat/>
    <w:rsid w:val="0063474A"/>
    <w:pPr>
      <w:ind w:left="708"/>
    </w:pPr>
  </w:style>
  <w:style w:type="paragraph" w:styleId="TDC1">
    <w:name w:val="toc 1"/>
    <w:basedOn w:val="Normal"/>
    <w:next w:val="Normal"/>
    <w:uiPriority w:val="39"/>
    <w:rsid w:val="0063474A"/>
  </w:style>
  <w:style w:type="paragraph" w:styleId="TDC2">
    <w:name w:val="toc 2"/>
    <w:basedOn w:val="Normal"/>
    <w:next w:val="Normal"/>
    <w:uiPriority w:val="39"/>
    <w:rsid w:val="0063474A"/>
    <w:pPr>
      <w:ind w:left="240"/>
    </w:pPr>
  </w:style>
  <w:style w:type="paragraph" w:styleId="TDC3">
    <w:name w:val="toc 3"/>
    <w:basedOn w:val="Normal"/>
    <w:next w:val="Normal"/>
    <w:uiPriority w:val="99"/>
    <w:rsid w:val="0063474A"/>
    <w:pPr>
      <w:ind w:left="480"/>
    </w:pPr>
  </w:style>
  <w:style w:type="paragraph" w:customStyle="1" w:styleId="Pa7">
    <w:name w:val="Pa7"/>
    <w:basedOn w:val="Default"/>
    <w:next w:val="Default"/>
    <w:uiPriority w:val="99"/>
    <w:rsid w:val="0063474A"/>
    <w:pPr>
      <w:spacing w:line="240" w:lineRule="atLeast"/>
    </w:pPr>
    <w:rPr>
      <w:rFonts w:ascii="GNQAFU+HelveticaNeue-Black" w:eastAsia="Times New Roman" w:hAnsi="GNQAFU+HelveticaNeue-Black" w:cs="Times New Roman"/>
    </w:rPr>
  </w:style>
  <w:style w:type="paragraph" w:customStyle="1" w:styleId="Pa24">
    <w:name w:val="Pa24"/>
    <w:basedOn w:val="Default"/>
    <w:next w:val="Default"/>
    <w:uiPriority w:val="99"/>
    <w:rsid w:val="0063474A"/>
    <w:pPr>
      <w:spacing w:line="240" w:lineRule="atLeast"/>
    </w:pPr>
    <w:rPr>
      <w:rFonts w:ascii="GNQAFU+HelveticaNeue-Black" w:eastAsia="Times New Roman" w:hAnsi="GNQAFU+HelveticaNeue-Black" w:cs="Times New Roman"/>
    </w:rPr>
  </w:style>
  <w:style w:type="paragraph" w:customStyle="1" w:styleId="Pa4">
    <w:name w:val="Pa4"/>
    <w:basedOn w:val="Default"/>
    <w:next w:val="Default"/>
    <w:uiPriority w:val="99"/>
    <w:rsid w:val="0063474A"/>
    <w:pPr>
      <w:spacing w:line="240" w:lineRule="atLeast"/>
    </w:pPr>
    <w:rPr>
      <w:rFonts w:ascii="GNQAFU+HelveticaNeue-Black" w:eastAsia="Times New Roman" w:hAnsi="GNQAFU+HelveticaNeue-Black" w:cs="Times New Roman"/>
    </w:rPr>
  </w:style>
  <w:style w:type="paragraph" w:customStyle="1" w:styleId="Pa1">
    <w:name w:val="Pa1"/>
    <w:basedOn w:val="Default"/>
    <w:next w:val="Default"/>
    <w:uiPriority w:val="99"/>
    <w:rsid w:val="0063474A"/>
    <w:pPr>
      <w:spacing w:line="240" w:lineRule="atLeast"/>
    </w:pPr>
    <w:rPr>
      <w:rFonts w:ascii="GNQAFU+HelveticaNeue-Black" w:eastAsia="Times New Roman" w:hAnsi="GNQAFU+HelveticaNeue-Black" w:cs="Times New Roman"/>
    </w:rPr>
  </w:style>
  <w:style w:type="paragraph" w:customStyle="1" w:styleId="Contenidodelatabla">
    <w:name w:val="Contenido de la tabla"/>
    <w:basedOn w:val="Normal"/>
    <w:uiPriority w:val="99"/>
    <w:rsid w:val="0063474A"/>
    <w:pPr>
      <w:suppressLineNumbers/>
    </w:pPr>
  </w:style>
  <w:style w:type="paragraph" w:customStyle="1" w:styleId="Ttulodelatabla">
    <w:name w:val="Título de la tabla"/>
    <w:basedOn w:val="Contenidodelatabla"/>
    <w:uiPriority w:val="99"/>
    <w:rsid w:val="0063474A"/>
    <w:pPr>
      <w:jc w:val="center"/>
    </w:pPr>
    <w:rPr>
      <w:b/>
      <w:bCs/>
    </w:rPr>
  </w:style>
  <w:style w:type="paragraph" w:customStyle="1" w:styleId="Contenidodelmarco">
    <w:name w:val="Contenido del marco"/>
    <w:basedOn w:val="Normal"/>
    <w:uiPriority w:val="99"/>
    <w:rsid w:val="0063474A"/>
  </w:style>
  <w:style w:type="paragraph" w:customStyle="1" w:styleId="Prrafodelista1">
    <w:name w:val="Párrafo de lista1"/>
    <w:basedOn w:val="Normal"/>
    <w:uiPriority w:val="99"/>
    <w:rsid w:val="0063474A"/>
    <w:pPr>
      <w:ind w:left="708"/>
    </w:pPr>
  </w:style>
  <w:style w:type="paragraph" w:customStyle="1" w:styleId="Lneahorizontal">
    <w:name w:val="Línea horizontal"/>
    <w:basedOn w:val="Normal"/>
    <w:next w:val="Textoindependiente"/>
    <w:uiPriority w:val="99"/>
    <w:rsid w:val="0063474A"/>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customStyle="1" w:styleId="Textopreformateado">
    <w:name w:val="Texto preformateado"/>
    <w:basedOn w:val="Normal"/>
    <w:uiPriority w:val="99"/>
    <w:rsid w:val="0063474A"/>
    <w:rPr>
      <w:rFonts w:ascii="Liberation Mono" w:eastAsia="NSimSun" w:hAnsi="Liberation Mono" w:cs="Liberation Mono"/>
      <w:sz w:val="20"/>
      <w:szCs w:val="20"/>
    </w:rPr>
  </w:style>
  <w:style w:type="paragraph" w:customStyle="1" w:styleId="Textoindependiente32">
    <w:name w:val="Texto independiente 32"/>
    <w:basedOn w:val="Normal"/>
    <w:uiPriority w:val="99"/>
    <w:rsid w:val="0063474A"/>
    <w:rPr>
      <w:sz w:val="16"/>
      <w:szCs w:val="16"/>
    </w:rPr>
  </w:style>
  <w:style w:type="paragraph" w:customStyle="1" w:styleId="Encabezadodelatabla">
    <w:name w:val="Encabezado de la tabla"/>
    <w:basedOn w:val="Contenidodelatabla"/>
    <w:uiPriority w:val="99"/>
    <w:rsid w:val="0063474A"/>
    <w:pPr>
      <w:jc w:val="center"/>
    </w:pPr>
    <w:rPr>
      <w:b/>
      <w:bCs/>
    </w:rPr>
  </w:style>
  <w:style w:type="character" w:styleId="Refdecomentario">
    <w:name w:val="annotation reference"/>
    <w:basedOn w:val="Fuentedeprrafopredeter"/>
    <w:uiPriority w:val="99"/>
    <w:rsid w:val="009822E4"/>
    <w:rPr>
      <w:rFonts w:cs="Times New Roman"/>
      <w:sz w:val="16"/>
      <w:szCs w:val="16"/>
    </w:rPr>
  </w:style>
  <w:style w:type="paragraph" w:styleId="Revisin">
    <w:name w:val="Revision"/>
    <w:hidden/>
    <w:uiPriority w:val="99"/>
    <w:semiHidden/>
    <w:rsid w:val="009822E4"/>
    <w:rPr>
      <w:sz w:val="24"/>
      <w:szCs w:val="24"/>
      <w:lang w:eastAsia="zh-CN"/>
    </w:rPr>
  </w:style>
  <w:style w:type="character" w:customStyle="1" w:styleId="UnresolvedMention">
    <w:name w:val="Unresolved Mention"/>
    <w:basedOn w:val="Fuentedeprrafopredeter"/>
    <w:uiPriority w:val="99"/>
    <w:semiHidden/>
    <w:unhideWhenUsed/>
    <w:rsid w:val="006A7956"/>
    <w:rPr>
      <w:color w:val="605E5C"/>
      <w:shd w:val="clear" w:color="auto" w:fill="E1DFDD"/>
    </w:rPr>
  </w:style>
  <w:style w:type="paragraph" w:customStyle="1" w:styleId="Normal1">
    <w:name w:val="Normal1"/>
    <w:uiPriority w:val="99"/>
    <w:rsid w:val="00A43D05"/>
    <w:rPr>
      <w:color w:val="000000"/>
      <w:sz w:val="24"/>
      <w:szCs w:val="24"/>
    </w:rPr>
  </w:style>
  <w:style w:type="paragraph" w:customStyle="1" w:styleId="TtulodeTDC1">
    <w:name w:val="Título de TDC1"/>
    <w:basedOn w:val="Ttulo1"/>
    <w:next w:val="Normal"/>
    <w:unhideWhenUsed/>
    <w:qFormat/>
    <w:rsid w:val="00A43D05"/>
    <w:pPr>
      <w:keepLines/>
      <w:numPr>
        <w:numId w:val="0"/>
      </w:numPr>
      <w:suppressAutoHyphens w:val="0"/>
      <w:autoSpaceDE/>
      <w:spacing w:before="480" w:line="276" w:lineRule="auto"/>
      <w:outlineLvl w:val="9"/>
    </w:pPr>
    <w:rPr>
      <w:rFonts w:ascii="Cambria" w:hAnsi="Cambria" w:cs="Times New Roman"/>
      <w:color w:val="365F91"/>
      <w:kern w:val="32"/>
      <w:sz w:val="28"/>
      <w:szCs w:val="28"/>
      <w:lang w:eastAsia="en-US"/>
    </w:rPr>
  </w:style>
  <w:style w:type="paragraph" w:styleId="Textoindependiente2">
    <w:name w:val="Body Text 2"/>
    <w:basedOn w:val="Normal"/>
    <w:link w:val="Textoindependiente2Car1"/>
    <w:uiPriority w:val="99"/>
    <w:semiHidden/>
    <w:unhideWhenUsed/>
    <w:locked/>
    <w:rsid w:val="00A43D05"/>
    <w:pPr>
      <w:spacing w:after="120" w:line="480" w:lineRule="auto"/>
    </w:pPr>
  </w:style>
  <w:style w:type="character" w:customStyle="1" w:styleId="Textoindependiente2Car1">
    <w:name w:val="Texto independiente 2 Car1"/>
    <w:basedOn w:val="Fuentedeprrafopredeter"/>
    <w:link w:val="Textoindependiente2"/>
    <w:uiPriority w:val="99"/>
    <w:semiHidden/>
    <w:rsid w:val="00A43D05"/>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51123857">
      <w:bodyDiv w:val="1"/>
      <w:marLeft w:val="0"/>
      <w:marRight w:val="0"/>
      <w:marTop w:val="0"/>
      <w:marBottom w:val="0"/>
      <w:divBdr>
        <w:top w:val="none" w:sz="0" w:space="0" w:color="auto"/>
        <w:left w:val="none" w:sz="0" w:space="0" w:color="auto"/>
        <w:bottom w:val="none" w:sz="0" w:space="0" w:color="auto"/>
        <w:right w:val="none" w:sz="0" w:space="0" w:color="auto"/>
      </w:divBdr>
    </w:div>
    <w:div w:id="721363481">
      <w:bodyDiv w:val="1"/>
      <w:marLeft w:val="0"/>
      <w:marRight w:val="0"/>
      <w:marTop w:val="0"/>
      <w:marBottom w:val="0"/>
      <w:divBdr>
        <w:top w:val="none" w:sz="0" w:space="0" w:color="auto"/>
        <w:left w:val="none" w:sz="0" w:space="0" w:color="auto"/>
        <w:bottom w:val="none" w:sz="0" w:space="0" w:color="auto"/>
        <w:right w:val="none" w:sz="0" w:space="0" w:color="auto"/>
      </w:divBdr>
    </w:div>
    <w:div w:id="832181406">
      <w:bodyDiv w:val="1"/>
      <w:marLeft w:val="0"/>
      <w:marRight w:val="0"/>
      <w:marTop w:val="0"/>
      <w:marBottom w:val="0"/>
      <w:divBdr>
        <w:top w:val="none" w:sz="0" w:space="0" w:color="auto"/>
        <w:left w:val="none" w:sz="0" w:space="0" w:color="auto"/>
        <w:bottom w:val="none" w:sz="0" w:space="0" w:color="auto"/>
        <w:right w:val="none" w:sz="0" w:space="0" w:color="auto"/>
      </w:divBdr>
    </w:div>
    <w:div w:id="1353414736">
      <w:bodyDiv w:val="1"/>
      <w:marLeft w:val="0"/>
      <w:marRight w:val="0"/>
      <w:marTop w:val="0"/>
      <w:marBottom w:val="0"/>
      <w:divBdr>
        <w:top w:val="none" w:sz="0" w:space="0" w:color="auto"/>
        <w:left w:val="none" w:sz="0" w:space="0" w:color="auto"/>
        <w:bottom w:val="none" w:sz="0" w:space="0" w:color="auto"/>
        <w:right w:val="none" w:sz="0" w:space="0" w:color="auto"/>
      </w:divBdr>
    </w:div>
    <w:div w:id="1842313270">
      <w:marLeft w:val="0"/>
      <w:marRight w:val="0"/>
      <w:marTop w:val="0"/>
      <w:marBottom w:val="0"/>
      <w:divBdr>
        <w:top w:val="none" w:sz="0" w:space="0" w:color="auto"/>
        <w:left w:val="none" w:sz="0" w:space="0" w:color="auto"/>
        <w:bottom w:val="none" w:sz="0" w:space="0" w:color="auto"/>
        <w:right w:val="none" w:sz="0" w:space="0" w:color="auto"/>
      </w:divBdr>
    </w:div>
    <w:div w:id="1842313273">
      <w:marLeft w:val="0"/>
      <w:marRight w:val="0"/>
      <w:marTop w:val="0"/>
      <w:marBottom w:val="0"/>
      <w:divBdr>
        <w:top w:val="none" w:sz="0" w:space="0" w:color="auto"/>
        <w:left w:val="none" w:sz="0" w:space="0" w:color="auto"/>
        <w:bottom w:val="none" w:sz="0" w:space="0" w:color="auto"/>
        <w:right w:val="none" w:sz="0" w:space="0" w:color="auto"/>
      </w:divBdr>
      <w:divsChild>
        <w:div w:id="1842313269">
          <w:marLeft w:val="0"/>
          <w:marRight w:val="0"/>
          <w:marTop w:val="0"/>
          <w:marBottom w:val="0"/>
          <w:divBdr>
            <w:top w:val="none" w:sz="0" w:space="0" w:color="auto"/>
            <w:left w:val="none" w:sz="0" w:space="0" w:color="auto"/>
            <w:bottom w:val="none" w:sz="0" w:space="0" w:color="auto"/>
            <w:right w:val="none" w:sz="0" w:space="0" w:color="auto"/>
          </w:divBdr>
        </w:div>
        <w:div w:id="1842313271">
          <w:marLeft w:val="0"/>
          <w:marRight w:val="0"/>
          <w:marTop w:val="0"/>
          <w:marBottom w:val="0"/>
          <w:divBdr>
            <w:top w:val="none" w:sz="0" w:space="0" w:color="auto"/>
            <w:left w:val="none" w:sz="0" w:space="0" w:color="auto"/>
            <w:bottom w:val="none" w:sz="0" w:space="0" w:color="auto"/>
            <w:right w:val="none" w:sz="0" w:space="0" w:color="auto"/>
          </w:divBdr>
        </w:div>
        <w:div w:id="1842313272">
          <w:marLeft w:val="0"/>
          <w:marRight w:val="0"/>
          <w:marTop w:val="0"/>
          <w:marBottom w:val="0"/>
          <w:divBdr>
            <w:top w:val="none" w:sz="0" w:space="0" w:color="auto"/>
            <w:left w:val="none" w:sz="0" w:space="0" w:color="auto"/>
            <w:bottom w:val="none" w:sz="0" w:space="0" w:color="auto"/>
            <w:right w:val="none" w:sz="0" w:space="0" w:color="auto"/>
          </w:divBdr>
        </w:div>
        <w:div w:id="1842313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uposdetrabajo.sefh.es/genesis/" TargetMode="External"/><Relationship Id="rId13" Type="http://schemas.openxmlformats.org/officeDocument/2006/relationships/image" Target="media/image5.png"/><Relationship Id="rId18" Type="http://schemas.openxmlformats.org/officeDocument/2006/relationships/hyperlink" Target="https://cslide.ctimeetingtech.com/library/esmo/browse/itinerary/5404/2017-09-08" TargetMode="External"/><Relationship Id="rId26" Type="http://schemas.openxmlformats.org/officeDocument/2006/relationships/hyperlink" Target="http://gruposdetrabajo.sefh.es/genesis/" TargetMode="External"/><Relationship Id="rId39" Type="http://schemas.openxmlformats.org/officeDocument/2006/relationships/hyperlink" Target="http://www.esmo.org/Conferences/ESMO-Asia-2017-Congress/News/Cost-Benefit-Analysis-in-Hong-Kong-Decides-Against-Adding-Abiraterone-Plus-Prednisone-to-ADT-in-Metastatic-Hormone-Sensitive-Prostate-Cancer" TargetMode="External"/><Relationship Id="rId3" Type="http://schemas.openxmlformats.org/officeDocument/2006/relationships/settings" Target="settings.xml"/><Relationship Id="rId21" Type="http://schemas.openxmlformats.org/officeDocument/2006/relationships/hyperlink" Target="http://www.fda.gov/Safety/MedWatch/default.html" TargetMode="External"/><Relationship Id="rId34" Type="http://schemas.openxmlformats.org/officeDocument/2006/relationships/hyperlink" Target="http://www.ncbi.nlm.nih.gov/pubmed/?term=Lesaunier%20F%5BAuthor%5D&amp;cauthor=true&amp;cauthor_uid=26028518" TargetMode="External"/><Relationship Id="rId42" Type="http://schemas.openxmlformats.org/officeDocument/2006/relationships/footer" Target="footer1.xml"/><Relationship Id="rId7" Type="http://schemas.openxmlformats.org/officeDocument/2006/relationships/hyperlink" Target="http://safh.org/historico-de-informe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ema.europa.eu/docs/es_ES/document_library/EPAR_-_Product_Information/human/002321/WC500112858.pdf" TargetMode="External"/><Relationship Id="rId33" Type="http://schemas.openxmlformats.org/officeDocument/2006/relationships/hyperlink" Target="http://www.ncbi.nlm.nih.gov/pubmed/?term=Fizazi%20K%5BAuthor%5D&amp;cauthor=true&amp;cauthor_uid=26028518" TargetMode="External"/><Relationship Id="rId38" Type="http://schemas.openxmlformats.org/officeDocument/2006/relationships/hyperlink" Target="https://www.nice.org.uk/guidance/gid-ta10122/documents/appraisal-consultation-documen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adrreports.eu/es" TargetMode="External"/><Relationship Id="rId29" Type="http://schemas.openxmlformats.org/officeDocument/2006/relationships/hyperlink" Target="http://www.aemps.gob.es/cima/fichasTecnicas.do?metodo=detalleForm"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gov.uk/drug-safety-update" TargetMode="External"/><Relationship Id="rId32" Type="http://schemas.openxmlformats.org/officeDocument/2006/relationships/hyperlink" Target="http://www.nccn.org/professionals/physician_gls/pdf/prostate.pdf" TargetMode="External"/><Relationship Id="rId37" Type="http://schemas.openxmlformats.org/officeDocument/2006/relationships/hyperlink" Target="https://www.nccn.org/professionals/physician_gls/pdf/prostate_blocks.pdf" TargetMode="External"/><Relationship Id="rId40" Type="http://schemas.openxmlformats.org/officeDocument/2006/relationships/hyperlink" Target="http://www3.gobiernodecanarias.org/sanidad/scs/contenidoGenerico.jsp?idDocument=e690e0c1-cbed-11e5-a9c5-a398589805dc&amp;idCarpeta=ce590e62-7af0-11e4-a62a-758e414b426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hc-sc.gc.ca/dhp-mps/medeff/databasdon/index-eng.php" TargetMode="External"/><Relationship Id="rId28" Type="http://schemas.openxmlformats.org/officeDocument/2006/relationships/hyperlink" Target="http://www.aemps.gob.es/cima/fichasTecnicas.do?metodo=detalleForm" TargetMode="External"/><Relationship Id="rId36" Type="http://schemas.openxmlformats.org/officeDocument/2006/relationships/hyperlink" Target="http://www.sciencedirect.com/science/article/pii/S01406736150"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aemps.gob.es/cima/fichasTecnicas.do?metodo=detalleFor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fda.gov/Safety/MedWatch/default.html" TargetMode="External"/><Relationship Id="rId27" Type="http://schemas.openxmlformats.org/officeDocument/2006/relationships/hyperlink" Target="http://www.aemps.gob.es/cima/fichasTecnicas.do?metodo=detalleForm" TargetMode="External"/><Relationship Id="rId30" Type="http://schemas.openxmlformats.org/officeDocument/2006/relationships/hyperlink" Target="http://www.ncbi.nlm.nih.gov/pubmed/?term=Final+Report+of+the+Intergroup+Randomized+Study+of+Combined+Androgen-Deprivation+Therapy+Plus+Radiotherapy+Versus+Androgen-Deprivation+Therapy+Alone+in+Locally+Advanced+Prostate+Cancer" TargetMode="External"/><Relationship Id="rId35" Type="http://schemas.openxmlformats.org/officeDocument/2006/relationships/hyperlink" Target="https://cslide.ctimeetingtech.com/library/esmo/browse/itinerary/5404/2017-09-08" TargetMode="External"/><Relationship Id="rId43" Type="http://schemas.openxmlformats.org/officeDocument/2006/relationships/hyperlink" Target="https://www.ema.europa.eu/documents/procedural-steps-after/zytiga-epar-procedural-steps-taken-scientific-information-after-authorisatio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21764</Words>
  <Characters>133303</Characters>
  <Application>Microsoft Office Word</Application>
  <DocSecurity>0</DocSecurity>
  <Lines>1110</Lines>
  <Paragraphs>309</Paragraphs>
  <ScaleCrop>false</ScaleCrop>
  <HeadingPairs>
    <vt:vector size="2" baseType="variant">
      <vt:variant>
        <vt:lpstr>Título</vt:lpstr>
      </vt:variant>
      <vt:variant>
        <vt:i4>1</vt:i4>
      </vt:variant>
    </vt:vector>
  </HeadingPairs>
  <TitlesOfParts>
    <vt:vector size="1" baseType="lpstr">
      <vt:lpstr>ABIRATERONA</vt:lpstr>
    </vt:vector>
  </TitlesOfParts>
  <Company>Hewlett-Packard Company</Company>
  <LinksUpToDate>false</LinksUpToDate>
  <CharactersWithSpaces>154758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ABIRATERONA</dc:title>
  <dc:creator>usuario</dc:creator>
  <cp:lastModifiedBy>Dolores Fraga</cp:lastModifiedBy>
  <cp:revision>2</cp:revision>
  <cp:lastPrinted>2019-04-11T16:52:00Z</cp:lastPrinted>
  <dcterms:created xsi:type="dcterms:W3CDTF">2019-04-20T09:06:00Z</dcterms:created>
  <dcterms:modified xsi:type="dcterms:W3CDTF">2019-04-20T09:06:00Z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_AdHocReviewCycleID">
    <vt:r8>3.03678150102689E-298</vt:r8>
  </property>
  <property fmtid="{D5CDD505-2E9C-101B-9397-08002B2CF9AE}" pid="4" name="_AuthorEmail">
    <vt:lpwstr>fpuigventos@hsd.es</vt:lpwstr>
  </property>
  <property fmtid="{D5CDD505-2E9C-101B-9397-08002B2CF9AE}" pid="5" name="_AuthorEmailDisplayName">
    <vt:lpwstr>Francesc Puigventos</vt:lpwstr>
  </property>
  <property fmtid="{D5CDD505-2E9C-101B-9397-08002B2CF9AE}" pid="6" name="_EmailSubject">
    <vt:lpwstr>Programa MADRE. Borrador nueva versión</vt:lpwstr>
  </property>
</Properties>
</file>