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48" w:rsidRDefault="00C0694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1998"/>
        <w:gridCol w:w="3998"/>
      </w:tblGrid>
      <w:tr w:rsidR="00C06948">
        <w:tc>
          <w:tcPr>
            <w:tcW w:w="8263" w:type="dxa"/>
            <w:gridSpan w:val="3"/>
            <w:tcBorders>
              <w:top w:val="single" w:sz="4" w:space="0" w:color="000000"/>
              <w:bottom w:val="single" w:sz="4" w:space="0" w:color="000000"/>
            </w:tcBorders>
            <w:shd w:val="clear" w:color="auto" w:fill="4BACC6"/>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FFFFFF"/>
                <w:sz w:val="22"/>
                <w:szCs w:val="22"/>
              </w:rPr>
            </w:pPr>
            <w:r>
              <w:rPr>
                <w:rFonts w:ascii="Arial" w:eastAsia="Arial" w:hAnsi="Arial" w:cs="Arial"/>
                <w:b/>
                <w:color w:val="FFFFFF"/>
                <w:sz w:val="22"/>
                <w:szCs w:val="22"/>
              </w:rPr>
              <w:t>Grupo de Trabajo:</w:t>
            </w:r>
          </w:p>
        </w:tc>
      </w:tr>
      <w:tr w:rsidR="00C06948">
        <w:tc>
          <w:tcPr>
            <w:tcW w:w="8263" w:type="dxa"/>
            <w:gridSpan w:val="3"/>
            <w:tcBorders>
              <w:top w:val="single" w:sz="4" w:space="0" w:color="000000"/>
              <w:bottom w:val="single" w:sz="4" w:space="0" w:color="000000"/>
            </w:tcBorders>
            <w:shd w:val="clear" w:color="auto" w:fill="auto"/>
          </w:tcPr>
          <w:p w:rsidR="00C06948" w:rsidRDefault="00E245A9">
            <w:pPr>
              <w:numPr>
                <w:ilvl w:val="0"/>
                <w:numId w:val="3"/>
              </w:numPr>
              <w:spacing w:before="72" w:after="72" w:line="360" w:lineRule="auto"/>
              <w:ind w:left="499" w:right="180" w:hanging="357"/>
              <w:jc w:val="both"/>
              <w:rPr>
                <w:b/>
                <w:sz w:val="22"/>
                <w:szCs w:val="22"/>
              </w:rPr>
            </w:pPr>
            <w:r>
              <w:rPr>
                <w:b/>
                <w:sz w:val="22"/>
                <w:szCs w:val="22"/>
              </w:rPr>
              <w:t>NUTRICION CLINICA</w:t>
            </w:r>
          </w:p>
        </w:tc>
      </w:tr>
      <w:tr w:rsidR="00C06948">
        <w:tc>
          <w:tcPr>
            <w:tcW w:w="8263"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Estructura del grupo:</w:t>
            </w:r>
          </w:p>
        </w:tc>
      </w:tr>
      <w:tr w:rsidR="00C06948">
        <w:tc>
          <w:tcPr>
            <w:tcW w:w="8263" w:type="dxa"/>
            <w:gridSpan w:val="3"/>
            <w:tcBorders>
              <w:top w:val="single" w:sz="4" w:space="0" w:color="000000"/>
              <w:bottom w:val="single" w:sz="4" w:space="0" w:color="000000"/>
            </w:tcBorders>
            <w:shd w:val="clear" w:color="auto" w:fill="auto"/>
            <w:vAlign w:val="center"/>
          </w:tcPr>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 xml:space="preserve">Coordinador: Mariola </w:t>
            </w:r>
            <w:proofErr w:type="spellStart"/>
            <w:r>
              <w:rPr>
                <w:rFonts w:ascii="Arial" w:eastAsia="Arial" w:hAnsi="Arial" w:cs="Arial"/>
                <w:sz w:val="22"/>
                <w:szCs w:val="22"/>
              </w:rPr>
              <w:t>Sirvent</w:t>
            </w:r>
            <w:proofErr w:type="spellEnd"/>
            <w:r>
              <w:rPr>
                <w:rFonts w:ascii="Arial" w:eastAsia="Arial" w:hAnsi="Arial" w:cs="Arial"/>
                <w:sz w:val="22"/>
                <w:szCs w:val="22"/>
              </w:rPr>
              <w:t xml:space="preserve"> </w:t>
            </w:r>
            <w:proofErr w:type="spellStart"/>
            <w:r>
              <w:rPr>
                <w:rFonts w:ascii="Arial" w:eastAsia="Arial" w:hAnsi="Arial" w:cs="Arial"/>
                <w:sz w:val="22"/>
                <w:szCs w:val="22"/>
              </w:rPr>
              <w:t>Ochando</w:t>
            </w:r>
            <w:proofErr w:type="spellEnd"/>
          </w:p>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 xml:space="preserve">Coordinador adjunto/Secretario: Mª Victoria Calvo </w:t>
            </w:r>
            <w:proofErr w:type="spellStart"/>
            <w:r>
              <w:rPr>
                <w:rFonts w:ascii="Arial" w:eastAsia="Arial" w:hAnsi="Arial" w:cs="Arial"/>
                <w:sz w:val="22"/>
                <w:szCs w:val="22"/>
              </w:rPr>
              <w:t>Hernandez</w:t>
            </w:r>
            <w:proofErr w:type="spellEnd"/>
          </w:p>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Comité Coordinador:</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 xml:space="preserve">Web 2.0: Juan Carlos </w:t>
            </w:r>
            <w:proofErr w:type="spellStart"/>
            <w:r>
              <w:rPr>
                <w:rFonts w:ascii="Arial" w:eastAsia="Arial" w:hAnsi="Arial" w:cs="Arial"/>
                <w:sz w:val="22"/>
                <w:szCs w:val="22"/>
              </w:rPr>
              <w:t>Perez</w:t>
            </w:r>
            <w:proofErr w:type="spellEnd"/>
            <w:r>
              <w:rPr>
                <w:rFonts w:ascii="Arial" w:eastAsia="Arial" w:hAnsi="Arial" w:cs="Arial"/>
                <w:sz w:val="22"/>
                <w:szCs w:val="22"/>
              </w:rPr>
              <w:t xml:space="preserve"> Pons</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 xml:space="preserve">Pilar </w:t>
            </w:r>
            <w:proofErr w:type="spellStart"/>
            <w:r>
              <w:rPr>
                <w:rFonts w:ascii="Arial" w:eastAsia="Arial" w:hAnsi="Arial" w:cs="Arial"/>
                <w:sz w:val="22"/>
                <w:szCs w:val="22"/>
              </w:rPr>
              <w:t>Gomis</w:t>
            </w:r>
            <w:proofErr w:type="spellEnd"/>
            <w:r>
              <w:rPr>
                <w:rFonts w:ascii="Arial" w:eastAsia="Arial" w:hAnsi="Arial" w:cs="Arial"/>
                <w:sz w:val="22"/>
                <w:szCs w:val="22"/>
              </w:rPr>
              <w:t xml:space="preserve"> Muñoz</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 xml:space="preserve">Cristina </w:t>
            </w:r>
            <w:proofErr w:type="spellStart"/>
            <w:r>
              <w:rPr>
                <w:rFonts w:ascii="Arial" w:eastAsia="Arial" w:hAnsi="Arial" w:cs="Arial"/>
                <w:sz w:val="22"/>
                <w:szCs w:val="22"/>
              </w:rPr>
              <w:t>Vazquez</w:t>
            </w:r>
            <w:proofErr w:type="spellEnd"/>
            <w:r>
              <w:rPr>
                <w:rFonts w:ascii="Arial" w:eastAsia="Arial" w:hAnsi="Arial" w:cs="Arial"/>
                <w:sz w:val="22"/>
                <w:szCs w:val="22"/>
              </w:rPr>
              <w:t xml:space="preserve"> </w:t>
            </w:r>
            <w:proofErr w:type="spellStart"/>
            <w:r>
              <w:rPr>
                <w:rFonts w:ascii="Arial" w:eastAsia="Arial" w:hAnsi="Arial" w:cs="Arial"/>
                <w:sz w:val="22"/>
                <w:szCs w:val="22"/>
              </w:rPr>
              <w:t>Lopez</w:t>
            </w:r>
            <w:proofErr w:type="spellEnd"/>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Pilar Tejada González</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Rosa Mª Romero</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Cristina Crespo</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Mercedes Cervera</w:t>
            </w:r>
          </w:p>
          <w:p w:rsidR="00C06948" w:rsidRDefault="00E245A9">
            <w:pPr>
              <w:numPr>
                <w:ilvl w:val="1"/>
                <w:numId w:val="3"/>
              </w:numPr>
              <w:spacing w:before="72" w:after="72" w:line="360" w:lineRule="auto"/>
              <w:ind w:right="180"/>
              <w:jc w:val="both"/>
              <w:rPr>
                <w:sz w:val="22"/>
                <w:szCs w:val="22"/>
              </w:rPr>
            </w:pPr>
            <w:r>
              <w:rPr>
                <w:rFonts w:ascii="Arial" w:eastAsia="Arial" w:hAnsi="Arial" w:cs="Arial"/>
                <w:sz w:val="22"/>
                <w:szCs w:val="22"/>
              </w:rPr>
              <w:t>Patricia Bravo</w:t>
            </w:r>
          </w:p>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Vocal de la SEFH: : Guadalupe Piñeiro Corrales</w:t>
            </w:r>
          </w:p>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Número de miembros/adheridos del Grupo: 73</w:t>
            </w:r>
          </w:p>
          <w:p w:rsidR="00C06948" w:rsidRDefault="00C06948">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p>
        </w:tc>
      </w:tr>
      <w:tr w:rsidR="00C06948">
        <w:tc>
          <w:tcPr>
            <w:tcW w:w="8263"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Renovación de cargos del Grupo de Trabajo</w:t>
            </w:r>
          </w:p>
        </w:tc>
      </w:tr>
      <w:tr w:rsidR="00C06948">
        <w:tc>
          <w:tcPr>
            <w:tcW w:w="2267" w:type="dxa"/>
            <w:tcBorders>
              <w:top w:val="single" w:sz="4" w:space="0" w:color="000000"/>
              <w:bottom w:val="single" w:sz="4" w:space="0" w:color="000000"/>
              <w:right w:val="nil"/>
            </w:tcBorders>
            <w:shd w:val="clear" w:color="auto" w:fill="auto"/>
          </w:tcPr>
          <w:p w:rsidR="00C06948" w:rsidRDefault="00C06948">
            <w:pPr>
              <w:spacing w:before="72" w:after="72" w:line="360" w:lineRule="auto"/>
              <w:ind w:right="113"/>
              <w:jc w:val="both"/>
              <w:rPr>
                <w:rFonts w:ascii="Arial" w:eastAsia="Arial" w:hAnsi="Arial" w:cs="Arial"/>
                <w:b/>
                <w:sz w:val="22"/>
                <w:szCs w:val="22"/>
              </w:rPr>
            </w:pPr>
          </w:p>
        </w:tc>
        <w:tc>
          <w:tcPr>
            <w:tcW w:w="1998" w:type="dxa"/>
            <w:tcBorders>
              <w:top w:val="single" w:sz="4" w:space="0" w:color="000000"/>
              <w:left w:val="nil"/>
              <w:bottom w:val="single" w:sz="4" w:space="0" w:color="000000"/>
              <w:right w:val="nil"/>
            </w:tcBorders>
            <w:shd w:val="clear" w:color="auto" w:fill="auto"/>
          </w:tcPr>
          <w:p w:rsidR="00C06948" w:rsidRDefault="00E245A9">
            <w:pPr>
              <w:spacing w:before="72" w:after="72" w:line="360" w:lineRule="auto"/>
              <w:ind w:right="113"/>
              <w:jc w:val="center"/>
              <w:rPr>
                <w:rFonts w:ascii="Arial" w:eastAsia="Arial" w:hAnsi="Arial" w:cs="Arial"/>
                <w:b/>
                <w:sz w:val="22"/>
                <w:szCs w:val="22"/>
              </w:rPr>
            </w:pPr>
            <w:r>
              <w:rPr>
                <w:rFonts w:ascii="Arial" w:eastAsia="Arial" w:hAnsi="Arial" w:cs="Arial"/>
                <w:b/>
                <w:sz w:val="22"/>
                <w:szCs w:val="22"/>
              </w:rPr>
              <w:t>Año última renovación</w:t>
            </w:r>
          </w:p>
        </w:tc>
        <w:tc>
          <w:tcPr>
            <w:tcW w:w="3998" w:type="dxa"/>
            <w:tcBorders>
              <w:top w:val="single" w:sz="4" w:space="0" w:color="000000"/>
              <w:left w:val="nil"/>
              <w:bottom w:val="single" w:sz="4" w:space="0" w:color="000000"/>
            </w:tcBorders>
            <w:shd w:val="clear" w:color="auto" w:fill="auto"/>
          </w:tcPr>
          <w:p w:rsidR="00C06948" w:rsidRDefault="00E245A9">
            <w:pPr>
              <w:spacing w:before="72" w:after="72" w:line="360" w:lineRule="auto"/>
              <w:ind w:right="113"/>
              <w:jc w:val="center"/>
              <w:rPr>
                <w:rFonts w:ascii="Arial" w:eastAsia="Arial" w:hAnsi="Arial" w:cs="Arial"/>
                <w:b/>
                <w:sz w:val="22"/>
                <w:szCs w:val="22"/>
              </w:rPr>
            </w:pPr>
            <w:r>
              <w:rPr>
                <w:rFonts w:ascii="Arial" w:eastAsia="Arial" w:hAnsi="Arial" w:cs="Arial"/>
                <w:b/>
                <w:sz w:val="22"/>
                <w:szCs w:val="22"/>
              </w:rPr>
              <w:t>Altas/bajas</w:t>
            </w:r>
            <w:bookmarkStart w:id="0" w:name="_GoBack"/>
            <w:bookmarkEnd w:id="0"/>
          </w:p>
        </w:tc>
      </w:tr>
      <w:tr w:rsidR="00C06948">
        <w:tc>
          <w:tcPr>
            <w:tcW w:w="2267" w:type="dxa"/>
            <w:tcBorders>
              <w:top w:val="single" w:sz="4" w:space="0" w:color="000000"/>
              <w:bottom w:val="single" w:sz="4" w:space="0" w:color="000000"/>
              <w:right w:val="nil"/>
            </w:tcBorders>
            <w:shd w:val="clear" w:color="auto" w:fill="auto"/>
          </w:tcPr>
          <w:p w:rsidR="00C06948" w:rsidRDefault="00E245A9">
            <w:pPr>
              <w:spacing w:before="72" w:after="72" w:line="360" w:lineRule="auto"/>
              <w:ind w:left="147" w:right="113"/>
              <w:jc w:val="both"/>
              <w:rPr>
                <w:rFonts w:ascii="Arial" w:eastAsia="Arial" w:hAnsi="Arial" w:cs="Arial"/>
                <w:b/>
                <w:sz w:val="22"/>
                <w:szCs w:val="22"/>
              </w:rPr>
            </w:pPr>
            <w:r>
              <w:rPr>
                <w:rFonts w:ascii="Arial" w:eastAsia="Arial" w:hAnsi="Arial" w:cs="Arial"/>
                <w:b/>
                <w:sz w:val="22"/>
                <w:szCs w:val="22"/>
              </w:rPr>
              <w:t>Coordinador</w:t>
            </w:r>
          </w:p>
        </w:tc>
        <w:tc>
          <w:tcPr>
            <w:tcW w:w="1998" w:type="dxa"/>
            <w:tcBorders>
              <w:top w:val="single" w:sz="4" w:space="0" w:color="000000"/>
              <w:left w:val="nil"/>
              <w:bottom w:val="single" w:sz="4" w:space="0" w:color="000000"/>
              <w:right w:val="nil"/>
            </w:tcBorders>
            <w:shd w:val="clear" w:color="auto" w:fill="auto"/>
          </w:tcPr>
          <w:p w:rsidR="00C06948" w:rsidRDefault="00E245A9">
            <w:pPr>
              <w:spacing w:before="72" w:after="72" w:line="360" w:lineRule="auto"/>
              <w:ind w:left="147" w:right="113"/>
              <w:jc w:val="center"/>
              <w:rPr>
                <w:rFonts w:ascii="Arial" w:eastAsia="Arial" w:hAnsi="Arial" w:cs="Arial"/>
                <w:sz w:val="22"/>
                <w:szCs w:val="22"/>
              </w:rPr>
            </w:pPr>
            <w:r>
              <w:rPr>
                <w:rFonts w:ascii="Arial" w:eastAsia="Arial" w:hAnsi="Arial" w:cs="Arial"/>
                <w:sz w:val="22"/>
                <w:szCs w:val="22"/>
              </w:rPr>
              <w:t>Febrero-2016</w:t>
            </w:r>
          </w:p>
        </w:tc>
        <w:tc>
          <w:tcPr>
            <w:tcW w:w="3998" w:type="dxa"/>
            <w:tcBorders>
              <w:top w:val="single" w:sz="4" w:space="0" w:color="000000"/>
              <w:left w:val="nil"/>
              <w:bottom w:val="single" w:sz="4" w:space="0" w:color="000000"/>
            </w:tcBorders>
            <w:shd w:val="clear" w:color="auto" w:fill="auto"/>
          </w:tcPr>
          <w:p w:rsidR="00C06948" w:rsidRDefault="00C06948">
            <w:pPr>
              <w:spacing w:before="72" w:after="72" w:line="360" w:lineRule="auto"/>
              <w:ind w:left="147" w:right="113"/>
              <w:jc w:val="center"/>
              <w:rPr>
                <w:rFonts w:ascii="Arial" w:eastAsia="Arial" w:hAnsi="Arial" w:cs="Arial"/>
                <w:sz w:val="22"/>
                <w:szCs w:val="22"/>
              </w:rPr>
            </w:pPr>
          </w:p>
        </w:tc>
      </w:tr>
      <w:tr w:rsidR="00C06948">
        <w:tc>
          <w:tcPr>
            <w:tcW w:w="2267" w:type="dxa"/>
            <w:tcBorders>
              <w:top w:val="single" w:sz="4" w:space="0" w:color="000000"/>
              <w:bottom w:val="single" w:sz="4" w:space="0" w:color="000000"/>
              <w:right w:val="nil"/>
            </w:tcBorders>
            <w:shd w:val="clear" w:color="auto" w:fill="auto"/>
          </w:tcPr>
          <w:p w:rsidR="00C06948" w:rsidRDefault="00E245A9">
            <w:pPr>
              <w:spacing w:before="72" w:after="72" w:line="360" w:lineRule="auto"/>
              <w:ind w:left="147" w:right="113"/>
              <w:jc w:val="both"/>
              <w:rPr>
                <w:rFonts w:ascii="Arial" w:eastAsia="Arial" w:hAnsi="Arial" w:cs="Arial"/>
                <w:b/>
                <w:sz w:val="22"/>
                <w:szCs w:val="22"/>
              </w:rPr>
            </w:pPr>
            <w:r>
              <w:rPr>
                <w:rFonts w:ascii="Arial" w:eastAsia="Arial" w:hAnsi="Arial" w:cs="Arial"/>
                <w:b/>
                <w:sz w:val="22"/>
                <w:szCs w:val="22"/>
              </w:rPr>
              <w:t>Secretario</w:t>
            </w:r>
          </w:p>
        </w:tc>
        <w:tc>
          <w:tcPr>
            <w:tcW w:w="1998" w:type="dxa"/>
            <w:tcBorders>
              <w:top w:val="single" w:sz="4" w:space="0" w:color="000000"/>
              <w:left w:val="nil"/>
              <w:bottom w:val="single" w:sz="4" w:space="0" w:color="000000"/>
              <w:right w:val="nil"/>
            </w:tcBorders>
            <w:shd w:val="clear" w:color="auto" w:fill="auto"/>
          </w:tcPr>
          <w:p w:rsidR="00C06948" w:rsidRDefault="00E245A9">
            <w:pPr>
              <w:spacing w:before="72" w:after="72" w:line="360" w:lineRule="auto"/>
              <w:ind w:left="147" w:right="113"/>
              <w:jc w:val="center"/>
              <w:rPr>
                <w:rFonts w:ascii="Arial" w:eastAsia="Arial" w:hAnsi="Arial" w:cs="Arial"/>
                <w:sz w:val="22"/>
                <w:szCs w:val="22"/>
              </w:rPr>
            </w:pPr>
            <w:r>
              <w:rPr>
                <w:rFonts w:ascii="Arial" w:eastAsia="Arial" w:hAnsi="Arial" w:cs="Arial"/>
                <w:sz w:val="22"/>
                <w:szCs w:val="22"/>
              </w:rPr>
              <w:t>Febrero-2016</w:t>
            </w:r>
          </w:p>
        </w:tc>
        <w:tc>
          <w:tcPr>
            <w:tcW w:w="3998" w:type="dxa"/>
            <w:tcBorders>
              <w:top w:val="single" w:sz="4" w:space="0" w:color="000000"/>
              <w:left w:val="nil"/>
              <w:bottom w:val="single" w:sz="4" w:space="0" w:color="000000"/>
            </w:tcBorders>
            <w:shd w:val="clear" w:color="auto" w:fill="auto"/>
          </w:tcPr>
          <w:p w:rsidR="00C06948" w:rsidRDefault="00C06948">
            <w:pPr>
              <w:spacing w:before="72" w:after="72" w:line="360" w:lineRule="auto"/>
              <w:ind w:left="147" w:right="113"/>
              <w:jc w:val="center"/>
              <w:rPr>
                <w:rFonts w:ascii="Arial" w:eastAsia="Arial" w:hAnsi="Arial" w:cs="Arial"/>
                <w:sz w:val="22"/>
                <w:szCs w:val="22"/>
              </w:rPr>
            </w:pPr>
          </w:p>
        </w:tc>
      </w:tr>
      <w:tr w:rsidR="00C06948">
        <w:trPr>
          <w:trHeight w:val="1100"/>
        </w:trPr>
        <w:tc>
          <w:tcPr>
            <w:tcW w:w="2267" w:type="dxa"/>
            <w:tcBorders>
              <w:top w:val="single" w:sz="4" w:space="0" w:color="000000"/>
              <w:bottom w:val="single" w:sz="4" w:space="0" w:color="000000"/>
              <w:right w:val="nil"/>
            </w:tcBorders>
            <w:shd w:val="clear" w:color="auto" w:fill="auto"/>
          </w:tcPr>
          <w:p w:rsidR="00C06948" w:rsidRDefault="00E245A9">
            <w:pPr>
              <w:spacing w:before="72" w:after="72" w:line="360" w:lineRule="auto"/>
              <w:ind w:left="147" w:right="113"/>
              <w:jc w:val="both"/>
              <w:rPr>
                <w:rFonts w:ascii="Arial" w:eastAsia="Arial" w:hAnsi="Arial" w:cs="Arial"/>
                <w:b/>
                <w:sz w:val="22"/>
                <w:szCs w:val="22"/>
              </w:rPr>
            </w:pPr>
            <w:r>
              <w:rPr>
                <w:rFonts w:ascii="Arial" w:eastAsia="Arial" w:hAnsi="Arial" w:cs="Arial"/>
                <w:b/>
                <w:sz w:val="22"/>
                <w:szCs w:val="22"/>
              </w:rPr>
              <w:t>Comité coordinador</w:t>
            </w:r>
          </w:p>
        </w:tc>
        <w:tc>
          <w:tcPr>
            <w:tcW w:w="1998" w:type="dxa"/>
            <w:tcBorders>
              <w:top w:val="single" w:sz="4" w:space="0" w:color="000000"/>
              <w:left w:val="nil"/>
              <w:bottom w:val="single" w:sz="4" w:space="0" w:color="000000"/>
              <w:right w:val="nil"/>
            </w:tcBorders>
            <w:shd w:val="clear" w:color="auto" w:fill="auto"/>
          </w:tcPr>
          <w:p w:rsidR="00C06948" w:rsidRDefault="00E245A9">
            <w:pPr>
              <w:spacing w:before="72" w:after="72" w:line="360" w:lineRule="auto"/>
              <w:ind w:left="147" w:right="113"/>
              <w:jc w:val="center"/>
              <w:rPr>
                <w:rFonts w:ascii="Arial" w:eastAsia="Arial" w:hAnsi="Arial" w:cs="Arial"/>
                <w:sz w:val="22"/>
                <w:szCs w:val="22"/>
              </w:rPr>
            </w:pPr>
            <w:r>
              <w:rPr>
                <w:rFonts w:ascii="Arial" w:eastAsia="Arial" w:hAnsi="Arial" w:cs="Arial"/>
                <w:sz w:val="22"/>
                <w:szCs w:val="22"/>
              </w:rPr>
              <w:t>Febrero-2016</w:t>
            </w:r>
          </w:p>
        </w:tc>
        <w:tc>
          <w:tcPr>
            <w:tcW w:w="3998" w:type="dxa"/>
            <w:tcBorders>
              <w:top w:val="single" w:sz="4" w:space="0" w:color="000000"/>
              <w:left w:val="nil"/>
              <w:bottom w:val="single" w:sz="4" w:space="0" w:color="000000"/>
            </w:tcBorders>
            <w:shd w:val="clear" w:color="auto" w:fill="auto"/>
          </w:tcPr>
          <w:p w:rsidR="00C06948" w:rsidRDefault="00C06948">
            <w:pPr>
              <w:spacing w:before="72" w:after="72" w:line="360" w:lineRule="auto"/>
              <w:ind w:left="147" w:right="113"/>
              <w:jc w:val="center"/>
              <w:rPr>
                <w:rFonts w:ascii="Arial" w:eastAsia="Arial" w:hAnsi="Arial" w:cs="Arial"/>
                <w:sz w:val="22"/>
                <w:szCs w:val="22"/>
              </w:rPr>
            </w:pPr>
          </w:p>
        </w:tc>
      </w:tr>
      <w:tr w:rsidR="00C06948">
        <w:tc>
          <w:tcPr>
            <w:tcW w:w="8263"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Beca del grupo</w:t>
            </w:r>
          </w:p>
        </w:tc>
      </w:tr>
      <w:tr w:rsidR="00C06948">
        <w:tc>
          <w:tcPr>
            <w:tcW w:w="8263" w:type="dxa"/>
            <w:gridSpan w:val="3"/>
            <w:tcBorders>
              <w:top w:val="single" w:sz="4" w:space="0" w:color="000000"/>
              <w:bottom w:val="single" w:sz="4" w:space="0" w:color="000000"/>
            </w:tcBorders>
            <w:shd w:val="clear" w:color="auto" w:fill="FFFFFF"/>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Becario actual: NO</w:t>
            </w:r>
          </w:p>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Fecha inicio beca:</w:t>
            </w:r>
          </w:p>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Funciones del becario:</w:t>
            </w:r>
          </w:p>
          <w:p w:rsidR="00C06948" w:rsidRDefault="00C06948">
            <w:pPr>
              <w:numPr>
                <w:ilvl w:val="0"/>
                <w:numId w:val="3"/>
              </w:numPr>
              <w:spacing w:before="72" w:after="72" w:line="360" w:lineRule="auto"/>
              <w:ind w:left="499" w:right="180" w:hanging="357"/>
              <w:jc w:val="both"/>
              <w:rPr>
                <w:b/>
                <w:sz w:val="22"/>
                <w:szCs w:val="22"/>
              </w:rPr>
            </w:pPr>
          </w:p>
        </w:tc>
      </w:tr>
      <w:tr w:rsidR="00C06948">
        <w:tc>
          <w:tcPr>
            <w:tcW w:w="8263"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lastRenderedPageBreak/>
              <w:t>Número de reuniones Julio 2016-Junio 2017</w:t>
            </w:r>
          </w:p>
        </w:tc>
      </w:tr>
      <w:tr w:rsidR="00C06948">
        <w:tc>
          <w:tcPr>
            <w:tcW w:w="8263" w:type="dxa"/>
            <w:gridSpan w:val="3"/>
            <w:tcBorders>
              <w:top w:val="single" w:sz="4" w:space="0" w:color="000000"/>
              <w:bottom w:val="single" w:sz="4" w:space="0" w:color="000000"/>
            </w:tcBorders>
            <w:shd w:val="clear" w:color="auto" w:fill="auto"/>
            <w:vAlign w:val="center"/>
          </w:tcPr>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Presénciales: 1 (Marzo 2017)</w:t>
            </w:r>
          </w:p>
          <w:p w:rsidR="00C06948" w:rsidRDefault="00E245A9">
            <w:pPr>
              <w:numPr>
                <w:ilvl w:val="0"/>
                <w:numId w:val="3"/>
              </w:numPr>
              <w:spacing w:before="72" w:after="72" w:line="360" w:lineRule="auto"/>
              <w:ind w:left="499" w:right="180" w:hanging="357"/>
              <w:jc w:val="both"/>
              <w:rPr>
                <w:rFonts w:ascii="Arial" w:eastAsia="Arial" w:hAnsi="Arial" w:cs="Arial"/>
                <w:sz w:val="22"/>
                <w:szCs w:val="22"/>
              </w:rPr>
            </w:pPr>
            <w:r>
              <w:rPr>
                <w:rFonts w:ascii="Arial" w:eastAsia="Arial" w:hAnsi="Arial" w:cs="Arial"/>
                <w:sz w:val="22"/>
                <w:szCs w:val="22"/>
              </w:rPr>
              <w:t>Videoconferencias: 1 (Agosto 2016)</w:t>
            </w:r>
          </w:p>
        </w:tc>
      </w:tr>
    </w:tbl>
    <w:p w:rsidR="00C06948" w:rsidRDefault="00E245A9">
      <w:r>
        <w:br w:type="page"/>
      </w:r>
    </w:p>
    <w:tbl>
      <w:tblPr>
        <w:tblStyle w:val="a0"/>
        <w:tblW w:w="8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C06948">
        <w:tc>
          <w:tcPr>
            <w:tcW w:w="8494" w:type="dxa"/>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Objetivos cumplidos a lo largo del periodo: </w:t>
            </w:r>
          </w:p>
        </w:tc>
      </w:tr>
      <w:tr w:rsidR="00C06948">
        <w:trPr>
          <w:trHeight w:val="5260"/>
        </w:trPr>
        <w:tc>
          <w:tcPr>
            <w:tcW w:w="8494" w:type="dxa"/>
            <w:tcBorders>
              <w:top w:val="single" w:sz="4" w:space="0" w:color="000000"/>
              <w:bottom w:val="single" w:sz="4" w:space="0" w:color="000000"/>
            </w:tcBorders>
            <w:shd w:val="clear" w:color="auto" w:fill="auto"/>
          </w:tcPr>
          <w:p w:rsidR="00C06948" w:rsidRDefault="00E245A9">
            <w:pPr>
              <w:numPr>
                <w:ilvl w:val="0"/>
                <w:numId w:val="1"/>
              </w:numPr>
              <w:pBdr>
                <w:top w:val="nil"/>
                <w:left w:val="nil"/>
                <w:bottom w:val="nil"/>
                <w:right w:val="nil"/>
                <w:between w:val="nil"/>
              </w:pBdr>
              <w:spacing w:before="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Finalización del trabajo: Uso del </w:t>
            </w:r>
            <w:proofErr w:type="spellStart"/>
            <w:r>
              <w:rPr>
                <w:rFonts w:ascii="Arial" w:eastAsia="Arial" w:hAnsi="Arial" w:cs="Arial"/>
                <w:color w:val="000000"/>
                <w:sz w:val="22"/>
                <w:szCs w:val="22"/>
              </w:rPr>
              <w:t>Oligozinc</w:t>
            </w:r>
            <w:proofErr w:type="spellEnd"/>
            <w:r>
              <w:rPr>
                <w:rFonts w:ascii="Arial" w:eastAsia="Arial" w:hAnsi="Arial" w:cs="Arial"/>
                <w:color w:val="000000"/>
                <w:sz w:val="22"/>
                <w:szCs w:val="22"/>
              </w:rPr>
              <w:t xml:space="preserve"> en los hospitales españoles. Remitido a la revista Farmacia Hospitalaria en Julio-2017 para su publicación (si procede).</w:t>
            </w:r>
          </w:p>
          <w:p w:rsidR="00C06948" w:rsidRDefault="00E245A9">
            <w:pPr>
              <w:numPr>
                <w:ilvl w:val="0"/>
                <w:numId w:val="1"/>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Elaboración del MADRENUT: Adecuación de la metodología Génesis a la evaluación de la nutrición artificial. En colaboración con el grupo de trabajo GÉNESIS.</w:t>
            </w:r>
          </w:p>
          <w:p w:rsidR="00C06948" w:rsidRDefault="00E245A9">
            <w:pPr>
              <w:numPr>
                <w:ilvl w:val="0"/>
                <w:numId w:val="1"/>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Inicio del Curso on-line de Nutrición Clínica SEFH.</w:t>
            </w:r>
          </w:p>
          <w:p w:rsidR="00C06948" w:rsidRDefault="00E245A9">
            <w:pPr>
              <w:numPr>
                <w:ilvl w:val="0"/>
                <w:numId w:val="1"/>
              </w:numPr>
              <w:pBdr>
                <w:top w:val="nil"/>
                <w:left w:val="nil"/>
                <w:bottom w:val="nil"/>
                <w:right w:val="nil"/>
                <w:between w:val="nil"/>
              </w:pBdr>
              <w:spacing w:after="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Realización Jornada de Actualización en Nutrición Clínica.</w:t>
            </w:r>
          </w:p>
        </w:tc>
      </w:tr>
      <w:tr w:rsidR="00C06948">
        <w:tc>
          <w:tcPr>
            <w:tcW w:w="8494" w:type="dxa"/>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Objetivos 2017-2018:</w:t>
            </w:r>
          </w:p>
        </w:tc>
      </w:tr>
      <w:tr w:rsidR="00C06948">
        <w:trPr>
          <w:trHeight w:val="5560"/>
        </w:trPr>
        <w:tc>
          <w:tcPr>
            <w:tcW w:w="8494" w:type="dxa"/>
            <w:tcBorders>
              <w:top w:val="single" w:sz="4" w:space="0" w:color="000000"/>
              <w:bottom w:val="single" w:sz="4" w:space="0" w:color="000000"/>
            </w:tcBorders>
            <w:shd w:val="clear" w:color="auto" w:fill="FFFFFF"/>
          </w:tcPr>
          <w:p w:rsidR="00C06948" w:rsidRDefault="00E245A9">
            <w:pPr>
              <w:numPr>
                <w:ilvl w:val="0"/>
                <w:numId w:val="2"/>
              </w:numPr>
              <w:pBdr>
                <w:top w:val="nil"/>
                <w:left w:val="nil"/>
                <w:bottom w:val="nil"/>
                <w:right w:val="nil"/>
                <w:between w:val="nil"/>
              </w:pBdr>
              <w:spacing w:before="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Finalizar los siguientes trabajos en curso:</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Contaminación por aluminio y manganeso en las bolsas de </w:t>
            </w:r>
            <w:proofErr w:type="spellStart"/>
            <w:r>
              <w:rPr>
                <w:rFonts w:ascii="Arial" w:eastAsia="Arial" w:hAnsi="Arial" w:cs="Arial"/>
                <w:color w:val="000000"/>
                <w:sz w:val="22"/>
                <w:szCs w:val="22"/>
              </w:rPr>
              <w:t>Nutricion</w:t>
            </w:r>
            <w:proofErr w:type="spellEnd"/>
            <w:r>
              <w:rPr>
                <w:rFonts w:ascii="Arial" w:eastAsia="Arial" w:hAnsi="Arial" w:cs="Arial"/>
                <w:color w:val="000000"/>
                <w:sz w:val="22"/>
                <w:szCs w:val="22"/>
              </w:rPr>
              <w:t xml:space="preserve"> Parenteral</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Competencias jurídico-profesionales del farmacéutico de hospital en Nutrición Clínica</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Evaluación del estado nutricional de los residentes institucionalizados en centros </w:t>
            </w:r>
            <w:proofErr w:type="spellStart"/>
            <w:r>
              <w:rPr>
                <w:rFonts w:ascii="Arial" w:eastAsia="Arial" w:hAnsi="Arial" w:cs="Arial"/>
                <w:color w:val="000000"/>
                <w:sz w:val="22"/>
                <w:szCs w:val="22"/>
              </w:rPr>
              <w:t>sociosanitarios</w:t>
            </w:r>
            <w:proofErr w:type="spellEnd"/>
            <w:r>
              <w:rPr>
                <w:rFonts w:ascii="Arial" w:eastAsia="Arial" w:hAnsi="Arial" w:cs="Arial"/>
                <w:color w:val="000000"/>
                <w:sz w:val="22"/>
                <w:szCs w:val="22"/>
              </w:rPr>
              <w:t xml:space="preserve"> de Galicia</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proofErr w:type="spellStart"/>
            <w:r>
              <w:rPr>
                <w:rFonts w:ascii="Arial" w:eastAsia="Arial" w:hAnsi="Arial" w:cs="Arial"/>
                <w:color w:val="000000"/>
                <w:sz w:val="22"/>
                <w:szCs w:val="22"/>
              </w:rPr>
              <w:t>Check</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list</w:t>
            </w:r>
            <w:proofErr w:type="spellEnd"/>
            <w:r>
              <w:rPr>
                <w:rFonts w:ascii="Arial" w:eastAsia="Arial" w:hAnsi="Arial" w:cs="Arial"/>
                <w:color w:val="000000"/>
                <w:sz w:val="22"/>
                <w:szCs w:val="22"/>
              </w:rPr>
              <w:t xml:space="preserve"> para valorar programas de nutrición clínica</w:t>
            </w:r>
          </w:p>
          <w:p w:rsidR="00C06948" w:rsidRDefault="00E245A9">
            <w:pPr>
              <w:numPr>
                <w:ilvl w:val="1"/>
                <w:numId w:val="2"/>
              </w:numPr>
              <w:pBdr>
                <w:top w:val="nil"/>
                <w:left w:val="nil"/>
                <w:bottom w:val="nil"/>
                <w:right w:val="nil"/>
                <w:between w:val="nil"/>
              </w:pBdr>
              <w:spacing w:after="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Administración de fármacos orales antineoplásicos en pacientes con sonda de alimentación.</w:t>
            </w:r>
          </w:p>
          <w:p w:rsidR="00C06948" w:rsidRDefault="00E245A9">
            <w:pPr>
              <w:numPr>
                <w:ilvl w:val="0"/>
                <w:numId w:val="2"/>
              </w:numPr>
              <w:spacing w:before="72" w:after="72" w:line="360" w:lineRule="auto"/>
              <w:ind w:right="180"/>
              <w:jc w:val="both"/>
              <w:rPr>
                <w:rFonts w:ascii="Arial" w:eastAsia="Arial" w:hAnsi="Arial" w:cs="Arial"/>
                <w:sz w:val="22"/>
                <w:szCs w:val="22"/>
              </w:rPr>
            </w:pPr>
            <w:r>
              <w:rPr>
                <w:rFonts w:ascii="Arial" w:eastAsia="Arial" w:hAnsi="Arial" w:cs="Arial"/>
                <w:sz w:val="22"/>
                <w:szCs w:val="22"/>
              </w:rPr>
              <w:t>Actividad docente prevista:</w:t>
            </w:r>
          </w:p>
          <w:p w:rsidR="00C06948" w:rsidRDefault="00E245A9">
            <w:pPr>
              <w:numPr>
                <w:ilvl w:val="1"/>
                <w:numId w:val="2"/>
              </w:numPr>
              <w:spacing w:before="72" w:after="72" w:line="360" w:lineRule="auto"/>
              <w:ind w:right="180"/>
              <w:jc w:val="both"/>
              <w:rPr>
                <w:rFonts w:ascii="Arial" w:eastAsia="Arial" w:hAnsi="Arial" w:cs="Arial"/>
                <w:sz w:val="22"/>
                <w:szCs w:val="22"/>
              </w:rPr>
            </w:pPr>
            <w:r>
              <w:rPr>
                <w:rFonts w:ascii="Arial" w:eastAsia="Arial" w:hAnsi="Arial" w:cs="Arial"/>
                <w:sz w:val="22"/>
                <w:szCs w:val="22"/>
              </w:rPr>
              <w:t>Curso presencial de Soporte Nutricional Especializado. Fechas de realización: 27-29 de septiembre de 2017</w:t>
            </w:r>
          </w:p>
          <w:p w:rsidR="00C06948" w:rsidRDefault="00E245A9">
            <w:pPr>
              <w:numPr>
                <w:ilvl w:val="1"/>
                <w:numId w:val="2"/>
              </w:numPr>
              <w:pBdr>
                <w:top w:val="nil"/>
                <w:left w:val="nil"/>
                <w:bottom w:val="nil"/>
                <w:right w:val="nil"/>
                <w:between w:val="nil"/>
              </w:pBdr>
              <w:spacing w:before="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Reiniciar el Programa de formación BPS en Nutrición Clínica. </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Colaborar con el proyecto de formación de técnicos de Farmacia Hospitalaria.</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Curso presencial “</w:t>
            </w:r>
            <w:r>
              <w:rPr>
                <w:rFonts w:ascii="Calibri" w:eastAsia="Calibri" w:hAnsi="Calibri" w:cs="Calibri"/>
                <w:color w:val="000000"/>
              </w:rPr>
              <w:t>HABILIDADES BÁSICAS PARA EL MANEJO DE PACIENTES CON NUTRICIÓN PARENTERAL”. Congreso SEFH Madrid 201</w:t>
            </w:r>
            <w:r>
              <w:rPr>
                <w:rFonts w:ascii="Calibri" w:eastAsia="Calibri" w:hAnsi="Calibri" w:cs="Calibri"/>
                <w:color w:val="000000"/>
              </w:rPr>
              <w:t>7</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Calibri" w:eastAsia="Calibri" w:hAnsi="Calibri" w:cs="Calibri"/>
                <w:color w:val="000000"/>
              </w:rPr>
              <w:lastRenderedPageBreak/>
              <w:t xml:space="preserve">Taller </w:t>
            </w:r>
            <w:r>
              <w:rPr>
                <w:rFonts w:ascii="Calibri" w:eastAsia="Calibri" w:hAnsi="Calibri" w:cs="Calibri"/>
                <w:b/>
                <w:color w:val="000000"/>
              </w:rPr>
              <w:t xml:space="preserve">CASOS CLÍNICOS EN SOPORTE NUTRICIONAL.  </w:t>
            </w:r>
            <w:r>
              <w:rPr>
                <w:rFonts w:ascii="Calibri" w:eastAsia="Calibri" w:hAnsi="Calibri" w:cs="Calibri"/>
                <w:color w:val="000000"/>
              </w:rPr>
              <w:t>Congreso SEFH. Madrid 2017</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II Jornadas de Actualización en Nutrición Clínica.</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Participación en el I Congreso de Nutrición en el paciente oncológico, organizado por SENPE, SEOR y SEOM. Ponencias:</w:t>
            </w:r>
          </w:p>
          <w:p w:rsidR="00C06948" w:rsidRDefault="00E245A9">
            <w:pPr>
              <w:numPr>
                <w:ilvl w:val="2"/>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Impacto de los medicamentos </w:t>
            </w:r>
            <w:proofErr w:type="spellStart"/>
            <w:r>
              <w:rPr>
                <w:rFonts w:ascii="Arial" w:eastAsia="Arial" w:hAnsi="Arial" w:cs="Arial"/>
                <w:color w:val="000000"/>
                <w:sz w:val="22"/>
                <w:szCs w:val="22"/>
              </w:rPr>
              <w:t>citostáticos</w:t>
            </w:r>
            <w:proofErr w:type="spellEnd"/>
            <w:r>
              <w:rPr>
                <w:rFonts w:ascii="Arial" w:eastAsia="Arial" w:hAnsi="Arial" w:cs="Arial"/>
                <w:color w:val="000000"/>
                <w:sz w:val="22"/>
                <w:szCs w:val="22"/>
              </w:rPr>
              <w:t xml:space="preserve"> en el estado nutricional del paciente oncológico.</w:t>
            </w:r>
          </w:p>
          <w:p w:rsidR="00C06948" w:rsidRDefault="00E245A9">
            <w:pPr>
              <w:numPr>
                <w:ilvl w:val="2"/>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Desnutrición en el paciente oncológico ambulatorio.</w:t>
            </w:r>
          </w:p>
          <w:p w:rsidR="00C06948" w:rsidRDefault="00E245A9">
            <w:pPr>
              <w:numPr>
                <w:ilvl w:val="2"/>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Tratamiento farmacológico de la anorexia asociada al cáncer.</w:t>
            </w:r>
          </w:p>
          <w:p w:rsidR="00C06948" w:rsidRDefault="00E245A9">
            <w:pPr>
              <w:numPr>
                <w:ilvl w:val="0"/>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Actividad investigadora prevista:</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Estudio sobre la p</w:t>
            </w:r>
            <w:r>
              <w:rPr>
                <w:rFonts w:ascii="Arial" w:eastAsia="Arial" w:hAnsi="Arial" w:cs="Arial"/>
                <w:color w:val="000000"/>
                <w:sz w:val="22"/>
                <w:szCs w:val="22"/>
              </w:rPr>
              <w:t>revalencia de desnutrición en las unidades de pacientes externos de los servicios de farmacia hospitalarios.</w:t>
            </w:r>
          </w:p>
          <w:p w:rsidR="00C06948" w:rsidRDefault="00E245A9">
            <w:pPr>
              <w:numPr>
                <w:ilvl w:val="0"/>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Actualización de los Estándares de Práctica del farmacéutico de hospital en el Soporte Nutricional Especializado.</w:t>
            </w:r>
          </w:p>
          <w:p w:rsidR="00C06948" w:rsidRDefault="00E245A9">
            <w:pPr>
              <w:numPr>
                <w:ilvl w:val="0"/>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color w:val="000000"/>
                <w:sz w:val="22"/>
                <w:szCs w:val="22"/>
              </w:rPr>
              <w:t xml:space="preserve">Iniciar las acciones contempladas en el </w:t>
            </w:r>
            <w:r>
              <w:rPr>
                <w:rFonts w:ascii="Arial" w:eastAsia="Arial" w:hAnsi="Arial" w:cs="Arial"/>
                <w:b/>
                <w:color w:val="000000"/>
                <w:sz w:val="22"/>
                <w:szCs w:val="22"/>
              </w:rPr>
              <w:t>Plan Estratégico</w:t>
            </w:r>
            <w:r>
              <w:rPr>
                <w:rFonts w:ascii="Arial" w:eastAsia="Arial" w:hAnsi="Arial" w:cs="Arial"/>
                <w:color w:val="000000"/>
                <w:sz w:val="22"/>
                <w:szCs w:val="22"/>
              </w:rPr>
              <w:t xml:space="preserve"> para el desarrollo de la Nutrición Clínica en los Servicios de Farmacia hospitalarios, definidas en la reunión del GNC de fecha  Marzo 2017:</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b/>
                <w:color w:val="000000"/>
                <w:sz w:val="22"/>
                <w:szCs w:val="22"/>
              </w:rPr>
              <w:t>LE-1. Encuesta a todos los residentes de farmacia hospitalaria sobre sus necesidades formativas en nutrición clínica.</w:t>
            </w:r>
            <w:r>
              <w:rPr>
                <w:rFonts w:ascii="Arial" w:eastAsia="Arial" w:hAnsi="Arial" w:cs="Arial"/>
                <w:color w:val="000000"/>
                <w:sz w:val="22"/>
                <w:szCs w:val="22"/>
              </w:rPr>
              <w:t xml:space="preserve"> Esto da pie a justificar la elaboración de un programa de formación con detalle de sus contenidos (LE-2) y la creación de la red de hospit</w:t>
            </w:r>
            <w:r>
              <w:rPr>
                <w:rFonts w:ascii="Arial" w:eastAsia="Arial" w:hAnsi="Arial" w:cs="Arial"/>
                <w:color w:val="000000"/>
                <w:sz w:val="22"/>
                <w:szCs w:val="22"/>
              </w:rPr>
              <w:t>ales (LE-3).</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b/>
                <w:color w:val="000000"/>
                <w:sz w:val="22"/>
                <w:szCs w:val="22"/>
              </w:rPr>
              <w:t xml:space="preserve">LE-2. Programa de Formación. </w:t>
            </w:r>
            <w:r>
              <w:rPr>
                <w:rFonts w:ascii="Arial" w:eastAsia="Arial" w:hAnsi="Arial" w:cs="Arial"/>
                <w:color w:val="000000"/>
                <w:sz w:val="22"/>
                <w:szCs w:val="22"/>
              </w:rPr>
              <w:t>Desarrollar los conocimientos que debe adquirir el farmacéutico de hospital en el área de nutrición clínica. Incluir para cada apartado la documentación mínima necesaria para poder adquirir esos conocimientos (artí</w:t>
            </w:r>
            <w:r>
              <w:rPr>
                <w:rFonts w:ascii="Arial" w:eastAsia="Arial" w:hAnsi="Arial" w:cs="Arial"/>
                <w:color w:val="000000"/>
                <w:sz w:val="22"/>
                <w:szCs w:val="22"/>
              </w:rPr>
              <w:t>culos de referencia, capítulos de libros,…), de forma que sirva como documento guía para la formación no solo de los residentes de la especialidad sino también de aquellos especialistas que deseen ampliar su formación en esta área de conocimiento.</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b/>
                <w:color w:val="000000"/>
                <w:sz w:val="22"/>
                <w:szCs w:val="22"/>
              </w:rPr>
              <w:t>LE-3. Cr</w:t>
            </w:r>
            <w:r>
              <w:rPr>
                <w:rFonts w:ascii="Arial" w:eastAsia="Arial" w:hAnsi="Arial" w:cs="Arial"/>
                <w:b/>
                <w:color w:val="000000"/>
                <w:sz w:val="22"/>
                <w:szCs w:val="22"/>
              </w:rPr>
              <w:t xml:space="preserve">ear una red de hospitales receptores de residentes, </w:t>
            </w:r>
            <w:r>
              <w:rPr>
                <w:rFonts w:ascii="Arial" w:eastAsia="Arial" w:hAnsi="Arial" w:cs="Arial"/>
                <w:color w:val="000000"/>
                <w:sz w:val="22"/>
                <w:szCs w:val="22"/>
              </w:rPr>
              <w:t>de forma que puedan formar durante un periodo mínimo de un mes a un residente en el área de nutrición clínica (R2-R3).</w:t>
            </w:r>
          </w:p>
          <w:p w:rsidR="00C06948" w:rsidRDefault="00E245A9">
            <w:pPr>
              <w:numPr>
                <w:ilvl w:val="1"/>
                <w:numId w:val="2"/>
              </w:numPr>
              <w:pBdr>
                <w:top w:val="nil"/>
                <w:left w:val="nil"/>
                <w:bottom w:val="nil"/>
                <w:right w:val="nil"/>
                <w:between w:val="nil"/>
              </w:pBdr>
              <w:spacing w:line="360" w:lineRule="auto"/>
              <w:ind w:right="180"/>
              <w:jc w:val="both"/>
              <w:rPr>
                <w:rFonts w:ascii="Arial" w:eastAsia="Arial" w:hAnsi="Arial" w:cs="Arial"/>
                <w:color w:val="000000"/>
                <w:sz w:val="22"/>
                <w:szCs w:val="22"/>
              </w:rPr>
            </w:pPr>
            <w:r>
              <w:rPr>
                <w:rFonts w:ascii="Arial" w:eastAsia="Arial" w:hAnsi="Arial" w:cs="Arial"/>
                <w:b/>
                <w:color w:val="000000"/>
                <w:sz w:val="22"/>
                <w:szCs w:val="22"/>
              </w:rPr>
              <w:t xml:space="preserve">LE-4. Impacto en Correo Farmacéutico-Diario Médico. </w:t>
            </w:r>
            <w:r>
              <w:rPr>
                <w:rFonts w:ascii="Arial" w:eastAsia="Arial" w:hAnsi="Arial" w:cs="Arial"/>
                <w:color w:val="000000"/>
                <w:sz w:val="22"/>
                <w:szCs w:val="22"/>
              </w:rPr>
              <w:t>A fin de dotar de una mayor visib</w:t>
            </w:r>
            <w:r>
              <w:rPr>
                <w:rFonts w:ascii="Arial" w:eastAsia="Arial" w:hAnsi="Arial" w:cs="Arial"/>
                <w:color w:val="000000"/>
                <w:sz w:val="22"/>
                <w:szCs w:val="22"/>
              </w:rPr>
              <w:t xml:space="preserve">ilidad a las actividades desempeñadas por el farmacéutico de hospital en nutrición clínica, se propone comunicar cuantas acciones tengan lugar mediante notas de prensa enviadas a </w:t>
            </w:r>
            <w:r>
              <w:rPr>
                <w:rFonts w:ascii="Arial" w:eastAsia="Arial" w:hAnsi="Arial" w:cs="Arial"/>
                <w:color w:val="000000"/>
                <w:sz w:val="22"/>
                <w:szCs w:val="22"/>
              </w:rPr>
              <w:lastRenderedPageBreak/>
              <w:t>Correo Farmacéutico y Diario Médico.</w:t>
            </w:r>
          </w:p>
          <w:p w:rsidR="00C06948" w:rsidRDefault="00E245A9">
            <w:pPr>
              <w:numPr>
                <w:ilvl w:val="0"/>
                <w:numId w:val="2"/>
              </w:numPr>
              <w:pBdr>
                <w:top w:val="nil"/>
                <w:left w:val="nil"/>
                <w:bottom w:val="nil"/>
                <w:right w:val="nil"/>
                <w:between w:val="nil"/>
              </w:pBdr>
              <w:spacing w:after="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Colaboración con el grupo de trabajo GPS_SEFH: Aplicación de las normas ISO a los productos sanitarios para administrar nutrición enteral.</w:t>
            </w:r>
          </w:p>
        </w:tc>
      </w:tr>
      <w:tr w:rsidR="00C06948">
        <w:trPr>
          <w:trHeight w:val="5560"/>
        </w:trPr>
        <w:tc>
          <w:tcPr>
            <w:tcW w:w="8494" w:type="dxa"/>
            <w:tcBorders>
              <w:top w:val="single" w:sz="4" w:space="0" w:color="000000"/>
              <w:bottom w:val="single" w:sz="4" w:space="0" w:color="000000"/>
            </w:tcBorders>
            <w:shd w:val="clear" w:color="auto" w:fill="FFFFFF"/>
          </w:tcPr>
          <w:p w:rsidR="00C06948" w:rsidRDefault="00C06948">
            <w:pPr>
              <w:spacing w:before="72" w:after="72" w:line="360" w:lineRule="auto"/>
              <w:ind w:right="180"/>
              <w:jc w:val="both"/>
              <w:rPr>
                <w:rFonts w:ascii="Arial" w:eastAsia="Arial" w:hAnsi="Arial" w:cs="Arial"/>
                <w:sz w:val="22"/>
                <w:szCs w:val="22"/>
              </w:rPr>
            </w:pPr>
          </w:p>
        </w:tc>
      </w:tr>
    </w:tbl>
    <w:p w:rsidR="00C06948" w:rsidRDefault="00E245A9">
      <w:r>
        <w:br w:type="page"/>
      </w:r>
    </w:p>
    <w:tbl>
      <w:tblPr>
        <w:tblStyle w:val="a1"/>
        <w:tblW w:w="8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8"/>
        <w:gridCol w:w="2832"/>
        <w:gridCol w:w="2834"/>
      </w:tblGrid>
      <w:tr w:rsidR="00C06948">
        <w:tc>
          <w:tcPr>
            <w:tcW w:w="8494"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lastRenderedPageBreak/>
              <w:t>Actividad docente</w:t>
            </w:r>
          </w:p>
        </w:tc>
      </w:tr>
      <w:tr w:rsidR="00C06948">
        <w:trPr>
          <w:trHeight w:val="1140"/>
        </w:trPr>
        <w:tc>
          <w:tcPr>
            <w:tcW w:w="8494" w:type="dxa"/>
            <w:gridSpan w:val="3"/>
            <w:tcBorders>
              <w:top w:val="single" w:sz="4" w:space="0" w:color="000000"/>
              <w:bottom w:val="single" w:sz="4" w:space="0" w:color="000000"/>
            </w:tcBorders>
            <w:shd w:val="clear" w:color="auto" w:fill="FFFFFF"/>
          </w:tcPr>
          <w:p w:rsidR="00C06948" w:rsidRDefault="00E245A9">
            <w:pPr>
              <w:numPr>
                <w:ilvl w:val="0"/>
                <w:numId w:val="3"/>
              </w:numPr>
              <w:spacing w:before="72" w:after="72" w:line="360" w:lineRule="auto"/>
              <w:ind w:left="499" w:right="180" w:hanging="357"/>
              <w:jc w:val="both"/>
              <w:rPr>
                <w:rFonts w:ascii="Arial" w:eastAsia="Arial" w:hAnsi="Arial" w:cs="Arial"/>
                <w:b/>
                <w:sz w:val="22"/>
                <w:szCs w:val="22"/>
              </w:rPr>
            </w:pPr>
            <w:r>
              <w:rPr>
                <w:rFonts w:ascii="Arial" w:eastAsia="Arial" w:hAnsi="Arial" w:cs="Arial"/>
                <w:b/>
                <w:sz w:val="22"/>
                <w:szCs w:val="22"/>
              </w:rPr>
              <w:t>I Jornadas de Actualización en Nutrición para Farmacéuticos Especialistas en Farmacia Hospitalaria. Madrid. Hospital Central de la Cruz Roja. Enero 2017.</w:t>
            </w:r>
          </w:p>
          <w:p w:rsidR="00C06948" w:rsidRDefault="00E245A9">
            <w:pPr>
              <w:numPr>
                <w:ilvl w:val="0"/>
                <w:numId w:val="3"/>
              </w:numPr>
              <w:spacing w:before="72" w:after="72" w:line="360" w:lineRule="auto"/>
              <w:ind w:left="499" w:right="180" w:hanging="357"/>
              <w:jc w:val="both"/>
              <w:rPr>
                <w:rFonts w:ascii="Arial" w:eastAsia="Arial" w:hAnsi="Arial" w:cs="Arial"/>
                <w:b/>
                <w:sz w:val="22"/>
                <w:szCs w:val="22"/>
              </w:rPr>
            </w:pPr>
            <w:r>
              <w:rPr>
                <w:rFonts w:ascii="Arial" w:eastAsia="Arial" w:hAnsi="Arial" w:cs="Arial"/>
                <w:b/>
                <w:sz w:val="22"/>
                <w:szCs w:val="22"/>
              </w:rPr>
              <w:t>Curso on-line de Nutrición Clínica. SEFH.</w:t>
            </w:r>
          </w:p>
        </w:tc>
      </w:tr>
      <w:tr w:rsidR="00C06948">
        <w:tc>
          <w:tcPr>
            <w:tcW w:w="8494" w:type="dxa"/>
            <w:gridSpan w:val="3"/>
            <w:tcBorders>
              <w:top w:val="single" w:sz="4" w:space="0" w:color="000000"/>
              <w:bottom w:val="single" w:sz="4" w:space="0" w:color="000000"/>
            </w:tcBorders>
            <w:shd w:val="clear" w:color="auto" w:fill="D2EAF1"/>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Actividad investigadora.</w:t>
            </w:r>
          </w:p>
        </w:tc>
      </w:tr>
      <w:tr w:rsidR="00C06948">
        <w:trPr>
          <w:trHeight w:val="1300"/>
        </w:trPr>
        <w:tc>
          <w:tcPr>
            <w:tcW w:w="8494" w:type="dxa"/>
            <w:gridSpan w:val="3"/>
            <w:tcBorders>
              <w:top w:val="single" w:sz="4" w:space="0" w:color="000000"/>
              <w:bottom w:val="single" w:sz="4" w:space="0" w:color="000000"/>
            </w:tcBorders>
            <w:shd w:val="clear" w:color="auto" w:fill="FFFFFF"/>
          </w:tcPr>
          <w:p w:rsidR="00C06948" w:rsidRDefault="00C06948">
            <w:pPr>
              <w:numPr>
                <w:ilvl w:val="0"/>
                <w:numId w:val="3"/>
              </w:numPr>
              <w:spacing w:before="72" w:after="72" w:line="360" w:lineRule="auto"/>
              <w:ind w:right="180"/>
              <w:jc w:val="both"/>
              <w:rPr>
                <w:rFonts w:ascii="Arial" w:eastAsia="Arial" w:hAnsi="Arial" w:cs="Arial"/>
                <w:b/>
                <w:sz w:val="22"/>
                <w:szCs w:val="22"/>
              </w:rPr>
            </w:pPr>
          </w:p>
        </w:tc>
      </w:tr>
      <w:tr w:rsidR="00C06948">
        <w:tc>
          <w:tcPr>
            <w:tcW w:w="8494" w:type="dxa"/>
            <w:gridSpan w:val="3"/>
            <w:tcBorders>
              <w:top w:val="single" w:sz="4" w:space="0" w:color="000000"/>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Colaboración con otros grupos/sociedades</w:t>
            </w:r>
          </w:p>
        </w:tc>
      </w:tr>
      <w:tr w:rsidR="00C06948">
        <w:trPr>
          <w:trHeight w:val="1280"/>
        </w:trPr>
        <w:tc>
          <w:tcPr>
            <w:tcW w:w="8494" w:type="dxa"/>
            <w:gridSpan w:val="3"/>
            <w:tcBorders>
              <w:top w:val="single" w:sz="4" w:space="0" w:color="000000"/>
              <w:bottom w:val="single" w:sz="4" w:space="0" w:color="000000"/>
            </w:tcBorders>
            <w:shd w:val="clear" w:color="auto" w:fill="FFFFFF"/>
            <w:tcMar>
              <w:left w:w="70" w:type="dxa"/>
              <w:right w:w="70" w:type="dxa"/>
            </w:tcMar>
          </w:tcPr>
          <w:p w:rsidR="00C06948" w:rsidRDefault="00E245A9">
            <w:pPr>
              <w:numPr>
                <w:ilvl w:val="0"/>
                <w:numId w:val="3"/>
              </w:numPr>
              <w:spacing w:before="72" w:after="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Colaboración con SENPE: Participación en la Alianza +Nutridos.</w:t>
            </w:r>
          </w:p>
          <w:p w:rsidR="00C06948" w:rsidRDefault="00E245A9">
            <w:pPr>
              <w:numPr>
                <w:ilvl w:val="0"/>
                <w:numId w:val="3"/>
              </w:numPr>
              <w:spacing w:before="72" w:after="72" w:line="360" w:lineRule="auto"/>
              <w:ind w:right="180"/>
              <w:jc w:val="both"/>
              <w:rPr>
                <w:rFonts w:ascii="Arial" w:eastAsia="Arial" w:hAnsi="Arial" w:cs="Arial"/>
                <w:color w:val="000000"/>
                <w:sz w:val="22"/>
                <w:szCs w:val="22"/>
              </w:rPr>
            </w:pPr>
            <w:r>
              <w:rPr>
                <w:rFonts w:ascii="Arial" w:eastAsia="Arial" w:hAnsi="Arial" w:cs="Arial"/>
                <w:color w:val="000000"/>
                <w:sz w:val="22"/>
                <w:szCs w:val="22"/>
              </w:rPr>
              <w:t>Colaboración con el grupo de trabajo GENESIS para la adecuar la metodología de evaluación a los productos de nutrición artificial.</w:t>
            </w:r>
          </w:p>
        </w:tc>
      </w:tr>
      <w:tr w:rsidR="00C06948">
        <w:tc>
          <w:tcPr>
            <w:tcW w:w="8494" w:type="dxa"/>
            <w:gridSpan w:val="3"/>
            <w:tcBorders>
              <w:top w:val="single" w:sz="4" w:space="0" w:color="000000"/>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Publicaciones</w:t>
            </w:r>
          </w:p>
        </w:tc>
      </w:tr>
      <w:tr w:rsidR="00C06948">
        <w:trPr>
          <w:trHeight w:val="1280"/>
        </w:trPr>
        <w:tc>
          <w:tcPr>
            <w:tcW w:w="8494" w:type="dxa"/>
            <w:gridSpan w:val="3"/>
            <w:tcBorders>
              <w:top w:val="single" w:sz="4" w:space="0" w:color="000000"/>
              <w:bottom w:val="single" w:sz="4" w:space="0" w:color="000000"/>
            </w:tcBorders>
            <w:shd w:val="clear" w:color="auto" w:fill="FFFFFF"/>
            <w:tcMar>
              <w:left w:w="70" w:type="dxa"/>
              <w:right w:w="70" w:type="dxa"/>
            </w:tcMar>
          </w:tcPr>
          <w:p w:rsidR="00C06948" w:rsidRDefault="00C06948">
            <w:pPr>
              <w:numPr>
                <w:ilvl w:val="0"/>
                <w:numId w:val="3"/>
              </w:numPr>
              <w:spacing w:before="72" w:after="72" w:line="360" w:lineRule="auto"/>
              <w:ind w:right="180"/>
              <w:jc w:val="both"/>
              <w:rPr>
                <w:rFonts w:ascii="Arial" w:eastAsia="Arial" w:hAnsi="Arial" w:cs="Arial"/>
                <w:color w:val="000000"/>
                <w:sz w:val="22"/>
                <w:szCs w:val="22"/>
              </w:rPr>
            </w:pPr>
          </w:p>
        </w:tc>
      </w:tr>
      <w:tr w:rsidR="00C06948">
        <w:tc>
          <w:tcPr>
            <w:tcW w:w="8494" w:type="dxa"/>
            <w:gridSpan w:val="3"/>
            <w:tcBorders>
              <w:top w:val="single" w:sz="4" w:space="0" w:color="000000"/>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Actividad web SEFH.</w:t>
            </w:r>
          </w:p>
        </w:tc>
      </w:tr>
      <w:tr w:rsidR="00C06948">
        <w:trPr>
          <w:trHeight w:val="1860"/>
        </w:trPr>
        <w:tc>
          <w:tcPr>
            <w:tcW w:w="8494" w:type="dxa"/>
            <w:gridSpan w:val="3"/>
            <w:tcBorders>
              <w:top w:val="single" w:sz="4" w:space="0" w:color="000000"/>
              <w:bottom w:val="single" w:sz="4" w:space="0" w:color="000000"/>
            </w:tcBorders>
            <w:shd w:val="clear" w:color="auto" w:fill="FFFFFF"/>
            <w:tcMar>
              <w:left w:w="70" w:type="dxa"/>
              <w:right w:w="70" w:type="dxa"/>
            </w:tcMar>
          </w:tcPr>
          <w:p w:rsidR="00C06948" w:rsidRDefault="00C06948">
            <w:pPr>
              <w:numPr>
                <w:ilvl w:val="0"/>
                <w:numId w:val="4"/>
              </w:numPr>
              <w:spacing w:before="72" w:after="72" w:line="360" w:lineRule="auto"/>
              <w:ind w:right="180"/>
              <w:jc w:val="both"/>
              <w:rPr>
                <w:b/>
                <w:sz w:val="22"/>
                <w:szCs w:val="22"/>
              </w:rPr>
            </w:pPr>
          </w:p>
        </w:tc>
      </w:tr>
      <w:tr w:rsidR="00C06948">
        <w:tc>
          <w:tcPr>
            <w:tcW w:w="8494" w:type="dxa"/>
            <w:gridSpan w:val="3"/>
            <w:tcBorders>
              <w:top w:val="single" w:sz="4" w:space="0" w:color="000000"/>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Actividad en redes sociales</w:t>
            </w:r>
          </w:p>
        </w:tc>
      </w:tr>
      <w:tr w:rsidR="00C06948">
        <w:tc>
          <w:tcPr>
            <w:tcW w:w="8494" w:type="dxa"/>
            <w:gridSpan w:val="3"/>
            <w:tcBorders>
              <w:top w:val="single" w:sz="4" w:space="0" w:color="000000"/>
              <w:bottom w:val="single" w:sz="4" w:space="0" w:color="000000"/>
            </w:tcBorders>
            <w:shd w:val="clear" w:color="auto" w:fill="FFFFFF"/>
            <w:tcMar>
              <w:left w:w="70" w:type="dxa"/>
              <w:right w:w="70" w:type="dxa"/>
            </w:tcMar>
            <w:vAlign w:val="center"/>
          </w:tcPr>
          <w:p w:rsidR="00C06948" w:rsidRDefault="00C06948">
            <w:pPr>
              <w:numPr>
                <w:ilvl w:val="0"/>
                <w:numId w:val="4"/>
              </w:numPr>
              <w:spacing w:before="72" w:after="72" w:line="360" w:lineRule="auto"/>
              <w:ind w:right="180"/>
              <w:jc w:val="both"/>
              <w:rPr>
                <w:b/>
                <w:sz w:val="22"/>
                <w:szCs w:val="22"/>
              </w:rPr>
            </w:pPr>
          </w:p>
          <w:p w:rsidR="00C06948" w:rsidRDefault="00C06948">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right w:val="nil"/>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r>
              <w:rPr>
                <w:rFonts w:ascii="Arial" w:eastAsia="Arial" w:hAnsi="Arial" w:cs="Arial"/>
                <w:b/>
                <w:color w:val="000000"/>
                <w:sz w:val="22"/>
                <w:szCs w:val="22"/>
              </w:rPr>
              <w:t>Indicador</w:t>
            </w:r>
          </w:p>
        </w:tc>
        <w:tc>
          <w:tcPr>
            <w:tcW w:w="2832" w:type="dxa"/>
            <w:tcBorders>
              <w:top w:val="single" w:sz="4" w:space="0" w:color="000000"/>
              <w:left w:val="nil"/>
              <w:bottom w:val="single" w:sz="4" w:space="0" w:color="000000"/>
              <w:right w:val="nil"/>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r>
              <w:rPr>
                <w:rFonts w:ascii="Arial" w:eastAsia="Arial" w:hAnsi="Arial" w:cs="Arial"/>
                <w:b/>
                <w:color w:val="000000"/>
                <w:sz w:val="22"/>
                <w:szCs w:val="22"/>
              </w:rPr>
              <w:t>Descripción</w:t>
            </w:r>
          </w:p>
        </w:tc>
        <w:tc>
          <w:tcPr>
            <w:tcW w:w="2834" w:type="dxa"/>
            <w:tcBorders>
              <w:top w:val="single" w:sz="4" w:space="0" w:color="000000"/>
              <w:left w:val="nil"/>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r>
              <w:rPr>
                <w:rFonts w:ascii="Arial" w:eastAsia="Arial" w:hAnsi="Arial" w:cs="Arial"/>
                <w:b/>
                <w:color w:val="000000"/>
                <w:sz w:val="22"/>
                <w:szCs w:val="22"/>
              </w:rPr>
              <w:t>Valor</w:t>
            </w: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Tweets</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tuits</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Impresiones (k)</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impresiones</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Menciones</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menciones </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lastRenderedPageBreak/>
              <w:t>Nuevos seguidores</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nuevos seguidores </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Seguidores</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total de seguidores</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Visitas perfil</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visitas al perfil</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proofErr w:type="spellStart"/>
            <w:r>
              <w:rPr>
                <w:rFonts w:ascii="Arial" w:eastAsia="Arial" w:hAnsi="Arial" w:cs="Arial"/>
                <w:color w:val="000000"/>
                <w:sz w:val="22"/>
                <w:szCs w:val="22"/>
              </w:rPr>
              <w:t>Retuits</w:t>
            </w:r>
            <w:proofErr w:type="spellEnd"/>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 xml:space="preserve">Número de </w:t>
            </w:r>
            <w:proofErr w:type="spellStart"/>
            <w:r>
              <w:rPr>
                <w:rFonts w:ascii="Arial" w:eastAsia="Arial" w:hAnsi="Arial" w:cs="Arial"/>
                <w:color w:val="000000"/>
                <w:sz w:val="22"/>
                <w:szCs w:val="22"/>
              </w:rPr>
              <w:t>Retuits</w:t>
            </w:r>
            <w:proofErr w:type="spellEnd"/>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rPr>
          <w:trHeight w:val="60"/>
        </w:trPr>
        <w:tc>
          <w:tcPr>
            <w:tcW w:w="2828"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Me gusta</w:t>
            </w:r>
          </w:p>
        </w:tc>
        <w:tc>
          <w:tcPr>
            <w:tcW w:w="2832" w:type="dxa"/>
            <w:tcBorders>
              <w:top w:val="single" w:sz="4" w:space="0" w:color="000000"/>
              <w:bottom w:val="single" w:sz="4" w:space="0" w:color="000000"/>
            </w:tcBorders>
            <w:shd w:val="clear" w:color="auto" w:fill="FFFFFF"/>
            <w:tcMar>
              <w:left w:w="70" w:type="dxa"/>
              <w:right w:w="70" w:type="dxa"/>
            </w:tcMar>
            <w:vAlign w:val="center"/>
          </w:tcPr>
          <w:p w:rsidR="00C06948" w:rsidRDefault="00E245A9">
            <w:pPr>
              <w:rPr>
                <w:rFonts w:ascii="Arial" w:eastAsia="Arial" w:hAnsi="Arial" w:cs="Arial"/>
                <w:color w:val="000000"/>
                <w:sz w:val="22"/>
                <w:szCs w:val="22"/>
              </w:rPr>
            </w:pPr>
            <w:r>
              <w:rPr>
                <w:rFonts w:ascii="Arial" w:eastAsia="Arial" w:hAnsi="Arial" w:cs="Arial"/>
                <w:color w:val="000000"/>
                <w:sz w:val="22"/>
                <w:szCs w:val="22"/>
              </w:rPr>
              <w:t>Número de Me Gusta</w:t>
            </w:r>
          </w:p>
        </w:tc>
        <w:tc>
          <w:tcPr>
            <w:tcW w:w="2834" w:type="dxa"/>
            <w:tcBorders>
              <w:top w:val="single" w:sz="4" w:space="0" w:color="000000"/>
              <w:bottom w:val="single" w:sz="4" w:space="0" w:color="000000"/>
            </w:tcBorders>
            <w:shd w:val="clear" w:color="auto" w:fill="FFFFFF"/>
            <w:tcMar>
              <w:left w:w="70" w:type="dxa"/>
              <w:right w:w="70" w:type="dxa"/>
            </w:tcMar>
            <w:vAlign w:val="center"/>
          </w:tcPr>
          <w:p w:rsidR="00C06948" w:rsidRDefault="00C06948">
            <w:pPr>
              <w:pBdr>
                <w:top w:val="nil"/>
                <w:left w:val="nil"/>
                <w:bottom w:val="nil"/>
                <w:right w:val="nil"/>
                <w:between w:val="nil"/>
              </w:pBdr>
              <w:spacing w:before="72" w:after="72" w:line="360" w:lineRule="auto"/>
              <w:ind w:left="142" w:right="180"/>
              <w:jc w:val="center"/>
              <w:rPr>
                <w:rFonts w:ascii="Arial" w:eastAsia="Arial" w:hAnsi="Arial" w:cs="Arial"/>
                <w:b/>
                <w:color w:val="000000"/>
                <w:sz w:val="22"/>
                <w:szCs w:val="22"/>
              </w:rPr>
            </w:pPr>
          </w:p>
        </w:tc>
      </w:tr>
      <w:tr w:rsidR="00C06948">
        <w:tc>
          <w:tcPr>
            <w:tcW w:w="8494" w:type="dxa"/>
            <w:gridSpan w:val="3"/>
            <w:tcBorders>
              <w:top w:val="single" w:sz="4" w:space="0" w:color="000000"/>
              <w:bottom w:val="single" w:sz="4" w:space="0" w:color="000000"/>
            </w:tcBorders>
            <w:shd w:val="clear" w:color="auto" w:fill="D2EAF1"/>
            <w:tcMar>
              <w:left w:w="70" w:type="dxa"/>
              <w:right w:w="70" w:type="dxa"/>
            </w:tcMar>
            <w:vAlign w:val="center"/>
          </w:tcPr>
          <w:p w:rsidR="00C06948" w:rsidRDefault="00E245A9">
            <w:pPr>
              <w:pBdr>
                <w:top w:val="nil"/>
                <w:left w:val="nil"/>
                <w:bottom w:val="nil"/>
                <w:right w:val="nil"/>
                <w:between w:val="nil"/>
              </w:pBdr>
              <w:spacing w:before="72" w:after="72" w:line="360" w:lineRule="auto"/>
              <w:ind w:left="142" w:right="180"/>
              <w:jc w:val="both"/>
              <w:rPr>
                <w:rFonts w:ascii="Arial" w:eastAsia="Arial" w:hAnsi="Arial" w:cs="Arial"/>
                <w:b/>
                <w:color w:val="000000"/>
                <w:sz w:val="22"/>
                <w:szCs w:val="22"/>
              </w:rPr>
            </w:pPr>
            <w:r>
              <w:rPr>
                <w:rFonts w:ascii="Arial" w:eastAsia="Arial" w:hAnsi="Arial" w:cs="Arial"/>
                <w:b/>
                <w:color w:val="000000"/>
                <w:sz w:val="22"/>
                <w:szCs w:val="22"/>
              </w:rPr>
              <w:t xml:space="preserve"> Participación en Jornadas </w:t>
            </w:r>
          </w:p>
        </w:tc>
      </w:tr>
      <w:tr w:rsidR="00C06948">
        <w:tc>
          <w:tcPr>
            <w:tcW w:w="8494" w:type="dxa"/>
            <w:gridSpan w:val="3"/>
            <w:tcBorders>
              <w:top w:val="single" w:sz="4" w:space="0" w:color="000000"/>
              <w:bottom w:val="single" w:sz="4" w:space="0" w:color="000000"/>
            </w:tcBorders>
            <w:shd w:val="clear" w:color="auto" w:fill="FFFFFF"/>
            <w:tcMar>
              <w:left w:w="70" w:type="dxa"/>
              <w:right w:w="70" w:type="dxa"/>
            </w:tcMar>
          </w:tcPr>
          <w:p w:rsidR="00C06948" w:rsidRDefault="00E245A9">
            <w:pPr>
              <w:numPr>
                <w:ilvl w:val="0"/>
                <w:numId w:val="4"/>
              </w:numPr>
              <w:spacing w:before="72" w:after="72" w:line="360" w:lineRule="auto"/>
              <w:ind w:right="180"/>
              <w:jc w:val="both"/>
              <w:rPr>
                <w:sz w:val="22"/>
                <w:szCs w:val="22"/>
              </w:rPr>
            </w:pPr>
            <w:bookmarkStart w:id="1" w:name="_gjdgxs" w:colFirst="0" w:colLast="0"/>
            <w:bookmarkEnd w:id="1"/>
            <w:r>
              <w:rPr>
                <w:rFonts w:ascii="Arial" w:eastAsia="Arial" w:hAnsi="Arial" w:cs="Arial"/>
                <w:sz w:val="22"/>
                <w:szCs w:val="22"/>
              </w:rPr>
              <w:t>61 Congreso de la SEFH. Gijón. 2016.</w:t>
            </w:r>
          </w:p>
        </w:tc>
      </w:tr>
    </w:tbl>
    <w:p w:rsidR="00C06948" w:rsidRDefault="00C06948">
      <w:pPr>
        <w:spacing w:before="72" w:after="72" w:line="360" w:lineRule="auto"/>
        <w:jc w:val="both"/>
        <w:rPr>
          <w:rFonts w:ascii="Arial" w:eastAsia="Arial" w:hAnsi="Arial" w:cs="Arial"/>
          <w:sz w:val="22"/>
          <w:szCs w:val="22"/>
        </w:rPr>
      </w:pPr>
    </w:p>
    <w:p w:rsidR="00C06948" w:rsidRDefault="00C06948">
      <w:pPr>
        <w:spacing w:before="72" w:after="72" w:line="360" w:lineRule="auto"/>
        <w:jc w:val="both"/>
        <w:rPr>
          <w:rFonts w:ascii="Arial" w:eastAsia="Arial" w:hAnsi="Arial" w:cs="Arial"/>
          <w:sz w:val="22"/>
          <w:szCs w:val="22"/>
        </w:rPr>
      </w:pPr>
    </w:p>
    <w:p w:rsidR="00C06948" w:rsidRDefault="00C06948">
      <w:pPr>
        <w:spacing w:before="72" w:after="72" w:line="360" w:lineRule="auto"/>
        <w:jc w:val="both"/>
        <w:rPr>
          <w:rFonts w:ascii="Arial" w:eastAsia="Arial" w:hAnsi="Arial" w:cs="Arial"/>
          <w:sz w:val="22"/>
          <w:szCs w:val="22"/>
        </w:rPr>
      </w:pPr>
    </w:p>
    <w:sectPr w:rsidR="00C06948">
      <w:headerReference w:type="default" r:id="rId8"/>
      <w:footerReference w:type="even"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5A9">
      <w:r>
        <w:separator/>
      </w:r>
    </w:p>
  </w:endnote>
  <w:endnote w:type="continuationSeparator" w:id="0">
    <w:p w:rsidR="00000000" w:rsidRDefault="00E2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48" w:rsidRDefault="00E245A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C06948" w:rsidRDefault="00C0694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48" w:rsidRDefault="00E245A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C06948" w:rsidRDefault="00C0694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5A9">
      <w:r>
        <w:separator/>
      </w:r>
    </w:p>
  </w:footnote>
  <w:footnote w:type="continuationSeparator" w:id="0">
    <w:p w:rsidR="00000000" w:rsidRDefault="00E2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48" w:rsidRDefault="00E245A9">
    <w:pPr>
      <w:pBdr>
        <w:top w:val="nil"/>
        <w:left w:val="nil"/>
        <w:bottom w:val="nil"/>
        <w:right w:val="nil"/>
        <w:between w:val="nil"/>
      </w:pBdr>
      <w:tabs>
        <w:tab w:val="center" w:pos="4252"/>
        <w:tab w:val="right" w:pos="8504"/>
      </w:tabs>
      <w:jc w:val="right"/>
      <w:rPr>
        <w:color w:val="000000"/>
      </w:rPr>
    </w:pPr>
    <w:r>
      <w:rPr>
        <w:color w:val="000000"/>
      </w:rPr>
      <w:t>Memoria grupos de trabajo Julio 2016-Junio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44BEF"/>
    <w:multiLevelType w:val="multilevel"/>
    <w:tmpl w:val="C0DEB03E"/>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5B9D5959"/>
    <w:multiLevelType w:val="multilevel"/>
    <w:tmpl w:val="E8F0E4F4"/>
    <w:lvl w:ilvl="0">
      <w:start w:val="5"/>
      <w:numFmt w:val="bullet"/>
      <w:lvlText w:val="-"/>
      <w:lvlJc w:val="left"/>
      <w:pPr>
        <w:ind w:left="360" w:hanging="360"/>
      </w:pPr>
      <w:rPr>
        <w:rFonts w:ascii="Times New Roman" w:eastAsia="Times New Roman" w:hAnsi="Times New Roman" w:cs="Times New Roman"/>
      </w:rPr>
    </w:lvl>
    <w:lvl w:ilvl="1">
      <w:start w:val="5"/>
      <w:numFmt w:val="bullet"/>
      <w:lvlText w:val="-"/>
      <w:lvlJc w:val="left"/>
      <w:pPr>
        <w:ind w:left="1080" w:hanging="360"/>
      </w:pPr>
      <w:rPr>
        <w:rFonts w:ascii="Times New Roman" w:eastAsia="Times New Roman" w:hAnsi="Times New Roman" w:cs="Times New Roman"/>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nsid w:val="67382DDC"/>
    <w:multiLevelType w:val="multilevel"/>
    <w:tmpl w:val="20E2DEEC"/>
    <w:lvl w:ilvl="0">
      <w:start w:val="2"/>
      <w:numFmt w:val="bullet"/>
      <w:lvlText w:val="-"/>
      <w:lvlJc w:val="left"/>
      <w:pPr>
        <w:ind w:left="50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nsid w:val="738202A7"/>
    <w:multiLevelType w:val="multilevel"/>
    <w:tmpl w:val="CA92F49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06948"/>
    <w:rsid w:val="00C06948"/>
    <w:rsid w:val="00E24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15"/>
    <w:pPr>
      <w:suppressAutoHyphens/>
    </w:pPr>
    <w:rPr>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sid w:val="00803315"/>
    <w:rPr>
      <w:rFonts w:ascii="Arial" w:hAnsi="Arial" w:cs="Arial"/>
      <w:sz w:val="20"/>
    </w:rPr>
  </w:style>
  <w:style w:type="character" w:styleId="Refdecomentario">
    <w:name w:val="annotation reference"/>
    <w:basedOn w:val="Fuentedeprrafopredeter"/>
    <w:semiHidden/>
    <w:unhideWhenUsed/>
    <w:rsid w:val="00744C13"/>
    <w:rPr>
      <w:sz w:val="16"/>
      <w:szCs w:val="16"/>
    </w:rPr>
  </w:style>
  <w:style w:type="paragraph" w:styleId="Textocomentario">
    <w:name w:val="annotation text"/>
    <w:basedOn w:val="Normal"/>
    <w:link w:val="TextocomentarioCar"/>
    <w:semiHidden/>
    <w:unhideWhenUsed/>
    <w:rsid w:val="00744C13"/>
    <w:pPr>
      <w:suppressAutoHyphens w:val="0"/>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semiHidden/>
    <w:rsid w:val="00744C13"/>
    <w:rPr>
      <w:rFonts w:ascii="Calibri" w:eastAsia="Calibri" w:hAnsi="Calibri"/>
      <w:lang w:val="es-ES" w:eastAsia="en-US" w:bidi="ar-SA"/>
    </w:rPr>
  </w:style>
  <w:style w:type="paragraph" w:styleId="Textodeglobo">
    <w:name w:val="Balloon Text"/>
    <w:basedOn w:val="Normal"/>
    <w:semiHidden/>
    <w:rsid w:val="00744C13"/>
    <w:rPr>
      <w:rFonts w:ascii="Tahoma" w:hAnsi="Tahoma" w:cs="Tahoma"/>
      <w:sz w:val="16"/>
      <w:szCs w:val="16"/>
    </w:rPr>
  </w:style>
  <w:style w:type="paragraph" w:styleId="Piedepgina">
    <w:name w:val="footer"/>
    <w:basedOn w:val="Normal"/>
    <w:rsid w:val="00822334"/>
    <w:pPr>
      <w:tabs>
        <w:tab w:val="center" w:pos="4252"/>
        <w:tab w:val="right" w:pos="8504"/>
      </w:tabs>
    </w:pPr>
  </w:style>
  <w:style w:type="character" w:styleId="Nmerodepgina">
    <w:name w:val="page number"/>
    <w:basedOn w:val="Fuentedeprrafopredeter"/>
    <w:rsid w:val="00822334"/>
  </w:style>
  <w:style w:type="paragraph" w:styleId="Encabezado">
    <w:name w:val="header"/>
    <w:basedOn w:val="Normal"/>
    <w:rsid w:val="00822334"/>
    <w:pPr>
      <w:tabs>
        <w:tab w:val="center" w:pos="4252"/>
        <w:tab w:val="right" w:pos="8504"/>
      </w:tabs>
    </w:pPr>
  </w:style>
  <w:style w:type="paragraph" w:styleId="Asuntodelcomentario">
    <w:name w:val="annotation subject"/>
    <w:basedOn w:val="Textocomentario"/>
    <w:next w:val="Textocomentario"/>
    <w:semiHidden/>
    <w:rsid w:val="00DB5E68"/>
    <w:pPr>
      <w:suppressAutoHyphens/>
      <w:spacing w:after="0"/>
    </w:pPr>
    <w:rPr>
      <w:rFonts w:ascii="Times New Roman" w:eastAsia="Times New Roman" w:hAnsi="Times New Roman"/>
      <w:b/>
      <w:bCs/>
      <w:lang w:eastAsia="ar-SA"/>
    </w:rPr>
  </w:style>
  <w:style w:type="paragraph" w:styleId="Prrafodelista">
    <w:name w:val="List Paragraph"/>
    <w:basedOn w:val="Normal"/>
    <w:uiPriority w:val="34"/>
    <w:qFormat/>
    <w:rsid w:val="00480D8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15"/>
    <w:pPr>
      <w:suppressAutoHyphens/>
    </w:pPr>
    <w:rPr>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sid w:val="00803315"/>
    <w:rPr>
      <w:rFonts w:ascii="Arial" w:hAnsi="Arial" w:cs="Arial"/>
      <w:sz w:val="20"/>
    </w:rPr>
  </w:style>
  <w:style w:type="character" w:styleId="Refdecomentario">
    <w:name w:val="annotation reference"/>
    <w:basedOn w:val="Fuentedeprrafopredeter"/>
    <w:semiHidden/>
    <w:unhideWhenUsed/>
    <w:rsid w:val="00744C13"/>
    <w:rPr>
      <w:sz w:val="16"/>
      <w:szCs w:val="16"/>
    </w:rPr>
  </w:style>
  <w:style w:type="paragraph" w:styleId="Textocomentario">
    <w:name w:val="annotation text"/>
    <w:basedOn w:val="Normal"/>
    <w:link w:val="TextocomentarioCar"/>
    <w:semiHidden/>
    <w:unhideWhenUsed/>
    <w:rsid w:val="00744C13"/>
    <w:pPr>
      <w:suppressAutoHyphens w:val="0"/>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semiHidden/>
    <w:rsid w:val="00744C13"/>
    <w:rPr>
      <w:rFonts w:ascii="Calibri" w:eastAsia="Calibri" w:hAnsi="Calibri"/>
      <w:lang w:val="es-ES" w:eastAsia="en-US" w:bidi="ar-SA"/>
    </w:rPr>
  </w:style>
  <w:style w:type="paragraph" w:styleId="Textodeglobo">
    <w:name w:val="Balloon Text"/>
    <w:basedOn w:val="Normal"/>
    <w:semiHidden/>
    <w:rsid w:val="00744C13"/>
    <w:rPr>
      <w:rFonts w:ascii="Tahoma" w:hAnsi="Tahoma" w:cs="Tahoma"/>
      <w:sz w:val="16"/>
      <w:szCs w:val="16"/>
    </w:rPr>
  </w:style>
  <w:style w:type="paragraph" w:styleId="Piedepgina">
    <w:name w:val="footer"/>
    <w:basedOn w:val="Normal"/>
    <w:rsid w:val="00822334"/>
    <w:pPr>
      <w:tabs>
        <w:tab w:val="center" w:pos="4252"/>
        <w:tab w:val="right" w:pos="8504"/>
      </w:tabs>
    </w:pPr>
  </w:style>
  <w:style w:type="character" w:styleId="Nmerodepgina">
    <w:name w:val="page number"/>
    <w:basedOn w:val="Fuentedeprrafopredeter"/>
    <w:rsid w:val="00822334"/>
  </w:style>
  <w:style w:type="paragraph" w:styleId="Encabezado">
    <w:name w:val="header"/>
    <w:basedOn w:val="Normal"/>
    <w:rsid w:val="00822334"/>
    <w:pPr>
      <w:tabs>
        <w:tab w:val="center" w:pos="4252"/>
        <w:tab w:val="right" w:pos="8504"/>
      </w:tabs>
    </w:pPr>
  </w:style>
  <w:style w:type="paragraph" w:styleId="Asuntodelcomentario">
    <w:name w:val="annotation subject"/>
    <w:basedOn w:val="Textocomentario"/>
    <w:next w:val="Textocomentario"/>
    <w:semiHidden/>
    <w:rsid w:val="00DB5E68"/>
    <w:pPr>
      <w:suppressAutoHyphens/>
      <w:spacing w:after="0"/>
    </w:pPr>
    <w:rPr>
      <w:rFonts w:ascii="Times New Roman" w:eastAsia="Times New Roman" w:hAnsi="Times New Roman"/>
      <w:b/>
      <w:bCs/>
      <w:lang w:eastAsia="ar-SA"/>
    </w:rPr>
  </w:style>
  <w:style w:type="paragraph" w:styleId="Prrafodelista">
    <w:name w:val="List Paragraph"/>
    <w:basedOn w:val="Normal"/>
    <w:uiPriority w:val="34"/>
    <w:qFormat/>
    <w:rsid w:val="00480D8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4556</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Osakidetza</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SARA VALLINAS HIDALGO</cp:lastModifiedBy>
  <cp:revision>2</cp:revision>
  <dcterms:created xsi:type="dcterms:W3CDTF">2019-10-02T15:07:00Z</dcterms:created>
  <dcterms:modified xsi:type="dcterms:W3CDTF">2019-10-02T15:07:00Z</dcterms:modified>
</cp:coreProperties>
</file>