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a"/>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2F79B1E9" w14:textId="77777777">
        <w:tc>
          <w:tcPr>
            <w:tcW w:w="8890" w:type="dxa"/>
            <w:shd w:val="clear" w:color="auto" w:fill="FFCC99"/>
          </w:tcPr>
          <w:p w14:paraId="143F3446" w14:textId="77777777" w:rsidR="009D55C9" w:rsidRPr="000716FA" w:rsidRDefault="009D55C9" w:rsidP="000716FA">
            <w:pPr>
              <w:ind w:left="0" w:hanging="2"/>
              <w:rPr>
                <w:rFonts w:ascii="Arial" w:eastAsia="Arial" w:hAnsi="Arial" w:cs="Arial"/>
                <w:szCs w:val="40"/>
              </w:rPr>
            </w:pPr>
          </w:p>
          <w:p w14:paraId="57C528FC" w14:textId="77777777" w:rsidR="000716FA" w:rsidRPr="000716FA" w:rsidRDefault="000716FA" w:rsidP="000716FA">
            <w:pPr>
              <w:spacing w:after="120"/>
              <w:ind w:left="2" w:hanging="4"/>
              <w:jc w:val="center"/>
              <w:rPr>
                <w:rFonts w:ascii="Arial" w:eastAsia="Arial" w:hAnsi="Arial" w:cs="Arial"/>
                <w:b/>
                <w:sz w:val="40"/>
                <w:szCs w:val="40"/>
              </w:rPr>
            </w:pPr>
            <w:r w:rsidRPr="000716FA">
              <w:rPr>
                <w:rFonts w:ascii="Arial" w:eastAsia="Arial" w:hAnsi="Arial" w:cs="Arial"/>
                <w:b/>
                <w:sz w:val="40"/>
                <w:szCs w:val="40"/>
              </w:rPr>
              <w:t>Células CD34</w:t>
            </w:r>
            <w:r w:rsidRPr="009D603D">
              <w:rPr>
                <w:rFonts w:ascii="Arial" w:eastAsia="Arial" w:hAnsi="Arial" w:cs="Arial"/>
                <w:b/>
                <w:sz w:val="40"/>
                <w:szCs w:val="40"/>
                <w:vertAlign w:val="superscript"/>
              </w:rPr>
              <w:t>+</w:t>
            </w:r>
            <w:r w:rsidRPr="000716FA">
              <w:rPr>
                <w:rFonts w:ascii="Arial" w:eastAsia="Arial" w:hAnsi="Arial" w:cs="Arial"/>
                <w:b/>
                <w:sz w:val="40"/>
                <w:szCs w:val="40"/>
              </w:rPr>
              <w:t xml:space="preserve"> autólogas transducidas que codifican el gen ARSA </w:t>
            </w:r>
            <w:r w:rsidR="005A57E0" w:rsidRPr="000716FA">
              <w:rPr>
                <w:rFonts w:ascii="Arial" w:eastAsia="Arial" w:hAnsi="Arial" w:cs="Arial"/>
                <w:b/>
                <w:sz w:val="40"/>
                <w:szCs w:val="40"/>
              </w:rPr>
              <w:t>en leucodistrofia metacromática</w:t>
            </w:r>
          </w:p>
          <w:p w14:paraId="41C2374B" w14:textId="77777777" w:rsidR="009D55C9" w:rsidRDefault="005A57E0">
            <w:pPr>
              <w:ind w:left="0" w:hanging="2"/>
              <w:jc w:val="center"/>
              <w:rPr>
                <w:rFonts w:ascii="Arial" w:eastAsia="Arial" w:hAnsi="Arial" w:cs="Arial"/>
                <w:sz w:val="22"/>
                <w:szCs w:val="22"/>
              </w:rPr>
            </w:pPr>
            <w:r>
              <w:rPr>
                <w:rFonts w:ascii="Arial" w:eastAsia="Arial" w:hAnsi="Arial" w:cs="Arial"/>
                <w:b/>
                <w:sz w:val="22"/>
                <w:szCs w:val="22"/>
              </w:rPr>
              <w:t>Informe GENESIS-SEFH</w:t>
            </w:r>
          </w:p>
          <w:p w14:paraId="52D019BA" w14:textId="77777777" w:rsidR="009D55C9" w:rsidRDefault="009D55C9">
            <w:pPr>
              <w:ind w:left="0" w:hanging="2"/>
              <w:jc w:val="center"/>
              <w:rPr>
                <w:rFonts w:ascii="Arial" w:eastAsia="Arial" w:hAnsi="Arial" w:cs="Arial"/>
                <w:sz w:val="22"/>
                <w:szCs w:val="22"/>
              </w:rPr>
            </w:pPr>
          </w:p>
          <w:p w14:paraId="1477DA7A" w14:textId="77777777" w:rsidR="009D55C9" w:rsidRDefault="005A57E0">
            <w:pPr>
              <w:ind w:left="0" w:hanging="2"/>
              <w:jc w:val="center"/>
              <w:rPr>
                <w:rFonts w:ascii="Arial" w:eastAsia="Arial" w:hAnsi="Arial" w:cs="Arial"/>
              </w:rPr>
            </w:pPr>
            <w:r>
              <w:rPr>
                <w:rFonts w:ascii="Arial" w:eastAsia="Arial" w:hAnsi="Arial" w:cs="Arial"/>
                <w:b/>
              </w:rPr>
              <w:t>BORRADOR PÚBLICO</w:t>
            </w:r>
          </w:p>
          <w:p w14:paraId="55052EFE" w14:textId="77777777" w:rsidR="009D55C9" w:rsidRDefault="009D55C9">
            <w:pPr>
              <w:ind w:left="0" w:hanging="2"/>
              <w:jc w:val="center"/>
              <w:rPr>
                <w:rFonts w:ascii="Arial" w:eastAsia="Arial" w:hAnsi="Arial" w:cs="Arial"/>
              </w:rPr>
            </w:pPr>
            <w:bookmarkStart w:id="0" w:name="_heading=h.gjdgxs" w:colFirst="0" w:colLast="0"/>
            <w:bookmarkEnd w:id="0"/>
          </w:p>
          <w:p w14:paraId="42E8BAB6"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Informe para el grupo GENESIS elaborado según el método y procedimientos de evaluación compartida establecidos por este grupo de trabajo de la SEFH</w:t>
            </w:r>
            <w:r>
              <w:rPr>
                <w:rFonts w:ascii="Arial" w:eastAsia="Arial" w:hAnsi="Arial" w:cs="Arial"/>
                <w:sz w:val="20"/>
                <w:szCs w:val="20"/>
              </w:rPr>
              <w:br/>
            </w:r>
          </w:p>
          <w:p w14:paraId="754FBC4B"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Fecha redacción informe:</w:t>
            </w:r>
            <w:r>
              <w:rPr>
                <w:rFonts w:ascii="Arial" w:eastAsia="Arial" w:hAnsi="Arial" w:cs="Arial"/>
                <w:b/>
              </w:rPr>
              <w:t xml:space="preserve"> </w:t>
            </w:r>
            <w:r w:rsidR="00036243">
              <w:rPr>
                <w:rFonts w:ascii="Arial" w:eastAsia="Arial" w:hAnsi="Arial" w:cs="Arial"/>
                <w:b/>
                <w:sz w:val="20"/>
                <w:szCs w:val="20"/>
              </w:rPr>
              <w:t>febrero</w:t>
            </w:r>
            <w:r>
              <w:rPr>
                <w:rFonts w:ascii="Arial" w:eastAsia="Arial" w:hAnsi="Arial" w:cs="Arial"/>
                <w:b/>
                <w:sz w:val="20"/>
                <w:szCs w:val="20"/>
              </w:rPr>
              <w:t xml:space="preserve"> 2021</w:t>
            </w:r>
          </w:p>
          <w:p w14:paraId="0EF783D5" w14:textId="0EBDD912" w:rsidR="009D55C9" w:rsidRDefault="005A57E0">
            <w:pPr>
              <w:ind w:left="0" w:hanging="2"/>
              <w:jc w:val="center"/>
              <w:rPr>
                <w:rFonts w:ascii="Arial" w:eastAsia="Arial" w:hAnsi="Arial" w:cs="Arial"/>
              </w:rPr>
            </w:pPr>
            <w:r>
              <w:rPr>
                <w:rFonts w:ascii="Arial" w:eastAsia="Arial" w:hAnsi="Arial" w:cs="Arial"/>
                <w:b/>
                <w:sz w:val="20"/>
                <w:szCs w:val="20"/>
              </w:rPr>
              <w:t xml:space="preserve">Fecha fin alegaciones: </w:t>
            </w:r>
            <w:r w:rsidR="00394288">
              <w:rPr>
                <w:rFonts w:ascii="Arial" w:eastAsia="Arial" w:hAnsi="Arial" w:cs="Arial"/>
                <w:b/>
                <w:sz w:val="20"/>
                <w:szCs w:val="20"/>
              </w:rPr>
              <w:t>12 de julio de 2021</w:t>
            </w:r>
            <w:bookmarkStart w:id="1" w:name="_GoBack"/>
            <w:bookmarkEnd w:id="1"/>
          </w:p>
          <w:p w14:paraId="48893C26" w14:textId="77777777" w:rsidR="009D55C9" w:rsidRDefault="009D55C9">
            <w:pPr>
              <w:ind w:left="0" w:hanging="2"/>
              <w:jc w:val="center"/>
            </w:pPr>
          </w:p>
          <w:p w14:paraId="53D5595E" w14:textId="77777777" w:rsidR="009D55C9" w:rsidRDefault="005A57E0">
            <w:pPr>
              <w:ind w:left="0" w:hanging="2"/>
              <w:rPr>
                <w:rFonts w:ascii="Arial" w:eastAsia="Arial" w:hAnsi="Arial" w:cs="Arial"/>
              </w:rPr>
            </w:pPr>
            <w:r>
              <w:rPr>
                <w:rFonts w:ascii="Arial" w:eastAsia="Arial" w:hAnsi="Arial" w:cs="Arial"/>
                <w:sz w:val="16"/>
                <w:szCs w:val="16"/>
              </w:rPr>
              <w:t>ISBN:</w:t>
            </w:r>
          </w:p>
          <w:p w14:paraId="3AD243A4" w14:textId="77777777" w:rsidR="009D55C9" w:rsidRDefault="005A57E0">
            <w:pPr>
              <w:ind w:left="0" w:hanging="2"/>
              <w:rPr>
                <w:rFonts w:ascii="Arial" w:eastAsia="Arial" w:hAnsi="Arial" w:cs="Arial"/>
                <w:sz w:val="20"/>
                <w:szCs w:val="20"/>
              </w:rPr>
            </w:pPr>
            <w:r>
              <w:rPr>
                <w:rFonts w:ascii="Arial" w:eastAsia="Arial" w:hAnsi="Arial" w:cs="Arial"/>
                <w:sz w:val="16"/>
                <w:szCs w:val="16"/>
              </w:rPr>
              <w:t>Depósito legal:</w:t>
            </w:r>
          </w:p>
        </w:tc>
      </w:tr>
    </w:tbl>
    <w:p w14:paraId="6AAB0E7C" w14:textId="77777777" w:rsidR="009D55C9" w:rsidRDefault="009D55C9">
      <w:pPr>
        <w:ind w:left="0" w:hanging="2"/>
        <w:rPr>
          <w:rFonts w:ascii="Arial" w:eastAsia="Arial" w:hAnsi="Arial" w:cs="Arial"/>
          <w:color w:val="0000FF"/>
          <w:u w:val="single"/>
        </w:rPr>
      </w:pPr>
    </w:p>
    <w:p w14:paraId="3F5798E4" w14:textId="77777777" w:rsidR="009D55C9" w:rsidRDefault="005A57E0">
      <w:pPr>
        <w:ind w:left="0" w:hanging="2"/>
        <w:rPr>
          <w:rFonts w:ascii="Arial" w:eastAsia="Arial" w:hAnsi="Arial" w:cs="Arial"/>
          <w:sz w:val="20"/>
          <w:szCs w:val="20"/>
        </w:rPr>
      </w:pPr>
      <w:r>
        <w:rPr>
          <w:rFonts w:ascii="Arial" w:eastAsia="Arial" w:hAnsi="Arial" w:cs="Arial"/>
          <w:b/>
          <w:sz w:val="20"/>
          <w:szCs w:val="20"/>
        </w:rPr>
        <w:t xml:space="preserve">ÍNDICE: </w:t>
      </w:r>
    </w:p>
    <w:p w14:paraId="1E91479C" w14:textId="77777777" w:rsidR="009D55C9" w:rsidRDefault="009D55C9">
      <w:pPr>
        <w:ind w:left="0" w:hanging="2"/>
      </w:pPr>
    </w:p>
    <w:p w14:paraId="4674EAE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1.- IDENTIFICACIÓN DEL FÁRMACO Y AUTORES DEL INFORME</w:t>
      </w:r>
      <w:r w:rsidR="00B3555C">
        <w:rPr>
          <w:rFonts w:ascii="Arial" w:eastAsia="Arial" w:hAnsi="Arial" w:cs="Arial"/>
          <w:sz w:val="20"/>
          <w:szCs w:val="20"/>
        </w:rPr>
        <w:t>………………………………...</w:t>
      </w:r>
      <w:r>
        <w:rPr>
          <w:rFonts w:ascii="Arial" w:eastAsia="Arial" w:hAnsi="Arial" w:cs="Arial"/>
          <w:sz w:val="20"/>
          <w:szCs w:val="20"/>
        </w:rPr>
        <w:tab/>
        <w:t>3</w:t>
      </w:r>
    </w:p>
    <w:p w14:paraId="0E64D22D"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2.- SOLICITUD Y DATOS DEL PROCESO DE EVALUACIÓN,</w:t>
      </w:r>
      <w:r w:rsidR="00B3555C">
        <w:rPr>
          <w:rFonts w:ascii="Arial" w:eastAsia="Arial" w:hAnsi="Arial" w:cs="Arial"/>
          <w:sz w:val="20"/>
          <w:szCs w:val="20"/>
        </w:rPr>
        <w:t>……………………………………….</w:t>
      </w:r>
      <w:r>
        <w:rPr>
          <w:rFonts w:ascii="Arial" w:eastAsia="Arial" w:hAnsi="Arial" w:cs="Arial"/>
          <w:sz w:val="20"/>
          <w:szCs w:val="20"/>
        </w:rPr>
        <w:tab/>
        <w:t>3</w:t>
      </w:r>
    </w:p>
    <w:p w14:paraId="4CDFC08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3.- AREA DESCRIPTIVA DEL MEDICAMENTO Y DEL PROBLEMA DE SALUD,</w:t>
      </w:r>
      <w:r w:rsidR="00B3555C">
        <w:rPr>
          <w:rFonts w:ascii="Arial" w:eastAsia="Arial" w:hAnsi="Arial" w:cs="Arial"/>
          <w:sz w:val="20"/>
          <w:szCs w:val="20"/>
        </w:rPr>
        <w:t>………………….</w:t>
      </w:r>
      <w:r>
        <w:rPr>
          <w:rFonts w:ascii="Arial" w:eastAsia="Arial" w:hAnsi="Arial" w:cs="Arial"/>
          <w:sz w:val="20"/>
          <w:szCs w:val="20"/>
        </w:rPr>
        <w:tab/>
        <w:t>3</w:t>
      </w:r>
    </w:p>
    <w:p w14:paraId="3EEA772D"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3.1 Área descriptiva del medicamento, </w:t>
      </w:r>
      <w:r w:rsidR="00B3555C">
        <w:rPr>
          <w:rFonts w:ascii="Arial" w:eastAsia="Arial" w:hAnsi="Arial" w:cs="Arial"/>
          <w:sz w:val="20"/>
          <w:szCs w:val="20"/>
        </w:rPr>
        <w:t>…………………………………………………………………..</w:t>
      </w:r>
      <w:r>
        <w:rPr>
          <w:rFonts w:ascii="Arial" w:eastAsia="Arial" w:hAnsi="Arial" w:cs="Arial"/>
          <w:sz w:val="20"/>
          <w:szCs w:val="20"/>
        </w:rPr>
        <w:tab/>
        <w:t>3</w:t>
      </w:r>
    </w:p>
    <w:p w14:paraId="43EADBA7"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3.2 Área descriptiva del problema de salud,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4</w:t>
      </w:r>
    </w:p>
    <w:p w14:paraId="23F97B7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3.2.a Descripción estructurada del problema de salud,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4</w:t>
      </w:r>
    </w:p>
    <w:p w14:paraId="35038B35"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3.2.b Tratamiento actual de la enfermedad: evidencias,</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5</w:t>
      </w:r>
    </w:p>
    <w:p w14:paraId="64004273"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3.3 Características comparadas con otras alternativas similares,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5</w:t>
      </w:r>
    </w:p>
    <w:p w14:paraId="79021994"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 AREA DE ACCIÓN FARMACOLÓGICA,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5</w:t>
      </w:r>
    </w:p>
    <w:p w14:paraId="609C40D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4.1 Mecanismo de acción, </w:t>
      </w:r>
      <w:r w:rsidR="00B3555C">
        <w:rPr>
          <w:rFonts w:ascii="Arial" w:eastAsia="Arial" w:hAnsi="Arial" w:cs="Arial"/>
          <w:sz w:val="20"/>
          <w:szCs w:val="20"/>
        </w:rPr>
        <w:t>…………………………………………………………………………………</w:t>
      </w:r>
      <w:r>
        <w:rPr>
          <w:rFonts w:ascii="Arial" w:eastAsia="Arial" w:hAnsi="Arial" w:cs="Arial"/>
          <w:sz w:val="20"/>
          <w:szCs w:val="20"/>
        </w:rPr>
        <w:tab/>
        <w:t>5</w:t>
      </w:r>
    </w:p>
    <w:p w14:paraId="6571797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4.2 Indicaciones clínicas formalmente </w:t>
      </w:r>
      <w:r w:rsidR="00B3555C">
        <w:rPr>
          <w:rFonts w:ascii="Arial" w:eastAsia="Arial" w:hAnsi="Arial" w:cs="Arial"/>
          <w:sz w:val="20"/>
          <w:szCs w:val="20"/>
        </w:rPr>
        <w:t>aprobadas y fecha de aprobación</w:t>
      </w:r>
      <w:r>
        <w:rPr>
          <w:rFonts w:ascii="Arial" w:eastAsia="Arial" w:hAnsi="Arial" w:cs="Arial"/>
          <w:sz w:val="20"/>
          <w:szCs w:val="20"/>
        </w:rPr>
        <w:t>,</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6</w:t>
      </w:r>
    </w:p>
    <w:p w14:paraId="4D4D848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4.3 Posología, forma de preparación y administración,</w:t>
      </w:r>
      <w:r w:rsidR="00B3555C">
        <w:rPr>
          <w:rFonts w:ascii="Arial" w:eastAsia="Arial" w:hAnsi="Arial" w:cs="Arial"/>
          <w:sz w:val="20"/>
          <w:szCs w:val="20"/>
        </w:rPr>
        <w:t>……..…………………………………………..</w:t>
      </w:r>
      <w:r>
        <w:rPr>
          <w:rFonts w:ascii="Arial" w:eastAsia="Arial" w:hAnsi="Arial" w:cs="Arial"/>
          <w:sz w:val="20"/>
          <w:szCs w:val="20"/>
        </w:rPr>
        <w:tab/>
        <w:t>6</w:t>
      </w:r>
    </w:p>
    <w:p w14:paraId="31E1EEA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4.4 Utilización en poblaciones especiales,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8</w:t>
      </w:r>
    </w:p>
    <w:p w14:paraId="438D850A"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4.5 Farmacocinética,</w:t>
      </w:r>
      <w:r w:rsidR="00B3555C">
        <w:rPr>
          <w:rFonts w:ascii="Arial" w:eastAsia="Arial" w:hAnsi="Arial" w:cs="Arial"/>
          <w:sz w:val="20"/>
          <w:szCs w:val="20"/>
        </w:rPr>
        <w:t>………………………………………………………………………………………..</w:t>
      </w:r>
      <w:r>
        <w:rPr>
          <w:rFonts w:ascii="Arial" w:eastAsia="Arial" w:hAnsi="Arial" w:cs="Arial"/>
          <w:sz w:val="20"/>
          <w:szCs w:val="20"/>
        </w:rPr>
        <w:tab/>
      </w:r>
      <w:r w:rsidR="001100A3">
        <w:rPr>
          <w:rFonts w:ascii="Arial" w:eastAsia="Arial" w:hAnsi="Arial" w:cs="Arial"/>
          <w:sz w:val="20"/>
          <w:szCs w:val="20"/>
        </w:rPr>
        <w:t>8</w:t>
      </w:r>
    </w:p>
    <w:p w14:paraId="27359A97"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5.- EVALUACIÓN DE LA EFICACIA</w:t>
      </w:r>
      <w:r w:rsidR="005A57E0">
        <w:rPr>
          <w:rFonts w:ascii="Arial" w:eastAsia="Arial" w:hAnsi="Arial" w:cs="Arial"/>
          <w:sz w:val="20"/>
          <w:szCs w:val="20"/>
        </w:rPr>
        <w:t>,</w:t>
      </w:r>
      <w:r>
        <w:rPr>
          <w:rFonts w:ascii="Arial" w:eastAsia="Arial" w:hAnsi="Arial" w:cs="Arial"/>
          <w:sz w:val="20"/>
          <w:szCs w:val="20"/>
        </w:rPr>
        <w:t>.……………………………………………………………………..</w:t>
      </w:r>
      <w:r w:rsidR="005A57E0">
        <w:rPr>
          <w:rFonts w:ascii="Arial" w:eastAsia="Arial" w:hAnsi="Arial" w:cs="Arial"/>
          <w:sz w:val="20"/>
          <w:szCs w:val="20"/>
        </w:rPr>
        <w:tab/>
      </w:r>
      <w:r w:rsidR="001100A3">
        <w:rPr>
          <w:rFonts w:ascii="Arial" w:eastAsia="Arial" w:hAnsi="Arial" w:cs="Arial"/>
          <w:sz w:val="20"/>
          <w:szCs w:val="20"/>
        </w:rPr>
        <w:t>8</w:t>
      </w:r>
    </w:p>
    <w:p w14:paraId="4E78510C"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5.1.a Ensayos clínicos disponibles para la indicación clínica evaluada,</w:t>
      </w:r>
      <w:r>
        <w:rPr>
          <w:rFonts w:ascii="Arial" w:eastAsia="Arial" w:hAnsi="Arial" w:cs="Arial"/>
          <w:sz w:val="20"/>
          <w:szCs w:val="20"/>
        </w:rPr>
        <w:tab/>
        <w:t xml:space="preserve"> </w:t>
      </w:r>
      <w:r w:rsidR="00B3555C">
        <w:rPr>
          <w:rFonts w:ascii="Arial" w:eastAsia="Arial" w:hAnsi="Arial" w:cs="Arial"/>
          <w:sz w:val="20"/>
          <w:szCs w:val="20"/>
        </w:rPr>
        <w:t>…………………….............</w:t>
      </w:r>
      <w:r w:rsidR="001100A3">
        <w:rPr>
          <w:rFonts w:ascii="Arial" w:eastAsia="Arial" w:hAnsi="Arial" w:cs="Arial"/>
          <w:sz w:val="20"/>
          <w:szCs w:val="20"/>
        </w:rPr>
        <w:t>8</w:t>
      </w:r>
    </w:p>
    <w:p w14:paraId="78CA0A0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5.1.b Variables utilizadas en los ensayos,</w:t>
      </w:r>
      <w:r w:rsidR="00B3555C">
        <w:rPr>
          <w:rFonts w:ascii="Arial" w:eastAsia="Arial" w:hAnsi="Arial" w:cs="Arial"/>
          <w:sz w:val="20"/>
          <w:szCs w:val="20"/>
        </w:rPr>
        <w:t>……………………………………………………………….</w:t>
      </w:r>
      <w:r>
        <w:rPr>
          <w:rFonts w:ascii="Arial" w:eastAsia="Arial" w:hAnsi="Arial" w:cs="Arial"/>
          <w:sz w:val="20"/>
          <w:szCs w:val="20"/>
        </w:rPr>
        <w:t xml:space="preserve"> </w:t>
      </w:r>
      <w:r>
        <w:rPr>
          <w:rFonts w:ascii="Arial" w:eastAsia="Arial" w:hAnsi="Arial" w:cs="Arial"/>
          <w:sz w:val="20"/>
          <w:szCs w:val="20"/>
        </w:rPr>
        <w:tab/>
      </w:r>
      <w:r w:rsidR="00C55F60">
        <w:rPr>
          <w:rFonts w:ascii="Arial" w:eastAsia="Arial" w:hAnsi="Arial" w:cs="Arial"/>
          <w:sz w:val="20"/>
          <w:szCs w:val="20"/>
        </w:rPr>
        <w:t>9</w:t>
      </w:r>
    </w:p>
    <w:p w14:paraId="79F0ACF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5.2.a Resultados de los ensayos clínicos,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 xml:space="preserve"> </w:t>
      </w:r>
      <w:r w:rsidR="001100A3">
        <w:rPr>
          <w:rFonts w:ascii="Arial" w:eastAsia="Arial" w:hAnsi="Arial" w:cs="Arial"/>
          <w:sz w:val="20"/>
          <w:szCs w:val="20"/>
        </w:rPr>
        <w:t>9</w:t>
      </w:r>
    </w:p>
    <w:p w14:paraId="2128D042"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5.2.b Evaluación de la validez y de la utilidad práctica de los resultados,</w:t>
      </w:r>
      <w:r>
        <w:rPr>
          <w:rFonts w:ascii="Arial" w:eastAsia="Arial" w:hAnsi="Arial" w:cs="Arial"/>
          <w:sz w:val="20"/>
          <w:szCs w:val="20"/>
        </w:rPr>
        <w:tab/>
        <w:t xml:space="preserve"> </w:t>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8</w:t>
      </w:r>
    </w:p>
    <w:p w14:paraId="35CA3AE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5.2.c Evaluación de las pruebas de cribado utilizadas,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2A43BD3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5.3 Revisiones sistemáticas publicadas, comparaciones indirectas y sus conclusiones,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03BDB687"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5.3.a Revisiones sistemáticas publicadas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2010159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5.3. b Comparaciones indirectas (CCII)</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2418EC58"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5.3. b.1 Comparaciones Indirectas publicadas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1</w:t>
      </w:r>
      <w:r w:rsidR="00C55F60">
        <w:rPr>
          <w:rFonts w:ascii="Arial" w:eastAsia="Arial" w:hAnsi="Arial" w:cs="Arial"/>
          <w:sz w:val="20"/>
          <w:szCs w:val="20"/>
        </w:rPr>
        <w:t>9</w:t>
      </w:r>
    </w:p>
    <w:p w14:paraId="6B2F9F11"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5.3. b.2 Comparaciones indirectas de elaboración propia</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1CF64ABC"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5.4 Evaluación de fuentes secundarias,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2F9DD601"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5.4.1 Guías de Práctica C</w:t>
      </w:r>
      <w:r w:rsidR="005A57E0">
        <w:rPr>
          <w:rFonts w:ascii="Arial" w:eastAsia="Arial" w:hAnsi="Arial" w:cs="Arial"/>
          <w:sz w:val="20"/>
          <w:szCs w:val="20"/>
        </w:rPr>
        <w:t>línica,</w:t>
      </w:r>
      <w:r w:rsidR="005A57E0">
        <w:rPr>
          <w:rFonts w:ascii="Arial" w:eastAsia="Arial" w:hAnsi="Arial" w:cs="Arial"/>
          <w:sz w:val="20"/>
          <w:szCs w:val="20"/>
        </w:rPr>
        <w:tab/>
      </w:r>
      <w:r>
        <w:rPr>
          <w:rFonts w:ascii="Arial" w:eastAsia="Arial" w:hAnsi="Arial" w:cs="Arial"/>
          <w:sz w:val="20"/>
          <w:szCs w:val="20"/>
        </w:rPr>
        <w:t>………………………………………………………………………….</w:t>
      </w:r>
      <w:r w:rsidR="00C55F60">
        <w:rPr>
          <w:rFonts w:ascii="Arial" w:eastAsia="Arial" w:hAnsi="Arial" w:cs="Arial"/>
          <w:sz w:val="20"/>
          <w:szCs w:val="20"/>
        </w:rPr>
        <w:t>19</w:t>
      </w:r>
    </w:p>
    <w:p w14:paraId="5527B7A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5.4.2 Evaluaciones previas por organismos independientes,</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19</w:t>
      </w:r>
    </w:p>
    <w:p w14:paraId="6FBE8DD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5.4.3 Opiniones de expertos,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20</w:t>
      </w:r>
    </w:p>
    <w:p w14:paraId="7C534B36"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5.4.4 Otras fuentes</w:t>
      </w:r>
      <w:r w:rsidR="005A57E0">
        <w:rPr>
          <w:rFonts w:ascii="Arial" w:eastAsia="Arial" w:hAnsi="Arial" w:cs="Arial"/>
          <w:sz w:val="20"/>
          <w:szCs w:val="20"/>
        </w:rPr>
        <w:t>,</w:t>
      </w:r>
      <w:r>
        <w:rPr>
          <w:rFonts w:ascii="Arial" w:eastAsia="Arial" w:hAnsi="Arial" w:cs="Arial"/>
          <w:sz w:val="20"/>
          <w:szCs w:val="20"/>
        </w:rPr>
        <w:t>……………………………………………………………………………………….</w:t>
      </w:r>
      <w:r w:rsidR="005A57E0">
        <w:rPr>
          <w:rFonts w:ascii="Arial" w:eastAsia="Arial" w:hAnsi="Arial" w:cs="Arial"/>
          <w:sz w:val="20"/>
          <w:szCs w:val="20"/>
        </w:rPr>
        <w:t xml:space="preserve"> </w:t>
      </w:r>
      <w:r w:rsidR="005A57E0">
        <w:rPr>
          <w:rFonts w:ascii="Arial" w:eastAsia="Arial" w:hAnsi="Arial" w:cs="Arial"/>
          <w:sz w:val="20"/>
          <w:szCs w:val="20"/>
        </w:rPr>
        <w:tab/>
      </w:r>
      <w:r w:rsidR="00C55F60">
        <w:rPr>
          <w:rFonts w:ascii="Arial" w:eastAsia="Arial" w:hAnsi="Arial" w:cs="Arial"/>
          <w:sz w:val="20"/>
          <w:szCs w:val="20"/>
        </w:rPr>
        <w:t>20</w:t>
      </w:r>
    </w:p>
    <w:p w14:paraId="22795121" w14:textId="77777777" w:rsidR="009D55C9" w:rsidRDefault="00B3555C">
      <w:pPr>
        <w:tabs>
          <w:tab w:val="right" w:pos="8729"/>
        </w:tabs>
        <w:ind w:left="0" w:hanging="2"/>
        <w:rPr>
          <w:rFonts w:ascii="Arial" w:eastAsia="Arial" w:hAnsi="Arial" w:cs="Arial"/>
          <w:sz w:val="20"/>
          <w:szCs w:val="20"/>
        </w:rPr>
      </w:pPr>
      <w:r>
        <w:rPr>
          <w:rFonts w:ascii="Arial" w:eastAsia="Arial" w:hAnsi="Arial" w:cs="Arial"/>
          <w:sz w:val="20"/>
          <w:szCs w:val="20"/>
        </w:rPr>
        <w:t>6. EVALUACIÓN DE LA SEGURIDAD</w:t>
      </w:r>
      <w:r w:rsidR="005A57E0">
        <w:rPr>
          <w:rFonts w:ascii="Arial" w:eastAsia="Arial" w:hAnsi="Arial" w:cs="Arial"/>
          <w:sz w:val="20"/>
          <w:szCs w:val="20"/>
        </w:rPr>
        <w:t>,</w:t>
      </w:r>
      <w:r>
        <w:rPr>
          <w:rFonts w:ascii="Arial" w:eastAsia="Arial" w:hAnsi="Arial" w:cs="Arial"/>
          <w:sz w:val="20"/>
          <w:szCs w:val="20"/>
        </w:rPr>
        <w:t>…………………………………………………………………</w:t>
      </w:r>
      <w:r w:rsidR="005A57E0">
        <w:rPr>
          <w:rFonts w:ascii="Arial" w:eastAsia="Arial" w:hAnsi="Arial" w:cs="Arial"/>
          <w:sz w:val="20"/>
          <w:szCs w:val="20"/>
        </w:rPr>
        <w:t xml:space="preserve"> </w:t>
      </w:r>
      <w:r w:rsidR="005A57E0">
        <w:rPr>
          <w:rFonts w:ascii="Arial" w:eastAsia="Arial" w:hAnsi="Arial" w:cs="Arial"/>
          <w:sz w:val="20"/>
          <w:szCs w:val="20"/>
        </w:rPr>
        <w:tab/>
      </w:r>
      <w:r w:rsidR="00C55F60">
        <w:rPr>
          <w:rFonts w:ascii="Arial" w:eastAsia="Arial" w:hAnsi="Arial" w:cs="Arial"/>
          <w:sz w:val="20"/>
          <w:szCs w:val="20"/>
        </w:rPr>
        <w:t>20</w:t>
      </w:r>
    </w:p>
    <w:p w14:paraId="232A11D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6.1.a Descripción de la búsqueda bibliográfica,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20</w:t>
      </w:r>
    </w:p>
    <w:p w14:paraId="1FFC31F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6.1.b Descripción de los efectos adversos más significativos, </w:t>
      </w:r>
      <w:r>
        <w:rPr>
          <w:rFonts w:ascii="Arial" w:eastAsia="Arial" w:hAnsi="Arial" w:cs="Arial"/>
          <w:sz w:val="20"/>
          <w:szCs w:val="20"/>
        </w:rPr>
        <w:tab/>
      </w:r>
      <w:r w:rsidR="00B3555C">
        <w:rPr>
          <w:rFonts w:ascii="Arial" w:eastAsia="Arial" w:hAnsi="Arial" w:cs="Arial"/>
          <w:sz w:val="20"/>
          <w:szCs w:val="20"/>
        </w:rPr>
        <w:t>……………………………………….</w:t>
      </w:r>
      <w:r w:rsidR="00C55F60">
        <w:rPr>
          <w:rFonts w:ascii="Arial" w:eastAsia="Arial" w:hAnsi="Arial" w:cs="Arial"/>
          <w:sz w:val="20"/>
          <w:szCs w:val="20"/>
        </w:rPr>
        <w:t>20</w:t>
      </w:r>
    </w:p>
    <w:p w14:paraId="2914982F"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6.2 Ensayos Clínicos comparativos,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C55F60">
        <w:rPr>
          <w:rFonts w:ascii="Arial" w:eastAsia="Arial" w:hAnsi="Arial" w:cs="Arial"/>
          <w:sz w:val="20"/>
          <w:szCs w:val="20"/>
        </w:rPr>
        <w:t>2</w:t>
      </w:r>
    </w:p>
    <w:p w14:paraId="161F0E4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lastRenderedPageBreak/>
        <w:t>6.3 Fuentes secundarias sobre seguridad,</w:t>
      </w:r>
      <w:r w:rsidR="00B3555C">
        <w:rPr>
          <w:rFonts w:ascii="Arial" w:eastAsia="Arial" w:hAnsi="Arial" w:cs="Arial"/>
          <w:sz w:val="20"/>
          <w:szCs w:val="20"/>
        </w:rPr>
        <w:t>……………………………………………………………..</w:t>
      </w:r>
      <w:r>
        <w:rPr>
          <w:rFonts w:ascii="Arial" w:eastAsia="Arial" w:hAnsi="Arial" w:cs="Arial"/>
          <w:sz w:val="20"/>
          <w:szCs w:val="20"/>
        </w:rPr>
        <w:tab/>
        <w:t>2</w:t>
      </w:r>
      <w:r w:rsidR="003345D4">
        <w:rPr>
          <w:rFonts w:ascii="Arial" w:eastAsia="Arial" w:hAnsi="Arial" w:cs="Arial"/>
          <w:sz w:val="20"/>
          <w:szCs w:val="20"/>
        </w:rPr>
        <w:t>2</w:t>
      </w:r>
    </w:p>
    <w:p w14:paraId="407487E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6.4 Precauciones de empleo en casos especiales,</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2</w:t>
      </w:r>
    </w:p>
    <w:p w14:paraId="518E59EC"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 AREA ECONÓMICA,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5</w:t>
      </w:r>
    </w:p>
    <w:p w14:paraId="5D1C84A1"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7.1 Costes. Coste incremental,</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5</w:t>
      </w:r>
    </w:p>
    <w:p w14:paraId="2A1902C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7.2 Evaluaciones económicas publicadas,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25</w:t>
      </w:r>
    </w:p>
    <w:p w14:paraId="1C8C9AE2"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7.2.a Búsqueda de evaluaciones económicas publicadas, </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25</w:t>
      </w:r>
    </w:p>
    <w:p w14:paraId="591E9CFA"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7.2.b Extracción de datos de las evaluaciones económicas publicadas, </w:t>
      </w:r>
      <w:r>
        <w:rPr>
          <w:rFonts w:ascii="Arial" w:eastAsia="Arial" w:hAnsi="Arial" w:cs="Arial"/>
          <w:sz w:val="20"/>
          <w:szCs w:val="20"/>
        </w:rPr>
        <w:tab/>
      </w:r>
      <w:r w:rsidR="00B3555C">
        <w:rPr>
          <w:rFonts w:ascii="Arial" w:eastAsia="Arial" w:hAnsi="Arial" w:cs="Arial"/>
          <w:sz w:val="20"/>
          <w:szCs w:val="20"/>
        </w:rPr>
        <w:t>……………………………</w:t>
      </w:r>
      <w:r>
        <w:rPr>
          <w:rFonts w:ascii="Arial" w:eastAsia="Arial" w:hAnsi="Arial" w:cs="Arial"/>
          <w:sz w:val="20"/>
          <w:szCs w:val="20"/>
        </w:rPr>
        <w:t>2</w:t>
      </w:r>
      <w:r w:rsidR="003345D4">
        <w:rPr>
          <w:rFonts w:ascii="Arial" w:eastAsia="Arial" w:hAnsi="Arial" w:cs="Arial"/>
          <w:sz w:val="20"/>
          <w:szCs w:val="20"/>
        </w:rPr>
        <w:t>6</w:t>
      </w:r>
    </w:p>
    <w:p w14:paraId="06790A9A"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 Evaluación económica de elaboración propia,</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6C985902"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7.3.0 Consideraciones generales y selección del tipo de evaluación económica,</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2B9BA23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7.3.1 Análisis de minimización de costes. Estudios propios,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0CAB78B2"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7.3.2 Coste-efectividad. Estudios propios,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26</w:t>
      </w:r>
    </w:p>
    <w:p w14:paraId="2941EE2D"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7.3.3 Coste-utilidad. Estudios propios,</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27</w:t>
      </w:r>
    </w:p>
    <w:p w14:paraId="615AFFF3"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7.3.4. Análisis de sensibilidad, </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27</w:t>
      </w:r>
    </w:p>
    <w:p w14:paraId="7B19F1AE"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 Estimación del impacto presupuestario y de los beneficios esperados en salud,</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28</w:t>
      </w:r>
    </w:p>
    <w:p w14:paraId="2D59895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7.4.1 Estimación de la población diana, </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28</w:t>
      </w:r>
    </w:p>
    <w:p w14:paraId="5EF67C1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7.4.2 Estudios publicados de impacto presupuestario,</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28</w:t>
      </w:r>
    </w:p>
    <w:p w14:paraId="31033BA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7.4.3 Estimación propia de impacto presup</w:t>
      </w:r>
      <w:r w:rsidR="00732C71">
        <w:rPr>
          <w:rFonts w:ascii="Arial" w:eastAsia="Arial" w:hAnsi="Arial" w:cs="Arial"/>
          <w:sz w:val="20"/>
          <w:szCs w:val="20"/>
        </w:rPr>
        <w:t>uestario y beneficios en salud</w:t>
      </w:r>
      <w:r>
        <w:rPr>
          <w:rFonts w:ascii="Arial" w:eastAsia="Arial" w:hAnsi="Arial" w:cs="Arial"/>
          <w:sz w:val="20"/>
          <w:szCs w:val="20"/>
        </w:rPr>
        <w:t>,</w:t>
      </w:r>
      <w:r w:rsidR="00732C71">
        <w:rPr>
          <w:rFonts w:ascii="Arial" w:eastAsia="Arial" w:hAnsi="Arial" w:cs="Arial"/>
          <w:sz w:val="20"/>
          <w:szCs w:val="20"/>
        </w:rPr>
        <w:t>………………..</w:t>
      </w:r>
      <w:r>
        <w:rPr>
          <w:rFonts w:ascii="Arial" w:eastAsia="Arial" w:hAnsi="Arial" w:cs="Arial"/>
          <w:sz w:val="20"/>
          <w:szCs w:val="20"/>
        </w:rPr>
        <w:tab/>
      </w:r>
      <w:r w:rsidR="00B3555C">
        <w:rPr>
          <w:rFonts w:ascii="Arial" w:eastAsia="Arial" w:hAnsi="Arial" w:cs="Arial"/>
          <w:sz w:val="20"/>
          <w:szCs w:val="20"/>
        </w:rPr>
        <w:t>………..</w:t>
      </w:r>
      <w:r w:rsidR="003345D4">
        <w:rPr>
          <w:rFonts w:ascii="Arial" w:eastAsia="Arial" w:hAnsi="Arial" w:cs="Arial"/>
          <w:sz w:val="20"/>
          <w:szCs w:val="20"/>
        </w:rPr>
        <w:t>2</w:t>
      </w:r>
      <w:r w:rsidR="00732C71">
        <w:rPr>
          <w:rFonts w:ascii="Arial" w:eastAsia="Arial" w:hAnsi="Arial" w:cs="Arial"/>
          <w:sz w:val="20"/>
          <w:szCs w:val="20"/>
        </w:rPr>
        <w:t>8</w:t>
      </w:r>
    </w:p>
    <w:p w14:paraId="6414191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7.4.4 Estimación de coste de fabricación y d</w:t>
      </w:r>
      <w:r w:rsidR="00AA478D">
        <w:rPr>
          <w:rFonts w:ascii="Arial" w:eastAsia="Arial" w:hAnsi="Arial" w:cs="Arial"/>
          <w:sz w:val="20"/>
          <w:szCs w:val="20"/>
        </w:rPr>
        <w:t>e investigación del medicamento,</w:t>
      </w:r>
      <w:r w:rsidR="00AA478D">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29</w:t>
      </w:r>
    </w:p>
    <w:p w14:paraId="72141DC9"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8. ÁREA DE CONVENIENCIA.</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33</w:t>
      </w:r>
    </w:p>
    <w:p w14:paraId="08C7A754"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8.1 Descripción de la conveniencia,</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33</w:t>
      </w:r>
    </w:p>
    <w:p w14:paraId="6E6AE601" w14:textId="77777777" w:rsidR="00C55F60" w:rsidRDefault="00C55F60">
      <w:pPr>
        <w:tabs>
          <w:tab w:val="right" w:pos="8729"/>
        </w:tabs>
        <w:ind w:left="0" w:hanging="2"/>
        <w:rPr>
          <w:rFonts w:ascii="Arial" w:eastAsia="Arial" w:hAnsi="Arial" w:cs="Arial"/>
          <w:sz w:val="20"/>
          <w:szCs w:val="20"/>
        </w:rPr>
      </w:pPr>
      <w:r w:rsidRPr="00C55F60">
        <w:rPr>
          <w:rFonts w:ascii="Arial" w:eastAsia="Arial" w:hAnsi="Arial" w:cs="Arial"/>
          <w:sz w:val="20"/>
          <w:szCs w:val="20"/>
        </w:rPr>
        <w:t>8.2 Influencia de la conveniencia en la efectividad del tratamiento</w:t>
      </w:r>
      <w:r>
        <w:rPr>
          <w:rFonts w:ascii="Arial" w:eastAsia="Arial" w:hAnsi="Arial" w:cs="Arial"/>
          <w:sz w:val="20"/>
          <w:szCs w:val="20"/>
        </w:rPr>
        <w:t>,………………………………….</w:t>
      </w:r>
      <w:r w:rsidR="00732C71">
        <w:rPr>
          <w:rFonts w:ascii="Arial" w:eastAsia="Arial" w:hAnsi="Arial" w:cs="Arial"/>
          <w:sz w:val="20"/>
          <w:szCs w:val="20"/>
        </w:rPr>
        <w:tab/>
        <w:t>34</w:t>
      </w:r>
    </w:p>
    <w:p w14:paraId="16069FD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9. AREA DE CONCLUSIONES.</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34</w:t>
      </w:r>
    </w:p>
    <w:p w14:paraId="172DB453"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9.1 Resumen de los aspectos más significativos respecto a la alternativa y propuestas, </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34</w:t>
      </w:r>
    </w:p>
    <w:p w14:paraId="4F6B8BC0"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9.2 Decisión, </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35</w:t>
      </w:r>
    </w:p>
    <w:p w14:paraId="6BDD160B"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9.3. Condiciones de uso </w:t>
      </w:r>
      <w:r>
        <w:rPr>
          <w:rFonts w:ascii="Arial" w:eastAsia="Arial" w:hAnsi="Arial" w:cs="Arial"/>
          <w:sz w:val="20"/>
          <w:szCs w:val="20"/>
        </w:rPr>
        <w:tab/>
      </w:r>
      <w:r w:rsidR="00B3555C">
        <w:rPr>
          <w:rFonts w:ascii="Arial" w:eastAsia="Arial" w:hAnsi="Arial" w:cs="Arial"/>
          <w:sz w:val="20"/>
          <w:szCs w:val="20"/>
        </w:rPr>
        <w:t>…………………………………………………………………………………..</w:t>
      </w:r>
      <w:r w:rsidR="00732C71">
        <w:rPr>
          <w:rFonts w:ascii="Arial" w:eastAsia="Arial" w:hAnsi="Arial" w:cs="Arial"/>
          <w:sz w:val="20"/>
          <w:szCs w:val="20"/>
        </w:rPr>
        <w:t>35</w:t>
      </w:r>
    </w:p>
    <w:p w14:paraId="1BA3A746"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 xml:space="preserve">9.4 Plan de seguimiento, </w:t>
      </w:r>
      <w:r>
        <w:rPr>
          <w:rFonts w:ascii="Arial" w:eastAsia="Arial" w:hAnsi="Arial" w:cs="Arial"/>
          <w:sz w:val="20"/>
          <w:szCs w:val="20"/>
        </w:rPr>
        <w:tab/>
      </w:r>
      <w:r w:rsidR="00786169">
        <w:rPr>
          <w:rFonts w:ascii="Arial" w:eastAsia="Arial" w:hAnsi="Arial" w:cs="Arial"/>
          <w:sz w:val="20"/>
          <w:szCs w:val="20"/>
        </w:rPr>
        <w:t>………………………………………………………………………………….</w:t>
      </w:r>
      <w:r w:rsidR="00732C71">
        <w:rPr>
          <w:rFonts w:ascii="Arial" w:eastAsia="Arial" w:hAnsi="Arial" w:cs="Arial"/>
          <w:sz w:val="20"/>
          <w:szCs w:val="20"/>
        </w:rPr>
        <w:t>35</w:t>
      </w:r>
    </w:p>
    <w:p w14:paraId="7054E4E5" w14:textId="77777777" w:rsidR="009D55C9" w:rsidRDefault="005A57E0">
      <w:pPr>
        <w:tabs>
          <w:tab w:val="right" w:pos="8729"/>
        </w:tabs>
        <w:ind w:left="0" w:hanging="2"/>
        <w:rPr>
          <w:rFonts w:ascii="Arial" w:eastAsia="Arial" w:hAnsi="Arial" w:cs="Arial"/>
          <w:sz w:val="20"/>
          <w:szCs w:val="20"/>
        </w:rPr>
      </w:pPr>
      <w:r>
        <w:rPr>
          <w:rFonts w:ascii="Arial" w:eastAsia="Arial" w:hAnsi="Arial" w:cs="Arial"/>
          <w:sz w:val="20"/>
          <w:szCs w:val="20"/>
        </w:rPr>
        <w:t>ANEXOS</w:t>
      </w:r>
      <w:r w:rsidR="00786169">
        <w:rPr>
          <w:rFonts w:ascii="Arial" w:eastAsia="Arial" w:hAnsi="Arial" w:cs="Arial"/>
          <w:sz w:val="20"/>
          <w:szCs w:val="20"/>
        </w:rPr>
        <w:t>.</w:t>
      </w:r>
      <w:r>
        <w:rPr>
          <w:rFonts w:ascii="Arial" w:eastAsia="Arial" w:hAnsi="Arial" w:cs="Arial"/>
          <w:sz w:val="20"/>
          <w:szCs w:val="20"/>
        </w:rPr>
        <w:tab/>
      </w:r>
      <w:r w:rsidR="00786169">
        <w:rPr>
          <w:rFonts w:ascii="Arial" w:eastAsia="Arial" w:hAnsi="Arial" w:cs="Arial"/>
          <w:sz w:val="20"/>
          <w:szCs w:val="20"/>
        </w:rPr>
        <w:t>……………………………………………………………………………………………………</w:t>
      </w:r>
      <w:r w:rsidR="003345D4">
        <w:rPr>
          <w:rFonts w:ascii="Arial" w:eastAsia="Arial" w:hAnsi="Arial" w:cs="Arial"/>
          <w:sz w:val="20"/>
          <w:szCs w:val="20"/>
        </w:rPr>
        <w:t>3</w:t>
      </w:r>
      <w:r w:rsidR="00732C71">
        <w:rPr>
          <w:rFonts w:ascii="Arial" w:eastAsia="Arial" w:hAnsi="Arial" w:cs="Arial"/>
          <w:sz w:val="20"/>
          <w:szCs w:val="20"/>
        </w:rPr>
        <w:t>6</w:t>
      </w:r>
    </w:p>
    <w:p w14:paraId="03DE1570" w14:textId="77777777" w:rsidR="00732C71" w:rsidRDefault="00732C71">
      <w:pPr>
        <w:tabs>
          <w:tab w:val="right" w:pos="8729"/>
        </w:tabs>
        <w:ind w:left="0" w:hanging="2"/>
        <w:rPr>
          <w:rFonts w:ascii="Arial" w:eastAsia="Arial" w:hAnsi="Arial" w:cs="Arial"/>
          <w:sz w:val="20"/>
          <w:szCs w:val="20"/>
        </w:rPr>
      </w:pPr>
      <w:r>
        <w:rPr>
          <w:rFonts w:ascii="Arial" w:eastAsia="Arial" w:hAnsi="Arial" w:cs="Arial"/>
          <w:sz w:val="20"/>
          <w:szCs w:val="20"/>
        </w:rPr>
        <w:t>Anexo 1. Escala MFMG……………………………………………………………………………………36</w:t>
      </w:r>
    </w:p>
    <w:p w14:paraId="79E9210E" w14:textId="77777777" w:rsidR="009D55C9" w:rsidRDefault="00732C71">
      <w:pPr>
        <w:tabs>
          <w:tab w:val="right" w:pos="8729"/>
        </w:tabs>
        <w:ind w:left="0" w:hanging="2"/>
        <w:rPr>
          <w:rFonts w:ascii="Arial" w:eastAsia="Arial" w:hAnsi="Arial" w:cs="Arial"/>
          <w:sz w:val="20"/>
          <w:szCs w:val="20"/>
        </w:rPr>
      </w:pPr>
      <w:r>
        <w:rPr>
          <w:rFonts w:ascii="Arial" w:eastAsia="Arial" w:hAnsi="Arial" w:cs="Arial"/>
          <w:sz w:val="20"/>
          <w:szCs w:val="20"/>
        </w:rPr>
        <w:t xml:space="preserve">Anexo 2. </w:t>
      </w:r>
      <w:r w:rsidR="005A57E0">
        <w:rPr>
          <w:rFonts w:ascii="Arial" w:eastAsia="Arial" w:hAnsi="Arial" w:cs="Arial"/>
          <w:sz w:val="20"/>
          <w:szCs w:val="20"/>
        </w:rPr>
        <w:t xml:space="preserve">Formulario de declaración de conflictos de </w:t>
      </w:r>
      <w:r>
        <w:rPr>
          <w:rFonts w:ascii="Arial" w:eastAsia="Arial" w:hAnsi="Arial" w:cs="Arial"/>
          <w:sz w:val="20"/>
          <w:szCs w:val="20"/>
        </w:rPr>
        <w:t>i</w:t>
      </w:r>
      <w:r w:rsidR="005A57E0">
        <w:rPr>
          <w:rFonts w:ascii="Arial" w:eastAsia="Arial" w:hAnsi="Arial" w:cs="Arial"/>
          <w:sz w:val="20"/>
          <w:szCs w:val="20"/>
        </w:rPr>
        <w:t>ntereses,</w:t>
      </w:r>
      <w:r>
        <w:rPr>
          <w:rFonts w:ascii="Arial" w:eastAsia="Arial" w:hAnsi="Arial" w:cs="Arial"/>
          <w:sz w:val="20"/>
          <w:szCs w:val="20"/>
        </w:rPr>
        <w:t>...</w:t>
      </w:r>
      <w:r w:rsidR="00786169">
        <w:rPr>
          <w:rFonts w:ascii="Arial" w:eastAsia="Arial" w:hAnsi="Arial" w:cs="Arial"/>
          <w:sz w:val="20"/>
          <w:szCs w:val="20"/>
        </w:rPr>
        <w:t>……………………………………</w:t>
      </w:r>
      <w:r w:rsidR="003345D4">
        <w:rPr>
          <w:rFonts w:ascii="Arial" w:eastAsia="Arial" w:hAnsi="Arial" w:cs="Arial"/>
          <w:sz w:val="20"/>
          <w:szCs w:val="20"/>
        </w:rPr>
        <w:tab/>
        <w:t>3</w:t>
      </w:r>
      <w:r>
        <w:rPr>
          <w:rFonts w:ascii="Arial" w:eastAsia="Arial" w:hAnsi="Arial" w:cs="Arial"/>
          <w:sz w:val="20"/>
          <w:szCs w:val="20"/>
        </w:rPr>
        <w:t>7</w:t>
      </w:r>
    </w:p>
    <w:p w14:paraId="7FA61F33" w14:textId="77777777" w:rsidR="00732C71" w:rsidRDefault="00732C71" w:rsidP="00732C71">
      <w:pPr>
        <w:tabs>
          <w:tab w:val="right" w:pos="8729"/>
        </w:tabs>
        <w:ind w:left="0" w:hanging="2"/>
        <w:rPr>
          <w:rFonts w:ascii="Arial" w:eastAsia="Arial" w:hAnsi="Arial" w:cs="Arial"/>
          <w:sz w:val="20"/>
          <w:szCs w:val="20"/>
        </w:rPr>
      </w:pPr>
      <w:r>
        <w:rPr>
          <w:rFonts w:ascii="Arial" w:eastAsia="Arial" w:hAnsi="Arial" w:cs="Arial"/>
          <w:sz w:val="20"/>
          <w:szCs w:val="20"/>
        </w:rPr>
        <w:t>10. BIBLIOGRAFÍA</w:t>
      </w:r>
      <w:r>
        <w:rPr>
          <w:rFonts w:ascii="Arial" w:eastAsia="Arial" w:hAnsi="Arial" w:cs="Arial"/>
          <w:sz w:val="20"/>
          <w:szCs w:val="20"/>
        </w:rPr>
        <w:tab/>
        <w:t>………………………………………………………………………………………...38</w:t>
      </w:r>
    </w:p>
    <w:p w14:paraId="2307F751" w14:textId="77777777" w:rsidR="009D55C9" w:rsidRDefault="009D55C9">
      <w:pPr>
        <w:ind w:left="0" w:hanging="2"/>
        <w:rPr>
          <w:rFonts w:ascii="Arial" w:eastAsia="Arial" w:hAnsi="Arial" w:cs="Arial"/>
          <w:sz w:val="20"/>
          <w:szCs w:val="20"/>
        </w:rPr>
      </w:pPr>
    </w:p>
    <w:p w14:paraId="03A7A7C9" w14:textId="77777777" w:rsidR="009D55C9" w:rsidRDefault="009D55C9">
      <w:pPr>
        <w:ind w:left="0" w:hanging="2"/>
        <w:rPr>
          <w:rFonts w:ascii="Arial" w:eastAsia="Arial" w:hAnsi="Arial" w:cs="Arial"/>
          <w:color w:val="0000FF"/>
          <w:u w:val="single"/>
        </w:rPr>
      </w:pPr>
    </w:p>
    <w:p w14:paraId="51DC76D3"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 xml:space="preserve">Glosario: </w:t>
      </w:r>
    </w:p>
    <w:p w14:paraId="11C76E52" w14:textId="77777777" w:rsidR="009D55C9" w:rsidRDefault="009D55C9">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p>
    <w:p w14:paraId="2AE00852"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AAA:</w:t>
      </w:r>
      <w:r>
        <w:rPr>
          <w:rFonts w:ascii="Arial" w:eastAsia="Arial" w:hAnsi="Arial" w:cs="Arial"/>
          <w:sz w:val="20"/>
          <w:szCs w:val="20"/>
        </w:rPr>
        <w:t xml:space="preserve"> Anticuerpos anti-ARSA</w:t>
      </w:r>
    </w:p>
    <w:p w14:paraId="6FAC0508" w14:textId="77777777" w:rsidR="0058336D" w:rsidRDefault="0058336D">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58336D">
        <w:rPr>
          <w:rFonts w:ascii="Arial" w:eastAsia="Arial" w:hAnsi="Arial" w:cs="Arial"/>
          <w:b/>
          <w:sz w:val="20"/>
          <w:szCs w:val="20"/>
        </w:rPr>
        <w:t>ADNc:</w:t>
      </w:r>
      <w:r>
        <w:rPr>
          <w:rFonts w:ascii="Arial" w:eastAsia="Arial" w:hAnsi="Arial" w:cs="Arial"/>
          <w:sz w:val="20"/>
          <w:szCs w:val="20"/>
        </w:rPr>
        <w:t xml:space="preserve"> ácido desoxirribonucleico complementario </w:t>
      </w:r>
    </w:p>
    <w:p w14:paraId="3549FC8B"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ARSA:</w:t>
      </w:r>
      <w:r>
        <w:rPr>
          <w:rFonts w:ascii="Arial" w:eastAsia="Arial" w:hAnsi="Arial" w:cs="Arial"/>
          <w:sz w:val="20"/>
          <w:szCs w:val="20"/>
        </w:rPr>
        <w:t xml:space="preserve"> Arilsulfatasa A humana</w:t>
      </w:r>
    </w:p>
    <w:p w14:paraId="726A250D"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CI:</w:t>
      </w:r>
      <w:r>
        <w:rPr>
          <w:rFonts w:ascii="Arial" w:eastAsia="Arial" w:hAnsi="Arial" w:cs="Arial"/>
          <w:sz w:val="20"/>
          <w:szCs w:val="20"/>
        </w:rPr>
        <w:t xml:space="preserve"> cociente intelectual</w:t>
      </w:r>
    </w:p>
    <w:p w14:paraId="6D1C6BA4" w14:textId="77777777" w:rsidR="00E31767" w:rsidRDefault="00E31767">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E31767">
        <w:rPr>
          <w:rFonts w:ascii="Arial" w:eastAsia="Arial" w:hAnsi="Arial" w:cs="Arial"/>
          <w:b/>
          <w:sz w:val="20"/>
          <w:szCs w:val="20"/>
        </w:rPr>
        <w:t>CD:</w:t>
      </w:r>
      <w:r>
        <w:rPr>
          <w:rFonts w:ascii="Arial" w:eastAsia="Arial" w:hAnsi="Arial" w:cs="Arial"/>
          <w:sz w:val="20"/>
          <w:szCs w:val="20"/>
        </w:rPr>
        <w:t xml:space="preserve"> cociente de desarrollo</w:t>
      </w:r>
    </w:p>
    <w:p w14:paraId="765A5F99"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 xml:space="preserve">CMH: </w:t>
      </w:r>
      <w:r>
        <w:rPr>
          <w:rFonts w:ascii="Arial" w:eastAsia="Arial" w:hAnsi="Arial" w:cs="Arial"/>
          <w:sz w:val="20"/>
          <w:szCs w:val="20"/>
        </w:rPr>
        <w:t>Células madre hematopoyéticas</w:t>
      </w:r>
    </w:p>
    <w:p w14:paraId="04125584" w14:textId="77777777" w:rsidR="00757B1D" w:rsidRDefault="00757B1D" w:rsidP="00757B1D">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757B1D">
        <w:rPr>
          <w:rFonts w:ascii="Arial" w:eastAsia="Arial" w:hAnsi="Arial" w:cs="Arial"/>
          <w:b/>
          <w:sz w:val="20"/>
          <w:szCs w:val="20"/>
        </w:rPr>
        <w:t>CMSP</w:t>
      </w:r>
      <w:r>
        <w:rPr>
          <w:rFonts w:ascii="Arial" w:eastAsia="Arial" w:hAnsi="Arial" w:cs="Arial"/>
          <w:b/>
          <w:sz w:val="20"/>
          <w:szCs w:val="20"/>
        </w:rPr>
        <w:t>:</w:t>
      </w:r>
      <w:r>
        <w:rPr>
          <w:rFonts w:ascii="Arial" w:eastAsia="Arial" w:hAnsi="Arial" w:cs="Arial"/>
          <w:sz w:val="20"/>
          <w:szCs w:val="20"/>
        </w:rPr>
        <w:t xml:space="preserve"> Células Mononucleares en Sangre Periférica </w:t>
      </w:r>
    </w:p>
    <w:p w14:paraId="4E674FD7"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CVC:</w:t>
      </w:r>
      <w:r>
        <w:rPr>
          <w:rFonts w:ascii="Arial" w:eastAsia="Arial" w:hAnsi="Arial" w:cs="Arial"/>
          <w:sz w:val="20"/>
          <w:szCs w:val="20"/>
        </w:rPr>
        <w:t xml:space="preserve"> Catéter venoso central</w:t>
      </w:r>
    </w:p>
    <w:p w14:paraId="6C6ECF5B" w14:textId="77777777" w:rsidR="00F8494C" w:rsidRDefault="00F8494C">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F8494C">
        <w:rPr>
          <w:rFonts w:ascii="Arial" w:eastAsia="Arial" w:hAnsi="Arial" w:cs="Arial"/>
          <w:b/>
          <w:sz w:val="20"/>
          <w:szCs w:val="20"/>
        </w:rPr>
        <w:t>DMSO:</w:t>
      </w:r>
      <w:r>
        <w:rPr>
          <w:rFonts w:ascii="Arial" w:eastAsia="Arial" w:hAnsi="Arial" w:cs="Arial"/>
          <w:sz w:val="20"/>
          <w:szCs w:val="20"/>
        </w:rPr>
        <w:t xml:space="preserve"> Dimetilsulfóxido</w:t>
      </w:r>
    </w:p>
    <w:p w14:paraId="7215D79B"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EA:</w:t>
      </w:r>
      <w:r>
        <w:rPr>
          <w:rFonts w:ascii="Arial" w:eastAsia="Arial" w:hAnsi="Arial" w:cs="Arial"/>
          <w:sz w:val="20"/>
          <w:szCs w:val="20"/>
        </w:rPr>
        <w:t xml:space="preserve"> Evento adverso</w:t>
      </w:r>
    </w:p>
    <w:p w14:paraId="4AFD57C2"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EICH:</w:t>
      </w:r>
      <w:r>
        <w:rPr>
          <w:rFonts w:ascii="Arial" w:eastAsia="Arial" w:hAnsi="Arial" w:cs="Arial"/>
          <w:sz w:val="20"/>
          <w:szCs w:val="20"/>
        </w:rPr>
        <w:t xml:space="preserve"> Enfermedad de injerto contra huésped</w:t>
      </w:r>
    </w:p>
    <w:p w14:paraId="741C907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ENG:</w:t>
      </w:r>
      <w:r>
        <w:rPr>
          <w:rFonts w:ascii="Arial" w:eastAsia="Arial" w:hAnsi="Arial" w:cs="Arial"/>
          <w:sz w:val="20"/>
          <w:szCs w:val="20"/>
        </w:rPr>
        <w:t xml:space="preserve"> Electroneurografía</w:t>
      </w:r>
    </w:p>
    <w:p w14:paraId="06DEB053"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EVO:</w:t>
      </w:r>
      <w:r>
        <w:rPr>
          <w:rFonts w:ascii="Arial" w:eastAsia="Arial" w:hAnsi="Arial" w:cs="Arial"/>
          <w:sz w:val="20"/>
          <w:szCs w:val="20"/>
        </w:rPr>
        <w:t xml:space="preserve"> Enfermedad venoclusiva</w:t>
      </w:r>
    </w:p>
    <w:p w14:paraId="281F0F22" w14:textId="77777777" w:rsidR="000716FA" w:rsidRPr="000716FA" w:rsidRDefault="000716FA">
      <w:pPr>
        <w:pBdr>
          <w:top w:val="single" w:sz="4" w:space="1" w:color="000000"/>
          <w:left w:val="single" w:sz="4" w:space="4" w:color="000000"/>
          <w:bottom w:val="single" w:sz="4" w:space="1" w:color="000000"/>
          <w:right w:val="single" w:sz="4" w:space="4" w:color="000000"/>
        </w:pBdr>
        <w:ind w:left="0" w:hanging="2"/>
        <w:rPr>
          <w:rFonts w:ascii="Arial" w:eastAsia="Arial" w:hAnsi="Arial" w:cs="Arial"/>
          <w:b/>
          <w:sz w:val="20"/>
          <w:szCs w:val="20"/>
        </w:rPr>
      </w:pPr>
      <w:r w:rsidRPr="00500871">
        <w:rPr>
          <w:rFonts w:ascii="Arial" w:eastAsia="Arial" w:hAnsi="Arial" w:cs="Arial"/>
          <w:b/>
          <w:sz w:val="20"/>
          <w:szCs w:val="20"/>
        </w:rPr>
        <w:t>FE</w:t>
      </w:r>
      <w:r w:rsidR="00500871" w:rsidRPr="00500871">
        <w:rPr>
          <w:rFonts w:ascii="Arial" w:eastAsia="Arial" w:hAnsi="Arial" w:cs="Arial"/>
          <w:b/>
          <w:sz w:val="20"/>
          <w:szCs w:val="20"/>
        </w:rPr>
        <w:t>C</w:t>
      </w:r>
      <w:r w:rsidRPr="00500871">
        <w:rPr>
          <w:rFonts w:ascii="Arial" w:eastAsia="Arial" w:hAnsi="Arial" w:cs="Arial"/>
          <w:b/>
          <w:sz w:val="20"/>
          <w:szCs w:val="20"/>
        </w:rPr>
        <w:t>-G:</w:t>
      </w:r>
      <w:r w:rsidR="00500871" w:rsidRPr="00500871">
        <w:rPr>
          <w:rFonts w:ascii="Arial" w:eastAsia="Arial" w:hAnsi="Arial" w:cs="Arial"/>
          <w:sz w:val="20"/>
          <w:szCs w:val="20"/>
        </w:rPr>
        <w:t xml:space="preserve"> </w:t>
      </w:r>
      <w:r w:rsidR="00500871">
        <w:rPr>
          <w:rFonts w:ascii="Arial" w:eastAsia="Arial" w:hAnsi="Arial" w:cs="Arial"/>
          <w:sz w:val="20"/>
          <w:szCs w:val="20"/>
        </w:rPr>
        <w:t>Factor Estimulante de Colonias de Granulocitos</w:t>
      </w:r>
    </w:p>
    <w:p w14:paraId="4A9460EB"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ITT:</w:t>
      </w:r>
      <w:r>
        <w:rPr>
          <w:rFonts w:ascii="Arial" w:eastAsia="Arial" w:hAnsi="Arial" w:cs="Arial"/>
          <w:sz w:val="20"/>
          <w:szCs w:val="20"/>
        </w:rPr>
        <w:t xml:space="preserve"> Intención de tratar</w:t>
      </w:r>
    </w:p>
    <w:p w14:paraId="395701D8"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LCR:</w:t>
      </w:r>
      <w:r>
        <w:rPr>
          <w:rFonts w:ascii="Arial" w:eastAsia="Arial" w:hAnsi="Arial" w:cs="Arial"/>
          <w:sz w:val="20"/>
          <w:szCs w:val="20"/>
        </w:rPr>
        <w:t xml:space="preserve"> Líquido cefalorraquídeo</w:t>
      </w:r>
    </w:p>
    <w:p w14:paraId="59EE999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LDM:</w:t>
      </w:r>
      <w:r>
        <w:rPr>
          <w:rFonts w:ascii="Arial" w:eastAsia="Arial" w:hAnsi="Arial" w:cs="Arial"/>
          <w:sz w:val="20"/>
          <w:szCs w:val="20"/>
        </w:rPr>
        <w:t xml:space="preserve"> Leucodistrofia metacromática</w:t>
      </w:r>
    </w:p>
    <w:p w14:paraId="3186A200"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LDM-IT:</w:t>
      </w:r>
      <w:r>
        <w:rPr>
          <w:rFonts w:ascii="Arial" w:eastAsia="Arial" w:hAnsi="Arial" w:cs="Arial"/>
          <w:sz w:val="20"/>
          <w:szCs w:val="20"/>
        </w:rPr>
        <w:t xml:space="preserve"> Leucodistrofia metacromática infantil tardía</w:t>
      </w:r>
    </w:p>
    <w:p w14:paraId="1501AEAC"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LDM-JT:</w:t>
      </w:r>
      <w:r>
        <w:rPr>
          <w:rFonts w:ascii="Arial" w:eastAsia="Arial" w:hAnsi="Arial" w:cs="Arial"/>
          <w:sz w:val="20"/>
          <w:szCs w:val="20"/>
        </w:rPr>
        <w:t xml:space="preserve"> Leucodistrofia metacromática juvenil temprana</w:t>
      </w:r>
    </w:p>
    <w:p w14:paraId="7C96B9B3" w14:textId="77777777" w:rsidR="00AE4A78" w:rsidRDefault="00AE4A78">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sidRPr="00AE4A78">
        <w:rPr>
          <w:rFonts w:ascii="Arial" w:eastAsia="Arial" w:hAnsi="Arial" w:cs="Arial"/>
          <w:b/>
          <w:sz w:val="20"/>
          <w:szCs w:val="20"/>
        </w:rPr>
        <w:t>LID:</w:t>
      </w:r>
      <w:r>
        <w:rPr>
          <w:rFonts w:ascii="Arial" w:eastAsia="Arial" w:hAnsi="Arial" w:cs="Arial"/>
          <w:sz w:val="20"/>
          <w:szCs w:val="20"/>
        </w:rPr>
        <w:t xml:space="preserve"> Límite inferior de detección</w:t>
      </w:r>
    </w:p>
    <w:p w14:paraId="3D5EF13A"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MAT-AT:</w:t>
      </w:r>
      <w:r>
        <w:rPr>
          <w:rFonts w:ascii="Arial" w:eastAsia="Arial" w:hAnsi="Arial" w:cs="Arial"/>
          <w:sz w:val="20"/>
          <w:szCs w:val="20"/>
        </w:rPr>
        <w:t xml:space="preserve"> Microangiopatía trombótica asociada al trasplante</w:t>
      </w:r>
    </w:p>
    <w:p w14:paraId="7E5918CE"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MFMG:</w:t>
      </w:r>
      <w:r>
        <w:rPr>
          <w:rFonts w:ascii="Arial" w:eastAsia="Arial" w:hAnsi="Arial" w:cs="Arial"/>
          <w:sz w:val="20"/>
          <w:szCs w:val="20"/>
        </w:rPr>
        <w:t xml:space="preserve"> Medida de la función motora gruesa</w:t>
      </w:r>
    </w:p>
    <w:p w14:paraId="3B1995C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MO:</w:t>
      </w:r>
      <w:r>
        <w:rPr>
          <w:rFonts w:ascii="Arial" w:eastAsia="Arial" w:hAnsi="Arial" w:cs="Arial"/>
          <w:sz w:val="20"/>
          <w:szCs w:val="20"/>
        </w:rPr>
        <w:t xml:space="preserve"> Médula ósea</w:t>
      </w:r>
    </w:p>
    <w:p w14:paraId="5F934EA7"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lastRenderedPageBreak/>
        <w:t>NCV:</w:t>
      </w:r>
      <w:r>
        <w:rPr>
          <w:rFonts w:ascii="Arial" w:eastAsia="Arial" w:hAnsi="Arial" w:cs="Arial"/>
          <w:sz w:val="20"/>
          <w:szCs w:val="20"/>
        </w:rPr>
        <w:t xml:space="preserve"> Número de copias del vector</w:t>
      </w:r>
    </w:p>
    <w:p w14:paraId="313D3D54"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PCR:</w:t>
      </w:r>
      <w:r>
        <w:rPr>
          <w:rFonts w:ascii="Arial" w:eastAsia="Arial" w:hAnsi="Arial" w:cs="Arial"/>
          <w:sz w:val="20"/>
          <w:szCs w:val="20"/>
        </w:rPr>
        <w:t xml:space="preserve"> Reacción en cadena de la polimerasa</w:t>
      </w:r>
    </w:p>
    <w:p w14:paraId="15667F22"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RAN:</w:t>
      </w:r>
      <w:r>
        <w:rPr>
          <w:rFonts w:ascii="Arial" w:eastAsia="Arial" w:hAnsi="Arial" w:cs="Arial"/>
          <w:sz w:val="20"/>
          <w:szCs w:val="20"/>
        </w:rPr>
        <w:t xml:space="preserve"> Recuento absoluto de neutrófilos</w:t>
      </w:r>
    </w:p>
    <w:p w14:paraId="1827F6FF"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RMN:</w:t>
      </w:r>
      <w:r>
        <w:rPr>
          <w:rFonts w:ascii="Arial" w:eastAsia="Arial" w:hAnsi="Arial" w:cs="Arial"/>
          <w:sz w:val="20"/>
          <w:szCs w:val="20"/>
        </w:rPr>
        <w:t xml:space="preserve"> Resonancia magnética</w:t>
      </w:r>
    </w:p>
    <w:p w14:paraId="503B5E97"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SHUa:</w:t>
      </w:r>
      <w:r>
        <w:rPr>
          <w:rFonts w:ascii="Arial" w:eastAsia="Arial" w:hAnsi="Arial" w:cs="Arial"/>
          <w:sz w:val="20"/>
          <w:szCs w:val="20"/>
        </w:rPr>
        <w:t xml:space="preserve"> Síndrome hemolítico urémico atípico</w:t>
      </w:r>
    </w:p>
    <w:p w14:paraId="10A8AB6A"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SNC:</w:t>
      </w:r>
      <w:r>
        <w:rPr>
          <w:rFonts w:ascii="Arial" w:eastAsia="Arial" w:hAnsi="Arial" w:cs="Arial"/>
          <w:sz w:val="20"/>
          <w:szCs w:val="20"/>
        </w:rPr>
        <w:t xml:space="preserve"> Sistema nervioso central</w:t>
      </w:r>
    </w:p>
    <w:p w14:paraId="31C4ABD8"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SNP:</w:t>
      </w:r>
      <w:r>
        <w:rPr>
          <w:rFonts w:ascii="Arial" w:eastAsia="Arial" w:hAnsi="Arial" w:cs="Arial"/>
          <w:sz w:val="20"/>
          <w:szCs w:val="20"/>
        </w:rPr>
        <w:t xml:space="preserve"> Sistema nervioso periférico</w:t>
      </w:r>
    </w:p>
    <w:p w14:paraId="610148FF"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SPM:</w:t>
      </w:r>
      <w:r>
        <w:rPr>
          <w:rFonts w:ascii="Arial" w:eastAsia="Arial" w:hAnsi="Arial" w:cs="Arial"/>
          <w:sz w:val="20"/>
          <w:szCs w:val="20"/>
        </w:rPr>
        <w:t xml:space="preserve"> Sangre periférica movilizada</w:t>
      </w:r>
    </w:p>
    <w:p w14:paraId="095A3C13" w14:textId="77777777" w:rsidR="00925D7B" w:rsidRDefault="00925D7B">
      <w:pPr>
        <w:pBdr>
          <w:top w:val="single" w:sz="4" w:space="1" w:color="000000"/>
          <w:left w:val="single" w:sz="4" w:space="4" w:color="000000"/>
          <w:bottom w:val="single" w:sz="4" w:space="1" w:color="000000"/>
          <w:right w:val="single" w:sz="4" w:space="4" w:color="000000"/>
        </w:pBdr>
        <w:ind w:left="0" w:hanging="2"/>
        <w:rPr>
          <w:rFonts w:ascii="Arial" w:eastAsia="Arial" w:hAnsi="Arial" w:cs="Arial"/>
          <w:b/>
          <w:sz w:val="20"/>
          <w:szCs w:val="20"/>
        </w:rPr>
      </w:pPr>
      <w:r>
        <w:rPr>
          <w:rFonts w:ascii="Arial" w:eastAsia="Arial" w:hAnsi="Arial" w:cs="Arial"/>
          <w:b/>
          <w:sz w:val="20"/>
          <w:szCs w:val="20"/>
        </w:rPr>
        <w:t xml:space="preserve">TG: </w:t>
      </w:r>
      <w:r w:rsidRPr="00925D7B">
        <w:rPr>
          <w:rFonts w:ascii="Arial" w:eastAsia="Arial" w:hAnsi="Arial" w:cs="Arial"/>
          <w:sz w:val="20"/>
          <w:szCs w:val="20"/>
        </w:rPr>
        <w:t>Terapia Génica</w:t>
      </w:r>
    </w:p>
    <w:p w14:paraId="65BF6BC8"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TPH:</w:t>
      </w:r>
      <w:r>
        <w:rPr>
          <w:rFonts w:ascii="Arial" w:eastAsia="Arial" w:hAnsi="Arial" w:cs="Arial"/>
          <w:sz w:val="20"/>
          <w:szCs w:val="20"/>
        </w:rPr>
        <w:t xml:space="preserve"> Trasplante de progenitores hematopoyéticos</w:t>
      </w:r>
    </w:p>
    <w:p w14:paraId="7B96D169" w14:textId="77777777" w:rsidR="009D55C9" w:rsidRDefault="005A57E0">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TSH:</w:t>
      </w:r>
      <w:r>
        <w:rPr>
          <w:rFonts w:ascii="Arial" w:eastAsia="Arial" w:hAnsi="Arial" w:cs="Arial"/>
          <w:sz w:val="20"/>
          <w:szCs w:val="20"/>
        </w:rPr>
        <w:t xml:space="preserve"> Hormona estimulante del tiroides</w:t>
      </w:r>
    </w:p>
    <w:p w14:paraId="63ECAFB7" w14:textId="77777777" w:rsidR="009D55C9" w:rsidRDefault="009D55C9">
      <w:pPr>
        <w:ind w:left="0" w:hanging="2"/>
        <w:rPr>
          <w:rFonts w:ascii="Arial" w:eastAsia="Arial" w:hAnsi="Arial" w:cs="Arial"/>
          <w:sz w:val="20"/>
          <w:szCs w:val="20"/>
        </w:rPr>
      </w:pPr>
    </w:p>
    <w:p w14:paraId="0A1DE204" w14:textId="77777777" w:rsidR="009D55C9" w:rsidRDefault="005A57E0">
      <w:pPr>
        <w:ind w:left="0" w:hanging="2"/>
        <w:rPr>
          <w:rFonts w:ascii="Arial" w:eastAsia="Arial" w:hAnsi="Arial" w:cs="Arial"/>
          <w:sz w:val="20"/>
          <w:szCs w:val="20"/>
        </w:rPr>
      </w:pPr>
      <w:r>
        <w:rPr>
          <w:rFonts w:ascii="Arial" w:eastAsia="Arial" w:hAnsi="Arial" w:cs="Arial"/>
          <w:b/>
          <w:sz w:val="20"/>
          <w:szCs w:val="20"/>
        </w:rPr>
        <w:t>Citar este informe como:</w:t>
      </w:r>
    </w:p>
    <w:p w14:paraId="37746176" w14:textId="77777777" w:rsidR="009D55C9" w:rsidRDefault="009D55C9">
      <w:pPr>
        <w:ind w:left="0" w:hanging="2"/>
        <w:rPr>
          <w:rFonts w:ascii="Arial" w:eastAsia="Arial" w:hAnsi="Arial" w:cs="Arial"/>
          <w:sz w:val="20"/>
          <w:szCs w:val="20"/>
        </w:rPr>
      </w:pPr>
    </w:p>
    <w:p w14:paraId="06CBB394" w14:textId="77777777" w:rsidR="000716FA" w:rsidRDefault="000716FA">
      <w:pPr>
        <w:ind w:left="0" w:hanging="2"/>
        <w:jc w:val="right"/>
        <w:rPr>
          <w:rFonts w:ascii="Arial" w:eastAsia="Arial" w:hAnsi="Arial" w:cs="Arial"/>
          <w:color w:val="0000FF"/>
          <w:sz w:val="20"/>
          <w:szCs w:val="20"/>
          <w:u w:val="single"/>
        </w:rPr>
      </w:pPr>
    </w:p>
    <w:p w14:paraId="4FB4E1B9" w14:textId="77777777" w:rsidR="009D55C9" w:rsidRDefault="009D55C9">
      <w:pPr>
        <w:ind w:left="0" w:hanging="2"/>
        <w:rPr>
          <w:rFonts w:ascii="Arial" w:eastAsia="Arial" w:hAnsi="Arial" w:cs="Arial"/>
          <w:sz w:val="20"/>
          <w:szCs w:val="20"/>
        </w:rPr>
      </w:pPr>
      <w:bookmarkStart w:id="2" w:name="_heading=h.30j0zll" w:colFirst="0" w:colLast="0"/>
      <w:bookmarkEnd w:id="2"/>
    </w:p>
    <w:tbl>
      <w:tblPr>
        <w:tblStyle w:val="affb"/>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rsidRPr="00750093" w14:paraId="7CA8AF10" w14:textId="77777777">
        <w:trPr>
          <w:trHeight w:val="131"/>
        </w:trPr>
        <w:tc>
          <w:tcPr>
            <w:tcW w:w="8890" w:type="dxa"/>
            <w:tcBorders>
              <w:top w:val="single" w:sz="4" w:space="0" w:color="000000"/>
              <w:left w:val="single" w:sz="4" w:space="0" w:color="000000"/>
              <w:bottom w:val="single" w:sz="4" w:space="0" w:color="000000"/>
              <w:right w:val="single" w:sz="4" w:space="0" w:color="000000"/>
            </w:tcBorders>
            <w:shd w:val="clear" w:color="auto" w:fill="BFBFBF"/>
          </w:tcPr>
          <w:p w14:paraId="69444F72" w14:textId="77777777" w:rsidR="009D55C9" w:rsidRPr="00750093" w:rsidRDefault="005A57E0">
            <w:pPr>
              <w:keepNext/>
              <w:pBdr>
                <w:top w:val="nil"/>
                <w:left w:val="nil"/>
                <w:bottom w:val="nil"/>
                <w:right w:val="nil"/>
                <w:between w:val="nil"/>
              </w:pBdr>
              <w:shd w:val="clear" w:color="auto" w:fill="A6A6A6"/>
              <w:spacing w:line="240" w:lineRule="auto"/>
              <w:ind w:left="0" w:hanging="2"/>
              <w:rPr>
                <w:rStyle w:val="Ttulodellibro"/>
                <w:rFonts w:ascii="Arial" w:eastAsia="Arial" w:hAnsi="Arial" w:cs="Arial"/>
                <w:sz w:val="20"/>
                <w:szCs w:val="20"/>
              </w:rPr>
            </w:pPr>
            <w:r w:rsidRPr="00750093">
              <w:rPr>
                <w:rStyle w:val="Ttulodellibro"/>
                <w:rFonts w:ascii="Arial" w:eastAsia="Arial" w:hAnsi="Arial" w:cs="Arial"/>
                <w:sz w:val="20"/>
                <w:szCs w:val="20"/>
              </w:rPr>
              <w:t>1.- IDENTIFICACIÓN DEL FÁRMACO Y AUTORES DEL INFORME</w:t>
            </w:r>
          </w:p>
        </w:tc>
      </w:tr>
    </w:tbl>
    <w:p w14:paraId="6E50F32B" w14:textId="77777777" w:rsidR="009D55C9" w:rsidRDefault="009D55C9">
      <w:pPr>
        <w:ind w:left="0" w:hanging="2"/>
        <w:jc w:val="both"/>
        <w:rPr>
          <w:rFonts w:ascii="Arial" w:eastAsia="Arial" w:hAnsi="Arial" w:cs="Arial"/>
          <w:sz w:val="20"/>
          <w:szCs w:val="20"/>
        </w:rPr>
      </w:pPr>
    </w:p>
    <w:p w14:paraId="328DAA4A"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Fármaco</w:t>
      </w:r>
      <w:r>
        <w:rPr>
          <w:rFonts w:ascii="Arial" w:eastAsia="Arial" w:hAnsi="Arial" w:cs="Arial"/>
          <w:sz w:val="20"/>
          <w:szCs w:val="20"/>
        </w:rPr>
        <w:t xml:space="preserve">: </w:t>
      </w:r>
      <w:r w:rsidR="000716FA">
        <w:rPr>
          <w:rFonts w:ascii="Arial" w:eastAsia="Arial" w:hAnsi="Arial" w:cs="Arial"/>
          <w:sz w:val="20"/>
          <w:szCs w:val="20"/>
        </w:rPr>
        <w:t>Células CD34</w:t>
      </w:r>
      <w:r w:rsidR="000716FA">
        <w:rPr>
          <w:rFonts w:ascii="Arial" w:eastAsia="Arial" w:hAnsi="Arial" w:cs="Arial"/>
          <w:sz w:val="20"/>
          <w:szCs w:val="20"/>
          <w:vertAlign w:val="superscript"/>
        </w:rPr>
        <w:t>+</w:t>
      </w:r>
      <w:r w:rsidR="000716FA">
        <w:rPr>
          <w:rFonts w:ascii="Arial" w:eastAsia="Arial" w:hAnsi="Arial" w:cs="Arial"/>
          <w:sz w:val="20"/>
          <w:szCs w:val="20"/>
        </w:rPr>
        <w:t xml:space="preserve"> autólogas transducidas que codifican el gen ARSA (</w:t>
      </w:r>
      <w:r>
        <w:rPr>
          <w:rFonts w:ascii="Arial" w:eastAsia="Arial" w:hAnsi="Arial" w:cs="Arial"/>
          <w:sz w:val="20"/>
          <w:szCs w:val="20"/>
        </w:rPr>
        <w:t>Libmeldy</w:t>
      </w:r>
      <w:r>
        <w:rPr>
          <w:rFonts w:ascii="Arial" w:eastAsia="Arial" w:hAnsi="Arial" w:cs="Arial"/>
          <w:sz w:val="20"/>
          <w:szCs w:val="20"/>
          <w:vertAlign w:val="superscript"/>
        </w:rPr>
        <w:t>®</w:t>
      </w:r>
      <w:r w:rsidR="000716FA" w:rsidRPr="000716FA">
        <w:rPr>
          <w:rFonts w:ascii="Arial" w:eastAsia="Arial" w:hAnsi="Arial" w:cs="Arial"/>
          <w:sz w:val="20"/>
          <w:szCs w:val="20"/>
        </w:rPr>
        <w:t>)</w:t>
      </w:r>
      <w:r w:rsidR="000716FA">
        <w:rPr>
          <w:rFonts w:ascii="Arial" w:eastAsia="Arial" w:hAnsi="Arial" w:cs="Arial"/>
          <w:sz w:val="20"/>
          <w:szCs w:val="20"/>
        </w:rPr>
        <w:t>.</w:t>
      </w:r>
    </w:p>
    <w:p w14:paraId="7FCAA17C"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Indicación clínica solicitada:</w:t>
      </w:r>
      <w:r>
        <w:rPr>
          <w:rFonts w:ascii="Arial" w:eastAsia="Arial" w:hAnsi="Arial" w:cs="Arial"/>
          <w:sz w:val="20"/>
          <w:szCs w:val="20"/>
        </w:rPr>
        <w:t xml:space="preserve"> Leucodistrofia metacromática (LDM)</w:t>
      </w:r>
    </w:p>
    <w:p w14:paraId="1BA212A0"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 xml:space="preserve">Autores / Revisores: </w:t>
      </w:r>
    </w:p>
    <w:p w14:paraId="33B15247" w14:textId="77777777" w:rsidR="009D55C9" w:rsidRDefault="005A57E0">
      <w:pPr>
        <w:ind w:left="0" w:hanging="2"/>
        <w:jc w:val="both"/>
        <w:rPr>
          <w:rFonts w:ascii="Arial" w:eastAsia="Arial" w:hAnsi="Arial" w:cs="Arial"/>
          <w:color w:val="C00000"/>
          <w:sz w:val="20"/>
          <w:szCs w:val="20"/>
        </w:rPr>
      </w:pPr>
      <w:r>
        <w:rPr>
          <w:rFonts w:ascii="Arial" w:eastAsia="Arial" w:hAnsi="Arial" w:cs="Arial"/>
          <w:b/>
          <w:sz w:val="20"/>
          <w:szCs w:val="20"/>
        </w:rPr>
        <w:t xml:space="preserve">Tipo de informe: </w:t>
      </w:r>
      <w:r>
        <w:rPr>
          <w:rFonts w:ascii="Arial" w:eastAsia="Arial" w:hAnsi="Arial" w:cs="Arial"/>
          <w:sz w:val="20"/>
          <w:szCs w:val="20"/>
        </w:rPr>
        <w:t>Borrador</w:t>
      </w:r>
    </w:p>
    <w:p w14:paraId="34AE3294"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 xml:space="preserve">Declaración de conflicto de Intereses de los autores: </w:t>
      </w:r>
      <w:r>
        <w:rPr>
          <w:rFonts w:ascii="Arial" w:eastAsia="Arial" w:hAnsi="Arial" w:cs="Arial"/>
          <w:sz w:val="20"/>
          <w:szCs w:val="20"/>
        </w:rPr>
        <w:t>Ver declaración en anexo al final del informe.</w:t>
      </w:r>
    </w:p>
    <w:p w14:paraId="19D727DE" w14:textId="77777777" w:rsidR="009D55C9" w:rsidRDefault="009D55C9">
      <w:pPr>
        <w:tabs>
          <w:tab w:val="left" w:pos="3343"/>
        </w:tabs>
        <w:ind w:left="0" w:hanging="2"/>
        <w:jc w:val="both"/>
        <w:rPr>
          <w:rFonts w:ascii="Arial" w:eastAsia="Arial" w:hAnsi="Arial" w:cs="Arial"/>
          <w:sz w:val="20"/>
          <w:szCs w:val="20"/>
        </w:rPr>
      </w:pPr>
    </w:p>
    <w:p w14:paraId="6E2129CA" w14:textId="77777777" w:rsidR="009D55C9" w:rsidRDefault="005A57E0">
      <w:pPr>
        <w:tabs>
          <w:tab w:val="left" w:pos="3343"/>
        </w:tabs>
        <w:ind w:left="0" w:hanging="2"/>
        <w:jc w:val="both"/>
        <w:rPr>
          <w:rFonts w:ascii="Arial" w:eastAsia="Arial" w:hAnsi="Arial" w:cs="Arial"/>
          <w:sz w:val="20"/>
          <w:szCs w:val="20"/>
        </w:rPr>
      </w:pPr>
      <w:r>
        <w:rPr>
          <w:rFonts w:ascii="Arial" w:eastAsia="Arial" w:hAnsi="Arial" w:cs="Arial"/>
          <w:sz w:val="20"/>
          <w:szCs w:val="20"/>
        </w:rPr>
        <w:t>Para la elaboración del informe se ha utilizado el Programa MADRE versión 4.0</w:t>
      </w:r>
      <w:r>
        <w:rPr>
          <w:rFonts w:ascii="Arial" w:eastAsia="Arial" w:hAnsi="Arial" w:cs="Arial"/>
          <w:sz w:val="20"/>
          <w:szCs w:val="20"/>
          <w:vertAlign w:val="superscript"/>
        </w:rPr>
        <w:footnoteReference w:id="1"/>
      </w:r>
      <w:r>
        <w:rPr>
          <w:rFonts w:ascii="Arial" w:eastAsia="Arial" w:hAnsi="Arial" w:cs="Arial"/>
          <w:sz w:val="20"/>
          <w:szCs w:val="20"/>
        </w:rPr>
        <w:t xml:space="preserve"> y Guía EE e IP</w:t>
      </w:r>
      <w:r>
        <w:rPr>
          <w:rFonts w:ascii="Arial" w:eastAsia="Arial" w:hAnsi="Arial" w:cs="Arial"/>
          <w:sz w:val="20"/>
          <w:szCs w:val="20"/>
          <w:vertAlign w:val="superscript"/>
        </w:rPr>
        <w:footnoteReference w:id="2"/>
      </w:r>
    </w:p>
    <w:p w14:paraId="094D28CA" w14:textId="77777777" w:rsidR="009D55C9" w:rsidRDefault="009D55C9">
      <w:pPr>
        <w:ind w:left="0" w:hanging="2"/>
        <w:jc w:val="both"/>
        <w:rPr>
          <w:rFonts w:ascii="Arial" w:eastAsia="Arial" w:hAnsi="Arial" w:cs="Arial"/>
          <w:color w:val="0000FF"/>
          <w:sz w:val="20"/>
          <w:szCs w:val="20"/>
        </w:rPr>
      </w:pPr>
      <w:bookmarkStart w:id="3" w:name="_heading=h.1fob9te" w:colFirst="0" w:colLast="0"/>
      <w:bookmarkEnd w:id="3"/>
    </w:p>
    <w:p w14:paraId="70229157" w14:textId="77777777" w:rsidR="000716FA" w:rsidRDefault="000716FA">
      <w:pPr>
        <w:ind w:left="0" w:hanging="2"/>
        <w:jc w:val="both"/>
        <w:rPr>
          <w:rFonts w:ascii="Arial" w:eastAsia="Arial" w:hAnsi="Arial" w:cs="Arial"/>
          <w:color w:val="0000FF"/>
          <w:sz w:val="20"/>
          <w:szCs w:val="20"/>
        </w:rPr>
      </w:pPr>
    </w:p>
    <w:tbl>
      <w:tblPr>
        <w:tblStyle w:val="affc"/>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0EB525B5"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792EAD24"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2.- SOLICITUD Y DATOS DEL PROCESO DE EVALUACIÓN</w:t>
            </w:r>
          </w:p>
        </w:tc>
      </w:tr>
    </w:tbl>
    <w:p w14:paraId="56744C52" w14:textId="77777777" w:rsidR="009D55C9" w:rsidRDefault="009D55C9">
      <w:pPr>
        <w:ind w:left="0" w:hanging="2"/>
        <w:jc w:val="both"/>
        <w:rPr>
          <w:rFonts w:ascii="Arial" w:eastAsia="Arial" w:hAnsi="Arial" w:cs="Arial"/>
          <w:sz w:val="20"/>
          <w:szCs w:val="20"/>
        </w:rPr>
      </w:pPr>
    </w:p>
    <w:p w14:paraId="46A0CF23"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 xml:space="preserve">Justificación de la solicitud: </w:t>
      </w:r>
      <w:r>
        <w:rPr>
          <w:rFonts w:ascii="Arial" w:eastAsia="Arial" w:hAnsi="Arial" w:cs="Arial"/>
          <w:sz w:val="20"/>
          <w:szCs w:val="20"/>
        </w:rPr>
        <w:t>Este informe técnico se realiza a demanda del grupo GENESIS, por tratarse de un fármaco novedoso, cuyo lugar en terapéutica precisa evaluación.</w:t>
      </w:r>
    </w:p>
    <w:p w14:paraId="22375A64" w14:textId="77777777" w:rsidR="009D55C9" w:rsidRDefault="009D55C9">
      <w:pPr>
        <w:ind w:left="0" w:hanging="2"/>
        <w:jc w:val="both"/>
        <w:rPr>
          <w:rFonts w:ascii="Arial" w:eastAsia="Arial" w:hAnsi="Arial" w:cs="Arial"/>
          <w:sz w:val="20"/>
          <w:szCs w:val="20"/>
        </w:rPr>
      </w:pPr>
      <w:bookmarkStart w:id="4" w:name="_heading=h.3znysh7" w:colFirst="0" w:colLast="0"/>
      <w:bookmarkEnd w:id="4"/>
    </w:p>
    <w:p w14:paraId="40937EA7" w14:textId="77777777" w:rsidR="000716FA" w:rsidRDefault="000716FA">
      <w:pPr>
        <w:ind w:left="0" w:hanging="2"/>
        <w:jc w:val="both"/>
        <w:rPr>
          <w:rFonts w:ascii="Arial" w:eastAsia="Arial" w:hAnsi="Arial" w:cs="Arial"/>
          <w:sz w:val="20"/>
          <w:szCs w:val="20"/>
        </w:rPr>
      </w:pPr>
    </w:p>
    <w:tbl>
      <w:tblPr>
        <w:tblStyle w:val="affd"/>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9D55C9" w14:paraId="2F58AD86" w14:textId="77777777">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756E9BB7"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3.- AREA DESCRIPTIVA DEL MEDICAMENTO Y DEL PROBLEMA DE SALUD</w:t>
            </w:r>
          </w:p>
        </w:tc>
      </w:tr>
    </w:tbl>
    <w:p w14:paraId="7805B2D6" w14:textId="77777777" w:rsidR="009D55C9" w:rsidRDefault="009D55C9">
      <w:pPr>
        <w:ind w:left="0" w:hanging="2"/>
        <w:rPr>
          <w:rFonts w:ascii="Arial" w:eastAsia="Arial" w:hAnsi="Arial" w:cs="Arial"/>
          <w:sz w:val="20"/>
          <w:szCs w:val="20"/>
        </w:rPr>
      </w:pPr>
      <w:bookmarkStart w:id="5" w:name="_heading=h.2et92p0" w:colFirst="0" w:colLast="0"/>
      <w:bookmarkEnd w:id="5"/>
    </w:p>
    <w:p w14:paraId="0DAAAEB0" w14:textId="77777777" w:rsidR="009D55C9" w:rsidRDefault="005A57E0">
      <w:pPr>
        <w:keepNext/>
        <w:pBdr>
          <w:top w:val="single" w:sz="4" w:space="1" w:color="000000"/>
          <w:left w:val="single" w:sz="4" w:space="4" w:color="000000"/>
          <w:bottom w:val="single" w:sz="4" w:space="1" w:color="000000"/>
          <w:right w:val="single" w:sz="4" w:space="2"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3.1 Área descriptiva del medicamento.</w:t>
      </w:r>
      <w:bookmarkStart w:id="6" w:name="_Ref66186475"/>
      <w:r w:rsidR="00B622A5">
        <w:rPr>
          <w:rStyle w:val="Refdenotaalfinal"/>
          <w:rFonts w:ascii="Arial" w:eastAsia="Arial" w:hAnsi="Arial" w:cs="Arial"/>
          <w:b/>
          <w:i/>
          <w:color w:val="000000"/>
          <w:sz w:val="20"/>
          <w:szCs w:val="20"/>
        </w:rPr>
        <w:endnoteReference w:id="1"/>
      </w:r>
      <w:bookmarkEnd w:id="6"/>
    </w:p>
    <w:p w14:paraId="67FC3BA0" w14:textId="77777777" w:rsidR="009D55C9" w:rsidRDefault="009D55C9">
      <w:pPr>
        <w:ind w:left="0" w:hanging="2"/>
        <w:rPr>
          <w:rFonts w:ascii="Arial" w:eastAsia="Arial" w:hAnsi="Arial" w:cs="Arial"/>
          <w:sz w:val="20"/>
          <w:szCs w:val="20"/>
        </w:rPr>
      </w:pPr>
    </w:p>
    <w:p w14:paraId="528850FA"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Nombre genérico</w:t>
      </w:r>
      <w:r>
        <w:rPr>
          <w:rFonts w:ascii="Arial" w:eastAsia="Arial" w:hAnsi="Arial" w:cs="Arial"/>
          <w:sz w:val="20"/>
          <w:szCs w:val="20"/>
        </w:rPr>
        <w:t>: Células CD34</w:t>
      </w:r>
      <w:r>
        <w:rPr>
          <w:rFonts w:ascii="Arial" w:eastAsia="Arial" w:hAnsi="Arial" w:cs="Arial"/>
          <w:sz w:val="20"/>
          <w:szCs w:val="20"/>
          <w:vertAlign w:val="superscript"/>
        </w:rPr>
        <w:t>+</w:t>
      </w:r>
      <w:r>
        <w:rPr>
          <w:rFonts w:ascii="Arial" w:eastAsia="Arial" w:hAnsi="Arial" w:cs="Arial"/>
          <w:sz w:val="20"/>
          <w:szCs w:val="20"/>
        </w:rPr>
        <w:t xml:space="preserve"> autólogas transducidas que codifican el gen ARSA.</w:t>
      </w:r>
    </w:p>
    <w:p w14:paraId="52975738" w14:textId="77777777" w:rsidR="009D55C9" w:rsidRPr="000A457F" w:rsidRDefault="005A57E0">
      <w:pPr>
        <w:ind w:left="0" w:hanging="2"/>
        <w:rPr>
          <w:rFonts w:ascii="Arial" w:eastAsia="Arial" w:hAnsi="Arial" w:cs="Arial"/>
          <w:sz w:val="20"/>
          <w:szCs w:val="20"/>
          <w:lang w:val="en-US"/>
        </w:rPr>
      </w:pPr>
      <w:r w:rsidRPr="000A457F">
        <w:rPr>
          <w:rFonts w:ascii="Arial" w:eastAsia="Arial" w:hAnsi="Arial" w:cs="Arial"/>
          <w:b/>
          <w:sz w:val="20"/>
          <w:szCs w:val="20"/>
          <w:lang w:val="en-US"/>
        </w:rPr>
        <w:t>Nombre comercial</w:t>
      </w:r>
      <w:r w:rsidRPr="000A457F">
        <w:rPr>
          <w:rFonts w:ascii="Arial" w:eastAsia="Arial" w:hAnsi="Arial" w:cs="Arial"/>
          <w:sz w:val="20"/>
          <w:szCs w:val="20"/>
          <w:lang w:val="en-US"/>
        </w:rPr>
        <w:t>: Libmeldy</w:t>
      </w:r>
      <w:r w:rsidRPr="000A457F">
        <w:rPr>
          <w:rFonts w:ascii="Arial" w:eastAsia="Arial" w:hAnsi="Arial" w:cs="Arial"/>
          <w:sz w:val="20"/>
          <w:szCs w:val="20"/>
          <w:vertAlign w:val="superscript"/>
          <w:lang w:val="en-US"/>
        </w:rPr>
        <w:t>®</w:t>
      </w:r>
    </w:p>
    <w:p w14:paraId="12F9D55D" w14:textId="77777777" w:rsidR="009D55C9" w:rsidRPr="000A457F" w:rsidRDefault="005A57E0">
      <w:pPr>
        <w:ind w:left="0" w:hanging="2"/>
        <w:rPr>
          <w:rFonts w:ascii="Arial" w:eastAsia="Arial" w:hAnsi="Arial" w:cs="Arial"/>
          <w:sz w:val="20"/>
          <w:szCs w:val="20"/>
          <w:lang w:val="en-US"/>
        </w:rPr>
      </w:pPr>
      <w:r w:rsidRPr="000A457F">
        <w:rPr>
          <w:rFonts w:ascii="Arial" w:eastAsia="Arial" w:hAnsi="Arial" w:cs="Arial"/>
          <w:b/>
          <w:sz w:val="20"/>
          <w:szCs w:val="20"/>
          <w:lang w:val="en-US"/>
        </w:rPr>
        <w:t>Laboratorio</w:t>
      </w:r>
      <w:r w:rsidRPr="000A457F">
        <w:rPr>
          <w:rFonts w:ascii="Arial" w:eastAsia="Arial" w:hAnsi="Arial" w:cs="Arial"/>
          <w:sz w:val="20"/>
          <w:szCs w:val="20"/>
          <w:lang w:val="en-US"/>
        </w:rPr>
        <w:t>: Orchard Therapeutics (Netherlands) BV.</w:t>
      </w:r>
    </w:p>
    <w:p w14:paraId="157B1858" w14:textId="77777777" w:rsidR="009D55C9" w:rsidRDefault="005A57E0">
      <w:pPr>
        <w:ind w:left="0" w:hanging="2"/>
        <w:rPr>
          <w:rFonts w:ascii="Arial" w:eastAsia="Arial" w:hAnsi="Arial" w:cs="Arial"/>
          <w:sz w:val="20"/>
          <w:szCs w:val="20"/>
        </w:rPr>
      </w:pPr>
      <w:r>
        <w:rPr>
          <w:rFonts w:ascii="Arial" w:eastAsia="Arial" w:hAnsi="Arial" w:cs="Arial"/>
          <w:b/>
          <w:sz w:val="20"/>
          <w:szCs w:val="20"/>
        </w:rPr>
        <w:t>Grupo terapéutico</w:t>
      </w:r>
      <w:r>
        <w:rPr>
          <w:rFonts w:ascii="Arial" w:eastAsia="Arial" w:hAnsi="Arial" w:cs="Arial"/>
          <w:sz w:val="20"/>
          <w:szCs w:val="20"/>
        </w:rPr>
        <w:t xml:space="preserve">: Otros agentes hematológicos.                             </w:t>
      </w:r>
      <w:r>
        <w:rPr>
          <w:rFonts w:ascii="Arial" w:eastAsia="Arial" w:hAnsi="Arial" w:cs="Arial"/>
          <w:b/>
          <w:sz w:val="20"/>
          <w:szCs w:val="20"/>
        </w:rPr>
        <w:t xml:space="preserve">Código ATC: </w:t>
      </w:r>
      <w:r w:rsidRPr="000716FA">
        <w:rPr>
          <w:rFonts w:ascii="Arial" w:eastAsia="Arial" w:hAnsi="Arial" w:cs="Arial"/>
          <w:sz w:val="20"/>
          <w:szCs w:val="20"/>
        </w:rPr>
        <w:t>N07</w:t>
      </w:r>
    </w:p>
    <w:p w14:paraId="2E61AD5B" w14:textId="77777777" w:rsidR="009D55C9" w:rsidRDefault="005A57E0">
      <w:pPr>
        <w:ind w:left="0" w:hanging="2"/>
        <w:rPr>
          <w:rFonts w:ascii="Arial" w:eastAsia="Arial" w:hAnsi="Arial" w:cs="Arial"/>
          <w:sz w:val="20"/>
          <w:szCs w:val="20"/>
        </w:rPr>
      </w:pPr>
      <w:r>
        <w:rPr>
          <w:rFonts w:ascii="Arial" w:eastAsia="Arial" w:hAnsi="Arial" w:cs="Arial"/>
          <w:b/>
          <w:sz w:val="20"/>
          <w:szCs w:val="20"/>
        </w:rPr>
        <w:t>Vía de administración</w:t>
      </w:r>
      <w:r>
        <w:rPr>
          <w:rFonts w:ascii="Arial" w:eastAsia="Arial" w:hAnsi="Arial" w:cs="Arial"/>
          <w:sz w:val="20"/>
          <w:szCs w:val="20"/>
        </w:rPr>
        <w:t>: Intravenosa.</w:t>
      </w:r>
    </w:p>
    <w:p w14:paraId="7444372D" w14:textId="77777777" w:rsidR="009D55C9" w:rsidRDefault="005A57E0">
      <w:pPr>
        <w:ind w:left="0" w:hanging="2"/>
        <w:jc w:val="both"/>
        <w:rPr>
          <w:rFonts w:ascii="Arial" w:eastAsia="Arial" w:hAnsi="Arial" w:cs="Arial"/>
          <w:sz w:val="20"/>
          <w:szCs w:val="20"/>
        </w:rPr>
      </w:pPr>
      <w:r>
        <w:rPr>
          <w:rFonts w:ascii="Arial" w:eastAsia="Arial" w:hAnsi="Arial" w:cs="Arial"/>
          <w:b/>
          <w:sz w:val="20"/>
          <w:szCs w:val="20"/>
        </w:rPr>
        <w:t>Tipo de dispensación</w:t>
      </w:r>
      <w:r>
        <w:rPr>
          <w:rFonts w:ascii="Arial" w:eastAsia="Arial" w:hAnsi="Arial" w:cs="Arial"/>
          <w:sz w:val="20"/>
          <w:szCs w:val="20"/>
        </w:rPr>
        <w:t>: Uso hospitalario (H). Medicamento huérfano.</w:t>
      </w:r>
      <w:r>
        <w:rPr>
          <w:rFonts w:ascii="Arial" w:eastAsia="Arial" w:hAnsi="Arial" w:cs="Arial"/>
          <w:sz w:val="20"/>
          <w:szCs w:val="20"/>
        </w:rPr>
        <w:tab/>
      </w:r>
    </w:p>
    <w:p w14:paraId="78059F3F" w14:textId="77777777" w:rsidR="009D55C9" w:rsidRDefault="005A57E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b/>
          <w:color w:val="000000"/>
          <w:sz w:val="20"/>
          <w:szCs w:val="20"/>
        </w:rPr>
        <w:t xml:space="preserve">Información de registro: </w:t>
      </w:r>
      <w:r>
        <w:rPr>
          <w:rFonts w:ascii="Arial" w:eastAsia="Arial" w:hAnsi="Arial" w:cs="Arial"/>
          <w:color w:val="000000"/>
          <w:sz w:val="20"/>
          <w:szCs w:val="20"/>
        </w:rPr>
        <w:t>Procedimiento centralizado.</w:t>
      </w:r>
    </w:p>
    <w:p w14:paraId="0ABB354B" w14:textId="77777777" w:rsidR="007A3560" w:rsidRDefault="007A356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p>
    <w:tbl>
      <w:tblPr>
        <w:tblStyle w:val="affe"/>
        <w:tblW w:w="89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1276"/>
        <w:gridCol w:w="992"/>
        <w:gridCol w:w="1972"/>
        <w:gridCol w:w="1997"/>
      </w:tblGrid>
      <w:tr w:rsidR="009D55C9" w14:paraId="2CD7EC0E" w14:textId="77777777" w:rsidTr="00786169">
        <w:tc>
          <w:tcPr>
            <w:tcW w:w="8931" w:type="dxa"/>
            <w:gridSpan w:val="5"/>
            <w:shd w:val="clear" w:color="auto" w:fill="CCFFCC"/>
          </w:tcPr>
          <w:p w14:paraId="4AF82608" w14:textId="77777777" w:rsidR="009D55C9" w:rsidRDefault="005A57E0">
            <w:pPr>
              <w:ind w:left="0" w:hanging="2"/>
              <w:jc w:val="both"/>
              <w:rPr>
                <w:rFonts w:ascii="Arial" w:eastAsia="Arial" w:hAnsi="Arial" w:cs="Arial"/>
                <w:sz w:val="16"/>
                <w:szCs w:val="16"/>
              </w:rPr>
            </w:pPr>
            <w:r>
              <w:rPr>
                <w:rFonts w:ascii="Arial" w:eastAsia="Arial" w:hAnsi="Arial" w:cs="Arial"/>
                <w:b/>
                <w:sz w:val="18"/>
                <w:szCs w:val="18"/>
              </w:rPr>
              <w:t xml:space="preserve">Presentaciones y precio </w:t>
            </w:r>
            <w:r>
              <w:rPr>
                <w:rFonts w:ascii="Arial" w:eastAsia="Arial" w:hAnsi="Arial" w:cs="Arial"/>
                <w:sz w:val="18"/>
                <w:szCs w:val="18"/>
              </w:rPr>
              <w:t xml:space="preserve"> </w:t>
            </w:r>
          </w:p>
        </w:tc>
      </w:tr>
      <w:tr w:rsidR="009D55C9" w14:paraId="5796F894" w14:textId="77777777" w:rsidTr="00786169">
        <w:tc>
          <w:tcPr>
            <w:tcW w:w="2694" w:type="dxa"/>
          </w:tcPr>
          <w:p w14:paraId="7287A52E"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Forma farmacéutica y dosis</w:t>
            </w:r>
          </w:p>
        </w:tc>
        <w:tc>
          <w:tcPr>
            <w:tcW w:w="1276" w:type="dxa"/>
          </w:tcPr>
          <w:p w14:paraId="58D8DC95"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Nº de unidades por envase</w:t>
            </w:r>
          </w:p>
        </w:tc>
        <w:tc>
          <w:tcPr>
            <w:tcW w:w="992" w:type="dxa"/>
          </w:tcPr>
          <w:p w14:paraId="1293182C" w14:textId="77777777" w:rsidR="009D55C9" w:rsidRDefault="005A57E0" w:rsidP="00E630CD">
            <w:pPr>
              <w:ind w:left="0" w:hanging="2"/>
              <w:rPr>
                <w:rFonts w:ascii="Arial" w:eastAsia="Arial" w:hAnsi="Arial" w:cs="Arial"/>
                <w:sz w:val="16"/>
                <w:szCs w:val="16"/>
              </w:rPr>
            </w:pPr>
            <w:r>
              <w:rPr>
                <w:rFonts w:ascii="Arial" w:eastAsia="Arial" w:hAnsi="Arial" w:cs="Arial"/>
                <w:sz w:val="16"/>
                <w:szCs w:val="16"/>
              </w:rPr>
              <w:t>Código</w:t>
            </w:r>
          </w:p>
        </w:tc>
        <w:tc>
          <w:tcPr>
            <w:tcW w:w="1972" w:type="dxa"/>
          </w:tcPr>
          <w:p w14:paraId="301313DF" w14:textId="77777777" w:rsidR="009D55C9" w:rsidRDefault="00641E88" w:rsidP="00E630CD">
            <w:pPr>
              <w:ind w:left="0" w:hanging="2"/>
              <w:rPr>
                <w:rFonts w:ascii="Arial" w:eastAsia="Arial" w:hAnsi="Arial" w:cs="Arial"/>
                <w:sz w:val="16"/>
                <w:szCs w:val="16"/>
              </w:rPr>
            </w:pPr>
            <w:r>
              <w:rPr>
                <w:rFonts w:ascii="Arial" w:eastAsia="Arial" w:hAnsi="Arial" w:cs="Arial"/>
                <w:sz w:val="16"/>
                <w:szCs w:val="16"/>
              </w:rPr>
              <w:t>Coste por unidad PVP + IVA</w:t>
            </w:r>
          </w:p>
        </w:tc>
        <w:tc>
          <w:tcPr>
            <w:tcW w:w="1997" w:type="dxa"/>
          </w:tcPr>
          <w:p w14:paraId="66EE1B37" w14:textId="77777777" w:rsidR="009D55C9" w:rsidRDefault="00641E88" w:rsidP="00E630CD">
            <w:pPr>
              <w:ind w:left="0" w:hanging="2"/>
              <w:rPr>
                <w:rFonts w:ascii="Arial" w:eastAsia="Arial" w:hAnsi="Arial" w:cs="Arial"/>
                <w:sz w:val="16"/>
                <w:szCs w:val="16"/>
              </w:rPr>
            </w:pPr>
            <w:r>
              <w:rPr>
                <w:rFonts w:ascii="Arial" w:eastAsia="Arial" w:hAnsi="Arial" w:cs="Arial"/>
                <w:sz w:val="16"/>
                <w:szCs w:val="16"/>
              </w:rPr>
              <w:t xml:space="preserve">Coste por unidad PVL + IVA </w:t>
            </w:r>
          </w:p>
        </w:tc>
      </w:tr>
      <w:tr w:rsidR="00641E88" w14:paraId="265B519D" w14:textId="77777777" w:rsidTr="00786169">
        <w:tc>
          <w:tcPr>
            <w:tcW w:w="2694" w:type="dxa"/>
          </w:tcPr>
          <w:p w14:paraId="55CB194F" w14:textId="77777777" w:rsidR="00641E88" w:rsidRDefault="00641E88">
            <w:pPr>
              <w:ind w:left="0" w:hanging="2"/>
              <w:jc w:val="both"/>
              <w:rPr>
                <w:rFonts w:ascii="Arial" w:eastAsia="Arial" w:hAnsi="Arial" w:cs="Arial"/>
                <w:sz w:val="16"/>
                <w:szCs w:val="16"/>
              </w:rPr>
            </w:pPr>
            <w:r>
              <w:rPr>
                <w:rFonts w:ascii="Arial" w:eastAsia="Arial" w:hAnsi="Arial" w:cs="Arial"/>
                <w:sz w:val="16"/>
                <w:szCs w:val="16"/>
              </w:rPr>
              <w:t>Dispersión para perfusión</w:t>
            </w:r>
          </w:p>
          <w:p w14:paraId="6B96D9D7" w14:textId="77777777" w:rsidR="00641E88" w:rsidRDefault="00641E88">
            <w:pPr>
              <w:ind w:left="0" w:hanging="2"/>
              <w:rPr>
                <w:rFonts w:ascii="Arial" w:eastAsia="Arial" w:hAnsi="Arial" w:cs="Arial"/>
                <w:sz w:val="16"/>
                <w:szCs w:val="16"/>
              </w:rPr>
            </w:pPr>
            <w:r>
              <w:rPr>
                <w:rFonts w:ascii="Arial" w:eastAsia="Arial" w:hAnsi="Arial" w:cs="Arial"/>
                <w:sz w:val="16"/>
                <w:szCs w:val="16"/>
              </w:rPr>
              <w:t>2-10 x 10</w:t>
            </w:r>
            <w:r w:rsidRPr="00641E88">
              <w:rPr>
                <w:rFonts w:ascii="Arial" w:eastAsia="Arial" w:hAnsi="Arial" w:cs="Arial"/>
                <w:sz w:val="16"/>
                <w:szCs w:val="16"/>
                <w:vertAlign w:val="superscript"/>
              </w:rPr>
              <w:t>6</w:t>
            </w:r>
            <w:r>
              <w:rPr>
                <w:rFonts w:ascii="Arial" w:eastAsia="Arial" w:hAnsi="Arial" w:cs="Arial"/>
                <w:sz w:val="16"/>
                <w:szCs w:val="16"/>
              </w:rPr>
              <w:t xml:space="preserve"> células/mL suspendidas en una solución criopreservadora</w:t>
            </w:r>
          </w:p>
        </w:tc>
        <w:tc>
          <w:tcPr>
            <w:tcW w:w="1276" w:type="dxa"/>
            <w:vAlign w:val="center"/>
          </w:tcPr>
          <w:p w14:paraId="15300DC3" w14:textId="77777777" w:rsidR="00641E88" w:rsidRDefault="00641E88" w:rsidP="00C65D33">
            <w:pPr>
              <w:ind w:left="0" w:hanging="2"/>
              <w:rPr>
                <w:rFonts w:ascii="Arial" w:eastAsia="Arial" w:hAnsi="Arial" w:cs="Arial"/>
                <w:sz w:val="16"/>
                <w:szCs w:val="16"/>
              </w:rPr>
            </w:pPr>
            <w:r>
              <w:rPr>
                <w:rFonts w:ascii="Arial" w:eastAsia="Arial" w:hAnsi="Arial" w:cs="Arial"/>
                <w:sz w:val="16"/>
                <w:szCs w:val="16"/>
              </w:rPr>
              <w:t>1</w:t>
            </w:r>
          </w:p>
        </w:tc>
        <w:tc>
          <w:tcPr>
            <w:tcW w:w="992" w:type="dxa"/>
            <w:vAlign w:val="center"/>
          </w:tcPr>
          <w:p w14:paraId="6F8CA0AB" w14:textId="77777777" w:rsidR="00641E88" w:rsidRDefault="00641E88" w:rsidP="00E630CD">
            <w:pPr>
              <w:ind w:left="0" w:hanging="2"/>
              <w:rPr>
                <w:rFonts w:ascii="Arial" w:eastAsia="Arial" w:hAnsi="Arial" w:cs="Arial"/>
                <w:sz w:val="16"/>
                <w:szCs w:val="16"/>
              </w:rPr>
            </w:pPr>
            <w:r>
              <w:rPr>
                <w:rFonts w:ascii="Arial" w:eastAsia="Arial" w:hAnsi="Arial" w:cs="Arial"/>
                <w:sz w:val="16"/>
                <w:szCs w:val="16"/>
              </w:rPr>
              <w:t>No disponible</w:t>
            </w:r>
          </w:p>
        </w:tc>
        <w:tc>
          <w:tcPr>
            <w:tcW w:w="1972" w:type="dxa"/>
            <w:vAlign w:val="center"/>
          </w:tcPr>
          <w:p w14:paraId="00FCAE1F" w14:textId="77777777" w:rsidR="00641E88" w:rsidRDefault="00641E88" w:rsidP="00E630CD">
            <w:pPr>
              <w:ind w:left="0" w:hanging="2"/>
            </w:pPr>
            <w:r w:rsidRPr="00CC33D8">
              <w:rPr>
                <w:rFonts w:ascii="Arial" w:eastAsia="Arial" w:hAnsi="Arial" w:cs="Arial"/>
                <w:sz w:val="16"/>
                <w:szCs w:val="16"/>
              </w:rPr>
              <w:t>No disponible</w:t>
            </w:r>
          </w:p>
        </w:tc>
        <w:tc>
          <w:tcPr>
            <w:tcW w:w="1997" w:type="dxa"/>
            <w:vAlign w:val="center"/>
          </w:tcPr>
          <w:p w14:paraId="78B0813F" w14:textId="77777777" w:rsidR="00641E88" w:rsidRDefault="00641E88" w:rsidP="00E630CD">
            <w:pPr>
              <w:ind w:left="0" w:hanging="2"/>
            </w:pPr>
            <w:r w:rsidRPr="00CC33D8">
              <w:rPr>
                <w:rFonts w:ascii="Arial" w:eastAsia="Arial" w:hAnsi="Arial" w:cs="Arial"/>
                <w:sz w:val="16"/>
                <w:szCs w:val="16"/>
              </w:rPr>
              <w:t>No disponible</w:t>
            </w:r>
          </w:p>
        </w:tc>
      </w:tr>
    </w:tbl>
    <w:p w14:paraId="1856BF7E" w14:textId="77777777" w:rsidR="009D55C9" w:rsidRPr="00786169" w:rsidRDefault="009D55C9">
      <w:pPr>
        <w:ind w:left="0" w:hanging="2"/>
        <w:rPr>
          <w:rFonts w:ascii="Arial" w:eastAsia="Arial" w:hAnsi="Arial" w:cs="Arial"/>
          <w:color w:val="0000FF"/>
          <w:sz w:val="16"/>
          <w:szCs w:val="20"/>
          <w:u w:val="single"/>
        </w:rPr>
      </w:pPr>
    </w:p>
    <w:p w14:paraId="52FCF4E0" w14:textId="77777777" w:rsidR="009D55C9" w:rsidRPr="00786169" w:rsidRDefault="009D55C9">
      <w:pPr>
        <w:ind w:left="0" w:hanging="2"/>
        <w:jc w:val="right"/>
        <w:rPr>
          <w:rFonts w:ascii="Arial" w:eastAsia="Arial" w:hAnsi="Arial" w:cs="Arial"/>
          <w:color w:val="0000FF"/>
          <w:sz w:val="16"/>
          <w:szCs w:val="20"/>
          <w:u w:val="single"/>
        </w:rPr>
      </w:pPr>
      <w:bookmarkStart w:id="7" w:name="_heading=h.tyjcwt" w:colFirst="0" w:colLast="0"/>
      <w:bookmarkEnd w:id="7"/>
    </w:p>
    <w:p w14:paraId="4D4B26BE"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3.2 Área descriptiva del problema de salud.</w:t>
      </w:r>
    </w:p>
    <w:p w14:paraId="571A1A0B" w14:textId="77777777" w:rsidR="009D55C9" w:rsidRPr="00786169" w:rsidRDefault="009D55C9">
      <w:pPr>
        <w:ind w:left="0" w:hanging="2"/>
        <w:jc w:val="both"/>
        <w:rPr>
          <w:rFonts w:ascii="Arial" w:eastAsia="Arial" w:hAnsi="Arial" w:cs="Arial"/>
          <w:color w:val="000080"/>
          <w:sz w:val="18"/>
          <w:szCs w:val="20"/>
        </w:rPr>
      </w:pPr>
      <w:bookmarkStart w:id="8" w:name="_heading=h.3dy6vkm" w:colFirst="0" w:colLast="0"/>
      <w:bookmarkEnd w:id="8"/>
    </w:p>
    <w:p w14:paraId="1F65FBBA" w14:textId="77777777" w:rsidR="009D55C9" w:rsidRDefault="005A57E0" w:rsidP="00FA7248">
      <w:pPr>
        <w:keepNext/>
        <w:pBdr>
          <w:top w:val="single" w:sz="4" w:space="2"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3.2.a Descripción estructurada del problema de salud.</w:t>
      </w:r>
    </w:p>
    <w:p w14:paraId="2676DF58" w14:textId="77777777" w:rsidR="009D55C9" w:rsidRPr="00786169" w:rsidRDefault="009D55C9">
      <w:pPr>
        <w:ind w:left="0" w:hanging="2"/>
        <w:jc w:val="both"/>
        <w:rPr>
          <w:rFonts w:ascii="Arial" w:eastAsia="Arial" w:hAnsi="Arial" w:cs="Arial"/>
          <w:color w:val="FF0000"/>
          <w:sz w:val="18"/>
          <w:szCs w:val="20"/>
        </w:rPr>
      </w:pPr>
    </w:p>
    <w:tbl>
      <w:tblPr>
        <w:tblStyle w:val="afff"/>
        <w:tblW w:w="89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5954"/>
      </w:tblGrid>
      <w:tr w:rsidR="009D55C9" w:rsidRPr="00641E88" w14:paraId="26D57F8C" w14:textId="77777777">
        <w:tc>
          <w:tcPr>
            <w:tcW w:w="8931" w:type="dxa"/>
            <w:gridSpan w:val="2"/>
            <w:tcBorders>
              <w:top w:val="single" w:sz="4" w:space="0" w:color="000000"/>
              <w:left w:val="single" w:sz="4" w:space="0" w:color="000000"/>
              <w:right w:val="single" w:sz="4" w:space="0" w:color="000000"/>
            </w:tcBorders>
            <w:shd w:val="clear" w:color="auto" w:fill="CCFFCC"/>
          </w:tcPr>
          <w:p w14:paraId="39630577" w14:textId="77777777" w:rsidR="009D55C9" w:rsidRPr="00641E88" w:rsidRDefault="005A57E0">
            <w:pPr>
              <w:ind w:left="0" w:hanging="2"/>
              <w:rPr>
                <w:rFonts w:ascii="Arial" w:eastAsia="Arial" w:hAnsi="Arial" w:cs="Arial"/>
                <w:sz w:val="20"/>
                <w:szCs w:val="18"/>
              </w:rPr>
            </w:pPr>
            <w:r w:rsidRPr="00641E88">
              <w:rPr>
                <w:rFonts w:ascii="Arial" w:eastAsia="Arial" w:hAnsi="Arial" w:cs="Arial"/>
                <w:b/>
                <w:sz w:val="20"/>
                <w:szCs w:val="18"/>
              </w:rPr>
              <w:t>Descripción del problema de salud</w:t>
            </w:r>
          </w:p>
        </w:tc>
      </w:tr>
      <w:tr w:rsidR="009D55C9" w14:paraId="34269A89" w14:textId="77777777" w:rsidTr="00786169">
        <w:tc>
          <w:tcPr>
            <w:tcW w:w="2977" w:type="dxa"/>
            <w:shd w:val="clear" w:color="auto" w:fill="E6E6E6"/>
          </w:tcPr>
          <w:p w14:paraId="678AE51D" w14:textId="77777777" w:rsidR="009D55C9" w:rsidRPr="00641E88" w:rsidRDefault="005A57E0" w:rsidP="00B622A5">
            <w:pPr>
              <w:ind w:left="0" w:hanging="2"/>
              <w:rPr>
                <w:rFonts w:ascii="Arial" w:eastAsia="Arial" w:hAnsi="Arial" w:cs="Arial"/>
                <w:sz w:val="20"/>
                <w:szCs w:val="20"/>
              </w:rPr>
            </w:pPr>
            <w:r w:rsidRPr="00641E88">
              <w:rPr>
                <w:rFonts w:ascii="Arial" w:eastAsia="Arial" w:hAnsi="Arial" w:cs="Arial"/>
                <w:sz w:val="20"/>
                <w:szCs w:val="20"/>
              </w:rPr>
              <w:t>Definición</w:t>
            </w:r>
            <w:r w:rsidR="00B622A5">
              <w:rPr>
                <w:rStyle w:val="Refdenotaalfinal"/>
                <w:rFonts w:ascii="Arial" w:eastAsia="Arial" w:hAnsi="Arial" w:cs="Arial"/>
                <w:sz w:val="20"/>
                <w:szCs w:val="20"/>
              </w:rPr>
              <w:endnoteReference w:id="2"/>
            </w:r>
          </w:p>
        </w:tc>
        <w:tc>
          <w:tcPr>
            <w:tcW w:w="5954" w:type="dxa"/>
          </w:tcPr>
          <w:p w14:paraId="56847FC5"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La LDM es una enfermedad autosómica recesiva, derivada de la deficiencia de la enzima lisosómica arilsulfatasa A (ARSA). Esta deficiencia produce un acúmulo intralisosomal de sulfátidos en diversos tejidos, lo que conlleva un deterioro progresivo de la función motora y neurocognitiva.</w:t>
            </w:r>
          </w:p>
        </w:tc>
      </w:tr>
      <w:tr w:rsidR="009D55C9" w14:paraId="7283E8EB" w14:textId="77777777" w:rsidTr="00786169">
        <w:tc>
          <w:tcPr>
            <w:tcW w:w="2977" w:type="dxa"/>
            <w:shd w:val="clear" w:color="auto" w:fill="E6E6E6"/>
          </w:tcPr>
          <w:p w14:paraId="480337CF" w14:textId="77777777" w:rsidR="009D55C9" w:rsidRPr="00641E88" w:rsidRDefault="005A57E0" w:rsidP="00B622A5">
            <w:pPr>
              <w:ind w:left="0" w:hanging="2"/>
              <w:rPr>
                <w:rFonts w:ascii="Arial" w:eastAsia="Arial" w:hAnsi="Arial" w:cs="Arial"/>
                <w:sz w:val="20"/>
                <w:szCs w:val="20"/>
              </w:rPr>
            </w:pPr>
            <w:r w:rsidRPr="00641E88">
              <w:rPr>
                <w:rFonts w:ascii="Arial" w:eastAsia="Arial" w:hAnsi="Arial" w:cs="Arial"/>
                <w:sz w:val="20"/>
                <w:szCs w:val="20"/>
              </w:rPr>
              <w:t>Principales manifestaciones clínicas</w:t>
            </w:r>
            <w:r w:rsidR="00B622A5">
              <w:rPr>
                <w:rStyle w:val="Refdenotaalfinal"/>
                <w:rFonts w:ascii="Arial" w:eastAsia="Arial" w:hAnsi="Arial" w:cs="Arial"/>
                <w:sz w:val="20"/>
                <w:szCs w:val="20"/>
              </w:rPr>
              <w:endnoteReference w:id="3"/>
            </w:r>
          </w:p>
        </w:tc>
        <w:tc>
          <w:tcPr>
            <w:tcW w:w="5954" w:type="dxa"/>
          </w:tcPr>
          <w:p w14:paraId="3E80E953"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Dependen de la edad de presentación de la enfermedad. La neuropatía periférica ocurre en todas las formas, particularmente en la infantil tardía. También es frecuente la afectación de la vesícula biliar, con manifestaciones que incluyen la aparición de pólipos hiperplásicos y un probable aumento de riesgo de carcinoma de vesícula biliar.</w:t>
            </w:r>
          </w:p>
        </w:tc>
      </w:tr>
      <w:tr w:rsidR="009D55C9" w14:paraId="7DAED601" w14:textId="77777777" w:rsidTr="00786169">
        <w:tc>
          <w:tcPr>
            <w:tcW w:w="2977" w:type="dxa"/>
            <w:shd w:val="clear" w:color="auto" w:fill="E6E6E6"/>
          </w:tcPr>
          <w:p w14:paraId="498B826C" w14:textId="77777777" w:rsidR="009D55C9" w:rsidRPr="00641E88" w:rsidRDefault="005A57E0">
            <w:pPr>
              <w:ind w:left="0" w:hanging="2"/>
              <w:rPr>
                <w:rFonts w:ascii="Arial" w:eastAsia="Arial" w:hAnsi="Arial" w:cs="Arial"/>
                <w:sz w:val="20"/>
                <w:szCs w:val="20"/>
              </w:rPr>
            </w:pPr>
            <w:r w:rsidRPr="00641E88">
              <w:rPr>
                <w:rFonts w:ascii="Arial" w:eastAsia="Arial" w:hAnsi="Arial" w:cs="Arial"/>
                <w:sz w:val="20"/>
                <w:szCs w:val="20"/>
              </w:rPr>
              <w:t>Incidencia y prevalencia</w:t>
            </w:r>
            <w:bookmarkStart w:id="9" w:name="_Ref66185096"/>
            <w:r w:rsidR="00B622A5">
              <w:rPr>
                <w:rStyle w:val="Refdenotaalfinal"/>
                <w:rFonts w:ascii="Arial" w:eastAsia="Arial" w:hAnsi="Arial" w:cs="Arial"/>
                <w:sz w:val="20"/>
                <w:szCs w:val="20"/>
              </w:rPr>
              <w:endnoteReference w:id="4"/>
            </w:r>
            <w:bookmarkEnd w:id="9"/>
          </w:p>
        </w:tc>
        <w:tc>
          <w:tcPr>
            <w:tcW w:w="5954" w:type="dxa"/>
          </w:tcPr>
          <w:p w14:paraId="0817373D"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 xml:space="preserve">Su incidencia varía entre 0,5 y 1/50.000 </w:t>
            </w:r>
            <w:r w:rsidR="005D2D7B">
              <w:rPr>
                <w:rFonts w:ascii="Arial" w:eastAsia="Arial" w:hAnsi="Arial" w:cs="Arial"/>
                <w:color w:val="000000"/>
                <w:sz w:val="20"/>
                <w:szCs w:val="20"/>
                <w:highlight w:val="white"/>
              </w:rPr>
              <w:t xml:space="preserve">recién nacidos vivos </w:t>
            </w:r>
            <w:r w:rsidRPr="00641E88">
              <w:rPr>
                <w:rFonts w:ascii="Arial" w:eastAsia="Arial" w:hAnsi="Arial" w:cs="Arial"/>
                <w:color w:val="000000"/>
                <w:sz w:val="20"/>
                <w:szCs w:val="20"/>
                <w:highlight w:val="white"/>
              </w:rPr>
              <w:t>(con un 60% de forma infantil tardía, 20-30% juvenil y un 10-20% adulta). La prevalencia estimada es de 1 caso de cada 625.000.</w:t>
            </w:r>
          </w:p>
        </w:tc>
      </w:tr>
      <w:tr w:rsidR="009D55C9" w14:paraId="33ECA9C8" w14:textId="77777777" w:rsidTr="00786169">
        <w:tc>
          <w:tcPr>
            <w:tcW w:w="2977" w:type="dxa"/>
            <w:shd w:val="clear" w:color="auto" w:fill="E6E6E6"/>
          </w:tcPr>
          <w:p w14:paraId="3754E311" w14:textId="77777777" w:rsidR="009D55C9" w:rsidRPr="00641E88" w:rsidRDefault="005A57E0">
            <w:pPr>
              <w:ind w:left="0" w:hanging="2"/>
              <w:rPr>
                <w:rFonts w:ascii="Arial" w:eastAsia="Arial" w:hAnsi="Arial" w:cs="Arial"/>
                <w:sz w:val="20"/>
                <w:szCs w:val="20"/>
              </w:rPr>
            </w:pPr>
            <w:r w:rsidRPr="00641E88">
              <w:rPr>
                <w:rFonts w:ascii="Arial" w:eastAsia="Arial" w:hAnsi="Arial" w:cs="Arial"/>
                <w:sz w:val="20"/>
                <w:szCs w:val="20"/>
              </w:rPr>
              <w:t>Evolución / Pronóstico</w:t>
            </w:r>
          </w:p>
        </w:tc>
        <w:tc>
          <w:tcPr>
            <w:tcW w:w="5954" w:type="dxa"/>
          </w:tcPr>
          <w:p w14:paraId="4E97E302"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sz w:val="20"/>
                <w:szCs w:val="20"/>
              </w:rPr>
              <w:t>La evolución es variable dependiendo de la forma de la enfermedad, aunque en todos los casos los pacientes fallecen precozmente.</w:t>
            </w:r>
          </w:p>
        </w:tc>
      </w:tr>
      <w:tr w:rsidR="009D55C9" w14:paraId="44855453" w14:textId="77777777" w:rsidTr="00786169">
        <w:tc>
          <w:tcPr>
            <w:tcW w:w="2977" w:type="dxa"/>
            <w:shd w:val="clear" w:color="auto" w:fill="E6E6E6"/>
          </w:tcPr>
          <w:p w14:paraId="193A2045" w14:textId="77777777" w:rsidR="009D55C9" w:rsidRPr="00641E88" w:rsidRDefault="005A57E0" w:rsidP="00FA7248">
            <w:pPr>
              <w:ind w:left="0" w:hanging="2"/>
              <w:rPr>
                <w:rFonts w:ascii="Arial" w:eastAsia="Arial" w:hAnsi="Arial" w:cs="Arial"/>
                <w:sz w:val="20"/>
                <w:szCs w:val="20"/>
              </w:rPr>
            </w:pPr>
            <w:r w:rsidRPr="00641E88">
              <w:rPr>
                <w:rFonts w:ascii="Arial" w:eastAsia="Arial" w:hAnsi="Arial" w:cs="Arial"/>
                <w:sz w:val="20"/>
                <w:szCs w:val="20"/>
              </w:rPr>
              <w:t>Grados de gravedad / Estadiaje</w:t>
            </w:r>
            <w:r w:rsidR="00FA7248" w:rsidRPr="00FA7248">
              <w:rPr>
                <w:rFonts w:ascii="Arial" w:eastAsia="Arial" w:hAnsi="Arial" w:cs="Arial"/>
                <w:sz w:val="20"/>
                <w:szCs w:val="20"/>
                <w:vertAlign w:val="superscript"/>
              </w:rPr>
              <w:fldChar w:fldCharType="begin"/>
            </w:r>
            <w:r w:rsidR="00FA7248" w:rsidRPr="00FA7248">
              <w:rPr>
                <w:rFonts w:ascii="Arial" w:eastAsia="Arial" w:hAnsi="Arial" w:cs="Arial"/>
                <w:sz w:val="20"/>
                <w:szCs w:val="20"/>
                <w:vertAlign w:val="superscript"/>
              </w:rPr>
              <w:instrText xml:space="preserve"> NOTEREF _Ref66185096 \h </w:instrText>
            </w:r>
            <w:r w:rsidR="00FA7248">
              <w:rPr>
                <w:rFonts w:ascii="Arial" w:eastAsia="Arial" w:hAnsi="Arial" w:cs="Arial"/>
                <w:sz w:val="20"/>
                <w:szCs w:val="20"/>
                <w:vertAlign w:val="superscript"/>
              </w:rPr>
              <w:instrText xml:space="preserve"> \* MERGEFORMAT </w:instrText>
            </w:r>
            <w:r w:rsidR="00FA7248" w:rsidRPr="00FA7248">
              <w:rPr>
                <w:rFonts w:ascii="Arial" w:eastAsia="Arial" w:hAnsi="Arial" w:cs="Arial"/>
                <w:sz w:val="20"/>
                <w:szCs w:val="20"/>
                <w:vertAlign w:val="superscript"/>
              </w:rPr>
            </w:r>
            <w:r w:rsidR="00FA7248" w:rsidRPr="00FA7248">
              <w:rPr>
                <w:rFonts w:ascii="Arial" w:eastAsia="Arial" w:hAnsi="Arial" w:cs="Arial"/>
                <w:sz w:val="20"/>
                <w:szCs w:val="20"/>
                <w:vertAlign w:val="superscript"/>
              </w:rPr>
              <w:fldChar w:fldCharType="separate"/>
            </w:r>
            <w:r w:rsidR="00942E63">
              <w:rPr>
                <w:rFonts w:ascii="Arial" w:eastAsia="Arial" w:hAnsi="Arial" w:cs="Arial"/>
                <w:sz w:val="20"/>
                <w:szCs w:val="20"/>
                <w:vertAlign w:val="superscript"/>
              </w:rPr>
              <w:t>4</w:t>
            </w:r>
            <w:r w:rsidR="00FA7248" w:rsidRPr="00FA7248">
              <w:rPr>
                <w:rFonts w:ascii="Arial" w:eastAsia="Arial" w:hAnsi="Arial" w:cs="Arial"/>
                <w:sz w:val="20"/>
                <w:szCs w:val="20"/>
                <w:vertAlign w:val="superscript"/>
              </w:rPr>
              <w:fldChar w:fldCharType="end"/>
            </w:r>
          </w:p>
        </w:tc>
        <w:tc>
          <w:tcPr>
            <w:tcW w:w="5954" w:type="dxa"/>
          </w:tcPr>
          <w:p w14:paraId="65F4BCE6" w14:textId="77777777" w:rsidR="009D55C9" w:rsidRPr="00641E88" w:rsidRDefault="005A57E0" w:rsidP="005D2D7B">
            <w:pPr>
              <w:spacing w:after="120"/>
              <w:ind w:left="0" w:hanging="2"/>
              <w:jc w:val="both"/>
              <w:rPr>
                <w:rFonts w:ascii="Arial" w:eastAsia="Arial" w:hAnsi="Arial" w:cs="Arial"/>
                <w:color w:val="000000"/>
                <w:sz w:val="20"/>
                <w:szCs w:val="20"/>
                <w:highlight w:val="white"/>
              </w:rPr>
            </w:pPr>
            <w:r w:rsidRPr="00641E88">
              <w:rPr>
                <w:rFonts w:ascii="Arial" w:eastAsia="Arial" w:hAnsi="Arial" w:cs="Arial"/>
                <w:color w:val="000000"/>
                <w:sz w:val="20"/>
                <w:szCs w:val="20"/>
                <w:highlight w:val="white"/>
              </w:rPr>
              <w:t xml:space="preserve">Existen tres formas de la enfermedad: infantil tardía, juvenil y adulta. </w:t>
            </w:r>
          </w:p>
          <w:p w14:paraId="78FFA87B" w14:textId="77777777" w:rsidR="009D55C9" w:rsidRPr="00641E88" w:rsidRDefault="005A57E0" w:rsidP="005D2D7B">
            <w:pPr>
              <w:spacing w:after="120"/>
              <w:ind w:left="0" w:hanging="2"/>
              <w:jc w:val="both"/>
              <w:rPr>
                <w:rFonts w:ascii="Arial" w:eastAsia="Arial" w:hAnsi="Arial" w:cs="Arial"/>
                <w:color w:val="000000"/>
                <w:sz w:val="20"/>
                <w:szCs w:val="20"/>
                <w:highlight w:val="white"/>
              </w:rPr>
            </w:pPr>
            <w:r w:rsidRPr="00641E88">
              <w:rPr>
                <w:rFonts w:ascii="Arial" w:eastAsia="Arial" w:hAnsi="Arial" w:cs="Arial"/>
                <w:color w:val="000000"/>
                <w:sz w:val="20"/>
                <w:szCs w:val="20"/>
                <w:highlight w:val="white"/>
              </w:rPr>
              <w:t xml:space="preserve">- La forma </w:t>
            </w:r>
            <w:r w:rsidRPr="00FA7248">
              <w:rPr>
                <w:rFonts w:ascii="Arial" w:eastAsia="Arial" w:hAnsi="Arial" w:cs="Arial"/>
                <w:b/>
                <w:color w:val="000000"/>
                <w:sz w:val="20"/>
                <w:szCs w:val="20"/>
                <w:highlight w:val="white"/>
                <w:u w:val="single"/>
              </w:rPr>
              <w:t>infantil tardía</w:t>
            </w:r>
            <w:r w:rsidRPr="00641E88">
              <w:rPr>
                <w:rFonts w:ascii="Arial" w:eastAsia="Arial" w:hAnsi="Arial" w:cs="Arial"/>
                <w:color w:val="000000"/>
                <w:sz w:val="20"/>
                <w:szCs w:val="20"/>
                <w:highlight w:val="white"/>
              </w:rPr>
              <w:t xml:space="preserve"> es la más frecuente y suele comenzar entre los </w:t>
            </w:r>
            <w:r w:rsidRPr="00FA7248">
              <w:rPr>
                <w:rFonts w:ascii="Arial" w:eastAsia="Arial" w:hAnsi="Arial" w:cs="Arial"/>
                <w:b/>
                <w:color w:val="000000"/>
                <w:sz w:val="20"/>
                <w:szCs w:val="20"/>
                <w:highlight w:val="white"/>
              </w:rPr>
              <w:t>6 meses y los 2 años</w:t>
            </w:r>
            <w:r w:rsidRPr="00641E88">
              <w:rPr>
                <w:rFonts w:ascii="Arial" w:eastAsia="Arial" w:hAnsi="Arial" w:cs="Arial"/>
                <w:color w:val="000000"/>
                <w:sz w:val="20"/>
                <w:szCs w:val="20"/>
                <w:highlight w:val="white"/>
              </w:rPr>
              <w:t xml:space="preserve"> de vida con hipotonía, dificultades para caminar, atrofia óptica y regresión motora que precede a un deterioro mental. El sistema nervioso periférico resulta sistemáticamente afectado (se produce una disminución de la velocidad de conducción nerviosa). Este trastorno progresa hasta un estado de descerebración al cabo de pocos años, con resultado de muerte dentro de los 5 años posteriores al inicio de los síntomas. </w:t>
            </w:r>
          </w:p>
          <w:p w14:paraId="02EF6A3A" w14:textId="77777777" w:rsidR="009D55C9" w:rsidRPr="00641E88" w:rsidRDefault="005A57E0" w:rsidP="005D2D7B">
            <w:pPr>
              <w:spacing w:after="120"/>
              <w:ind w:left="0" w:hanging="2"/>
              <w:jc w:val="both"/>
              <w:rPr>
                <w:rFonts w:ascii="Arial" w:eastAsia="Arial" w:hAnsi="Arial" w:cs="Arial"/>
                <w:color w:val="000000"/>
                <w:sz w:val="20"/>
                <w:szCs w:val="20"/>
                <w:highlight w:val="white"/>
              </w:rPr>
            </w:pPr>
            <w:r w:rsidRPr="00641E88">
              <w:rPr>
                <w:rFonts w:ascii="Arial" w:eastAsia="Arial" w:hAnsi="Arial" w:cs="Arial"/>
                <w:color w:val="000000"/>
                <w:sz w:val="20"/>
                <w:szCs w:val="20"/>
                <w:highlight w:val="white"/>
              </w:rPr>
              <w:t>- La forma</w:t>
            </w:r>
            <w:r w:rsidRPr="00FA7248">
              <w:rPr>
                <w:rFonts w:ascii="Arial" w:eastAsia="Arial" w:hAnsi="Arial" w:cs="Arial"/>
                <w:b/>
                <w:color w:val="000000"/>
                <w:sz w:val="20"/>
                <w:szCs w:val="20"/>
                <w:highlight w:val="white"/>
              </w:rPr>
              <w:t xml:space="preserve"> </w:t>
            </w:r>
            <w:r w:rsidRPr="00FA7248">
              <w:rPr>
                <w:rFonts w:ascii="Arial" w:eastAsia="Arial" w:hAnsi="Arial" w:cs="Arial"/>
                <w:b/>
                <w:color w:val="000000"/>
                <w:sz w:val="20"/>
                <w:szCs w:val="20"/>
                <w:highlight w:val="white"/>
                <w:u w:val="single"/>
              </w:rPr>
              <w:t>juvenil</w:t>
            </w:r>
            <w:r w:rsidRPr="00641E88">
              <w:rPr>
                <w:rFonts w:ascii="Arial" w:eastAsia="Arial" w:hAnsi="Arial" w:cs="Arial"/>
                <w:color w:val="000000"/>
                <w:sz w:val="20"/>
                <w:szCs w:val="20"/>
                <w:highlight w:val="white"/>
              </w:rPr>
              <w:t xml:space="preserve"> se inicia alrededor de los </w:t>
            </w:r>
            <w:r w:rsidRPr="00FA7248">
              <w:rPr>
                <w:rFonts w:ascii="Arial" w:eastAsia="Arial" w:hAnsi="Arial" w:cs="Arial"/>
                <w:b/>
                <w:color w:val="000000"/>
                <w:sz w:val="20"/>
                <w:szCs w:val="20"/>
                <w:highlight w:val="white"/>
              </w:rPr>
              <w:t xml:space="preserve">3 años </w:t>
            </w:r>
            <w:r w:rsidRPr="00641E88">
              <w:rPr>
                <w:rFonts w:ascii="Arial" w:eastAsia="Arial" w:hAnsi="Arial" w:cs="Arial"/>
                <w:color w:val="000000"/>
                <w:sz w:val="20"/>
                <w:szCs w:val="20"/>
                <w:highlight w:val="white"/>
              </w:rPr>
              <w:t xml:space="preserve">de edad, con detención del desarrollo intelectual, seguido por una regresión motora, ataques epilépticos y ataxia. La enfermedad no progresa con tanta rapidez como la infantil, sin embargo el resultado acaba siendo igualmente fatal, la mayoría de los pacientes mueren antes de alcanzar los 20 años de edad. </w:t>
            </w:r>
          </w:p>
          <w:p w14:paraId="35CAEA25"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color w:val="000000"/>
                <w:sz w:val="20"/>
                <w:szCs w:val="20"/>
                <w:highlight w:val="white"/>
              </w:rPr>
              <w:t xml:space="preserve">- En la forma </w:t>
            </w:r>
            <w:r w:rsidRPr="00FA7248">
              <w:rPr>
                <w:rFonts w:ascii="Arial" w:eastAsia="Arial" w:hAnsi="Arial" w:cs="Arial"/>
                <w:b/>
                <w:color w:val="000000"/>
                <w:sz w:val="20"/>
                <w:szCs w:val="20"/>
                <w:highlight w:val="white"/>
                <w:u w:val="single"/>
              </w:rPr>
              <w:t>adulta</w:t>
            </w:r>
            <w:r w:rsidRPr="00641E88">
              <w:rPr>
                <w:rFonts w:ascii="Arial" w:eastAsia="Arial" w:hAnsi="Arial" w:cs="Arial"/>
                <w:color w:val="000000"/>
                <w:sz w:val="20"/>
                <w:szCs w:val="20"/>
                <w:highlight w:val="white"/>
              </w:rPr>
              <w:t xml:space="preserve">, el inicio se da en torno a los </w:t>
            </w:r>
            <w:r w:rsidRPr="00FA7248">
              <w:rPr>
                <w:rFonts w:ascii="Arial" w:eastAsia="Arial" w:hAnsi="Arial" w:cs="Arial"/>
                <w:b/>
                <w:color w:val="000000"/>
                <w:sz w:val="20"/>
                <w:szCs w:val="20"/>
                <w:highlight w:val="white"/>
              </w:rPr>
              <w:t>16 años</w:t>
            </w:r>
            <w:r w:rsidRPr="00641E88">
              <w:rPr>
                <w:rFonts w:ascii="Arial" w:eastAsia="Arial" w:hAnsi="Arial" w:cs="Arial"/>
                <w:color w:val="000000"/>
                <w:sz w:val="20"/>
                <w:szCs w:val="20"/>
                <w:highlight w:val="white"/>
              </w:rPr>
              <w:t>, aunque a menudo no hay un diagnóstico hasta la edad adulta. Los signos clínicos incluyen tanto los trastornos motores como los psiquiátricos, aunque con una progresión lenta. La enfermedad puede manifestarse en forma de ataques epilépticos.</w:t>
            </w:r>
          </w:p>
        </w:tc>
      </w:tr>
      <w:tr w:rsidR="009D55C9" w14:paraId="61D63923" w14:textId="77777777" w:rsidTr="00786169">
        <w:tc>
          <w:tcPr>
            <w:tcW w:w="2977" w:type="dxa"/>
            <w:shd w:val="clear" w:color="auto" w:fill="E6E6E6"/>
          </w:tcPr>
          <w:p w14:paraId="4A00DE8D" w14:textId="77777777" w:rsidR="009D55C9" w:rsidRPr="00641E88" w:rsidRDefault="00FA7248">
            <w:pPr>
              <w:ind w:left="0" w:hanging="2"/>
              <w:rPr>
                <w:rFonts w:ascii="Arial" w:eastAsia="Arial" w:hAnsi="Arial" w:cs="Arial"/>
                <w:sz w:val="20"/>
                <w:szCs w:val="20"/>
              </w:rPr>
            </w:pPr>
            <w:r>
              <w:rPr>
                <w:rFonts w:ascii="Arial" w:eastAsia="Arial" w:hAnsi="Arial" w:cs="Arial"/>
                <w:sz w:val="20"/>
                <w:szCs w:val="20"/>
              </w:rPr>
              <w:t>Carga de la enfermedad</w:t>
            </w:r>
            <w:r>
              <w:rPr>
                <w:rStyle w:val="Refdenotaalfinal"/>
                <w:rFonts w:ascii="Arial" w:eastAsia="Arial" w:hAnsi="Arial" w:cs="Arial"/>
                <w:sz w:val="20"/>
                <w:szCs w:val="20"/>
              </w:rPr>
              <w:endnoteReference w:id="5"/>
            </w:r>
          </w:p>
        </w:tc>
        <w:tc>
          <w:tcPr>
            <w:tcW w:w="5954" w:type="dxa"/>
          </w:tcPr>
          <w:p w14:paraId="1E669E5E" w14:textId="77777777" w:rsidR="009D55C9" w:rsidRPr="00641E88" w:rsidRDefault="005A57E0" w:rsidP="00FA7248">
            <w:pPr>
              <w:spacing w:after="120"/>
              <w:ind w:left="0" w:hanging="2"/>
              <w:jc w:val="both"/>
              <w:rPr>
                <w:rFonts w:ascii="Arial" w:eastAsia="Arial" w:hAnsi="Arial" w:cs="Arial"/>
                <w:sz w:val="20"/>
                <w:szCs w:val="20"/>
              </w:rPr>
            </w:pPr>
            <w:r w:rsidRPr="00641E88">
              <w:rPr>
                <w:rFonts w:ascii="Arial" w:eastAsia="Arial" w:hAnsi="Arial" w:cs="Arial"/>
                <w:sz w:val="20"/>
                <w:szCs w:val="20"/>
              </w:rPr>
              <w:t>Se trata de una enfermedad con un gran impacto en la calidad de vida de los pacientes y una disminución en la esperanza de vida. En un estudio en el que se entrevistó a cuidadores se reportaron como síntomas más molestos la falta de movilidad y la dificultad respiratoria. En ese mismo estudio se señalan como frecuentes los ingresos hospitalarios (aproximadamente un 36% de los pacientes habían ingresado en más de once ocasiones desde el momento del diagnóstico). Por otra parte, los cuidadores también reportaron problemas laborales, emocionales y pérdida de relaciones sociales.</w:t>
            </w:r>
          </w:p>
        </w:tc>
      </w:tr>
    </w:tbl>
    <w:p w14:paraId="725AEE5F" w14:textId="77777777" w:rsidR="009D55C9" w:rsidRDefault="009D55C9">
      <w:pPr>
        <w:ind w:left="0" w:hanging="2"/>
        <w:jc w:val="both"/>
        <w:rPr>
          <w:rFonts w:ascii="Arial" w:eastAsia="Arial" w:hAnsi="Arial" w:cs="Arial"/>
          <w:color w:val="FF0000"/>
          <w:sz w:val="20"/>
          <w:szCs w:val="20"/>
        </w:rPr>
      </w:pPr>
    </w:p>
    <w:p w14:paraId="2577999D" w14:textId="77777777" w:rsidR="009D55C9" w:rsidRDefault="009D55C9">
      <w:pPr>
        <w:ind w:left="0" w:hanging="2"/>
        <w:jc w:val="both"/>
        <w:rPr>
          <w:rFonts w:ascii="Arial" w:eastAsia="Arial" w:hAnsi="Arial" w:cs="Arial"/>
          <w:color w:val="FF0000"/>
          <w:sz w:val="20"/>
          <w:szCs w:val="20"/>
        </w:rPr>
      </w:pPr>
      <w:bookmarkStart w:id="10" w:name="_heading=h.1t3h5sf" w:colFirst="0" w:colLast="0"/>
      <w:bookmarkEnd w:id="10"/>
    </w:p>
    <w:p w14:paraId="784CF379"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3.2.b Tratamiento actual de la enfermedad: evidencias.</w:t>
      </w:r>
      <w:r w:rsidR="0058336D">
        <w:rPr>
          <w:rStyle w:val="Refdenotaalfinal"/>
          <w:rFonts w:ascii="Arial" w:eastAsia="Arial" w:hAnsi="Arial" w:cs="Arial"/>
          <w:b/>
          <w:i/>
          <w:color w:val="000000"/>
          <w:sz w:val="20"/>
          <w:szCs w:val="20"/>
        </w:rPr>
        <w:endnoteReference w:id="6"/>
      </w:r>
    </w:p>
    <w:p w14:paraId="3B256830" w14:textId="77777777" w:rsidR="009D55C9" w:rsidRDefault="009D55C9">
      <w:pPr>
        <w:ind w:left="0" w:hanging="2"/>
        <w:rPr>
          <w:rFonts w:ascii="Arial" w:eastAsia="Arial" w:hAnsi="Arial" w:cs="Arial"/>
          <w:color w:val="FF0000"/>
          <w:sz w:val="20"/>
          <w:szCs w:val="20"/>
        </w:rPr>
      </w:pPr>
    </w:p>
    <w:p w14:paraId="251ABD6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la actualidad </w:t>
      </w:r>
      <w:r w:rsidRPr="00FA7248">
        <w:rPr>
          <w:rFonts w:ascii="Arial" w:eastAsia="Arial" w:hAnsi="Arial" w:cs="Arial"/>
          <w:b/>
          <w:sz w:val="20"/>
          <w:szCs w:val="20"/>
        </w:rPr>
        <w:t>no existe tratamiento</w:t>
      </w:r>
      <w:r>
        <w:rPr>
          <w:rFonts w:ascii="Arial" w:eastAsia="Arial" w:hAnsi="Arial" w:cs="Arial"/>
          <w:sz w:val="20"/>
          <w:szCs w:val="20"/>
        </w:rPr>
        <w:t xml:space="preserve"> curativo para la LDM.</w:t>
      </w:r>
      <w:r w:rsidR="00FA7248">
        <w:rPr>
          <w:rFonts w:ascii="Arial" w:eastAsia="Arial" w:hAnsi="Arial" w:cs="Arial"/>
          <w:sz w:val="20"/>
          <w:szCs w:val="20"/>
        </w:rPr>
        <w:t xml:space="preserve"> </w:t>
      </w:r>
      <w:r>
        <w:rPr>
          <w:rFonts w:ascii="Arial" w:eastAsia="Arial" w:hAnsi="Arial" w:cs="Arial"/>
          <w:sz w:val="20"/>
          <w:szCs w:val="20"/>
        </w:rPr>
        <w:t>Los que están disponibles sólo abordan los síntomas y ninguno de ellos ha demostrado revertir el fatal desenlace de la enfermedad.</w:t>
      </w:r>
    </w:p>
    <w:p w14:paraId="0DE0C23B" w14:textId="77777777" w:rsidR="00FA7248" w:rsidRDefault="00FA7248">
      <w:pPr>
        <w:ind w:left="0" w:hanging="2"/>
        <w:jc w:val="both"/>
        <w:rPr>
          <w:rFonts w:ascii="Arial" w:eastAsia="Arial" w:hAnsi="Arial" w:cs="Arial"/>
          <w:sz w:val="20"/>
          <w:szCs w:val="20"/>
        </w:rPr>
      </w:pPr>
    </w:p>
    <w:p w14:paraId="0288128D"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El </w:t>
      </w:r>
      <w:r w:rsidRPr="00FA7248">
        <w:rPr>
          <w:rFonts w:ascii="Arial" w:eastAsia="Arial" w:hAnsi="Arial" w:cs="Arial"/>
          <w:b/>
          <w:sz w:val="20"/>
          <w:szCs w:val="20"/>
        </w:rPr>
        <w:t>trasplante autólogo de progenitores hematopoyéticos</w:t>
      </w:r>
      <w:r>
        <w:rPr>
          <w:rFonts w:ascii="Arial" w:eastAsia="Arial" w:hAnsi="Arial" w:cs="Arial"/>
          <w:sz w:val="20"/>
          <w:szCs w:val="20"/>
        </w:rPr>
        <w:t xml:space="preserve"> (TPH) se ha utilizado con resultados hasta el momento inconsistentes, asociándose con un aumento del riesgo de complicaciones graves como rechazo del injerto, enfermedad de injerto contra huésped (EICH) o complicaciones derivadas de los regímenes de acondicionamiento. Dada la rápida progresión de las formas tempranas de LDM, el uso del TPH autólogo se ha limitado a pacientes con variantes de inicio tardío en los que, teniendo en cuenta los riesgos asociados al acondicionamiento y al trasplante, el balance beneficio riesgo está todavía por determinar.</w:t>
      </w:r>
    </w:p>
    <w:p w14:paraId="393C58C8" w14:textId="77777777" w:rsidR="00FA7248" w:rsidRDefault="00FA7248">
      <w:pPr>
        <w:ind w:left="0" w:hanging="2"/>
        <w:jc w:val="both"/>
        <w:rPr>
          <w:rFonts w:ascii="Arial" w:eastAsia="Arial" w:hAnsi="Arial" w:cs="Arial"/>
          <w:sz w:val="20"/>
          <w:szCs w:val="20"/>
        </w:rPr>
      </w:pPr>
    </w:p>
    <w:p w14:paraId="5B26B4EB" w14:textId="77777777" w:rsidR="009D55C9" w:rsidRDefault="005A57E0" w:rsidP="00BD2296">
      <w:pPr>
        <w:ind w:left="0" w:hanging="2"/>
        <w:jc w:val="both"/>
        <w:rPr>
          <w:rFonts w:ascii="Arial" w:eastAsia="Arial" w:hAnsi="Arial" w:cs="Arial"/>
          <w:sz w:val="20"/>
          <w:szCs w:val="20"/>
        </w:rPr>
      </w:pPr>
      <w:r>
        <w:rPr>
          <w:rFonts w:ascii="Arial" w:eastAsia="Arial" w:hAnsi="Arial" w:cs="Arial"/>
          <w:sz w:val="20"/>
          <w:szCs w:val="20"/>
        </w:rPr>
        <w:t xml:space="preserve">Actualmente se están investigando en </w:t>
      </w:r>
      <w:r w:rsidRPr="00D577D6">
        <w:rPr>
          <w:rFonts w:ascii="Arial" w:eastAsia="Arial" w:hAnsi="Arial" w:cs="Arial"/>
          <w:b/>
          <w:sz w:val="20"/>
          <w:szCs w:val="20"/>
        </w:rPr>
        <w:t>ensayos clínicos</w:t>
      </w:r>
      <w:r>
        <w:rPr>
          <w:rFonts w:ascii="Arial" w:eastAsia="Arial" w:hAnsi="Arial" w:cs="Arial"/>
          <w:sz w:val="20"/>
          <w:szCs w:val="20"/>
        </w:rPr>
        <w:t xml:space="preserve"> otros enfoques como la terapia de reemplazo enzimática por vía intratecal.</w:t>
      </w:r>
      <w:r w:rsidR="00FA7248">
        <w:rPr>
          <w:rFonts w:ascii="Arial" w:eastAsia="Arial" w:hAnsi="Arial" w:cs="Arial"/>
          <w:sz w:val="20"/>
          <w:szCs w:val="20"/>
        </w:rPr>
        <w:t xml:space="preserve"> </w:t>
      </w:r>
      <w:r>
        <w:rPr>
          <w:rFonts w:ascii="Arial" w:eastAsia="Arial" w:hAnsi="Arial" w:cs="Arial"/>
          <w:sz w:val="20"/>
          <w:szCs w:val="20"/>
        </w:rPr>
        <w:t>En China hay un ensayo clínico fase I/II en marcha (NCT03725670) que utiliza el vector lentiviral autoinactivo TYF-ARSA en pacientes con LDM.</w:t>
      </w:r>
      <w:r w:rsidR="00FA7248">
        <w:rPr>
          <w:rFonts w:ascii="Arial" w:eastAsia="Arial" w:hAnsi="Arial" w:cs="Arial"/>
          <w:sz w:val="20"/>
          <w:szCs w:val="20"/>
        </w:rPr>
        <w:t xml:space="preserve"> </w:t>
      </w:r>
      <w:r>
        <w:rPr>
          <w:rFonts w:ascii="Arial" w:eastAsia="Arial" w:hAnsi="Arial" w:cs="Arial"/>
          <w:sz w:val="20"/>
          <w:szCs w:val="20"/>
        </w:rPr>
        <w:t xml:space="preserve">También cabe destacar otro ensayo clínico en el que se evaluó la eficacia y la seguridad de la </w:t>
      </w:r>
      <w:r w:rsidR="00BD2296">
        <w:rPr>
          <w:rFonts w:ascii="Arial" w:eastAsia="Arial" w:hAnsi="Arial" w:cs="Arial"/>
          <w:sz w:val="20"/>
          <w:szCs w:val="20"/>
        </w:rPr>
        <w:t>Terapia G</w:t>
      </w:r>
      <w:r>
        <w:rPr>
          <w:rFonts w:ascii="Arial" w:eastAsia="Arial" w:hAnsi="Arial" w:cs="Arial"/>
          <w:sz w:val="20"/>
          <w:szCs w:val="20"/>
        </w:rPr>
        <w:t>énica</w:t>
      </w:r>
      <w:r w:rsidR="00BD2296">
        <w:rPr>
          <w:rFonts w:ascii="Arial" w:eastAsia="Arial" w:hAnsi="Arial" w:cs="Arial"/>
          <w:sz w:val="20"/>
          <w:szCs w:val="20"/>
        </w:rPr>
        <w:t xml:space="preserve"> (TG) </w:t>
      </w:r>
      <w:r>
        <w:rPr>
          <w:rFonts w:ascii="Arial" w:eastAsia="Arial" w:hAnsi="Arial" w:cs="Arial"/>
          <w:sz w:val="20"/>
          <w:szCs w:val="20"/>
        </w:rPr>
        <w:t xml:space="preserve">intracerebral </w:t>
      </w:r>
      <w:r w:rsidRPr="00FA7248">
        <w:rPr>
          <w:rFonts w:ascii="Arial" w:eastAsia="Arial" w:hAnsi="Arial" w:cs="Arial"/>
          <w:i/>
          <w:sz w:val="20"/>
          <w:szCs w:val="20"/>
        </w:rPr>
        <w:t>in vivo</w:t>
      </w:r>
      <w:r>
        <w:rPr>
          <w:rFonts w:ascii="Arial" w:eastAsia="Arial" w:hAnsi="Arial" w:cs="Arial"/>
          <w:sz w:val="20"/>
          <w:szCs w:val="20"/>
        </w:rPr>
        <w:t xml:space="preserve"> con vectores adenoasociados que</w:t>
      </w:r>
      <w:r w:rsidR="0058336D">
        <w:rPr>
          <w:rFonts w:ascii="Arial" w:eastAsia="Arial" w:hAnsi="Arial" w:cs="Arial"/>
          <w:sz w:val="20"/>
          <w:szCs w:val="20"/>
        </w:rPr>
        <w:t xml:space="preserve"> expresaban ARSA (NCT01801709).</w:t>
      </w:r>
    </w:p>
    <w:p w14:paraId="76F7780E" w14:textId="77777777" w:rsidR="009D55C9" w:rsidRDefault="009D55C9">
      <w:pPr>
        <w:ind w:left="0" w:hanging="2"/>
        <w:rPr>
          <w:rFonts w:ascii="Arial" w:eastAsia="Arial" w:hAnsi="Arial" w:cs="Arial"/>
          <w:color w:val="000080"/>
          <w:sz w:val="20"/>
          <w:szCs w:val="20"/>
        </w:rPr>
      </w:pPr>
    </w:p>
    <w:p w14:paraId="0EC5A561" w14:textId="77777777" w:rsidR="009D55C9" w:rsidRDefault="009D55C9">
      <w:pPr>
        <w:ind w:left="0" w:hanging="2"/>
        <w:rPr>
          <w:rFonts w:ascii="Arial" w:eastAsia="Arial" w:hAnsi="Arial" w:cs="Arial"/>
          <w:color w:val="000080"/>
          <w:sz w:val="20"/>
          <w:szCs w:val="20"/>
        </w:rPr>
      </w:pPr>
      <w:bookmarkStart w:id="11" w:name="_heading=h.4d34og8" w:colFirst="0" w:colLast="0"/>
      <w:bookmarkEnd w:id="11"/>
    </w:p>
    <w:p w14:paraId="4F662A1E"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3.3 Características comparadas con otras alternativas similares. </w:t>
      </w:r>
    </w:p>
    <w:p w14:paraId="1D6A9D5D" w14:textId="77777777" w:rsidR="009D55C9" w:rsidRDefault="009D55C9">
      <w:pPr>
        <w:ind w:left="0" w:hanging="2"/>
        <w:jc w:val="right"/>
        <w:rPr>
          <w:rFonts w:ascii="Arial" w:eastAsia="Arial" w:hAnsi="Arial" w:cs="Arial"/>
          <w:color w:val="0000FF"/>
        </w:rPr>
      </w:pPr>
    </w:p>
    <w:p w14:paraId="1E23B1CF" w14:textId="77777777" w:rsidR="009D55C9" w:rsidRPr="0058336D" w:rsidRDefault="005A57E0">
      <w:pPr>
        <w:ind w:left="0" w:hanging="2"/>
        <w:rPr>
          <w:rFonts w:ascii="Arial" w:eastAsia="Arial" w:hAnsi="Arial" w:cs="Arial"/>
          <w:sz w:val="20"/>
          <w:szCs w:val="20"/>
        </w:rPr>
      </w:pPr>
      <w:r w:rsidRPr="0058336D">
        <w:rPr>
          <w:rFonts w:ascii="Arial" w:eastAsia="Arial" w:hAnsi="Arial" w:cs="Arial"/>
          <w:sz w:val="20"/>
          <w:szCs w:val="20"/>
        </w:rPr>
        <w:t>No procede. Actualmente no se dispone de ningún tratamiento autorizado para la LDM.</w:t>
      </w:r>
    </w:p>
    <w:p w14:paraId="5A690E71" w14:textId="77777777" w:rsidR="009D55C9" w:rsidRPr="0058336D" w:rsidRDefault="009D55C9">
      <w:pPr>
        <w:ind w:left="0" w:hanging="2"/>
        <w:rPr>
          <w:rFonts w:ascii="Arial" w:eastAsia="Arial" w:hAnsi="Arial" w:cs="Arial"/>
          <w:sz w:val="20"/>
          <w:szCs w:val="16"/>
        </w:rPr>
      </w:pPr>
    </w:p>
    <w:p w14:paraId="0B5BE064" w14:textId="77777777" w:rsidR="009D55C9" w:rsidRPr="0058336D" w:rsidRDefault="009D55C9">
      <w:pPr>
        <w:ind w:left="0" w:hanging="2"/>
        <w:rPr>
          <w:rFonts w:ascii="Arial" w:eastAsia="Arial" w:hAnsi="Arial" w:cs="Arial"/>
          <w:sz w:val="20"/>
          <w:szCs w:val="16"/>
        </w:rPr>
      </w:pPr>
      <w:bookmarkStart w:id="12" w:name="_heading=h.2s8eyo1" w:colFirst="0" w:colLast="0"/>
      <w:bookmarkEnd w:id="12"/>
    </w:p>
    <w:tbl>
      <w:tblPr>
        <w:tblStyle w:val="afff1"/>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722127B3"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5EBC1FE9"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4.- AREA DE ACCIÓN FARMACOLÓGICA.</w:t>
            </w:r>
          </w:p>
        </w:tc>
      </w:tr>
    </w:tbl>
    <w:p w14:paraId="7CFCFA1B" w14:textId="77777777" w:rsidR="009D55C9" w:rsidRDefault="009D55C9">
      <w:pPr>
        <w:ind w:left="0" w:hanging="2"/>
        <w:jc w:val="right"/>
        <w:rPr>
          <w:rFonts w:ascii="Arial" w:eastAsia="Arial" w:hAnsi="Arial" w:cs="Arial"/>
          <w:sz w:val="20"/>
          <w:szCs w:val="20"/>
        </w:rPr>
      </w:pPr>
      <w:bookmarkStart w:id="13" w:name="_heading=h.17dp8vu" w:colFirst="0" w:colLast="0"/>
      <w:bookmarkEnd w:id="13"/>
    </w:p>
    <w:p w14:paraId="1013D639" w14:textId="77777777" w:rsidR="009D55C9" w:rsidRDefault="005A57E0">
      <w:pPr>
        <w:keepNext/>
        <w:pBdr>
          <w:top w:val="single" w:sz="4" w:space="0"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4.1 Mecanismo de acción.</w:t>
      </w:r>
      <w:r w:rsidR="0058336D" w:rsidRPr="0058336D">
        <w:rPr>
          <w:rFonts w:ascii="Arial" w:eastAsia="Arial" w:hAnsi="Arial" w:cs="Arial"/>
          <w:b/>
          <w:i/>
          <w:color w:val="000000"/>
          <w:sz w:val="20"/>
          <w:szCs w:val="20"/>
          <w:vertAlign w:val="superscript"/>
        </w:rPr>
        <w:fldChar w:fldCharType="begin"/>
      </w:r>
      <w:r w:rsidR="0058336D" w:rsidRPr="0058336D">
        <w:rPr>
          <w:rFonts w:ascii="Arial" w:eastAsia="Arial" w:hAnsi="Arial" w:cs="Arial"/>
          <w:b/>
          <w:i/>
          <w:color w:val="000000"/>
          <w:sz w:val="20"/>
          <w:szCs w:val="20"/>
          <w:vertAlign w:val="superscript"/>
        </w:rPr>
        <w:instrText xml:space="preserve"> NOTEREF _Ref66186475 \h  \* MERGEFORMAT </w:instrText>
      </w:r>
      <w:r w:rsidR="0058336D" w:rsidRPr="0058336D">
        <w:rPr>
          <w:rFonts w:ascii="Arial" w:eastAsia="Arial" w:hAnsi="Arial" w:cs="Arial"/>
          <w:b/>
          <w:i/>
          <w:color w:val="000000"/>
          <w:sz w:val="20"/>
          <w:szCs w:val="20"/>
          <w:vertAlign w:val="superscript"/>
        </w:rPr>
      </w:r>
      <w:r w:rsidR="0058336D" w:rsidRPr="0058336D">
        <w:rPr>
          <w:rFonts w:ascii="Arial" w:eastAsia="Arial" w:hAnsi="Arial" w:cs="Arial"/>
          <w:b/>
          <w:i/>
          <w:color w:val="000000"/>
          <w:sz w:val="20"/>
          <w:szCs w:val="20"/>
          <w:vertAlign w:val="superscript"/>
        </w:rPr>
        <w:fldChar w:fldCharType="separate"/>
      </w:r>
      <w:r w:rsidR="00942E63">
        <w:rPr>
          <w:rFonts w:ascii="Arial" w:eastAsia="Arial" w:hAnsi="Arial" w:cs="Arial"/>
          <w:b/>
          <w:i/>
          <w:color w:val="000000"/>
          <w:sz w:val="20"/>
          <w:szCs w:val="20"/>
          <w:vertAlign w:val="superscript"/>
        </w:rPr>
        <w:t>1</w:t>
      </w:r>
      <w:r w:rsidR="0058336D" w:rsidRPr="0058336D">
        <w:rPr>
          <w:rFonts w:ascii="Arial" w:eastAsia="Arial" w:hAnsi="Arial" w:cs="Arial"/>
          <w:b/>
          <w:i/>
          <w:color w:val="000000"/>
          <w:sz w:val="20"/>
          <w:szCs w:val="20"/>
          <w:vertAlign w:val="superscript"/>
        </w:rPr>
        <w:fldChar w:fldCharType="end"/>
      </w:r>
    </w:p>
    <w:p w14:paraId="640DF849" w14:textId="77777777" w:rsidR="009D55C9" w:rsidRDefault="009D55C9">
      <w:pPr>
        <w:ind w:left="0" w:hanging="2"/>
        <w:jc w:val="both"/>
        <w:rPr>
          <w:rFonts w:ascii="Arial" w:eastAsia="Arial" w:hAnsi="Arial" w:cs="Arial"/>
          <w:sz w:val="20"/>
          <w:szCs w:val="20"/>
        </w:rPr>
      </w:pPr>
    </w:p>
    <w:p w14:paraId="06FAEF7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Se trata de una </w:t>
      </w:r>
      <w:r w:rsidR="00B727DA">
        <w:rPr>
          <w:rFonts w:ascii="Arial" w:eastAsia="Arial" w:hAnsi="Arial" w:cs="Arial"/>
          <w:sz w:val="20"/>
          <w:szCs w:val="20"/>
        </w:rPr>
        <w:t xml:space="preserve">TG </w:t>
      </w:r>
      <w:r>
        <w:rPr>
          <w:rFonts w:ascii="Arial" w:eastAsia="Arial" w:hAnsi="Arial" w:cs="Arial"/>
          <w:sz w:val="20"/>
          <w:szCs w:val="20"/>
        </w:rPr>
        <w:t>que contiene una población autógena enriquecida con células CD34</w:t>
      </w:r>
      <w:r>
        <w:rPr>
          <w:rFonts w:ascii="Arial" w:eastAsia="Arial" w:hAnsi="Arial" w:cs="Arial"/>
          <w:sz w:val="20"/>
          <w:szCs w:val="20"/>
          <w:vertAlign w:val="superscript"/>
        </w:rPr>
        <w:t>+</w:t>
      </w:r>
      <w:r>
        <w:rPr>
          <w:rFonts w:ascii="Arial" w:eastAsia="Arial" w:hAnsi="Arial" w:cs="Arial"/>
          <w:sz w:val="20"/>
          <w:szCs w:val="20"/>
        </w:rPr>
        <w:t xml:space="preserve"> compuesta por células madre hematopoyéticas (CMH) </w:t>
      </w:r>
      <w:r w:rsidRPr="0058336D">
        <w:rPr>
          <w:rFonts w:ascii="Arial" w:eastAsia="Arial" w:hAnsi="Arial" w:cs="Arial"/>
          <w:i/>
          <w:sz w:val="20"/>
          <w:szCs w:val="20"/>
        </w:rPr>
        <w:t>ex vivo</w:t>
      </w:r>
      <w:r>
        <w:rPr>
          <w:rFonts w:ascii="Arial" w:eastAsia="Arial" w:hAnsi="Arial" w:cs="Arial"/>
          <w:sz w:val="20"/>
          <w:szCs w:val="20"/>
        </w:rPr>
        <w:t xml:space="preserve">. </w:t>
      </w:r>
    </w:p>
    <w:p w14:paraId="63C1BE76" w14:textId="77777777" w:rsidR="0058336D" w:rsidRDefault="0058336D">
      <w:pPr>
        <w:ind w:left="0" w:hanging="2"/>
        <w:jc w:val="both"/>
        <w:rPr>
          <w:rFonts w:ascii="Arial" w:eastAsia="Arial" w:hAnsi="Arial" w:cs="Arial"/>
          <w:sz w:val="20"/>
          <w:szCs w:val="20"/>
        </w:rPr>
      </w:pPr>
    </w:p>
    <w:p w14:paraId="1AB495F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Las CMH CD34</w:t>
      </w:r>
      <w:r>
        <w:rPr>
          <w:rFonts w:ascii="Arial" w:eastAsia="Arial" w:hAnsi="Arial" w:cs="Arial"/>
          <w:sz w:val="20"/>
          <w:szCs w:val="20"/>
          <w:vertAlign w:val="superscript"/>
        </w:rPr>
        <w:t>+</w:t>
      </w:r>
      <w:r>
        <w:rPr>
          <w:rFonts w:ascii="Arial" w:eastAsia="Arial" w:hAnsi="Arial" w:cs="Arial"/>
          <w:sz w:val="20"/>
          <w:szCs w:val="20"/>
        </w:rPr>
        <w:t xml:space="preserve"> autógenas se obtienen de la extracción de médula ósea (MO) del paciente o de la sangre periférica movilizada (SPM) y se transducen con un vector lentivírico, que introduce una o más copias del ácido desoxirribonucleico complementario (ADNc) de la ARSA humana en el genoma de la célula, de modo que las células modificadas genéticamente sean capaces de expresar la enzima ARSA funcional. Cuando se administran al paciente después de un régimen de acondicionamiento mieloablativo, las células modificadas genéticamente se injertan y son capaces de repoblar el compartimento hematopoyético. Una subpoblación de las CMH infundidas o su progenie mieloide puede migrar a través de la barrera hematoencefálica al cerebro e injertarse como microglía residente del sistema nervioso central (SNC) y macrófagos perivasculares del SNC, así como macrófagos endoneurales del sistema nervioso periférico (SNP). Estas células genéticamente modificadas pueden producir y secretar la enzima ARSA funcional, que puede ser absorbida por las células circundantes, un proceso conocido como corrección cruzada, y se utiliza para descomponer o prevenir la acumulación de sulfatos perjudiciales. </w:t>
      </w:r>
    </w:p>
    <w:p w14:paraId="1CEA5AE2" w14:textId="77777777" w:rsidR="0058336D" w:rsidRDefault="0058336D">
      <w:pPr>
        <w:ind w:left="0" w:hanging="2"/>
        <w:jc w:val="both"/>
        <w:rPr>
          <w:rFonts w:ascii="Arial" w:eastAsia="Arial" w:hAnsi="Arial" w:cs="Arial"/>
          <w:sz w:val="20"/>
          <w:szCs w:val="20"/>
        </w:rPr>
      </w:pPr>
    </w:p>
    <w:p w14:paraId="65AD5961"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Después de un injerto satisfactorio y estable en el paciente, se espera que los efectos del producto sean persistentes.</w:t>
      </w:r>
    </w:p>
    <w:p w14:paraId="464AD0CE" w14:textId="77777777" w:rsidR="009D55C9" w:rsidRDefault="009D55C9">
      <w:pPr>
        <w:ind w:left="0" w:hanging="2"/>
        <w:jc w:val="both"/>
        <w:rPr>
          <w:rFonts w:ascii="Arial" w:eastAsia="Arial" w:hAnsi="Arial" w:cs="Arial"/>
          <w:sz w:val="20"/>
          <w:szCs w:val="20"/>
        </w:rPr>
      </w:pPr>
    </w:p>
    <w:p w14:paraId="3F393E43" w14:textId="77777777" w:rsidR="009D55C9" w:rsidRDefault="009D55C9">
      <w:pPr>
        <w:ind w:left="0" w:hanging="2"/>
        <w:jc w:val="both"/>
        <w:rPr>
          <w:rFonts w:ascii="Arial" w:eastAsia="Arial" w:hAnsi="Arial" w:cs="Arial"/>
          <w:sz w:val="20"/>
          <w:szCs w:val="20"/>
        </w:rPr>
      </w:pPr>
      <w:bookmarkStart w:id="14" w:name="_heading=h.3rdcrjn" w:colFirst="0" w:colLast="0"/>
      <w:bookmarkEnd w:id="14"/>
    </w:p>
    <w:p w14:paraId="12165880"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4.2 Indicaciones clínicas formalmente aprobadas y fecha de aprobación.</w:t>
      </w:r>
    </w:p>
    <w:p w14:paraId="7E4DD6E6" w14:textId="77777777" w:rsidR="009D55C9" w:rsidRDefault="009D55C9">
      <w:pPr>
        <w:ind w:left="0" w:hanging="2"/>
        <w:jc w:val="both"/>
        <w:rPr>
          <w:rFonts w:ascii="Arial" w:eastAsia="Arial" w:hAnsi="Arial" w:cs="Arial"/>
          <w:sz w:val="20"/>
          <w:szCs w:val="20"/>
        </w:rPr>
      </w:pPr>
    </w:p>
    <w:p w14:paraId="0B3A42CC" w14:textId="77777777" w:rsidR="009D55C9" w:rsidRDefault="00500871" w:rsidP="00D577D6">
      <w:pPr>
        <w:shd w:val="clear" w:color="auto" w:fill="FFFFFF"/>
        <w:spacing w:after="120" w:line="240" w:lineRule="auto"/>
        <w:ind w:left="0" w:hanging="2"/>
        <w:jc w:val="both"/>
        <w:rPr>
          <w:rFonts w:ascii="Arial" w:eastAsia="Arial" w:hAnsi="Arial" w:cs="Arial"/>
          <w:sz w:val="20"/>
          <w:szCs w:val="20"/>
        </w:rPr>
      </w:pPr>
      <w:r>
        <w:rPr>
          <w:rFonts w:ascii="Arial" w:eastAsia="Arial" w:hAnsi="Arial" w:cs="Arial"/>
          <w:noProof/>
          <w:color w:val="000080"/>
          <w:sz w:val="20"/>
          <w:szCs w:val="20"/>
        </w:rPr>
        <mc:AlternateContent>
          <mc:Choice Requires="wps">
            <w:drawing>
              <wp:anchor distT="0" distB="0" distL="114300" distR="114300" simplePos="0" relativeHeight="251674624" behindDoc="0" locked="0" layoutInCell="1" allowOverlap="1" wp14:anchorId="15F6758F" wp14:editId="2B08AFB0">
                <wp:simplePos x="0" y="0"/>
                <wp:positionH relativeFrom="column">
                  <wp:posOffset>1712913</wp:posOffset>
                </wp:positionH>
                <wp:positionV relativeFrom="paragraph">
                  <wp:posOffset>258762</wp:posOffset>
                </wp:positionV>
                <wp:extent cx="245110" cy="3758565"/>
                <wp:effectExtent l="33972" t="42228" r="55563" b="93662"/>
                <wp:wrapNone/>
                <wp:docPr id="2" name="2 Cerrar llave"/>
                <wp:cNvGraphicFramePr/>
                <a:graphic xmlns:a="http://schemas.openxmlformats.org/drawingml/2006/main">
                  <a:graphicData uri="http://schemas.microsoft.com/office/word/2010/wordprocessingShape">
                    <wps:wsp>
                      <wps:cNvSpPr/>
                      <wps:spPr>
                        <a:xfrm rot="5400000">
                          <a:off x="0" y="0"/>
                          <a:ext cx="245110" cy="3758565"/>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1BD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 Cerrar llave" o:spid="_x0000_s1026" type="#_x0000_t88" style="position:absolute;margin-left:134.9pt;margin-top:20.35pt;width:19.3pt;height:295.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" adj="117" strokecolor="#4f81bd [3204]" strokeweight="2pt">
                <v:shadow on="t" color="black" opacity="24903f" origin=",.5" offset="0,.55556mm"/>
              </v:shape>
            </w:pict>
          </mc:Fallback>
        </mc:AlternateContent>
      </w:r>
      <w:r w:rsidR="005A57E0">
        <w:rPr>
          <w:rFonts w:ascii="Arial" w:eastAsia="Arial" w:hAnsi="Arial" w:cs="Arial"/>
          <w:b/>
          <w:sz w:val="20"/>
          <w:szCs w:val="20"/>
        </w:rPr>
        <w:t>EMA</w:t>
      </w:r>
      <w:bookmarkStart w:id="15" w:name="_Ref66189169"/>
      <w:r w:rsidR="001A44AD">
        <w:rPr>
          <w:rStyle w:val="Refdenotaalfinal"/>
          <w:rFonts w:ascii="Arial" w:eastAsia="Arial" w:hAnsi="Arial" w:cs="Arial"/>
          <w:b/>
          <w:sz w:val="20"/>
          <w:szCs w:val="20"/>
        </w:rPr>
        <w:endnoteReference w:id="7"/>
      </w:r>
      <w:bookmarkEnd w:id="15"/>
      <w:r w:rsidR="001A44AD">
        <w:rPr>
          <w:rFonts w:ascii="Arial" w:eastAsia="Arial" w:hAnsi="Arial" w:cs="Arial"/>
          <w:b/>
          <w:sz w:val="20"/>
          <w:szCs w:val="20"/>
        </w:rPr>
        <w:t xml:space="preserve">. </w:t>
      </w:r>
      <w:r w:rsidR="005A57E0">
        <w:rPr>
          <w:rFonts w:ascii="Arial" w:eastAsia="Arial" w:hAnsi="Arial" w:cs="Arial"/>
          <w:sz w:val="20"/>
          <w:szCs w:val="20"/>
        </w:rPr>
        <w:t>Tratamiento de la LDM caracterizada por mutaciones paralelas en el gen de la ARSA que provocan una reducción de la actividad enzimática.</w:t>
      </w:r>
      <w:r w:rsidR="005D2D7B" w:rsidRPr="005D2D7B">
        <w:rPr>
          <w:rFonts w:ascii="Arial" w:eastAsia="Arial" w:hAnsi="Arial" w:cs="Arial"/>
          <w:sz w:val="20"/>
          <w:szCs w:val="20"/>
        </w:rPr>
        <w:t xml:space="preserve"> </w:t>
      </w:r>
      <w:r w:rsidR="005D2D7B">
        <w:rPr>
          <w:rFonts w:ascii="Arial" w:eastAsia="Arial" w:hAnsi="Arial" w:cs="Arial"/>
          <w:sz w:val="20"/>
          <w:szCs w:val="20"/>
        </w:rPr>
        <w:t xml:space="preserve">[17/12/2020]  </w:t>
      </w:r>
    </w:p>
    <w:p w14:paraId="55214EB8" w14:textId="77777777" w:rsidR="009D55C9" w:rsidRPr="000A457F" w:rsidRDefault="005A57E0" w:rsidP="00D577D6">
      <w:pPr>
        <w:pStyle w:val="Prrafodelista"/>
        <w:numPr>
          <w:ilvl w:val="0"/>
          <w:numId w:val="20"/>
        </w:numPr>
        <w:pBdr>
          <w:top w:val="nil"/>
          <w:left w:val="nil"/>
          <w:bottom w:val="nil"/>
          <w:right w:val="nil"/>
          <w:between w:val="nil"/>
        </w:pBdr>
        <w:shd w:val="clear" w:color="auto" w:fill="FFFFFF"/>
        <w:spacing w:after="120" w:line="240" w:lineRule="auto"/>
        <w:ind w:leftChars="0" w:firstLineChars="0"/>
        <w:jc w:val="both"/>
        <w:rPr>
          <w:rFonts w:ascii="Arial" w:eastAsia="Arial" w:hAnsi="Arial" w:cs="Arial"/>
          <w:color w:val="000000"/>
          <w:sz w:val="20"/>
          <w:szCs w:val="20"/>
        </w:rPr>
      </w:pPr>
      <w:r w:rsidRPr="000A457F">
        <w:rPr>
          <w:rFonts w:ascii="Arial" w:eastAsia="Arial" w:hAnsi="Arial" w:cs="Arial"/>
          <w:color w:val="000000"/>
          <w:sz w:val="20"/>
          <w:szCs w:val="20"/>
        </w:rPr>
        <w:t xml:space="preserve">En niños con formas </w:t>
      </w:r>
      <w:r w:rsidRPr="001A44AD">
        <w:rPr>
          <w:rFonts w:ascii="Arial" w:eastAsia="Arial" w:hAnsi="Arial" w:cs="Arial"/>
          <w:b/>
          <w:color w:val="000000"/>
          <w:sz w:val="20"/>
          <w:szCs w:val="20"/>
        </w:rPr>
        <w:t>infantiles tardías</w:t>
      </w:r>
      <w:r w:rsidR="000A457F">
        <w:rPr>
          <w:rFonts w:ascii="Arial" w:eastAsia="Arial" w:hAnsi="Arial" w:cs="Arial"/>
          <w:color w:val="000000"/>
          <w:sz w:val="20"/>
          <w:szCs w:val="20"/>
        </w:rPr>
        <w:t xml:space="preserve"> (LDM-IT)</w:t>
      </w:r>
      <w:r w:rsidRPr="000A457F">
        <w:rPr>
          <w:rFonts w:ascii="Arial" w:eastAsia="Arial" w:hAnsi="Arial" w:cs="Arial"/>
          <w:color w:val="000000"/>
          <w:sz w:val="20"/>
          <w:szCs w:val="20"/>
        </w:rPr>
        <w:t xml:space="preserve"> o </w:t>
      </w:r>
      <w:r w:rsidRPr="001A44AD">
        <w:rPr>
          <w:rFonts w:ascii="Arial" w:eastAsia="Arial" w:hAnsi="Arial" w:cs="Arial"/>
          <w:b/>
          <w:color w:val="000000"/>
          <w:sz w:val="20"/>
          <w:szCs w:val="20"/>
        </w:rPr>
        <w:t>juveniles tempranas</w:t>
      </w:r>
      <w:r w:rsidR="000A457F">
        <w:rPr>
          <w:rFonts w:ascii="Arial" w:eastAsia="Arial" w:hAnsi="Arial" w:cs="Arial"/>
          <w:color w:val="000000"/>
          <w:sz w:val="20"/>
          <w:szCs w:val="20"/>
        </w:rPr>
        <w:t xml:space="preserve"> (LDM-JT)</w:t>
      </w:r>
      <w:r w:rsidRPr="000A457F">
        <w:rPr>
          <w:rFonts w:ascii="Arial" w:eastAsia="Arial" w:hAnsi="Arial" w:cs="Arial"/>
          <w:color w:val="000000"/>
          <w:sz w:val="20"/>
          <w:szCs w:val="20"/>
        </w:rPr>
        <w:t xml:space="preserve">, </w:t>
      </w:r>
      <w:r w:rsidRPr="001A44AD">
        <w:rPr>
          <w:rFonts w:ascii="Arial" w:eastAsia="Arial" w:hAnsi="Arial" w:cs="Arial"/>
          <w:color w:val="000000"/>
          <w:sz w:val="20"/>
          <w:szCs w:val="20"/>
          <w:u w:val="single"/>
        </w:rPr>
        <w:t xml:space="preserve">sin manifestaciones clínicas </w:t>
      </w:r>
      <w:r w:rsidRPr="000A457F">
        <w:rPr>
          <w:rFonts w:ascii="Arial" w:eastAsia="Arial" w:hAnsi="Arial" w:cs="Arial"/>
          <w:color w:val="000000"/>
          <w:sz w:val="20"/>
          <w:szCs w:val="20"/>
        </w:rPr>
        <w:t>de la enfermedad.</w:t>
      </w:r>
    </w:p>
    <w:p w14:paraId="79D5D509" w14:textId="77777777" w:rsidR="009D55C9" w:rsidRPr="000A457F" w:rsidRDefault="005A57E0" w:rsidP="00D577D6">
      <w:pPr>
        <w:pStyle w:val="Prrafodelista"/>
        <w:numPr>
          <w:ilvl w:val="0"/>
          <w:numId w:val="20"/>
        </w:numPr>
        <w:pBdr>
          <w:top w:val="nil"/>
          <w:left w:val="nil"/>
          <w:bottom w:val="nil"/>
          <w:right w:val="nil"/>
          <w:between w:val="nil"/>
        </w:pBdr>
        <w:shd w:val="clear" w:color="auto" w:fill="FFFFFF"/>
        <w:spacing w:after="120" w:line="240" w:lineRule="auto"/>
        <w:ind w:leftChars="0" w:firstLineChars="0"/>
        <w:jc w:val="both"/>
        <w:rPr>
          <w:rFonts w:ascii="Arial" w:eastAsia="Arial" w:hAnsi="Arial" w:cs="Arial"/>
          <w:color w:val="000000"/>
          <w:sz w:val="20"/>
          <w:szCs w:val="20"/>
        </w:rPr>
      </w:pPr>
      <w:r w:rsidRPr="000A457F">
        <w:rPr>
          <w:rFonts w:ascii="Arial" w:eastAsia="Arial" w:hAnsi="Arial" w:cs="Arial"/>
          <w:color w:val="000000"/>
          <w:sz w:val="20"/>
          <w:szCs w:val="20"/>
        </w:rPr>
        <w:t xml:space="preserve">En niños con </w:t>
      </w:r>
      <w:r w:rsidR="000A457F" w:rsidRPr="001A44AD">
        <w:rPr>
          <w:rFonts w:ascii="Arial" w:eastAsia="Arial" w:hAnsi="Arial" w:cs="Arial"/>
          <w:b/>
          <w:color w:val="000000"/>
          <w:sz w:val="20"/>
          <w:szCs w:val="20"/>
        </w:rPr>
        <w:t>LDM-JT</w:t>
      </w:r>
      <w:r w:rsidRPr="000A457F">
        <w:rPr>
          <w:rFonts w:ascii="Arial" w:eastAsia="Arial" w:hAnsi="Arial" w:cs="Arial"/>
          <w:color w:val="000000"/>
          <w:sz w:val="20"/>
          <w:szCs w:val="20"/>
        </w:rPr>
        <w:t xml:space="preserve">, </w:t>
      </w:r>
      <w:r w:rsidRPr="001A44AD">
        <w:rPr>
          <w:rFonts w:ascii="Arial" w:eastAsia="Arial" w:hAnsi="Arial" w:cs="Arial"/>
          <w:color w:val="000000"/>
          <w:sz w:val="20"/>
          <w:szCs w:val="20"/>
          <w:u w:val="single"/>
        </w:rPr>
        <w:t>con manifestaciones clínicas</w:t>
      </w:r>
      <w:r w:rsidRPr="000A457F">
        <w:rPr>
          <w:rFonts w:ascii="Arial" w:eastAsia="Arial" w:hAnsi="Arial" w:cs="Arial"/>
          <w:color w:val="000000"/>
          <w:sz w:val="20"/>
          <w:szCs w:val="20"/>
        </w:rPr>
        <w:t xml:space="preserve"> tempranas de la enfermedad, que todavía pueden caminar de forma independiente y antes del inicio del deterioro cognitivo.</w:t>
      </w:r>
    </w:p>
    <w:p w14:paraId="1B5AC590" w14:textId="77777777" w:rsidR="009D55C9" w:rsidRDefault="009D55C9" w:rsidP="00500871">
      <w:pPr>
        <w:shd w:val="clear" w:color="auto" w:fill="FFFFFF"/>
        <w:spacing w:after="120"/>
        <w:ind w:left="0" w:hanging="2"/>
        <w:jc w:val="right"/>
        <w:rPr>
          <w:rFonts w:ascii="Arial" w:eastAsia="Arial" w:hAnsi="Arial" w:cs="Arial"/>
          <w:sz w:val="20"/>
          <w:szCs w:val="20"/>
        </w:rPr>
      </w:pPr>
    </w:p>
    <w:tbl>
      <w:tblPr>
        <w:tblStyle w:val="Tablaconcuadrcula"/>
        <w:tblW w:w="0" w:type="auto"/>
        <w:jc w:val="center"/>
        <w:tblLook w:val="04A0" w:firstRow="1" w:lastRow="0" w:firstColumn="1" w:lastColumn="0" w:noHBand="0" w:noVBand="1"/>
      </w:tblPr>
      <w:tblGrid>
        <w:gridCol w:w="3852"/>
        <w:gridCol w:w="1957"/>
        <w:gridCol w:w="1364"/>
        <w:gridCol w:w="1556"/>
      </w:tblGrid>
      <w:tr w:rsidR="00B00248" w:rsidRPr="00BB2983" w14:paraId="74C12FDC" w14:textId="77777777" w:rsidTr="00B00248">
        <w:trPr>
          <w:jc w:val="center"/>
        </w:trPr>
        <w:tc>
          <w:tcPr>
            <w:tcW w:w="5920" w:type="dxa"/>
            <w:gridSpan w:val="2"/>
            <w:shd w:val="clear" w:color="auto" w:fill="9BBB59" w:themeFill="accent3"/>
          </w:tcPr>
          <w:p w14:paraId="0459F291" w14:textId="77777777" w:rsidR="00B00248" w:rsidRPr="00B00248" w:rsidRDefault="00B00248" w:rsidP="00BB2983">
            <w:pPr>
              <w:ind w:leftChars="0" w:left="0" w:firstLineChars="0" w:firstLine="0"/>
              <w:jc w:val="center"/>
              <w:rPr>
                <w:rFonts w:ascii="Arial" w:eastAsia="Arial" w:hAnsi="Arial" w:cs="Arial"/>
                <w:b/>
                <w:color w:val="FFFFFF" w:themeColor="background1"/>
                <w:sz w:val="20"/>
                <w:szCs w:val="20"/>
              </w:rPr>
            </w:pPr>
            <w:r w:rsidRPr="00B00248">
              <w:rPr>
                <w:rFonts w:ascii="Arial" w:eastAsia="Arial" w:hAnsi="Arial" w:cs="Arial"/>
                <w:b/>
                <w:color w:val="FFFFFF" w:themeColor="background1"/>
                <w:sz w:val="20"/>
                <w:szCs w:val="20"/>
              </w:rPr>
              <w:t>LDM de inicio temprano</w:t>
            </w:r>
          </w:p>
        </w:tc>
        <w:tc>
          <w:tcPr>
            <w:tcW w:w="2959" w:type="dxa"/>
            <w:gridSpan w:val="2"/>
            <w:shd w:val="clear" w:color="auto" w:fill="4F6228" w:themeFill="accent3" w:themeFillShade="80"/>
          </w:tcPr>
          <w:p w14:paraId="09BB6292" w14:textId="77777777" w:rsidR="00B00248" w:rsidRPr="00B00248" w:rsidRDefault="00B00248" w:rsidP="00BB2983">
            <w:pPr>
              <w:ind w:leftChars="0" w:left="0" w:firstLineChars="0" w:firstLine="0"/>
              <w:jc w:val="center"/>
              <w:rPr>
                <w:rFonts w:ascii="Arial" w:eastAsia="Arial" w:hAnsi="Arial" w:cs="Arial"/>
                <w:b/>
                <w:color w:val="FFFFFF" w:themeColor="background1"/>
                <w:sz w:val="20"/>
                <w:szCs w:val="20"/>
              </w:rPr>
            </w:pPr>
            <w:r w:rsidRPr="00B00248">
              <w:rPr>
                <w:rFonts w:ascii="Arial" w:eastAsia="Arial" w:hAnsi="Arial" w:cs="Arial"/>
                <w:b/>
                <w:color w:val="FFFFFF" w:themeColor="background1"/>
                <w:sz w:val="20"/>
                <w:szCs w:val="20"/>
              </w:rPr>
              <w:t>LDM de inicio tardío</w:t>
            </w:r>
          </w:p>
        </w:tc>
      </w:tr>
      <w:tr w:rsidR="00BB2983" w14:paraId="383DE2DA" w14:textId="77777777" w:rsidTr="009D603D">
        <w:trPr>
          <w:jc w:val="center"/>
        </w:trPr>
        <w:tc>
          <w:tcPr>
            <w:tcW w:w="3936" w:type="dxa"/>
            <w:vMerge w:val="restart"/>
            <w:shd w:val="clear" w:color="auto" w:fill="F2DBDB" w:themeFill="accent2" w:themeFillTint="33"/>
            <w:vAlign w:val="center"/>
          </w:tcPr>
          <w:p w14:paraId="32560D4C" w14:textId="77777777" w:rsidR="00BB2983" w:rsidRPr="00BB2983" w:rsidRDefault="00BB2983" w:rsidP="00BB2983">
            <w:pPr>
              <w:ind w:leftChars="0" w:left="0" w:firstLineChars="0" w:firstLine="0"/>
              <w:jc w:val="center"/>
              <w:rPr>
                <w:rFonts w:ascii="Arial" w:eastAsia="Arial" w:hAnsi="Arial" w:cs="Arial"/>
                <w:b/>
                <w:color w:val="000080"/>
                <w:sz w:val="16"/>
                <w:szCs w:val="20"/>
              </w:rPr>
            </w:pPr>
            <w:r w:rsidRPr="00BB2983">
              <w:rPr>
                <w:rFonts w:ascii="Arial" w:eastAsia="Arial" w:hAnsi="Arial" w:cs="Arial"/>
                <w:b/>
                <w:color w:val="000080"/>
                <w:sz w:val="16"/>
                <w:szCs w:val="20"/>
              </w:rPr>
              <w:t>LDM infantil tardía</w:t>
            </w:r>
          </w:p>
          <w:p w14:paraId="2A48F88C" w14:textId="77777777" w:rsidR="00BB2983" w:rsidRPr="00BB2983" w:rsidRDefault="00BB2983" w:rsidP="00BB2983">
            <w:pPr>
              <w:ind w:leftChars="0" w:left="0" w:firstLineChars="0" w:firstLine="0"/>
              <w:jc w:val="center"/>
              <w:rPr>
                <w:rFonts w:ascii="Arial" w:eastAsia="Arial" w:hAnsi="Arial" w:cs="Arial"/>
                <w:color w:val="000080"/>
                <w:sz w:val="16"/>
                <w:szCs w:val="20"/>
              </w:rPr>
            </w:pPr>
            <w:r w:rsidRPr="00BB2983">
              <w:rPr>
                <w:rFonts w:ascii="Arial" w:eastAsia="Arial" w:hAnsi="Arial" w:cs="Arial"/>
                <w:b/>
                <w:color w:val="000080"/>
                <w:sz w:val="16"/>
                <w:szCs w:val="20"/>
              </w:rPr>
              <w:t>≤ 30 meses</w:t>
            </w:r>
          </w:p>
        </w:tc>
        <w:tc>
          <w:tcPr>
            <w:tcW w:w="3364" w:type="dxa"/>
            <w:gridSpan w:val="2"/>
            <w:vAlign w:val="center"/>
          </w:tcPr>
          <w:p w14:paraId="4C73E7D4" w14:textId="77777777" w:rsidR="00BB2983" w:rsidRPr="00BB2983" w:rsidRDefault="00BB2983" w:rsidP="00BB2983">
            <w:pPr>
              <w:ind w:leftChars="0" w:left="0" w:firstLineChars="0" w:firstLine="0"/>
              <w:jc w:val="center"/>
              <w:rPr>
                <w:rFonts w:ascii="Arial" w:eastAsia="Arial" w:hAnsi="Arial" w:cs="Arial"/>
                <w:b/>
                <w:color w:val="000080"/>
                <w:sz w:val="16"/>
                <w:szCs w:val="20"/>
              </w:rPr>
            </w:pPr>
            <w:r w:rsidRPr="00BB2983">
              <w:rPr>
                <w:rFonts w:ascii="Arial" w:eastAsia="Arial" w:hAnsi="Arial" w:cs="Arial"/>
                <w:b/>
                <w:color w:val="000080"/>
                <w:sz w:val="16"/>
                <w:szCs w:val="20"/>
              </w:rPr>
              <w:t>LDM juvenil</w:t>
            </w:r>
          </w:p>
          <w:p w14:paraId="1591891C" w14:textId="77777777" w:rsidR="00BB2983" w:rsidRPr="00BB2983" w:rsidRDefault="00BB2983" w:rsidP="00BB2983">
            <w:pPr>
              <w:ind w:leftChars="0" w:left="0" w:firstLineChars="0" w:firstLine="0"/>
              <w:jc w:val="center"/>
              <w:rPr>
                <w:rFonts w:ascii="Arial" w:eastAsia="Arial" w:hAnsi="Arial" w:cs="Arial"/>
                <w:color w:val="000080"/>
                <w:sz w:val="16"/>
                <w:szCs w:val="20"/>
              </w:rPr>
            </w:pPr>
            <w:r w:rsidRPr="00BB2983">
              <w:rPr>
                <w:rFonts w:ascii="Arial" w:eastAsia="Arial" w:hAnsi="Arial" w:cs="Arial"/>
                <w:b/>
                <w:color w:val="000080"/>
                <w:sz w:val="16"/>
                <w:szCs w:val="20"/>
              </w:rPr>
              <w:t>&gt;30 m</w:t>
            </w:r>
            <w:r w:rsidR="00036243">
              <w:rPr>
                <w:rFonts w:ascii="Arial" w:eastAsia="Arial" w:hAnsi="Arial" w:cs="Arial"/>
                <w:b/>
                <w:color w:val="000080"/>
                <w:sz w:val="16"/>
                <w:szCs w:val="20"/>
              </w:rPr>
              <w:t xml:space="preserve">eses a </w:t>
            </w:r>
            <w:r w:rsidRPr="00BB2983">
              <w:rPr>
                <w:rFonts w:ascii="Arial" w:eastAsia="Arial" w:hAnsi="Arial" w:cs="Arial"/>
                <w:b/>
                <w:color w:val="000080"/>
                <w:sz w:val="16"/>
                <w:szCs w:val="20"/>
              </w:rPr>
              <w:t xml:space="preserve"> &lt;17 a</w:t>
            </w:r>
            <w:r w:rsidR="00036243">
              <w:rPr>
                <w:rFonts w:ascii="Arial" w:eastAsia="Arial" w:hAnsi="Arial" w:cs="Arial"/>
                <w:b/>
                <w:color w:val="000080"/>
                <w:sz w:val="16"/>
                <w:szCs w:val="20"/>
              </w:rPr>
              <w:t>ños</w:t>
            </w:r>
          </w:p>
        </w:tc>
        <w:tc>
          <w:tcPr>
            <w:tcW w:w="1579" w:type="dxa"/>
            <w:vMerge w:val="restart"/>
            <w:vAlign w:val="center"/>
          </w:tcPr>
          <w:p w14:paraId="0B45A987" w14:textId="77777777" w:rsidR="00BB2983" w:rsidRPr="00BB2983" w:rsidRDefault="00BB2983" w:rsidP="00BB2983">
            <w:pPr>
              <w:ind w:leftChars="0" w:left="0" w:firstLineChars="0" w:firstLine="0"/>
              <w:jc w:val="center"/>
              <w:rPr>
                <w:rFonts w:ascii="Arial" w:eastAsia="Arial" w:hAnsi="Arial" w:cs="Arial"/>
                <w:b/>
                <w:color w:val="000080"/>
                <w:sz w:val="16"/>
                <w:szCs w:val="20"/>
              </w:rPr>
            </w:pPr>
            <w:r w:rsidRPr="00BB2983">
              <w:rPr>
                <w:rFonts w:ascii="Arial" w:eastAsia="Arial" w:hAnsi="Arial" w:cs="Arial"/>
                <w:b/>
                <w:color w:val="000080"/>
                <w:sz w:val="16"/>
                <w:szCs w:val="20"/>
              </w:rPr>
              <w:t>LDM adulta</w:t>
            </w:r>
          </w:p>
          <w:p w14:paraId="0A8555EC" w14:textId="77777777" w:rsidR="00BB2983" w:rsidRPr="00036243" w:rsidRDefault="00BB2983" w:rsidP="00BB2983">
            <w:pPr>
              <w:ind w:leftChars="0" w:left="0" w:firstLineChars="0" w:firstLine="0"/>
              <w:jc w:val="center"/>
              <w:rPr>
                <w:rFonts w:ascii="Arial" w:eastAsia="Arial" w:hAnsi="Arial" w:cs="Arial"/>
                <w:b/>
                <w:color w:val="000080"/>
                <w:sz w:val="16"/>
                <w:szCs w:val="20"/>
              </w:rPr>
            </w:pPr>
            <w:r w:rsidRPr="00036243">
              <w:rPr>
                <w:rFonts w:ascii="Arial" w:eastAsia="Arial" w:hAnsi="Arial" w:cs="Arial"/>
                <w:b/>
                <w:color w:val="000080"/>
                <w:sz w:val="16"/>
                <w:szCs w:val="20"/>
              </w:rPr>
              <w:t>≥ 17</w:t>
            </w:r>
            <w:r w:rsidR="009D603D" w:rsidRPr="00036243">
              <w:rPr>
                <w:rFonts w:ascii="Arial" w:eastAsia="Arial" w:hAnsi="Arial" w:cs="Arial"/>
                <w:b/>
                <w:color w:val="000080"/>
                <w:sz w:val="16"/>
                <w:szCs w:val="20"/>
              </w:rPr>
              <w:t xml:space="preserve"> </w:t>
            </w:r>
            <w:r w:rsidRPr="00036243">
              <w:rPr>
                <w:rFonts w:ascii="Arial" w:eastAsia="Arial" w:hAnsi="Arial" w:cs="Arial"/>
                <w:b/>
                <w:color w:val="000080"/>
                <w:sz w:val="16"/>
                <w:szCs w:val="20"/>
              </w:rPr>
              <w:t>a</w:t>
            </w:r>
            <w:r w:rsidR="009D603D" w:rsidRPr="00036243">
              <w:rPr>
                <w:rFonts w:ascii="Arial" w:eastAsia="Arial" w:hAnsi="Arial" w:cs="Arial"/>
                <w:b/>
                <w:color w:val="000080"/>
                <w:sz w:val="16"/>
                <w:szCs w:val="20"/>
              </w:rPr>
              <w:t>ños</w:t>
            </w:r>
          </w:p>
        </w:tc>
      </w:tr>
      <w:tr w:rsidR="00BB2983" w14:paraId="3A363C9A" w14:textId="77777777" w:rsidTr="009D603D">
        <w:trPr>
          <w:jc w:val="center"/>
        </w:trPr>
        <w:tc>
          <w:tcPr>
            <w:tcW w:w="3936" w:type="dxa"/>
            <w:vMerge/>
            <w:shd w:val="clear" w:color="auto" w:fill="F2DBDB" w:themeFill="accent2" w:themeFillTint="33"/>
          </w:tcPr>
          <w:p w14:paraId="39348DCD" w14:textId="77777777" w:rsidR="00BB2983" w:rsidRPr="00BB2983" w:rsidRDefault="00BB2983">
            <w:pPr>
              <w:ind w:leftChars="0" w:left="0" w:firstLineChars="0" w:firstLine="0"/>
              <w:jc w:val="both"/>
              <w:rPr>
                <w:rFonts w:ascii="Arial" w:eastAsia="Arial" w:hAnsi="Arial" w:cs="Arial"/>
                <w:color w:val="000080"/>
                <w:sz w:val="16"/>
                <w:szCs w:val="20"/>
              </w:rPr>
            </w:pPr>
          </w:p>
        </w:tc>
        <w:tc>
          <w:tcPr>
            <w:tcW w:w="1984" w:type="dxa"/>
            <w:shd w:val="clear" w:color="auto" w:fill="F2DBDB" w:themeFill="accent2" w:themeFillTint="33"/>
          </w:tcPr>
          <w:p w14:paraId="3030CBB0" w14:textId="77777777" w:rsidR="00BB2983" w:rsidRPr="00B00248" w:rsidRDefault="00BB2983" w:rsidP="00B00248">
            <w:pPr>
              <w:ind w:leftChars="0" w:left="0" w:firstLineChars="0" w:firstLine="0"/>
              <w:jc w:val="center"/>
              <w:rPr>
                <w:rFonts w:ascii="Arial" w:eastAsia="Arial" w:hAnsi="Arial" w:cs="Arial"/>
                <w:b/>
                <w:color w:val="000080"/>
                <w:sz w:val="16"/>
                <w:szCs w:val="20"/>
              </w:rPr>
            </w:pPr>
            <w:r w:rsidRPr="00B00248">
              <w:rPr>
                <w:rFonts w:ascii="Arial" w:eastAsia="Arial" w:hAnsi="Arial" w:cs="Arial"/>
                <w:b/>
                <w:color w:val="000080"/>
                <w:sz w:val="16"/>
                <w:szCs w:val="20"/>
              </w:rPr>
              <w:t>Juvenil temprana</w:t>
            </w:r>
          </w:p>
          <w:p w14:paraId="5B02ED16" w14:textId="77777777" w:rsidR="00BB2983" w:rsidRPr="00BB2983" w:rsidRDefault="00BB2983" w:rsidP="00B00248">
            <w:pPr>
              <w:ind w:leftChars="0" w:left="0" w:firstLineChars="0" w:firstLine="0"/>
              <w:jc w:val="center"/>
              <w:rPr>
                <w:rFonts w:ascii="Arial" w:eastAsia="Arial" w:hAnsi="Arial" w:cs="Arial"/>
                <w:color w:val="000080"/>
                <w:sz w:val="16"/>
                <w:szCs w:val="20"/>
              </w:rPr>
            </w:pPr>
            <w:r w:rsidRPr="00B00248">
              <w:rPr>
                <w:rFonts w:ascii="Arial" w:eastAsia="Arial" w:hAnsi="Arial" w:cs="Arial"/>
                <w:b/>
                <w:color w:val="000080"/>
                <w:sz w:val="16"/>
                <w:szCs w:val="20"/>
              </w:rPr>
              <w:t>&gt;30 m</w:t>
            </w:r>
            <w:r w:rsidR="009D603D">
              <w:rPr>
                <w:rFonts w:ascii="Arial" w:eastAsia="Arial" w:hAnsi="Arial" w:cs="Arial"/>
                <w:b/>
                <w:color w:val="000080"/>
                <w:sz w:val="16"/>
                <w:szCs w:val="20"/>
              </w:rPr>
              <w:t>eses a</w:t>
            </w:r>
            <w:r w:rsidR="00B00248" w:rsidRPr="00B00248">
              <w:rPr>
                <w:rFonts w:ascii="Arial" w:eastAsia="Arial" w:hAnsi="Arial" w:cs="Arial"/>
                <w:b/>
                <w:color w:val="000080"/>
                <w:sz w:val="16"/>
                <w:szCs w:val="20"/>
              </w:rPr>
              <w:t xml:space="preserve"> </w:t>
            </w:r>
            <w:r w:rsidRPr="00B00248">
              <w:rPr>
                <w:rFonts w:ascii="Arial" w:eastAsia="Arial" w:hAnsi="Arial" w:cs="Arial"/>
                <w:b/>
                <w:color w:val="000080"/>
                <w:sz w:val="16"/>
                <w:szCs w:val="20"/>
              </w:rPr>
              <w:t>&lt;</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7</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a</w:t>
            </w:r>
            <w:r w:rsidR="009D603D">
              <w:rPr>
                <w:rFonts w:ascii="Arial" w:eastAsia="Arial" w:hAnsi="Arial" w:cs="Arial"/>
                <w:b/>
                <w:color w:val="000080"/>
                <w:sz w:val="16"/>
                <w:szCs w:val="20"/>
              </w:rPr>
              <w:t>ños</w:t>
            </w:r>
          </w:p>
        </w:tc>
        <w:tc>
          <w:tcPr>
            <w:tcW w:w="1380" w:type="dxa"/>
          </w:tcPr>
          <w:p w14:paraId="1A4E5024" w14:textId="77777777" w:rsidR="00BB2983" w:rsidRPr="00B00248" w:rsidRDefault="00BB2983" w:rsidP="00B00248">
            <w:pPr>
              <w:ind w:leftChars="0" w:left="0" w:firstLineChars="0" w:firstLine="0"/>
              <w:jc w:val="center"/>
              <w:rPr>
                <w:rFonts w:ascii="Arial" w:eastAsia="Arial" w:hAnsi="Arial" w:cs="Arial"/>
                <w:b/>
                <w:color w:val="000080"/>
                <w:sz w:val="16"/>
                <w:szCs w:val="20"/>
              </w:rPr>
            </w:pPr>
            <w:r w:rsidRPr="00B00248">
              <w:rPr>
                <w:rFonts w:ascii="Arial" w:eastAsia="Arial" w:hAnsi="Arial" w:cs="Arial"/>
                <w:b/>
                <w:color w:val="000080"/>
                <w:sz w:val="16"/>
                <w:szCs w:val="20"/>
              </w:rPr>
              <w:t>Juvenil tardía</w:t>
            </w:r>
          </w:p>
          <w:p w14:paraId="4965452D" w14:textId="77777777" w:rsidR="00BB2983" w:rsidRPr="00BB2983" w:rsidRDefault="00BB2983" w:rsidP="00B00248">
            <w:pPr>
              <w:ind w:left="0" w:hanging="2"/>
              <w:jc w:val="center"/>
              <w:rPr>
                <w:rFonts w:ascii="Arial" w:eastAsia="Arial" w:hAnsi="Arial" w:cs="Arial"/>
                <w:sz w:val="16"/>
                <w:szCs w:val="20"/>
              </w:rPr>
            </w:pPr>
            <w:r w:rsidRPr="00B00248">
              <w:rPr>
                <w:rFonts w:ascii="Arial" w:eastAsia="Arial" w:hAnsi="Arial" w:cs="Arial"/>
                <w:b/>
                <w:color w:val="000080"/>
                <w:sz w:val="16"/>
                <w:szCs w:val="20"/>
              </w:rPr>
              <w:t>≥ 7</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a &lt;</w:t>
            </w:r>
            <w:r w:rsidR="009D603D">
              <w:rPr>
                <w:rFonts w:ascii="Arial" w:eastAsia="Arial" w:hAnsi="Arial" w:cs="Arial"/>
                <w:b/>
                <w:color w:val="000080"/>
                <w:sz w:val="16"/>
                <w:szCs w:val="20"/>
              </w:rPr>
              <w:t xml:space="preserve"> </w:t>
            </w:r>
            <w:r w:rsidRPr="00B00248">
              <w:rPr>
                <w:rFonts w:ascii="Arial" w:eastAsia="Arial" w:hAnsi="Arial" w:cs="Arial"/>
                <w:b/>
                <w:color w:val="000080"/>
                <w:sz w:val="16"/>
                <w:szCs w:val="20"/>
              </w:rPr>
              <w:t>17 a</w:t>
            </w:r>
            <w:r w:rsidR="009D603D">
              <w:rPr>
                <w:rFonts w:ascii="Arial" w:eastAsia="Arial" w:hAnsi="Arial" w:cs="Arial"/>
                <w:b/>
                <w:color w:val="000080"/>
                <w:sz w:val="16"/>
                <w:szCs w:val="20"/>
              </w:rPr>
              <w:t>ños</w:t>
            </w:r>
          </w:p>
        </w:tc>
        <w:tc>
          <w:tcPr>
            <w:tcW w:w="1579" w:type="dxa"/>
            <w:vMerge/>
          </w:tcPr>
          <w:p w14:paraId="4D1BAFDB" w14:textId="77777777" w:rsidR="00BB2983" w:rsidRPr="00BB2983" w:rsidRDefault="00BB2983">
            <w:pPr>
              <w:ind w:leftChars="0" w:left="0" w:firstLineChars="0" w:firstLine="0"/>
              <w:jc w:val="both"/>
              <w:rPr>
                <w:rFonts w:ascii="Arial" w:eastAsia="Arial" w:hAnsi="Arial" w:cs="Arial"/>
                <w:color w:val="000080"/>
                <w:sz w:val="16"/>
                <w:szCs w:val="20"/>
              </w:rPr>
            </w:pPr>
          </w:p>
        </w:tc>
      </w:tr>
    </w:tbl>
    <w:p w14:paraId="4DBFA3D4" w14:textId="77777777" w:rsidR="00BB2983" w:rsidRDefault="00BB2983">
      <w:pPr>
        <w:shd w:val="clear" w:color="auto" w:fill="FFFFFF"/>
        <w:ind w:left="0" w:hanging="2"/>
        <w:jc w:val="both"/>
        <w:rPr>
          <w:rFonts w:ascii="Arial" w:eastAsia="Arial" w:hAnsi="Arial" w:cs="Arial"/>
          <w:color w:val="000080"/>
          <w:sz w:val="20"/>
          <w:szCs w:val="20"/>
        </w:rPr>
      </w:pPr>
    </w:p>
    <w:p w14:paraId="4BFCEB95" w14:textId="77777777" w:rsidR="00B00248" w:rsidRDefault="00B00248">
      <w:pPr>
        <w:shd w:val="clear" w:color="auto" w:fill="FFFFFF"/>
        <w:ind w:left="0" w:hanging="2"/>
        <w:jc w:val="both"/>
        <w:rPr>
          <w:rFonts w:ascii="Arial" w:eastAsia="Arial" w:hAnsi="Arial" w:cs="Arial"/>
          <w:color w:val="000080"/>
          <w:sz w:val="20"/>
          <w:szCs w:val="20"/>
        </w:rPr>
      </w:pPr>
    </w:p>
    <w:p w14:paraId="40E69EBA" w14:textId="77777777" w:rsidR="00B00248" w:rsidRDefault="00B00248" w:rsidP="00500871">
      <w:pPr>
        <w:shd w:val="clear" w:color="auto" w:fill="FFFFFF"/>
        <w:spacing w:after="120"/>
        <w:ind w:leftChars="0" w:left="1440" w:firstLineChars="0" w:firstLine="720"/>
        <w:jc w:val="both"/>
        <w:rPr>
          <w:rFonts w:ascii="Arial" w:eastAsia="Arial" w:hAnsi="Arial" w:cs="Arial"/>
          <w:color w:val="000080"/>
          <w:sz w:val="20"/>
          <w:szCs w:val="20"/>
        </w:rPr>
      </w:pPr>
      <w:r>
        <w:rPr>
          <w:rFonts w:ascii="Arial" w:eastAsia="Arial" w:hAnsi="Arial" w:cs="Arial"/>
          <w:color w:val="000080"/>
          <w:sz w:val="20"/>
          <w:szCs w:val="20"/>
        </w:rPr>
        <w:t xml:space="preserve">     Libmeldy</w:t>
      </w:r>
      <w:r w:rsidRPr="00036243">
        <w:rPr>
          <w:rFonts w:ascii="Arial" w:eastAsia="Arial" w:hAnsi="Arial" w:cs="Arial"/>
          <w:color w:val="000080"/>
          <w:sz w:val="20"/>
          <w:szCs w:val="20"/>
          <w:vertAlign w:val="superscript"/>
        </w:rPr>
        <w:t>®</w:t>
      </w:r>
    </w:p>
    <w:p w14:paraId="6A64191D" w14:textId="77777777" w:rsidR="00B00248" w:rsidRPr="00500871" w:rsidRDefault="00B00248" w:rsidP="00500871">
      <w:pPr>
        <w:shd w:val="clear" w:color="auto" w:fill="FFFFFF"/>
        <w:ind w:left="0" w:hanging="2"/>
        <w:jc w:val="center"/>
        <w:rPr>
          <w:rFonts w:ascii="Arial" w:eastAsia="Arial" w:hAnsi="Arial" w:cs="Arial"/>
          <w:b/>
          <w:sz w:val="20"/>
          <w:szCs w:val="20"/>
        </w:rPr>
      </w:pPr>
      <w:r w:rsidRPr="00500871">
        <w:rPr>
          <w:rFonts w:ascii="Arial" w:eastAsia="Arial" w:hAnsi="Arial" w:cs="Arial"/>
          <w:b/>
          <w:sz w:val="20"/>
          <w:szCs w:val="20"/>
        </w:rPr>
        <w:t>Figura 1. Pacientes con indicación aprobada por la EMA para Libmeldy.</w:t>
      </w:r>
    </w:p>
    <w:p w14:paraId="1D245BAF" w14:textId="77777777" w:rsidR="00B00248" w:rsidRDefault="00B00248">
      <w:pPr>
        <w:shd w:val="clear" w:color="auto" w:fill="FFFFFF"/>
        <w:ind w:left="0" w:hanging="2"/>
        <w:jc w:val="both"/>
        <w:rPr>
          <w:rFonts w:ascii="Arial" w:eastAsia="Arial" w:hAnsi="Arial" w:cs="Arial"/>
          <w:color w:val="000080"/>
          <w:sz w:val="20"/>
          <w:szCs w:val="20"/>
        </w:rPr>
      </w:pPr>
    </w:p>
    <w:p w14:paraId="16DDFC81" w14:textId="77777777" w:rsidR="00500871" w:rsidRDefault="00500871" w:rsidP="00500871">
      <w:pPr>
        <w:shd w:val="clear" w:color="auto" w:fill="FFFFFF"/>
        <w:ind w:left="0" w:hanging="2"/>
        <w:jc w:val="both"/>
        <w:rPr>
          <w:rFonts w:ascii="Arial" w:eastAsia="Arial" w:hAnsi="Arial" w:cs="Arial"/>
          <w:color w:val="0000FF"/>
          <w:sz w:val="20"/>
          <w:szCs w:val="20"/>
        </w:rPr>
      </w:pPr>
      <w:r>
        <w:rPr>
          <w:rFonts w:ascii="Arial" w:eastAsia="Arial" w:hAnsi="Arial" w:cs="Arial"/>
          <w:b/>
          <w:sz w:val="20"/>
          <w:szCs w:val="20"/>
        </w:rPr>
        <w:t>FDA:</w:t>
      </w:r>
      <w:r>
        <w:rPr>
          <w:rFonts w:ascii="Arial" w:eastAsia="Arial" w:hAnsi="Arial" w:cs="Arial"/>
          <w:sz w:val="20"/>
          <w:szCs w:val="20"/>
        </w:rPr>
        <w:tab/>
        <w:t>No disponible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D2C8F9E" w14:textId="77777777" w:rsidR="00B00248" w:rsidRDefault="00B00248" w:rsidP="005D2D7B">
      <w:pPr>
        <w:shd w:val="clear" w:color="auto" w:fill="FFFFFF"/>
        <w:ind w:left="0" w:hanging="2"/>
        <w:jc w:val="both"/>
        <w:rPr>
          <w:rFonts w:ascii="Arial" w:eastAsia="Arial" w:hAnsi="Arial" w:cs="Arial"/>
          <w:color w:val="000080"/>
          <w:sz w:val="20"/>
          <w:szCs w:val="20"/>
        </w:rPr>
      </w:pPr>
    </w:p>
    <w:p w14:paraId="118E876E" w14:textId="77777777" w:rsidR="00500871" w:rsidRDefault="00500871" w:rsidP="005D2D7B">
      <w:pPr>
        <w:shd w:val="clear" w:color="auto" w:fill="FFFFFF"/>
        <w:ind w:left="0" w:hanging="2"/>
        <w:jc w:val="both"/>
        <w:rPr>
          <w:rFonts w:ascii="Arial" w:eastAsia="Arial" w:hAnsi="Arial" w:cs="Arial"/>
          <w:color w:val="000080"/>
          <w:sz w:val="20"/>
          <w:szCs w:val="20"/>
        </w:rPr>
      </w:pPr>
    </w:p>
    <w:p w14:paraId="23EE3113"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bookmarkStart w:id="16" w:name="_heading=h.26in1rg" w:colFirst="0" w:colLast="0"/>
      <w:bookmarkEnd w:id="16"/>
      <w:r>
        <w:rPr>
          <w:rFonts w:ascii="Arial" w:eastAsia="Arial" w:hAnsi="Arial" w:cs="Arial"/>
          <w:b/>
          <w:i/>
          <w:color w:val="000000"/>
          <w:sz w:val="20"/>
          <w:szCs w:val="20"/>
        </w:rPr>
        <w:t>4.3 Posología, forma de preparación y administración.</w:t>
      </w:r>
      <w:r w:rsidR="00500871" w:rsidRPr="00500871">
        <w:rPr>
          <w:rFonts w:ascii="Arial" w:eastAsia="Arial" w:hAnsi="Arial" w:cs="Arial"/>
          <w:b/>
          <w:i/>
          <w:color w:val="000000"/>
          <w:sz w:val="20"/>
          <w:szCs w:val="20"/>
          <w:vertAlign w:val="superscript"/>
        </w:rPr>
        <w:fldChar w:fldCharType="begin"/>
      </w:r>
      <w:r w:rsidR="00500871" w:rsidRPr="00500871">
        <w:rPr>
          <w:rFonts w:ascii="Arial" w:eastAsia="Arial" w:hAnsi="Arial" w:cs="Arial"/>
          <w:b/>
          <w:i/>
          <w:color w:val="000000"/>
          <w:sz w:val="20"/>
          <w:szCs w:val="20"/>
          <w:vertAlign w:val="superscript"/>
        </w:rPr>
        <w:instrText xml:space="preserve"> NOTEREF _Ref66189169 \h  \* MERGEFORMAT </w:instrText>
      </w:r>
      <w:r w:rsidR="00500871" w:rsidRPr="00500871">
        <w:rPr>
          <w:rFonts w:ascii="Arial" w:eastAsia="Arial" w:hAnsi="Arial" w:cs="Arial"/>
          <w:b/>
          <w:i/>
          <w:color w:val="000000"/>
          <w:sz w:val="20"/>
          <w:szCs w:val="20"/>
          <w:vertAlign w:val="superscript"/>
        </w:rPr>
      </w:r>
      <w:r w:rsidR="00500871" w:rsidRPr="00500871">
        <w:rPr>
          <w:rFonts w:ascii="Arial" w:eastAsia="Arial" w:hAnsi="Arial" w:cs="Arial"/>
          <w:b/>
          <w:i/>
          <w:color w:val="000000"/>
          <w:sz w:val="20"/>
          <w:szCs w:val="20"/>
          <w:vertAlign w:val="superscript"/>
        </w:rPr>
        <w:fldChar w:fldCharType="separate"/>
      </w:r>
      <w:r w:rsidR="00942E63">
        <w:rPr>
          <w:rFonts w:ascii="Arial" w:eastAsia="Arial" w:hAnsi="Arial" w:cs="Arial"/>
          <w:b/>
          <w:i/>
          <w:color w:val="000000"/>
          <w:sz w:val="20"/>
          <w:szCs w:val="20"/>
          <w:vertAlign w:val="superscript"/>
        </w:rPr>
        <w:t>7</w:t>
      </w:r>
      <w:r w:rsidR="00500871" w:rsidRPr="00500871">
        <w:rPr>
          <w:rFonts w:ascii="Arial" w:eastAsia="Arial" w:hAnsi="Arial" w:cs="Arial"/>
          <w:b/>
          <w:i/>
          <w:color w:val="000000"/>
          <w:sz w:val="20"/>
          <w:szCs w:val="20"/>
          <w:vertAlign w:val="superscript"/>
        </w:rPr>
        <w:fldChar w:fldCharType="end"/>
      </w:r>
    </w:p>
    <w:p w14:paraId="03DD5C87" w14:textId="77777777" w:rsidR="009D55C9" w:rsidRDefault="009D55C9">
      <w:pPr>
        <w:ind w:left="0" w:hanging="2"/>
        <w:jc w:val="both"/>
        <w:rPr>
          <w:rFonts w:ascii="Arial" w:eastAsia="Arial" w:hAnsi="Arial" w:cs="Arial"/>
          <w:sz w:val="20"/>
          <w:szCs w:val="20"/>
        </w:rPr>
      </w:pPr>
    </w:p>
    <w:p w14:paraId="5E336A7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Se debe administrar en un centro de tratamiento especializado con experiencia en el trasplante de CMH. </w:t>
      </w:r>
    </w:p>
    <w:p w14:paraId="7588B670" w14:textId="77777777" w:rsidR="009D55C9" w:rsidRDefault="009D55C9">
      <w:pPr>
        <w:ind w:left="0" w:hanging="2"/>
        <w:jc w:val="both"/>
        <w:rPr>
          <w:rFonts w:ascii="Arial" w:eastAsia="Arial" w:hAnsi="Arial" w:cs="Arial"/>
          <w:sz w:val="20"/>
          <w:szCs w:val="20"/>
        </w:rPr>
      </w:pPr>
    </w:p>
    <w:p w14:paraId="18CBEB03"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Posología</w:t>
      </w:r>
    </w:p>
    <w:p w14:paraId="6203A389"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La dosis a administrar se define en función del peso del paciente en el momento de la perfusión. La </w:t>
      </w:r>
      <w:r>
        <w:rPr>
          <w:rFonts w:ascii="Arial" w:eastAsia="Arial" w:hAnsi="Arial" w:cs="Arial"/>
          <w:b/>
          <w:sz w:val="20"/>
          <w:szCs w:val="20"/>
        </w:rPr>
        <w:t>dosis mínima</w:t>
      </w:r>
      <w:r>
        <w:rPr>
          <w:rFonts w:ascii="Arial" w:eastAsia="Arial" w:hAnsi="Arial" w:cs="Arial"/>
          <w:sz w:val="20"/>
          <w:szCs w:val="20"/>
        </w:rPr>
        <w:t xml:space="preserve"> recomendada es de </w:t>
      </w:r>
      <w:r>
        <w:rPr>
          <w:rFonts w:ascii="Arial" w:eastAsia="Arial" w:hAnsi="Arial" w:cs="Arial"/>
          <w:b/>
          <w:sz w:val="20"/>
          <w:szCs w:val="20"/>
        </w:rPr>
        <w:t>3 × 10</w:t>
      </w:r>
      <w:r>
        <w:rPr>
          <w:rFonts w:ascii="Arial" w:eastAsia="Arial" w:hAnsi="Arial" w:cs="Arial"/>
          <w:b/>
          <w:sz w:val="20"/>
          <w:szCs w:val="20"/>
          <w:vertAlign w:val="superscript"/>
        </w:rPr>
        <w:t>6</w:t>
      </w:r>
      <w:r>
        <w:rPr>
          <w:rFonts w:ascii="Arial" w:eastAsia="Arial" w:hAnsi="Arial" w:cs="Arial"/>
          <w:b/>
          <w:sz w:val="20"/>
          <w:szCs w:val="20"/>
        </w:rPr>
        <w:t xml:space="preserve"> células CD34</w:t>
      </w:r>
      <w:r>
        <w:rPr>
          <w:rFonts w:ascii="Arial" w:eastAsia="Arial" w:hAnsi="Arial" w:cs="Arial"/>
          <w:b/>
          <w:sz w:val="20"/>
          <w:szCs w:val="20"/>
          <w:vertAlign w:val="superscript"/>
        </w:rPr>
        <w:t>+</w:t>
      </w:r>
      <w:r>
        <w:rPr>
          <w:rFonts w:ascii="Arial" w:eastAsia="Arial" w:hAnsi="Arial" w:cs="Arial"/>
          <w:b/>
          <w:sz w:val="20"/>
          <w:szCs w:val="20"/>
        </w:rPr>
        <w:t>/kg</w:t>
      </w:r>
      <w:r>
        <w:rPr>
          <w:rFonts w:ascii="Arial" w:eastAsia="Arial" w:hAnsi="Arial" w:cs="Arial"/>
          <w:sz w:val="20"/>
          <w:szCs w:val="20"/>
        </w:rPr>
        <w:t xml:space="preserve">. </w:t>
      </w:r>
    </w:p>
    <w:p w14:paraId="40A5A99E"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En los estudios clínicos se han administrado dosis de hasta 30 ×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 xml:space="preserve">/kg. El volumen máximo de administrado debe ser &lt; 20% del volumen de plasma estimado del paciente. </w:t>
      </w:r>
    </w:p>
    <w:p w14:paraId="2E68ECFD"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Está indicado para uso autólogo y solo se debe administrar una vez.</w:t>
      </w:r>
    </w:p>
    <w:p w14:paraId="0A58708B" w14:textId="77777777" w:rsidR="009D55C9" w:rsidRDefault="009D55C9">
      <w:pPr>
        <w:ind w:left="0" w:hanging="2"/>
        <w:jc w:val="both"/>
        <w:rPr>
          <w:rFonts w:ascii="Arial" w:eastAsia="Arial" w:hAnsi="Arial" w:cs="Arial"/>
          <w:sz w:val="20"/>
          <w:szCs w:val="20"/>
        </w:rPr>
      </w:pPr>
    </w:p>
    <w:p w14:paraId="7DE234AC"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 xml:space="preserve">Extracción de médula ósea o movilización de sangre periférica y aféresis </w:t>
      </w:r>
    </w:p>
    <w:p w14:paraId="6A0BA2D1"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Las células CD34</w:t>
      </w:r>
      <w:r>
        <w:rPr>
          <w:rFonts w:ascii="Arial" w:eastAsia="Arial" w:hAnsi="Arial" w:cs="Arial"/>
          <w:sz w:val="20"/>
          <w:szCs w:val="20"/>
          <w:vertAlign w:val="superscript"/>
        </w:rPr>
        <w:t>+</w:t>
      </w:r>
      <w:r>
        <w:rPr>
          <w:rFonts w:ascii="Arial" w:eastAsia="Arial" w:hAnsi="Arial" w:cs="Arial"/>
          <w:sz w:val="20"/>
          <w:szCs w:val="20"/>
        </w:rPr>
        <w:t xml:space="preserve"> autógenas se aíslan de la MO o de la SPM. La decisión de utilizar MO o SPM como material básico para el aislamiento de las células CD34</w:t>
      </w:r>
      <w:r>
        <w:rPr>
          <w:rFonts w:ascii="Arial" w:eastAsia="Arial" w:hAnsi="Arial" w:cs="Arial"/>
          <w:sz w:val="20"/>
          <w:szCs w:val="20"/>
          <w:vertAlign w:val="superscript"/>
        </w:rPr>
        <w:t>+</w:t>
      </w:r>
      <w:r>
        <w:rPr>
          <w:rFonts w:ascii="Arial" w:eastAsia="Arial" w:hAnsi="Arial" w:cs="Arial"/>
          <w:sz w:val="20"/>
          <w:szCs w:val="20"/>
        </w:rPr>
        <w:t xml:space="preserve"> queda a discreción del médico tratante, teniendo en cuenta la edad y el peso del paciente, su estado clínico y la idoneidad del acceso venoso. </w:t>
      </w:r>
    </w:p>
    <w:p w14:paraId="5B72215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general, la SPM es la fuente celular preferente, ya que es menos invasiva para el paciente. No obstante, la MO sería la fuente celular elegida en los lactantes y niños con un peso corporal inferior a 7 kg, en caso de contraindicaciones para utilizar factores de crecimiento/agentes movilizadores y cuando el acceso venoso se considere inadecuado para la colocación de un catéter de aféresis. </w:t>
      </w:r>
    </w:p>
    <w:p w14:paraId="4475D248"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En función del material básico celular, el paciente debería poder donar un mínimo de 8-10 ×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/kg, necesarias para la elaboración de Libmeldy</w:t>
      </w:r>
      <w:r w:rsidR="00D577D6" w:rsidRPr="00D577D6">
        <w:rPr>
          <w:rFonts w:ascii="Arial" w:eastAsia="Arial" w:hAnsi="Arial" w:cs="Arial"/>
          <w:sz w:val="20"/>
          <w:szCs w:val="20"/>
          <w:vertAlign w:val="superscript"/>
        </w:rPr>
        <w:t>®</w:t>
      </w:r>
      <w:r>
        <w:rPr>
          <w:rFonts w:ascii="Arial" w:eastAsia="Arial" w:hAnsi="Arial" w:cs="Arial"/>
          <w:sz w:val="20"/>
          <w:szCs w:val="20"/>
        </w:rPr>
        <w:t>. Si se aíslan las células CD34</w:t>
      </w:r>
      <w:r>
        <w:rPr>
          <w:rFonts w:ascii="Arial" w:eastAsia="Arial" w:hAnsi="Arial" w:cs="Arial"/>
          <w:sz w:val="20"/>
          <w:szCs w:val="20"/>
          <w:vertAlign w:val="superscript"/>
        </w:rPr>
        <w:t>+</w:t>
      </w:r>
      <w:r>
        <w:rPr>
          <w:rFonts w:ascii="Arial" w:eastAsia="Arial" w:hAnsi="Arial" w:cs="Arial"/>
          <w:sz w:val="20"/>
          <w:szCs w:val="20"/>
        </w:rPr>
        <w:t xml:space="preserve"> de la MO, cuando sea posible, la cantidad mínima de células CD34</w:t>
      </w:r>
      <w:r>
        <w:rPr>
          <w:rFonts w:ascii="Arial" w:eastAsia="Arial" w:hAnsi="Arial" w:cs="Arial"/>
          <w:sz w:val="20"/>
          <w:szCs w:val="20"/>
          <w:vertAlign w:val="superscript"/>
        </w:rPr>
        <w:t>+</w:t>
      </w:r>
      <w:r>
        <w:rPr>
          <w:rFonts w:ascii="Arial" w:eastAsia="Arial" w:hAnsi="Arial" w:cs="Arial"/>
          <w:sz w:val="20"/>
          <w:szCs w:val="20"/>
        </w:rPr>
        <w:t xml:space="preserve"> se debe recopilar en un solo procedimiento de extracción de MO. Antes de este procedimiento, se suele utilizar un aspirado inicial de MO para realizar un recuento celular de prueba, que permite estimar el volumen total de MO que se necesitará para obtener un número suficiente de células para la elaboración de medicamentos. Si se aíslan las células CD34</w:t>
      </w:r>
      <w:r>
        <w:rPr>
          <w:rFonts w:ascii="Arial" w:eastAsia="Arial" w:hAnsi="Arial" w:cs="Arial"/>
          <w:sz w:val="20"/>
          <w:szCs w:val="20"/>
          <w:vertAlign w:val="superscript"/>
        </w:rPr>
        <w:t>+</w:t>
      </w:r>
      <w:r>
        <w:rPr>
          <w:rFonts w:ascii="Arial" w:eastAsia="Arial" w:hAnsi="Arial" w:cs="Arial"/>
          <w:sz w:val="20"/>
          <w:szCs w:val="20"/>
        </w:rPr>
        <w:t xml:space="preserve"> de la SPM, se puede obtener la cantidad mínima de células CD34</w:t>
      </w:r>
      <w:r>
        <w:rPr>
          <w:rFonts w:ascii="Arial" w:eastAsia="Arial" w:hAnsi="Arial" w:cs="Arial"/>
          <w:sz w:val="20"/>
          <w:szCs w:val="20"/>
          <w:vertAlign w:val="superscript"/>
        </w:rPr>
        <w:t>+</w:t>
      </w:r>
      <w:r>
        <w:rPr>
          <w:rFonts w:ascii="Arial" w:eastAsia="Arial" w:hAnsi="Arial" w:cs="Arial"/>
          <w:sz w:val="20"/>
          <w:szCs w:val="20"/>
        </w:rPr>
        <w:t xml:space="preserve"> en uno o más ciclos de aféresis.</w:t>
      </w:r>
    </w:p>
    <w:p w14:paraId="7710FF87" w14:textId="77777777" w:rsidR="009D55C9" w:rsidRDefault="009D55C9">
      <w:pPr>
        <w:ind w:left="0" w:hanging="2"/>
        <w:jc w:val="both"/>
        <w:rPr>
          <w:rFonts w:ascii="Arial" w:eastAsia="Arial" w:hAnsi="Arial" w:cs="Arial"/>
          <w:sz w:val="20"/>
          <w:szCs w:val="20"/>
        </w:rPr>
      </w:pPr>
    </w:p>
    <w:tbl>
      <w:tblPr>
        <w:tblStyle w:val="afff2"/>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gridCol w:w="3297"/>
        <w:gridCol w:w="2960"/>
      </w:tblGrid>
      <w:tr w:rsidR="00500871" w14:paraId="2A727781" w14:textId="77777777" w:rsidTr="009D603D">
        <w:tc>
          <w:tcPr>
            <w:tcW w:w="8879" w:type="dxa"/>
            <w:gridSpan w:val="3"/>
          </w:tcPr>
          <w:p w14:paraId="6227C30B" w14:textId="77777777" w:rsidR="00500871" w:rsidRPr="00500871" w:rsidRDefault="00500871" w:rsidP="00500871">
            <w:pPr>
              <w:ind w:left="0" w:hanging="2"/>
              <w:jc w:val="both"/>
              <w:rPr>
                <w:rFonts w:ascii="Arial" w:eastAsia="Arial" w:hAnsi="Arial" w:cs="Arial"/>
                <w:b/>
                <w:sz w:val="20"/>
                <w:szCs w:val="20"/>
              </w:rPr>
            </w:pPr>
            <w:r w:rsidRPr="00500871">
              <w:rPr>
                <w:rFonts w:ascii="Arial" w:eastAsia="Arial" w:hAnsi="Arial" w:cs="Arial"/>
                <w:b/>
                <w:sz w:val="20"/>
                <w:szCs w:val="20"/>
              </w:rPr>
              <w:t>Cantidad de células CD34</w:t>
            </w:r>
            <w:r w:rsidRPr="00500871">
              <w:rPr>
                <w:rFonts w:ascii="Arial" w:eastAsia="Arial" w:hAnsi="Arial" w:cs="Arial"/>
                <w:b/>
                <w:sz w:val="20"/>
                <w:szCs w:val="20"/>
                <w:vertAlign w:val="superscript"/>
              </w:rPr>
              <w:t>+</w:t>
            </w:r>
            <w:r w:rsidRPr="00500871">
              <w:rPr>
                <w:rFonts w:ascii="Arial" w:eastAsia="Arial" w:hAnsi="Arial" w:cs="Arial"/>
                <w:b/>
                <w:sz w:val="20"/>
                <w:szCs w:val="20"/>
              </w:rPr>
              <w:t xml:space="preserve"> necesarias para la fabricación de Libmeldy</w:t>
            </w:r>
            <w:r w:rsidR="00D577D6" w:rsidRPr="00D577D6">
              <w:rPr>
                <w:rFonts w:ascii="Arial" w:eastAsia="Arial" w:hAnsi="Arial" w:cs="Arial"/>
                <w:b/>
                <w:sz w:val="20"/>
                <w:szCs w:val="20"/>
                <w:vertAlign w:val="superscript"/>
              </w:rPr>
              <w:t>®</w:t>
            </w:r>
            <w:r w:rsidRPr="00500871">
              <w:rPr>
                <w:rFonts w:ascii="Arial" w:eastAsia="Arial" w:hAnsi="Arial" w:cs="Arial"/>
                <w:b/>
                <w:sz w:val="20"/>
                <w:szCs w:val="20"/>
              </w:rPr>
              <w:t xml:space="preserve"> en función de la fuente celular</w:t>
            </w:r>
          </w:p>
        </w:tc>
      </w:tr>
      <w:tr w:rsidR="009D55C9" w14:paraId="684C1A4A" w14:textId="77777777" w:rsidTr="009D603D">
        <w:tc>
          <w:tcPr>
            <w:tcW w:w="2622" w:type="dxa"/>
          </w:tcPr>
          <w:p w14:paraId="045F6908"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Fuente celular</w:t>
            </w:r>
          </w:p>
        </w:tc>
        <w:tc>
          <w:tcPr>
            <w:tcW w:w="3297" w:type="dxa"/>
          </w:tcPr>
          <w:p w14:paraId="5B4D113A"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Número mínimo</w:t>
            </w:r>
          </w:p>
        </w:tc>
        <w:tc>
          <w:tcPr>
            <w:tcW w:w="2960" w:type="dxa"/>
          </w:tcPr>
          <w:p w14:paraId="369AB630" w14:textId="77777777" w:rsidR="009D55C9" w:rsidRDefault="005A57E0">
            <w:pPr>
              <w:ind w:left="0" w:hanging="2"/>
              <w:jc w:val="center"/>
              <w:rPr>
                <w:rFonts w:ascii="Arial" w:eastAsia="Arial" w:hAnsi="Arial" w:cs="Arial"/>
                <w:sz w:val="20"/>
                <w:szCs w:val="20"/>
              </w:rPr>
            </w:pPr>
            <w:r>
              <w:rPr>
                <w:rFonts w:ascii="Arial" w:eastAsia="Arial" w:hAnsi="Arial" w:cs="Arial"/>
                <w:b/>
                <w:sz w:val="20"/>
                <w:szCs w:val="20"/>
              </w:rPr>
              <w:t>Rango óptimo</w:t>
            </w:r>
          </w:p>
        </w:tc>
      </w:tr>
      <w:tr w:rsidR="009D55C9" w14:paraId="31D550DD" w14:textId="77777777" w:rsidTr="009D603D">
        <w:tc>
          <w:tcPr>
            <w:tcW w:w="2622" w:type="dxa"/>
          </w:tcPr>
          <w:p w14:paraId="4A997454"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MO</w:t>
            </w:r>
          </w:p>
        </w:tc>
        <w:tc>
          <w:tcPr>
            <w:tcW w:w="3297" w:type="dxa"/>
          </w:tcPr>
          <w:p w14:paraId="7C10A67C"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10</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D577D6">
              <w:rPr>
                <w:rFonts w:ascii="Arial" w:eastAsia="Arial" w:hAnsi="Arial" w:cs="Arial"/>
                <w:sz w:val="20"/>
                <w:szCs w:val="20"/>
                <w:vertAlign w:val="superscript"/>
              </w:rPr>
              <w:t>+</w:t>
            </w:r>
            <w:r w:rsidR="00500871" w:rsidRPr="00500871">
              <w:rPr>
                <w:rFonts w:ascii="Arial" w:eastAsia="Arial" w:hAnsi="Arial" w:cs="Arial"/>
                <w:sz w:val="20"/>
                <w:szCs w:val="20"/>
              </w:rPr>
              <w:t>/kg</w:t>
            </w:r>
          </w:p>
        </w:tc>
        <w:tc>
          <w:tcPr>
            <w:tcW w:w="2960" w:type="dxa"/>
          </w:tcPr>
          <w:p w14:paraId="25CFD96F"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20-40</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500871">
              <w:rPr>
                <w:rFonts w:ascii="Arial" w:eastAsia="Arial" w:hAnsi="Arial" w:cs="Arial"/>
                <w:sz w:val="20"/>
                <w:szCs w:val="20"/>
                <w:vertAlign w:val="superscript"/>
              </w:rPr>
              <w:t>+</w:t>
            </w:r>
            <w:r w:rsidR="00500871" w:rsidRPr="00500871">
              <w:rPr>
                <w:rFonts w:ascii="Arial" w:eastAsia="Arial" w:hAnsi="Arial" w:cs="Arial"/>
                <w:sz w:val="20"/>
                <w:szCs w:val="20"/>
              </w:rPr>
              <w:t>/kg</w:t>
            </w:r>
          </w:p>
        </w:tc>
      </w:tr>
      <w:tr w:rsidR="009D55C9" w14:paraId="32E01A83" w14:textId="77777777" w:rsidTr="009D603D">
        <w:tc>
          <w:tcPr>
            <w:tcW w:w="2622" w:type="dxa"/>
          </w:tcPr>
          <w:p w14:paraId="5F8C0A72"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SPM</w:t>
            </w:r>
          </w:p>
        </w:tc>
        <w:tc>
          <w:tcPr>
            <w:tcW w:w="3297" w:type="dxa"/>
          </w:tcPr>
          <w:p w14:paraId="1A79A14A"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8</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500871">
              <w:rPr>
                <w:rFonts w:ascii="Arial" w:eastAsia="Arial" w:hAnsi="Arial" w:cs="Arial"/>
                <w:sz w:val="20"/>
                <w:szCs w:val="20"/>
                <w:vertAlign w:val="superscript"/>
              </w:rPr>
              <w:t>+</w:t>
            </w:r>
            <w:r w:rsidR="00500871" w:rsidRPr="00500871">
              <w:rPr>
                <w:rFonts w:ascii="Arial" w:eastAsia="Arial" w:hAnsi="Arial" w:cs="Arial"/>
                <w:sz w:val="20"/>
                <w:szCs w:val="20"/>
              </w:rPr>
              <w:t>/kg</w:t>
            </w:r>
          </w:p>
        </w:tc>
        <w:tc>
          <w:tcPr>
            <w:tcW w:w="2960" w:type="dxa"/>
          </w:tcPr>
          <w:p w14:paraId="472D609C" w14:textId="77777777" w:rsidR="009D55C9" w:rsidRDefault="005A57E0">
            <w:pPr>
              <w:ind w:left="0" w:hanging="2"/>
              <w:jc w:val="center"/>
              <w:rPr>
                <w:rFonts w:ascii="Arial" w:eastAsia="Arial" w:hAnsi="Arial" w:cs="Arial"/>
                <w:sz w:val="20"/>
                <w:szCs w:val="20"/>
              </w:rPr>
            </w:pPr>
            <w:r>
              <w:rPr>
                <w:rFonts w:ascii="Arial" w:eastAsia="Arial" w:hAnsi="Arial" w:cs="Arial"/>
                <w:sz w:val="20"/>
                <w:szCs w:val="20"/>
              </w:rPr>
              <w:t>20-30</w:t>
            </w:r>
            <w:r w:rsidR="00500871">
              <w:rPr>
                <w:rFonts w:ascii="Arial" w:eastAsia="Arial" w:hAnsi="Arial" w:cs="Arial"/>
                <w:sz w:val="20"/>
                <w:szCs w:val="20"/>
              </w:rPr>
              <w:t xml:space="preserve"> x </w:t>
            </w:r>
            <w:r w:rsidR="00500871" w:rsidRPr="00500871">
              <w:rPr>
                <w:rFonts w:ascii="Arial" w:eastAsia="Arial" w:hAnsi="Arial" w:cs="Arial"/>
                <w:sz w:val="20"/>
                <w:szCs w:val="20"/>
              </w:rPr>
              <w:t>10</w:t>
            </w:r>
            <w:r w:rsidR="00500871" w:rsidRPr="00500871">
              <w:rPr>
                <w:rFonts w:ascii="Arial" w:eastAsia="Arial" w:hAnsi="Arial" w:cs="Arial"/>
                <w:sz w:val="20"/>
                <w:szCs w:val="20"/>
                <w:vertAlign w:val="superscript"/>
              </w:rPr>
              <w:t>6</w:t>
            </w:r>
            <w:r w:rsidR="00500871" w:rsidRPr="00500871">
              <w:rPr>
                <w:rFonts w:ascii="Arial" w:eastAsia="Arial" w:hAnsi="Arial" w:cs="Arial"/>
                <w:sz w:val="20"/>
                <w:szCs w:val="20"/>
              </w:rPr>
              <w:t xml:space="preserve"> células CD34</w:t>
            </w:r>
            <w:r w:rsidR="00500871" w:rsidRPr="00500871">
              <w:rPr>
                <w:rFonts w:ascii="Arial" w:eastAsia="Arial" w:hAnsi="Arial" w:cs="Arial"/>
                <w:sz w:val="20"/>
                <w:szCs w:val="20"/>
                <w:vertAlign w:val="superscript"/>
              </w:rPr>
              <w:t>+</w:t>
            </w:r>
            <w:r w:rsidR="00500871" w:rsidRPr="00500871">
              <w:rPr>
                <w:rFonts w:ascii="Arial" w:eastAsia="Arial" w:hAnsi="Arial" w:cs="Arial"/>
                <w:sz w:val="20"/>
                <w:szCs w:val="20"/>
              </w:rPr>
              <w:t>/kg</w:t>
            </w:r>
          </w:p>
        </w:tc>
      </w:tr>
    </w:tbl>
    <w:p w14:paraId="5A65E543" w14:textId="77777777" w:rsidR="009D55C9" w:rsidRDefault="009D55C9">
      <w:pPr>
        <w:ind w:left="0" w:hanging="2"/>
        <w:jc w:val="both"/>
        <w:rPr>
          <w:rFonts w:ascii="Arial" w:eastAsia="Arial" w:hAnsi="Arial" w:cs="Arial"/>
          <w:sz w:val="20"/>
          <w:szCs w:val="20"/>
        </w:rPr>
      </w:pPr>
    </w:p>
    <w:p w14:paraId="121914BC"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Si después de la elaboración del medicamento no se alcanza la dosis mínima de 3 ×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/kg, el paciente puede someterse a una nueva extracción de MO o a un nuevo protocolo de movilización con uno o más ciclos de aféresis, con el objetivo de obtener más células para la elaboración adicional.</w:t>
      </w:r>
    </w:p>
    <w:p w14:paraId="673D1828"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También se requiere realizar una extracción de reserva de CMH que contenga al menos 2 x 10</w:t>
      </w:r>
      <w:r>
        <w:rPr>
          <w:rFonts w:ascii="Arial" w:eastAsia="Arial" w:hAnsi="Arial" w:cs="Arial"/>
          <w:sz w:val="20"/>
          <w:szCs w:val="20"/>
          <w:vertAlign w:val="superscript"/>
        </w:rPr>
        <w:t>6</w:t>
      </w:r>
      <w:r>
        <w:rPr>
          <w:rFonts w:ascii="Arial" w:eastAsia="Arial" w:hAnsi="Arial" w:cs="Arial"/>
          <w:sz w:val="20"/>
          <w:szCs w:val="20"/>
        </w:rPr>
        <w:t xml:space="preserve"> células CD34</w:t>
      </w:r>
      <w:r>
        <w:rPr>
          <w:rFonts w:ascii="Arial" w:eastAsia="Arial" w:hAnsi="Arial" w:cs="Arial"/>
          <w:sz w:val="20"/>
          <w:szCs w:val="20"/>
          <w:vertAlign w:val="superscript"/>
        </w:rPr>
        <w:t>+</w:t>
      </w:r>
      <w:r>
        <w:rPr>
          <w:rFonts w:ascii="Arial" w:eastAsia="Arial" w:hAnsi="Arial" w:cs="Arial"/>
          <w:sz w:val="20"/>
          <w:szCs w:val="20"/>
        </w:rPr>
        <w:t>/kg para su uso como tratamiento de rescate en caso de que la calidad de Libmeldy</w:t>
      </w:r>
      <w:r w:rsidR="00D577D6" w:rsidRPr="00D577D6">
        <w:rPr>
          <w:rFonts w:ascii="Arial" w:eastAsia="Arial" w:hAnsi="Arial" w:cs="Arial"/>
          <w:sz w:val="20"/>
          <w:szCs w:val="20"/>
          <w:vertAlign w:val="superscript"/>
        </w:rPr>
        <w:t>®</w:t>
      </w:r>
      <w:r>
        <w:rPr>
          <w:rFonts w:ascii="Arial" w:eastAsia="Arial" w:hAnsi="Arial" w:cs="Arial"/>
          <w:sz w:val="20"/>
          <w:szCs w:val="20"/>
        </w:rPr>
        <w:t xml:space="preserve"> se vea afectada después del inicio del acondicionamiento mieloablativo y antes de la perfusión del tratamiento, de un fallo primario del injerto o de una aplasia prolongada de la MO después del tratamiento. Estas células se deben extraer del paciente en el momento de la extracción de MO o aféresis de SPM y se deberán criopreservar antes del acondicionamiento mieloablativo.</w:t>
      </w:r>
    </w:p>
    <w:p w14:paraId="2DD4A8A6" w14:textId="77777777" w:rsidR="009D55C9" w:rsidRDefault="009D55C9">
      <w:pPr>
        <w:ind w:left="0" w:hanging="2"/>
        <w:jc w:val="both"/>
        <w:rPr>
          <w:rFonts w:ascii="Arial" w:eastAsia="Arial" w:hAnsi="Arial" w:cs="Arial"/>
          <w:sz w:val="20"/>
          <w:szCs w:val="20"/>
        </w:rPr>
      </w:pPr>
    </w:p>
    <w:p w14:paraId="5256B448"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Movilización de sangre periférica</w:t>
      </w:r>
      <w:r w:rsidR="00D577D6">
        <w:rPr>
          <w:rFonts w:ascii="Arial" w:eastAsia="Arial" w:hAnsi="Arial" w:cs="Arial"/>
          <w:sz w:val="20"/>
          <w:szCs w:val="20"/>
          <w:u w:val="single"/>
        </w:rPr>
        <w:t>.</w:t>
      </w:r>
      <w:r>
        <w:rPr>
          <w:rFonts w:ascii="Arial" w:eastAsia="Arial" w:hAnsi="Arial" w:cs="Arial"/>
          <w:sz w:val="20"/>
          <w:szCs w:val="20"/>
          <w:u w:val="single"/>
        </w:rPr>
        <w:t xml:space="preserve"> </w:t>
      </w:r>
    </w:p>
    <w:p w14:paraId="634F0F09"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Cuando se opta por utilizar SPM como material básico, los pacientes deben someterse a la movilización de CMH con factor estimulante de colonias de granulocitos (FEC-G)</w:t>
      </w:r>
      <w:r w:rsidR="00D577D6">
        <w:rPr>
          <w:rFonts w:ascii="Arial" w:eastAsia="Arial" w:hAnsi="Arial" w:cs="Arial"/>
          <w:sz w:val="20"/>
          <w:szCs w:val="20"/>
        </w:rPr>
        <w:t>,</w:t>
      </w:r>
      <w:r>
        <w:rPr>
          <w:rFonts w:ascii="Arial" w:eastAsia="Arial" w:hAnsi="Arial" w:cs="Arial"/>
          <w:sz w:val="20"/>
          <w:szCs w:val="20"/>
        </w:rPr>
        <w:t xml:space="preserve"> con o sin plerixafor</w:t>
      </w:r>
      <w:r w:rsidR="00D577D6">
        <w:rPr>
          <w:rFonts w:ascii="Arial" w:eastAsia="Arial" w:hAnsi="Arial" w:cs="Arial"/>
          <w:sz w:val="20"/>
          <w:szCs w:val="20"/>
        </w:rPr>
        <w:t>,</w:t>
      </w:r>
      <w:r>
        <w:rPr>
          <w:rFonts w:ascii="Arial" w:eastAsia="Arial" w:hAnsi="Arial" w:cs="Arial"/>
          <w:sz w:val="20"/>
          <w:szCs w:val="20"/>
        </w:rPr>
        <w:t xml:space="preserve"> seguido de una aféresis para obtener células madre CD34</w:t>
      </w:r>
      <w:r>
        <w:rPr>
          <w:rFonts w:ascii="Arial" w:eastAsia="Arial" w:hAnsi="Arial" w:cs="Arial"/>
          <w:sz w:val="20"/>
          <w:szCs w:val="20"/>
          <w:vertAlign w:val="superscript"/>
        </w:rPr>
        <w:t>+</w:t>
      </w:r>
      <w:r>
        <w:rPr>
          <w:rFonts w:ascii="Arial" w:eastAsia="Arial" w:hAnsi="Arial" w:cs="Arial"/>
          <w:sz w:val="20"/>
          <w:szCs w:val="20"/>
        </w:rPr>
        <w:t xml:space="preserve"> para la elaboración del medicamento.</w:t>
      </w:r>
    </w:p>
    <w:p w14:paraId="6B00C726" w14:textId="77777777" w:rsidR="009D55C9" w:rsidRDefault="009D55C9">
      <w:pPr>
        <w:ind w:left="0" w:hanging="2"/>
        <w:jc w:val="both"/>
        <w:rPr>
          <w:rFonts w:ascii="Arial" w:eastAsia="Arial" w:hAnsi="Arial" w:cs="Arial"/>
          <w:sz w:val="20"/>
          <w:szCs w:val="20"/>
        </w:rPr>
      </w:pPr>
    </w:p>
    <w:p w14:paraId="17E4F8D0"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 xml:space="preserve">Acondicionamiento anterior al tratamiento recomendado </w:t>
      </w:r>
    </w:p>
    <w:p w14:paraId="462A0EB7"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El busulfán es el medicamento recomendado para el acondicionamiento, que no debe comenzar hasta que se haya recibido y almacenado en el centro de tratamiento especializado el juego completo de bolsa(s) de perfusión que constituye la dosis de Libmeldy</w:t>
      </w:r>
      <w:r w:rsidR="00D577D6" w:rsidRPr="00D577D6">
        <w:rPr>
          <w:rFonts w:ascii="Arial" w:eastAsia="Arial" w:hAnsi="Arial" w:cs="Arial"/>
          <w:sz w:val="20"/>
          <w:szCs w:val="20"/>
          <w:vertAlign w:val="superscript"/>
        </w:rPr>
        <w:t>®</w:t>
      </w:r>
      <w:r>
        <w:rPr>
          <w:rFonts w:ascii="Arial" w:eastAsia="Arial" w:hAnsi="Arial" w:cs="Arial"/>
          <w:sz w:val="20"/>
          <w:szCs w:val="20"/>
        </w:rPr>
        <w:t xml:space="preserve"> y se confirme la disponibilidad de la extracción de reserva. </w:t>
      </w:r>
    </w:p>
    <w:p w14:paraId="56836370"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Al mismo tiempo que el régimen de acondicionamiento, se recomienda que los pacientes reciban profilaxis para la enfermedad venooclusiva (EVO) y las complicaciones de lesiones endoteliales relacionadas, es decir, la microangiopatía trombótica asociada al trasplante (MAT-AT) o el síndrome hemolítico urémico atípico (SHUa). </w:t>
      </w:r>
    </w:p>
    <w:p w14:paraId="098A9B2E"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función del régimen de acondicionamiento, también se debe considerar una profilaxis anticonvulsiva. No se recomienda la fenitoína porque puede favorecer la eliminación del busulfán. Se debe considerar el uso profiláctico y empírico de antiinfecciosos (bacterianos, fúngicos, víricos), especialmente durante el periodo neutropénico posterior al acondicionamiento. Se recomienda un seguimiento rutinario de los virus más comunes sujetos a reactivación según las directrices locales. Durante la hospitalización se deben emplear medidas de control de la infección y procedimientos de aislamiento de acuerdo con las normas locales. </w:t>
      </w:r>
    </w:p>
    <w:p w14:paraId="256FDEDF" w14:textId="77777777" w:rsidR="009D55C9" w:rsidRDefault="009D55C9">
      <w:pPr>
        <w:ind w:left="0" w:hanging="2"/>
        <w:jc w:val="both"/>
        <w:rPr>
          <w:rFonts w:ascii="Arial" w:eastAsia="Arial" w:hAnsi="Arial" w:cs="Arial"/>
          <w:sz w:val="20"/>
          <w:szCs w:val="20"/>
        </w:rPr>
      </w:pPr>
    </w:p>
    <w:p w14:paraId="4FC5DC77"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 xml:space="preserve">Medicación previa </w:t>
      </w:r>
    </w:p>
    <w:p w14:paraId="74A797B2"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Se recomienda administrar clorfeniramina por vía intravenosa (0,25 mg/kg, dosis máxima de 10 mg), o un medicamento equivalente, de 15 a 30 minutos antes de la perfusión de Libmeldy</w:t>
      </w:r>
      <w:r w:rsidR="00D577D6" w:rsidRPr="00D577D6">
        <w:rPr>
          <w:rFonts w:ascii="Arial" w:eastAsia="Arial" w:hAnsi="Arial" w:cs="Arial"/>
          <w:sz w:val="20"/>
          <w:szCs w:val="20"/>
          <w:vertAlign w:val="superscript"/>
        </w:rPr>
        <w:t>®</w:t>
      </w:r>
      <w:r>
        <w:rPr>
          <w:rFonts w:ascii="Arial" w:eastAsia="Arial" w:hAnsi="Arial" w:cs="Arial"/>
          <w:sz w:val="20"/>
          <w:szCs w:val="20"/>
        </w:rPr>
        <w:t xml:space="preserve"> para reducir la posibilidad de una respuesta alérgica.</w:t>
      </w:r>
    </w:p>
    <w:p w14:paraId="5C737907" w14:textId="77777777" w:rsidR="009D55C9" w:rsidRDefault="009D55C9">
      <w:pPr>
        <w:ind w:left="0" w:hanging="2"/>
        <w:jc w:val="both"/>
        <w:rPr>
          <w:rFonts w:ascii="Arial" w:eastAsia="Arial" w:hAnsi="Arial" w:cs="Arial"/>
          <w:sz w:val="20"/>
          <w:szCs w:val="20"/>
        </w:rPr>
      </w:pPr>
    </w:p>
    <w:p w14:paraId="54F6FB00" w14:textId="77777777" w:rsidR="009D55C9" w:rsidRDefault="009D55C9">
      <w:pPr>
        <w:ind w:left="0" w:hanging="2"/>
        <w:jc w:val="both"/>
        <w:rPr>
          <w:rFonts w:ascii="Arial" w:eastAsia="Arial" w:hAnsi="Arial" w:cs="Arial"/>
          <w:sz w:val="20"/>
          <w:szCs w:val="20"/>
        </w:rPr>
      </w:pPr>
      <w:bookmarkStart w:id="17" w:name="_heading=h.lnxbz9" w:colFirst="0" w:colLast="0"/>
      <w:bookmarkEnd w:id="17"/>
    </w:p>
    <w:p w14:paraId="220819B3"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4.4 Utilización en poblaciones especiales.</w:t>
      </w:r>
      <w:r w:rsidR="001E3FEE" w:rsidRPr="001E3FEE">
        <w:rPr>
          <w:rFonts w:ascii="Arial" w:eastAsia="Arial" w:hAnsi="Arial" w:cs="Arial"/>
          <w:b/>
          <w:i/>
          <w:color w:val="000000"/>
          <w:sz w:val="20"/>
          <w:szCs w:val="20"/>
          <w:vertAlign w:val="superscript"/>
        </w:rPr>
        <w:fldChar w:fldCharType="begin"/>
      </w:r>
      <w:r w:rsidR="001E3FEE" w:rsidRPr="001E3FEE">
        <w:rPr>
          <w:rFonts w:ascii="Arial" w:eastAsia="Arial" w:hAnsi="Arial" w:cs="Arial"/>
          <w:b/>
          <w:i/>
          <w:color w:val="000000"/>
          <w:sz w:val="20"/>
          <w:szCs w:val="20"/>
          <w:vertAlign w:val="superscript"/>
        </w:rPr>
        <w:instrText xml:space="preserve"> NOTEREF _Ref66189169 \h  \* MERGEFORMAT </w:instrText>
      </w:r>
      <w:r w:rsidR="001E3FEE" w:rsidRPr="001E3FEE">
        <w:rPr>
          <w:rFonts w:ascii="Arial" w:eastAsia="Arial" w:hAnsi="Arial" w:cs="Arial"/>
          <w:b/>
          <w:i/>
          <w:color w:val="000000"/>
          <w:sz w:val="20"/>
          <w:szCs w:val="20"/>
          <w:vertAlign w:val="superscript"/>
        </w:rPr>
      </w:r>
      <w:r w:rsidR="001E3FEE" w:rsidRPr="001E3FEE">
        <w:rPr>
          <w:rFonts w:ascii="Arial" w:eastAsia="Arial" w:hAnsi="Arial" w:cs="Arial"/>
          <w:b/>
          <w:i/>
          <w:color w:val="000000"/>
          <w:sz w:val="20"/>
          <w:szCs w:val="20"/>
          <w:vertAlign w:val="superscript"/>
        </w:rPr>
        <w:fldChar w:fldCharType="separate"/>
      </w:r>
      <w:r w:rsidR="00942E63">
        <w:rPr>
          <w:rFonts w:ascii="Arial" w:eastAsia="Arial" w:hAnsi="Arial" w:cs="Arial"/>
          <w:b/>
          <w:i/>
          <w:color w:val="000000"/>
          <w:sz w:val="20"/>
          <w:szCs w:val="20"/>
          <w:vertAlign w:val="superscript"/>
        </w:rPr>
        <w:t>7</w:t>
      </w:r>
      <w:r w:rsidR="001E3FEE" w:rsidRPr="001E3FEE">
        <w:rPr>
          <w:rFonts w:ascii="Arial" w:eastAsia="Arial" w:hAnsi="Arial" w:cs="Arial"/>
          <w:b/>
          <w:i/>
          <w:color w:val="000000"/>
          <w:sz w:val="20"/>
          <w:szCs w:val="20"/>
          <w:vertAlign w:val="superscript"/>
        </w:rPr>
        <w:fldChar w:fldCharType="end"/>
      </w:r>
    </w:p>
    <w:p w14:paraId="2BCEB4AE" w14:textId="77777777" w:rsidR="009D55C9" w:rsidRDefault="009D55C9">
      <w:pPr>
        <w:ind w:left="0" w:hanging="2"/>
        <w:jc w:val="both"/>
        <w:rPr>
          <w:rFonts w:ascii="Arial" w:eastAsia="Arial" w:hAnsi="Arial" w:cs="Arial"/>
          <w:sz w:val="20"/>
          <w:szCs w:val="20"/>
        </w:rPr>
      </w:pPr>
    </w:p>
    <w:p w14:paraId="33F64A15"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Pediatría</w:t>
      </w:r>
      <w:r w:rsidR="001E3FEE">
        <w:rPr>
          <w:rFonts w:ascii="Arial" w:eastAsia="Arial" w:hAnsi="Arial" w:cs="Arial"/>
          <w:sz w:val="20"/>
          <w:szCs w:val="20"/>
          <w:u w:val="single"/>
        </w:rPr>
        <w:t>.</w:t>
      </w:r>
      <w:r>
        <w:rPr>
          <w:rFonts w:ascii="Arial" w:eastAsia="Arial" w:hAnsi="Arial" w:cs="Arial"/>
          <w:sz w:val="20"/>
          <w:szCs w:val="20"/>
        </w:rPr>
        <w:t xml:space="preserve"> No se ha establecido todavía la seguridad y la eficacia en pacientes con la </w:t>
      </w:r>
      <w:r w:rsidRPr="001E3FEE">
        <w:rPr>
          <w:rFonts w:ascii="Arial" w:eastAsia="Arial" w:hAnsi="Arial" w:cs="Arial"/>
          <w:b/>
          <w:sz w:val="20"/>
          <w:szCs w:val="20"/>
        </w:rPr>
        <w:t>forma juvenil tardía</w:t>
      </w:r>
      <w:r>
        <w:rPr>
          <w:rFonts w:ascii="Arial" w:eastAsia="Arial" w:hAnsi="Arial" w:cs="Arial"/>
          <w:sz w:val="20"/>
          <w:szCs w:val="20"/>
        </w:rPr>
        <w:t xml:space="preserve"> de la enfermedad (es decir, con un inicio habitual </w:t>
      </w:r>
      <w:r w:rsidRPr="001E3FEE">
        <w:rPr>
          <w:rFonts w:ascii="Arial" w:eastAsia="Arial" w:hAnsi="Arial" w:cs="Arial"/>
          <w:b/>
          <w:sz w:val="20"/>
          <w:szCs w:val="20"/>
        </w:rPr>
        <w:t>después de los 7 años de edad</w:t>
      </w:r>
      <w:r>
        <w:rPr>
          <w:rFonts w:ascii="Arial" w:eastAsia="Arial" w:hAnsi="Arial" w:cs="Arial"/>
          <w:sz w:val="20"/>
          <w:szCs w:val="20"/>
        </w:rPr>
        <w:t>). No se dispone de datos.</w:t>
      </w:r>
    </w:p>
    <w:p w14:paraId="0A84DD6D" w14:textId="77777777" w:rsidR="009D55C9" w:rsidRPr="005D404C" w:rsidRDefault="009D55C9" w:rsidP="005D404C">
      <w:pPr>
        <w:jc w:val="both"/>
        <w:rPr>
          <w:rFonts w:ascii="Arial" w:eastAsia="Arial" w:hAnsi="Arial" w:cs="Arial"/>
          <w:sz w:val="12"/>
          <w:szCs w:val="20"/>
        </w:rPr>
      </w:pPr>
    </w:p>
    <w:p w14:paraId="262F5140"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Mayores de 65 años</w:t>
      </w:r>
      <w:r w:rsidR="001E3FEE">
        <w:rPr>
          <w:rFonts w:ascii="Arial" w:eastAsia="Arial" w:hAnsi="Arial" w:cs="Arial"/>
          <w:sz w:val="20"/>
          <w:szCs w:val="20"/>
        </w:rPr>
        <w:t>.</w:t>
      </w:r>
      <w:r>
        <w:rPr>
          <w:rFonts w:ascii="Arial" w:eastAsia="Arial" w:hAnsi="Arial" w:cs="Arial"/>
          <w:sz w:val="20"/>
          <w:szCs w:val="20"/>
        </w:rPr>
        <w:t xml:space="preserve"> No se ha estudiado suficientemente.</w:t>
      </w:r>
    </w:p>
    <w:p w14:paraId="004CD600" w14:textId="77777777" w:rsidR="009D55C9" w:rsidRPr="005D404C" w:rsidRDefault="009D55C9" w:rsidP="005D404C">
      <w:pPr>
        <w:jc w:val="both"/>
        <w:rPr>
          <w:rFonts w:ascii="Arial" w:eastAsia="Arial" w:hAnsi="Arial" w:cs="Arial"/>
          <w:sz w:val="12"/>
          <w:szCs w:val="20"/>
        </w:rPr>
      </w:pPr>
    </w:p>
    <w:p w14:paraId="1EBA77FF"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Insuficiencia renal</w:t>
      </w:r>
      <w:r w:rsidR="001E3FEE">
        <w:rPr>
          <w:rFonts w:ascii="Arial" w:eastAsia="Arial" w:hAnsi="Arial" w:cs="Arial"/>
          <w:sz w:val="20"/>
          <w:szCs w:val="20"/>
        </w:rPr>
        <w:t>.</w:t>
      </w:r>
      <w:r>
        <w:rPr>
          <w:rFonts w:ascii="Arial" w:eastAsia="Arial" w:hAnsi="Arial" w:cs="Arial"/>
          <w:sz w:val="20"/>
          <w:szCs w:val="20"/>
        </w:rPr>
        <w:t xml:space="preserve"> No se ha estudiado suficientemente. Se debe evaluar a los pacientes para determinar si tienen insuficiencia renal y asegurar que la administración de la </w:t>
      </w:r>
      <w:r w:rsidR="00BD2296">
        <w:rPr>
          <w:rFonts w:ascii="Arial" w:eastAsia="Arial" w:hAnsi="Arial" w:cs="Arial"/>
          <w:sz w:val="20"/>
          <w:szCs w:val="20"/>
        </w:rPr>
        <w:t>TG</w:t>
      </w:r>
      <w:r>
        <w:rPr>
          <w:rFonts w:ascii="Arial" w:eastAsia="Arial" w:hAnsi="Arial" w:cs="Arial"/>
          <w:sz w:val="20"/>
          <w:szCs w:val="20"/>
        </w:rPr>
        <w:t xml:space="preserve"> autógena con CMH sea adecuada. No se requiere ajustar la dosis.</w:t>
      </w:r>
    </w:p>
    <w:p w14:paraId="729A3BBD" w14:textId="77777777" w:rsidR="009D55C9" w:rsidRPr="005D404C" w:rsidRDefault="009D55C9" w:rsidP="005D404C">
      <w:pPr>
        <w:jc w:val="both"/>
        <w:rPr>
          <w:rFonts w:ascii="Arial" w:eastAsia="Arial" w:hAnsi="Arial" w:cs="Arial"/>
          <w:sz w:val="12"/>
          <w:szCs w:val="20"/>
        </w:rPr>
      </w:pPr>
    </w:p>
    <w:p w14:paraId="21F2C28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u w:val="single"/>
        </w:rPr>
        <w:t>Insuficiencia hepática</w:t>
      </w:r>
      <w:r w:rsidR="001E3FEE">
        <w:rPr>
          <w:rFonts w:ascii="Arial" w:eastAsia="Arial" w:hAnsi="Arial" w:cs="Arial"/>
          <w:sz w:val="20"/>
          <w:szCs w:val="20"/>
        </w:rPr>
        <w:t>.</w:t>
      </w:r>
      <w:r>
        <w:rPr>
          <w:rFonts w:ascii="Arial" w:eastAsia="Arial" w:hAnsi="Arial" w:cs="Arial"/>
          <w:sz w:val="20"/>
          <w:szCs w:val="20"/>
        </w:rPr>
        <w:t xml:space="preserve"> No se ha estudiado suficientemente. Se debe evaluar a los pacientes para determinar si tienen insuficiencia hepática y asegurar que la administración de la </w:t>
      </w:r>
      <w:r w:rsidR="00BD2296">
        <w:rPr>
          <w:rFonts w:ascii="Arial" w:eastAsia="Arial" w:hAnsi="Arial" w:cs="Arial"/>
          <w:sz w:val="20"/>
          <w:szCs w:val="20"/>
        </w:rPr>
        <w:t>TG</w:t>
      </w:r>
      <w:r>
        <w:rPr>
          <w:rFonts w:ascii="Arial" w:eastAsia="Arial" w:hAnsi="Arial" w:cs="Arial"/>
          <w:sz w:val="20"/>
          <w:szCs w:val="20"/>
        </w:rPr>
        <w:t xml:space="preserve"> autógena con CMH sea adecuada. No se requiere ajustar la dosis.</w:t>
      </w:r>
    </w:p>
    <w:p w14:paraId="791DEBCA" w14:textId="77777777" w:rsidR="009D55C9" w:rsidRDefault="009D55C9">
      <w:pPr>
        <w:ind w:left="0" w:hanging="2"/>
        <w:jc w:val="both"/>
        <w:rPr>
          <w:rFonts w:ascii="Arial" w:eastAsia="Arial" w:hAnsi="Arial" w:cs="Arial"/>
          <w:color w:val="0000FF"/>
          <w:sz w:val="20"/>
          <w:szCs w:val="20"/>
        </w:rPr>
      </w:pPr>
    </w:p>
    <w:p w14:paraId="0BEBA56A" w14:textId="77777777" w:rsidR="005D2D7B" w:rsidRDefault="005D2D7B">
      <w:pPr>
        <w:ind w:left="0" w:hanging="2"/>
        <w:jc w:val="both"/>
        <w:rPr>
          <w:rFonts w:ascii="Arial" w:eastAsia="Arial" w:hAnsi="Arial" w:cs="Arial"/>
          <w:color w:val="0000FF"/>
          <w:sz w:val="20"/>
          <w:szCs w:val="20"/>
        </w:rPr>
      </w:pPr>
    </w:p>
    <w:p w14:paraId="6A357EE4"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bookmarkStart w:id="18" w:name="_heading=h.35nkun2" w:colFirst="0" w:colLast="0"/>
      <w:bookmarkEnd w:id="18"/>
      <w:r>
        <w:rPr>
          <w:rFonts w:ascii="Arial" w:eastAsia="Arial" w:hAnsi="Arial" w:cs="Arial"/>
          <w:b/>
          <w:i/>
          <w:color w:val="000000"/>
          <w:sz w:val="20"/>
          <w:szCs w:val="20"/>
        </w:rPr>
        <w:t>4.5 Farmacocinética.</w:t>
      </w:r>
      <w:r w:rsidR="001E3FEE" w:rsidRPr="001E3FEE">
        <w:rPr>
          <w:rFonts w:ascii="Arial" w:eastAsia="Arial" w:hAnsi="Arial" w:cs="Arial"/>
          <w:b/>
          <w:i/>
          <w:color w:val="000000"/>
          <w:sz w:val="20"/>
          <w:szCs w:val="20"/>
          <w:vertAlign w:val="superscript"/>
        </w:rPr>
        <w:fldChar w:fldCharType="begin"/>
      </w:r>
      <w:r w:rsidR="001E3FEE" w:rsidRPr="001E3FEE">
        <w:rPr>
          <w:rFonts w:ascii="Arial" w:eastAsia="Arial" w:hAnsi="Arial" w:cs="Arial"/>
          <w:b/>
          <w:i/>
          <w:color w:val="000000"/>
          <w:sz w:val="20"/>
          <w:szCs w:val="20"/>
          <w:vertAlign w:val="superscript"/>
        </w:rPr>
        <w:instrText xml:space="preserve"> NOTEREF _Ref66189169 \h  \* MERGEFORMAT </w:instrText>
      </w:r>
      <w:r w:rsidR="001E3FEE" w:rsidRPr="001E3FEE">
        <w:rPr>
          <w:rFonts w:ascii="Arial" w:eastAsia="Arial" w:hAnsi="Arial" w:cs="Arial"/>
          <w:b/>
          <w:i/>
          <w:color w:val="000000"/>
          <w:sz w:val="20"/>
          <w:szCs w:val="20"/>
          <w:vertAlign w:val="superscript"/>
        </w:rPr>
      </w:r>
      <w:r w:rsidR="001E3FEE" w:rsidRPr="001E3FEE">
        <w:rPr>
          <w:rFonts w:ascii="Arial" w:eastAsia="Arial" w:hAnsi="Arial" w:cs="Arial"/>
          <w:b/>
          <w:i/>
          <w:color w:val="000000"/>
          <w:sz w:val="20"/>
          <w:szCs w:val="20"/>
          <w:vertAlign w:val="superscript"/>
        </w:rPr>
        <w:fldChar w:fldCharType="separate"/>
      </w:r>
      <w:r w:rsidR="00942E63">
        <w:rPr>
          <w:rFonts w:ascii="Arial" w:eastAsia="Arial" w:hAnsi="Arial" w:cs="Arial"/>
          <w:b/>
          <w:i/>
          <w:color w:val="000000"/>
          <w:sz w:val="20"/>
          <w:szCs w:val="20"/>
          <w:vertAlign w:val="superscript"/>
        </w:rPr>
        <w:t>7</w:t>
      </w:r>
      <w:r w:rsidR="001E3FEE" w:rsidRPr="001E3FEE">
        <w:rPr>
          <w:rFonts w:ascii="Arial" w:eastAsia="Arial" w:hAnsi="Arial" w:cs="Arial"/>
          <w:b/>
          <w:i/>
          <w:color w:val="000000"/>
          <w:sz w:val="20"/>
          <w:szCs w:val="20"/>
          <w:vertAlign w:val="superscript"/>
        </w:rPr>
        <w:fldChar w:fldCharType="end"/>
      </w:r>
    </w:p>
    <w:p w14:paraId="2151D130" w14:textId="77777777" w:rsidR="009D55C9" w:rsidRDefault="009D55C9">
      <w:pPr>
        <w:ind w:left="0" w:hanging="2"/>
        <w:jc w:val="both"/>
        <w:rPr>
          <w:rFonts w:ascii="Arial" w:eastAsia="Arial" w:hAnsi="Arial" w:cs="Arial"/>
          <w:color w:val="C00000"/>
          <w:sz w:val="20"/>
          <w:szCs w:val="20"/>
        </w:rPr>
      </w:pPr>
    </w:p>
    <w:p w14:paraId="5AD2E88A"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Se trata de un medicamento de </w:t>
      </w:r>
      <w:r w:rsidR="00BD2296">
        <w:rPr>
          <w:rFonts w:ascii="Arial" w:eastAsia="Arial" w:hAnsi="Arial" w:cs="Arial"/>
          <w:sz w:val="20"/>
          <w:szCs w:val="20"/>
        </w:rPr>
        <w:t>TG</w:t>
      </w:r>
      <w:r>
        <w:rPr>
          <w:rFonts w:ascii="Arial" w:eastAsia="Arial" w:hAnsi="Arial" w:cs="Arial"/>
          <w:sz w:val="20"/>
          <w:szCs w:val="20"/>
        </w:rPr>
        <w:t xml:space="preserve"> compuesto por células autógenas que han sido modificadas genéticamente </w:t>
      </w:r>
      <w:r w:rsidRPr="0013057D">
        <w:rPr>
          <w:rFonts w:ascii="Arial" w:eastAsia="Arial" w:hAnsi="Arial" w:cs="Arial"/>
          <w:i/>
          <w:sz w:val="20"/>
          <w:szCs w:val="20"/>
        </w:rPr>
        <w:t>ex vivo</w:t>
      </w:r>
      <w:r>
        <w:rPr>
          <w:rFonts w:ascii="Arial" w:eastAsia="Arial" w:hAnsi="Arial" w:cs="Arial"/>
          <w:sz w:val="20"/>
          <w:szCs w:val="20"/>
        </w:rPr>
        <w:t xml:space="preserve">. Su naturaleza implica que los estudios convencionales sobre farmacocinética, absorción, metabolismo y eliminación no son aplicables. No obstante, se ha estudiado su biodistribución y se ha demostrado la difusión a los tejidos hematopoyéticos y a los </w:t>
      </w:r>
      <w:r w:rsidR="001E3FEE">
        <w:rPr>
          <w:rFonts w:ascii="Arial" w:eastAsia="Arial" w:hAnsi="Arial" w:cs="Arial"/>
          <w:sz w:val="20"/>
          <w:szCs w:val="20"/>
        </w:rPr>
        <w:t xml:space="preserve">órganos diana de la enfermedad, </w:t>
      </w:r>
      <w:r>
        <w:rPr>
          <w:rFonts w:ascii="Arial" w:eastAsia="Arial" w:hAnsi="Arial" w:cs="Arial"/>
          <w:sz w:val="20"/>
          <w:szCs w:val="20"/>
        </w:rPr>
        <w:t>incluido el cerebro.</w:t>
      </w:r>
    </w:p>
    <w:p w14:paraId="682FE89F" w14:textId="77777777" w:rsidR="009D55C9" w:rsidRDefault="009D55C9">
      <w:pPr>
        <w:ind w:left="0" w:hanging="2"/>
        <w:jc w:val="right"/>
        <w:rPr>
          <w:rFonts w:ascii="Arial" w:eastAsia="Arial" w:hAnsi="Arial" w:cs="Arial"/>
          <w:sz w:val="20"/>
          <w:szCs w:val="20"/>
        </w:rPr>
      </w:pPr>
    </w:p>
    <w:p w14:paraId="10FC0A95" w14:textId="77777777" w:rsidR="009D55C9" w:rsidRDefault="009D55C9">
      <w:pPr>
        <w:ind w:left="0" w:hanging="2"/>
        <w:jc w:val="right"/>
        <w:rPr>
          <w:rFonts w:ascii="Arial" w:eastAsia="Arial" w:hAnsi="Arial" w:cs="Arial"/>
          <w:sz w:val="20"/>
          <w:szCs w:val="20"/>
        </w:rPr>
      </w:pPr>
      <w:bookmarkStart w:id="19" w:name="_heading=h.1ksv4uv" w:colFirst="0" w:colLast="0"/>
      <w:bookmarkEnd w:id="19"/>
    </w:p>
    <w:tbl>
      <w:tblPr>
        <w:tblStyle w:val="afff3"/>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0CE4E62D"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302EC268"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5.- EVALUACIÓN DE LA EFICACIA.</w:t>
            </w:r>
          </w:p>
        </w:tc>
      </w:tr>
    </w:tbl>
    <w:p w14:paraId="445F1062" w14:textId="77777777" w:rsidR="009D55C9" w:rsidRDefault="009D55C9">
      <w:pPr>
        <w:ind w:left="0" w:hanging="2"/>
        <w:rPr>
          <w:rFonts w:ascii="Arial" w:eastAsia="Arial" w:hAnsi="Arial" w:cs="Arial"/>
          <w:sz w:val="20"/>
          <w:szCs w:val="20"/>
        </w:rPr>
      </w:pPr>
      <w:bookmarkStart w:id="20" w:name="_heading=h.44sinio" w:colFirst="0" w:colLast="0"/>
      <w:bookmarkEnd w:id="20"/>
    </w:p>
    <w:p w14:paraId="0E0456BF"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5.1.a Ensayos clínicos disponibles para la indicación clínica evaluada.</w:t>
      </w:r>
    </w:p>
    <w:p w14:paraId="57809A61" w14:textId="77777777" w:rsidR="009D55C9" w:rsidRDefault="009D55C9">
      <w:pPr>
        <w:ind w:left="0" w:hanging="2"/>
        <w:jc w:val="both"/>
        <w:rPr>
          <w:rFonts w:ascii="Arial" w:eastAsia="Arial" w:hAnsi="Arial" w:cs="Arial"/>
          <w:color w:val="000080"/>
          <w:sz w:val="20"/>
          <w:szCs w:val="20"/>
        </w:rPr>
      </w:pPr>
    </w:p>
    <w:p w14:paraId="7BAF4F87" w14:textId="65AC0049" w:rsidR="000A457F" w:rsidRDefault="005A57E0">
      <w:pPr>
        <w:ind w:left="0" w:hanging="2"/>
        <w:jc w:val="both"/>
        <w:rPr>
          <w:rFonts w:ascii="Arial" w:eastAsia="Arial" w:hAnsi="Arial" w:cs="Arial"/>
          <w:sz w:val="20"/>
          <w:szCs w:val="20"/>
        </w:rPr>
      </w:pPr>
      <w:r>
        <w:rPr>
          <w:rFonts w:ascii="Arial" w:eastAsia="Arial" w:hAnsi="Arial" w:cs="Arial"/>
          <w:sz w:val="20"/>
          <w:szCs w:val="20"/>
        </w:rPr>
        <w:t xml:space="preserve">La eficacia clínica se basó en </w:t>
      </w:r>
      <w:r w:rsidRPr="005D404C">
        <w:rPr>
          <w:rFonts w:ascii="Arial" w:eastAsia="Arial" w:hAnsi="Arial" w:cs="Arial"/>
          <w:sz w:val="20"/>
          <w:szCs w:val="20"/>
        </w:rPr>
        <w:t xml:space="preserve">el </w:t>
      </w:r>
      <w:r w:rsidRPr="005D404C">
        <w:rPr>
          <w:rFonts w:ascii="Arial" w:eastAsia="Arial" w:hAnsi="Arial" w:cs="Arial"/>
          <w:b/>
          <w:sz w:val="20"/>
          <w:szCs w:val="20"/>
        </w:rPr>
        <w:t>análisis de conjunto de los resultados de 29 pacientes con LDM</w:t>
      </w:r>
      <w:r>
        <w:rPr>
          <w:rFonts w:ascii="Arial" w:eastAsia="Arial" w:hAnsi="Arial" w:cs="Arial"/>
          <w:sz w:val="20"/>
          <w:szCs w:val="20"/>
        </w:rPr>
        <w:t xml:space="preserve"> de aparición temprana tratados con Libmeldy</w:t>
      </w:r>
      <w:r w:rsidR="00544E9B">
        <w:rPr>
          <w:rFonts w:ascii="Arial" w:eastAsia="Arial" w:hAnsi="Arial" w:cs="Arial"/>
          <w:sz w:val="20"/>
          <w:szCs w:val="20"/>
        </w:rPr>
        <w:t>®</w:t>
      </w:r>
      <w:r>
        <w:rPr>
          <w:rFonts w:ascii="Arial" w:eastAsia="Arial" w:hAnsi="Arial" w:cs="Arial"/>
          <w:sz w:val="20"/>
          <w:szCs w:val="20"/>
        </w:rPr>
        <w:t xml:space="preserve"> como formulación nueva (no criopreservada).</w:t>
      </w:r>
      <w:r w:rsidR="00EC0E1E">
        <w:rPr>
          <w:rFonts w:ascii="Arial" w:eastAsia="Arial" w:hAnsi="Arial" w:cs="Arial"/>
          <w:sz w:val="20"/>
          <w:szCs w:val="20"/>
        </w:rPr>
        <w:t xml:space="preserve"> </w:t>
      </w:r>
      <w:r>
        <w:rPr>
          <w:rFonts w:ascii="Arial" w:eastAsia="Arial" w:hAnsi="Arial" w:cs="Arial"/>
          <w:sz w:val="20"/>
          <w:szCs w:val="20"/>
        </w:rPr>
        <w:t xml:space="preserve">Estos resultados se generaron en </w:t>
      </w:r>
      <w:r w:rsidRPr="005D404C">
        <w:rPr>
          <w:rFonts w:ascii="Arial" w:eastAsia="Arial" w:hAnsi="Arial" w:cs="Arial"/>
          <w:sz w:val="20"/>
          <w:szCs w:val="20"/>
          <w:u w:val="single"/>
        </w:rPr>
        <w:t>veinte pacientes</w:t>
      </w:r>
      <w:r>
        <w:rPr>
          <w:rFonts w:ascii="Arial" w:eastAsia="Arial" w:hAnsi="Arial" w:cs="Arial"/>
          <w:sz w:val="20"/>
          <w:szCs w:val="20"/>
        </w:rPr>
        <w:t xml:space="preserve"> tratados en el estudio de registro (</w:t>
      </w:r>
      <w:r>
        <w:rPr>
          <w:rFonts w:ascii="Arial" w:eastAsia="Arial" w:hAnsi="Arial" w:cs="Arial"/>
          <w:b/>
          <w:sz w:val="20"/>
          <w:szCs w:val="20"/>
        </w:rPr>
        <w:t>Estudio 201222</w:t>
      </w:r>
      <w:r>
        <w:rPr>
          <w:rFonts w:ascii="Arial" w:eastAsia="Arial" w:hAnsi="Arial" w:cs="Arial"/>
          <w:sz w:val="20"/>
          <w:szCs w:val="20"/>
        </w:rPr>
        <w:t xml:space="preserve">) con una duración media de seguimiento posterior al tratamiento de 4,0 años (rango: 0,6 a 7,5 años) y </w:t>
      </w:r>
      <w:r w:rsidRPr="005D404C">
        <w:rPr>
          <w:rFonts w:ascii="Arial" w:eastAsia="Arial" w:hAnsi="Arial" w:cs="Arial"/>
          <w:sz w:val="20"/>
          <w:szCs w:val="20"/>
          <w:u w:val="single"/>
        </w:rPr>
        <w:t>nueve pacientes</w:t>
      </w:r>
      <w:r>
        <w:rPr>
          <w:rFonts w:ascii="Arial" w:eastAsia="Arial" w:hAnsi="Arial" w:cs="Arial"/>
          <w:sz w:val="20"/>
          <w:szCs w:val="20"/>
        </w:rPr>
        <w:t xml:space="preserve"> tratados en el contexto de tres programas de acceso ampliado con una mediana de seguimiento de 1,5 años (rango: 0,99 años a 2,72 años). </w:t>
      </w:r>
    </w:p>
    <w:p w14:paraId="0F8AFB83" w14:textId="77777777" w:rsidR="001E3FEE" w:rsidRDefault="001E3FEE" w:rsidP="001E3FEE">
      <w:pPr>
        <w:ind w:left="0" w:hanging="2"/>
        <w:jc w:val="both"/>
        <w:rPr>
          <w:rFonts w:ascii="Arial" w:eastAsia="Arial" w:hAnsi="Arial" w:cs="Arial"/>
          <w:sz w:val="20"/>
          <w:szCs w:val="20"/>
        </w:rPr>
      </w:pPr>
    </w:p>
    <w:p w14:paraId="61DF81AB" w14:textId="77777777" w:rsidR="001E3FEE" w:rsidRDefault="001E3FEE" w:rsidP="001E3FEE">
      <w:pPr>
        <w:ind w:left="0" w:hanging="2"/>
        <w:jc w:val="both"/>
        <w:rPr>
          <w:rFonts w:ascii="Arial" w:eastAsia="Arial" w:hAnsi="Arial" w:cs="Arial"/>
          <w:b/>
          <w:sz w:val="20"/>
          <w:szCs w:val="20"/>
        </w:rPr>
      </w:pPr>
      <w:r w:rsidRPr="001E3FEE">
        <w:rPr>
          <w:rFonts w:ascii="Arial" w:eastAsia="Arial" w:hAnsi="Arial" w:cs="Arial"/>
          <w:b/>
          <w:sz w:val="20"/>
          <w:szCs w:val="20"/>
        </w:rPr>
        <w:t xml:space="preserve">Tabla resumen de las características demográficas por estado sintomático en el momento de la </w:t>
      </w:r>
      <w:r w:rsidR="00BD2296">
        <w:rPr>
          <w:rFonts w:ascii="Arial" w:eastAsia="Arial" w:hAnsi="Arial" w:cs="Arial"/>
          <w:b/>
          <w:sz w:val="20"/>
          <w:szCs w:val="20"/>
        </w:rPr>
        <w:t>TG</w:t>
      </w:r>
      <w:r w:rsidRPr="001E3FEE">
        <w:rPr>
          <w:rFonts w:ascii="Arial" w:eastAsia="Arial" w:hAnsi="Arial" w:cs="Arial"/>
          <w:b/>
          <w:sz w:val="20"/>
          <w:szCs w:val="20"/>
        </w:rPr>
        <w:t xml:space="preserve"> y por subtipo de enfermedad.</w:t>
      </w:r>
    </w:p>
    <w:p w14:paraId="567E55FC" w14:textId="77777777" w:rsidR="001E3FEE" w:rsidRPr="001E3FEE" w:rsidRDefault="001E3FEE" w:rsidP="001E3FEE">
      <w:pPr>
        <w:jc w:val="both"/>
        <w:rPr>
          <w:rFonts w:ascii="Arial" w:eastAsia="Arial" w:hAnsi="Arial" w:cs="Arial"/>
          <w:b/>
          <w:sz w:val="14"/>
          <w:szCs w:val="20"/>
        </w:rPr>
      </w:pPr>
    </w:p>
    <w:p w14:paraId="47B58EB8" w14:textId="77777777" w:rsidR="001E3FEE" w:rsidRDefault="001E3FEE" w:rsidP="001E3FEE">
      <w:pPr>
        <w:ind w:left="0" w:hanging="2"/>
        <w:jc w:val="center"/>
        <w:rPr>
          <w:rFonts w:ascii="Arial" w:eastAsia="Arial" w:hAnsi="Arial" w:cs="Arial"/>
          <w:sz w:val="20"/>
          <w:szCs w:val="20"/>
        </w:rPr>
      </w:pPr>
      <w:r w:rsidRPr="001E3FEE">
        <w:rPr>
          <w:rFonts w:ascii="Arial" w:eastAsia="Arial" w:hAnsi="Arial" w:cs="Arial"/>
          <w:noProof/>
          <w:sz w:val="20"/>
          <w:szCs w:val="20"/>
        </w:rPr>
        <w:drawing>
          <wp:inline distT="0" distB="0" distL="0" distR="0" wp14:anchorId="0748CA62" wp14:editId="0E88C41B">
            <wp:extent cx="4398666" cy="233172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99823" cy="2332333"/>
                    </a:xfrm>
                    <a:prstGeom prst="rect">
                      <a:avLst/>
                    </a:prstGeom>
                  </pic:spPr>
                </pic:pic>
              </a:graphicData>
            </a:graphic>
          </wp:inline>
        </w:drawing>
      </w:r>
    </w:p>
    <w:p w14:paraId="1B311172" w14:textId="77777777" w:rsidR="005D404C" w:rsidRPr="005D404C" w:rsidRDefault="005D404C" w:rsidP="005D404C">
      <w:pPr>
        <w:jc w:val="both"/>
        <w:rPr>
          <w:rFonts w:ascii="Arial" w:eastAsia="Arial" w:hAnsi="Arial" w:cs="Arial"/>
          <w:sz w:val="14"/>
          <w:szCs w:val="20"/>
        </w:rPr>
      </w:pPr>
      <w:bookmarkStart w:id="21" w:name="_heading=h.2jxsxqh" w:colFirst="0" w:colLast="0"/>
      <w:bookmarkEnd w:id="21"/>
    </w:p>
    <w:p w14:paraId="44770BC5" w14:textId="77777777" w:rsidR="001E3FEE" w:rsidRDefault="001E3FEE" w:rsidP="001E3FEE">
      <w:pPr>
        <w:ind w:left="0" w:hanging="2"/>
        <w:jc w:val="both"/>
        <w:rPr>
          <w:rFonts w:ascii="Arial" w:eastAsia="Arial" w:hAnsi="Arial" w:cs="Arial"/>
          <w:sz w:val="20"/>
          <w:szCs w:val="20"/>
        </w:rPr>
      </w:pPr>
      <w:r>
        <w:rPr>
          <w:rFonts w:ascii="Arial" w:eastAsia="Arial" w:hAnsi="Arial" w:cs="Arial"/>
          <w:sz w:val="20"/>
          <w:szCs w:val="20"/>
        </w:rPr>
        <w:t xml:space="preserve">Además, se </w:t>
      </w:r>
      <w:r w:rsidR="009D603D">
        <w:rPr>
          <w:rFonts w:ascii="Arial" w:eastAsia="Arial" w:hAnsi="Arial" w:cs="Arial"/>
          <w:sz w:val="20"/>
          <w:szCs w:val="20"/>
        </w:rPr>
        <w:t>dispone de</w:t>
      </w:r>
      <w:r>
        <w:rPr>
          <w:rFonts w:ascii="Arial" w:eastAsia="Arial" w:hAnsi="Arial" w:cs="Arial"/>
          <w:sz w:val="20"/>
          <w:szCs w:val="20"/>
        </w:rPr>
        <w:t xml:space="preserve"> los resultados iniciales de </w:t>
      </w:r>
      <w:r w:rsidR="00296E32">
        <w:rPr>
          <w:rFonts w:ascii="Arial" w:eastAsia="Arial" w:hAnsi="Arial" w:cs="Arial"/>
          <w:b/>
          <w:sz w:val="20"/>
          <w:szCs w:val="20"/>
        </w:rPr>
        <w:t>seis</w:t>
      </w:r>
      <w:r w:rsidRPr="009D603D">
        <w:rPr>
          <w:rFonts w:ascii="Arial" w:eastAsia="Arial" w:hAnsi="Arial" w:cs="Arial"/>
          <w:b/>
          <w:sz w:val="20"/>
          <w:szCs w:val="20"/>
        </w:rPr>
        <w:t xml:space="preserve"> pacientes</w:t>
      </w:r>
      <w:r>
        <w:rPr>
          <w:rFonts w:ascii="Arial" w:eastAsia="Arial" w:hAnsi="Arial" w:cs="Arial"/>
          <w:sz w:val="20"/>
          <w:szCs w:val="20"/>
        </w:rPr>
        <w:t xml:space="preserve"> tratados en un estudio posterior con la formulación comercial (criopreservada) de Libmeldy</w:t>
      </w:r>
      <w:r w:rsidR="00DE498C">
        <w:rPr>
          <w:rFonts w:ascii="Arial" w:eastAsia="Arial" w:hAnsi="Arial" w:cs="Arial"/>
          <w:sz w:val="20"/>
          <w:szCs w:val="20"/>
        </w:rPr>
        <w:t>-c</w:t>
      </w:r>
      <w:r>
        <w:rPr>
          <w:rFonts w:ascii="Arial" w:eastAsia="Arial" w:hAnsi="Arial" w:cs="Arial"/>
          <w:sz w:val="20"/>
          <w:szCs w:val="20"/>
        </w:rPr>
        <w:t xml:space="preserve"> (</w:t>
      </w:r>
      <w:r>
        <w:rPr>
          <w:rFonts w:ascii="Arial" w:eastAsia="Arial" w:hAnsi="Arial" w:cs="Arial"/>
          <w:b/>
          <w:sz w:val="20"/>
          <w:szCs w:val="20"/>
        </w:rPr>
        <w:t>Estudio 205756</w:t>
      </w:r>
      <w:r>
        <w:rPr>
          <w:rFonts w:ascii="Arial" w:eastAsia="Arial" w:hAnsi="Arial" w:cs="Arial"/>
          <w:sz w:val="20"/>
          <w:szCs w:val="20"/>
        </w:rPr>
        <w:t>).</w:t>
      </w:r>
    </w:p>
    <w:p w14:paraId="260B57BD" w14:textId="77777777" w:rsidR="005D404C" w:rsidRDefault="005D404C" w:rsidP="001E3FEE">
      <w:pPr>
        <w:ind w:left="0" w:hanging="2"/>
        <w:jc w:val="both"/>
        <w:rPr>
          <w:rFonts w:ascii="Arial" w:eastAsia="Arial" w:hAnsi="Arial" w:cs="Arial"/>
          <w:sz w:val="20"/>
          <w:szCs w:val="20"/>
        </w:rPr>
      </w:pPr>
    </w:p>
    <w:p w14:paraId="1C31B8F7" w14:textId="77777777" w:rsidR="00B73C03" w:rsidRDefault="00B73C03" w:rsidP="001E3FEE">
      <w:pPr>
        <w:ind w:left="0" w:hanging="2"/>
        <w:jc w:val="both"/>
        <w:rPr>
          <w:rFonts w:ascii="Arial" w:eastAsia="Arial" w:hAnsi="Arial" w:cs="Arial"/>
          <w:sz w:val="20"/>
          <w:szCs w:val="20"/>
        </w:rPr>
      </w:pPr>
      <w:r>
        <w:rPr>
          <w:rFonts w:ascii="Arial" w:eastAsia="Arial" w:hAnsi="Arial" w:cs="Arial"/>
          <w:sz w:val="20"/>
          <w:szCs w:val="20"/>
        </w:rPr>
        <w:t>La información de estos estudios ha sido extraída del informe EPAR, ya que a fecha de redacción de este informe [11/03/2021] no se habían publicado los resultados en revistas cien</w:t>
      </w:r>
      <w:r w:rsidR="003F43C4">
        <w:rPr>
          <w:rFonts w:ascii="Arial" w:eastAsia="Arial" w:hAnsi="Arial" w:cs="Arial"/>
          <w:sz w:val="20"/>
          <w:szCs w:val="20"/>
        </w:rPr>
        <w:t>t</w:t>
      </w:r>
      <w:r>
        <w:rPr>
          <w:rFonts w:ascii="Arial" w:eastAsia="Arial" w:hAnsi="Arial" w:cs="Arial"/>
          <w:sz w:val="20"/>
          <w:szCs w:val="20"/>
        </w:rPr>
        <w:t>íficas.</w:t>
      </w:r>
    </w:p>
    <w:p w14:paraId="3A91A443" w14:textId="77777777" w:rsidR="009D55C9" w:rsidRDefault="009D55C9">
      <w:pPr>
        <w:ind w:left="0" w:hanging="2"/>
        <w:rPr>
          <w:rFonts w:ascii="Arial" w:eastAsia="Arial" w:hAnsi="Arial" w:cs="Arial"/>
          <w:color w:val="FF0000"/>
          <w:sz w:val="20"/>
          <w:szCs w:val="20"/>
        </w:rPr>
      </w:pPr>
    </w:p>
    <w:p w14:paraId="00577197"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5.1.b Variables utilizadas en los ensayos. </w:t>
      </w:r>
    </w:p>
    <w:p w14:paraId="35AD59C4" w14:textId="77777777" w:rsidR="009D55C9" w:rsidRDefault="009D55C9">
      <w:pPr>
        <w:ind w:left="0" w:hanging="2"/>
        <w:jc w:val="both"/>
        <w:rPr>
          <w:rFonts w:ascii="Arial" w:eastAsia="Arial" w:hAnsi="Arial" w:cs="Arial"/>
          <w:color w:val="000080"/>
          <w:sz w:val="20"/>
          <w:szCs w:val="20"/>
        </w:rPr>
      </w:pPr>
    </w:p>
    <w:tbl>
      <w:tblPr>
        <w:tblStyle w:val="afff4"/>
        <w:tblW w:w="8910"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0"/>
        <w:gridCol w:w="1905"/>
        <w:gridCol w:w="4515"/>
        <w:gridCol w:w="1260"/>
      </w:tblGrid>
      <w:tr w:rsidR="009D55C9" w14:paraId="4175010B" w14:textId="77777777">
        <w:tc>
          <w:tcPr>
            <w:tcW w:w="8910" w:type="dxa"/>
            <w:gridSpan w:val="4"/>
            <w:tcBorders>
              <w:top w:val="single" w:sz="4" w:space="0" w:color="000000"/>
              <w:left w:val="single" w:sz="4" w:space="0" w:color="000000"/>
              <w:bottom w:val="single" w:sz="4" w:space="0" w:color="000000"/>
              <w:right w:val="single" w:sz="4" w:space="0" w:color="000000"/>
            </w:tcBorders>
            <w:shd w:val="clear" w:color="auto" w:fill="CCFFCC"/>
          </w:tcPr>
          <w:p w14:paraId="5659789D" w14:textId="77777777" w:rsidR="009D55C9" w:rsidRDefault="005A57E0" w:rsidP="00291956">
            <w:pPr>
              <w:tabs>
                <w:tab w:val="left" w:pos="2924"/>
              </w:tabs>
              <w:spacing w:before="120" w:after="120"/>
              <w:ind w:left="0" w:hanging="2"/>
              <w:rPr>
                <w:rFonts w:ascii="Arial" w:eastAsia="Arial" w:hAnsi="Arial" w:cs="Arial"/>
                <w:color w:val="000000"/>
                <w:sz w:val="18"/>
                <w:szCs w:val="18"/>
              </w:rPr>
            </w:pPr>
            <w:r>
              <w:rPr>
                <w:rFonts w:ascii="Arial" w:eastAsia="Arial" w:hAnsi="Arial" w:cs="Arial"/>
                <w:b/>
                <w:color w:val="000000"/>
                <w:sz w:val="18"/>
                <w:szCs w:val="18"/>
              </w:rPr>
              <w:t>Tabla. 5.1b Variables empleadas en los ensayos clínicos pivotales.</w:t>
            </w:r>
          </w:p>
        </w:tc>
      </w:tr>
      <w:tr w:rsidR="009D55C9" w14:paraId="3935592F" w14:textId="77777777">
        <w:tc>
          <w:tcPr>
            <w:tcW w:w="12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B5CCF3"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EFICACIA</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846AD5"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Enunciado</w:t>
            </w:r>
          </w:p>
        </w:tc>
        <w:tc>
          <w:tcPr>
            <w:tcW w:w="45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033E15"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Descripción</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7150CA"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Variable </w:t>
            </w:r>
          </w:p>
        </w:tc>
      </w:tr>
      <w:tr w:rsidR="009D55C9" w14:paraId="5A57BBC0" w14:textId="77777777">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AB2708" w14:textId="77777777" w:rsidR="009D55C9" w:rsidRDefault="005A57E0" w:rsidP="00291956">
            <w:pPr>
              <w:spacing w:before="120" w:after="120"/>
              <w:ind w:left="0" w:hanging="2"/>
              <w:jc w:val="center"/>
              <w:rPr>
                <w:rFonts w:ascii="Arial" w:eastAsia="Arial" w:hAnsi="Arial" w:cs="Arial"/>
                <w:color w:val="000000"/>
                <w:sz w:val="16"/>
                <w:szCs w:val="16"/>
                <w:highlight w:val="yellow"/>
              </w:rPr>
            </w:pPr>
            <w:bookmarkStart w:id="22" w:name="_heading=h.z337ya" w:colFirst="0" w:colLast="0"/>
            <w:bookmarkEnd w:id="22"/>
            <w:r>
              <w:rPr>
                <w:rFonts w:ascii="Arial" w:eastAsia="Arial" w:hAnsi="Arial" w:cs="Arial"/>
                <w:color w:val="000000"/>
                <w:sz w:val="16"/>
                <w:szCs w:val="16"/>
              </w:rPr>
              <w:t>Variables principales</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53846" w14:textId="77777777" w:rsidR="009D55C9" w:rsidRDefault="005A57E0" w:rsidP="00291956">
            <w:pPr>
              <w:spacing w:before="60" w:after="60"/>
              <w:ind w:left="0" w:hanging="2"/>
              <w:jc w:val="center"/>
              <w:rPr>
                <w:rFonts w:ascii="Arial" w:eastAsia="Arial" w:hAnsi="Arial" w:cs="Arial"/>
                <w:color w:val="000000"/>
                <w:sz w:val="16"/>
                <w:szCs w:val="16"/>
                <w:highlight w:val="yellow"/>
              </w:rPr>
            </w:pPr>
            <w:r>
              <w:rPr>
                <w:rFonts w:ascii="Arial" w:eastAsia="Arial" w:hAnsi="Arial" w:cs="Arial"/>
                <w:color w:val="000000"/>
                <w:sz w:val="16"/>
                <w:szCs w:val="16"/>
              </w:rPr>
              <w:t>Medida de la función motora gruesa (MFMG)</w:t>
            </w:r>
            <w:r w:rsidR="005813F5">
              <w:rPr>
                <w:rFonts w:ascii="Arial" w:eastAsia="Arial" w:hAnsi="Arial" w:cs="Arial"/>
                <w:color w:val="000000"/>
                <w:sz w:val="16"/>
                <w:szCs w:val="16"/>
              </w:rPr>
              <w:t xml:space="preserve"> (ver anexo 1)</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C8B27"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Reducción en la progresión del deterioro de la función motora</w:t>
            </w:r>
            <w:r w:rsidR="004A49AC">
              <w:rPr>
                <w:rFonts w:ascii="Arial" w:eastAsia="Arial" w:hAnsi="Arial" w:cs="Arial"/>
                <w:sz w:val="16"/>
                <w:szCs w:val="16"/>
              </w:rPr>
              <w:t xml:space="preserve">. Objetivo: &gt;10% de retraso en la progresión </w:t>
            </w:r>
            <w:r w:rsidR="004A49AC" w:rsidRPr="004A49AC">
              <w:rPr>
                <w:rFonts w:ascii="Arial" w:eastAsia="Arial" w:hAnsi="Arial" w:cs="Arial"/>
                <w:b/>
                <w:sz w:val="16"/>
                <w:szCs w:val="16"/>
              </w:rPr>
              <w:t>a los 2 años</w:t>
            </w:r>
            <w:r w:rsidR="004A49AC">
              <w:rPr>
                <w:rFonts w:ascii="Arial" w:eastAsia="Arial" w:hAnsi="Arial" w:cs="Arial"/>
                <w:sz w:val="16"/>
                <w:szCs w:val="16"/>
              </w:rPr>
              <w:t xml:space="preserve"> comparado con el estudio histórico TIGET-NHx de pacientes no tratados</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9833A13" w14:textId="77777777" w:rsidR="009D55C9" w:rsidRDefault="00542295"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6A93AE05" w14:textId="77777777">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CA8E36"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EA92C"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color w:val="000000"/>
                <w:sz w:val="16"/>
                <w:szCs w:val="16"/>
              </w:rPr>
              <w:t>Actividad de la ARSA</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CEB0E" w14:textId="77777777" w:rsidR="009D55C9" w:rsidRDefault="005A57E0" w:rsidP="00757B1D">
            <w:pPr>
              <w:spacing w:before="60" w:after="60"/>
              <w:ind w:left="0" w:hanging="2"/>
              <w:jc w:val="both"/>
              <w:rPr>
                <w:rFonts w:ascii="Arial" w:eastAsia="Arial" w:hAnsi="Arial" w:cs="Arial"/>
                <w:color w:val="000000"/>
                <w:sz w:val="16"/>
                <w:szCs w:val="16"/>
              </w:rPr>
            </w:pPr>
            <w:r>
              <w:rPr>
                <w:rFonts w:ascii="Arial" w:eastAsia="Arial" w:hAnsi="Arial" w:cs="Arial"/>
                <w:sz w:val="16"/>
                <w:szCs w:val="16"/>
              </w:rPr>
              <w:t>Incremento significativo en la actividad ARSA residual en comparación con los</w:t>
            </w:r>
            <w:r w:rsidR="00EE1710">
              <w:rPr>
                <w:rFonts w:ascii="Arial" w:eastAsia="Arial" w:hAnsi="Arial" w:cs="Arial"/>
                <w:sz w:val="16"/>
                <w:szCs w:val="16"/>
              </w:rPr>
              <w:t xml:space="preserve"> valores previos al tratamiento</w:t>
            </w:r>
            <w:r>
              <w:rPr>
                <w:rFonts w:ascii="Arial" w:eastAsia="Arial" w:hAnsi="Arial" w:cs="Arial"/>
                <w:sz w:val="16"/>
                <w:szCs w:val="16"/>
              </w:rPr>
              <w:t xml:space="preserve">. La actividad se midió en </w:t>
            </w:r>
            <w:r w:rsidR="00757B1D">
              <w:rPr>
                <w:rFonts w:ascii="Arial" w:eastAsia="Arial" w:hAnsi="Arial" w:cs="Arial"/>
                <w:sz w:val="16"/>
                <w:szCs w:val="16"/>
              </w:rPr>
              <w:t>CMSP</w:t>
            </w:r>
            <w:r>
              <w:rPr>
                <w:rFonts w:ascii="Arial" w:eastAsia="Arial" w:hAnsi="Arial" w:cs="Arial"/>
                <w:sz w:val="16"/>
                <w:szCs w:val="16"/>
              </w:rPr>
              <w:t>, MO y LCR.</w:t>
            </w:r>
            <w:r w:rsidR="004A49AC">
              <w:rPr>
                <w:rFonts w:ascii="Arial" w:eastAsia="Arial" w:hAnsi="Arial" w:cs="Arial"/>
                <w:sz w:val="16"/>
                <w:szCs w:val="16"/>
              </w:rPr>
              <w:t xml:space="preserve"> Objetivo: incremento &gt; 2 desviaciones estándar</w:t>
            </w:r>
            <w:r w:rsidR="00EE1710">
              <w:rPr>
                <w:rFonts w:ascii="Arial" w:eastAsia="Arial" w:hAnsi="Arial" w:cs="Arial"/>
                <w:sz w:val="16"/>
                <w:szCs w:val="16"/>
              </w:rPr>
              <w:t xml:space="preserve"> a los 2 años tras el tratamiento.</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D824B68"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48314AF4" w14:textId="77777777">
        <w:trPr>
          <w:trHeight w:val="160"/>
        </w:trPr>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87DC78" w14:textId="77777777" w:rsidR="009D55C9" w:rsidRDefault="005A57E0" w:rsidP="00291956">
            <w:pPr>
              <w:spacing w:before="120" w:after="120"/>
              <w:ind w:left="0" w:hanging="2"/>
              <w:jc w:val="center"/>
              <w:rPr>
                <w:rFonts w:ascii="Arial" w:eastAsia="Arial" w:hAnsi="Arial" w:cs="Arial"/>
                <w:color w:val="000000"/>
                <w:sz w:val="16"/>
                <w:szCs w:val="16"/>
                <w:highlight w:val="yellow"/>
              </w:rPr>
            </w:pPr>
            <w:r>
              <w:rPr>
                <w:rFonts w:ascii="Arial" w:eastAsia="Arial" w:hAnsi="Arial" w:cs="Arial"/>
                <w:color w:val="000000"/>
                <w:sz w:val="16"/>
                <w:szCs w:val="16"/>
              </w:rPr>
              <w:t>Variables secundarias</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BB96"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sz w:val="16"/>
                <w:szCs w:val="16"/>
              </w:rPr>
              <w:t>% vector lentiviral (</w:t>
            </w:r>
            <w:r w:rsidR="000A457F">
              <w:rPr>
                <w:rFonts w:ascii="Arial" w:eastAsia="Arial" w:hAnsi="Arial" w:cs="Arial"/>
                <w:sz w:val="16"/>
                <w:szCs w:val="16"/>
              </w:rPr>
              <w:t>VL</w:t>
            </w:r>
            <w:r>
              <w:rPr>
                <w:rFonts w:ascii="Arial" w:eastAsia="Arial" w:hAnsi="Arial" w:cs="Arial"/>
                <w:sz w:val="16"/>
                <w:szCs w:val="16"/>
              </w:rPr>
              <w:t>)</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65B16"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Injerto sostenido de las células transducidas, un requisito previo esencial para lograr un beneficio clínico.</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4811C8D"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5FC40F00" w14:textId="77777777">
        <w:trPr>
          <w:trHeight w:val="160"/>
        </w:trPr>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15448A"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32A11" w14:textId="77777777" w:rsidR="009D55C9" w:rsidRDefault="005A57E0" w:rsidP="00291956">
            <w:pPr>
              <w:spacing w:before="60" w:after="60"/>
              <w:ind w:left="0" w:hanging="2"/>
              <w:jc w:val="center"/>
              <w:rPr>
                <w:rFonts w:ascii="Arial" w:eastAsia="Arial" w:hAnsi="Arial" w:cs="Arial"/>
                <w:color w:val="000000"/>
                <w:sz w:val="16"/>
                <w:szCs w:val="16"/>
                <w:highlight w:val="yellow"/>
              </w:rPr>
            </w:pPr>
            <w:r>
              <w:rPr>
                <w:rFonts w:ascii="Arial" w:eastAsia="Arial" w:hAnsi="Arial" w:cs="Arial"/>
                <w:color w:val="000000"/>
                <w:sz w:val="16"/>
                <w:szCs w:val="16"/>
              </w:rPr>
              <w:t>Resonancia magnética (R</w:t>
            </w:r>
            <w:r>
              <w:rPr>
                <w:rFonts w:ascii="Arial" w:eastAsia="Arial" w:hAnsi="Arial" w:cs="Arial"/>
                <w:sz w:val="16"/>
                <w:szCs w:val="16"/>
              </w:rPr>
              <w:t>MN)</w:t>
            </w:r>
            <w:r>
              <w:rPr>
                <w:rFonts w:ascii="Arial" w:eastAsia="Arial" w:hAnsi="Arial" w:cs="Arial"/>
                <w:color w:val="000000"/>
                <w:sz w:val="16"/>
                <w:szCs w:val="16"/>
              </w:rPr>
              <w:t xml:space="preserve"> cerebral</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1900A"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Evaluación de la eficacia del procedimiento para reducir la progresión de la desmielinización en el SNC y SNP (así como la atrofia en el SNC) a los 2 años tras el tratamiento en comparación con la documentada para los pacientes del estudio TIGET-NHx</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81F9C83"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09BD541B" w14:textId="77777777">
        <w:trPr>
          <w:trHeight w:val="160"/>
        </w:trPr>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8062CA"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ADFE2"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sz w:val="16"/>
                <w:szCs w:val="16"/>
              </w:rPr>
              <w:t>Test neuropsicológicos</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BCEB8"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Evaluación de la eficacia del procedimiento en la reducción de la progresión del deterioro cognitivo 2 años tras el tratamiento.</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F465F28" w14:textId="77777777" w:rsidR="009D55C9" w:rsidRDefault="00542295"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intermedia</w:t>
            </w:r>
          </w:p>
        </w:tc>
      </w:tr>
      <w:tr w:rsidR="009D55C9" w14:paraId="3B95F62E" w14:textId="77777777">
        <w:trPr>
          <w:trHeight w:val="160"/>
        </w:trPr>
        <w:tc>
          <w:tcPr>
            <w:tcW w:w="12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5049BB" w14:textId="77777777" w:rsidR="009D55C9" w:rsidRDefault="009D55C9" w:rsidP="00291956">
            <w:pPr>
              <w:widowControl w:val="0"/>
              <w:pBdr>
                <w:top w:val="nil"/>
                <w:left w:val="nil"/>
                <w:bottom w:val="nil"/>
                <w:right w:val="nil"/>
                <w:between w:val="nil"/>
              </w:pBdr>
              <w:spacing w:before="120" w:after="120" w:line="276" w:lineRule="auto"/>
              <w:ind w:left="0" w:hanging="2"/>
              <w:rPr>
                <w:rFonts w:ascii="Arial" w:eastAsia="Arial" w:hAnsi="Arial" w:cs="Arial"/>
                <w:color w:val="000000"/>
                <w:sz w:val="16"/>
                <w:szCs w:val="16"/>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94E13" w14:textId="65497BDE" w:rsidR="009D55C9" w:rsidRDefault="00544E9B" w:rsidP="00291956">
            <w:pPr>
              <w:spacing w:before="60" w:after="60"/>
              <w:ind w:left="0" w:hanging="2"/>
              <w:jc w:val="center"/>
              <w:rPr>
                <w:rFonts w:ascii="Arial" w:eastAsia="Arial" w:hAnsi="Arial" w:cs="Arial"/>
                <w:color w:val="000000"/>
                <w:sz w:val="16"/>
                <w:szCs w:val="16"/>
              </w:rPr>
            </w:pPr>
            <w:r>
              <w:rPr>
                <w:rFonts w:ascii="Arial" w:eastAsia="Arial" w:hAnsi="Arial" w:cs="Arial"/>
                <w:sz w:val="16"/>
                <w:szCs w:val="16"/>
              </w:rPr>
              <w:t>Supervivencia</w:t>
            </w:r>
            <w:r w:rsidR="005A57E0">
              <w:rPr>
                <w:rFonts w:ascii="Arial" w:eastAsia="Arial" w:hAnsi="Arial" w:cs="Arial"/>
                <w:sz w:val="16"/>
                <w:szCs w:val="16"/>
              </w:rPr>
              <w:t xml:space="preserve"> </w:t>
            </w:r>
          </w:p>
        </w:tc>
        <w:tc>
          <w:tcPr>
            <w:tcW w:w="4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4D8C9" w14:textId="77777777" w:rsidR="009D55C9" w:rsidRDefault="005A57E0" w:rsidP="00291956">
            <w:pPr>
              <w:spacing w:before="60" w:after="60"/>
              <w:ind w:left="0" w:hanging="2"/>
              <w:jc w:val="both"/>
              <w:rPr>
                <w:rFonts w:ascii="Arial" w:eastAsia="Arial" w:hAnsi="Arial" w:cs="Arial"/>
                <w:color w:val="000000"/>
                <w:sz w:val="16"/>
                <w:szCs w:val="16"/>
              </w:rPr>
            </w:pPr>
            <w:r>
              <w:rPr>
                <w:rFonts w:ascii="Arial" w:eastAsia="Arial" w:hAnsi="Arial" w:cs="Arial"/>
                <w:sz w:val="16"/>
                <w:szCs w:val="16"/>
              </w:rPr>
              <w:t>Evaluación de la supervivencia entre los pacientes tratados con la TG y los pacientes del estudio TIGET-NHx.</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41D8577" w14:textId="77777777" w:rsidR="009D55C9" w:rsidRDefault="005A57E0" w:rsidP="00291956">
            <w:pPr>
              <w:tabs>
                <w:tab w:val="left" w:pos="2924"/>
              </w:tabs>
              <w:spacing w:before="120" w:after="120"/>
              <w:ind w:left="0" w:hanging="2"/>
              <w:jc w:val="center"/>
              <w:rPr>
                <w:rFonts w:ascii="Arial" w:eastAsia="Arial" w:hAnsi="Arial" w:cs="Arial"/>
                <w:color w:val="000000"/>
                <w:sz w:val="16"/>
                <w:szCs w:val="16"/>
              </w:rPr>
            </w:pPr>
            <w:r>
              <w:rPr>
                <w:rFonts w:ascii="Arial" w:eastAsia="Arial" w:hAnsi="Arial" w:cs="Arial"/>
                <w:sz w:val="16"/>
                <w:szCs w:val="16"/>
              </w:rPr>
              <w:t>Variable final</w:t>
            </w:r>
          </w:p>
        </w:tc>
      </w:tr>
      <w:tr w:rsidR="009D55C9" w14:paraId="7C3B3650" w14:textId="77777777">
        <w:trPr>
          <w:trHeight w:val="98"/>
        </w:trPr>
        <w:tc>
          <w:tcPr>
            <w:tcW w:w="12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121549"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SEGURIDAD</w:t>
            </w:r>
          </w:p>
        </w:tc>
        <w:tc>
          <w:tcPr>
            <w:tcW w:w="19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C74B70"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Enunciado</w:t>
            </w:r>
          </w:p>
        </w:tc>
        <w:tc>
          <w:tcPr>
            <w:tcW w:w="45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A5F130"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Descripción</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22A5B0" w14:textId="77777777" w:rsidR="009D55C9" w:rsidRDefault="005A57E0" w:rsidP="00291956">
            <w:pPr>
              <w:spacing w:before="120" w:after="120"/>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Variable </w:t>
            </w:r>
          </w:p>
        </w:tc>
      </w:tr>
      <w:tr w:rsidR="009D55C9" w14:paraId="2D8C9515" w14:textId="77777777">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9221" w14:textId="77777777" w:rsidR="009D55C9" w:rsidRDefault="005A57E0" w:rsidP="00291956">
            <w:pPr>
              <w:spacing w:before="60" w:after="60"/>
              <w:ind w:left="0" w:hanging="2"/>
              <w:jc w:val="center"/>
              <w:rPr>
                <w:rFonts w:ascii="Arial" w:eastAsia="Arial" w:hAnsi="Arial" w:cs="Arial"/>
                <w:color w:val="000000"/>
                <w:sz w:val="16"/>
                <w:szCs w:val="16"/>
              </w:rPr>
            </w:pPr>
            <w:r>
              <w:rPr>
                <w:rFonts w:ascii="Arial" w:eastAsia="Arial" w:hAnsi="Arial" w:cs="Arial"/>
                <w:color w:val="000000"/>
                <w:sz w:val="16"/>
                <w:szCs w:val="16"/>
              </w:rPr>
              <w:t>Variables secundarias</w:t>
            </w:r>
          </w:p>
        </w:tc>
        <w:tc>
          <w:tcPr>
            <w:tcW w:w="64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B5A13B" w14:textId="77777777" w:rsidR="009D55C9" w:rsidRDefault="005A57E0" w:rsidP="00291956">
            <w:pPr>
              <w:spacing w:before="60" w:after="60"/>
              <w:ind w:left="0" w:hanging="2"/>
              <w:rPr>
                <w:rFonts w:ascii="Arial" w:eastAsia="Arial" w:hAnsi="Arial" w:cs="Arial"/>
                <w:color w:val="000000"/>
                <w:sz w:val="16"/>
                <w:szCs w:val="16"/>
              </w:rPr>
            </w:pPr>
            <w:r>
              <w:rPr>
                <w:rFonts w:ascii="Arial" w:eastAsia="Arial" w:hAnsi="Arial" w:cs="Arial"/>
                <w:color w:val="000000"/>
                <w:sz w:val="16"/>
                <w:szCs w:val="16"/>
              </w:rPr>
              <w:t>Incidencia de efectos adversos.</w:t>
            </w:r>
          </w:p>
        </w:tc>
        <w:tc>
          <w:tcPr>
            <w:tcW w:w="126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CF71279" w14:textId="77777777" w:rsidR="009D55C9" w:rsidRDefault="005A57E0" w:rsidP="00291956">
            <w:pPr>
              <w:tabs>
                <w:tab w:val="left" w:pos="2924"/>
              </w:tabs>
              <w:spacing w:before="60" w:after="60"/>
              <w:ind w:left="0" w:hanging="2"/>
              <w:jc w:val="center"/>
              <w:rPr>
                <w:rFonts w:ascii="Arial" w:eastAsia="Arial" w:hAnsi="Arial" w:cs="Arial"/>
                <w:color w:val="000000"/>
                <w:sz w:val="16"/>
                <w:szCs w:val="16"/>
              </w:rPr>
            </w:pPr>
            <w:r>
              <w:rPr>
                <w:rFonts w:ascii="Arial" w:eastAsia="Arial" w:hAnsi="Arial" w:cs="Arial"/>
                <w:color w:val="000000"/>
                <w:sz w:val="16"/>
                <w:szCs w:val="16"/>
              </w:rPr>
              <w:t xml:space="preserve">Variable </w:t>
            </w:r>
            <w:r>
              <w:rPr>
                <w:rFonts w:ascii="Arial" w:eastAsia="Arial" w:hAnsi="Arial" w:cs="Arial"/>
                <w:sz w:val="16"/>
                <w:szCs w:val="16"/>
              </w:rPr>
              <w:t>f</w:t>
            </w:r>
            <w:r>
              <w:rPr>
                <w:rFonts w:ascii="Arial" w:eastAsia="Arial" w:hAnsi="Arial" w:cs="Arial"/>
                <w:color w:val="000000"/>
                <w:sz w:val="16"/>
                <w:szCs w:val="16"/>
              </w:rPr>
              <w:t>inal</w:t>
            </w:r>
          </w:p>
        </w:tc>
      </w:tr>
    </w:tbl>
    <w:p w14:paraId="05401A7A" w14:textId="77777777" w:rsidR="009D55C9" w:rsidRDefault="009D55C9" w:rsidP="00EC0E1E">
      <w:pPr>
        <w:ind w:left="0" w:hanging="2"/>
        <w:jc w:val="both"/>
        <w:rPr>
          <w:rFonts w:ascii="Arial" w:eastAsia="Arial" w:hAnsi="Arial" w:cs="Arial"/>
          <w:color w:val="000080"/>
          <w:sz w:val="20"/>
          <w:szCs w:val="20"/>
        </w:rPr>
      </w:pPr>
    </w:p>
    <w:p w14:paraId="0744779E" w14:textId="77777777" w:rsidR="00EC0E1E" w:rsidRDefault="00EC0E1E" w:rsidP="00EC0E1E">
      <w:pPr>
        <w:ind w:left="0" w:hanging="2"/>
        <w:jc w:val="both"/>
        <w:rPr>
          <w:rFonts w:ascii="Arial" w:eastAsia="Arial" w:hAnsi="Arial" w:cs="Arial"/>
          <w:color w:val="000080"/>
          <w:sz w:val="20"/>
          <w:szCs w:val="20"/>
        </w:rPr>
      </w:pPr>
    </w:p>
    <w:p w14:paraId="68AD8BD6"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bookmarkStart w:id="23" w:name="_heading=h.3j2qqm3" w:colFirst="0" w:colLast="0"/>
      <w:bookmarkEnd w:id="23"/>
      <w:r>
        <w:rPr>
          <w:rFonts w:ascii="Arial" w:eastAsia="Arial" w:hAnsi="Arial" w:cs="Arial"/>
          <w:b/>
          <w:i/>
          <w:color w:val="000000"/>
          <w:sz w:val="20"/>
          <w:szCs w:val="20"/>
        </w:rPr>
        <w:t xml:space="preserve">5.2.a Resultados de los ensayos clínicos. </w:t>
      </w:r>
    </w:p>
    <w:p w14:paraId="64DA8DB8" w14:textId="77777777" w:rsidR="009D55C9" w:rsidRDefault="009D55C9">
      <w:pPr>
        <w:ind w:left="0" w:hanging="2"/>
        <w:jc w:val="both"/>
        <w:rPr>
          <w:rFonts w:ascii="Arial" w:eastAsia="Arial" w:hAnsi="Arial" w:cs="Arial"/>
          <w:color w:val="000080"/>
          <w:sz w:val="20"/>
        </w:rPr>
      </w:pPr>
    </w:p>
    <w:p w14:paraId="2F7BCB26" w14:textId="77777777" w:rsidR="00ED76F3" w:rsidRPr="00ED76F3" w:rsidRDefault="00ED76F3" w:rsidP="00ED76F3">
      <w:pPr>
        <w:pBdr>
          <w:top w:val="single" w:sz="2" w:space="1" w:color="000000"/>
          <w:left w:val="single" w:sz="2" w:space="4" w:color="000000"/>
          <w:bottom w:val="single" w:sz="2" w:space="1" w:color="000000"/>
          <w:right w:val="single" w:sz="2" w:space="4" w:color="000000"/>
        </w:pBdr>
        <w:ind w:left="0" w:hanging="2"/>
        <w:jc w:val="both"/>
        <w:rPr>
          <w:rFonts w:ascii="Arial" w:eastAsia="Arial" w:hAnsi="Arial" w:cs="Arial"/>
          <w:color w:val="000080"/>
        </w:rPr>
      </w:pPr>
      <w:r>
        <w:rPr>
          <w:rFonts w:ascii="Arial" w:eastAsia="Arial" w:hAnsi="Arial" w:cs="Arial"/>
          <w:b/>
          <w:i/>
          <w:sz w:val="20"/>
          <w:szCs w:val="16"/>
          <w:lang w:val="en-US"/>
        </w:rPr>
        <w:t>E</w:t>
      </w:r>
      <w:r w:rsidRPr="00ED76F3">
        <w:rPr>
          <w:rFonts w:ascii="Arial" w:eastAsia="Arial" w:hAnsi="Arial" w:cs="Arial"/>
          <w:b/>
          <w:i/>
          <w:sz w:val="20"/>
          <w:szCs w:val="16"/>
          <w:lang w:val="en-US"/>
        </w:rPr>
        <w:t>studio 201222</w:t>
      </w:r>
    </w:p>
    <w:p w14:paraId="3B2D3B95" w14:textId="77777777" w:rsidR="00ED76F3" w:rsidRPr="00291956" w:rsidRDefault="00ED76F3">
      <w:pPr>
        <w:ind w:left="0" w:hanging="2"/>
        <w:jc w:val="both"/>
        <w:rPr>
          <w:rFonts w:ascii="Arial" w:eastAsia="Arial" w:hAnsi="Arial" w:cs="Arial"/>
          <w:color w:val="000080"/>
          <w:sz w:val="20"/>
        </w:rPr>
      </w:pPr>
    </w:p>
    <w:tbl>
      <w:tblPr>
        <w:tblStyle w:val="afff5"/>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2070"/>
        <w:gridCol w:w="2087"/>
        <w:gridCol w:w="1813"/>
        <w:gridCol w:w="30"/>
        <w:gridCol w:w="1276"/>
      </w:tblGrid>
      <w:tr w:rsidR="009D55C9" w:rsidRPr="001100A3" w14:paraId="1151D568" w14:textId="77777777" w:rsidTr="001B39A8">
        <w:tc>
          <w:tcPr>
            <w:tcW w:w="9001" w:type="dxa"/>
            <w:gridSpan w:val="6"/>
            <w:shd w:val="clear" w:color="auto" w:fill="CCFFCC"/>
          </w:tcPr>
          <w:p w14:paraId="5153A79B" w14:textId="77777777" w:rsidR="009D55C9" w:rsidRPr="000A457F" w:rsidRDefault="005A57E0" w:rsidP="005813F5">
            <w:pPr>
              <w:ind w:left="0" w:hanging="2"/>
              <w:jc w:val="both"/>
              <w:rPr>
                <w:rFonts w:ascii="Arial" w:eastAsia="Arial" w:hAnsi="Arial" w:cs="Arial"/>
                <w:b/>
                <w:i/>
                <w:sz w:val="16"/>
                <w:szCs w:val="16"/>
                <w:lang w:val="en-US"/>
              </w:rPr>
            </w:pPr>
            <w:r w:rsidRPr="000A457F">
              <w:rPr>
                <w:rFonts w:ascii="Arial" w:eastAsia="Arial" w:hAnsi="Arial" w:cs="Arial"/>
                <w:b/>
                <w:i/>
                <w:sz w:val="18"/>
                <w:szCs w:val="18"/>
                <w:lang w:val="en-US"/>
              </w:rPr>
              <w:t>Tabla 5.2.</w:t>
            </w:r>
            <w:r w:rsidR="00291956">
              <w:rPr>
                <w:rFonts w:ascii="Arial" w:eastAsia="Arial" w:hAnsi="Arial" w:cs="Arial"/>
                <w:b/>
                <w:i/>
                <w:sz w:val="18"/>
                <w:szCs w:val="18"/>
                <w:lang w:val="en-US"/>
              </w:rPr>
              <w:t xml:space="preserve"> </w:t>
            </w:r>
            <w:r w:rsidRPr="000A457F">
              <w:rPr>
                <w:rFonts w:ascii="Arial" w:eastAsia="Arial" w:hAnsi="Arial" w:cs="Arial"/>
                <w:b/>
                <w:i/>
                <w:sz w:val="16"/>
                <w:szCs w:val="16"/>
                <w:lang w:val="en-US"/>
              </w:rPr>
              <w:t>Referencia: A Phase I/II Clinical Trial of Haematopoietic Stem Cell Gene Therapy for the Treatment of Metachromatic Leukodystrophy (estudio 201222)</w:t>
            </w:r>
            <w:r w:rsidR="005874F6">
              <w:rPr>
                <w:rFonts w:ascii="Arial" w:eastAsia="Arial" w:hAnsi="Arial" w:cs="Arial"/>
                <w:b/>
                <w:i/>
                <w:sz w:val="16"/>
                <w:szCs w:val="16"/>
                <w:lang w:val="en-US"/>
              </w:rPr>
              <w:t xml:space="preserve"> NTC01560182.</w:t>
            </w:r>
            <w:r w:rsidR="00ED76F3">
              <w:rPr>
                <w:rFonts w:ascii="Arial" w:eastAsia="Arial" w:hAnsi="Arial" w:cs="Arial"/>
                <w:b/>
                <w:i/>
                <w:sz w:val="16"/>
                <w:szCs w:val="16"/>
                <w:lang w:val="en-US"/>
              </w:rPr>
              <w:t xml:space="preserve"> EPAR.</w:t>
            </w:r>
            <w:r w:rsidR="00ED76F3" w:rsidRPr="00ED76F3">
              <w:rPr>
                <w:rFonts w:ascii="Arial" w:eastAsia="Arial" w:hAnsi="Arial" w:cs="Arial"/>
                <w:b/>
                <w:i/>
                <w:sz w:val="16"/>
                <w:szCs w:val="16"/>
                <w:vertAlign w:val="superscript"/>
                <w:lang w:val="en-US"/>
              </w:rPr>
              <w:fldChar w:fldCharType="begin"/>
            </w:r>
            <w:r w:rsidR="00ED76F3" w:rsidRPr="00ED76F3">
              <w:rPr>
                <w:rFonts w:ascii="Arial" w:eastAsia="Arial" w:hAnsi="Arial" w:cs="Arial"/>
                <w:b/>
                <w:i/>
                <w:sz w:val="16"/>
                <w:szCs w:val="16"/>
                <w:vertAlign w:val="superscript"/>
                <w:lang w:val="en-US"/>
              </w:rPr>
              <w:instrText xml:space="preserve"> NOTEREF _Ref66186475 \h </w:instrText>
            </w:r>
            <w:r w:rsidR="00ED76F3">
              <w:rPr>
                <w:rFonts w:ascii="Arial" w:eastAsia="Arial" w:hAnsi="Arial" w:cs="Arial"/>
                <w:b/>
                <w:i/>
                <w:sz w:val="16"/>
                <w:szCs w:val="16"/>
                <w:vertAlign w:val="superscript"/>
                <w:lang w:val="en-US"/>
              </w:rPr>
              <w:instrText xml:space="preserve"> \* MERGEFORMAT </w:instrText>
            </w:r>
            <w:r w:rsidR="00ED76F3" w:rsidRPr="00ED76F3">
              <w:rPr>
                <w:rFonts w:ascii="Arial" w:eastAsia="Arial" w:hAnsi="Arial" w:cs="Arial"/>
                <w:b/>
                <w:i/>
                <w:sz w:val="16"/>
                <w:szCs w:val="16"/>
                <w:vertAlign w:val="superscript"/>
                <w:lang w:val="en-US"/>
              </w:rPr>
            </w:r>
            <w:r w:rsidR="00ED76F3" w:rsidRPr="00ED76F3">
              <w:rPr>
                <w:rFonts w:ascii="Arial" w:eastAsia="Arial" w:hAnsi="Arial" w:cs="Arial"/>
                <w:b/>
                <w:i/>
                <w:sz w:val="16"/>
                <w:szCs w:val="16"/>
                <w:vertAlign w:val="superscript"/>
                <w:lang w:val="en-US"/>
              </w:rPr>
              <w:fldChar w:fldCharType="separate"/>
            </w:r>
            <w:r w:rsidR="00942E63">
              <w:rPr>
                <w:rFonts w:ascii="Arial" w:eastAsia="Arial" w:hAnsi="Arial" w:cs="Arial"/>
                <w:b/>
                <w:i/>
                <w:sz w:val="16"/>
                <w:szCs w:val="16"/>
                <w:vertAlign w:val="superscript"/>
                <w:lang w:val="en-US"/>
              </w:rPr>
              <w:t>1</w:t>
            </w:r>
            <w:r w:rsidR="00ED76F3" w:rsidRPr="00ED76F3">
              <w:rPr>
                <w:rFonts w:ascii="Arial" w:eastAsia="Arial" w:hAnsi="Arial" w:cs="Arial"/>
                <w:b/>
                <w:i/>
                <w:sz w:val="16"/>
                <w:szCs w:val="16"/>
                <w:vertAlign w:val="superscript"/>
                <w:lang w:val="en-US"/>
              </w:rPr>
              <w:fldChar w:fldCharType="end"/>
            </w:r>
          </w:p>
        </w:tc>
      </w:tr>
      <w:tr w:rsidR="009D55C9" w14:paraId="503D35D5" w14:textId="77777777" w:rsidTr="001B39A8">
        <w:tc>
          <w:tcPr>
            <w:tcW w:w="9001" w:type="dxa"/>
            <w:gridSpan w:val="6"/>
          </w:tcPr>
          <w:p w14:paraId="0B74A012"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-Nº de pacientes: 20</w:t>
            </w:r>
            <w:r w:rsidR="005874F6">
              <w:rPr>
                <w:rFonts w:ascii="Arial" w:eastAsia="Arial" w:hAnsi="Arial" w:cs="Arial"/>
                <w:sz w:val="16"/>
                <w:szCs w:val="16"/>
              </w:rPr>
              <w:t xml:space="preserve"> (+2 pacientes que no llegaron</w:t>
            </w:r>
            <w:r w:rsidR="00291956">
              <w:rPr>
                <w:rFonts w:ascii="Arial" w:eastAsia="Arial" w:hAnsi="Arial" w:cs="Arial"/>
                <w:sz w:val="16"/>
                <w:szCs w:val="16"/>
              </w:rPr>
              <w:t xml:space="preserve"> </w:t>
            </w:r>
            <w:r w:rsidR="005874F6">
              <w:rPr>
                <w:rFonts w:ascii="Arial" w:eastAsia="Arial" w:hAnsi="Arial" w:cs="Arial"/>
                <w:sz w:val="16"/>
                <w:szCs w:val="16"/>
              </w:rPr>
              <w:t>a recibir el tratamiento)</w:t>
            </w:r>
            <w:r w:rsidR="001B39A8">
              <w:rPr>
                <w:rFonts w:ascii="Arial" w:eastAsia="Arial" w:hAnsi="Arial" w:cs="Arial"/>
                <w:sz w:val="16"/>
                <w:szCs w:val="16"/>
              </w:rPr>
              <w:t>.</w:t>
            </w:r>
          </w:p>
          <w:p w14:paraId="142D893D"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 xml:space="preserve">-Diseño: No aleatorizado, abierto, prospectivo, comparativo (control no simultáneo, cohorte histórica), unicéntrico. </w:t>
            </w:r>
          </w:p>
          <w:p w14:paraId="31F6B391" w14:textId="77777777" w:rsidR="004A49AC" w:rsidRDefault="005A57E0">
            <w:pPr>
              <w:ind w:left="0" w:hanging="2"/>
              <w:jc w:val="both"/>
              <w:rPr>
                <w:rFonts w:ascii="Arial" w:eastAsia="Arial" w:hAnsi="Arial" w:cs="Arial"/>
                <w:sz w:val="16"/>
                <w:szCs w:val="16"/>
              </w:rPr>
            </w:pPr>
            <w:r>
              <w:rPr>
                <w:rFonts w:ascii="Arial" w:eastAsia="Arial" w:hAnsi="Arial" w:cs="Arial"/>
                <w:sz w:val="16"/>
                <w:szCs w:val="16"/>
              </w:rPr>
              <w:t xml:space="preserve">-Tratamiento grupo activo y tratamiento grupo control: </w:t>
            </w:r>
            <w:r w:rsidR="004A49AC">
              <w:rPr>
                <w:rFonts w:ascii="Arial" w:eastAsia="Arial" w:hAnsi="Arial" w:cs="Arial"/>
                <w:sz w:val="16"/>
                <w:szCs w:val="16"/>
              </w:rPr>
              <w:t>dosis mínima 2</w:t>
            </w:r>
            <w:r w:rsidR="005874F6" w:rsidRPr="005874F6">
              <w:rPr>
                <w:rFonts w:ascii="Arial" w:eastAsia="Arial" w:hAnsi="Arial" w:cs="Arial"/>
                <w:sz w:val="16"/>
                <w:szCs w:val="16"/>
              </w:rPr>
              <w:t xml:space="preserve"> x 10</w:t>
            </w:r>
            <w:r w:rsidR="005874F6" w:rsidRPr="005874F6">
              <w:rPr>
                <w:rFonts w:ascii="Arial" w:eastAsia="Arial" w:hAnsi="Arial" w:cs="Arial"/>
                <w:sz w:val="16"/>
                <w:szCs w:val="16"/>
                <w:vertAlign w:val="superscript"/>
              </w:rPr>
              <w:t>6</w:t>
            </w:r>
            <w:r w:rsidR="005874F6" w:rsidRPr="005874F6">
              <w:rPr>
                <w:rFonts w:ascii="Arial" w:eastAsia="Arial" w:hAnsi="Arial" w:cs="Arial"/>
                <w:sz w:val="16"/>
                <w:szCs w:val="16"/>
              </w:rPr>
              <w:t xml:space="preserve"> células CD34+/kg como perfusión intravenosa</w:t>
            </w:r>
            <w:r w:rsidR="004A49AC">
              <w:rPr>
                <w:rFonts w:ascii="Arial" w:eastAsia="Arial" w:hAnsi="Arial" w:cs="Arial"/>
                <w:sz w:val="16"/>
                <w:szCs w:val="16"/>
              </w:rPr>
              <w:t xml:space="preserve">; dosis objetivo 5-10 </w:t>
            </w:r>
            <w:r w:rsidR="004A49AC" w:rsidRPr="005874F6">
              <w:rPr>
                <w:rFonts w:ascii="Arial" w:eastAsia="Arial" w:hAnsi="Arial" w:cs="Arial"/>
                <w:sz w:val="16"/>
                <w:szCs w:val="16"/>
              </w:rPr>
              <w:t>x 10</w:t>
            </w:r>
            <w:r w:rsidR="004A49AC" w:rsidRPr="005874F6">
              <w:rPr>
                <w:rFonts w:ascii="Arial" w:eastAsia="Arial" w:hAnsi="Arial" w:cs="Arial"/>
                <w:sz w:val="16"/>
                <w:szCs w:val="16"/>
                <w:vertAlign w:val="superscript"/>
              </w:rPr>
              <w:t>6</w:t>
            </w:r>
            <w:r w:rsidR="004A49AC" w:rsidRPr="005874F6">
              <w:rPr>
                <w:rFonts w:ascii="Arial" w:eastAsia="Arial" w:hAnsi="Arial" w:cs="Arial"/>
                <w:sz w:val="16"/>
                <w:szCs w:val="16"/>
              </w:rPr>
              <w:t xml:space="preserve"> </w:t>
            </w:r>
            <w:r w:rsidR="004A49AC">
              <w:rPr>
                <w:rFonts w:ascii="Arial" w:eastAsia="Arial" w:hAnsi="Arial" w:cs="Arial"/>
                <w:sz w:val="16"/>
                <w:szCs w:val="16"/>
              </w:rPr>
              <w:t xml:space="preserve">células CD34+/kg; dosis máxima 20 </w:t>
            </w:r>
            <w:r w:rsidR="004A49AC" w:rsidRPr="005874F6">
              <w:rPr>
                <w:rFonts w:ascii="Arial" w:eastAsia="Arial" w:hAnsi="Arial" w:cs="Arial"/>
                <w:sz w:val="16"/>
                <w:szCs w:val="16"/>
              </w:rPr>
              <w:t>x 10</w:t>
            </w:r>
            <w:r w:rsidR="004A49AC" w:rsidRPr="005874F6">
              <w:rPr>
                <w:rFonts w:ascii="Arial" w:eastAsia="Arial" w:hAnsi="Arial" w:cs="Arial"/>
                <w:sz w:val="16"/>
                <w:szCs w:val="16"/>
                <w:vertAlign w:val="superscript"/>
              </w:rPr>
              <w:t>6</w:t>
            </w:r>
            <w:r w:rsidR="004A49AC" w:rsidRPr="005874F6">
              <w:rPr>
                <w:rFonts w:ascii="Arial" w:eastAsia="Arial" w:hAnsi="Arial" w:cs="Arial"/>
                <w:sz w:val="16"/>
                <w:szCs w:val="16"/>
              </w:rPr>
              <w:t xml:space="preserve"> </w:t>
            </w:r>
            <w:r w:rsidR="004A49AC">
              <w:rPr>
                <w:rFonts w:ascii="Arial" w:eastAsia="Arial" w:hAnsi="Arial" w:cs="Arial"/>
                <w:sz w:val="16"/>
                <w:szCs w:val="16"/>
              </w:rPr>
              <w:t>células CD34+/kg.</w:t>
            </w:r>
          </w:p>
          <w:p w14:paraId="60538350"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-Criterios de inclusión: pacient</w:t>
            </w:r>
            <w:r w:rsidR="00EE1710">
              <w:rPr>
                <w:rFonts w:ascii="Arial" w:eastAsia="Arial" w:hAnsi="Arial" w:cs="Arial"/>
                <w:sz w:val="16"/>
                <w:szCs w:val="16"/>
              </w:rPr>
              <w:t>es con LDM hasta 7 años de edad.</w:t>
            </w:r>
          </w:p>
          <w:sdt>
            <w:sdtPr>
              <w:tag w:val="goog_rdk_0"/>
              <w:id w:val="356629720"/>
            </w:sdtPr>
            <w:sdtEndPr>
              <w:rPr>
                <w:rFonts w:eastAsia="Arial"/>
              </w:rPr>
            </w:sdtEndPr>
            <w:sdtContent>
              <w:p w14:paraId="7EE17265" w14:textId="77777777" w:rsidR="003F43C4" w:rsidRDefault="005A57E0" w:rsidP="00EE1710">
                <w:pPr>
                  <w:pStyle w:val="Prrafodelista"/>
                  <w:numPr>
                    <w:ilvl w:val="0"/>
                    <w:numId w:val="27"/>
                  </w:numPr>
                  <w:ind w:leftChars="0" w:firstLineChars="0"/>
                  <w:jc w:val="both"/>
                  <w:rPr>
                    <w:rFonts w:ascii="Arial" w:eastAsia="Arial" w:hAnsi="Arial" w:cs="Arial"/>
                    <w:sz w:val="16"/>
                    <w:szCs w:val="16"/>
                  </w:rPr>
                </w:pPr>
                <w:r w:rsidRPr="00EE1710">
                  <w:rPr>
                    <w:rFonts w:ascii="Arial" w:eastAsia="Arial" w:hAnsi="Arial" w:cs="Arial"/>
                    <w:sz w:val="16"/>
                    <w:szCs w:val="16"/>
                  </w:rPr>
                  <w:t>Presintomáticos con variante infantil tardía (LDM-IT) (n=9):</w:t>
                </w:r>
              </w:p>
              <w:p w14:paraId="29EE80D5" w14:textId="77777777" w:rsidR="003F43C4"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edad de inicio de los síntomas en el hermano</w:t>
                </w:r>
                <w:r w:rsidR="003F43C4">
                  <w:rPr>
                    <w:rFonts w:ascii="Arial" w:eastAsia="Arial" w:hAnsi="Arial" w:cs="Arial"/>
                    <w:sz w:val="16"/>
                    <w:szCs w:val="16"/>
                  </w:rPr>
                  <w:t>/s</w:t>
                </w:r>
                <w:r w:rsidRPr="00EE1710">
                  <w:rPr>
                    <w:rFonts w:ascii="Arial" w:eastAsia="Arial" w:hAnsi="Arial" w:cs="Arial"/>
                    <w:sz w:val="16"/>
                    <w:szCs w:val="16"/>
                  </w:rPr>
                  <w:t xml:space="preserve"> mayores ≤ 30 meses </w:t>
                </w:r>
                <w:r w:rsidR="003F43C4">
                  <w:rPr>
                    <w:rFonts w:ascii="Arial" w:eastAsia="Arial" w:hAnsi="Arial" w:cs="Arial"/>
                    <w:sz w:val="16"/>
                    <w:szCs w:val="16"/>
                  </w:rPr>
                  <w:t>o</w:t>
                </w:r>
              </w:p>
              <w:p w14:paraId="3DD133D6" w14:textId="77777777" w:rsidR="009D55C9" w:rsidRPr="00EE1710"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2 alelos ARSA con mutación nula (0) con neuropatía periférica en </w:t>
                </w:r>
                <w:r w:rsidR="003F43C4">
                  <w:rPr>
                    <w:rFonts w:ascii="Arial" w:eastAsia="Arial" w:hAnsi="Arial" w:cs="Arial"/>
                    <w:sz w:val="16"/>
                    <w:szCs w:val="16"/>
                  </w:rPr>
                  <w:t>la</w:t>
                </w:r>
                <w:r w:rsidRPr="00EE1710">
                  <w:rPr>
                    <w:rFonts w:ascii="Arial" w:eastAsia="Arial" w:hAnsi="Arial" w:cs="Arial"/>
                    <w:sz w:val="16"/>
                    <w:szCs w:val="16"/>
                  </w:rPr>
                  <w:t xml:space="preserve"> electroneurografía (ENG)</w:t>
                </w:r>
                <w:r w:rsidR="00CA672F" w:rsidRPr="00EE1710">
                  <w:rPr>
                    <w:rFonts w:ascii="Arial" w:eastAsia="Arial" w:hAnsi="Arial" w:cs="Arial"/>
                    <w:sz w:val="16"/>
                    <w:szCs w:val="16"/>
                  </w:rPr>
                  <w:t>.</w:t>
                </w:r>
              </w:p>
            </w:sdtContent>
          </w:sdt>
          <w:p w14:paraId="1DBE6506" w14:textId="77777777" w:rsidR="003F43C4" w:rsidRDefault="005A57E0" w:rsidP="00EE1710">
            <w:pPr>
              <w:pStyle w:val="Prrafodelista"/>
              <w:numPr>
                <w:ilvl w:val="0"/>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Presintomáticos </w:t>
            </w:r>
            <w:r w:rsidR="003F43C4">
              <w:rPr>
                <w:rFonts w:ascii="Arial" w:eastAsia="Arial" w:hAnsi="Arial" w:cs="Arial"/>
                <w:sz w:val="16"/>
                <w:szCs w:val="16"/>
              </w:rPr>
              <w:t xml:space="preserve">o sintomáticos tempranos </w:t>
            </w:r>
            <w:r w:rsidRPr="00EE1710">
              <w:rPr>
                <w:rFonts w:ascii="Arial" w:eastAsia="Arial" w:hAnsi="Arial" w:cs="Arial"/>
                <w:sz w:val="16"/>
                <w:szCs w:val="16"/>
              </w:rPr>
              <w:t xml:space="preserve">con variante juvenil temprana (LDM-JT) (n=11): </w:t>
            </w:r>
          </w:p>
          <w:p w14:paraId="2C364736" w14:textId="77777777" w:rsidR="00291956"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edad de inicio de los síntomas (en el paciente o en el hermano mayor) entre 30 meses y 7 años, o </w:t>
            </w:r>
          </w:p>
          <w:p w14:paraId="3956A6A7" w14:textId="77777777" w:rsidR="00291956"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 xml:space="preserve">un alelo con mutación nula (0) </w:t>
            </w:r>
            <w:r w:rsidR="00291956">
              <w:rPr>
                <w:rFonts w:ascii="Arial" w:eastAsia="Arial" w:hAnsi="Arial" w:cs="Arial"/>
                <w:sz w:val="16"/>
                <w:szCs w:val="16"/>
              </w:rPr>
              <w:t>y un alelo residual (R) de ARSA, o</w:t>
            </w:r>
          </w:p>
          <w:p w14:paraId="4C442BCF" w14:textId="77777777" w:rsidR="009D55C9" w:rsidRPr="00EE1710" w:rsidRDefault="005A57E0" w:rsidP="003F43C4">
            <w:pPr>
              <w:pStyle w:val="Prrafodelista"/>
              <w:numPr>
                <w:ilvl w:val="1"/>
                <w:numId w:val="27"/>
              </w:numPr>
              <w:ind w:leftChars="0" w:firstLineChars="0"/>
              <w:jc w:val="both"/>
              <w:rPr>
                <w:rFonts w:ascii="Arial" w:eastAsia="Arial" w:hAnsi="Arial" w:cs="Arial"/>
                <w:sz w:val="16"/>
                <w:szCs w:val="16"/>
              </w:rPr>
            </w:pPr>
            <w:r w:rsidRPr="00EE1710">
              <w:rPr>
                <w:rFonts w:ascii="Arial" w:eastAsia="Arial" w:hAnsi="Arial" w:cs="Arial"/>
                <w:sz w:val="16"/>
                <w:szCs w:val="16"/>
              </w:rPr>
              <w:t>neuropatía periférica en el estudio ENG.</w:t>
            </w:r>
          </w:p>
          <w:p w14:paraId="6E51878D"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w:t>
            </w:r>
            <w:r w:rsidRPr="00291956">
              <w:rPr>
                <w:rFonts w:ascii="Arial" w:eastAsia="Arial" w:hAnsi="Arial" w:cs="Arial"/>
                <w:sz w:val="16"/>
                <w:szCs w:val="16"/>
                <w:u w:val="single"/>
              </w:rPr>
              <w:t>Presintomático</w:t>
            </w:r>
            <w:r w:rsidR="00291956">
              <w:rPr>
                <w:rFonts w:ascii="Arial" w:eastAsia="Arial" w:hAnsi="Arial" w:cs="Arial"/>
                <w:sz w:val="16"/>
                <w:szCs w:val="16"/>
                <w:u w:val="single"/>
              </w:rPr>
              <w:t>.</w:t>
            </w:r>
            <w:r w:rsidR="00291956">
              <w:rPr>
                <w:rFonts w:ascii="Arial" w:eastAsia="Arial" w:hAnsi="Arial" w:cs="Arial"/>
                <w:sz w:val="16"/>
                <w:szCs w:val="16"/>
              </w:rPr>
              <w:t xml:space="preserve"> E</w:t>
            </w:r>
            <w:r>
              <w:rPr>
                <w:rFonts w:ascii="Arial" w:eastAsia="Arial" w:hAnsi="Arial" w:cs="Arial"/>
                <w:sz w:val="16"/>
                <w:szCs w:val="16"/>
              </w:rPr>
              <w:t>n el momento de la inclusión no presentaban deterioro neurológico, con o sin signos de la enfermedad revelados por ENG y RMN cerebral.</w:t>
            </w:r>
          </w:p>
          <w:p w14:paraId="48CA26E1" w14:textId="77777777" w:rsidR="009D55C9" w:rsidRDefault="005A57E0">
            <w:pPr>
              <w:ind w:left="0" w:hanging="2"/>
              <w:jc w:val="both"/>
              <w:rPr>
                <w:rFonts w:ascii="Arial" w:eastAsia="Arial" w:hAnsi="Arial" w:cs="Arial"/>
                <w:sz w:val="16"/>
                <w:szCs w:val="16"/>
              </w:rPr>
            </w:pPr>
            <w:r w:rsidRPr="00CA672F">
              <w:rPr>
                <w:rFonts w:ascii="Arial" w:eastAsia="Arial" w:hAnsi="Arial" w:cs="Arial"/>
                <w:sz w:val="16"/>
                <w:szCs w:val="16"/>
              </w:rPr>
              <w:t>*</w:t>
            </w:r>
            <w:r w:rsidRPr="009A2386">
              <w:rPr>
                <w:rFonts w:ascii="Arial" w:eastAsia="Arial" w:hAnsi="Arial" w:cs="Arial"/>
                <w:sz w:val="16"/>
                <w:szCs w:val="16"/>
                <w:u w:val="single"/>
              </w:rPr>
              <w:t>Sintomáticos tempranos</w:t>
            </w:r>
            <w:r w:rsidR="00291956">
              <w:rPr>
                <w:rFonts w:ascii="Arial" w:eastAsia="Arial" w:hAnsi="Arial" w:cs="Arial"/>
                <w:sz w:val="16"/>
                <w:szCs w:val="16"/>
                <w:u w:val="single"/>
              </w:rPr>
              <w:t>.</w:t>
            </w:r>
            <w:sdt>
              <w:sdtPr>
                <w:rPr>
                  <w:rFonts w:ascii="Arial" w:eastAsia="Arial" w:hAnsi="Arial" w:cs="Arial"/>
                  <w:sz w:val="16"/>
                  <w:szCs w:val="16"/>
                </w:rPr>
                <w:tag w:val="goog_rdk_1"/>
                <w:id w:val="570935301"/>
              </w:sdtPr>
              <w:sdtEndPr/>
              <w:sdtContent>
                <w:r w:rsidR="00291956">
                  <w:rPr>
                    <w:rFonts w:ascii="Arial" w:eastAsia="Arial" w:hAnsi="Arial" w:cs="Arial"/>
                    <w:sz w:val="16"/>
                    <w:szCs w:val="16"/>
                  </w:rPr>
                  <w:t xml:space="preserve"> E</w:t>
                </w:r>
                <w:r w:rsidRPr="00CA672F">
                  <w:rPr>
                    <w:rFonts w:ascii="Arial" w:eastAsia="Arial" w:hAnsi="Arial" w:cs="Arial"/>
                    <w:sz w:val="16"/>
                    <w:szCs w:val="16"/>
                  </w:rPr>
                  <w:t>n el momento de la inclusión cumplían los dos criterios siguientes</w:t>
                </w:r>
                <w:r w:rsidR="00291956">
                  <w:rPr>
                    <w:rFonts w:ascii="Arial" w:eastAsia="Arial" w:hAnsi="Arial" w:cs="Arial"/>
                    <w:sz w:val="16"/>
                    <w:szCs w:val="16"/>
                  </w:rPr>
                  <w:t>:</w:t>
                </w:r>
                <w:r w:rsidRPr="00CA672F">
                  <w:rPr>
                    <w:rFonts w:ascii="Arial" w:eastAsia="Arial" w:hAnsi="Arial" w:cs="Arial"/>
                    <w:sz w:val="16"/>
                    <w:szCs w:val="16"/>
                  </w:rPr>
                  <w:t xml:space="preserve"> CI ≥ 70 y </w:t>
                </w:r>
                <w:r w:rsidR="00EC0E1E">
                  <w:rPr>
                    <w:rFonts w:ascii="Arial" w:eastAsia="Arial" w:hAnsi="Arial" w:cs="Arial"/>
                    <w:sz w:val="16"/>
                    <w:szCs w:val="16"/>
                  </w:rPr>
                  <w:t>c</w:t>
                </w:r>
                <w:r w:rsidRPr="00CA672F">
                  <w:rPr>
                    <w:rFonts w:ascii="Arial" w:eastAsia="Arial" w:hAnsi="Arial" w:cs="Arial"/>
                    <w:sz w:val="16"/>
                    <w:szCs w:val="16"/>
                  </w:rPr>
                  <w:t>apacidad de caminar de forma independiente durante ≥ 10 pasos.</w:t>
                </w:r>
              </w:sdtContent>
            </w:sdt>
          </w:p>
          <w:p w14:paraId="0E426CEB"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-Criterios de exclusión:</w:t>
            </w:r>
          </w:p>
          <w:p w14:paraId="25592B6B"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VIH, VHC, VHB positivos.</w:t>
            </w:r>
          </w:p>
          <w:p w14:paraId="68E37C9D"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Enfermedad neoplásica.</w:t>
            </w:r>
          </w:p>
          <w:p w14:paraId="7A307D94"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Alteraciones genéticas típicas de leucemia mieloblástica aguda (LMA)/síndrome mielodisplásico (SMD)</w:t>
            </w:r>
          </w:p>
          <w:p w14:paraId="314EA235"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Afectación orgánica terminal u otra enfermedad grave que, a juicio del investigador, fuese motivo de exclusión para el estudio.</w:t>
            </w:r>
          </w:p>
          <w:p w14:paraId="30B1A671"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Pacientes incluidos en otros ensayos.</w:t>
            </w:r>
          </w:p>
          <w:p w14:paraId="2A4B1910"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TPH alogénico en los seis meses anteriores.</w:t>
            </w:r>
          </w:p>
          <w:p w14:paraId="1E0D56C0" w14:textId="77777777" w:rsidR="009D55C9" w:rsidRDefault="005A57E0" w:rsidP="00291956">
            <w:pPr>
              <w:pStyle w:val="Prrafodelista"/>
              <w:numPr>
                <w:ilvl w:val="0"/>
                <w:numId w:val="27"/>
              </w:numPr>
              <w:ind w:leftChars="0" w:firstLineChars="0"/>
              <w:jc w:val="both"/>
              <w:rPr>
                <w:rFonts w:ascii="Arial" w:eastAsia="Arial" w:hAnsi="Arial" w:cs="Arial"/>
                <w:sz w:val="16"/>
                <w:szCs w:val="16"/>
              </w:rPr>
            </w:pPr>
            <w:r>
              <w:rPr>
                <w:rFonts w:ascii="Arial" w:eastAsia="Arial" w:hAnsi="Arial" w:cs="Arial"/>
                <w:sz w:val="16"/>
                <w:szCs w:val="16"/>
              </w:rPr>
              <w:t>TPH alogénico con evidencia de células residuales procedentes del donante.</w:t>
            </w:r>
          </w:p>
          <w:p w14:paraId="00C5D8B9"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 xml:space="preserve">-Pérdidas: </w:t>
            </w:r>
            <w:r w:rsidR="00291956">
              <w:rPr>
                <w:rFonts w:ascii="Arial" w:eastAsia="Arial" w:hAnsi="Arial" w:cs="Arial"/>
                <w:sz w:val="16"/>
                <w:szCs w:val="16"/>
              </w:rPr>
              <w:t>s</w:t>
            </w:r>
            <w:r>
              <w:rPr>
                <w:rFonts w:ascii="Arial" w:eastAsia="Arial" w:hAnsi="Arial" w:cs="Arial"/>
                <w:sz w:val="16"/>
                <w:szCs w:val="16"/>
              </w:rPr>
              <w:t>e incluyeron 22 pacientes de los cuales 2 discontinuaron el estudio antes de recibir el tratamiento experimental. Uno de ellos por retirada del consentimiento de los padres. El otro debido a una rápida progresión de la enfermedad.</w:t>
            </w:r>
          </w:p>
          <w:p w14:paraId="4117E3EF"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w:t>
            </w:r>
            <w:r w:rsidR="00EC0E1E">
              <w:rPr>
                <w:rFonts w:ascii="Arial" w:eastAsia="Arial" w:hAnsi="Arial" w:cs="Arial"/>
                <w:sz w:val="16"/>
                <w:szCs w:val="16"/>
              </w:rPr>
              <w:t xml:space="preserve"> </w:t>
            </w:r>
            <w:r>
              <w:rPr>
                <w:rFonts w:ascii="Arial" w:eastAsia="Arial" w:hAnsi="Arial" w:cs="Arial"/>
                <w:sz w:val="16"/>
                <w:szCs w:val="16"/>
              </w:rPr>
              <w:t>Tipo de anál</w:t>
            </w:r>
            <w:r w:rsidR="00901569">
              <w:rPr>
                <w:rFonts w:ascii="Arial" w:eastAsia="Arial" w:hAnsi="Arial" w:cs="Arial"/>
                <w:sz w:val="16"/>
                <w:szCs w:val="16"/>
              </w:rPr>
              <w:t>isis. Intención de tratar (ITT): criterios de inclusión + consentimiento + recibir tratamiento con el fármaco.</w:t>
            </w:r>
          </w:p>
          <w:p w14:paraId="4C90208A" w14:textId="77777777" w:rsidR="009D55C9" w:rsidRDefault="005A57E0">
            <w:pPr>
              <w:ind w:left="0" w:hanging="2"/>
              <w:jc w:val="both"/>
              <w:rPr>
                <w:rFonts w:ascii="Arial" w:eastAsia="Arial" w:hAnsi="Arial" w:cs="Arial"/>
                <w:sz w:val="16"/>
                <w:szCs w:val="16"/>
              </w:rPr>
            </w:pPr>
            <w:r>
              <w:rPr>
                <w:rFonts w:ascii="Arial" w:eastAsia="Arial" w:hAnsi="Arial" w:cs="Arial"/>
                <w:sz w:val="16"/>
                <w:szCs w:val="16"/>
              </w:rPr>
              <w:t>- Cálculo de tamaño muestral: no especificado.</w:t>
            </w:r>
          </w:p>
        </w:tc>
      </w:tr>
      <w:tr w:rsidR="009D55C9" w14:paraId="5D054A26" w14:textId="77777777" w:rsidTr="001B39A8">
        <w:trPr>
          <w:trHeight w:val="230"/>
        </w:trPr>
        <w:tc>
          <w:tcPr>
            <w:tcW w:w="9001" w:type="dxa"/>
            <w:gridSpan w:val="6"/>
            <w:tcBorders>
              <w:bottom w:val="single" w:sz="24" w:space="0" w:color="000000"/>
            </w:tcBorders>
            <w:shd w:val="clear" w:color="auto" w:fill="CCFFCC"/>
          </w:tcPr>
          <w:p w14:paraId="57471534" w14:textId="77777777" w:rsidR="009D55C9" w:rsidRDefault="005A57E0">
            <w:pPr>
              <w:ind w:left="0" w:hanging="2"/>
              <w:jc w:val="both"/>
              <w:rPr>
                <w:rFonts w:ascii="Arial" w:eastAsia="Arial" w:hAnsi="Arial" w:cs="Arial"/>
                <w:sz w:val="16"/>
                <w:szCs w:val="16"/>
              </w:rPr>
            </w:pPr>
            <w:r>
              <w:rPr>
                <w:rFonts w:ascii="Arial" w:eastAsia="Arial" w:hAnsi="Arial" w:cs="Arial"/>
                <w:b/>
                <w:i/>
                <w:sz w:val="16"/>
                <w:szCs w:val="16"/>
              </w:rPr>
              <w:t xml:space="preserve">Resultados a 2 años  </w:t>
            </w:r>
          </w:p>
        </w:tc>
      </w:tr>
      <w:tr w:rsidR="00297CE6" w:rsidRPr="00297CE6" w14:paraId="5B32C33F" w14:textId="77777777" w:rsidTr="001B39A8">
        <w:trPr>
          <w:trHeight w:val="230"/>
        </w:trPr>
        <w:tc>
          <w:tcPr>
            <w:tcW w:w="9001" w:type="dxa"/>
            <w:gridSpan w:val="6"/>
            <w:tcBorders>
              <w:top w:val="single" w:sz="24" w:space="0" w:color="000000"/>
              <w:left w:val="single" w:sz="24" w:space="0" w:color="000000"/>
              <w:bottom w:val="single" w:sz="24" w:space="0" w:color="000000"/>
              <w:right w:val="single" w:sz="24" w:space="0" w:color="000000"/>
            </w:tcBorders>
            <w:shd w:val="clear" w:color="auto" w:fill="D6E3BC" w:themeFill="accent3" w:themeFillTint="66"/>
            <w:vAlign w:val="center"/>
          </w:tcPr>
          <w:p w14:paraId="2EFA80FA" w14:textId="77777777" w:rsidR="00297CE6" w:rsidRPr="00297CE6" w:rsidRDefault="00297CE6" w:rsidP="00297CE6">
            <w:pPr>
              <w:ind w:left="0" w:hanging="2"/>
              <w:rPr>
                <w:rFonts w:ascii="Arial" w:eastAsia="Arial" w:hAnsi="Arial" w:cs="Arial"/>
                <w:b/>
                <w:sz w:val="16"/>
                <w:szCs w:val="16"/>
              </w:rPr>
            </w:pPr>
            <w:r w:rsidRPr="009033F0">
              <w:rPr>
                <w:rFonts w:ascii="Arial" w:eastAsia="Arial" w:hAnsi="Arial" w:cs="Arial"/>
                <w:b/>
                <w:sz w:val="16"/>
                <w:szCs w:val="16"/>
              </w:rPr>
              <w:t>Co-variables principales</w:t>
            </w:r>
          </w:p>
        </w:tc>
      </w:tr>
      <w:tr w:rsidR="00EC561F" w:rsidRPr="00471227" w14:paraId="54A21C23"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themeFill="background1" w:themeFillShade="D9"/>
            <w:vAlign w:val="center"/>
          </w:tcPr>
          <w:p w14:paraId="45792C37" w14:textId="77777777" w:rsidR="00EC561F" w:rsidRPr="00471227" w:rsidRDefault="00471227" w:rsidP="00297CE6">
            <w:pPr>
              <w:ind w:left="0" w:hanging="2"/>
              <w:rPr>
                <w:rFonts w:ascii="Arial" w:eastAsia="Arial" w:hAnsi="Arial" w:cs="Arial"/>
                <w:b/>
                <w:i/>
                <w:sz w:val="16"/>
                <w:szCs w:val="16"/>
              </w:rPr>
            </w:pPr>
            <w:r w:rsidRPr="00471227">
              <w:rPr>
                <w:rFonts w:ascii="Arial" w:eastAsia="Arial" w:hAnsi="Arial" w:cs="Arial"/>
                <w:b/>
                <w:i/>
                <w:sz w:val="16"/>
                <w:szCs w:val="16"/>
              </w:rPr>
              <w:t>Leucodistrofia metacromática variante infantil tardía (LDM-IT)</w:t>
            </w:r>
          </w:p>
        </w:tc>
      </w:tr>
      <w:tr w:rsidR="00297CE6" w14:paraId="21DAE8E6"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6A1E429A" w14:textId="77777777" w:rsidR="00297CE6" w:rsidRDefault="00297CE6" w:rsidP="00036243">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25EE109F" w14:textId="77777777" w:rsidR="00297CE6" w:rsidRDefault="00297CE6" w:rsidP="00130028">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w:t>
            </w:r>
            <w:r w:rsidRPr="00786169">
              <w:rPr>
                <w:rFonts w:ascii="Arial" w:eastAsia="Arial" w:hAnsi="Arial" w:cs="Arial"/>
                <w:b/>
                <w:sz w:val="16"/>
                <w:szCs w:val="16"/>
                <w:vertAlign w:val="superscript"/>
              </w:rPr>
              <w:t xml:space="preserve"> </w:t>
            </w:r>
            <w:r>
              <w:rPr>
                <w:rFonts w:ascii="Arial" w:eastAsia="Arial" w:hAnsi="Arial" w:cs="Arial"/>
                <w:b/>
                <w:sz w:val="16"/>
                <w:szCs w:val="16"/>
              </w:rPr>
              <w:t>(n=</w:t>
            </w:r>
            <w:r w:rsidR="00130028">
              <w:rPr>
                <w:rFonts w:ascii="Arial" w:eastAsia="Arial" w:hAnsi="Arial" w:cs="Arial"/>
                <w:b/>
                <w:sz w:val="16"/>
                <w:szCs w:val="16"/>
              </w:rPr>
              <w:t>8</w:t>
            </w:r>
            <w:r>
              <w:rPr>
                <w:rFonts w:ascii="Arial" w:eastAsia="Arial" w:hAnsi="Arial" w:cs="Arial"/>
                <w:b/>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39007536" w14:textId="77777777" w:rsidR="00297CE6" w:rsidRDefault="00297CE6" w:rsidP="00036243">
            <w:pPr>
              <w:ind w:left="0" w:hanging="2"/>
              <w:jc w:val="center"/>
              <w:rPr>
                <w:rFonts w:ascii="Arial" w:eastAsia="Arial" w:hAnsi="Arial" w:cs="Arial"/>
                <w:sz w:val="16"/>
                <w:szCs w:val="16"/>
              </w:rPr>
            </w:pPr>
            <w:r>
              <w:rPr>
                <w:rFonts w:ascii="Arial" w:eastAsia="Arial" w:hAnsi="Arial" w:cs="Arial"/>
                <w:b/>
                <w:sz w:val="16"/>
                <w:szCs w:val="16"/>
              </w:rPr>
              <w:t>TIGET-NHx (n=9)</w:t>
            </w:r>
          </w:p>
        </w:tc>
        <w:tc>
          <w:tcPr>
            <w:tcW w:w="1813" w:type="dxa"/>
            <w:tcBorders>
              <w:top w:val="single" w:sz="2" w:space="0" w:color="000000"/>
              <w:left w:val="single" w:sz="2" w:space="0" w:color="000000"/>
              <w:bottom w:val="single" w:sz="2" w:space="0" w:color="000000"/>
              <w:right w:val="single" w:sz="2" w:space="0" w:color="000000"/>
            </w:tcBorders>
            <w:vAlign w:val="center"/>
          </w:tcPr>
          <w:p w14:paraId="619D5D1A" w14:textId="77777777" w:rsidR="00297CE6" w:rsidRPr="00297CE6" w:rsidRDefault="00297CE6"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6D098908" w14:textId="77777777" w:rsidR="00297CE6" w:rsidRPr="00297CE6" w:rsidRDefault="00297CE6"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297CE6" w14:paraId="4E2A3513"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66259618" w14:textId="77777777" w:rsidR="002A5264" w:rsidRDefault="00297CE6" w:rsidP="00471227">
            <w:pPr>
              <w:ind w:left="0" w:hanging="2"/>
              <w:jc w:val="both"/>
              <w:rPr>
                <w:rFonts w:ascii="Arial" w:eastAsia="Arial" w:hAnsi="Arial" w:cs="Arial"/>
                <w:sz w:val="16"/>
                <w:szCs w:val="16"/>
              </w:rPr>
            </w:pPr>
            <w:r>
              <w:rPr>
                <w:rFonts w:ascii="Arial" w:eastAsia="Arial" w:hAnsi="Arial" w:cs="Arial"/>
                <w:sz w:val="16"/>
                <w:szCs w:val="16"/>
              </w:rPr>
              <w:t xml:space="preserve">MFMG </w:t>
            </w:r>
          </w:p>
          <w:p w14:paraId="4AFC0F0E" w14:textId="77777777" w:rsidR="00297CE6" w:rsidRDefault="00297CE6" w:rsidP="00471227">
            <w:pPr>
              <w:ind w:left="0" w:hanging="2"/>
              <w:jc w:val="both"/>
              <w:rPr>
                <w:rFonts w:ascii="Arial" w:eastAsia="Arial" w:hAnsi="Arial" w:cs="Arial"/>
                <w:sz w:val="16"/>
                <w:szCs w:val="16"/>
              </w:rPr>
            </w:pPr>
            <w:r>
              <w:rPr>
                <w:rFonts w:ascii="Arial" w:eastAsia="Arial" w:hAnsi="Arial" w:cs="Arial"/>
                <w:sz w:val="16"/>
                <w:szCs w:val="16"/>
              </w:rPr>
              <w:t>(</w:t>
            </w:r>
            <w:r w:rsidR="00471227">
              <w:rPr>
                <w:rFonts w:ascii="Arial" w:eastAsia="Arial" w:hAnsi="Arial" w:cs="Arial"/>
                <w:sz w:val="16"/>
                <w:szCs w:val="16"/>
              </w:rPr>
              <w:t>media</w:t>
            </w:r>
            <w:r w:rsidR="002A5264">
              <w:rPr>
                <w:rFonts w:ascii="Arial" w:eastAsia="Arial" w:hAnsi="Arial" w:cs="Arial"/>
                <w:sz w:val="16"/>
                <w:szCs w:val="16"/>
              </w:rPr>
              <w:t xml:space="preserve">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42DA5AFC" w14:textId="77777777" w:rsidR="00297CE6" w:rsidRDefault="009842F1" w:rsidP="00036243">
            <w:pPr>
              <w:ind w:left="0" w:hanging="2"/>
              <w:jc w:val="center"/>
              <w:rPr>
                <w:rFonts w:ascii="Arial" w:eastAsia="Arial" w:hAnsi="Arial" w:cs="Arial"/>
                <w:sz w:val="16"/>
                <w:szCs w:val="16"/>
              </w:rPr>
            </w:pPr>
            <w:r>
              <w:rPr>
                <w:rFonts w:ascii="Arial" w:eastAsia="Arial" w:hAnsi="Arial" w:cs="Arial"/>
                <w:sz w:val="16"/>
                <w:szCs w:val="16"/>
              </w:rPr>
              <w:t>72,5</w:t>
            </w:r>
            <w:r w:rsidR="008260D9">
              <w:rPr>
                <w:rFonts w:ascii="Arial" w:eastAsia="Arial" w:hAnsi="Arial" w:cs="Arial"/>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4DE159A7" w14:textId="77777777" w:rsidR="00297CE6" w:rsidRDefault="009842F1" w:rsidP="00036243">
            <w:pPr>
              <w:ind w:left="0" w:hanging="2"/>
              <w:jc w:val="center"/>
              <w:rPr>
                <w:rFonts w:ascii="Arial" w:eastAsia="Arial" w:hAnsi="Arial" w:cs="Arial"/>
                <w:sz w:val="16"/>
                <w:szCs w:val="16"/>
              </w:rPr>
            </w:pPr>
            <w:r>
              <w:rPr>
                <w:rFonts w:ascii="Arial" w:eastAsia="Arial" w:hAnsi="Arial" w:cs="Arial"/>
                <w:sz w:val="16"/>
                <w:szCs w:val="16"/>
              </w:rPr>
              <w:t>7,4</w:t>
            </w:r>
            <w:r w:rsidR="008260D9">
              <w:rPr>
                <w:rFonts w:ascii="Arial" w:eastAsia="Arial" w:hAnsi="Arial" w:cs="Arial"/>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593928EB" w14:textId="77777777" w:rsidR="00297CE6" w:rsidRDefault="009842F1" w:rsidP="00036243">
            <w:pPr>
              <w:ind w:left="0" w:hanging="2"/>
              <w:jc w:val="center"/>
              <w:rPr>
                <w:rFonts w:ascii="Arial" w:eastAsia="Arial" w:hAnsi="Arial" w:cs="Arial"/>
                <w:sz w:val="16"/>
                <w:szCs w:val="16"/>
              </w:rPr>
            </w:pPr>
            <w:r>
              <w:rPr>
                <w:rFonts w:ascii="Arial" w:eastAsia="Arial" w:hAnsi="Arial" w:cs="Arial"/>
                <w:sz w:val="16"/>
                <w:szCs w:val="16"/>
              </w:rPr>
              <w:t>65,1</w:t>
            </w:r>
            <w:r w:rsidR="008260D9">
              <w:rPr>
                <w:rFonts w:ascii="Arial" w:eastAsia="Arial" w:hAnsi="Arial" w:cs="Arial"/>
                <w:sz w:val="16"/>
                <w:szCs w:val="16"/>
              </w:rPr>
              <w:t>%</w:t>
            </w:r>
          </w:p>
          <w:p w14:paraId="00E3A3A1" w14:textId="77777777" w:rsidR="00297CE6" w:rsidRDefault="00297CE6" w:rsidP="00036243">
            <w:pPr>
              <w:ind w:left="0" w:hanging="2"/>
              <w:jc w:val="center"/>
              <w:rPr>
                <w:rFonts w:ascii="Arial" w:eastAsia="Arial" w:hAnsi="Arial" w:cs="Arial"/>
                <w:sz w:val="16"/>
                <w:szCs w:val="16"/>
              </w:rPr>
            </w:pPr>
            <w:r>
              <w:rPr>
                <w:rFonts w:ascii="Arial" w:eastAsia="Arial" w:hAnsi="Arial" w:cs="Arial"/>
                <w:sz w:val="16"/>
                <w:szCs w:val="16"/>
              </w:rPr>
              <w:t>(41,6 a 88,6)</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38090C50" w14:textId="77777777" w:rsidR="00297CE6" w:rsidRDefault="00297CE6" w:rsidP="00036243">
            <w:pPr>
              <w:ind w:left="0" w:hanging="2"/>
              <w:jc w:val="center"/>
              <w:rPr>
                <w:rFonts w:ascii="Arial" w:eastAsia="Arial" w:hAnsi="Arial" w:cs="Arial"/>
                <w:sz w:val="16"/>
                <w:szCs w:val="16"/>
              </w:rPr>
            </w:pPr>
            <w:r>
              <w:rPr>
                <w:rFonts w:ascii="Arial" w:eastAsia="Arial" w:hAnsi="Arial" w:cs="Arial"/>
                <w:sz w:val="16"/>
                <w:szCs w:val="16"/>
              </w:rPr>
              <w:t>&lt; 0,001</w:t>
            </w:r>
          </w:p>
        </w:tc>
      </w:tr>
      <w:tr w:rsidR="001B39A8" w14:paraId="2187049B"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4443014E" w14:textId="77777777" w:rsidR="002A5264" w:rsidRDefault="002A5264">
            <w:pPr>
              <w:ind w:left="0" w:hanging="2"/>
              <w:jc w:val="both"/>
              <w:rPr>
                <w:rFonts w:ascii="Arial" w:eastAsia="Arial" w:hAnsi="Arial" w:cs="Arial"/>
                <w:sz w:val="16"/>
                <w:szCs w:val="16"/>
              </w:rPr>
            </w:pPr>
            <w:r w:rsidRPr="00EC561F">
              <w:rPr>
                <w:rFonts w:ascii="Arial" w:eastAsia="Arial" w:hAnsi="Arial" w:cs="Arial"/>
                <w:sz w:val="16"/>
                <w:szCs w:val="16"/>
              </w:rPr>
              <w:t>Actividad de la ARSA</w:t>
            </w:r>
            <w:r>
              <w:rPr>
                <w:rFonts w:ascii="Arial" w:eastAsia="Arial" w:hAnsi="Arial" w:cs="Arial"/>
                <w:sz w:val="16"/>
                <w:szCs w:val="16"/>
              </w:rPr>
              <w:t xml:space="preserve"> (nm/mg/h)</w:t>
            </w:r>
          </w:p>
          <w:p w14:paraId="5995DA49" w14:textId="77777777" w:rsidR="002A5264" w:rsidRDefault="002A5264">
            <w:pPr>
              <w:ind w:left="0" w:hanging="2"/>
              <w:jc w:val="both"/>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64E41143"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0,852</w:t>
            </w:r>
          </w:p>
        </w:tc>
        <w:tc>
          <w:tcPr>
            <w:tcW w:w="5206" w:type="dxa"/>
            <w:gridSpan w:val="4"/>
            <w:tcBorders>
              <w:top w:val="single" w:sz="2" w:space="0" w:color="000000"/>
              <w:left w:val="single" w:sz="2" w:space="0" w:color="000000"/>
              <w:bottom w:val="single" w:sz="2" w:space="0" w:color="000000"/>
              <w:right w:val="single" w:sz="24" w:space="0" w:color="000000"/>
            </w:tcBorders>
            <w:vAlign w:val="center"/>
          </w:tcPr>
          <w:p w14:paraId="1C772304"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 xml:space="preserve">Mejoría &gt; 2 deviaciones estándar respecto a la </w:t>
            </w:r>
            <w:r w:rsidRPr="005813F5">
              <w:rPr>
                <w:rFonts w:ascii="Arial" w:eastAsia="Arial" w:hAnsi="Arial" w:cs="Arial"/>
                <w:b/>
                <w:sz w:val="16"/>
                <w:szCs w:val="16"/>
              </w:rPr>
              <w:t>basal</w:t>
            </w:r>
          </w:p>
        </w:tc>
      </w:tr>
      <w:tr w:rsidR="00471227" w14:paraId="4BC911C2"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vAlign w:val="center"/>
          </w:tcPr>
          <w:p w14:paraId="53C871F8" w14:textId="77777777" w:rsidR="00471227" w:rsidRDefault="00471227" w:rsidP="00AA37C1">
            <w:pPr>
              <w:ind w:left="0" w:hanging="2"/>
              <w:rPr>
                <w:rFonts w:ascii="Arial" w:eastAsia="Arial" w:hAnsi="Arial" w:cs="Arial"/>
                <w:i/>
                <w:sz w:val="16"/>
                <w:szCs w:val="16"/>
              </w:rPr>
            </w:pPr>
            <w:r>
              <w:rPr>
                <w:rFonts w:ascii="Arial" w:eastAsia="Arial" w:hAnsi="Arial" w:cs="Arial"/>
                <w:b/>
                <w:i/>
                <w:sz w:val="16"/>
                <w:szCs w:val="16"/>
              </w:rPr>
              <w:t>Leucodistrofia metacromática variante juvenil temprana (LDM-JT) (población total)</w:t>
            </w:r>
          </w:p>
        </w:tc>
      </w:tr>
      <w:tr w:rsidR="00944AEA" w14:paraId="7A472148"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7BBB1112" w14:textId="77777777" w:rsidR="00944AEA" w:rsidRDefault="00944AEA">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528AD853" w14:textId="77777777" w:rsidR="00944AEA" w:rsidRDefault="00944AEA" w:rsidP="009842F1">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w:t>
            </w:r>
            <w:r w:rsidR="009842F1">
              <w:rPr>
                <w:rFonts w:ascii="Arial" w:eastAsia="Arial" w:hAnsi="Arial" w:cs="Arial"/>
                <w:b/>
                <w:sz w:val="16"/>
                <w:szCs w:val="16"/>
              </w:rPr>
              <w:t>11</w:t>
            </w:r>
            <w:r>
              <w:rPr>
                <w:rFonts w:ascii="Arial" w:eastAsia="Arial" w:hAnsi="Arial" w:cs="Arial"/>
                <w:b/>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3399BA80" w14:textId="77777777" w:rsidR="00944AEA" w:rsidRDefault="00944AEA" w:rsidP="00EC561F">
            <w:pPr>
              <w:ind w:left="0" w:hanging="2"/>
              <w:jc w:val="center"/>
              <w:rPr>
                <w:rFonts w:ascii="Arial" w:eastAsia="Arial" w:hAnsi="Arial" w:cs="Arial"/>
                <w:sz w:val="16"/>
                <w:szCs w:val="16"/>
              </w:rPr>
            </w:pPr>
            <w:r>
              <w:rPr>
                <w:rFonts w:ascii="Arial" w:eastAsia="Arial" w:hAnsi="Arial" w:cs="Arial"/>
                <w:b/>
                <w:sz w:val="16"/>
                <w:szCs w:val="16"/>
              </w:rPr>
              <w:t>TIGET-NHx (n=1</w:t>
            </w:r>
            <w:r w:rsidR="00EC561F">
              <w:rPr>
                <w:rFonts w:ascii="Arial" w:eastAsia="Arial" w:hAnsi="Arial" w:cs="Arial"/>
                <w:b/>
                <w:sz w:val="16"/>
                <w:szCs w:val="16"/>
              </w:rPr>
              <w:t>8</w:t>
            </w:r>
            <w:r>
              <w:rPr>
                <w:rFonts w:ascii="Arial" w:eastAsia="Arial" w:hAnsi="Arial" w:cs="Arial"/>
                <w:b/>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2B948BE1" w14:textId="77777777" w:rsidR="00944AEA" w:rsidRPr="00297CE6" w:rsidRDefault="00944AEA"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7CC7063C" w14:textId="77777777" w:rsidR="00944AEA" w:rsidRPr="00297CE6" w:rsidRDefault="00944AEA"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944AEA" w14:paraId="0D1DD37E"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15D4C02B" w14:textId="77777777" w:rsidR="002A5264" w:rsidRDefault="002A5264" w:rsidP="002A5264">
            <w:pPr>
              <w:ind w:left="0" w:hanging="2"/>
              <w:jc w:val="both"/>
              <w:rPr>
                <w:rFonts w:ascii="Arial" w:eastAsia="Arial" w:hAnsi="Arial" w:cs="Arial"/>
                <w:sz w:val="16"/>
                <w:szCs w:val="16"/>
              </w:rPr>
            </w:pPr>
            <w:r>
              <w:rPr>
                <w:rFonts w:ascii="Arial" w:eastAsia="Arial" w:hAnsi="Arial" w:cs="Arial"/>
                <w:sz w:val="16"/>
                <w:szCs w:val="16"/>
              </w:rPr>
              <w:t xml:space="preserve">MFMG </w:t>
            </w:r>
          </w:p>
          <w:p w14:paraId="1DDCF296" w14:textId="77777777" w:rsidR="00944AEA" w:rsidRDefault="002A5264" w:rsidP="002A5264">
            <w:pPr>
              <w:ind w:left="0" w:hanging="2"/>
              <w:jc w:val="both"/>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40532A7A" w14:textId="77777777" w:rsidR="00944AEA" w:rsidRDefault="009842F1" w:rsidP="00036243">
            <w:pPr>
              <w:ind w:left="0" w:hanging="2"/>
              <w:jc w:val="center"/>
              <w:rPr>
                <w:rFonts w:ascii="Arial" w:eastAsia="Arial" w:hAnsi="Arial" w:cs="Arial"/>
                <w:sz w:val="16"/>
                <w:szCs w:val="16"/>
              </w:rPr>
            </w:pPr>
            <w:r>
              <w:rPr>
                <w:rFonts w:ascii="Arial" w:eastAsia="Arial" w:hAnsi="Arial" w:cs="Arial"/>
                <w:sz w:val="16"/>
                <w:szCs w:val="16"/>
              </w:rPr>
              <w:t>76,5</w:t>
            </w:r>
            <w:r w:rsidR="008260D9">
              <w:rPr>
                <w:rFonts w:ascii="Arial" w:eastAsia="Arial" w:hAnsi="Arial" w:cs="Arial"/>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519156D2" w14:textId="77777777" w:rsidR="00944AEA" w:rsidRDefault="00944AEA" w:rsidP="009842F1">
            <w:pPr>
              <w:ind w:left="0" w:hanging="2"/>
              <w:jc w:val="center"/>
              <w:rPr>
                <w:rFonts w:ascii="Arial" w:eastAsia="Arial" w:hAnsi="Arial" w:cs="Arial"/>
                <w:sz w:val="16"/>
                <w:szCs w:val="16"/>
              </w:rPr>
            </w:pPr>
            <w:r>
              <w:rPr>
                <w:rFonts w:ascii="Arial" w:eastAsia="Arial" w:hAnsi="Arial" w:cs="Arial"/>
                <w:sz w:val="16"/>
                <w:szCs w:val="16"/>
              </w:rPr>
              <w:t>36,</w:t>
            </w:r>
            <w:r w:rsidR="009842F1">
              <w:rPr>
                <w:rFonts w:ascii="Arial" w:eastAsia="Arial" w:hAnsi="Arial" w:cs="Arial"/>
                <w:sz w:val="16"/>
                <w:szCs w:val="16"/>
              </w:rPr>
              <w:t>6</w:t>
            </w:r>
            <w:r w:rsidR="008260D9">
              <w:rPr>
                <w:rFonts w:ascii="Arial" w:eastAsia="Arial" w:hAnsi="Arial" w:cs="Arial"/>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4FBCA196" w14:textId="77777777" w:rsidR="00944AEA" w:rsidRDefault="009842F1" w:rsidP="00036243">
            <w:pPr>
              <w:ind w:left="0" w:hanging="2"/>
              <w:jc w:val="center"/>
              <w:rPr>
                <w:rFonts w:ascii="Arial" w:eastAsia="Arial" w:hAnsi="Arial" w:cs="Arial"/>
                <w:sz w:val="16"/>
                <w:szCs w:val="16"/>
              </w:rPr>
            </w:pPr>
            <w:r>
              <w:rPr>
                <w:rFonts w:ascii="Arial" w:eastAsia="Arial" w:hAnsi="Arial" w:cs="Arial"/>
                <w:sz w:val="16"/>
                <w:szCs w:val="16"/>
              </w:rPr>
              <w:t>39,8</w:t>
            </w:r>
            <w:r w:rsidR="008260D9">
              <w:rPr>
                <w:rFonts w:ascii="Arial" w:eastAsia="Arial" w:hAnsi="Arial" w:cs="Arial"/>
                <w:sz w:val="16"/>
                <w:szCs w:val="16"/>
              </w:rPr>
              <w:t>%</w:t>
            </w:r>
          </w:p>
          <w:p w14:paraId="128FD588" w14:textId="77777777" w:rsidR="00944AEA" w:rsidRDefault="009842F1" w:rsidP="00E11066">
            <w:pPr>
              <w:ind w:left="0" w:hanging="2"/>
              <w:jc w:val="center"/>
              <w:rPr>
                <w:rFonts w:ascii="Arial" w:eastAsia="Arial" w:hAnsi="Arial" w:cs="Arial"/>
                <w:sz w:val="16"/>
                <w:szCs w:val="16"/>
              </w:rPr>
            </w:pPr>
            <w:r>
              <w:rPr>
                <w:rFonts w:ascii="Arial" w:eastAsia="Arial" w:hAnsi="Arial" w:cs="Arial"/>
                <w:sz w:val="16"/>
                <w:szCs w:val="16"/>
              </w:rPr>
              <w:t>(9,6 a 8</w:t>
            </w:r>
            <w:r w:rsidR="00944AEA">
              <w:rPr>
                <w:rFonts w:ascii="Arial" w:eastAsia="Arial" w:hAnsi="Arial" w:cs="Arial"/>
                <w:sz w:val="16"/>
                <w:szCs w:val="16"/>
              </w:rPr>
              <w:t>0,1)</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32FF744F" w14:textId="77777777" w:rsidR="00944AEA" w:rsidRDefault="00944AEA" w:rsidP="00036243">
            <w:pPr>
              <w:ind w:left="0" w:hanging="2"/>
              <w:jc w:val="center"/>
              <w:rPr>
                <w:rFonts w:ascii="Arial" w:eastAsia="Arial" w:hAnsi="Arial" w:cs="Arial"/>
                <w:sz w:val="16"/>
                <w:szCs w:val="16"/>
              </w:rPr>
            </w:pPr>
            <w:r>
              <w:rPr>
                <w:rFonts w:ascii="Arial" w:eastAsia="Arial" w:hAnsi="Arial" w:cs="Arial"/>
                <w:sz w:val="16"/>
                <w:szCs w:val="16"/>
              </w:rPr>
              <w:t>0,026</w:t>
            </w:r>
          </w:p>
        </w:tc>
      </w:tr>
      <w:tr w:rsidR="002A5264" w14:paraId="74436812"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4C47459D" w14:textId="77777777" w:rsidR="002A5264" w:rsidRDefault="002A5264" w:rsidP="002A5264">
            <w:pPr>
              <w:ind w:left="0" w:hanging="2"/>
              <w:jc w:val="both"/>
              <w:rPr>
                <w:rFonts w:ascii="Arial" w:eastAsia="Arial" w:hAnsi="Arial" w:cs="Arial"/>
                <w:sz w:val="16"/>
                <w:szCs w:val="16"/>
              </w:rPr>
            </w:pPr>
            <w:r w:rsidRPr="00EC561F">
              <w:rPr>
                <w:rFonts w:ascii="Arial" w:eastAsia="Arial" w:hAnsi="Arial" w:cs="Arial"/>
                <w:sz w:val="16"/>
                <w:szCs w:val="16"/>
              </w:rPr>
              <w:t>Actividad de la ARSA</w:t>
            </w:r>
            <w:r>
              <w:rPr>
                <w:rFonts w:ascii="Arial" w:eastAsia="Arial" w:hAnsi="Arial" w:cs="Arial"/>
                <w:sz w:val="16"/>
                <w:szCs w:val="16"/>
              </w:rPr>
              <w:t xml:space="preserve"> (nm/mg/h)</w:t>
            </w:r>
          </w:p>
          <w:p w14:paraId="654684C1" w14:textId="77777777" w:rsidR="002A5264" w:rsidRDefault="002A5264" w:rsidP="002A5264">
            <w:pPr>
              <w:ind w:left="0" w:hanging="2"/>
              <w:jc w:val="both"/>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5D5FCF75"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0,64</w:t>
            </w:r>
          </w:p>
        </w:tc>
        <w:tc>
          <w:tcPr>
            <w:tcW w:w="5206" w:type="dxa"/>
            <w:gridSpan w:val="4"/>
            <w:tcBorders>
              <w:top w:val="single" w:sz="2" w:space="0" w:color="000000"/>
              <w:left w:val="single" w:sz="2" w:space="0" w:color="000000"/>
              <w:bottom w:val="single" w:sz="2" w:space="0" w:color="000000"/>
              <w:right w:val="single" w:sz="24" w:space="0" w:color="000000"/>
            </w:tcBorders>
            <w:vAlign w:val="center"/>
          </w:tcPr>
          <w:p w14:paraId="3FA69232" w14:textId="77777777" w:rsidR="002A5264" w:rsidRDefault="002A5264" w:rsidP="00036243">
            <w:pPr>
              <w:ind w:left="0" w:hanging="2"/>
              <w:jc w:val="center"/>
              <w:rPr>
                <w:rFonts w:ascii="Arial" w:eastAsia="Arial" w:hAnsi="Arial" w:cs="Arial"/>
                <w:sz w:val="16"/>
                <w:szCs w:val="16"/>
              </w:rPr>
            </w:pPr>
            <w:r>
              <w:rPr>
                <w:rFonts w:ascii="Arial" w:eastAsia="Arial" w:hAnsi="Arial" w:cs="Arial"/>
                <w:sz w:val="16"/>
                <w:szCs w:val="16"/>
              </w:rPr>
              <w:t>Mejoría &gt; 2 deviaciones estándar respecto a la basal</w:t>
            </w:r>
          </w:p>
        </w:tc>
      </w:tr>
      <w:tr w:rsidR="00471227" w:rsidRPr="009033F0" w14:paraId="661DBDE0" w14:textId="77777777" w:rsidTr="001B39A8">
        <w:trPr>
          <w:trHeight w:val="230"/>
        </w:trPr>
        <w:tc>
          <w:tcPr>
            <w:tcW w:w="9001" w:type="dxa"/>
            <w:gridSpan w:val="6"/>
            <w:tcBorders>
              <w:top w:val="single" w:sz="2" w:space="0" w:color="000000"/>
              <w:left w:val="single" w:sz="24" w:space="0" w:color="000000"/>
              <w:bottom w:val="single" w:sz="2" w:space="0" w:color="000000"/>
              <w:right w:val="single" w:sz="24" w:space="0" w:color="000000"/>
            </w:tcBorders>
            <w:vAlign w:val="center"/>
          </w:tcPr>
          <w:p w14:paraId="58FC678F" w14:textId="77777777" w:rsidR="00471227" w:rsidRPr="009033F0" w:rsidRDefault="00471227" w:rsidP="00471227">
            <w:pPr>
              <w:ind w:left="0" w:hanging="2"/>
              <w:rPr>
                <w:rFonts w:ascii="Arial" w:eastAsia="Arial" w:hAnsi="Arial" w:cs="Arial"/>
                <w:b/>
                <w:sz w:val="16"/>
                <w:szCs w:val="16"/>
              </w:rPr>
            </w:pPr>
            <w:r w:rsidRPr="009033F0">
              <w:rPr>
                <w:rFonts w:ascii="Arial" w:eastAsia="Arial" w:hAnsi="Arial" w:cs="Arial"/>
                <w:b/>
                <w:sz w:val="16"/>
                <w:szCs w:val="16"/>
              </w:rPr>
              <w:t>Leucodistrofia metacromática variante juvenil temprana (LDM-JT) (presintomáticos)</w:t>
            </w:r>
          </w:p>
        </w:tc>
      </w:tr>
      <w:tr w:rsidR="00036243" w14:paraId="48EEB4FB"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1E0A2DEB" w14:textId="77777777" w:rsidR="00036243" w:rsidRDefault="00036243" w:rsidP="00944AEA">
            <w:pPr>
              <w:ind w:left="0" w:hanging="2"/>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0790474C"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(n=4)</w:t>
            </w:r>
          </w:p>
        </w:tc>
        <w:tc>
          <w:tcPr>
            <w:tcW w:w="2087" w:type="dxa"/>
            <w:tcBorders>
              <w:top w:val="single" w:sz="2" w:space="0" w:color="000000"/>
              <w:left w:val="single" w:sz="2" w:space="0" w:color="000000"/>
              <w:bottom w:val="single" w:sz="2" w:space="0" w:color="000000"/>
              <w:right w:val="single" w:sz="2" w:space="0" w:color="000000"/>
            </w:tcBorders>
            <w:vAlign w:val="center"/>
          </w:tcPr>
          <w:p w14:paraId="450BE78E"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TIGET-NHx (n=8)</w:t>
            </w:r>
          </w:p>
        </w:tc>
        <w:tc>
          <w:tcPr>
            <w:tcW w:w="1813" w:type="dxa"/>
            <w:tcBorders>
              <w:top w:val="single" w:sz="2" w:space="0" w:color="000000"/>
              <w:left w:val="single" w:sz="2" w:space="0" w:color="000000"/>
              <w:bottom w:val="single" w:sz="2" w:space="0" w:color="000000"/>
              <w:right w:val="single" w:sz="2" w:space="0" w:color="000000"/>
            </w:tcBorders>
            <w:vAlign w:val="center"/>
          </w:tcPr>
          <w:p w14:paraId="74BF0E38"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6091802A"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5748DD" w14:paraId="410CFE49" w14:textId="77777777" w:rsidTr="001B39A8">
        <w:trPr>
          <w:trHeight w:val="148"/>
        </w:trPr>
        <w:tc>
          <w:tcPr>
            <w:tcW w:w="1725" w:type="dxa"/>
            <w:tcBorders>
              <w:top w:val="single" w:sz="2" w:space="0" w:color="000000"/>
              <w:left w:val="single" w:sz="24" w:space="0" w:color="000000"/>
              <w:bottom w:val="single" w:sz="2" w:space="0" w:color="000000"/>
              <w:right w:val="single" w:sz="2" w:space="0" w:color="000000"/>
            </w:tcBorders>
            <w:vAlign w:val="center"/>
          </w:tcPr>
          <w:p w14:paraId="08A1E657" w14:textId="77777777" w:rsidR="009033F0" w:rsidRDefault="009033F0" w:rsidP="009033F0">
            <w:pPr>
              <w:ind w:left="0" w:hanging="2"/>
              <w:jc w:val="both"/>
              <w:rPr>
                <w:rFonts w:ascii="Arial" w:eastAsia="Arial" w:hAnsi="Arial" w:cs="Arial"/>
                <w:sz w:val="16"/>
                <w:szCs w:val="16"/>
              </w:rPr>
            </w:pPr>
            <w:r>
              <w:rPr>
                <w:rFonts w:ascii="Arial" w:eastAsia="Arial" w:hAnsi="Arial" w:cs="Arial"/>
                <w:sz w:val="16"/>
                <w:szCs w:val="16"/>
              </w:rPr>
              <w:t xml:space="preserve">MFMG </w:t>
            </w:r>
          </w:p>
          <w:p w14:paraId="460E5353" w14:textId="77777777" w:rsidR="005748DD" w:rsidRDefault="009033F0" w:rsidP="009033F0">
            <w:pPr>
              <w:ind w:left="0" w:hanging="2"/>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 w:space="0" w:color="000000"/>
              <w:right w:val="single" w:sz="2" w:space="0" w:color="000000"/>
            </w:tcBorders>
            <w:vAlign w:val="center"/>
          </w:tcPr>
          <w:p w14:paraId="2E9F6814" w14:textId="77777777" w:rsidR="005748DD" w:rsidRDefault="009842F1" w:rsidP="00AA37C1">
            <w:pPr>
              <w:ind w:left="0" w:hanging="2"/>
              <w:jc w:val="center"/>
              <w:rPr>
                <w:rFonts w:ascii="Arial" w:eastAsia="Arial" w:hAnsi="Arial" w:cs="Arial"/>
                <w:sz w:val="16"/>
                <w:szCs w:val="16"/>
              </w:rPr>
            </w:pPr>
            <w:r>
              <w:rPr>
                <w:rFonts w:ascii="Arial" w:eastAsia="Arial" w:hAnsi="Arial" w:cs="Arial"/>
                <w:sz w:val="16"/>
                <w:szCs w:val="16"/>
              </w:rPr>
              <w:t>96,7</w:t>
            </w:r>
            <w:r w:rsidR="008260D9">
              <w:rPr>
                <w:rFonts w:ascii="Arial" w:eastAsia="Arial" w:hAnsi="Arial" w:cs="Arial"/>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34688156" w14:textId="77777777" w:rsidR="005748DD" w:rsidRDefault="005748DD" w:rsidP="00AA37C1">
            <w:pPr>
              <w:ind w:left="0" w:hanging="2"/>
              <w:jc w:val="center"/>
              <w:rPr>
                <w:rFonts w:ascii="Arial" w:eastAsia="Arial" w:hAnsi="Arial" w:cs="Arial"/>
                <w:sz w:val="16"/>
                <w:szCs w:val="16"/>
              </w:rPr>
            </w:pPr>
            <w:r>
              <w:rPr>
                <w:rFonts w:ascii="Arial" w:eastAsia="Arial" w:hAnsi="Arial" w:cs="Arial"/>
                <w:sz w:val="16"/>
                <w:szCs w:val="16"/>
              </w:rPr>
              <w:t>4</w:t>
            </w:r>
            <w:r w:rsidR="009842F1">
              <w:rPr>
                <w:rFonts w:ascii="Arial" w:eastAsia="Arial" w:hAnsi="Arial" w:cs="Arial"/>
                <w:sz w:val="16"/>
                <w:szCs w:val="16"/>
              </w:rPr>
              <w:t>4,3</w:t>
            </w:r>
            <w:r w:rsidR="008260D9">
              <w:rPr>
                <w:rFonts w:ascii="Arial" w:eastAsia="Arial" w:hAnsi="Arial" w:cs="Arial"/>
                <w:sz w:val="16"/>
                <w:szCs w:val="16"/>
              </w:rPr>
              <w:t>%</w:t>
            </w:r>
          </w:p>
        </w:tc>
        <w:tc>
          <w:tcPr>
            <w:tcW w:w="1813" w:type="dxa"/>
            <w:tcBorders>
              <w:top w:val="single" w:sz="2" w:space="0" w:color="000000"/>
              <w:left w:val="single" w:sz="2" w:space="0" w:color="000000"/>
              <w:bottom w:val="single" w:sz="2" w:space="0" w:color="000000"/>
              <w:right w:val="single" w:sz="2" w:space="0" w:color="000000"/>
            </w:tcBorders>
            <w:vAlign w:val="center"/>
          </w:tcPr>
          <w:p w14:paraId="28369151" w14:textId="77777777" w:rsidR="005748DD" w:rsidRDefault="005748DD" w:rsidP="00036243">
            <w:pPr>
              <w:ind w:left="0" w:hanging="2"/>
              <w:jc w:val="center"/>
              <w:rPr>
                <w:rFonts w:ascii="Arial" w:eastAsia="Arial" w:hAnsi="Arial" w:cs="Arial"/>
                <w:sz w:val="16"/>
                <w:szCs w:val="16"/>
              </w:rPr>
            </w:pPr>
            <w:r>
              <w:rPr>
                <w:rFonts w:ascii="Arial" w:eastAsia="Arial" w:hAnsi="Arial" w:cs="Arial"/>
                <w:sz w:val="16"/>
                <w:szCs w:val="16"/>
              </w:rPr>
              <w:t>52,4</w:t>
            </w:r>
            <w:r w:rsidR="008260D9">
              <w:rPr>
                <w:rFonts w:ascii="Arial" w:eastAsia="Arial" w:hAnsi="Arial" w:cs="Arial"/>
                <w:sz w:val="16"/>
                <w:szCs w:val="16"/>
              </w:rPr>
              <w:t>%</w:t>
            </w:r>
          </w:p>
          <w:p w14:paraId="5071986E" w14:textId="77777777" w:rsidR="005748DD" w:rsidRDefault="005748DD" w:rsidP="005748DD">
            <w:pPr>
              <w:ind w:left="0" w:hanging="2"/>
              <w:jc w:val="center"/>
              <w:rPr>
                <w:rFonts w:ascii="Arial" w:eastAsia="Arial" w:hAnsi="Arial" w:cs="Arial"/>
                <w:sz w:val="16"/>
                <w:szCs w:val="16"/>
              </w:rPr>
            </w:pPr>
            <w:r>
              <w:rPr>
                <w:rFonts w:ascii="Arial" w:eastAsia="Arial" w:hAnsi="Arial" w:cs="Arial"/>
                <w:sz w:val="16"/>
                <w:szCs w:val="16"/>
              </w:rPr>
              <w:t>(25,1 a 79,6)</w:t>
            </w:r>
          </w:p>
        </w:tc>
        <w:tc>
          <w:tcPr>
            <w:tcW w:w="1306" w:type="dxa"/>
            <w:gridSpan w:val="2"/>
            <w:tcBorders>
              <w:top w:val="single" w:sz="2" w:space="0" w:color="000000"/>
              <w:left w:val="single" w:sz="2" w:space="0" w:color="000000"/>
              <w:bottom w:val="single" w:sz="2" w:space="0" w:color="000000"/>
              <w:right w:val="single" w:sz="24" w:space="0" w:color="000000"/>
            </w:tcBorders>
            <w:vAlign w:val="center"/>
          </w:tcPr>
          <w:p w14:paraId="30F1A328" w14:textId="77777777" w:rsidR="005748DD" w:rsidRDefault="005748DD" w:rsidP="00036243">
            <w:pPr>
              <w:ind w:left="0" w:hanging="2"/>
              <w:jc w:val="center"/>
              <w:rPr>
                <w:rFonts w:ascii="Arial" w:eastAsia="Arial" w:hAnsi="Arial" w:cs="Arial"/>
                <w:sz w:val="16"/>
                <w:szCs w:val="16"/>
              </w:rPr>
            </w:pPr>
            <w:r>
              <w:rPr>
                <w:rFonts w:ascii="Arial" w:eastAsia="Arial" w:hAnsi="Arial" w:cs="Arial"/>
                <w:sz w:val="16"/>
                <w:szCs w:val="16"/>
              </w:rPr>
              <w:t>0,008</w:t>
            </w:r>
          </w:p>
        </w:tc>
      </w:tr>
      <w:tr w:rsidR="00471227" w:rsidRPr="009033F0" w14:paraId="29997265" w14:textId="77777777" w:rsidTr="001B39A8">
        <w:trPr>
          <w:trHeight w:val="230"/>
        </w:trPr>
        <w:tc>
          <w:tcPr>
            <w:tcW w:w="9001" w:type="dxa"/>
            <w:gridSpan w:val="6"/>
            <w:tcBorders>
              <w:top w:val="single" w:sz="2" w:space="0" w:color="000000"/>
              <w:left w:val="single" w:sz="24" w:space="0" w:color="000000"/>
              <w:bottom w:val="single" w:sz="2" w:space="0" w:color="000000"/>
              <w:right w:val="single" w:sz="24" w:space="0" w:color="000000"/>
            </w:tcBorders>
            <w:vAlign w:val="center"/>
          </w:tcPr>
          <w:p w14:paraId="2A841EAC" w14:textId="77777777" w:rsidR="00471227" w:rsidRPr="009033F0" w:rsidRDefault="00471227" w:rsidP="00471227">
            <w:pPr>
              <w:ind w:left="0" w:hanging="2"/>
              <w:rPr>
                <w:rFonts w:ascii="Arial" w:eastAsia="Arial" w:hAnsi="Arial" w:cs="Arial"/>
                <w:b/>
                <w:sz w:val="16"/>
                <w:szCs w:val="16"/>
              </w:rPr>
            </w:pPr>
            <w:r w:rsidRPr="009033F0">
              <w:rPr>
                <w:rFonts w:ascii="Arial" w:eastAsia="Arial" w:hAnsi="Arial" w:cs="Arial"/>
                <w:b/>
                <w:sz w:val="16"/>
                <w:szCs w:val="16"/>
              </w:rPr>
              <w:t>Leucodistrofia metacromática variante juvenil temprana (LDM-JT) (sintomáticos)</w:t>
            </w:r>
          </w:p>
        </w:tc>
      </w:tr>
      <w:tr w:rsidR="00036243" w14:paraId="05D03D79"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7EC65239" w14:textId="77777777" w:rsidR="00036243" w:rsidRDefault="00036243" w:rsidP="00944AEA">
            <w:pPr>
              <w:ind w:left="0" w:hanging="2"/>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194D4421"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(n=7)</w:t>
            </w:r>
          </w:p>
        </w:tc>
        <w:tc>
          <w:tcPr>
            <w:tcW w:w="2087" w:type="dxa"/>
            <w:tcBorders>
              <w:top w:val="single" w:sz="2" w:space="0" w:color="000000"/>
              <w:left w:val="single" w:sz="2" w:space="0" w:color="000000"/>
              <w:bottom w:val="single" w:sz="2" w:space="0" w:color="000000"/>
              <w:right w:val="single" w:sz="2" w:space="0" w:color="000000"/>
            </w:tcBorders>
            <w:vAlign w:val="center"/>
          </w:tcPr>
          <w:p w14:paraId="443B5D5C" w14:textId="77777777" w:rsidR="00036243" w:rsidRDefault="00036243" w:rsidP="00036243">
            <w:pPr>
              <w:ind w:left="0" w:hanging="2"/>
              <w:jc w:val="center"/>
              <w:rPr>
                <w:rFonts w:ascii="Arial" w:eastAsia="Arial" w:hAnsi="Arial" w:cs="Arial"/>
                <w:sz w:val="16"/>
                <w:szCs w:val="16"/>
              </w:rPr>
            </w:pPr>
            <w:r>
              <w:rPr>
                <w:rFonts w:ascii="Arial" w:eastAsia="Arial" w:hAnsi="Arial" w:cs="Arial"/>
                <w:b/>
                <w:sz w:val="16"/>
                <w:szCs w:val="16"/>
              </w:rPr>
              <w:t>TIGET-NHx (n=10)</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3479752E"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Diferencia de medias</w:t>
            </w:r>
            <w:r>
              <w:rPr>
                <w:rFonts w:ascii="Arial" w:eastAsia="Arial" w:hAnsi="Arial" w:cs="Arial"/>
                <w:b/>
                <w:sz w:val="16"/>
                <w:szCs w:val="16"/>
              </w:rPr>
              <w:t xml:space="preserve"> (IC95%)</w:t>
            </w:r>
          </w:p>
        </w:tc>
        <w:tc>
          <w:tcPr>
            <w:tcW w:w="1276" w:type="dxa"/>
            <w:tcBorders>
              <w:top w:val="single" w:sz="2" w:space="0" w:color="000000"/>
              <w:left w:val="single" w:sz="2" w:space="0" w:color="000000"/>
              <w:bottom w:val="single" w:sz="2" w:space="0" w:color="000000"/>
              <w:right w:val="single" w:sz="24" w:space="0" w:color="000000"/>
            </w:tcBorders>
            <w:vAlign w:val="center"/>
          </w:tcPr>
          <w:p w14:paraId="329128A0" w14:textId="77777777" w:rsidR="00036243" w:rsidRPr="00297CE6" w:rsidRDefault="00036243" w:rsidP="00036243">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036243" w14:paraId="09DAAB20" w14:textId="77777777" w:rsidTr="001B39A8">
        <w:trPr>
          <w:trHeight w:val="230"/>
        </w:trPr>
        <w:tc>
          <w:tcPr>
            <w:tcW w:w="1725" w:type="dxa"/>
            <w:tcBorders>
              <w:top w:val="single" w:sz="2" w:space="0" w:color="000000"/>
              <w:left w:val="single" w:sz="24" w:space="0" w:color="000000"/>
              <w:bottom w:val="single" w:sz="24" w:space="0" w:color="000000"/>
              <w:right w:val="single" w:sz="2" w:space="0" w:color="000000"/>
            </w:tcBorders>
            <w:vAlign w:val="center"/>
          </w:tcPr>
          <w:p w14:paraId="20D2F90A" w14:textId="77777777" w:rsidR="009033F0" w:rsidRDefault="009033F0" w:rsidP="009033F0">
            <w:pPr>
              <w:ind w:left="0" w:hanging="2"/>
              <w:jc w:val="both"/>
              <w:rPr>
                <w:rFonts w:ascii="Arial" w:eastAsia="Arial" w:hAnsi="Arial" w:cs="Arial"/>
                <w:sz w:val="16"/>
                <w:szCs w:val="16"/>
              </w:rPr>
            </w:pPr>
            <w:r>
              <w:rPr>
                <w:rFonts w:ascii="Arial" w:eastAsia="Arial" w:hAnsi="Arial" w:cs="Arial"/>
                <w:sz w:val="16"/>
                <w:szCs w:val="16"/>
              </w:rPr>
              <w:t xml:space="preserve">MFMG </w:t>
            </w:r>
          </w:p>
          <w:p w14:paraId="58A8C34E" w14:textId="77777777" w:rsidR="00036243" w:rsidRDefault="009033F0" w:rsidP="009033F0">
            <w:pPr>
              <w:ind w:left="0" w:hanging="2"/>
              <w:rPr>
                <w:rFonts w:ascii="Arial" w:eastAsia="Arial" w:hAnsi="Arial" w:cs="Arial"/>
                <w:sz w:val="16"/>
                <w:szCs w:val="16"/>
              </w:rPr>
            </w:pPr>
            <w:r>
              <w:rPr>
                <w:rFonts w:ascii="Arial" w:eastAsia="Arial" w:hAnsi="Arial" w:cs="Arial"/>
                <w:sz w:val="16"/>
                <w:szCs w:val="16"/>
              </w:rPr>
              <w:t>(media a los 2 años)</w:t>
            </w:r>
          </w:p>
        </w:tc>
        <w:tc>
          <w:tcPr>
            <w:tcW w:w="2070" w:type="dxa"/>
            <w:tcBorders>
              <w:top w:val="single" w:sz="2" w:space="0" w:color="000000"/>
              <w:left w:val="single" w:sz="2" w:space="0" w:color="000000"/>
              <w:bottom w:val="single" w:sz="24" w:space="0" w:color="000000"/>
              <w:right w:val="single" w:sz="2" w:space="0" w:color="000000"/>
            </w:tcBorders>
            <w:vAlign w:val="center"/>
          </w:tcPr>
          <w:p w14:paraId="5D597CE6"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60,7</w:t>
            </w:r>
            <w:r w:rsidR="005813F5">
              <w:rPr>
                <w:rFonts w:ascii="Arial" w:eastAsia="Arial" w:hAnsi="Arial" w:cs="Arial"/>
                <w:sz w:val="16"/>
                <w:szCs w:val="16"/>
              </w:rPr>
              <w:t>%</w:t>
            </w:r>
          </w:p>
        </w:tc>
        <w:tc>
          <w:tcPr>
            <w:tcW w:w="2087" w:type="dxa"/>
            <w:tcBorders>
              <w:top w:val="single" w:sz="2" w:space="0" w:color="000000"/>
              <w:left w:val="single" w:sz="2" w:space="0" w:color="000000"/>
              <w:bottom w:val="single" w:sz="24" w:space="0" w:color="000000"/>
              <w:right w:val="single" w:sz="2" w:space="0" w:color="000000"/>
            </w:tcBorders>
            <w:vAlign w:val="center"/>
          </w:tcPr>
          <w:p w14:paraId="4D195D2B"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32</w:t>
            </w:r>
            <w:r w:rsidR="005813F5">
              <w:rPr>
                <w:rFonts w:ascii="Arial" w:eastAsia="Arial" w:hAnsi="Arial" w:cs="Arial"/>
                <w:sz w:val="16"/>
                <w:szCs w:val="16"/>
              </w:rPr>
              <w:t>%</w:t>
            </w:r>
          </w:p>
        </w:tc>
        <w:tc>
          <w:tcPr>
            <w:tcW w:w="1843" w:type="dxa"/>
            <w:gridSpan w:val="2"/>
            <w:tcBorders>
              <w:top w:val="single" w:sz="2" w:space="0" w:color="000000"/>
              <w:left w:val="single" w:sz="2" w:space="0" w:color="000000"/>
              <w:bottom w:val="single" w:sz="24" w:space="0" w:color="000000"/>
              <w:right w:val="single" w:sz="2" w:space="0" w:color="000000"/>
            </w:tcBorders>
            <w:vAlign w:val="center"/>
          </w:tcPr>
          <w:p w14:paraId="61181DC0"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28,7</w:t>
            </w:r>
            <w:r w:rsidR="005813F5">
              <w:rPr>
                <w:rFonts w:ascii="Arial" w:eastAsia="Arial" w:hAnsi="Arial" w:cs="Arial"/>
                <w:sz w:val="16"/>
                <w:szCs w:val="16"/>
              </w:rPr>
              <w:t>%</w:t>
            </w:r>
          </w:p>
          <w:p w14:paraId="753A3480" w14:textId="77777777" w:rsidR="009842F1" w:rsidRDefault="009842F1" w:rsidP="00036243">
            <w:pPr>
              <w:ind w:left="0" w:hanging="2"/>
              <w:jc w:val="center"/>
              <w:rPr>
                <w:rFonts w:ascii="Arial" w:eastAsia="Arial" w:hAnsi="Arial" w:cs="Arial"/>
                <w:sz w:val="16"/>
                <w:szCs w:val="16"/>
              </w:rPr>
            </w:pPr>
            <w:r>
              <w:rPr>
                <w:rFonts w:ascii="Arial" w:eastAsia="Arial" w:hAnsi="Arial" w:cs="Arial"/>
                <w:sz w:val="16"/>
                <w:szCs w:val="16"/>
              </w:rPr>
              <w:t>(-14,1 a 71,5)</w:t>
            </w:r>
          </w:p>
        </w:tc>
        <w:tc>
          <w:tcPr>
            <w:tcW w:w="1276" w:type="dxa"/>
            <w:tcBorders>
              <w:top w:val="single" w:sz="2" w:space="0" w:color="000000"/>
              <w:left w:val="single" w:sz="2" w:space="0" w:color="000000"/>
              <w:bottom w:val="single" w:sz="24" w:space="0" w:color="000000"/>
              <w:right w:val="single" w:sz="24" w:space="0" w:color="000000"/>
            </w:tcBorders>
            <w:vAlign w:val="center"/>
          </w:tcPr>
          <w:p w14:paraId="54FD05F7" w14:textId="77777777" w:rsidR="00036243" w:rsidRDefault="009842F1" w:rsidP="00036243">
            <w:pPr>
              <w:ind w:left="0" w:hanging="2"/>
              <w:jc w:val="center"/>
              <w:rPr>
                <w:rFonts w:ascii="Arial" w:eastAsia="Arial" w:hAnsi="Arial" w:cs="Arial"/>
                <w:sz w:val="16"/>
                <w:szCs w:val="16"/>
              </w:rPr>
            </w:pPr>
            <w:r>
              <w:rPr>
                <w:rFonts w:ascii="Arial" w:eastAsia="Arial" w:hAnsi="Arial" w:cs="Arial"/>
                <w:sz w:val="16"/>
                <w:szCs w:val="16"/>
              </w:rPr>
              <w:t>0,35</w:t>
            </w:r>
          </w:p>
        </w:tc>
      </w:tr>
      <w:tr w:rsidR="009033F0" w14:paraId="4DB06089" w14:textId="77777777" w:rsidTr="001B39A8">
        <w:trPr>
          <w:trHeight w:val="230"/>
        </w:trPr>
        <w:tc>
          <w:tcPr>
            <w:tcW w:w="9001" w:type="dxa"/>
            <w:gridSpan w:val="6"/>
            <w:tcBorders>
              <w:top w:val="single" w:sz="24" w:space="0" w:color="000000"/>
              <w:left w:val="single" w:sz="24" w:space="0" w:color="000000"/>
              <w:bottom w:val="single" w:sz="24" w:space="0" w:color="000000"/>
              <w:right w:val="single" w:sz="24" w:space="0" w:color="000000"/>
            </w:tcBorders>
            <w:shd w:val="clear" w:color="auto" w:fill="D6E3BC" w:themeFill="accent3" w:themeFillTint="66"/>
            <w:vAlign w:val="center"/>
          </w:tcPr>
          <w:p w14:paraId="24E3AEA9" w14:textId="77777777" w:rsidR="009033F0" w:rsidRPr="009033F0" w:rsidRDefault="009033F0" w:rsidP="009033F0">
            <w:pPr>
              <w:ind w:left="0" w:hanging="2"/>
              <w:rPr>
                <w:rFonts w:ascii="Arial" w:eastAsia="Arial" w:hAnsi="Arial" w:cs="Arial"/>
                <w:b/>
                <w:sz w:val="16"/>
                <w:szCs w:val="16"/>
              </w:rPr>
            </w:pPr>
            <w:r>
              <w:rPr>
                <w:rFonts w:ascii="Arial" w:eastAsia="Arial" w:hAnsi="Arial" w:cs="Arial"/>
                <w:b/>
                <w:sz w:val="16"/>
                <w:szCs w:val="16"/>
              </w:rPr>
              <w:t>Variables secundarias</w:t>
            </w:r>
          </w:p>
        </w:tc>
      </w:tr>
      <w:tr w:rsidR="009033F0" w:rsidRPr="009033F0" w14:paraId="4272DEEB"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themeFill="background1" w:themeFillShade="D9"/>
          </w:tcPr>
          <w:p w14:paraId="02744B21" w14:textId="77777777" w:rsidR="009033F0" w:rsidRPr="009033F0" w:rsidRDefault="009033F0" w:rsidP="009033F0">
            <w:pPr>
              <w:ind w:left="0" w:hanging="2"/>
              <w:rPr>
                <w:rFonts w:ascii="Arial" w:eastAsia="Arial" w:hAnsi="Arial" w:cs="Arial"/>
                <w:b/>
                <w:i/>
                <w:sz w:val="16"/>
                <w:szCs w:val="16"/>
              </w:rPr>
            </w:pPr>
            <w:r w:rsidRPr="009033F0">
              <w:rPr>
                <w:rFonts w:ascii="Arial" w:eastAsia="Arial" w:hAnsi="Arial" w:cs="Arial"/>
                <w:b/>
                <w:i/>
                <w:sz w:val="16"/>
                <w:szCs w:val="16"/>
              </w:rPr>
              <w:t>Leucodistrofia metacromática variante infantil tardía (LDM-IT)</w:t>
            </w:r>
          </w:p>
        </w:tc>
      </w:tr>
      <w:tr w:rsidR="009033F0" w14:paraId="6761C2B7"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4BDEC479" w14:textId="77777777" w:rsidR="009033F0" w:rsidRDefault="009033F0" w:rsidP="00AA37C1">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3C244467" w14:textId="77777777" w:rsidR="009033F0" w:rsidRDefault="009033F0" w:rsidP="00130028">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w:t>
            </w:r>
            <w:r w:rsidR="00130028">
              <w:rPr>
                <w:rFonts w:ascii="Arial" w:eastAsia="Arial" w:hAnsi="Arial" w:cs="Arial"/>
                <w:b/>
                <w:sz w:val="16"/>
                <w:szCs w:val="16"/>
              </w:rPr>
              <w:t>8</w:t>
            </w:r>
            <w:r>
              <w:rPr>
                <w:rFonts w:ascii="Arial" w:eastAsia="Arial" w:hAnsi="Arial" w:cs="Arial"/>
                <w:b/>
                <w:sz w:val="16"/>
                <w:szCs w:val="16"/>
              </w:rPr>
              <w:t>)</w:t>
            </w:r>
          </w:p>
        </w:tc>
        <w:tc>
          <w:tcPr>
            <w:tcW w:w="2087" w:type="dxa"/>
            <w:tcBorders>
              <w:top w:val="single" w:sz="2" w:space="0" w:color="000000"/>
              <w:left w:val="single" w:sz="2" w:space="0" w:color="000000"/>
              <w:bottom w:val="single" w:sz="2" w:space="0" w:color="000000"/>
              <w:right w:val="single" w:sz="2" w:space="0" w:color="000000"/>
            </w:tcBorders>
            <w:vAlign w:val="center"/>
          </w:tcPr>
          <w:p w14:paraId="5660F337" w14:textId="77777777" w:rsidR="009033F0" w:rsidRDefault="009033F0" w:rsidP="00AA37C1">
            <w:pPr>
              <w:ind w:left="0" w:hanging="2"/>
              <w:jc w:val="center"/>
              <w:rPr>
                <w:rFonts w:ascii="Arial" w:eastAsia="Arial" w:hAnsi="Arial" w:cs="Arial"/>
                <w:sz w:val="16"/>
                <w:szCs w:val="16"/>
              </w:rPr>
            </w:pPr>
            <w:r>
              <w:rPr>
                <w:rFonts w:ascii="Arial" w:eastAsia="Arial" w:hAnsi="Arial" w:cs="Arial"/>
                <w:b/>
                <w:sz w:val="16"/>
                <w:szCs w:val="16"/>
              </w:rPr>
              <w:t>TIGET-NHx (n=9)</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605F6FFA" w14:textId="77777777" w:rsidR="009033F0" w:rsidRPr="00297CE6" w:rsidRDefault="009033F0" w:rsidP="00AA37C1">
            <w:pPr>
              <w:ind w:left="0" w:hanging="2"/>
              <w:jc w:val="center"/>
              <w:rPr>
                <w:rFonts w:ascii="Arial" w:eastAsia="Arial" w:hAnsi="Arial" w:cs="Arial"/>
                <w:b/>
                <w:sz w:val="16"/>
                <w:szCs w:val="16"/>
              </w:rPr>
            </w:pPr>
            <w:r w:rsidRPr="00297CE6">
              <w:rPr>
                <w:rFonts w:ascii="Arial" w:eastAsia="Arial" w:hAnsi="Arial" w:cs="Arial"/>
                <w:b/>
                <w:sz w:val="16"/>
                <w:szCs w:val="16"/>
              </w:rPr>
              <w:t>Diferencia de medi</w:t>
            </w:r>
            <w:r>
              <w:rPr>
                <w:rFonts w:ascii="Arial" w:eastAsia="Arial" w:hAnsi="Arial" w:cs="Arial"/>
                <w:b/>
                <w:sz w:val="16"/>
                <w:szCs w:val="16"/>
              </w:rPr>
              <w:t>an</w:t>
            </w:r>
            <w:r w:rsidRPr="00297CE6">
              <w:rPr>
                <w:rFonts w:ascii="Arial" w:eastAsia="Arial" w:hAnsi="Arial" w:cs="Arial"/>
                <w:b/>
                <w:sz w:val="16"/>
                <w:szCs w:val="16"/>
              </w:rPr>
              <w:t>as</w:t>
            </w:r>
            <w:r>
              <w:rPr>
                <w:rFonts w:ascii="Arial" w:eastAsia="Arial" w:hAnsi="Arial" w:cs="Arial"/>
                <w:b/>
                <w:sz w:val="16"/>
                <w:szCs w:val="16"/>
              </w:rPr>
              <w:t xml:space="preserve"> (IC95%)</w:t>
            </w:r>
          </w:p>
        </w:tc>
        <w:tc>
          <w:tcPr>
            <w:tcW w:w="1276" w:type="dxa"/>
            <w:tcBorders>
              <w:top w:val="single" w:sz="2" w:space="0" w:color="000000"/>
              <w:left w:val="single" w:sz="2" w:space="0" w:color="000000"/>
              <w:bottom w:val="single" w:sz="2" w:space="0" w:color="000000"/>
              <w:right w:val="single" w:sz="24" w:space="0" w:color="000000"/>
            </w:tcBorders>
            <w:vAlign w:val="center"/>
          </w:tcPr>
          <w:p w14:paraId="4857B258" w14:textId="77777777" w:rsidR="009033F0" w:rsidRPr="00297CE6" w:rsidRDefault="009033F0" w:rsidP="00AA37C1">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9033F0" w14:paraId="63203A15"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2C77E423" w14:textId="77777777" w:rsidR="009033F0" w:rsidRDefault="009033F0" w:rsidP="009033F0">
            <w:pPr>
              <w:ind w:left="0" w:hanging="2"/>
              <w:jc w:val="both"/>
              <w:rPr>
                <w:rFonts w:ascii="Arial" w:eastAsia="Arial" w:hAnsi="Arial" w:cs="Arial"/>
                <w:sz w:val="16"/>
                <w:szCs w:val="16"/>
              </w:rPr>
            </w:pPr>
            <w:r w:rsidRPr="009033F0">
              <w:rPr>
                <w:rFonts w:ascii="Arial" w:eastAsia="Arial" w:hAnsi="Arial" w:cs="Arial"/>
                <w:sz w:val="16"/>
                <w:szCs w:val="16"/>
              </w:rPr>
              <w:t>Supervivencia</w:t>
            </w:r>
            <w:r>
              <w:rPr>
                <w:rFonts w:ascii="Arial" w:eastAsia="Arial" w:hAnsi="Arial" w:cs="Arial"/>
                <w:sz w:val="16"/>
                <w:szCs w:val="16"/>
              </w:rPr>
              <w:t xml:space="preserve"> </w:t>
            </w:r>
            <w:r w:rsidR="00522B4F">
              <w:rPr>
                <w:rFonts w:ascii="Arial" w:eastAsia="Arial" w:hAnsi="Arial" w:cs="Arial"/>
                <w:sz w:val="16"/>
                <w:szCs w:val="16"/>
              </w:rPr>
              <w:t xml:space="preserve">mediana </w:t>
            </w:r>
            <w:r>
              <w:rPr>
                <w:rFonts w:ascii="Arial" w:eastAsia="Arial" w:hAnsi="Arial" w:cs="Arial"/>
                <w:sz w:val="16"/>
                <w:szCs w:val="16"/>
              </w:rPr>
              <w:t>(meses)</w:t>
            </w:r>
          </w:p>
        </w:tc>
        <w:tc>
          <w:tcPr>
            <w:tcW w:w="2070" w:type="dxa"/>
            <w:tcBorders>
              <w:top w:val="single" w:sz="2" w:space="0" w:color="000000"/>
              <w:left w:val="single" w:sz="2" w:space="0" w:color="000000"/>
              <w:bottom w:val="single" w:sz="2" w:space="0" w:color="000000"/>
              <w:right w:val="single" w:sz="2" w:space="0" w:color="000000"/>
            </w:tcBorders>
            <w:vAlign w:val="center"/>
          </w:tcPr>
          <w:p w14:paraId="0E77DDA6" w14:textId="77777777" w:rsidR="009033F0" w:rsidRDefault="009033F0" w:rsidP="00036243">
            <w:pPr>
              <w:ind w:left="0" w:hanging="2"/>
              <w:jc w:val="center"/>
              <w:rPr>
                <w:rFonts w:ascii="Arial" w:eastAsia="Arial" w:hAnsi="Arial" w:cs="Arial"/>
                <w:sz w:val="16"/>
                <w:szCs w:val="16"/>
              </w:rPr>
            </w:pPr>
            <w:r>
              <w:rPr>
                <w:rFonts w:ascii="Arial" w:eastAsia="Arial" w:hAnsi="Arial" w:cs="Arial"/>
                <w:sz w:val="16"/>
                <w:szCs w:val="16"/>
              </w:rPr>
              <w:t>NA</w:t>
            </w:r>
          </w:p>
          <w:p w14:paraId="277ECEFF" w14:textId="77777777" w:rsidR="00A307FF" w:rsidRDefault="00A307FF" w:rsidP="00A307FF">
            <w:pPr>
              <w:ind w:left="0" w:hanging="2"/>
              <w:jc w:val="center"/>
              <w:rPr>
                <w:rFonts w:ascii="Arial" w:eastAsia="Arial" w:hAnsi="Arial" w:cs="Arial"/>
                <w:sz w:val="16"/>
                <w:szCs w:val="16"/>
              </w:rPr>
            </w:pPr>
            <w:r>
              <w:rPr>
                <w:rFonts w:ascii="Arial" w:eastAsia="Arial" w:hAnsi="Arial" w:cs="Arial"/>
                <w:sz w:val="16"/>
                <w:szCs w:val="16"/>
              </w:rPr>
              <w:t>(ningún paciente fallecido a los dos años)</w:t>
            </w:r>
          </w:p>
        </w:tc>
        <w:tc>
          <w:tcPr>
            <w:tcW w:w="2087" w:type="dxa"/>
            <w:tcBorders>
              <w:top w:val="single" w:sz="2" w:space="0" w:color="000000"/>
              <w:left w:val="single" w:sz="2" w:space="0" w:color="000000"/>
              <w:bottom w:val="single" w:sz="2" w:space="0" w:color="000000"/>
              <w:right w:val="single" w:sz="2" w:space="0" w:color="000000"/>
            </w:tcBorders>
            <w:vAlign w:val="center"/>
          </w:tcPr>
          <w:p w14:paraId="46D7CE20" w14:textId="77777777" w:rsidR="009033F0" w:rsidRDefault="009033F0" w:rsidP="00AA37C1">
            <w:pPr>
              <w:ind w:left="0" w:hanging="2"/>
              <w:jc w:val="center"/>
              <w:rPr>
                <w:rFonts w:ascii="Arial" w:eastAsia="Arial" w:hAnsi="Arial" w:cs="Arial"/>
                <w:sz w:val="16"/>
                <w:szCs w:val="16"/>
              </w:rPr>
            </w:pPr>
            <w:r>
              <w:rPr>
                <w:rFonts w:ascii="Arial" w:eastAsia="Arial" w:hAnsi="Arial" w:cs="Arial"/>
                <w:sz w:val="16"/>
                <w:szCs w:val="16"/>
              </w:rPr>
              <w:t>134,9</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600B7205" w14:textId="77777777" w:rsidR="009033F0" w:rsidRDefault="009033F0" w:rsidP="009033F0">
            <w:pPr>
              <w:ind w:left="0" w:hanging="2"/>
              <w:jc w:val="center"/>
              <w:rPr>
                <w:rFonts w:ascii="Arial" w:eastAsia="Arial" w:hAnsi="Arial" w:cs="Arial"/>
                <w:sz w:val="16"/>
                <w:szCs w:val="16"/>
              </w:rPr>
            </w:pPr>
            <w:r w:rsidRPr="002E1DF3">
              <w:rPr>
                <w:rFonts w:ascii="Arial" w:eastAsia="Arial" w:hAnsi="Arial" w:cs="Arial"/>
                <w:sz w:val="16"/>
                <w:szCs w:val="16"/>
              </w:rPr>
              <w:t>(68,4 a 160,8</w:t>
            </w:r>
            <w:r w:rsidR="00522B4F" w:rsidRPr="002E1DF3">
              <w:rPr>
                <w:rFonts w:ascii="Arial" w:eastAsia="Arial" w:hAnsi="Arial" w:cs="Arial"/>
                <w:sz w:val="16"/>
                <w:szCs w:val="16"/>
              </w:rPr>
              <w:t>)</w:t>
            </w:r>
          </w:p>
        </w:tc>
        <w:tc>
          <w:tcPr>
            <w:tcW w:w="1276" w:type="dxa"/>
            <w:tcBorders>
              <w:top w:val="single" w:sz="2" w:space="0" w:color="000000"/>
              <w:left w:val="single" w:sz="2" w:space="0" w:color="000000"/>
              <w:bottom w:val="single" w:sz="2" w:space="0" w:color="000000"/>
              <w:right w:val="single" w:sz="24" w:space="0" w:color="000000"/>
            </w:tcBorders>
            <w:vAlign w:val="center"/>
          </w:tcPr>
          <w:p w14:paraId="32222633" w14:textId="77777777" w:rsidR="009033F0" w:rsidRDefault="009033F0" w:rsidP="00AA37C1">
            <w:pPr>
              <w:ind w:left="0" w:hanging="2"/>
              <w:jc w:val="center"/>
              <w:rPr>
                <w:rFonts w:ascii="Arial" w:eastAsia="Arial" w:hAnsi="Arial" w:cs="Arial"/>
                <w:sz w:val="16"/>
                <w:szCs w:val="16"/>
              </w:rPr>
            </w:pPr>
            <w:r>
              <w:rPr>
                <w:rFonts w:ascii="Arial" w:eastAsia="Arial" w:hAnsi="Arial" w:cs="Arial"/>
                <w:sz w:val="16"/>
                <w:szCs w:val="16"/>
              </w:rPr>
              <w:t>0,062</w:t>
            </w:r>
          </w:p>
        </w:tc>
      </w:tr>
      <w:tr w:rsidR="00130028" w14:paraId="2536A1E2" w14:textId="77777777" w:rsidTr="001B39A8">
        <w:trPr>
          <w:trHeight w:val="230"/>
        </w:trPr>
        <w:tc>
          <w:tcPr>
            <w:tcW w:w="1725" w:type="dxa"/>
            <w:tcBorders>
              <w:top w:val="single" w:sz="2" w:space="0" w:color="000000"/>
              <w:left w:val="single" w:sz="24" w:space="0" w:color="000000"/>
              <w:bottom w:val="single" w:sz="24" w:space="0" w:color="000000"/>
              <w:right w:val="single" w:sz="2" w:space="0" w:color="000000"/>
            </w:tcBorders>
            <w:vAlign w:val="center"/>
          </w:tcPr>
          <w:p w14:paraId="66612360" w14:textId="77777777" w:rsidR="00130028" w:rsidRPr="00EC561F" w:rsidRDefault="00130028" w:rsidP="00AA37C1">
            <w:pPr>
              <w:ind w:left="0" w:hanging="2"/>
              <w:rPr>
                <w:rFonts w:ascii="Arial" w:eastAsia="Arial" w:hAnsi="Arial" w:cs="Arial"/>
                <w:sz w:val="16"/>
                <w:szCs w:val="16"/>
              </w:rPr>
            </w:pPr>
            <w:r>
              <w:rPr>
                <w:rFonts w:ascii="Arial" w:eastAsia="Arial" w:hAnsi="Arial" w:cs="Arial"/>
                <w:sz w:val="16"/>
                <w:szCs w:val="16"/>
              </w:rPr>
              <w:t xml:space="preserve">Eficacia por </w:t>
            </w:r>
            <w:r w:rsidRPr="00130028">
              <w:rPr>
                <w:rFonts w:ascii="Arial" w:eastAsia="Arial" w:hAnsi="Arial" w:cs="Arial"/>
                <w:sz w:val="16"/>
                <w:szCs w:val="16"/>
              </w:rPr>
              <w:t>RMN cerebral</w:t>
            </w:r>
            <w:r>
              <w:rPr>
                <w:rFonts w:ascii="Arial" w:eastAsia="Arial" w:hAnsi="Arial" w:cs="Arial"/>
                <w:sz w:val="16"/>
                <w:szCs w:val="16"/>
              </w:rPr>
              <w:t xml:space="preserve"> (media puntuación)</w:t>
            </w:r>
          </w:p>
        </w:tc>
        <w:tc>
          <w:tcPr>
            <w:tcW w:w="2070" w:type="dxa"/>
            <w:tcBorders>
              <w:top w:val="single" w:sz="2" w:space="0" w:color="000000"/>
              <w:left w:val="single" w:sz="2" w:space="0" w:color="000000"/>
              <w:bottom w:val="single" w:sz="24" w:space="0" w:color="000000"/>
              <w:right w:val="single" w:sz="2" w:space="0" w:color="000000"/>
            </w:tcBorders>
            <w:vAlign w:val="center"/>
          </w:tcPr>
          <w:p w14:paraId="3796FB5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2,1</w:t>
            </w:r>
          </w:p>
        </w:tc>
        <w:tc>
          <w:tcPr>
            <w:tcW w:w="2087" w:type="dxa"/>
            <w:tcBorders>
              <w:top w:val="single" w:sz="2" w:space="0" w:color="000000"/>
              <w:left w:val="single" w:sz="2" w:space="0" w:color="000000"/>
              <w:bottom w:val="single" w:sz="24" w:space="0" w:color="000000"/>
              <w:right w:val="single" w:sz="2" w:space="0" w:color="000000"/>
            </w:tcBorders>
            <w:vAlign w:val="center"/>
          </w:tcPr>
          <w:p w14:paraId="3635B7F6"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13,9</w:t>
            </w:r>
          </w:p>
        </w:tc>
        <w:tc>
          <w:tcPr>
            <w:tcW w:w="1843" w:type="dxa"/>
            <w:gridSpan w:val="2"/>
            <w:tcBorders>
              <w:top w:val="single" w:sz="2" w:space="0" w:color="000000"/>
              <w:left w:val="single" w:sz="2" w:space="0" w:color="000000"/>
              <w:bottom w:val="single" w:sz="24" w:space="0" w:color="000000"/>
              <w:right w:val="single" w:sz="2" w:space="0" w:color="000000"/>
            </w:tcBorders>
            <w:vAlign w:val="center"/>
          </w:tcPr>
          <w:p w14:paraId="45DF3368"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-11,1</w:t>
            </w:r>
          </w:p>
          <w:p w14:paraId="1EC3EAD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(-15,4 a -8,1)</w:t>
            </w:r>
          </w:p>
        </w:tc>
        <w:tc>
          <w:tcPr>
            <w:tcW w:w="1276" w:type="dxa"/>
            <w:tcBorders>
              <w:top w:val="single" w:sz="2" w:space="0" w:color="000000"/>
              <w:left w:val="single" w:sz="2" w:space="0" w:color="000000"/>
              <w:bottom w:val="single" w:sz="24" w:space="0" w:color="000000"/>
              <w:right w:val="single" w:sz="24" w:space="0" w:color="000000"/>
            </w:tcBorders>
            <w:vAlign w:val="center"/>
          </w:tcPr>
          <w:p w14:paraId="5D15B7B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&lt; 0,001</w:t>
            </w:r>
          </w:p>
        </w:tc>
      </w:tr>
      <w:tr w:rsidR="00522B4F" w14:paraId="11468A94" w14:textId="77777777" w:rsidTr="001B39A8">
        <w:trPr>
          <w:trHeight w:val="230"/>
        </w:trPr>
        <w:tc>
          <w:tcPr>
            <w:tcW w:w="9001" w:type="dxa"/>
            <w:gridSpan w:val="6"/>
            <w:tcBorders>
              <w:top w:val="single" w:sz="24" w:space="0" w:color="000000"/>
              <w:left w:val="single" w:sz="24" w:space="0" w:color="000000"/>
              <w:bottom w:val="single" w:sz="2" w:space="0" w:color="000000"/>
              <w:right w:val="single" w:sz="24" w:space="0" w:color="000000"/>
            </w:tcBorders>
            <w:shd w:val="clear" w:color="auto" w:fill="D9D9D9"/>
            <w:vAlign w:val="center"/>
          </w:tcPr>
          <w:p w14:paraId="3BED14DF" w14:textId="77777777" w:rsidR="00522B4F" w:rsidRDefault="00522B4F" w:rsidP="00AA37C1">
            <w:pPr>
              <w:ind w:left="0" w:hanging="2"/>
              <w:rPr>
                <w:rFonts w:ascii="Arial" w:eastAsia="Arial" w:hAnsi="Arial" w:cs="Arial"/>
                <w:i/>
                <w:sz w:val="16"/>
                <w:szCs w:val="16"/>
              </w:rPr>
            </w:pPr>
            <w:r>
              <w:rPr>
                <w:rFonts w:ascii="Arial" w:eastAsia="Arial" w:hAnsi="Arial" w:cs="Arial"/>
                <w:b/>
                <w:i/>
                <w:sz w:val="16"/>
                <w:szCs w:val="16"/>
              </w:rPr>
              <w:t>Leucodistrofia metacromática variante juvenil temprana (LDM-JT) (población total)</w:t>
            </w:r>
          </w:p>
        </w:tc>
      </w:tr>
      <w:tr w:rsidR="00522B4F" w14:paraId="0B06C917"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5A3F01E4" w14:textId="77777777" w:rsidR="00522B4F" w:rsidRPr="009033F0" w:rsidRDefault="00522B4F" w:rsidP="009033F0">
            <w:pPr>
              <w:ind w:left="0" w:hanging="2"/>
              <w:jc w:val="both"/>
              <w:rPr>
                <w:rFonts w:ascii="Arial" w:eastAsia="Arial" w:hAnsi="Arial" w:cs="Arial"/>
                <w:sz w:val="16"/>
                <w:szCs w:val="16"/>
              </w:rPr>
            </w:pPr>
          </w:p>
        </w:tc>
        <w:tc>
          <w:tcPr>
            <w:tcW w:w="2070" w:type="dxa"/>
            <w:tcBorders>
              <w:top w:val="single" w:sz="2" w:space="0" w:color="000000"/>
              <w:left w:val="single" w:sz="2" w:space="0" w:color="000000"/>
              <w:bottom w:val="single" w:sz="2" w:space="0" w:color="000000"/>
              <w:right w:val="single" w:sz="2" w:space="0" w:color="000000"/>
            </w:tcBorders>
            <w:vAlign w:val="center"/>
          </w:tcPr>
          <w:p w14:paraId="3E387586" w14:textId="77777777" w:rsidR="00522B4F" w:rsidRDefault="00522B4F" w:rsidP="00AA37C1">
            <w:pPr>
              <w:ind w:left="0" w:hanging="2"/>
              <w:jc w:val="center"/>
              <w:rPr>
                <w:rFonts w:ascii="Arial" w:eastAsia="Arial" w:hAnsi="Arial" w:cs="Arial"/>
                <w:sz w:val="16"/>
                <w:szCs w:val="16"/>
              </w:rPr>
            </w:pPr>
            <w:r>
              <w:rPr>
                <w:rFonts w:ascii="Arial" w:eastAsia="Arial" w:hAnsi="Arial" w:cs="Arial"/>
                <w:b/>
                <w:sz w:val="16"/>
                <w:szCs w:val="16"/>
              </w:rPr>
              <w:t>Libmeldy</w:t>
            </w:r>
            <w:r w:rsidR="00786169" w:rsidRPr="00786169">
              <w:rPr>
                <w:rFonts w:ascii="Arial" w:eastAsia="Arial" w:hAnsi="Arial" w:cs="Arial"/>
                <w:b/>
                <w:sz w:val="16"/>
                <w:szCs w:val="16"/>
                <w:vertAlign w:val="superscript"/>
              </w:rPr>
              <w:t xml:space="preserve">® </w:t>
            </w:r>
            <w:r>
              <w:rPr>
                <w:rFonts w:ascii="Arial" w:eastAsia="Arial" w:hAnsi="Arial" w:cs="Arial"/>
                <w:b/>
                <w:sz w:val="16"/>
                <w:szCs w:val="16"/>
              </w:rPr>
              <w:t xml:space="preserve"> (n=11)</w:t>
            </w:r>
          </w:p>
        </w:tc>
        <w:tc>
          <w:tcPr>
            <w:tcW w:w="2087" w:type="dxa"/>
            <w:tcBorders>
              <w:top w:val="single" w:sz="2" w:space="0" w:color="000000"/>
              <w:left w:val="single" w:sz="2" w:space="0" w:color="000000"/>
              <w:bottom w:val="single" w:sz="2" w:space="0" w:color="000000"/>
              <w:right w:val="single" w:sz="2" w:space="0" w:color="000000"/>
            </w:tcBorders>
            <w:vAlign w:val="center"/>
          </w:tcPr>
          <w:p w14:paraId="17016C86" w14:textId="77777777" w:rsidR="00522B4F" w:rsidRDefault="00522B4F" w:rsidP="00AA37C1">
            <w:pPr>
              <w:ind w:left="0" w:hanging="2"/>
              <w:jc w:val="center"/>
              <w:rPr>
                <w:rFonts w:ascii="Arial" w:eastAsia="Arial" w:hAnsi="Arial" w:cs="Arial"/>
                <w:sz w:val="16"/>
                <w:szCs w:val="16"/>
              </w:rPr>
            </w:pPr>
            <w:r>
              <w:rPr>
                <w:rFonts w:ascii="Arial" w:eastAsia="Arial" w:hAnsi="Arial" w:cs="Arial"/>
                <w:b/>
                <w:sz w:val="16"/>
                <w:szCs w:val="16"/>
              </w:rPr>
              <w:t>TIGET-NHx (n=18)</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2CAD182A" w14:textId="77777777" w:rsidR="00522B4F" w:rsidRPr="00297CE6" w:rsidRDefault="00522B4F" w:rsidP="00AA37C1">
            <w:pPr>
              <w:ind w:left="0" w:hanging="2"/>
              <w:jc w:val="center"/>
              <w:rPr>
                <w:rFonts w:ascii="Arial" w:eastAsia="Arial" w:hAnsi="Arial" w:cs="Arial"/>
                <w:b/>
                <w:sz w:val="16"/>
                <w:szCs w:val="16"/>
              </w:rPr>
            </w:pPr>
            <w:r>
              <w:rPr>
                <w:rFonts w:ascii="Arial" w:eastAsia="Arial" w:hAnsi="Arial" w:cs="Arial"/>
                <w:b/>
                <w:sz w:val="16"/>
                <w:szCs w:val="16"/>
              </w:rPr>
              <w:t>HR (IC95%)</w:t>
            </w:r>
          </w:p>
        </w:tc>
        <w:tc>
          <w:tcPr>
            <w:tcW w:w="1276" w:type="dxa"/>
            <w:tcBorders>
              <w:top w:val="single" w:sz="2" w:space="0" w:color="000000"/>
              <w:left w:val="single" w:sz="2" w:space="0" w:color="000000"/>
              <w:bottom w:val="single" w:sz="2" w:space="0" w:color="000000"/>
              <w:right w:val="single" w:sz="24" w:space="0" w:color="000000"/>
            </w:tcBorders>
            <w:vAlign w:val="center"/>
          </w:tcPr>
          <w:p w14:paraId="0784C1AD" w14:textId="77777777" w:rsidR="00522B4F" w:rsidRPr="00297CE6" w:rsidRDefault="00522B4F" w:rsidP="00AA37C1">
            <w:pPr>
              <w:ind w:left="0" w:hanging="2"/>
              <w:jc w:val="center"/>
              <w:rPr>
                <w:rFonts w:ascii="Arial" w:eastAsia="Arial" w:hAnsi="Arial" w:cs="Arial"/>
                <w:b/>
                <w:sz w:val="16"/>
                <w:szCs w:val="16"/>
              </w:rPr>
            </w:pPr>
            <w:r w:rsidRPr="00297CE6">
              <w:rPr>
                <w:rFonts w:ascii="Arial" w:eastAsia="Arial" w:hAnsi="Arial" w:cs="Arial"/>
                <w:b/>
                <w:sz w:val="16"/>
                <w:szCs w:val="16"/>
              </w:rPr>
              <w:t>P</w:t>
            </w:r>
          </w:p>
        </w:tc>
      </w:tr>
      <w:tr w:rsidR="00522B4F" w14:paraId="5653AF58" w14:textId="77777777" w:rsidTr="001B39A8">
        <w:trPr>
          <w:trHeight w:val="230"/>
        </w:trPr>
        <w:tc>
          <w:tcPr>
            <w:tcW w:w="1725" w:type="dxa"/>
            <w:tcBorders>
              <w:top w:val="single" w:sz="2" w:space="0" w:color="000000"/>
              <w:left w:val="single" w:sz="24" w:space="0" w:color="000000"/>
              <w:bottom w:val="single" w:sz="2" w:space="0" w:color="000000"/>
              <w:right w:val="single" w:sz="2" w:space="0" w:color="000000"/>
            </w:tcBorders>
            <w:vAlign w:val="center"/>
          </w:tcPr>
          <w:p w14:paraId="1E5D3686" w14:textId="77777777" w:rsidR="00522B4F" w:rsidRPr="009033F0" w:rsidRDefault="00522B4F" w:rsidP="009033F0">
            <w:pPr>
              <w:ind w:left="0" w:hanging="2"/>
              <w:jc w:val="both"/>
              <w:rPr>
                <w:rFonts w:ascii="Arial" w:eastAsia="Arial" w:hAnsi="Arial" w:cs="Arial"/>
                <w:sz w:val="16"/>
                <w:szCs w:val="16"/>
              </w:rPr>
            </w:pPr>
            <w:r w:rsidRPr="009033F0">
              <w:rPr>
                <w:rFonts w:ascii="Arial" w:eastAsia="Arial" w:hAnsi="Arial" w:cs="Arial"/>
                <w:sz w:val="16"/>
                <w:szCs w:val="16"/>
              </w:rPr>
              <w:t>Supervivencia</w:t>
            </w:r>
            <w:r>
              <w:rPr>
                <w:rFonts w:ascii="Arial" w:eastAsia="Arial" w:hAnsi="Arial" w:cs="Arial"/>
                <w:sz w:val="16"/>
                <w:szCs w:val="16"/>
              </w:rPr>
              <w:t xml:space="preserve"> mediana (meses)</w:t>
            </w:r>
          </w:p>
        </w:tc>
        <w:tc>
          <w:tcPr>
            <w:tcW w:w="2070" w:type="dxa"/>
            <w:tcBorders>
              <w:top w:val="single" w:sz="2" w:space="0" w:color="000000"/>
              <w:left w:val="single" w:sz="2" w:space="0" w:color="000000"/>
              <w:bottom w:val="single" w:sz="2" w:space="0" w:color="000000"/>
              <w:right w:val="single" w:sz="2" w:space="0" w:color="000000"/>
            </w:tcBorders>
            <w:vAlign w:val="center"/>
          </w:tcPr>
          <w:p w14:paraId="79016ADF" w14:textId="77777777" w:rsid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ND</w:t>
            </w:r>
          </w:p>
          <w:p w14:paraId="466DF60E" w14:textId="77777777" w:rsidR="00A307FF" w:rsidRPr="00522B4F" w:rsidRDefault="00A307FF" w:rsidP="00AA37C1">
            <w:pPr>
              <w:ind w:left="0" w:hanging="2"/>
              <w:jc w:val="center"/>
              <w:rPr>
                <w:rFonts w:ascii="Arial" w:eastAsia="Arial" w:hAnsi="Arial" w:cs="Arial"/>
                <w:sz w:val="16"/>
                <w:szCs w:val="16"/>
              </w:rPr>
            </w:pPr>
            <w:r>
              <w:rPr>
                <w:rFonts w:ascii="Arial" w:eastAsia="Arial" w:hAnsi="Arial" w:cs="Arial"/>
                <w:sz w:val="16"/>
                <w:szCs w:val="16"/>
              </w:rPr>
              <w:t>(dos pacientes fallecidos a los dos años)</w:t>
            </w:r>
          </w:p>
        </w:tc>
        <w:tc>
          <w:tcPr>
            <w:tcW w:w="2087" w:type="dxa"/>
            <w:tcBorders>
              <w:top w:val="single" w:sz="2" w:space="0" w:color="000000"/>
              <w:left w:val="single" w:sz="2" w:space="0" w:color="000000"/>
              <w:bottom w:val="single" w:sz="2" w:space="0" w:color="000000"/>
              <w:right w:val="single" w:sz="2" w:space="0" w:color="000000"/>
            </w:tcBorders>
            <w:vAlign w:val="center"/>
          </w:tcPr>
          <w:p w14:paraId="03855979" w14:textId="77777777" w:rsidR="00522B4F" w:rsidRP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ND</w:t>
            </w:r>
          </w:p>
        </w:tc>
        <w:tc>
          <w:tcPr>
            <w:tcW w:w="1843" w:type="dxa"/>
            <w:gridSpan w:val="2"/>
            <w:tcBorders>
              <w:top w:val="single" w:sz="2" w:space="0" w:color="000000"/>
              <w:left w:val="single" w:sz="2" w:space="0" w:color="000000"/>
              <w:bottom w:val="single" w:sz="2" w:space="0" w:color="000000"/>
              <w:right w:val="single" w:sz="2" w:space="0" w:color="000000"/>
            </w:tcBorders>
            <w:vAlign w:val="center"/>
          </w:tcPr>
          <w:p w14:paraId="2DC61707" w14:textId="77777777" w:rsidR="00522B4F" w:rsidRP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1,85 (0,26 a 13,30)</w:t>
            </w:r>
          </w:p>
        </w:tc>
        <w:tc>
          <w:tcPr>
            <w:tcW w:w="1276" w:type="dxa"/>
            <w:tcBorders>
              <w:top w:val="single" w:sz="2" w:space="0" w:color="000000"/>
              <w:left w:val="single" w:sz="2" w:space="0" w:color="000000"/>
              <w:bottom w:val="single" w:sz="2" w:space="0" w:color="000000"/>
              <w:right w:val="single" w:sz="24" w:space="0" w:color="000000"/>
            </w:tcBorders>
            <w:vAlign w:val="center"/>
          </w:tcPr>
          <w:p w14:paraId="236E377E" w14:textId="77777777" w:rsidR="00522B4F" w:rsidRPr="00522B4F" w:rsidRDefault="00522B4F" w:rsidP="00AA37C1">
            <w:pPr>
              <w:ind w:left="0" w:hanging="2"/>
              <w:jc w:val="center"/>
              <w:rPr>
                <w:rFonts w:ascii="Arial" w:eastAsia="Arial" w:hAnsi="Arial" w:cs="Arial"/>
                <w:sz w:val="16"/>
                <w:szCs w:val="16"/>
              </w:rPr>
            </w:pPr>
            <w:r w:rsidRPr="00522B4F">
              <w:rPr>
                <w:rFonts w:ascii="Arial" w:eastAsia="Arial" w:hAnsi="Arial" w:cs="Arial"/>
                <w:sz w:val="16"/>
                <w:szCs w:val="16"/>
              </w:rPr>
              <w:t>0,537</w:t>
            </w:r>
          </w:p>
        </w:tc>
      </w:tr>
      <w:tr w:rsidR="00130028" w14:paraId="4A0465F2" w14:textId="77777777" w:rsidTr="001B39A8">
        <w:trPr>
          <w:trHeight w:val="230"/>
        </w:trPr>
        <w:tc>
          <w:tcPr>
            <w:tcW w:w="1725" w:type="dxa"/>
            <w:tcBorders>
              <w:top w:val="single" w:sz="2" w:space="0" w:color="000000"/>
              <w:left w:val="single" w:sz="24" w:space="0" w:color="000000"/>
              <w:bottom w:val="single" w:sz="24" w:space="0" w:color="000000"/>
              <w:right w:val="single" w:sz="2" w:space="0" w:color="000000"/>
            </w:tcBorders>
            <w:vAlign w:val="center"/>
          </w:tcPr>
          <w:p w14:paraId="637AA340" w14:textId="77777777" w:rsidR="00130028" w:rsidRPr="00EC561F" w:rsidRDefault="00130028" w:rsidP="00AA37C1">
            <w:pPr>
              <w:ind w:left="0" w:hanging="2"/>
              <w:rPr>
                <w:rFonts w:ascii="Arial" w:eastAsia="Arial" w:hAnsi="Arial" w:cs="Arial"/>
                <w:sz w:val="16"/>
                <w:szCs w:val="16"/>
              </w:rPr>
            </w:pPr>
            <w:r>
              <w:rPr>
                <w:rFonts w:ascii="Arial" w:eastAsia="Arial" w:hAnsi="Arial" w:cs="Arial"/>
                <w:sz w:val="16"/>
                <w:szCs w:val="16"/>
              </w:rPr>
              <w:t xml:space="preserve">Eficacia por </w:t>
            </w:r>
            <w:r w:rsidRPr="00130028">
              <w:rPr>
                <w:rFonts w:ascii="Arial" w:eastAsia="Arial" w:hAnsi="Arial" w:cs="Arial"/>
                <w:sz w:val="16"/>
                <w:szCs w:val="16"/>
              </w:rPr>
              <w:t>RMN cerebral</w:t>
            </w:r>
            <w:r>
              <w:rPr>
                <w:rFonts w:ascii="Arial" w:eastAsia="Arial" w:hAnsi="Arial" w:cs="Arial"/>
                <w:sz w:val="16"/>
                <w:szCs w:val="16"/>
              </w:rPr>
              <w:t xml:space="preserve"> (media puntuación)</w:t>
            </w:r>
          </w:p>
        </w:tc>
        <w:tc>
          <w:tcPr>
            <w:tcW w:w="2070" w:type="dxa"/>
            <w:tcBorders>
              <w:top w:val="single" w:sz="2" w:space="0" w:color="000000"/>
              <w:left w:val="single" w:sz="2" w:space="0" w:color="000000"/>
              <w:bottom w:val="single" w:sz="24" w:space="0" w:color="000000"/>
              <w:right w:val="single" w:sz="2" w:space="0" w:color="000000"/>
            </w:tcBorders>
            <w:vAlign w:val="center"/>
          </w:tcPr>
          <w:p w14:paraId="72D5B7BF"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9,1</w:t>
            </w:r>
          </w:p>
        </w:tc>
        <w:tc>
          <w:tcPr>
            <w:tcW w:w="2087" w:type="dxa"/>
            <w:tcBorders>
              <w:top w:val="single" w:sz="2" w:space="0" w:color="000000"/>
              <w:left w:val="single" w:sz="2" w:space="0" w:color="000000"/>
              <w:bottom w:val="single" w:sz="24" w:space="0" w:color="000000"/>
              <w:right w:val="single" w:sz="2" w:space="0" w:color="000000"/>
            </w:tcBorders>
            <w:vAlign w:val="center"/>
          </w:tcPr>
          <w:p w14:paraId="0BF71100"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13,2</w:t>
            </w:r>
          </w:p>
        </w:tc>
        <w:tc>
          <w:tcPr>
            <w:tcW w:w="1843" w:type="dxa"/>
            <w:gridSpan w:val="2"/>
            <w:tcBorders>
              <w:top w:val="single" w:sz="2" w:space="0" w:color="000000"/>
              <w:left w:val="single" w:sz="2" w:space="0" w:color="000000"/>
              <w:bottom w:val="single" w:sz="24" w:space="0" w:color="000000"/>
              <w:right w:val="single" w:sz="2" w:space="0" w:color="000000"/>
            </w:tcBorders>
            <w:vAlign w:val="center"/>
          </w:tcPr>
          <w:p w14:paraId="2053F529"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-4,1</w:t>
            </w:r>
          </w:p>
          <w:p w14:paraId="4FF0D64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(-9,6 a 1,3)</w:t>
            </w:r>
          </w:p>
        </w:tc>
        <w:tc>
          <w:tcPr>
            <w:tcW w:w="1276" w:type="dxa"/>
            <w:tcBorders>
              <w:top w:val="single" w:sz="2" w:space="0" w:color="000000"/>
              <w:left w:val="single" w:sz="2" w:space="0" w:color="000000"/>
              <w:bottom w:val="single" w:sz="24" w:space="0" w:color="000000"/>
              <w:right w:val="single" w:sz="24" w:space="0" w:color="000000"/>
            </w:tcBorders>
            <w:vAlign w:val="center"/>
          </w:tcPr>
          <w:p w14:paraId="655A087C" w14:textId="77777777" w:rsidR="00130028" w:rsidRDefault="00130028" w:rsidP="00AA37C1">
            <w:pPr>
              <w:ind w:left="0" w:hanging="2"/>
              <w:jc w:val="center"/>
              <w:rPr>
                <w:rFonts w:ascii="Arial" w:eastAsia="Arial" w:hAnsi="Arial" w:cs="Arial"/>
                <w:sz w:val="16"/>
                <w:szCs w:val="16"/>
              </w:rPr>
            </w:pPr>
            <w:r>
              <w:rPr>
                <w:rFonts w:ascii="Arial" w:eastAsia="Arial" w:hAnsi="Arial" w:cs="Arial"/>
                <w:sz w:val="16"/>
                <w:szCs w:val="16"/>
              </w:rPr>
              <w:t>0,123</w:t>
            </w:r>
          </w:p>
        </w:tc>
      </w:tr>
    </w:tbl>
    <w:p w14:paraId="25C7DA25" w14:textId="77777777" w:rsidR="00A307FF" w:rsidRDefault="005A57E0" w:rsidP="00ED76F3">
      <w:pPr>
        <w:pBdr>
          <w:top w:val="single" w:sz="2" w:space="1" w:color="000000"/>
          <w:left w:val="single" w:sz="2" w:space="4" w:color="000000"/>
          <w:bottom w:val="single" w:sz="2" w:space="1" w:color="000000"/>
          <w:right w:val="single" w:sz="2" w:space="8" w:color="000000"/>
        </w:pBdr>
        <w:ind w:left="0" w:hanging="2"/>
        <w:jc w:val="both"/>
        <w:rPr>
          <w:rFonts w:ascii="Arial" w:eastAsia="Arial" w:hAnsi="Arial" w:cs="Arial"/>
          <w:sz w:val="16"/>
          <w:szCs w:val="16"/>
        </w:rPr>
      </w:pPr>
      <w:bookmarkStart w:id="24" w:name="_heading=h.s4vo2zheox2b" w:colFirst="0" w:colLast="0"/>
      <w:bookmarkEnd w:id="24"/>
      <w:r>
        <w:rPr>
          <w:rFonts w:ascii="Arial" w:eastAsia="Arial" w:hAnsi="Arial" w:cs="Arial"/>
          <w:sz w:val="16"/>
          <w:szCs w:val="16"/>
        </w:rPr>
        <w:t>Se utilizó un modelo de análisis de la covarianza (ANCOVA) para cada subtipo de enfermedad ajustado por edad y tratamiento (Libmeldy</w:t>
      </w:r>
      <w:r w:rsidR="008260D9" w:rsidRPr="008260D9">
        <w:rPr>
          <w:rFonts w:ascii="Arial" w:eastAsia="Arial" w:hAnsi="Arial" w:cs="Arial"/>
          <w:sz w:val="16"/>
          <w:szCs w:val="16"/>
          <w:vertAlign w:val="superscript"/>
        </w:rPr>
        <w:t>®</w:t>
      </w:r>
      <w:r>
        <w:rPr>
          <w:rFonts w:ascii="Arial" w:eastAsia="Arial" w:hAnsi="Arial" w:cs="Arial"/>
          <w:sz w:val="16"/>
          <w:szCs w:val="16"/>
        </w:rPr>
        <w:t xml:space="preserve"> o TIGET-NHx). La edad se ajustó en meses para los pacientes con LDM-IT y en años en el caso de LDM-JT.</w:t>
      </w:r>
      <w:bookmarkStart w:id="25" w:name="_heading=h.sdm46vp3c2zn" w:colFirst="0" w:colLast="0"/>
      <w:bookmarkEnd w:id="25"/>
    </w:p>
    <w:p w14:paraId="7F088020" w14:textId="77777777" w:rsidR="009D55C9" w:rsidRDefault="005A57E0" w:rsidP="00ED76F3">
      <w:pPr>
        <w:pBdr>
          <w:top w:val="single" w:sz="2" w:space="1" w:color="000000"/>
          <w:left w:val="single" w:sz="2" w:space="4" w:color="000000"/>
          <w:bottom w:val="single" w:sz="2" w:space="1" w:color="000000"/>
          <w:right w:val="single" w:sz="2" w:space="8" w:color="000000"/>
        </w:pBdr>
        <w:ind w:left="0" w:hanging="2"/>
        <w:jc w:val="both"/>
        <w:rPr>
          <w:rFonts w:ascii="Arial" w:eastAsia="Arial" w:hAnsi="Arial" w:cs="Arial"/>
          <w:sz w:val="16"/>
          <w:szCs w:val="16"/>
        </w:rPr>
      </w:pPr>
      <w:r>
        <w:rPr>
          <w:rFonts w:ascii="Arial" w:eastAsia="Arial" w:hAnsi="Arial" w:cs="Arial"/>
          <w:sz w:val="16"/>
          <w:szCs w:val="16"/>
        </w:rPr>
        <w:t>Los valores de p son de una prueba de hipótesis al 5% con hipótesis nula de un 10% de diferencia.</w:t>
      </w:r>
    </w:p>
    <w:p w14:paraId="04283ECB" w14:textId="77777777" w:rsidR="009033F0" w:rsidRDefault="009033F0">
      <w:pPr>
        <w:ind w:left="0" w:hanging="2"/>
        <w:jc w:val="both"/>
        <w:rPr>
          <w:rFonts w:ascii="Arial" w:eastAsia="Arial" w:hAnsi="Arial" w:cs="Arial"/>
          <w:color w:val="000080"/>
          <w:sz w:val="20"/>
          <w:szCs w:val="20"/>
        </w:rPr>
      </w:pPr>
      <w:bookmarkStart w:id="26" w:name="_heading=h.tb7b8t24m9xx" w:colFirst="0" w:colLast="0"/>
      <w:bookmarkStart w:id="27" w:name="_heading=h.l3jzd8ktdjfn" w:colFirst="0" w:colLast="0"/>
      <w:bookmarkEnd w:id="26"/>
      <w:bookmarkEnd w:id="27"/>
    </w:p>
    <w:p w14:paraId="16FDAC45" w14:textId="77777777" w:rsidR="009D55C9" w:rsidRDefault="005A57E0">
      <w:pPr>
        <w:ind w:left="0" w:hanging="2"/>
        <w:jc w:val="both"/>
        <w:rPr>
          <w:rFonts w:ascii="Arial" w:eastAsia="Arial" w:hAnsi="Arial" w:cs="Arial"/>
          <w:sz w:val="20"/>
          <w:szCs w:val="20"/>
        </w:rPr>
      </w:pPr>
      <w:bookmarkStart w:id="28" w:name="_heading=h.wgm35vi2zo7u" w:colFirst="0" w:colLast="0"/>
      <w:bookmarkEnd w:id="28"/>
      <w:r>
        <w:rPr>
          <w:rFonts w:ascii="Arial" w:eastAsia="Arial" w:hAnsi="Arial" w:cs="Arial"/>
          <w:sz w:val="20"/>
          <w:szCs w:val="20"/>
        </w:rPr>
        <w:t>El estudio se diseñó en 4 fases:</w:t>
      </w:r>
    </w:p>
    <w:p w14:paraId="1CC6813A" w14:textId="77777777" w:rsidR="009D55C9" w:rsidRPr="009A2386" w:rsidRDefault="005A57E0" w:rsidP="009A2386">
      <w:pPr>
        <w:pStyle w:val="Prrafodelista"/>
        <w:numPr>
          <w:ilvl w:val="0"/>
          <w:numId w:val="7"/>
        </w:numPr>
        <w:ind w:leftChars="0" w:firstLineChars="0"/>
        <w:jc w:val="both"/>
        <w:rPr>
          <w:rFonts w:ascii="Arial" w:eastAsia="Arial" w:hAnsi="Arial" w:cs="Arial"/>
          <w:sz w:val="20"/>
          <w:szCs w:val="20"/>
        </w:rPr>
      </w:pPr>
      <w:bookmarkStart w:id="29" w:name="_heading=h.bnsci86nmlwb" w:colFirst="0" w:colLast="0"/>
      <w:bookmarkEnd w:id="29"/>
      <w:r w:rsidRPr="009A2386">
        <w:rPr>
          <w:rFonts w:ascii="Arial" w:eastAsia="Arial" w:hAnsi="Arial" w:cs="Arial"/>
          <w:sz w:val="20"/>
          <w:szCs w:val="20"/>
        </w:rPr>
        <w:t>Fase de screening (evaluación de criterios de inclusión/exclusión).</w:t>
      </w:r>
    </w:p>
    <w:p w14:paraId="06583D5B" w14:textId="77777777" w:rsidR="009D55C9" w:rsidRPr="009A2386" w:rsidRDefault="005A57E0" w:rsidP="009A2386">
      <w:pPr>
        <w:pStyle w:val="Prrafodelista"/>
        <w:numPr>
          <w:ilvl w:val="0"/>
          <w:numId w:val="7"/>
        </w:numPr>
        <w:ind w:leftChars="0" w:firstLineChars="0"/>
        <w:jc w:val="both"/>
        <w:rPr>
          <w:rFonts w:ascii="Arial" w:eastAsia="Arial" w:hAnsi="Arial" w:cs="Arial"/>
          <w:sz w:val="20"/>
          <w:szCs w:val="20"/>
        </w:rPr>
      </w:pPr>
      <w:bookmarkStart w:id="30" w:name="_heading=h.pld7yk3jq0xn" w:colFirst="0" w:colLast="0"/>
      <w:bookmarkEnd w:id="30"/>
      <w:r w:rsidRPr="009A2386">
        <w:rPr>
          <w:rFonts w:ascii="Arial" w:eastAsia="Arial" w:hAnsi="Arial" w:cs="Arial"/>
          <w:sz w:val="20"/>
          <w:szCs w:val="20"/>
        </w:rPr>
        <w:t>Fase basal.</w:t>
      </w:r>
    </w:p>
    <w:p w14:paraId="023670C7" w14:textId="77777777" w:rsidR="009D55C9" w:rsidRPr="009A2386" w:rsidRDefault="005A57E0" w:rsidP="009A2386">
      <w:pPr>
        <w:pStyle w:val="Prrafodelista"/>
        <w:numPr>
          <w:ilvl w:val="0"/>
          <w:numId w:val="7"/>
        </w:numPr>
        <w:ind w:leftChars="0" w:firstLineChars="0"/>
        <w:jc w:val="both"/>
        <w:rPr>
          <w:rFonts w:ascii="Arial" w:eastAsia="Arial" w:hAnsi="Arial" w:cs="Arial"/>
          <w:sz w:val="20"/>
          <w:szCs w:val="20"/>
        </w:rPr>
      </w:pPr>
      <w:bookmarkStart w:id="31" w:name="_heading=h.gi040mxk3xeu" w:colFirst="0" w:colLast="0"/>
      <w:bookmarkEnd w:id="31"/>
      <w:r w:rsidRPr="009A2386">
        <w:rPr>
          <w:rFonts w:ascii="Arial" w:eastAsia="Arial" w:hAnsi="Arial" w:cs="Arial"/>
          <w:sz w:val="20"/>
          <w:szCs w:val="20"/>
        </w:rPr>
        <w:t>Fase de tratamiento (recolección de células para la elaboración del producto en día -4, acondicionamiento con busulfan (día -4 a día -1, administración de Libmeldy el día 0).</w:t>
      </w:r>
    </w:p>
    <w:p w14:paraId="7D9135EA" w14:textId="77777777" w:rsidR="009D55C9" w:rsidRPr="009A2386" w:rsidRDefault="005A57E0" w:rsidP="009A2386">
      <w:pPr>
        <w:pStyle w:val="Prrafodelista"/>
        <w:numPr>
          <w:ilvl w:val="0"/>
          <w:numId w:val="21"/>
        </w:numPr>
        <w:ind w:leftChars="0" w:firstLineChars="0"/>
        <w:jc w:val="both"/>
        <w:rPr>
          <w:rFonts w:ascii="Arial" w:eastAsia="Arial" w:hAnsi="Arial" w:cs="Arial"/>
          <w:sz w:val="20"/>
          <w:szCs w:val="20"/>
        </w:rPr>
      </w:pPr>
      <w:bookmarkStart w:id="32" w:name="_heading=h.14yhe0mcinpr" w:colFirst="0" w:colLast="0"/>
      <w:bookmarkEnd w:id="32"/>
      <w:r w:rsidRPr="009A2386">
        <w:rPr>
          <w:rFonts w:ascii="Arial" w:eastAsia="Arial" w:hAnsi="Arial" w:cs="Arial"/>
          <w:sz w:val="20"/>
          <w:szCs w:val="20"/>
        </w:rPr>
        <w:t>Fase de seguimiento (8 años).</w:t>
      </w:r>
    </w:p>
    <w:p w14:paraId="46CE57FB" w14:textId="77777777" w:rsidR="009D55C9" w:rsidRDefault="005A57E0">
      <w:pPr>
        <w:ind w:left="0" w:hanging="2"/>
        <w:jc w:val="both"/>
        <w:rPr>
          <w:rFonts w:ascii="Arial" w:eastAsia="Arial" w:hAnsi="Arial" w:cs="Arial"/>
          <w:color w:val="000080"/>
          <w:sz w:val="20"/>
          <w:szCs w:val="20"/>
        </w:rPr>
      </w:pPr>
      <w:bookmarkStart w:id="33" w:name="_heading=h.jnnx8fdpbifr" w:colFirst="0" w:colLast="0"/>
      <w:bookmarkEnd w:id="33"/>
      <w:r>
        <w:rPr>
          <w:rFonts w:ascii="Arial" w:eastAsia="Arial" w:hAnsi="Arial" w:cs="Arial"/>
          <w:noProof/>
          <w:color w:val="000080"/>
          <w:sz w:val="20"/>
          <w:szCs w:val="20"/>
        </w:rPr>
        <w:drawing>
          <wp:inline distT="114300" distB="114300" distL="114300" distR="114300" wp14:anchorId="2FD8039F" wp14:editId="0D0FAD00">
            <wp:extent cx="5273040" cy="2164080"/>
            <wp:effectExtent l="0" t="0" r="3810" b="7620"/>
            <wp:docPr id="10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8809" b="8322"/>
                    <a:stretch/>
                  </pic:blipFill>
                  <pic:spPr bwMode="auto">
                    <a:xfrm>
                      <a:off x="0" y="0"/>
                      <a:ext cx="5274556" cy="2164702"/>
                    </a:xfrm>
                    <a:prstGeom prst="rect">
                      <a:avLst/>
                    </a:prstGeom>
                    <a:ln>
                      <a:noFill/>
                    </a:ln>
                    <a:extLst>
                      <a:ext uri="{53640926-AAD7-44D8-BBD7-CCE9431645EC}">
                        <a14:shadowObscured xmlns:a14="http://schemas.microsoft.com/office/drawing/2010/main"/>
                      </a:ext>
                    </a:extLst>
                  </pic:spPr>
                </pic:pic>
              </a:graphicData>
            </a:graphic>
          </wp:inline>
        </w:drawing>
      </w:r>
    </w:p>
    <w:p w14:paraId="75122068" w14:textId="77777777" w:rsidR="009D55C9" w:rsidRDefault="009D55C9">
      <w:pPr>
        <w:ind w:left="0" w:hanging="2"/>
        <w:jc w:val="both"/>
        <w:rPr>
          <w:rFonts w:ascii="Arial" w:eastAsia="Arial" w:hAnsi="Arial" w:cs="Arial"/>
          <w:color w:val="000080"/>
          <w:sz w:val="20"/>
          <w:szCs w:val="20"/>
        </w:rPr>
      </w:pPr>
      <w:bookmarkStart w:id="34" w:name="_heading=h.yyutwd6sa2b" w:colFirst="0" w:colLast="0"/>
      <w:bookmarkEnd w:id="34"/>
    </w:p>
    <w:p w14:paraId="53722905" w14:textId="77777777" w:rsidR="00ED76F3" w:rsidRPr="00ED76F3" w:rsidRDefault="00ED76F3" w:rsidP="00ED76F3">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2</w:t>
      </w:r>
      <w:r w:rsidRPr="00ED76F3">
        <w:rPr>
          <w:rFonts w:ascii="Arial" w:eastAsia="Arial" w:hAnsi="Arial" w:cs="Arial"/>
          <w:b/>
          <w:sz w:val="20"/>
          <w:szCs w:val="20"/>
        </w:rPr>
        <w:t>: fases del EC 201222</w:t>
      </w:r>
      <w:r w:rsidR="00D856C0">
        <w:rPr>
          <w:rFonts w:ascii="Arial" w:eastAsia="Arial" w:hAnsi="Arial" w:cs="Arial"/>
          <w:b/>
          <w:sz w:val="20"/>
          <w:szCs w:val="20"/>
        </w:rPr>
        <w:t xml:space="preserve"> (informe EPAR)</w:t>
      </w:r>
    </w:p>
    <w:p w14:paraId="5D9C8CBE" w14:textId="77777777" w:rsidR="00ED76F3" w:rsidRDefault="00ED76F3">
      <w:pPr>
        <w:ind w:left="0" w:hanging="2"/>
        <w:jc w:val="both"/>
        <w:rPr>
          <w:rFonts w:ascii="Arial" w:eastAsia="Arial" w:hAnsi="Arial" w:cs="Arial"/>
          <w:sz w:val="20"/>
          <w:szCs w:val="20"/>
          <w:u w:val="single"/>
        </w:rPr>
      </w:pPr>
      <w:bookmarkStart w:id="35" w:name="_heading=h.g0sszjds8pno" w:colFirst="0" w:colLast="0"/>
      <w:bookmarkEnd w:id="35"/>
    </w:p>
    <w:p w14:paraId="59D02C63" w14:textId="77777777" w:rsidR="009D55C9" w:rsidRDefault="005A57E0">
      <w:pPr>
        <w:ind w:left="0" w:hanging="2"/>
        <w:jc w:val="both"/>
        <w:rPr>
          <w:rFonts w:ascii="Arial" w:eastAsia="Arial" w:hAnsi="Arial" w:cs="Arial"/>
          <w:sz w:val="20"/>
          <w:szCs w:val="20"/>
          <w:u w:val="single"/>
        </w:rPr>
      </w:pPr>
      <w:r>
        <w:rPr>
          <w:rFonts w:ascii="Arial" w:eastAsia="Arial" w:hAnsi="Arial" w:cs="Arial"/>
          <w:sz w:val="20"/>
          <w:szCs w:val="20"/>
          <w:u w:val="single"/>
        </w:rPr>
        <w:t>Participantes del estudio</w:t>
      </w:r>
    </w:p>
    <w:p w14:paraId="2243CA3A" w14:textId="737035FC" w:rsidR="009D55C9" w:rsidRDefault="005A57E0">
      <w:pPr>
        <w:ind w:left="0" w:hanging="2"/>
        <w:jc w:val="both"/>
        <w:rPr>
          <w:rFonts w:ascii="Arial" w:eastAsia="Arial" w:hAnsi="Arial" w:cs="Arial"/>
          <w:sz w:val="20"/>
          <w:szCs w:val="20"/>
        </w:rPr>
      </w:pPr>
      <w:bookmarkStart w:id="36" w:name="_heading=h.tkw6c1ce6bxr" w:colFirst="0" w:colLast="0"/>
      <w:bookmarkEnd w:id="36"/>
      <w:r>
        <w:rPr>
          <w:rFonts w:ascii="Arial" w:eastAsia="Arial" w:hAnsi="Arial" w:cs="Arial"/>
          <w:sz w:val="20"/>
          <w:szCs w:val="20"/>
        </w:rPr>
        <w:t>Se incluyeron en el estudio un total de 22 pacientes con L</w:t>
      </w:r>
      <w:r w:rsidR="008260D9">
        <w:rPr>
          <w:rFonts w:ascii="Arial" w:eastAsia="Arial" w:hAnsi="Arial" w:cs="Arial"/>
          <w:sz w:val="20"/>
          <w:szCs w:val="20"/>
        </w:rPr>
        <w:t>DM</w:t>
      </w:r>
      <w:r>
        <w:rPr>
          <w:rFonts w:ascii="Arial" w:eastAsia="Arial" w:hAnsi="Arial" w:cs="Arial"/>
          <w:sz w:val="20"/>
          <w:szCs w:val="20"/>
        </w:rPr>
        <w:t xml:space="preserve">, 9 con LDM-IT y 13 con LDM-JT, confirmados por la actividad enzimática ARSA y el análisis genético. Todos los pacientes con LDM-IT y algunos con LDM-JT fueron identificados después de que un hermano mayor desarrollara síntomas y </w:t>
      </w:r>
      <w:r w:rsidR="00544E9B">
        <w:rPr>
          <w:rFonts w:ascii="Arial" w:eastAsia="Arial" w:hAnsi="Arial" w:cs="Arial"/>
          <w:sz w:val="20"/>
          <w:szCs w:val="20"/>
        </w:rPr>
        <w:t>tuviera</w:t>
      </w:r>
      <w:r>
        <w:rPr>
          <w:rFonts w:ascii="Arial" w:eastAsia="Arial" w:hAnsi="Arial" w:cs="Arial"/>
          <w:sz w:val="20"/>
          <w:szCs w:val="20"/>
        </w:rPr>
        <w:t xml:space="preserve"> el diagnóstico de LDM, lo que motivó la realización de pruebas a otros miembros de la familia.</w:t>
      </w:r>
      <w:r w:rsidR="001B39A8">
        <w:rPr>
          <w:rFonts w:ascii="Arial" w:eastAsia="Arial" w:hAnsi="Arial" w:cs="Arial"/>
          <w:sz w:val="20"/>
          <w:szCs w:val="20"/>
        </w:rPr>
        <w:t xml:space="preserve"> Dos pacientes del grupo LD</w:t>
      </w:r>
      <w:r w:rsidR="008260D9">
        <w:rPr>
          <w:rFonts w:ascii="Arial" w:eastAsia="Arial" w:hAnsi="Arial" w:cs="Arial"/>
          <w:sz w:val="20"/>
          <w:szCs w:val="20"/>
        </w:rPr>
        <w:t>M</w:t>
      </w:r>
      <w:r w:rsidR="001B39A8">
        <w:rPr>
          <w:rFonts w:ascii="Arial" w:eastAsia="Arial" w:hAnsi="Arial" w:cs="Arial"/>
          <w:sz w:val="20"/>
          <w:szCs w:val="20"/>
        </w:rPr>
        <w:t>-JT no llegaron a recibir el tratamiento y no se incluyeron en el análisis (uno por retirada del consentimiento y otro por rápida progresión).</w:t>
      </w:r>
    </w:p>
    <w:p w14:paraId="1DB1DB01" w14:textId="77777777" w:rsidR="009D55C9" w:rsidRDefault="005A57E0">
      <w:pPr>
        <w:ind w:left="0" w:hanging="2"/>
        <w:jc w:val="both"/>
        <w:rPr>
          <w:rFonts w:ascii="Arial" w:eastAsia="Arial" w:hAnsi="Arial" w:cs="Arial"/>
          <w:sz w:val="20"/>
          <w:szCs w:val="20"/>
        </w:rPr>
      </w:pPr>
      <w:bookmarkStart w:id="37" w:name="_heading=h.2s5i6aolkcmv" w:colFirst="0" w:colLast="0"/>
      <w:bookmarkEnd w:id="37"/>
      <w:r>
        <w:rPr>
          <w:rFonts w:ascii="Arial" w:eastAsia="Arial" w:hAnsi="Arial" w:cs="Arial"/>
          <w:sz w:val="20"/>
          <w:szCs w:val="20"/>
        </w:rPr>
        <w:t>Los 9 pacientes de LDM-IT eran presintomáticos en el momento del reclutamiento (sin deterioro neurológico o sin síntomas o signos de LDM), sin embargo, uno de ellos progresó a sintomático antes del tratamiento con Libmeldy</w:t>
      </w:r>
      <w:r w:rsidR="008260D9" w:rsidRPr="008260D9">
        <w:rPr>
          <w:rFonts w:ascii="Arial" w:eastAsia="Arial" w:hAnsi="Arial" w:cs="Arial"/>
          <w:sz w:val="20"/>
          <w:szCs w:val="20"/>
          <w:vertAlign w:val="superscript"/>
        </w:rPr>
        <w:t>®</w:t>
      </w:r>
      <w:r>
        <w:rPr>
          <w:rFonts w:ascii="Arial" w:eastAsia="Arial" w:hAnsi="Arial" w:cs="Arial"/>
          <w:sz w:val="20"/>
          <w:szCs w:val="20"/>
        </w:rPr>
        <w:t>.</w:t>
      </w:r>
    </w:p>
    <w:bookmarkStart w:id="38" w:name="_heading=h.jfyzxyiqywx" w:colFirst="0" w:colLast="0"/>
    <w:bookmarkEnd w:id="38"/>
    <w:p w14:paraId="4B2B773A" w14:textId="77777777" w:rsidR="009D55C9" w:rsidRDefault="0024715B">
      <w:pPr>
        <w:ind w:left="0" w:hanging="2"/>
        <w:jc w:val="both"/>
        <w:rPr>
          <w:rFonts w:ascii="Arial" w:eastAsia="Arial" w:hAnsi="Arial" w:cs="Arial"/>
          <w:sz w:val="20"/>
          <w:szCs w:val="20"/>
        </w:rPr>
      </w:pPr>
      <w:sdt>
        <w:sdtPr>
          <w:tag w:val="goog_rdk_2"/>
          <w:id w:val="-988705463"/>
        </w:sdtPr>
        <w:sdtEndPr>
          <w:rPr>
            <w:rFonts w:ascii="Arial" w:eastAsia="Arial" w:hAnsi="Arial" w:cs="Arial"/>
            <w:sz w:val="20"/>
            <w:szCs w:val="20"/>
          </w:rPr>
        </w:sdtEndPr>
        <w:sdtContent>
          <w:r w:rsidR="005A57E0" w:rsidRPr="00AE4A78">
            <w:rPr>
              <w:rFonts w:ascii="Arial" w:eastAsia="Arial" w:hAnsi="Arial" w:cs="Arial"/>
              <w:sz w:val="20"/>
              <w:szCs w:val="20"/>
            </w:rPr>
            <w:t>En el caso de la LDM-JT, 4 eran presintomáticos y 8 sintomáticos tempranos, definidos como sujetos identificados dentro de los 6 meses siguientes a la aparición de los primeros síntomas</w:t>
          </w:r>
          <w:r w:rsidR="00EC0E1E">
            <w:rPr>
              <w:rFonts w:ascii="Arial" w:eastAsia="Arial" w:hAnsi="Arial" w:cs="Arial"/>
              <w:sz w:val="20"/>
              <w:szCs w:val="20"/>
            </w:rPr>
            <w:t>,</w:t>
          </w:r>
          <w:r w:rsidR="005A57E0" w:rsidRPr="00AE4A78">
            <w:rPr>
              <w:rFonts w:ascii="Arial" w:eastAsia="Arial" w:hAnsi="Arial" w:cs="Arial"/>
              <w:sz w:val="20"/>
              <w:szCs w:val="20"/>
            </w:rPr>
            <w:t xml:space="preserve"> o sujetos con un CI ≥70 y la capacidad de caminar de forma independiente durante ≥10 pasos.</w:t>
          </w:r>
        </w:sdtContent>
      </w:sdt>
    </w:p>
    <w:p w14:paraId="5D89B8F2" w14:textId="77777777" w:rsidR="009D55C9" w:rsidRDefault="009D55C9">
      <w:pPr>
        <w:ind w:left="0" w:hanging="2"/>
        <w:jc w:val="both"/>
        <w:rPr>
          <w:rFonts w:ascii="Arial" w:eastAsia="Arial" w:hAnsi="Arial" w:cs="Arial"/>
          <w:color w:val="000080"/>
          <w:sz w:val="20"/>
          <w:szCs w:val="20"/>
        </w:rPr>
      </w:pPr>
      <w:bookmarkStart w:id="39" w:name="_heading=h.tgsohwmgto95" w:colFirst="0" w:colLast="0"/>
      <w:bookmarkEnd w:id="39"/>
    </w:p>
    <w:p w14:paraId="078903B2" w14:textId="77777777" w:rsidR="009D55C9" w:rsidRPr="00ED76F3" w:rsidRDefault="005A57E0">
      <w:pPr>
        <w:ind w:left="0" w:hanging="2"/>
        <w:jc w:val="both"/>
        <w:rPr>
          <w:rFonts w:ascii="Arial" w:eastAsia="Arial" w:hAnsi="Arial" w:cs="Arial"/>
          <w:sz w:val="20"/>
          <w:szCs w:val="20"/>
          <w:u w:val="single"/>
        </w:rPr>
      </w:pPr>
      <w:bookmarkStart w:id="40" w:name="_heading=h.y5ne8smkr05o" w:colFirst="0" w:colLast="0"/>
      <w:bookmarkEnd w:id="40"/>
      <w:r w:rsidRPr="00ED76F3">
        <w:rPr>
          <w:rFonts w:ascii="Arial" w:eastAsia="Arial" w:hAnsi="Arial" w:cs="Arial"/>
          <w:sz w:val="20"/>
          <w:szCs w:val="20"/>
          <w:u w:val="single"/>
        </w:rPr>
        <w:t>Brazo comparador (cohorte histórica de pacientes no tratados)</w:t>
      </w:r>
    </w:p>
    <w:p w14:paraId="2E5F66BB" w14:textId="77777777" w:rsidR="009D55C9" w:rsidRDefault="005A57E0">
      <w:pPr>
        <w:ind w:left="0" w:hanging="2"/>
        <w:jc w:val="both"/>
        <w:rPr>
          <w:rFonts w:ascii="Arial" w:eastAsia="Arial" w:hAnsi="Arial" w:cs="Arial"/>
          <w:sz w:val="20"/>
          <w:szCs w:val="20"/>
        </w:rPr>
      </w:pPr>
      <w:bookmarkStart w:id="41" w:name="_heading=h.ddtobvpr9see" w:colFirst="0" w:colLast="0"/>
      <w:bookmarkEnd w:id="41"/>
      <w:r>
        <w:rPr>
          <w:rFonts w:ascii="Arial" w:eastAsia="Arial" w:hAnsi="Arial" w:cs="Arial"/>
          <w:sz w:val="20"/>
          <w:szCs w:val="20"/>
        </w:rPr>
        <w:t>Los datos del estudio TIGET</w:t>
      </w:r>
      <w:r w:rsidR="00AE4A78">
        <w:rPr>
          <w:rFonts w:ascii="Arial" w:eastAsia="Arial" w:hAnsi="Arial" w:cs="Arial"/>
          <w:sz w:val="20"/>
          <w:szCs w:val="20"/>
        </w:rPr>
        <w:t>-</w:t>
      </w:r>
      <w:r>
        <w:rPr>
          <w:rFonts w:ascii="Arial" w:eastAsia="Arial" w:hAnsi="Arial" w:cs="Arial"/>
          <w:sz w:val="20"/>
          <w:szCs w:val="20"/>
        </w:rPr>
        <w:t>NHx consisten en una cohorte de 31 pacientes con LDM-IT y LDM-JT no tratados. Se trata de una mezcla de datos transversales y longitudinales, en caso de algunos pacientes aportados en múltiples puntos temporales, mientras que en otros se obtuvieron de una sola visita, posiblemente porque no pudieron acudir a las visitas debido a la progresión de la enfermedad o por haber fallecido precozmente.</w:t>
      </w:r>
      <w:bookmarkStart w:id="42" w:name="_heading=h.yqf1q4o4onf5" w:colFirst="0" w:colLast="0"/>
      <w:bookmarkEnd w:id="42"/>
      <w:r w:rsidR="00EC0E1E">
        <w:rPr>
          <w:rFonts w:ascii="Arial" w:eastAsia="Arial" w:hAnsi="Arial" w:cs="Arial"/>
          <w:sz w:val="20"/>
          <w:szCs w:val="20"/>
        </w:rPr>
        <w:t xml:space="preserve"> </w:t>
      </w:r>
      <w:r>
        <w:rPr>
          <w:rFonts w:ascii="Arial" w:eastAsia="Arial" w:hAnsi="Arial" w:cs="Arial"/>
          <w:sz w:val="20"/>
          <w:szCs w:val="20"/>
        </w:rPr>
        <w:t>Se dispuso de datos de hermanos emparejados para 9 sujetos tratados en el estudio 201222.</w:t>
      </w:r>
    </w:p>
    <w:p w14:paraId="1CF4EE13" w14:textId="77777777" w:rsidR="009D55C9" w:rsidRDefault="009D55C9">
      <w:pPr>
        <w:ind w:left="0" w:hanging="2"/>
        <w:jc w:val="both"/>
        <w:rPr>
          <w:rFonts w:ascii="Arial" w:eastAsia="Arial" w:hAnsi="Arial" w:cs="Arial"/>
          <w:color w:val="000080"/>
          <w:sz w:val="20"/>
          <w:szCs w:val="20"/>
        </w:rPr>
      </w:pPr>
      <w:bookmarkStart w:id="43" w:name="_heading=h.o2ztlx5cs9r0" w:colFirst="0" w:colLast="0"/>
      <w:bookmarkEnd w:id="43"/>
    </w:p>
    <w:p w14:paraId="7B5E1615" w14:textId="77777777" w:rsidR="009D55C9" w:rsidRPr="003D1ECE" w:rsidRDefault="005A57E0">
      <w:pPr>
        <w:ind w:left="0" w:hanging="2"/>
        <w:jc w:val="both"/>
        <w:rPr>
          <w:rFonts w:ascii="Arial" w:eastAsia="Arial" w:hAnsi="Arial" w:cs="Arial"/>
          <w:b/>
          <w:sz w:val="20"/>
          <w:szCs w:val="20"/>
          <w:u w:val="single"/>
        </w:rPr>
      </w:pPr>
      <w:bookmarkStart w:id="44" w:name="_heading=h.tkueiui3ixst" w:colFirst="0" w:colLast="0"/>
      <w:bookmarkEnd w:id="44"/>
      <w:r w:rsidRPr="003D1ECE">
        <w:rPr>
          <w:rFonts w:ascii="Arial" w:eastAsia="Arial" w:hAnsi="Arial" w:cs="Arial"/>
          <w:b/>
          <w:sz w:val="20"/>
          <w:szCs w:val="20"/>
          <w:u w:val="single"/>
        </w:rPr>
        <w:t>Acitividad de la enzima ARSA en el líquido cefalorraquídeo (LCR)</w:t>
      </w:r>
      <w:r w:rsidR="00ED76F3" w:rsidRPr="003D1ECE">
        <w:rPr>
          <w:rFonts w:ascii="Arial" w:eastAsia="Arial" w:hAnsi="Arial" w:cs="Arial"/>
          <w:b/>
          <w:sz w:val="20"/>
          <w:szCs w:val="20"/>
        </w:rPr>
        <w:t>:</w:t>
      </w:r>
    </w:p>
    <w:p w14:paraId="638212E5" w14:textId="77777777" w:rsidR="009D55C9" w:rsidRDefault="009D55C9">
      <w:pPr>
        <w:ind w:left="0" w:hanging="2"/>
        <w:jc w:val="both"/>
        <w:rPr>
          <w:rFonts w:ascii="Arial" w:eastAsia="Arial" w:hAnsi="Arial" w:cs="Arial"/>
          <w:color w:val="000080"/>
          <w:sz w:val="20"/>
          <w:szCs w:val="20"/>
        </w:rPr>
      </w:pPr>
      <w:bookmarkStart w:id="45" w:name="_heading=h.62eels844y99" w:colFirst="0" w:colLast="0"/>
      <w:bookmarkEnd w:id="45"/>
    </w:p>
    <w:p w14:paraId="101BD15B" w14:textId="77777777" w:rsidR="009D55C9" w:rsidRPr="00ED76F3" w:rsidRDefault="0024715B" w:rsidP="00ED76F3">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1763454015"/>
        </w:sdtPr>
        <w:sdtEndPr/>
        <w:sdtContent>
          <w:r w:rsidR="00ED76F3" w:rsidRPr="00ED76F3">
            <w:rPr>
              <w:rFonts w:ascii="Arial" w:eastAsia="Arial" w:hAnsi="Arial" w:cs="Arial"/>
              <w:sz w:val="20"/>
              <w:szCs w:val="20"/>
            </w:rPr>
            <w:t>Leucodistrofia metacromática variante infantil tardía</w:t>
          </w:r>
          <w:r w:rsidR="00ED76F3">
            <w:rPr>
              <w:rFonts w:ascii="Arial" w:eastAsia="Arial" w:hAnsi="Arial" w:cs="Arial"/>
              <w:sz w:val="20"/>
              <w:szCs w:val="20"/>
            </w:rPr>
            <w:t xml:space="preserve"> (</w:t>
          </w:r>
        </w:sdtContent>
      </w:sdt>
      <w:r w:rsidR="005A57E0" w:rsidRPr="00ED76F3">
        <w:rPr>
          <w:rFonts w:ascii="Arial" w:eastAsia="Arial" w:hAnsi="Arial" w:cs="Arial"/>
          <w:sz w:val="20"/>
          <w:szCs w:val="20"/>
        </w:rPr>
        <w:t>LDM-IT</w:t>
      </w:r>
      <w:r w:rsidR="00ED76F3">
        <w:rPr>
          <w:rFonts w:ascii="Arial" w:eastAsia="Arial" w:hAnsi="Arial" w:cs="Arial"/>
          <w:sz w:val="20"/>
          <w:szCs w:val="20"/>
        </w:rPr>
        <w:t>)</w:t>
      </w:r>
      <w:r w:rsidR="00ED76F3" w:rsidRPr="00ED76F3">
        <w:rPr>
          <w:rFonts w:ascii="Arial" w:eastAsia="Arial" w:hAnsi="Arial" w:cs="Arial"/>
          <w:sz w:val="20"/>
          <w:szCs w:val="20"/>
        </w:rPr>
        <w:t>.</w:t>
      </w:r>
    </w:p>
    <w:p w14:paraId="163B54B2" w14:textId="77777777" w:rsidR="00ED76F3" w:rsidRPr="00D169D6" w:rsidRDefault="00ED76F3">
      <w:pPr>
        <w:ind w:left="0" w:hanging="2"/>
        <w:jc w:val="both"/>
        <w:rPr>
          <w:rFonts w:ascii="Arial" w:eastAsia="Arial" w:hAnsi="Arial" w:cs="Arial"/>
          <w:b/>
          <w:sz w:val="20"/>
          <w:szCs w:val="20"/>
        </w:rPr>
      </w:pPr>
      <w:bookmarkStart w:id="46" w:name="_heading=h.7va8wj2t0gmz" w:colFirst="0" w:colLast="0"/>
      <w:bookmarkEnd w:id="46"/>
    </w:p>
    <w:p w14:paraId="7D2CF2D3"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Basalmente los niveles de actividad de ARSA en el LCR en todos los sujetos de </w:t>
      </w:r>
      <w:r w:rsidR="00ED76F3" w:rsidRPr="00ED76F3">
        <w:rPr>
          <w:rFonts w:ascii="Arial" w:eastAsia="Arial" w:hAnsi="Arial" w:cs="Arial"/>
          <w:sz w:val="20"/>
          <w:szCs w:val="20"/>
        </w:rPr>
        <w:t xml:space="preserve">LDM-IT </w:t>
      </w:r>
      <w:r>
        <w:rPr>
          <w:rFonts w:ascii="Arial" w:eastAsia="Arial" w:hAnsi="Arial" w:cs="Arial"/>
          <w:sz w:val="20"/>
          <w:szCs w:val="20"/>
        </w:rPr>
        <w:t>estaban por debajo del límite inferior de detección (LID) (0,0032 nmol/mg/h).</w:t>
      </w:r>
    </w:p>
    <w:p w14:paraId="406C7167" w14:textId="77777777" w:rsidR="009D55C9" w:rsidRDefault="005A57E0">
      <w:pPr>
        <w:ind w:left="0" w:hanging="2"/>
        <w:jc w:val="both"/>
        <w:rPr>
          <w:rFonts w:ascii="Arial" w:eastAsia="Arial" w:hAnsi="Arial" w:cs="Arial"/>
          <w:sz w:val="20"/>
          <w:szCs w:val="20"/>
        </w:rPr>
      </w:pPr>
      <w:bookmarkStart w:id="47" w:name="_heading=h.ntri63t8f2up" w:colFirst="0" w:colLast="0"/>
      <w:bookmarkEnd w:id="47"/>
      <w:r>
        <w:rPr>
          <w:rFonts w:ascii="Arial" w:eastAsia="Arial" w:hAnsi="Arial" w:cs="Arial"/>
          <w:sz w:val="20"/>
          <w:szCs w:val="20"/>
        </w:rPr>
        <w:t xml:space="preserve">Después del tratamiento, los niveles de actividad de ARSA en el LCR fueron detectables en </w:t>
      </w:r>
      <w:r w:rsidR="00D856C0">
        <w:rPr>
          <w:rFonts w:ascii="Arial" w:eastAsia="Arial" w:hAnsi="Arial" w:cs="Arial"/>
          <w:sz w:val="20"/>
          <w:szCs w:val="20"/>
        </w:rPr>
        <w:t xml:space="preserve">todos los pacientes en </w:t>
      </w:r>
      <w:r>
        <w:rPr>
          <w:rFonts w:ascii="Arial" w:eastAsia="Arial" w:hAnsi="Arial" w:cs="Arial"/>
          <w:sz w:val="20"/>
          <w:szCs w:val="20"/>
        </w:rPr>
        <w:t xml:space="preserve">el mes 6 y se alcanzaron niveles de 0,9745 nmol/mg/h al cabo de 1 año tras el tratamiento. La actividad media de ARSA en el LCR para los pacientes con LDM-IT medida 5 años después del tratamiento fue de 0,4726 nmol/mg/h. </w:t>
      </w:r>
    </w:p>
    <w:p w14:paraId="1B4753DD" w14:textId="77777777" w:rsidR="009D55C9" w:rsidRDefault="005A57E0">
      <w:pPr>
        <w:ind w:left="0" w:hanging="2"/>
        <w:jc w:val="both"/>
        <w:rPr>
          <w:rFonts w:ascii="Arial" w:eastAsia="Arial" w:hAnsi="Arial" w:cs="Arial"/>
          <w:color w:val="000080"/>
          <w:sz w:val="20"/>
          <w:szCs w:val="20"/>
        </w:rPr>
      </w:pPr>
      <w:bookmarkStart w:id="48" w:name="_heading=h.t2srnb62wt15" w:colFirst="0" w:colLast="0"/>
      <w:bookmarkStart w:id="49" w:name="_heading=h.gglzj4vetcbu" w:colFirst="0" w:colLast="0"/>
      <w:bookmarkEnd w:id="48"/>
      <w:bookmarkEnd w:id="49"/>
      <w:r>
        <w:rPr>
          <w:rFonts w:ascii="Arial" w:eastAsia="Arial" w:hAnsi="Arial" w:cs="Arial"/>
          <w:noProof/>
          <w:color w:val="000080"/>
          <w:sz w:val="20"/>
          <w:szCs w:val="20"/>
        </w:rPr>
        <w:drawing>
          <wp:inline distT="114300" distB="114300" distL="114300" distR="114300" wp14:anchorId="2D6CA25B" wp14:editId="3B9D503B">
            <wp:extent cx="5547360" cy="3467100"/>
            <wp:effectExtent l="0" t="0" r="0" b="0"/>
            <wp:docPr id="1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t="12144" b="7774"/>
                    <a:stretch/>
                  </pic:blipFill>
                  <pic:spPr bwMode="auto">
                    <a:xfrm>
                      <a:off x="0" y="0"/>
                      <a:ext cx="5548955" cy="3468097"/>
                    </a:xfrm>
                    <a:prstGeom prst="rect">
                      <a:avLst/>
                    </a:prstGeom>
                    <a:ln>
                      <a:noFill/>
                    </a:ln>
                    <a:extLst>
                      <a:ext uri="{53640926-AAD7-44D8-BBD7-CCE9431645EC}">
                        <a14:shadowObscured xmlns:a14="http://schemas.microsoft.com/office/drawing/2010/main"/>
                      </a:ext>
                    </a:extLst>
                  </pic:spPr>
                </pic:pic>
              </a:graphicData>
            </a:graphic>
          </wp:inline>
        </w:drawing>
      </w:r>
    </w:p>
    <w:p w14:paraId="1A68F7CA" w14:textId="77777777" w:rsidR="00D169D6" w:rsidRDefault="00D856C0" w:rsidP="00D856C0">
      <w:pPr>
        <w:ind w:left="0" w:hanging="2"/>
        <w:jc w:val="center"/>
        <w:rPr>
          <w:rFonts w:ascii="Arial" w:eastAsia="Arial" w:hAnsi="Arial" w:cs="Arial"/>
          <w:b/>
          <w:sz w:val="20"/>
          <w:szCs w:val="20"/>
        </w:rPr>
      </w:pPr>
      <w:bookmarkStart w:id="50" w:name="_heading=h.ii0rkdaoihr5" w:colFirst="0" w:colLast="0"/>
      <w:bookmarkEnd w:id="50"/>
      <w:r w:rsidRPr="00D856C0">
        <w:rPr>
          <w:rFonts w:ascii="Arial" w:eastAsia="Arial" w:hAnsi="Arial" w:cs="Arial"/>
          <w:b/>
          <w:sz w:val="20"/>
          <w:szCs w:val="20"/>
        </w:rPr>
        <w:t xml:space="preserve"> </w:t>
      </w:r>
    </w:p>
    <w:p w14:paraId="47F6C431" w14:textId="77777777" w:rsidR="009D55C9" w:rsidRDefault="00D856C0" w:rsidP="00D856C0">
      <w:pPr>
        <w:ind w:left="0" w:hanging="2"/>
        <w:jc w:val="center"/>
        <w:rPr>
          <w:rFonts w:ascii="Arial" w:eastAsia="Arial" w:hAnsi="Arial" w:cs="Arial"/>
          <w:color w:val="000080"/>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3</w:t>
      </w:r>
      <w:r w:rsidRPr="00ED76F3">
        <w:rPr>
          <w:rFonts w:ascii="Arial" w:eastAsia="Arial" w:hAnsi="Arial" w:cs="Arial"/>
          <w:b/>
          <w:sz w:val="20"/>
          <w:szCs w:val="20"/>
        </w:rPr>
        <w:t xml:space="preserve">: </w:t>
      </w:r>
      <w:r w:rsidR="00D169D6">
        <w:rPr>
          <w:rFonts w:ascii="Arial" w:eastAsia="Arial" w:hAnsi="Arial" w:cs="Arial"/>
          <w:b/>
          <w:sz w:val="20"/>
          <w:szCs w:val="20"/>
        </w:rPr>
        <w:t>Evolución de la actividad ARSA en LCR en LDM-IT</w:t>
      </w:r>
      <w:r>
        <w:rPr>
          <w:rFonts w:ascii="Arial" w:eastAsia="Arial" w:hAnsi="Arial" w:cs="Arial"/>
          <w:b/>
          <w:sz w:val="20"/>
          <w:szCs w:val="20"/>
        </w:rPr>
        <w:t xml:space="preserve"> (informe EPAR)</w:t>
      </w:r>
      <w:r w:rsidR="00D169D6">
        <w:rPr>
          <w:rFonts w:ascii="Arial" w:eastAsia="Arial" w:hAnsi="Arial" w:cs="Arial"/>
          <w:b/>
          <w:sz w:val="20"/>
          <w:szCs w:val="20"/>
        </w:rPr>
        <w:t>.</w:t>
      </w:r>
    </w:p>
    <w:p w14:paraId="60D17466" w14:textId="77777777" w:rsidR="00D856C0" w:rsidRDefault="00D856C0">
      <w:pPr>
        <w:ind w:left="0" w:hanging="2"/>
        <w:jc w:val="both"/>
        <w:rPr>
          <w:rFonts w:ascii="Arial" w:eastAsia="Arial" w:hAnsi="Arial" w:cs="Arial"/>
          <w:color w:val="000080"/>
          <w:sz w:val="20"/>
          <w:szCs w:val="20"/>
        </w:rPr>
      </w:pPr>
    </w:p>
    <w:bookmarkStart w:id="51" w:name="_heading=h.ilscad4tcf0f" w:colFirst="0" w:colLast="0"/>
    <w:bookmarkEnd w:id="51"/>
    <w:p w14:paraId="5E6B5CC5" w14:textId="77777777" w:rsidR="00D169D6" w:rsidRPr="00ED76F3" w:rsidRDefault="0024715B" w:rsidP="00D169D6">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744607389"/>
        </w:sdtPr>
        <w:sdtEndPr/>
        <w:sdtContent>
          <w:r w:rsidR="00D169D6" w:rsidRPr="00ED76F3">
            <w:rPr>
              <w:rFonts w:ascii="Arial" w:eastAsia="Arial" w:hAnsi="Arial" w:cs="Arial"/>
              <w:sz w:val="20"/>
              <w:szCs w:val="20"/>
            </w:rPr>
            <w:t xml:space="preserve">Leucodistrofia metacromática variante </w:t>
          </w:r>
          <w:r w:rsidR="00D169D6">
            <w:rPr>
              <w:rFonts w:ascii="Arial" w:eastAsia="Arial" w:hAnsi="Arial" w:cs="Arial"/>
              <w:sz w:val="20"/>
              <w:szCs w:val="20"/>
            </w:rPr>
            <w:t>juvenil temprana (</w:t>
          </w:r>
        </w:sdtContent>
      </w:sdt>
      <w:r w:rsidR="00D169D6">
        <w:rPr>
          <w:rFonts w:ascii="Arial" w:eastAsia="Arial" w:hAnsi="Arial" w:cs="Arial"/>
          <w:sz w:val="20"/>
          <w:szCs w:val="20"/>
        </w:rPr>
        <w:t>LDM-J</w:t>
      </w:r>
      <w:r w:rsidR="00D169D6" w:rsidRPr="00ED76F3">
        <w:rPr>
          <w:rFonts w:ascii="Arial" w:eastAsia="Arial" w:hAnsi="Arial" w:cs="Arial"/>
          <w:sz w:val="20"/>
          <w:szCs w:val="20"/>
        </w:rPr>
        <w:t>T</w:t>
      </w:r>
      <w:r w:rsidR="00D169D6">
        <w:rPr>
          <w:rFonts w:ascii="Arial" w:eastAsia="Arial" w:hAnsi="Arial" w:cs="Arial"/>
          <w:sz w:val="20"/>
          <w:szCs w:val="20"/>
        </w:rPr>
        <w:t>)</w:t>
      </w:r>
      <w:r w:rsidR="00D169D6" w:rsidRPr="00ED76F3">
        <w:rPr>
          <w:rFonts w:ascii="Arial" w:eastAsia="Arial" w:hAnsi="Arial" w:cs="Arial"/>
          <w:sz w:val="20"/>
          <w:szCs w:val="20"/>
        </w:rPr>
        <w:t>.</w:t>
      </w:r>
    </w:p>
    <w:p w14:paraId="57D2EB19" w14:textId="77777777" w:rsidR="00D169D6" w:rsidRPr="00D169D6" w:rsidRDefault="00D169D6" w:rsidP="00D169D6">
      <w:pPr>
        <w:pStyle w:val="Prrafodelista"/>
        <w:ind w:leftChars="0" w:left="718" w:firstLineChars="0" w:firstLine="0"/>
        <w:jc w:val="both"/>
        <w:rPr>
          <w:rFonts w:eastAsia="Arial"/>
        </w:rPr>
      </w:pPr>
    </w:p>
    <w:p w14:paraId="51920FBF" w14:textId="77777777" w:rsidR="009D55C9" w:rsidRDefault="005A57E0">
      <w:pPr>
        <w:ind w:left="0" w:hanging="2"/>
        <w:jc w:val="both"/>
        <w:rPr>
          <w:rFonts w:ascii="Arial" w:eastAsia="Arial" w:hAnsi="Arial" w:cs="Arial"/>
          <w:sz w:val="20"/>
          <w:szCs w:val="20"/>
        </w:rPr>
      </w:pPr>
      <w:bookmarkStart w:id="52" w:name="_heading=h.wadfsrbci915" w:colFirst="0" w:colLast="0"/>
      <w:bookmarkEnd w:id="52"/>
      <w:r>
        <w:rPr>
          <w:rFonts w:ascii="Arial" w:eastAsia="Arial" w:hAnsi="Arial" w:cs="Arial"/>
          <w:sz w:val="20"/>
          <w:szCs w:val="20"/>
        </w:rPr>
        <w:t>En este grupo de pacientes los niveles de actividad ARSA en el LCR aumentaron desde niveles por debajo del LID hasta estar dentro de los rangos reportados para los sujetos sanos. Los niveles de actividad ARSA en todos los pacientes eran detectables en el mes 6, con un ni</w:t>
      </w:r>
      <w:r w:rsidR="00BB4B0A">
        <w:rPr>
          <w:rFonts w:ascii="Arial" w:eastAsia="Arial" w:hAnsi="Arial" w:cs="Arial"/>
          <w:sz w:val="20"/>
          <w:szCs w:val="20"/>
        </w:rPr>
        <w:t>vel medio de 0,47 nmol/mg/h (IC</w:t>
      </w:r>
      <w:r>
        <w:rPr>
          <w:rFonts w:ascii="Arial" w:eastAsia="Arial" w:hAnsi="Arial" w:cs="Arial"/>
          <w:sz w:val="20"/>
          <w:szCs w:val="20"/>
        </w:rPr>
        <w:t>95%: 0,34</w:t>
      </w:r>
      <w:r w:rsidR="00BB4B0A">
        <w:rPr>
          <w:rFonts w:ascii="Arial" w:eastAsia="Arial" w:hAnsi="Arial" w:cs="Arial"/>
          <w:sz w:val="20"/>
          <w:szCs w:val="20"/>
        </w:rPr>
        <w:t xml:space="preserve"> a</w:t>
      </w:r>
      <w:r>
        <w:rPr>
          <w:rFonts w:ascii="Arial" w:eastAsia="Arial" w:hAnsi="Arial" w:cs="Arial"/>
          <w:sz w:val="20"/>
          <w:szCs w:val="20"/>
        </w:rPr>
        <w:t xml:space="preserve"> 0,65) y un nivel medio de 0,6352 nmol/mg/h un año después del tratamiento. A los 5 años, la actividad</w:t>
      </w:r>
      <w:r w:rsidR="00AE4A78">
        <w:rPr>
          <w:rFonts w:ascii="Arial" w:eastAsia="Arial" w:hAnsi="Arial" w:cs="Arial"/>
          <w:sz w:val="20"/>
          <w:szCs w:val="20"/>
        </w:rPr>
        <w:t xml:space="preserve"> </w:t>
      </w:r>
      <w:r>
        <w:rPr>
          <w:rFonts w:ascii="Arial" w:eastAsia="Arial" w:hAnsi="Arial" w:cs="Arial"/>
          <w:sz w:val="20"/>
          <w:szCs w:val="20"/>
        </w:rPr>
        <w:t xml:space="preserve">media de ARSA en el LCR era de 1,67 nmol/mg/h para el total de pacientes con LDM-JT. </w:t>
      </w:r>
    </w:p>
    <w:p w14:paraId="6B730147" w14:textId="77777777" w:rsidR="009D55C9" w:rsidRDefault="005A57E0" w:rsidP="00D169D6">
      <w:pPr>
        <w:ind w:left="0" w:hanging="2"/>
        <w:jc w:val="center"/>
        <w:rPr>
          <w:rFonts w:ascii="Arial" w:eastAsia="Arial" w:hAnsi="Arial" w:cs="Arial"/>
          <w:color w:val="000080"/>
          <w:sz w:val="20"/>
          <w:szCs w:val="20"/>
        </w:rPr>
      </w:pPr>
      <w:bookmarkStart w:id="53" w:name="_heading=h.dwmsjsjsuovk" w:colFirst="0" w:colLast="0"/>
      <w:bookmarkStart w:id="54" w:name="_heading=h.gzwplk7la3wp" w:colFirst="0" w:colLast="0"/>
      <w:bookmarkStart w:id="55" w:name="_heading=h.wfhcvpj6kt06" w:colFirst="0" w:colLast="0"/>
      <w:bookmarkEnd w:id="53"/>
      <w:bookmarkEnd w:id="54"/>
      <w:bookmarkEnd w:id="55"/>
      <w:r>
        <w:rPr>
          <w:rFonts w:ascii="Arial" w:eastAsia="Arial" w:hAnsi="Arial" w:cs="Arial"/>
          <w:noProof/>
          <w:color w:val="000080"/>
          <w:sz w:val="20"/>
          <w:szCs w:val="20"/>
        </w:rPr>
        <w:drawing>
          <wp:inline distT="114300" distB="114300" distL="114300" distR="114300" wp14:anchorId="1D1BB2BD" wp14:editId="4AA4C531">
            <wp:extent cx="3688080" cy="2788920"/>
            <wp:effectExtent l="0" t="0" r="7620" b="0"/>
            <wp:docPr id="10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l="631" r="38335" b="17654"/>
                    <a:stretch/>
                  </pic:blipFill>
                  <pic:spPr bwMode="auto">
                    <a:xfrm>
                      <a:off x="0" y="0"/>
                      <a:ext cx="3688080" cy="2788920"/>
                    </a:xfrm>
                    <a:prstGeom prst="rect">
                      <a:avLst/>
                    </a:prstGeom>
                    <a:ln>
                      <a:noFill/>
                    </a:ln>
                    <a:extLst>
                      <a:ext uri="{53640926-AAD7-44D8-BBD7-CCE9431645EC}">
                        <a14:shadowObscured xmlns:a14="http://schemas.microsoft.com/office/drawing/2010/main"/>
                      </a:ext>
                    </a:extLst>
                  </pic:spPr>
                </pic:pic>
              </a:graphicData>
            </a:graphic>
          </wp:inline>
        </w:drawing>
      </w:r>
    </w:p>
    <w:p w14:paraId="3604FA67" w14:textId="77777777" w:rsidR="00D169D6" w:rsidRDefault="00D169D6">
      <w:pPr>
        <w:ind w:left="0" w:hanging="2"/>
        <w:jc w:val="center"/>
        <w:rPr>
          <w:rFonts w:ascii="Arial" w:eastAsia="Arial" w:hAnsi="Arial" w:cs="Arial"/>
          <w:color w:val="000080"/>
          <w:sz w:val="20"/>
          <w:szCs w:val="20"/>
        </w:rPr>
      </w:pPr>
    </w:p>
    <w:p w14:paraId="780713C3" w14:textId="77777777" w:rsidR="00D169D6" w:rsidRDefault="00D169D6" w:rsidP="009F57B2">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4</w:t>
      </w:r>
      <w:r w:rsidRPr="00ED76F3">
        <w:rPr>
          <w:rFonts w:ascii="Arial" w:eastAsia="Arial" w:hAnsi="Arial" w:cs="Arial"/>
          <w:b/>
          <w:sz w:val="20"/>
          <w:szCs w:val="20"/>
        </w:rPr>
        <w:t xml:space="preserve">: </w:t>
      </w:r>
      <w:r>
        <w:rPr>
          <w:rFonts w:ascii="Arial" w:eastAsia="Arial" w:hAnsi="Arial" w:cs="Arial"/>
          <w:b/>
          <w:sz w:val="20"/>
          <w:szCs w:val="20"/>
        </w:rPr>
        <w:t xml:space="preserve">Evolución de la actividad ARSA en LCR en pacientes </w:t>
      </w:r>
      <w:r w:rsidRPr="001969A3">
        <w:rPr>
          <w:rFonts w:ascii="Arial" w:eastAsia="Arial" w:hAnsi="Arial" w:cs="Arial"/>
          <w:b/>
          <w:sz w:val="20"/>
          <w:szCs w:val="20"/>
          <w:u w:val="single"/>
        </w:rPr>
        <w:t>presintomáticos</w:t>
      </w:r>
      <w:r>
        <w:rPr>
          <w:rFonts w:ascii="Arial" w:eastAsia="Arial" w:hAnsi="Arial" w:cs="Arial"/>
          <w:b/>
          <w:sz w:val="20"/>
          <w:szCs w:val="20"/>
        </w:rPr>
        <w:t xml:space="preserve"> con LDM-JT (informe EPAR)</w:t>
      </w:r>
    </w:p>
    <w:p w14:paraId="428E1195" w14:textId="77777777" w:rsidR="001969A3" w:rsidRDefault="001969A3" w:rsidP="009F57B2">
      <w:pPr>
        <w:ind w:left="0" w:hanging="2"/>
        <w:jc w:val="center"/>
        <w:rPr>
          <w:rFonts w:ascii="Arial" w:eastAsia="Arial" w:hAnsi="Arial" w:cs="Arial"/>
          <w:b/>
          <w:sz w:val="20"/>
          <w:szCs w:val="20"/>
        </w:rPr>
      </w:pPr>
      <w:r>
        <w:rPr>
          <w:rFonts w:ascii="Arial" w:eastAsia="Arial" w:hAnsi="Arial" w:cs="Arial"/>
          <w:b/>
          <w:noProof/>
          <w:sz w:val="20"/>
          <w:szCs w:val="20"/>
        </w:rPr>
        <w:drawing>
          <wp:inline distT="0" distB="0" distL="0" distR="0" wp14:anchorId="2E2DBC0C" wp14:editId="2B93EAA2">
            <wp:extent cx="5549265" cy="32036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265" cy="3203661"/>
                    </a:xfrm>
                    <a:prstGeom prst="rect">
                      <a:avLst/>
                    </a:prstGeom>
                    <a:noFill/>
                    <a:ln>
                      <a:noFill/>
                    </a:ln>
                  </pic:spPr>
                </pic:pic>
              </a:graphicData>
            </a:graphic>
          </wp:inline>
        </w:drawing>
      </w:r>
    </w:p>
    <w:p w14:paraId="5F4550C7" w14:textId="77777777" w:rsidR="003D1ECE" w:rsidRDefault="003D1ECE" w:rsidP="003D1ECE">
      <w:pPr>
        <w:ind w:left="0" w:hanging="2"/>
        <w:jc w:val="center"/>
        <w:rPr>
          <w:rFonts w:ascii="Arial" w:eastAsia="Arial" w:hAnsi="Arial" w:cs="Arial"/>
          <w:color w:val="000080"/>
          <w:sz w:val="20"/>
          <w:szCs w:val="20"/>
        </w:rPr>
      </w:pPr>
      <w:bookmarkStart w:id="56" w:name="_heading=h.ecr8yu9hblsc" w:colFirst="0" w:colLast="0"/>
      <w:bookmarkEnd w:id="56"/>
      <w:r w:rsidRPr="00ED76F3">
        <w:rPr>
          <w:rFonts w:ascii="Arial" w:eastAsia="Arial" w:hAnsi="Arial" w:cs="Arial"/>
          <w:b/>
          <w:sz w:val="20"/>
          <w:szCs w:val="20"/>
        </w:rPr>
        <w:t>Figura</w:t>
      </w:r>
      <w:r w:rsidR="00786169">
        <w:rPr>
          <w:rFonts w:ascii="Arial" w:eastAsia="Arial" w:hAnsi="Arial" w:cs="Arial"/>
          <w:b/>
          <w:sz w:val="20"/>
          <w:szCs w:val="20"/>
        </w:rPr>
        <w:t xml:space="preserve"> 5</w:t>
      </w:r>
      <w:r w:rsidRPr="00ED76F3">
        <w:rPr>
          <w:rFonts w:ascii="Arial" w:eastAsia="Arial" w:hAnsi="Arial" w:cs="Arial"/>
          <w:b/>
          <w:sz w:val="20"/>
          <w:szCs w:val="20"/>
        </w:rPr>
        <w:t xml:space="preserve">: </w:t>
      </w:r>
      <w:r>
        <w:rPr>
          <w:rFonts w:ascii="Arial" w:eastAsia="Arial" w:hAnsi="Arial" w:cs="Arial"/>
          <w:b/>
          <w:sz w:val="20"/>
          <w:szCs w:val="20"/>
        </w:rPr>
        <w:t xml:space="preserve">Evolución de la actividad ARSA en LCR en pacientes </w:t>
      </w:r>
      <w:r w:rsidRPr="001969A3">
        <w:rPr>
          <w:rFonts w:ascii="Arial" w:eastAsia="Arial" w:hAnsi="Arial" w:cs="Arial"/>
          <w:b/>
          <w:sz w:val="20"/>
          <w:szCs w:val="20"/>
          <w:u w:val="single"/>
        </w:rPr>
        <w:t>sintomáticos</w:t>
      </w:r>
      <w:r>
        <w:rPr>
          <w:rFonts w:ascii="Arial" w:eastAsia="Arial" w:hAnsi="Arial" w:cs="Arial"/>
          <w:b/>
          <w:sz w:val="20"/>
          <w:szCs w:val="20"/>
        </w:rPr>
        <w:t xml:space="preserve"> con LDM-JT (informe EPAR)</w:t>
      </w:r>
    </w:p>
    <w:p w14:paraId="0138BF5C" w14:textId="77777777" w:rsidR="00D169D6" w:rsidRDefault="00D169D6">
      <w:pPr>
        <w:ind w:left="0" w:hanging="2"/>
        <w:jc w:val="both"/>
        <w:rPr>
          <w:rFonts w:ascii="Arial" w:eastAsia="Arial" w:hAnsi="Arial" w:cs="Arial"/>
          <w:sz w:val="20"/>
          <w:szCs w:val="20"/>
          <w:u w:val="single"/>
        </w:rPr>
      </w:pPr>
    </w:p>
    <w:p w14:paraId="7911D076" w14:textId="77777777" w:rsidR="009D55C9" w:rsidRPr="003D1ECE" w:rsidRDefault="005A57E0">
      <w:pPr>
        <w:ind w:left="0" w:hanging="2"/>
        <w:jc w:val="both"/>
        <w:rPr>
          <w:rFonts w:ascii="Arial" w:eastAsia="Arial" w:hAnsi="Arial" w:cs="Arial"/>
          <w:b/>
          <w:sz w:val="20"/>
          <w:szCs w:val="20"/>
          <w:u w:val="single"/>
        </w:rPr>
      </w:pPr>
      <w:bookmarkStart w:id="57" w:name="_heading=h.i7a49orkcse" w:colFirst="0" w:colLast="0"/>
      <w:bookmarkStart w:id="58" w:name="_heading=h.6t768rqrf6cj" w:colFirst="0" w:colLast="0"/>
      <w:bookmarkStart w:id="59" w:name="_heading=h.7cb158njvdgm" w:colFirst="0" w:colLast="0"/>
      <w:bookmarkStart w:id="60" w:name="_heading=h.tqn7w52y6dzo" w:colFirst="0" w:colLast="0"/>
      <w:bookmarkStart w:id="61" w:name="_heading=h.xvwer184sft1" w:colFirst="0" w:colLast="0"/>
      <w:bookmarkEnd w:id="57"/>
      <w:bookmarkEnd w:id="58"/>
      <w:bookmarkEnd w:id="59"/>
      <w:bookmarkEnd w:id="60"/>
      <w:bookmarkEnd w:id="61"/>
      <w:r w:rsidRPr="003D1ECE">
        <w:rPr>
          <w:rFonts w:ascii="Arial" w:eastAsia="Arial" w:hAnsi="Arial" w:cs="Arial"/>
          <w:b/>
          <w:sz w:val="20"/>
          <w:szCs w:val="20"/>
          <w:u w:val="single"/>
        </w:rPr>
        <w:t>Medida de la función motora gruesa (MFMG)</w:t>
      </w:r>
    </w:p>
    <w:p w14:paraId="3B7726DF" w14:textId="77777777" w:rsidR="009D55C9" w:rsidRDefault="009D55C9">
      <w:pPr>
        <w:ind w:left="0" w:hanging="2"/>
        <w:jc w:val="both"/>
        <w:rPr>
          <w:rFonts w:ascii="Arial" w:eastAsia="Arial" w:hAnsi="Arial" w:cs="Arial"/>
          <w:color w:val="000080"/>
          <w:sz w:val="20"/>
          <w:szCs w:val="20"/>
          <w:u w:val="single"/>
        </w:rPr>
      </w:pPr>
      <w:bookmarkStart w:id="62" w:name="_heading=h.8m0p6hudql6k" w:colFirst="0" w:colLast="0"/>
      <w:bookmarkEnd w:id="62"/>
    </w:p>
    <w:p w14:paraId="651AFC85" w14:textId="77777777" w:rsidR="003D1ECE" w:rsidRPr="00ED76F3" w:rsidRDefault="0024715B" w:rsidP="003D1ECE">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1302542097"/>
        </w:sdtPr>
        <w:sdtEndPr/>
        <w:sdtContent>
          <w:r w:rsidR="003D1ECE" w:rsidRPr="00ED76F3">
            <w:rPr>
              <w:rFonts w:ascii="Arial" w:eastAsia="Arial" w:hAnsi="Arial" w:cs="Arial"/>
              <w:sz w:val="20"/>
              <w:szCs w:val="20"/>
            </w:rPr>
            <w:t>Leucodistrofia metacromática variante infantil tardía</w:t>
          </w:r>
          <w:r w:rsidR="003D1ECE">
            <w:rPr>
              <w:rFonts w:ascii="Arial" w:eastAsia="Arial" w:hAnsi="Arial" w:cs="Arial"/>
              <w:sz w:val="20"/>
              <w:szCs w:val="20"/>
            </w:rPr>
            <w:t xml:space="preserve"> (</w:t>
          </w:r>
        </w:sdtContent>
      </w:sdt>
      <w:r w:rsidR="003D1ECE" w:rsidRPr="00ED76F3">
        <w:rPr>
          <w:rFonts w:ascii="Arial" w:eastAsia="Arial" w:hAnsi="Arial" w:cs="Arial"/>
          <w:sz w:val="20"/>
          <w:szCs w:val="20"/>
        </w:rPr>
        <w:t>LDM-IT</w:t>
      </w:r>
      <w:r w:rsidR="003D1ECE">
        <w:rPr>
          <w:rFonts w:ascii="Arial" w:eastAsia="Arial" w:hAnsi="Arial" w:cs="Arial"/>
          <w:sz w:val="20"/>
          <w:szCs w:val="20"/>
        </w:rPr>
        <w:t>)</w:t>
      </w:r>
      <w:r w:rsidR="003D1ECE" w:rsidRPr="00ED76F3">
        <w:rPr>
          <w:rFonts w:ascii="Arial" w:eastAsia="Arial" w:hAnsi="Arial" w:cs="Arial"/>
          <w:sz w:val="20"/>
          <w:szCs w:val="20"/>
        </w:rPr>
        <w:t>.</w:t>
      </w:r>
    </w:p>
    <w:p w14:paraId="57566D68" w14:textId="77777777" w:rsidR="003D1ECE" w:rsidRDefault="003D1ECE">
      <w:pPr>
        <w:ind w:left="0" w:hanging="2"/>
        <w:jc w:val="both"/>
        <w:rPr>
          <w:rFonts w:ascii="Arial" w:eastAsia="Arial" w:hAnsi="Arial" w:cs="Arial"/>
          <w:color w:val="000080"/>
          <w:sz w:val="20"/>
          <w:szCs w:val="20"/>
          <w:u w:val="single"/>
        </w:rPr>
      </w:pPr>
    </w:p>
    <w:p w14:paraId="29B0089F" w14:textId="77777777" w:rsidR="009D55C9" w:rsidRDefault="005A57E0">
      <w:pPr>
        <w:ind w:left="0" w:hanging="2"/>
        <w:jc w:val="both"/>
        <w:rPr>
          <w:rFonts w:ascii="Arial" w:eastAsia="Arial" w:hAnsi="Arial" w:cs="Arial"/>
          <w:sz w:val="20"/>
          <w:szCs w:val="20"/>
        </w:rPr>
      </w:pPr>
      <w:bookmarkStart w:id="63" w:name="_heading=h.n3hjdj7p8fz3" w:colFirst="0" w:colLast="0"/>
      <w:bookmarkEnd w:id="63"/>
      <w:r>
        <w:rPr>
          <w:rFonts w:ascii="Arial" w:eastAsia="Arial" w:hAnsi="Arial" w:cs="Arial"/>
          <w:sz w:val="20"/>
          <w:szCs w:val="20"/>
        </w:rPr>
        <w:t xml:space="preserve">A los </w:t>
      </w:r>
      <w:r w:rsidR="009F57B2">
        <w:rPr>
          <w:rFonts w:ascii="Arial" w:eastAsia="Arial" w:hAnsi="Arial" w:cs="Arial"/>
          <w:sz w:val="20"/>
          <w:szCs w:val="20"/>
        </w:rPr>
        <w:t>dos</w:t>
      </w:r>
      <w:r>
        <w:rPr>
          <w:rFonts w:ascii="Arial" w:eastAsia="Arial" w:hAnsi="Arial" w:cs="Arial"/>
          <w:sz w:val="20"/>
          <w:szCs w:val="20"/>
        </w:rPr>
        <w:t xml:space="preserve"> años tras el tratamiento, la puntuación media total de la MFMG en los pacientes tratados con Libmeldy</w:t>
      </w:r>
      <w:r w:rsidR="00BB4B0A" w:rsidRPr="00D577D6">
        <w:rPr>
          <w:rFonts w:ascii="Arial" w:eastAsia="Arial" w:hAnsi="Arial" w:cs="Arial"/>
          <w:sz w:val="20"/>
          <w:szCs w:val="20"/>
          <w:vertAlign w:val="superscript"/>
        </w:rPr>
        <w:t>®</w:t>
      </w:r>
      <w:r>
        <w:rPr>
          <w:rFonts w:ascii="Arial" w:eastAsia="Arial" w:hAnsi="Arial" w:cs="Arial"/>
          <w:sz w:val="20"/>
          <w:szCs w:val="20"/>
        </w:rPr>
        <w:t xml:space="preserve"> fue de</w:t>
      </w:r>
      <w:r w:rsidR="00BB4B0A">
        <w:rPr>
          <w:rFonts w:ascii="Arial" w:eastAsia="Arial" w:hAnsi="Arial" w:cs="Arial"/>
          <w:sz w:val="20"/>
          <w:szCs w:val="20"/>
        </w:rPr>
        <w:t>l</w:t>
      </w:r>
      <w:r>
        <w:rPr>
          <w:rFonts w:ascii="Arial" w:eastAsia="Arial" w:hAnsi="Arial" w:cs="Arial"/>
          <w:sz w:val="20"/>
          <w:szCs w:val="20"/>
        </w:rPr>
        <w:t xml:space="preserve"> 72,5</w:t>
      </w:r>
      <w:r w:rsidR="00BB4B0A">
        <w:rPr>
          <w:rFonts w:ascii="Arial" w:eastAsia="Arial" w:hAnsi="Arial" w:cs="Arial"/>
          <w:sz w:val="20"/>
          <w:szCs w:val="20"/>
        </w:rPr>
        <w:t>%</w:t>
      </w:r>
      <w:r>
        <w:rPr>
          <w:rFonts w:ascii="Arial" w:eastAsia="Arial" w:hAnsi="Arial" w:cs="Arial"/>
          <w:sz w:val="20"/>
          <w:szCs w:val="20"/>
        </w:rPr>
        <w:t xml:space="preserve"> en comparación con </w:t>
      </w:r>
      <w:r w:rsidR="00BB4B0A">
        <w:rPr>
          <w:rFonts w:ascii="Arial" w:eastAsia="Arial" w:hAnsi="Arial" w:cs="Arial"/>
          <w:sz w:val="20"/>
          <w:szCs w:val="20"/>
        </w:rPr>
        <w:t xml:space="preserve">el </w:t>
      </w:r>
      <w:r>
        <w:rPr>
          <w:rFonts w:ascii="Arial" w:eastAsia="Arial" w:hAnsi="Arial" w:cs="Arial"/>
          <w:sz w:val="20"/>
          <w:szCs w:val="20"/>
        </w:rPr>
        <w:t>7,4</w:t>
      </w:r>
      <w:r w:rsidR="00BB4B0A">
        <w:rPr>
          <w:rFonts w:ascii="Arial" w:eastAsia="Arial" w:hAnsi="Arial" w:cs="Arial"/>
          <w:sz w:val="20"/>
          <w:szCs w:val="20"/>
        </w:rPr>
        <w:t>%</w:t>
      </w:r>
      <w:r>
        <w:rPr>
          <w:rFonts w:ascii="Arial" w:eastAsia="Arial" w:hAnsi="Arial" w:cs="Arial"/>
          <w:sz w:val="20"/>
          <w:szCs w:val="20"/>
        </w:rPr>
        <w:t xml:space="preserve"> para los </w:t>
      </w:r>
      <w:r w:rsidR="00301F50">
        <w:rPr>
          <w:rFonts w:ascii="Arial" w:eastAsia="Arial" w:hAnsi="Arial" w:cs="Arial"/>
          <w:sz w:val="20"/>
          <w:szCs w:val="20"/>
        </w:rPr>
        <w:t>pacientes de T</w:t>
      </w:r>
      <w:r>
        <w:rPr>
          <w:rFonts w:ascii="Arial" w:eastAsia="Arial" w:hAnsi="Arial" w:cs="Arial"/>
          <w:sz w:val="20"/>
          <w:szCs w:val="20"/>
        </w:rPr>
        <w:t>IGET</w:t>
      </w:r>
      <w:r w:rsidR="00301F50">
        <w:rPr>
          <w:rFonts w:ascii="Arial" w:eastAsia="Arial" w:hAnsi="Arial" w:cs="Arial"/>
          <w:sz w:val="20"/>
          <w:szCs w:val="20"/>
        </w:rPr>
        <w:t>-</w:t>
      </w:r>
      <w:r w:rsidR="00EC0E1E">
        <w:rPr>
          <w:rFonts w:ascii="Arial" w:eastAsia="Arial" w:hAnsi="Arial" w:cs="Arial"/>
          <w:sz w:val="20"/>
          <w:szCs w:val="20"/>
        </w:rPr>
        <w:t>NHx (d</w:t>
      </w:r>
      <w:r>
        <w:rPr>
          <w:rFonts w:ascii="Arial" w:eastAsia="Arial" w:hAnsi="Arial" w:cs="Arial"/>
          <w:sz w:val="20"/>
          <w:szCs w:val="20"/>
        </w:rPr>
        <w:t>iferencia 65,1</w:t>
      </w:r>
      <w:r w:rsidR="00BB4B0A">
        <w:rPr>
          <w:rFonts w:ascii="Arial" w:eastAsia="Arial" w:hAnsi="Arial" w:cs="Arial"/>
          <w:sz w:val="20"/>
          <w:szCs w:val="20"/>
        </w:rPr>
        <w:t>%</w:t>
      </w:r>
      <w:r>
        <w:rPr>
          <w:rFonts w:ascii="Arial" w:eastAsia="Arial" w:hAnsi="Arial" w:cs="Arial"/>
          <w:sz w:val="20"/>
          <w:szCs w:val="20"/>
        </w:rPr>
        <w:t>, IC 95% 41,6</w:t>
      </w:r>
      <w:r w:rsidR="00BB4B0A">
        <w:rPr>
          <w:rFonts w:ascii="Arial" w:eastAsia="Arial" w:hAnsi="Arial" w:cs="Arial"/>
          <w:sz w:val="20"/>
          <w:szCs w:val="20"/>
        </w:rPr>
        <w:t xml:space="preserve"> a </w:t>
      </w:r>
      <w:r>
        <w:rPr>
          <w:rFonts w:ascii="Arial" w:eastAsia="Arial" w:hAnsi="Arial" w:cs="Arial"/>
          <w:sz w:val="20"/>
          <w:szCs w:val="20"/>
        </w:rPr>
        <w:t>88,6</w:t>
      </w:r>
      <w:r w:rsidR="00BB4B0A">
        <w:rPr>
          <w:rFonts w:ascii="Arial" w:eastAsia="Arial" w:hAnsi="Arial" w:cs="Arial"/>
          <w:sz w:val="20"/>
          <w:szCs w:val="20"/>
        </w:rPr>
        <w:t>;</w:t>
      </w:r>
      <w:r>
        <w:rPr>
          <w:rFonts w:ascii="Arial" w:eastAsia="Arial" w:hAnsi="Arial" w:cs="Arial"/>
          <w:sz w:val="20"/>
          <w:szCs w:val="20"/>
        </w:rPr>
        <w:t xml:space="preserve"> p&lt;0,001).</w:t>
      </w:r>
    </w:p>
    <w:p w14:paraId="61478D6F" w14:textId="77777777" w:rsidR="009F57B2" w:rsidRDefault="009F57B2">
      <w:pPr>
        <w:ind w:left="0" w:hanging="2"/>
        <w:jc w:val="both"/>
        <w:rPr>
          <w:rFonts w:ascii="Arial" w:eastAsia="Arial" w:hAnsi="Arial" w:cs="Arial"/>
          <w:sz w:val="20"/>
          <w:szCs w:val="20"/>
        </w:rPr>
      </w:pPr>
    </w:p>
    <w:p w14:paraId="1109B4B8" w14:textId="77777777" w:rsidR="009D55C9" w:rsidRDefault="009F57B2">
      <w:pPr>
        <w:ind w:left="0" w:hanging="2"/>
        <w:jc w:val="both"/>
        <w:rPr>
          <w:rFonts w:ascii="Arial" w:eastAsia="Arial" w:hAnsi="Arial" w:cs="Arial"/>
          <w:color w:val="000080"/>
          <w:sz w:val="20"/>
          <w:szCs w:val="20"/>
        </w:rPr>
      </w:pPr>
      <w:bookmarkStart w:id="64" w:name="_heading=h.a33a55x0e11m" w:colFirst="0" w:colLast="0"/>
      <w:bookmarkEnd w:id="64"/>
      <w:r w:rsidRPr="009F57B2">
        <w:rPr>
          <w:rFonts w:ascii="Arial" w:eastAsia="Arial" w:hAnsi="Arial" w:cs="Arial"/>
          <w:noProof/>
          <w:color w:val="000080"/>
          <w:sz w:val="20"/>
          <w:szCs w:val="20"/>
        </w:rPr>
        <w:drawing>
          <wp:inline distT="0" distB="0" distL="0" distR="0" wp14:anchorId="649D0D42" wp14:editId="781296F5">
            <wp:extent cx="5549265" cy="279472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49265" cy="2794725"/>
                    </a:xfrm>
                    <a:prstGeom prst="rect">
                      <a:avLst/>
                    </a:prstGeom>
                  </pic:spPr>
                </pic:pic>
              </a:graphicData>
            </a:graphic>
          </wp:inline>
        </w:drawing>
      </w:r>
    </w:p>
    <w:p w14:paraId="3C669EB5" w14:textId="77777777" w:rsidR="003D1ECE" w:rsidRDefault="003D1ECE" w:rsidP="003D1ECE">
      <w:pPr>
        <w:ind w:left="0" w:hanging="2"/>
        <w:jc w:val="center"/>
        <w:rPr>
          <w:rFonts w:ascii="Arial" w:eastAsia="Arial" w:hAnsi="Arial" w:cs="Arial"/>
          <w:b/>
          <w:sz w:val="20"/>
          <w:szCs w:val="20"/>
        </w:rPr>
      </w:pPr>
      <w:bookmarkStart w:id="65" w:name="_heading=h.1zdbmu2u7vfe" w:colFirst="0" w:colLast="0"/>
      <w:bookmarkStart w:id="66" w:name="_heading=h.76o97y8yx8ro" w:colFirst="0" w:colLast="0"/>
      <w:bookmarkEnd w:id="65"/>
      <w:bookmarkEnd w:id="66"/>
      <w:r w:rsidRPr="00ED76F3">
        <w:rPr>
          <w:rFonts w:ascii="Arial" w:eastAsia="Arial" w:hAnsi="Arial" w:cs="Arial"/>
          <w:b/>
          <w:sz w:val="20"/>
          <w:szCs w:val="20"/>
        </w:rPr>
        <w:t>Figura</w:t>
      </w:r>
      <w:r w:rsidR="00786169">
        <w:rPr>
          <w:rFonts w:ascii="Arial" w:eastAsia="Arial" w:hAnsi="Arial" w:cs="Arial"/>
          <w:b/>
          <w:sz w:val="20"/>
          <w:szCs w:val="20"/>
        </w:rPr>
        <w:t xml:space="preserve"> 6</w:t>
      </w:r>
      <w:r w:rsidRPr="00ED76F3">
        <w:rPr>
          <w:rFonts w:ascii="Arial" w:eastAsia="Arial" w:hAnsi="Arial" w:cs="Arial"/>
          <w:b/>
          <w:sz w:val="20"/>
          <w:szCs w:val="20"/>
        </w:rPr>
        <w:t xml:space="preserve">: </w:t>
      </w:r>
      <w:r>
        <w:rPr>
          <w:rFonts w:ascii="Arial" w:eastAsia="Arial" w:hAnsi="Arial" w:cs="Arial"/>
          <w:b/>
          <w:sz w:val="20"/>
          <w:szCs w:val="20"/>
        </w:rPr>
        <w:t>Evolución de la MFMG en pacientes con LDM-IT (informe EPAR)</w:t>
      </w:r>
    </w:p>
    <w:p w14:paraId="47E35182" w14:textId="77777777" w:rsidR="003D1ECE" w:rsidRDefault="003D1ECE" w:rsidP="003D1ECE">
      <w:pPr>
        <w:ind w:left="0" w:hanging="2"/>
        <w:jc w:val="center"/>
        <w:rPr>
          <w:rFonts w:ascii="Arial" w:eastAsia="Arial" w:hAnsi="Arial" w:cs="Arial"/>
          <w:sz w:val="20"/>
          <w:szCs w:val="20"/>
        </w:rPr>
      </w:pPr>
    </w:p>
    <w:p w14:paraId="76BAB433" w14:textId="77777777" w:rsidR="00250434" w:rsidRDefault="001969A3">
      <w:pPr>
        <w:ind w:left="0" w:hanging="2"/>
        <w:jc w:val="both"/>
        <w:rPr>
          <w:rFonts w:ascii="Arial" w:eastAsia="Arial" w:hAnsi="Arial" w:cs="Arial"/>
          <w:sz w:val="20"/>
          <w:szCs w:val="20"/>
        </w:rPr>
      </w:pPr>
      <w:r>
        <w:rPr>
          <w:rFonts w:ascii="Arial" w:eastAsia="Arial" w:hAnsi="Arial" w:cs="Arial"/>
          <w:sz w:val="20"/>
          <w:szCs w:val="20"/>
        </w:rPr>
        <w:t>Como se muestra en la f</w:t>
      </w:r>
      <w:r w:rsidR="005A57E0">
        <w:rPr>
          <w:rFonts w:ascii="Arial" w:eastAsia="Arial" w:hAnsi="Arial" w:cs="Arial"/>
          <w:sz w:val="20"/>
          <w:szCs w:val="20"/>
        </w:rPr>
        <w:t xml:space="preserve">igura </w:t>
      </w:r>
      <w:r>
        <w:rPr>
          <w:rFonts w:ascii="Arial" w:eastAsia="Arial" w:hAnsi="Arial" w:cs="Arial"/>
          <w:sz w:val="20"/>
          <w:szCs w:val="20"/>
        </w:rPr>
        <w:t>anterior</w:t>
      </w:r>
      <w:r w:rsidR="005A57E0">
        <w:rPr>
          <w:rFonts w:ascii="Arial" w:eastAsia="Arial" w:hAnsi="Arial" w:cs="Arial"/>
          <w:sz w:val="20"/>
          <w:szCs w:val="20"/>
        </w:rPr>
        <w:t>, la MFMG es claramente superior en la mayoría de los pacientes con LDM-IT tratados con Libmeldy</w:t>
      </w:r>
      <w:r w:rsidRPr="001969A3">
        <w:rPr>
          <w:rFonts w:ascii="Arial" w:eastAsia="Arial" w:hAnsi="Arial" w:cs="Arial"/>
          <w:sz w:val="20"/>
          <w:szCs w:val="20"/>
          <w:vertAlign w:val="superscript"/>
        </w:rPr>
        <w:t>®</w:t>
      </w:r>
      <w:r w:rsidR="005A57E0">
        <w:rPr>
          <w:rFonts w:ascii="Arial" w:eastAsia="Arial" w:hAnsi="Arial" w:cs="Arial"/>
          <w:sz w:val="20"/>
          <w:szCs w:val="20"/>
        </w:rPr>
        <w:t xml:space="preserve"> en comparación con </w:t>
      </w:r>
      <w:r w:rsidR="00301F50">
        <w:rPr>
          <w:rFonts w:ascii="Arial" w:eastAsia="Arial" w:hAnsi="Arial" w:cs="Arial"/>
          <w:sz w:val="20"/>
          <w:szCs w:val="20"/>
        </w:rPr>
        <w:t>sus hermanos</w:t>
      </w:r>
      <w:r w:rsidR="005A57E0">
        <w:rPr>
          <w:rFonts w:ascii="Arial" w:eastAsia="Arial" w:hAnsi="Arial" w:cs="Arial"/>
          <w:sz w:val="20"/>
          <w:szCs w:val="20"/>
        </w:rPr>
        <w:t xml:space="preserve"> no tratados y con los participantes en el estudio TIGET-NHx no tratados. </w:t>
      </w:r>
    </w:p>
    <w:p w14:paraId="73A00FC5" w14:textId="77777777" w:rsidR="00250434" w:rsidRDefault="00250434">
      <w:pPr>
        <w:ind w:left="0" w:hanging="2"/>
        <w:jc w:val="both"/>
        <w:rPr>
          <w:rFonts w:ascii="Arial" w:eastAsia="Arial" w:hAnsi="Arial" w:cs="Arial"/>
          <w:sz w:val="20"/>
          <w:szCs w:val="20"/>
        </w:rPr>
      </w:pPr>
    </w:p>
    <w:p w14:paraId="5E89F38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La mayoría de</w:t>
      </w:r>
      <w:r w:rsidR="00301F50">
        <w:rPr>
          <w:rFonts w:ascii="Arial" w:eastAsia="Arial" w:hAnsi="Arial" w:cs="Arial"/>
          <w:sz w:val="20"/>
          <w:szCs w:val="20"/>
        </w:rPr>
        <w:t xml:space="preserve"> </w:t>
      </w:r>
      <w:r>
        <w:rPr>
          <w:rFonts w:ascii="Arial" w:eastAsia="Arial" w:hAnsi="Arial" w:cs="Arial"/>
          <w:sz w:val="20"/>
          <w:szCs w:val="20"/>
        </w:rPr>
        <w:t xml:space="preserve">pacientes con LDM-IT tratados (7/9, 78%) han </w:t>
      </w:r>
      <w:r w:rsidR="00301F50">
        <w:rPr>
          <w:rFonts w:ascii="Arial" w:eastAsia="Arial" w:hAnsi="Arial" w:cs="Arial"/>
          <w:sz w:val="20"/>
          <w:szCs w:val="20"/>
        </w:rPr>
        <w:t>tenido un seguimiento</w:t>
      </w:r>
      <w:r>
        <w:rPr>
          <w:rFonts w:ascii="Arial" w:eastAsia="Arial" w:hAnsi="Arial" w:cs="Arial"/>
          <w:sz w:val="20"/>
          <w:szCs w:val="20"/>
        </w:rPr>
        <w:t xml:space="preserve"> más allá de la edad en la que su caso índice había fallecido o estaba postrado en cama.</w:t>
      </w:r>
    </w:p>
    <w:p w14:paraId="6D50385D" w14:textId="77777777" w:rsidR="00EC0E1E" w:rsidRDefault="00EC0E1E">
      <w:pPr>
        <w:ind w:left="0" w:hanging="2"/>
        <w:jc w:val="both"/>
        <w:rPr>
          <w:rFonts w:ascii="Arial" w:eastAsia="Arial" w:hAnsi="Arial" w:cs="Arial"/>
          <w:sz w:val="20"/>
          <w:szCs w:val="20"/>
        </w:rPr>
      </w:pPr>
      <w:bookmarkStart w:id="67" w:name="_heading=h.drvv8ndwkp6b" w:colFirst="0" w:colLast="0"/>
      <w:bookmarkEnd w:id="67"/>
    </w:p>
    <w:p w14:paraId="398F3C13"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Entre los 8 pacientes de LDM-IT presintomáticos en el momento del tratamiento, 4 se encontraban dentro del rango de función motora gruesa observado en una cohorte de niños sanos de Palisano (1997) de edad cronológica similar a lo largo de su seguimiento y eran consistentes con la adquisición fisiológica progresiva de nuevas habilidades motoras.</w:t>
      </w:r>
    </w:p>
    <w:p w14:paraId="47007B25" w14:textId="77777777" w:rsidR="00EC0E1E" w:rsidRDefault="00EC0E1E">
      <w:pPr>
        <w:ind w:left="0" w:hanging="2"/>
        <w:jc w:val="both"/>
        <w:rPr>
          <w:rFonts w:ascii="Arial" w:eastAsia="Arial" w:hAnsi="Arial" w:cs="Arial"/>
          <w:sz w:val="20"/>
          <w:szCs w:val="20"/>
        </w:rPr>
      </w:pPr>
      <w:bookmarkStart w:id="68" w:name="_heading=h.bfw1zehnnz4v" w:colFirst="0" w:colLast="0"/>
      <w:bookmarkEnd w:id="68"/>
    </w:p>
    <w:p w14:paraId="788116E6"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Los 4 sujetos presintomáticos de LDM-IT que mostraron puntuaciones de MFMG post-tratamiento por debajo de las puntuaciones de la cohorte sana a una edad similar, </w:t>
      </w:r>
      <w:r w:rsidR="00301F50">
        <w:rPr>
          <w:rFonts w:ascii="Arial" w:eastAsia="Arial" w:hAnsi="Arial" w:cs="Arial"/>
          <w:sz w:val="20"/>
          <w:szCs w:val="20"/>
        </w:rPr>
        <w:t xml:space="preserve">presentaban basalmente </w:t>
      </w:r>
      <w:r>
        <w:rPr>
          <w:rFonts w:ascii="Arial" w:eastAsia="Arial" w:hAnsi="Arial" w:cs="Arial"/>
          <w:sz w:val="20"/>
          <w:szCs w:val="20"/>
        </w:rPr>
        <w:t>hallazgos anormales en el examen neurológico.</w:t>
      </w:r>
    </w:p>
    <w:p w14:paraId="0B587B4E" w14:textId="77777777" w:rsidR="009D55C9" w:rsidRDefault="009D55C9">
      <w:pPr>
        <w:ind w:left="0" w:hanging="2"/>
        <w:jc w:val="both"/>
        <w:rPr>
          <w:rFonts w:ascii="Arial" w:eastAsia="Arial" w:hAnsi="Arial" w:cs="Arial"/>
          <w:sz w:val="20"/>
          <w:szCs w:val="20"/>
        </w:rPr>
      </w:pPr>
      <w:bookmarkStart w:id="69" w:name="_heading=h.sio7r7jjn3jl" w:colFirst="0" w:colLast="0"/>
      <w:bookmarkEnd w:id="69"/>
    </w:p>
    <w:bookmarkStart w:id="70" w:name="_heading=h.vj0uxv2beam9" w:colFirst="0" w:colLast="0"/>
    <w:bookmarkEnd w:id="70"/>
    <w:p w14:paraId="5C7F1BA7" w14:textId="77777777" w:rsidR="00250434" w:rsidRDefault="0024715B" w:rsidP="00250434">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366956844"/>
        </w:sdtPr>
        <w:sdtEndPr/>
        <w:sdtContent>
          <w:r w:rsidR="00250434" w:rsidRPr="00ED76F3">
            <w:rPr>
              <w:rFonts w:ascii="Arial" w:eastAsia="Arial" w:hAnsi="Arial" w:cs="Arial"/>
              <w:sz w:val="20"/>
              <w:szCs w:val="20"/>
            </w:rPr>
            <w:t xml:space="preserve">Leucodistrofia metacromática variante </w:t>
          </w:r>
          <w:r w:rsidR="00250434">
            <w:rPr>
              <w:rFonts w:ascii="Arial" w:eastAsia="Arial" w:hAnsi="Arial" w:cs="Arial"/>
              <w:sz w:val="20"/>
              <w:szCs w:val="20"/>
            </w:rPr>
            <w:t>juvenil temprana (</w:t>
          </w:r>
        </w:sdtContent>
      </w:sdt>
      <w:r w:rsidR="00250434">
        <w:rPr>
          <w:rFonts w:ascii="Arial" w:eastAsia="Arial" w:hAnsi="Arial" w:cs="Arial"/>
          <w:sz w:val="20"/>
          <w:szCs w:val="20"/>
        </w:rPr>
        <w:t>LDM-J</w:t>
      </w:r>
      <w:r w:rsidR="00250434" w:rsidRPr="00ED76F3">
        <w:rPr>
          <w:rFonts w:ascii="Arial" w:eastAsia="Arial" w:hAnsi="Arial" w:cs="Arial"/>
          <w:sz w:val="20"/>
          <w:szCs w:val="20"/>
        </w:rPr>
        <w:t>T</w:t>
      </w:r>
      <w:r w:rsidR="00250434">
        <w:rPr>
          <w:rFonts w:ascii="Arial" w:eastAsia="Arial" w:hAnsi="Arial" w:cs="Arial"/>
          <w:sz w:val="20"/>
          <w:szCs w:val="20"/>
        </w:rPr>
        <w:t>)</w:t>
      </w:r>
      <w:r w:rsidR="00250434" w:rsidRPr="00ED76F3">
        <w:rPr>
          <w:rFonts w:ascii="Arial" w:eastAsia="Arial" w:hAnsi="Arial" w:cs="Arial"/>
          <w:sz w:val="20"/>
          <w:szCs w:val="20"/>
        </w:rPr>
        <w:t>.</w:t>
      </w:r>
    </w:p>
    <w:p w14:paraId="1354B7FA" w14:textId="77777777" w:rsidR="00250434" w:rsidRPr="00ED76F3" w:rsidRDefault="00250434" w:rsidP="00250434">
      <w:pPr>
        <w:pStyle w:val="Prrafodelista"/>
        <w:ind w:leftChars="0" w:left="718" w:firstLineChars="0" w:firstLine="0"/>
        <w:jc w:val="both"/>
        <w:rPr>
          <w:rFonts w:ascii="Arial" w:eastAsia="Arial" w:hAnsi="Arial" w:cs="Arial"/>
          <w:sz w:val="20"/>
          <w:szCs w:val="20"/>
        </w:rPr>
      </w:pPr>
    </w:p>
    <w:p w14:paraId="3422B149"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Para este subgrupo, la puntuación media de la MFMG a los 2 años fue de</w:t>
      </w:r>
      <w:r w:rsidR="00BB4B0A">
        <w:rPr>
          <w:rFonts w:ascii="Arial" w:eastAsia="Arial" w:hAnsi="Arial" w:cs="Arial"/>
          <w:sz w:val="20"/>
          <w:szCs w:val="20"/>
        </w:rPr>
        <w:t>l</w:t>
      </w:r>
      <w:r>
        <w:rPr>
          <w:rFonts w:ascii="Arial" w:eastAsia="Arial" w:hAnsi="Arial" w:cs="Arial"/>
          <w:sz w:val="20"/>
          <w:szCs w:val="20"/>
        </w:rPr>
        <w:t xml:space="preserve"> 76,5</w:t>
      </w:r>
      <w:r w:rsidR="00BB4B0A">
        <w:rPr>
          <w:rFonts w:ascii="Arial" w:eastAsia="Arial" w:hAnsi="Arial" w:cs="Arial"/>
          <w:sz w:val="20"/>
          <w:szCs w:val="20"/>
        </w:rPr>
        <w:t>%</w:t>
      </w:r>
      <w:r>
        <w:rPr>
          <w:rFonts w:ascii="Arial" w:eastAsia="Arial" w:hAnsi="Arial" w:cs="Arial"/>
          <w:sz w:val="20"/>
          <w:szCs w:val="20"/>
        </w:rPr>
        <w:t xml:space="preserve"> para el grupo de tratamiento con Libmeldy</w:t>
      </w:r>
      <w:r w:rsidR="00250434" w:rsidRPr="00250434">
        <w:rPr>
          <w:rFonts w:ascii="Arial" w:eastAsia="Arial" w:hAnsi="Arial" w:cs="Arial"/>
          <w:sz w:val="20"/>
          <w:szCs w:val="20"/>
          <w:vertAlign w:val="superscript"/>
        </w:rPr>
        <w:t>®</w:t>
      </w:r>
      <w:r>
        <w:rPr>
          <w:rFonts w:ascii="Arial" w:eastAsia="Arial" w:hAnsi="Arial" w:cs="Arial"/>
          <w:sz w:val="20"/>
          <w:szCs w:val="20"/>
        </w:rPr>
        <w:t xml:space="preserve">, en comparación con </w:t>
      </w:r>
      <w:r w:rsidR="00BB4B0A">
        <w:rPr>
          <w:rFonts w:ascii="Arial" w:eastAsia="Arial" w:hAnsi="Arial" w:cs="Arial"/>
          <w:sz w:val="20"/>
          <w:szCs w:val="20"/>
        </w:rPr>
        <w:t xml:space="preserve">el </w:t>
      </w:r>
      <w:r>
        <w:rPr>
          <w:rFonts w:ascii="Arial" w:eastAsia="Arial" w:hAnsi="Arial" w:cs="Arial"/>
          <w:sz w:val="20"/>
          <w:szCs w:val="20"/>
        </w:rPr>
        <w:t>36,6</w:t>
      </w:r>
      <w:r w:rsidR="00BB4B0A">
        <w:rPr>
          <w:rFonts w:ascii="Arial" w:eastAsia="Arial" w:hAnsi="Arial" w:cs="Arial"/>
          <w:sz w:val="20"/>
          <w:szCs w:val="20"/>
        </w:rPr>
        <w:t>%</w:t>
      </w:r>
      <w:r>
        <w:rPr>
          <w:rFonts w:ascii="Arial" w:eastAsia="Arial" w:hAnsi="Arial" w:cs="Arial"/>
          <w:sz w:val="20"/>
          <w:szCs w:val="20"/>
        </w:rPr>
        <w:t xml:space="preserve"> para la cohorte histórica (diferencia 39,8</w:t>
      </w:r>
      <w:r w:rsidR="00BB4B0A">
        <w:rPr>
          <w:rFonts w:ascii="Arial" w:eastAsia="Arial" w:hAnsi="Arial" w:cs="Arial"/>
          <w:sz w:val="20"/>
          <w:szCs w:val="20"/>
        </w:rPr>
        <w:t>%</w:t>
      </w:r>
      <w:r>
        <w:rPr>
          <w:rFonts w:ascii="Arial" w:eastAsia="Arial" w:hAnsi="Arial" w:cs="Arial"/>
          <w:sz w:val="20"/>
          <w:szCs w:val="20"/>
        </w:rPr>
        <w:t xml:space="preserve"> IC95% 9,6</w:t>
      </w:r>
      <w:r w:rsidR="00BB4B0A">
        <w:rPr>
          <w:rFonts w:ascii="Arial" w:eastAsia="Arial" w:hAnsi="Arial" w:cs="Arial"/>
          <w:sz w:val="20"/>
          <w:szCs w:val="20"/>
        </w:rPr>
        <w:t xml:space="preserve"> a</w:t>
      </w:r>
      <w:r>
        <w:rPr>
          <w:rFonts w:ascii="Arial" w:eastAsia="Arial" w:hAnsi="Arial" w:cs="Arial"/>
          <w:sz w:val="20"/>
          <w:szCs w:val="20"/>
        </w:rPr>
        <w:t xml:space="preserve"> 80,1</w:t>
      </w:r>
      <w:r w:rsidR="00BB4B0A">
        <w:rPr>
          <w:rFonts w:ascii="Arial" w:eastAsia="Arial" w:hAnsi="Arial" w:cs="Arial"/>
          <w:sz w:val="20"/>
          <w:szCs w:val="20"/>
        </w:rPr>
        <w:t>;</w:t>
      </w:r>
      <w:r>
        <w:rPr>
          <w:rFonts w:ascii="Arial" w:eastAsia="Arial" w:hAnsi="Arial" w:cs="Arial"/>
          <w:sz w:val="20"/>
          <w:szCs w:val="20"/>
        </w:rPr>
        <w:t xml:space="preserve"> p=0,026).</w:t>
      </w:r>
    </w:p>
    <w:p w14:paraId="31F81197" w14:textId="77777777" w:rsidR="009D55C9" w:rsidRDefault="009D55C9">
      <w:pPr>
        <w:ind w:left="0" w:hanging="2"/>
        <w:jc w:val="both"/>
        <w:rPr>
          <w:rFonts w:ascii="Arial" w:eastAsia="Arial" w:hAnsi="Arial" w:cs="Arial"/>
          <w:sz w:val="20"/>
          <w:szCs w:val="20"/>
        </w:rPr>
      </w:pPr>
      <w:bookmarkStart w:id="71" w:name="_heading=h.jhamoynk49c9" w:colFirst="0" w:colLast="0"/>
      <w:bookmarkEnd w:id="71"/>
    </w:p>
    <w:p w14:paraId="14C7A00E" w14:textId="77777777" w:rsidR="009D55C9" w:rsidRPr="00E8074A" w:rsidRDefault="005A57E0" w:rsidP="005A57E0">
      <w:pPr>
        <w:pStyle w:val="Prrafodelista"/>
        <w:numPr>
          <w:ilvl w:val="0"/>
          <w:numId w:val="22"/>
        </w:numPr>
        <w:pBdr>
          <w:top w:val="nil"/>
          <w:left w:val="nil"/>
          <w:bottom w:val="nil"/>
          <w:right w:val="nil"/>
          <w:between w:val="nil"/>
        </w:pBdr>
        <w:spacing w:line="240" w:lineRule="auto"/>
        <w:ind w:leftChars="0" w:firstLineChars="0"/>
        <w:jc w:val="both"/>
        <w:rPr>
          <w:rFonts w:ascii="Arial" w:eastAsia="Arial" w:hAnsi="Arial" w:cs="Arial"/>
          <w:color w:val="000000"/>
          <w:sz w:val="20"/>
          <w:szCs w:val="20"/>
        </w:rPr>
      </w:pPr>
      <w:bookmarkStart w:id="72" w:name="_heading=h.v5ghd6jip959" w:colFirst="0" w:colLast="0"/>
      <w:bookmarkEnd w:id="72"/>
      <w:r w:rsidRPr="005A57E0">
        <w:rPr>
          <w:rFonts w:ascii="Arial" w:eastAsia="Arial" w:hAnsi="Arial" w:cs="Arial"/>
          <w:color w:val="000000"/>
          <w:sz w:val="20"/>
          <w:szCs w:val="20"/>
          <w:u w:val="single"/>
        </w:rPr>
        <w:t>LDM-JT presintomáticos</w:t>
      </w:r>
      <w:r w:rsidR="00E8074A">
        <w:rPr>
          <w:rFonts w:ascii="Arial" w:eastAsia="Arial" w:hAnsi="Arial" w:cs="Arial"/>
          <w:color w:val="000000"/>
          <w:sz w:val="20"/>
          <w:szCs w:val="20"/>
          <w:u w:val="single"/>
        </w:rPr>
        <w:t>.</w:t>
      </w:r>
    </w:p>
    <w:p w14:paraId="4953F687" w14:textId="77777777" w:rsidR="00E8074A" w:rsidRPr="005A57E0" w:rsidRDefault="00E8074A" w:rsidP="00E8074A">
      <w:pPr>
        <w:pStyle w:val="Prrafodelista"/>
        <w:pBdr>
          <w:top w:val="nil"/>
          <w:left w:val="nil"/>
          <w:bottom w:val="nil"/>
          <w:right w:val="nil"/>
          <w:between w:val="nil"/>
        </w:pBdr>
        <w:spacing w:line="240" w:lineRule="auto"/>
        <w:ind w:leftChars="0" w:left="720" w:firstLineChars="0" w:firstLine="0"/>
        <w:jc w:val="both"/>
        <w:rPr>
          <w:rFonts w:ascii="Arial" w:eastAsia="Arial" w:hAnsi="Arial" w:cs="Arial"/>
          <w:color w:val="000000"/>
          <w:sz w:val="20"/>
          <w:szCs w:val="20"/>
        </w:rPr>
      </w:pPr>
    </w:p>
    <w:p w14:paraId="352570C9" w14:textId="77777777" w:rsidR="009D55C9" w:rsidRDefault="00E8074A">
      <w:pPr>
        <w:ind w:left="0" w:hanging="2"/>
        <w:jc w:val="both"/>
        <w:rPr>
          <w:rFonts w:ascii="Arial" w:eastAsia="Arial" w:hAnsi="Arial" w:cs="Arial"/>
          <w:sz w:val="20"/>
          <w:szCs w:val="20"/>
        </w:rPr>
      </w:pPr>
      <w:bookmarkStart w:id="73" w:name="_heading=h.ib1uo3thlho0" w:colFirst="0" w:colLast="0"/>
      <w:bookmarkEnd w:id="73"/>
      <w:r>
        <w:rPr>
          <w:rFonts w:ascii="Arial" w:eastAsia="Arial" w:hAnsi="Arial" w:cs="Arial"/>
          <w:sz w:val="20"/>
          <w:szCs w:val="20"/>
        </w:rPr>
        <w:tab/>
      </w:r>
      <w:r w:rsidR="005A57E0">
        <w:rPr>
          <w:rFonts w:ascii="Arial" w:eastAsia="Arial" w:hAnsi="Arial" w:cs="Arial"/>
          <w:sz w:val="20"/>
          <w:szCs w:val="20"/>
        </w:rPr>
        <w:t xml:space="preserve">Para </w:t>
      </w:r>
      <w:r w:rsidR="00250434">
        <w:rPr>
          <w:rFonts w:ascii="Arial" w:eastAsia="Arial" w:hAnsi="Arial" w:cs="Arial"/>
          <w:sz w:val="20"/>
          <w:szCs w:val="20"/>
        </w:rPr>
        <w:t>este grupo de</w:t>
      </w:r>
      <w:r w:rsidR="00BB4B0A">
        <w:rPr>
          <w:rFonts w:ascii="Arial" w:eastAsia="Arial" w:hAnsi="Arial" w:cs="Arial"/>
          <w:sz w:val="20"/>
          <w:szCs w:val="20"/>
        </w:rPr>
        <w:t xml:space="preserve"> </w:t>
      </w:r>
      <w:r w:rsidR="00250434">
        <w:rPr>
          <w:rFonts w:ascii="Arial" w:eastAsia="Arial" w:hAnsi="Arial" w:cs="Arial"/>
          <w:sz w:val="20"/>
          <w:szCs w:val="20"/>
        </w:rPr>
        <w:t>pacientes</w:t>
      </w:r>
      <w:r w:rsidR="005A57E0">
        <w:rPr>
          <w:rFonts w:ascii="Arial" w:eastAsia="Arial" w:hAnsi="Arial" w:cs="Arial"/>
          <w:sz w:val="20"/>
          <w:szCs w:val="20"/>
        </w:rPr>
        <w:t>, la media ajustada de la MFMG a los 2 años tras el tratamiento fue del 96,7%. La diferencia con el grupo de TIGET-NHx fue de 52,4</w:t>
      </w:r>
      <w:r w:rsidR="00A407F4">
        <w:rPr>
          <w:rFonts w:ascii="Arial" w:eastAsia="Arial" w:hAnsi="Arial" w:cs="Arial"/>
          <w:sz w:val="20"/>
          <w:szCs w:val="20"/>
        </w:rPr>
        <w:t>%</w:t>
      </w:r>
      <w:r>
        <w:rPr>
          <w:rFonts w:ascii="Arial" w:eastAsia="Arial" w:hAnsi="Arial" w:cs="Arial"/>
          <w:sz w:val="20"/>
          <w:szCs w:val="20"/>
        </w:rPr>
        <w:t xml:space="preserve"> (IC</w:t>
      </w:r>
      <w:r w:rsidR="005A57E0">
        <w:rPr>
          <w:rFonts w:ascii="Arial" w:eastAsia="Arial" w:hAnsi="Arial" w:cs="Arial"/>
          <w:sz w:val="20"/>
          <w:szCs w:val="20"/>
        </w:rPr>
        <w:t>95%: 25,1</w:t>
      </w:r>
      <w:r w:rsidR="00BB4B0A">
        <w:rPr>
          <w:rFonts w:ascii="Arial" w:eastAsia="Arial" w:hAnsi="Arial" w:cs="Arial"/>
          <w:sz w:val="20"/>
          <w:szCs w:val="20"/>
        </w:rPr>
        <w:t xml:space="preserve"> a</w:t>
      </w:r>
      <w:r w:rsidR="005A57E0">
        <w:rPr>
          <w:rFonts w:ascii="Arial" w:eastAsia="Arial" w:hAnsi="Arial" w:cs="Arial"/>
          <w:sz w:val="20"/>
          <w:szCs w:val="20"/>
        </w:rPr>
        <w:t xml:space="preserve"> 79,6; p=0,008).</w:t>
      </w:r>
    </w:p>
    <w:p w14:paraId="78649D64" w14:textId="77777777" w:rsidR="00250434" w:rsidRDefault="00250434">
      <w:pPr>
        <w:ind w:left="0" w:hanging="2"/>
        <w:jc w:val="both"/>
        <w:rPr>
          <w:rFonts w:ascii="Arial" w:eastAsia="Arial" w:hAnsi="Arial" w:cs="Arial"/>
          <w:sz w:val="20"/>
          <w:szCs w:val="20"/>
        </w:rPr>
      </w:pPr>
    </w:p>
    <w:p w14:paraId="46F70561" w14:textId="77777777" w:rsidR="009D55C9" w:rsidRDefault="005A57E0">
      <w:pPr>
        <w:ind w:left="0" w:hanging="2"/>
        <w:jc w:val="both"/>
        <w:rPr>
          <w:rFonts w:ascii="Arial" w:eastAsia="Arial" w:hAnsi="Arial" w:cs="Arial"/>
          <w:sz w:val="20"/>
          <w:szCs w:val="20"/>
        </w:rPr>
      </w:pPr>
      <w:r>
        <w:rPr>
          <w:noProof/>
        </w:rPr>
        <w:drawing>
          <wp:inline distT="0" distB="0" distL="0" distR="0" wp14:anchorId="7C362A1D" wp14:editId="44FA9724">
            <wp:extent cx="5549900" cy="3105986"/>
            <wp:effectExtent l="0" t="0" r="0" b="0"/>
            <wp:docPr id="10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5">
                      <a:extLst>
                        <a:ext uri="{28A0092B-C50C-407E-A947-70E740481C1C}">
                          <a14:useLocalDpi xmlns:a14="http://schemas.microsoft.com/office/drawing/2010/main" val="0"/>
                        </a:ext>
                      </a:extLst>
                    </a:blip>
                    <a:srcRect t="13957" b="6655"/>
                    <a:stretch/>
                  </pic:blipFill>
                  <pic:spPr bwMode="auto">
                    <a:xfrm>
                      <a:off x="0" y="0"/>
                      <a:ext cx="5548630" cy="3105275"/>
                    </a:xfrm>
                    <a:prstGeom prst="rect">
                      <a:avLst/>
                    </a:prstGeom>
                    <a:ln>
                      <a:noFill/>
                    </a:ln>
                    <a:extLst>
                      <a:ext uri="{53640926-AAD7-44D8-BBD7-CCE9431645EC}">
                        <a14:shadowObscured xmlns:a14="http://schemas.microsoft.com/office/drawing/2010/main"/>
                      </a:ext>
                    </a:extLst>
                  </pic:spPr>
                </pic:pic>
              </a:graphicData>
            </a:graphic>
          </wp:inline>
        </w:drawing>
      </w:r>
    </w:p>
    <w:p w14:paraId="0D96446A" w14:textId="77777777" w:rsidR="00E8074A" w:rsidRDefault="00E8074A" w:rsidP="00250434">
      <w:pPr>
        <w:ind w:left="0" w:hanging="2"/>
        <w:jc w:val="center"/>
        <w:rPr>
          <w:rFonts w:ascii="Arial" w:eastAsia="Arial" w:hAnsi="Arial" w:cs="Arial"/>
          <w:b/>
          <w:sz w:val="20"/>
          <w:szCs w:val="20"/>
        </w:rPr>
      </w:pPr>
    </w:p>
    <w:p w14:paraId="58CB58BE" w14:textId="77777777" w:rsidR="00250434" w:rsidRDefault="00250434" w:rsidP="00250434">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7</w:t>
      </w:r>
      <w:r w:rsidRPr="00ED76F3">
        <w:rPr>
          <w:rFonts w:ascii="Arial" w:eastAsia="Arial" w:hAnsi="Arial" w:cs="Arial"/>
          <w:b/>
          <w:sz w:val="20"/>
          <w:szCs w:val="20"/>
        </w:rPr>
        <w:t xml:space="preserve">: </w:t>
      </w:r>
      <w:r>
        <w:rPr>
          <w:rFonts w:ascii="Arial" w:eastAsia="Arial" w:hAnsi="Arial" w:cs="Arial"/>
          <w:b/>
          <w:sz w:val="20"/>
          <w:szCs w:val="20"/>
        </w:rPr>
        <w:t>Evolución de la MFMG en pacientes con LDM-JT presintomáticos (informe EPAR)</w:t>
      </w:r>
    </w:p>
    <w:p w14:paraId="0C1860BF" w14:textId="77777777" w:rsidR="00250434" w:rsidRDefault="00250434">
      <w:pPr>
        <w:ind w:left="0" w:hanging="2"/>
        <w:jc w:val="both"/>
        <w:rPr>
          <w:rFonts w:ascii="Arial" w:eastAsia="Arial" w:hAnsi="Arial" w:cs="Arial"/>
          <w:sz w:val="20"/>
          <w:szCs w:val="20"/>
        </w:rPr>
      </w:pPr>
    </w:p>
    <w:p w14:paraId="1E442C32" w14:textId="77777777" w:rsidR="009D55C9" w:rsidRPr="00E8074A" w:rsidRDefault="005A57E0" w:rsidP="00A407F4">
      <w:pPr>
        <w:pStyle w:val="Prrafodelista"/>
        <w:numPr>
          <w:ilvl w:val="0"/>
          <w:numId w:val="22"/>
        </w:numPr>
        <w:pBdr>
          <w:top w:val="nil"/>
          <w:left w:val="nil"/>
          <w:bottom w:val="nil"/>
          <w:right w:val="nil"/>
          <w:between w:val="nil"/>
        </w:pBdr>
        <w:spacing w:line="240" w:lineRule="auto"/>
        <w:ind w:leftChars="0" w:firstLineChars="0"/>
        <w:jc w:val="both"/>
        <w:rPr>
          <w:rFonts w:ascii="Arial" w:eastAsia="Arial" w:hAnsi="Arial" w:cs="Arial"/>
          <w:color w:val="000000"/>
          <w:sz w:val="20"/>
          <w:szCs w:val="20"/>
        </w:rPr>
      </w:pPr>
      <w:bookmarkStart w:id="74" w:name="_heading=h.pjiy1e3jrfxi" w:colFirst="0" w:colLast="0"/>
      <w:bookmarkEnd w:id="74"/>
      <w:r w:rsidRPr="00A407F4">
        <w:rPr>
          <w:rFonts w:ascii="Arial" w:eastAsia="Arial" w:hAnsi="Arial" w:cs="Arial"/>
          <w:color w:val="000000"/>
          <w:sz w:val="20"/>
          <w:szCs w:val="20"/>
          <w:u w:val="single"/>
        </w:rPr>
        <w:t>LDM-JT sintomáticos</w:t>
      </w:r>
      <w:r w:rsidR="00E8074A">
        <w:rPr>
          <w:rFonts w:ascii="Arial" w:eastAsia="Arial" w:hAnsi="Arial" w:cs="Arial"/>
          <w:color w:val="000000"/>
          <w:sz w:val="20"/>
          <w:szCs w:val="20"/>
          <w:u w:val="single"/>
        </w:rPr>
        <w:t>.</w:t>
      </w:r>
    </w:p>
    <w:p w14:paraId="38604578" w14:textId="77777777" w:rsidR="00E8074A" w:rsidRPr="00A407F4" w:rsidRDefault="00E8074A" w:rsidP="00E8074A">
      <w:pPr>
        <w:pStyle w:val="Prrafodelista"/>
        <w:pBdr>
          <w:top w:val="nil"/>
          <w:left w:val="nil"/>
          <w:bottom w:val="nil"/>
          <w:right w:val="nil"/>
          <w:between w:val="nil"/>
        </w:pBdr>
        <w:spacing w:line="240" w:lineRule="auto"/>
        <w:ind w:leftChars="0" w:left="720" w:firstLineChars="0" w:firstLine="0"/>
        <w:jc w:val="both"/>
        <w:rPr>
          <w:rFonts w:ascii="Arial" w:eastAsia="Arial" w:hAnsi="Arial" w:cs="Arial"/>
          <w:color w:val="000000"/>
          <w:sz w:val="20"/>
          <w:szCs w:val="20"/>
        </w:rPr>
      </w:pPr>
    </w:p>
    <w:p w14:paraId="6055D51F" w14:textId="77777777" w:rsidR="009D55C9" w:rsidRDefault="00E8074A" w:rsidP="00E8074A">
      <w:pPr>
        <w:ind w:left="0" w:hanging="2"/>
        <w:jc w:val="both"/>
        <w:rPr>
          <w:rFonts w:ascii="Arial" w:eastAsia="Arial" w:hAnsi="Arial" w:cs="Arial"/>
          <w:sz w:val="20"/>
          <w:szCs w:val="20"/>
        </w:rPr>
      </w:pPr>
      <w:bookmarkStart w:id="75" w:name="_heading=h.ezknl7g0k8fk" w:colFirst="0" w:colLast="0"/>
      <w:bookmarkEnd w:id="75"/>
      <w:r>
        <w:rPr>
          <w:rFonts w:ascii="Arial" w:eastAsia="Arial" w:hAnsi="Arial" w:cs="Arial"/>
          <w:sz w:val="20"/>
          <w:szCs w:val="20"/>
        </w:rPr>
        <w:tab/>
      </w:r>
      <w:r w:rsidR="005A57E0">
        <w:rPr>
          <w:rFonts w:ascii="Arial" w:eastAsia="Arial" w:hAnsi="Arial" w:cs="Arial"/>
          <w:sz w:val="20"/>
          <w:szCs w:val="20"/>
        </w:rPr>
        <w:t>En este caso la puntuación media ajustada de MFMG a los</w:t>
      </w:r>
      <w:r w:rsidR="00250434">
        <w:rPr>
          <w:rFonts w:ascii="Arial" w:eastAsia="Arial" w:hAnsi="Arial" w:cs="Arial"/>
          <w:sz w:val="20"/>
          <w:szCs w:val="20"/>
        </w:rPr>
        <w:t xml:space="preserve"> 2 años tras el tratamiento fue </w:t>
      </w:r>
      <w:r w:rsidR="005A57E0">
        <w:rPr>
          <w:rFonts w:ascii="Arial" w:eastAsia="Arial" w:hAnsi="Arial" w:cs="Arial"/>
          <w:sz w:val="20"/>
          <w:szCs w:val="20"/>
        </w:rPr>
        <w:t>del 60,7%.</w:t>
      </w:r>
      <w:bookmarkStart w:id="76" w:name="_heading=h.idaf8h2il34h" w:colFirst="0" w:colLast="0"/>
      <w:bookmarkEnd w:id="76"/>
      <w:r>
        <w:rPr>
          <w:rFonts w:ascii="Arial" w:eastAsia="Arial" w:hAnsi="Arial" w:cs="Arial"/>
          <w:sz w:val="20"/>
          <w:szCs w:val="20"/>
        </w:rPr>
        <w:t xml:space="preserve"> </w:t>
      </w:r>
      <w:r w:rsidR="005A57E0">
        <w:rPr>
          <w:rFonts w:ascii="Arial" w:eastAsia="Arial" w:hAnsi="Arial" w:cs="Arial"/>
          <w:sz w:val="20"/>
          <w:szCs w:val="20"/>
        </w:rPr>
        <w:t>La diferencia con el grupo NHx fue del 28,7% (IC del 95%: -14,1</w:t>
      </w:r>
      <w:r w:rsidR="00BB4B0A">
        <w:rPr>
          <w:rFonts w:ascii="Arial" w:eastAsia="Arial" w:hAnsi="Arial" w:cs="Arial"/>
          <w:sz w:val="20"/>
          <w:szCs w:val="20"/>
        </w:rPr>
        <w:t xml:space="preserve"> a</w:t>
      </w:r>
      <w:r w:rsidR="005A57E0">
        <w:rPr>
          <w:rFonts w:ascii="Arial" w:eastAsia="Arial" w:hAnsi="Arial" w:cs="Arial"/>
          <w:sz w:val="20"/>
          <w:szCs w:val="20"/>
        </w:rPr>
        <w:t xml:space="preserve"> 71,5; p=0,35) al año 2. A los 3 años hubo una diferencia en el efecto del tratamiento del 43,9% (59,8% frent</w:t>
      </w:r>
      <w:r w:rsidR="00250434">
        <w:rPr>
          <w:rFonts w:ascii="Arial" w:eastAsia="Arial" w:hAnsi="Arial" w:cs="Arial"/>
          <w:sz w:val="20"/>
          <w:szCs w:val="20"/>
        </w:rPr>
        <w:t xml:space="preserve">e a </w:t>
      </w:r>
      <w:r w:rsidR="005A57E0">
        <w:rPr>
          <w:rFonts w:ascii="Arial" w:eastAsia="Arial" w:hAnsi="Arial" w:cs="Arial"/>
          <w:sz w:val="20"/>
          <w:szCs w:val="20"/>
        </w:rPr>
        <w:t>15,9%; p=0,054. En el año 4 y el año 5 se confirmó esta diferencia (42,9% para ambos: 53,6%</w:t>
      </w:r>
      <w:r w:rsidR="00BB4B0A">
        <w:rPr>
          <w:rFonts w:ascii="Arial" w:eastAsia="Arial" w:hAnsi="Arial" w:cs="Arial"/>
          <w:sz w:val="20"/>
          <w:szCs w:val="20"/>
        </w:rPr>
        <w:t xml:space="preserve"> </w:t>
      </w:r>
      <w:r w:rsidR="005A57E0">
        <w:rPr>
          <w:rFonts w:ascii="Arial" w:eastAsia="Arial" w:hAnsi="Arial" w:cs="Arial"/>
          <w:sz w:val="20"/>
          <w:szCs w:val="20"/>
        </w:rPr>
        <w:t>frente a 10,7% [p=0,</w:t>
      </w:r>
      <w:r w:rsidR="003520E1">
        <w:rPr>
          <w:rFonts w:ascii="Arial" w:eastAsia="Arial" w:hAnsi="Arial" w:cs="Arial"/>
          <w:sz w:val="20"/>
          <w:szCs w:val="20"/>
        </w:rPr>
        <w:t>054] y 50,3% frente a 7,4% [p=0,</w:t>
      </w:r>
      <w:r w:rsidR="005A57E0">
        <w:rPr>
          <w:rFonts w:ascii="Arial" w:eastAsia="Arial" w:hAnsi="Arial" w:cs="Arial"/>
          <w:sz w:val="20"/>
          <w:szCs w:val="20"/>
        </w:rPr>
        <w:t>107], respectivamente).</w:t>
      </w:r>
    </w:p>
    <w:p w14:paraId="57DDFFDF" w14:textId="77777777" w:rsidR="009D55C9" w:rsidRDefault="009D55C9">
      <w:pPr>
        <w:ind w:left="0" w:hanging="2"/>
        <w:jc w:val="both"/>
        <w:rPr>
          <w:rFonts w:ascii="Arial" w:eastAsia="Arial" w:hAnsi="Arial" w:cs="Arial"/>
          <w:color w:val="000080"/>
          <w:sz w:val="20"/>
          <w:szCs w:val="20"/>
          <w:u w:val="single"/>
        </w:rPr>
      </w:pPr>
      <w:bookmarkStart w:id="77" w:name="_heading=h.6zw06zpq5m70" w:colFirst="0" w:colLast="0"/>
      <w:bookmarkEnd w:id="77"/>
    </w:p>
    <w:p w14:paraId="7AADE048" w14:textId="77777777" w:rsidR="008321EA" w:rsidRDefault="008321EA">
      <w:pPr>
        <w:ind w:left="0" w:hanging="2"/>
        <w:jc w:val="both"/>
        <w:rPr>
          <w:rFonts w:ascii="Arial" w:eastAsia="Arial" w:hAnsi="Arial" w:cs="Arial"/>
          <w:color w:val="000080"/>
          <w:sz w:val="20"/>
          <w:szCs w:val="20"/>
          <w:u w:val="single"/>
        </w:rPr>
      </w:pPr>
      <w:bookmarkStart w:id="78" w:name="_heading=h.s4md2uym7ywa" w:colFirst="0" w:colLast="0"/>
      <w:bookmarkStart w:id="79" w:name="_heading=h.b0nklx2903uc" w:colFirst="0" w:colLast="0"/>
      <w:bookmarkEnd w:id="78"/>
      <w:bookmarkEnd w:id="79"/>
      <w:r w:rsidRPr="008321EA">
        <w:rPr>
          <w:rFonts w:ascii="Arial" w:eastAsia="Arial" w:hAnsi="Arial" w:cs="Arial"/>
          <w:noProof/>
          <w:color w:val="000080"/>
          <w:sz w:val="20"/>
          <w:szCs w:val="20"/>
          <w:u w:val="single"/>
        </w:rPr>
        <w:drawing>
          <wp:anchor distT="0" distB="0" distL="114300" distR="114300" simplePos="0" relativeHeight="251675648" behindDoc="0" locked="0" layoutInCell="1" allowOverlap="1" wp14:anchorId="5C851C9D" wp14:editId="79A79962">
            <wp:simplePos x="0" y="0"/>
            <wp:positionH relativeFrom="column">
              <wp:posOffset>-1905</wp:posOffset>
            </wp:positionH>
            <wp:positionV relativeFrom="paragraph">
              <wp:posOffset>74930</wp:posOffset>
            </wp:positionV>
            <wp:extent cx="5596890" cy="272542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6890" cy="2725420"/>
                    </a:xfrm>
                    <a:prstGeom prst="rect">
                      <a:avLst/>
                    </a:prstGeom>
                  </pic:spPr>
                </pic:pic>
              </a:graphicData>
            </a:graphic>
            <wp14:sizeRelH relativeFrom="margin">
              <wp14:pctWidth>0</wp14:pctWidth>
            </wp14:sizeRelH>
            <wp14:sizeRelV relativeFrom="margin">
              <wp14:pctHeight>0</wp14:pctHeight>
            </wp14:sizeRelV>
          </wp:anchor>
        </w:drawing>
      </w:r>
    </w:p>
    <w:p w14:paraId="7B8214ED" w14:textId="77777777" w:rsidR="008321EA" w:rsidRDefault="008321EA" w:rsidP="008321EA">
      <w:pPr>
        <w:ind w:left="0" w:hanging="2"/>
        <w:jc w:val="center"/>
        <w:rPr>
          <w:rFonts w:ascii="Arial" w:eastAsia="Arial" w:hAnsi="Arial" w:cs="Arial"/>
          <w:b/>
          <w:sz w:val="20"/>
          <w:szCs w:val="20"/>
        </w:rPr>
      </w:pPr>
      <w:r w:rsidRPr="00ED76F3">
        <w:rPr>
          <w:rFonts w:ascii="Arial" w:eastAsia="Arial" w:hAnsi="Arial" w:cs="Arial"/>
          <w:b/>
          <w:sz w:val="20"/>
          <w:szCs w:val="20"/>
        </w:rPr>
        <w:t>Figura</w:t>
      </w:r>
      <w:r w:rsidR="00786169">
        <w:rPr>
          <w:rFonts w:ascii="Arial" w:eastAsia="Arial" w:hAnsi="Arial" w:cs="Arial"/>
          <w:b/>
          <w:sz w:val="20"/>
          <w:szCs w:val="20"/>
        </w:rPr>
        <w:t xml:space="preserve"> 8</w:t>
      </w:r>
      <w:r w:rsidRPr="00ED76F3">
        <w:rPr>
          <w:rFonts w:ascii="Arial" w:eastAsia="Arial" w:hAnsi="Arial" w:cs="Arial"/>
          <w:b/>
          <w:sz w:val="20"/>
          <w:szCs w:val="20"/>
        </w:rPr>
        <w:t xml:space="preserve">: </w:t>
      </w:r>
      <w:r>
        <w:rPr>
          <w:rFonts w:ascii="Arial" w:eastAsia="Arial" w:hAnsi="Arial" w:cs="Arial"/>
          <w:b/>
          <w:sz w:val="20"/>
          <w:szCs w:val="20"/>
        </w:rPr>
        <w:t>Evolución de la MFMG en pacientes con LDM-JT sintomáticos (informe EPAR)</w:t>
      </w:r>
    </w:p>
    <w:p w14:paraId="4869C228" w14:textId="77777777" w:rsidR="008321EA" w:rsidRDefault="008321EA">
      <w:pPr>
        <w:ind w:left="0" w:hanging="2"/>
        <w:jc w:val="both"/>
        <w:rPr>
          <w:rFonts w:ascii="Arial" w:eastAsia="Arial" w:hAnsi="Arial" w:cs="Arial"/>
          <w:color w:val="000080"/>
          <w:sz w:val="20"/>
          <w:szCs w:val="20"/>
          <w:u w:val="single"/>
        </w:rPr>
      </w:pPr>
    </w:p>
    <w:p w14:paraId="1C4A4E54" w14:textId="77777777" w:rsidR="009D55C9" w:rsidRPr="00211DBF" w:rsidRDefault="005A57E0">
      <w:pPr>
        <w:ind w:left="0" w:hanging="2"/>
        <w:jc w:val="both"/>
        <w:rPr>
          <w:rFonts w:ascii="Arial" w:eastAsia="Arial" w:hAnsi="Arial" w:cs="Arial"/>
          <w:b/>
          <w:sz w:val="20"/>
          <w:szCs w:val="20"/>
          <w:u w:val="single"/>
        </w:rPr>
      </w:pPr>
      <w:bookmarkStart w:id="80" w:name="_heading=h.k8u01o34xvsl" w:colFirst="0" w:colLast="0"/>
      <w:bookmarkEnd w:id="80"/>
      <w:r w:rsidRPr="00211DBF">
        <w:rPr>
          <w:rFonts w:ascii="Arial" w:eastAsia="Arial" w:hAnsi="Arial" w:cs="Arial"/>
          <w:b/>
          <w:sz w:val="20"/>
          <w:szCs w:val="20"/>
          <w:u w:val="single"/>
        </w:rPr>
        <w:t>Supervivencia</w:t>
      </w:r>
    </w:p>
    <w:p w14:paraId="69AB9F2A" w14:textId="77777777" w:rsidR="009D55C9" w:rsidRDefault="009D55C9">
      <w:pPr>
        <w:ind w:left="0" w:hanging="2"/>
        <w:jc w:val="both"/>
        <w:rPr>
          <w:rFonts w:ascii="Arial" w:eastAsia="Arial" w:hAnsi="Arial" w:cs="Arial"/>
          <w:sz w:val="20"/>
          <w:szCs w:val="20"/>
        </w:rPr>
      </w:pPr>
    </w:p>
    <w:bookmarkStart w:id="81" w:name="_heading=h.vtxo49v0c50b" w:colFirst="0" w:colLast="0"/>
    <w:bookmarkStart w:id="82" w:name="_heading=h.319eb3vjy10r" w:colFirst="0" w:colLast="0"/>
    <w:bookmarkEnd w:id="81"/>
    <w:bookmarkEnd w:id="82"/>
    <w:p w14:paraId="7806065D" w14:textId="77777777" w:rsidR="00211DBF" w:rsidRDefault="0024715B" w:rsidP="00211DBF">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964802837"/>
        </w:sdtPr>
        <w:sdtEndPr/>
        <w:sdtContent>
          <w:r w:rsidR="00211DBF" w:rsidRPr="00ED76F3">
            <w:rPr>
              <w:rFonts w:ascii="Arial" w:eastAsia="Arial" w:hAnsi="Arial" w:cs="Arial"/>
              <w:sz w:val="20"/>
              <w:szCs w:val="20"/>
            </w:rPr>
            <w:t>Leucodistrofia metacromática variante infantil tardía</w:t>
          </w:r>
          <w:r w:rsidR="00211DBF">
            <w:rPr>
              <w:rFonts w:ascii="Arial" w:eastAsia="Arial" w:hAnsi="Arial" w:cs="Arial"/>
              <w:sz w:val="20"/>
              <w:szCs w:val="20"/>
            </w:rPr>
            <w:t xml:space="preserve"> (</w:t>
          </w:r>
        </w:sdtContent>
      </w:sdt>
      <w:r w:rsidR="00211DBF" w:rsidRPr="00ED76F3">
        <w:rPr>
          <w:rFonts w:ascii="Arial" w:eastAsia="Arial" w:hAnsi="Arial" w:cs="Arial"/>
          <w:sz w:val="20"/>
          <w:szCs w:val="20"/>
        </w:rPr>
        <w:t>LDM-IT</w:t>
      </w:r>
      <w:r w:rsidR="00211DBF">
        <w:rPr>
          <w:rFonts w:ascii="Arial" w:eastAsia="Arial" w:hAnsi="Arial" w:cs="Arial"/>
          <w:sz w:val="20"/>
          <w:szCs w:val="20"/>
        </w:rPr>
        <w:t>)</w:t>
      </w:r>
      <w:r w:rsidR="00211DBF" w:rsidRPr="00ED76F3">
        <w:rPr>
          <w:rFonts w:ascii="Arial" w:eastAsia="Arial" w:hAnsi="Arial" w:cs="Arial"/>
          <w:sz w:val="20"/>
          <w:szCs w:val="20"/>
        </w:rPr>
        <w:t>.</w:t>
      </w:r>
    </w:p>
    <w:p w14:paraId="1A2F2482" w14:textId="77777777" w:rsidR="00211DBF" w:rsidRPr="00ED76F3" w:rsidRDefault="00211DBF" w:rsidP="00211DBF">
      <w:pPr>
        <w:pStyle w:val="Prrafodelista"/>
        <w:ind w:leftChars="0" w:left="718" w:firstLineChars="0" w:firstLine="0"/>
        <w:jc w:val="both"/>
        <w:rPr>
          <w:rFonts w:ascii="Arial" w:eastAsia="Arial" w:hAnsi="Arial" w:cs="Arial"/>
          <w:sz w:val="20"/>
          <w:szCs w:val="20"/>
        </w:rPr>
      </w:pPr>
    </w:p>
    <w:p w14:paraId="1D98597C"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el último corte del estudio recogido en el informe EPAR, la media de seguimiento de todos los sujetos con LDM-IT tratados fue de </w:t>
      </w:r>
      <w:r w:rsidRPr="00211DBF">
        <w:rPr>
          <w:rFonts w:ascii="Arial" w:eastAsia="Arial" w:hAnsi="Arial" w:cs="Arial"/>
          <w:b/>
          <w:sz w:val="20"/>
          <w:szCs w:val="20"/>
        </w:rPr>
        <w:t>5,4 años (rango de 2,98 a 7,51 años)</w:t>
      </w:r>
      <w:r>
        <w:rPr>
          <w:rFonts w:ascii="Arial" w:eastAsia="Arial" w:hAnsi="Arial" w:cs="Arial"/>
          <w:sz w:val="20"/>
          <w:szCs w:val="20"/>
        </w:rPr>
        <w:t xml:space="preserve"> y todos los sujetos continúan vivos (</w:t>
      </w:r>
      <w:r w:rsidRPr="00211DBF">
        <w:rPr>
          <w:rFonts w:ascii="Arial" w:eastAsia="Arial" w:hAnsi="Arial" w:cs="Arial"/>
          <w:b/>
          <w:sz w:val="20"/>
          <w:szCs w:val="20"/>
        </w:rPr>
        <w:t>supervivencia global del 100%</w:t>
      </w:r>
      <w:r>
        <w:rPr>
          <w:rFonts w:ascii="Arial" w:eastAsia="Arial" w:hAnsi="Arial" w:cs="Arial"/>
          <w:sz w:val="20"/>
          <w:szCs w:val="20"/>
        </w:rPr>
        <w:t>). Dado que no se produjeron muertes en el subgrupo tratado con Libmeldy</w:t>
      </w:r>
      <w:r w:rsidR="00BB4B0A" w:rsidRPr="00BB4B0A">
        <w:rPr>
          <w:rFonts w:ascii="Arial" w:eastAsia="Arial" w:hAnsi="Arial" w:cs="Arial"/>
          <w:sz w:val="20"/>
          <w:szCs w:val="20"/>
          <w:vertAlign w:val="superscript"/>
        </w:rPr>
        <w:t>®</w:t>
      </w:r>
      <w:r>
        <w:rPr>
          <w:rFonts w:ascii="Arial" w:eastAsia="Arial" w:hAnsi="Arial" w:cs="Arial"/>
          <w:sz w:val="20"/>
          <w:szCs w:val="20"/>
        </w:rPr>
        <w:t>, no se dispone de la mediana del tiempo de supervivencia.</w:t>
      </w:r>
      <w:r w:rsidR="006639FA">
        <w:rPr>
          <w:rFonts w:ascii="Arial" w:eastAsia="Arial" w:hAnsi="Arial" w:cs="Arial"/>
          <w:sz w:val="20"/>
          <w:szCs w:val="20"/>
        </w:rPr>
        <w:t xml:space="preserve"> En la cohorte TIGET-NHx, la mediana de supervivencia de pacientes con LDM-IT fue de 11,2 años.</w:t>
      </w:r>
    </w:p>
    <w:p w14:paraId="78AD9DBF" w14:textId="77777777" w:rsidR="009D55C9" w:rsidRDefault="009D55C9">
      <w:pPr>
        <w:ind w:left="0" w:hanging="2"/>
        <w:jc w:val="both"/>
        <w:rPr>
          <w:rFonts w:ascii="Arial" w:eastAsia="Arial" w:hAnsi="Arial" w:cs="Arial"/>
          <w:sz w:val="20"/>
          <w:szCs w:val="20"/>
        </w:rPr>
      </w:pPr>
      <w:bookmarkStart w:id="83" w:name="_heading=h.4gpvca2rvjjb" w:colFirst="0" w:colLast="0"/>
      <w:bookmarkEnd w:id="83"/>
    </w:p>
    <w:bookmarkStart w:id="84" w:name="_heading=h.p2asncb6fedn" w:colFirst="0" w:colLast="0"/>
    <w:bookmarkStart w:id="85" w:name="_heading=h.inknp0qrlyca" w:colFirst="0" w:colLast="0"/>
    <w:bookmarkEnd w:id="84"/>
    <w:bookmarkEnd w:id="85"/>
    <w:p w14:paraId="37898EF7" w14:textId="77777777" w:rsidR="00211DBF" w:rsidRDefault="0024715B" w:rsidP="00211DBF">
      <w:pPr>
        <w:pStyle w:val="Prrafodelista"/>
        <w:numPr>
          <w:ilvl w:val="0"/>
          <w:numId w:val="29"/>
        </w:numPr>
        <w:ind w:leftChars="0" w:firstLineChars="0"/>
        <w:jc w:val="both"/>
        <w:rPr>
          <w:rFonts w:ascii="Arial" w:eastAsia="Arial" w:hAnsi="Arial" w:cs="Arial"/>
          <w:sz w:val="20"/>
          <w:szCs w:val="20"/>
        </w:rPr>
      </w:pPr>
      <w:sdt>
        <w:sdtPr>
          <w:rPr>
            <w:rFonts w:eastAsia="Arial"/>
          </w:rPr>
          <w:tag w:val="goog_rdk_3"/>
          <w:id w:val="980415307"/>
        </w:sdtPr>
        <w:sdtEndPr/>
        <w:sdtContent>
          <w:r w:rsidR="00211DBF" w:rsidRPr="00ED76F3">
            <w:rPr>
              <w:rFonts w:ascii="Arial" w:eastAsia="Arial" w:hAnsi="Arial" w:cs="Arial"/>
              <w:sz w:val="20"/>
              <w:szCs w:val="20"/>
            </w:rPr>
            <w:t xml:space="preserve">Leucodistrofia metacromática variante </w:t>
          </w:r>
          <w:r w:rsidR="00211DBF">
            <w:rPr>
              <w:rFonts w:ascii="Arial" w:eastAsia="Arial" w:hAnsi="Arial" w:cs="Arial"/>
              <w:sz w:val="20"/>
              <w:szCs w:val="20"/>
            </w:rPr>
            <w:t>juvenil temprana (</w:t>
          </w:r>
        </w:sdtContent>
      </w:sdt>
      <w:r w:rsidR="00211DBF">
        <w:rPr>
          <w:rFonts w:ascii="Arial" w:eastAsia="Arial" w:hAnsi="Arial" w:cs="Arial"/>
          <w:sz w:val="20"/>
          <w:szCs w:val="20"/>
        </w:rPr>
        <w:t>LDM-J</w:t>
      </w:r>
      <w:r w:rsidR="00211DBF" w:rsidRPr="00ED76F3">
        <w:rPr>
          <w:rFonts w:ascii="Arial" w:eastAsia="Arial" w:hAnsi="Arial" w:cs="Arial"/>
          <w:sz w:val="20"/>
          <w:szCs w:val="20"/>
        </w:rPr>
        <w:t>T</w:t>
      </w:r>
      <w:r w:rsidR="00211DBF">
        <w:rPr>
          <w:rFonts w:ascii="Arial" w:eastAsia="Arial" w:hAnsi="Arial" w:cs="Arial"/>
          <w:sz w:val="20"/>
          <w:szCs w:val="20"/>
        </w:rPr>
        <w:t>)</w:t>
      </w:r>
      <w:r w:rsidR="00211DBF" w:rsidRPr="00ED76F3">
        <w:rPr>
          <w:rFonts w:ascii="Arial" w:eastAsia="Arial" w:hAnsi="Arial" w:cs="Arial"/>
          <w:sz w:val="20"/>
          <w:szCs w:val="20"/>
        </w:rPr>
        <w:t>.</w:t>
      </w:r>
    </w:p>
    <w:p w14:paraId="333E66D5" w14:textId="77777777" w:rsidR="00211DBF" w:rsidRDefault="00211DBF">
      <w:pPr>
        <w:ind w:left="0" w:hanging="2"/>
        <w:jc w:val="both"/>
        <w:rPr>
          <w:rFonts w:ascii="Arial" w:eastAsia="Arial" w:hAnsi="Arial" w:cs="Arial"/>
          <w:sz w:val="20"/>
          <w:szCs w:val="20"/>
        </w:rPr>
      </w:pPr>
    </w:p>
    <w:p w14:paraId="7BFBCFB1" w14:textId="77777777" w:rsidR="00211DBF" w:rsidRDefault="005A57E0">
      <w:pPr>
        <w:ind w:left="0" w:hanging="2"/>
        <w:jc w:val="both"/>
        <w:rPr>
          <w:rFonts w:ascii="Arial" w:eastAsia="Arial" w:hAnsi="Arial" w:cs="Arial"/>
          <w:sz w:val="20"/>
          <w:szCs w:val="20"/>
        </w:rPr>
      </w:pPr>
      <w:r>
        <w:rPr>
          <w:rFonts w:ascii="Arial" w:eastAsia="Arial" w:hAnsi="Arial" w:cs="Arial"/>
          <w:sz w:val="20"/>
          <w:szCs w:val="20"/>
        </w:rPr>
        <w:t>Dos de los 11 (18%) pacientes del subgrupo con LDM-JT tratados con Libmeldy</w:t>
      </w:r>
      <w:r w:rsidR="00211DBF" w:rsidRPr="00211DBF">
        <w:rPr>
          <w:rFonts w:ascii="Arial" w:eastAsia="Arial" w:hAnsi="Arial" w:cs="Arial"/>
          <w:sz w:val="20"/>
          <w:szCs w:val="20"/>
          <w:vertAlign w:val="superscript"/>
        </w:rPr>
        <w:t>®</w:t>
      </w:r>
      <w:r>
        <w:rPr>
          <w:rFonts w:ascii="Arial" w:eastAsia="Arial" w:hAnsi="Arial" w:cs="Arial"/>
          <w:sz w:val="20"/>
          <w:szCs w:val="20"/>
        </w:rPr>
        <w:t xml:space="preserve"> murieron debido a la progresión de la enfermedad (los padres decidieron no continuar con todos los cuidados de soporte), y 3 de los 12 (21%) participantes en el estudio TIGET-NHx habían fallecido en el m</w:t>
      </w:r>
      <w:r w:rsidR="00FC4BD1">
        <w:rPr>
          <w:rFonts w:ascii="Arial" w:eastAsia="Arial" w:hAnsi="Arial" w:cs="Arial"/>
          <w:sz w:val="20"/>
          <w:szCs w:val="20"/>
        </w:rPr>
        <w:t>omento del análisis intermedio.</w:t>
      </w:r>
    </w:p>
    <w:p w14:paraId="065BC319" w14:textId="77777777" w:rsidR="00FC4BD1" w:rsidRDefault="00FC4BD1">
      <w:pPr>
        <w:ind w:left="0" w:hanging="2"/>
        <w:jc w:val="both"/>
        <w:rPr>
          <w:rFonts w:ascii="Arial" w:eastAsia="Arial" w:hAnsi="Arial" w:cs="Arial"/>
          <w:sz w:val="20"/>
          <w:szCs w:val="20"/>
        </w:rPr>
      </w:pPr>
    </w:p>
    <w:p w14:paraId="09584B0F" w14:textId="77777777" w:rsidR="009D55C9" w:rsidRDefault="00211DBF">
      <w:pPr>
        <w:ind w:left="0" w:hanging="2"/>
        <w:jc w:val="both"/>
        <w:rPr>
          <w:rFonts w:ascii="Arial" w:eastAsia="Arial" w:hAnsi="Arial" w:cs="Arial"/>
          <w:sz w:val="20"/>
          <w:szCs w:val="20"/>
        </w:rPr>
      </w:pPr>
      <w:r>
        <w:rPr>
          <w:rFonts w:ascii="Arial" w:eastAsia="Arial" w:hAnsi="Arial" w:cs="Arial"/>
          <w:sz w:val="20"/>
          <w:szCs w:val="20"/>
        </w:rPr>
        <w:t>N</w:t>
      </w:r>
      <w:r w:rsidR="005A57E0">
        <w:rPr>
          <w:rFonts w:ascii="Arial" w:eastAsia="Arial" w:hAnsi="Arial" w:cs="Arial"/>
          <w:sz w:val="20"/>
          <w:szCs w:val="20"/>
        </w:rPr>
        <w:t xml:space="preserve">inguno de los pacientes </w:t>
      </w:r>
      <w:r w:rsidR="005A57E0" w:rsidRPr="00211DBF">
        <w:rPr>
          <w:rFonts w:ascii="Arial" w:eastAsia="Arial" w:hAnsi="Arial" w:cs="Arial"/>
          <w:b/>
          <w:sz w:val="20"/>
          <w:szCs w:val="20"/>
        </w:rPr>
        <w:t>presintomáticos</w:t>
      </w:r>
      <w:r w:rsidR="00FC4BD1">
        <w:rPr>
          <w:rFonts w:ascii="Arial" w:eastAsia="Arial" w:hAnsi="Arial" w:cs="Arial"/>
          <w:sz w:val="20"/>
          <w:szCs w:val="20"/>
        </w:rPr>
        <w:t xml:space="preserve"> tratados falleció.</w:t>
      </w:r>
      <w:r w:rsidR="00E31767">
        <w:rPr>
          <w:rFonts w:ascii="Arial" w:eastAsia="Arial" w:hAnsi="Arial" w:cs="Arial"/>
          <w:sz w:val="20"/>
          <w:szCs w:val="20"/>
        </w:rPr>
        <w:t xml:space="preserve"> Los d</w:t>
      </w:r>
      <w:r w:rsidR="005A57E0">
        <w:rPr>
          <w:rFonts w:ascii="Arial" w:eastAsia="Arial" w:hAnsi="Arial" w:cs="Arial"/>
          <w:sz w:val="20"/>
          <w:szCs w:val="20"/>
        </w:rPr>
        <w:t>os</w:t>
      </w:r>
      <w:r w:rsidR="00E31767">
        <w:rPr>
          <w:rFonts w:ascii="Arial" w:eastAsia="Arial" w:hAnsi="Arial" w:cs="Arial"/>
          <w:sz w:val="20"/>
          <w:szCs w:val="20"/>
        </w:rPr>
        <w:t xml:space="preserve"> sujetos</w:t>
      </w:r>
      <w:r w:rsidR="005A57E0">
        <w:rPr>
          <w:rFonts w:ascii="Arial" w:eastAsia="Arial" w:hAnsi="Arial" w:cs="Arial"/>
          <w:sz w:val="20"/>
          <w:szCs w:val="20"/>
        </w:rPr>
        <w:t xml:space="preserve"> </w:t>
      </w:r>
      <w:r w:rsidR="00E31767">
        <w:rPr>
          <w:rFonts w:ascii="Arial" w:eastAsia="Arial" w:hAnsi="Arial" w:cs="Arial"/>
          <w:sz w:val="20"/>
          <w:szCs w:val="20"/>
        </w:rPr>
        <w:t>fallecidos correspondieron al</w:t>
      </w:r>
      <w:r w:rsidR="005A57E0">
        <w:rPr>
          <w:rFonts w:ascii="Arial" w:eastAsia="Arial" w:hAnsi="Arial" w:cs="Arial"/>
          <w:sz w:val="20"/>
          <w:szCs w:val="20"/>
        </w:rPr>
        <w:t xml:space="preserve"> subgrupo</w:t>
      </w:r>
      <w:r w:rsidR="005A57E0" w:rsidRPr="00211DBF">
        <w:rPr>
          <w:rFonts w:ascii="Arial" w:eastAsia="Arial" w:hAnsi="Arial" w:cs="Arial"/>
          <w:sz w:val="20"/>
          <w:szCs w:val="20"/>
        </w:rPr>
        <w:t xml:space="preserve"> </w:t>
      </w:r>
      <w:r w:rsidR="00E31767">
        <w:rPr>
          <w:rFonts w:ascii="Arial" w:eastAsia="Arial" w:hAnsi="Arial" w:cs="Arial"/>
          <w:sz w:val="20"/>
          <w:szCs w:val="20"/>
        </w:rPr>
        <w:t>de pacientes</w:t>
      </w:r>
      <w:r w:rsidR="00E31767" w:rsidRPr="00211DBF">
        <w:rPr>
          <w:rFonts w:ascii="Arial" w:eastAsia="Arial" w:hAnsi="Arial" w:cs="Arial"/>
          <w:b/>
          <w:sz w:val="20"/>
          <w:szCs w:val="20"/>
        </w:rPr>
        <w:t xml:space="preserve"> </w:t>
      </w:r>
      <w:r w:rsidR="005A57E0" w:rsidRPr="00211DBF">
        <w:rPr>
          <w:rFonts w:ascii="Arial" w:eastAsia="Arial" w:hAnsi="Arial" w:cs="Arial"/>
          <w:b/>
          <w:sz w:val="20"/>
          <w:szCs w:val="20"/>
        </w:rPr>
        <w:t>sintomático</w:t>
      </w:r>
      <w:r w:rsidR="00E31767">
        <w:rPr>
          <w:rFonts w:ascii="Arial" w:eastAsia="Arial" w:hAnsi="Arial" w:cs="Arial"/>
          <w:b/>
          <w:sz w:val="20"/>
          <w:szCs w:val="20"/>
        </w:rPr>
        <w:t>s</w:t>
      </w:r>
      <w:r w:rsidR="00E31767">
        <w:rPr>
          <w:rFonts w:ascii="Arial" w:eastAsia="Arial" w:hAnsi="Arial" w:cs="Arial"/>
          <w:sz w:val="20"/>
          <w:szCs w:val="20"/>
        </w:rPr>
        <w:t xml:space="preserve"> (2/7)</w:t>
      </w:r>
      <w:r w:rsidR="005A57E0">
        <w:rPr>
          <w:rFonts w:ascii="Arial" w:eastAsia="Arial" w:hAnsi="Arial" w:cs="Arial"/>
          <w:sz w:val="20"/>
          <w:szCs w:val="20"/>
        </w:rPr>
        <w:t xml:space="preserve">. </w:t>
      </w:r>
    </w:p>
    <w:p w14:paraId="1B444209" w14:textId="77777777" w:rsidR="00F27589" w:rsidRDefault="00F27589">
      <w:pPr>
        <w:ind w:left="0" w:hanging="2"/>
        <w:jc w:val="both"/>
        <w:rPr>
          <w:rFonts w:ascii="Arial" w:eastAsia="Arial" w:hAnsi="Arial" w:cs="Arial"/>
          <w:sz w:val="20"/>
          <w:szCs w:val="20"/>
        </w:rPr>
      </w:pPr>
    </w:p>
    <w:p w14:paraId="24A626F7" w14:textId="77777777" w:rsidR="00F27589" w:rsidRPr="00F27589" w:rsidRDefault="00F27589" w:rsidP="00F27589">
      <w:pPr>
        <w:pBdr>
          <w:top w:val="single" w:sz="4" w:space="1" w:color="auto"/>
          <w:left w:val="single" w:sz="4" w:space="4" w:color="auto"/>
          <w:bottom w:val="single" w:sz="4" w:space="1" w:color="auto"/>
          <w:right w:val="single" w:sz="4" w:space="4" w:color="auto"/>
        </w:pBdr>
        <w:ind w:left="0" w:hanging="2"/>
        <w:jc w:val="both"/>
        <w:rPr>
          <w:rFonts w:ascii="Arial" w:eastAsia="Arial" w:hAnsi="Arial" w:cs="Arial"/>
          <w:b/>
          <w:i/>
          <w:sz w:val="20"/>
          <w:szCs w:val="20"/>
        </w:rPr>
      </w:pPr>
      <w:r w:rsidRPr="00F27589">
        <w:rPr>
          <w:rFonts w:ascii="Arial" w:eastAsia="Arial" w:hAnsi="Arial" w:cs="Arial"/>
          <w:b/>
          <w:i/>
          <w:sz w:val="20"/>
          <w:szCs w:val="20"/>
        </w:rPr>
        <w:t xml:space="preserve">Análisis conjunto de los datos del EC 201222 y los programas de acceso expandido </w:t>
      </w:r>
    </w:p>
    <w:p w14:paraId="1531A774" w14:textId="77777777" w:rsidR="009D55C9" w:rsidRDefault="009D55C9">
      <w:pPr>
        <w:ind w:left="0" w:hanging="2"/>
        <w:jc w:val="both"/>
        <w:rPr>
          <w:rFonts w:ascii="Arial" w:eastAsia="Arial" w:hAnsi="Arial" w:cs="Arial"/>
          <w:color w:val="000080"/>
          <w:sz w:val="20"/>
          <w:szCs w:val="20"/>
          <w:u w:val="single"/>
        </w:rPr>
      </w:pPr>
      <w:bookmarkStart w:id="86" w:name="_heading=h.itsn1aovb89f" w:colFirst="0" w:colLast="0"/>
      <w:bookmarkEnd w:id="86"/>
    </w:p>
    <w:p w14:paraId="2CF1B8D3" w14:textId="77777777" w:rsidR="00F27589" w:rsidRDefault="00F27589">
      <w:pPr>
        <w:ind w:left="0" w:hanging="2"/>
        <w:jc w:val="both"/>
        <w:rPr>
          <w:rFonts w:ascii="Arial" w:eastAsia="Arial" w:hAnsi="Arial" w:cs="Arial"/>
          <w:sz w:val="20"/>
          <w:szCs w:val="20"/>
        </w:rPr>
      </w:pPr>
      <w:r w:rsidRPr="00F27589">
        <w:rPr>
          <w:rFonts w:ascii="Arial" w:eastAsia="Arial" w:hAnsi="Arial" w:cs="Arial"/>
          <w:sz w:val="20"/>
          <w:szCs w:val="20"/>
        </w:rPr>
        <w:t xml:space="preserve">Siete </w:t>
      </w:r>
      <w:r w:rsidR="00E22070">
        <w:rPr>
          <w:rFonts w:ascii="Arial" w:eastAsia="Arial" w:hAnsi="Arial" w:cs="Arial"/>
          <w:sz w:val="20"/>
          <w:szCs w:val="20"/>
        </w:rPr>
        <w:t>pacientes presintomáticos con LDM-IT y dos presintomáticos con LDM-JT recibieron Libmeldy</w:t>
      </w:r>
      <w:r w:rsidR="00E22070" w:rsidRPr="00E31767">
        <w:rPr>
          <w:rFonts w:ascii="Arial" w:eastAsia="Arial" w:hAnsi="Arial" w:cs="Arial"/>
          <w:sz w:val="20"/>
          <w:szCs w:val="20"/>
          <w:vertAlign w:val="superscript"/>
        </w:rPr>
        <w:t>®</w:t>
      </w:r>
      <w:r w:rsidR="00E22070">
        <w:rPr>
          <w:rFonts w:ascii="Arial" w:eastAsia="Arial" w:hAnsi="Arial" w:cs="Arial"/>
          <w:sz w:val="20"/>
          <w:szCs w:val="20"/>
        </w:rPr>
        <w:t xml:space="preserve"> dentro de tres programas de acceso expandido</w:t>
      </w:r>
      <w:r w:rsidR="00DE498C">
        <w:rPr>
          <w:rFonts w:ascii="Arial" w:eastAsia="Arial" w:hAnsi="Arial" w:cs="Arial"/>
          <w:sz w:val="20"/>
          <w:szCs w:val="20"/>
        </w:rPr>
        <w:t>, con una mediana de seguim</w:t>
      </w:r>
      <w:r w:rsidR="00E31767">
        <w:rPr>
          <w:rFonts w:ascii="Arial" w:eastAsia="Arial" w:hAnsi="Arial" w:cs="Arial"/>
          <w:sz w:val="20"/>
          <w:szCs w:val="20"/>
        </w:rPr>
        <w:t xml:space="preserve">iento de 1,5 años (rango: 0,99 </w:t>
      </w:r>
      <w:r w:rsidR="00DE498C">
        <w:rPr>
          <w:rFonts w:ascii="Arial" w:eastAsia="Arial" w:hAnsi="Arial" w:cs="Arial"/>
          <w:sz w:val="20"/>
          <w:szCs w:val="20"/>
        </w:rPr>
        <w:t>a 2,72).</w:t>
      </w:r>
    </w:p>
    <w:p w14:paraId="504C4C85" w14:textId="77777777" w:rsidR="00DE498C" w:rsidRDefault="00DE498C">
      <w:pPr>
        <w:ind w:left="0" w:hanging="2"/>
        <w:jc w:val="both"/>
        <w:rPr>
          <w:rFonts w:ascii="Arial" w:eastAsia="Arial" w:hAnsi="Arial" w:cs="Arial"/>
          <w:sz w:val="20"/>
          <w:szCs w:val="20"/>
        </w:rPr>
      </w:pPr>
    </w:p>
    <w:p w14:paraId="1A206A4D" w14:textId="77777777" w:rsidR="00DE498C" w:rsidRDefault="008A0A6E">
      <w:pPr>
        <w:ind w:left="0" w:hanging="2"/>
        <w:jc w:val="both"/>
        <w:rPr>
          <w:rFonts w:ascii="Arial" w:eastAsia="Arial" w:hAnsi="Arial" w:cs="Arial"/>
          <w:sz w:val="20"/>
          <w:szCs w:val="20"/>
        </w:rPr>
      </w:pPr>
      <w:r>
        <w:rPr>
          <w:rFonts w:ascii="Arial" w:eastAsia="Arial" w:hAnsi="Arial" w:cs="Arial"/>
          <w:sz w:val="20"/>
          <w:szCs w:val="20"/>
        </w:rPr>
        <w:t>Los resultados de estos nueve pacientes se analizaron de manera integrada con los 20 procedentes del EC 201222 y se compararon con los datos de historia natural de la enfermedad (estudio TIGET-NHx).</w:t>
      </w:r>
    </w:p>
    <w:p w14:paraId="689AD999" w14:textId="77777777" w:rsidR="008A0A6E" w:rsidRDefault="008A0A6E">
      <w:pPr>
        <w:ind w:left="0" w:hanging="2"/>
        <w:jc w:val="both"/>
        <w:rPr>
          <w:rFonts w:ascii="Arial" w:eastAsia="Arial" w:hAnsi="Arial" w:cs="Arial"/>
          <w:sz w:val="20"/>
          <w:szCs w:val="20"/>
        </w:rPr>
      </w:pPr>
    </w:p>
    <w:p w14:paraId="179AA351" w14:textId="77777777" w:rsidR="008A0A6E" w:rsidRPr="003D1ECE" w:rsidRDefault="008A0A6E" w:rsidP="008A0A6E">
      <w:pPr>
        <w:ind w:left="0" w:hanging="2"/>
        <w:jc w:val="both"/>
        <w:rPr>
          <w:rFonts w:ascii="Arial" w:eastAsia="Arial" w:hAnsi="Arial" w:cs="Arial"/>
          <w:b/>
          <w:sz w:val="20"/>
          <w:szCs w:val="20"/>
          <w:u w:val="single"/>
        </w:rPr>
      </w:pPr>
      <w:r w:rsidRPr="003D1ECE">
        <w:rPr>
          <w:rFonts w:ascii="Arial" w:eastAsia="Arial" w:hAnsi="Arial" w:cs="Arial"/>
          <w:b/>
          <w:sz w:val="20"/>
          <w:szCs w:val="20"/>
          <w:u w:val="single"/>
        </w:rPr>
        <w:t>Medida de la función motora gruesa (MFMG)</w:t>
      </w:r>
    </w:p>
    <w:p w14:paraId="22782103" w14:textId="77777777" w:rsidR="008A0A6E" w:rsidRDefault="008A0A6E" w:rsidP="008A0A6E">
      <w:pPr>
        <w:ind w:left="0" w:hanging="2"/>
        <w:jc w:val="both"/>
        <w:rPr>
          <w:rFonts w:ascii="Arial" w:eastAsia="Arial" w:hAnsi="Arial" w:cs="Arial"/>
          <w:sz w:val="20"/>
          <w:szCs w:val="20"/>
        </w:rPr>
      </w:pPr>
    </w:p>
    <w:p w14:paraId="7597279C" w14:textId="77777777" w:rsidR="0099190B" w:rsidRDefault="008A0A6E" w:rsidP="008A0A6E">
      <w:pPr>
        <w:ind w:left="0" w:hanging="2"/>
        <w:jc w:val="both"/>
        <w:rPr>
          <w:rFonts w:ascii="Arial" w:eastAsia="Arial" w:hAnsi="Arial" w:cs="Arial"/>
          <w:sz w:val="20"/>
          <w:szCs w:val="20"/>
        </w:rPr>
      </w:pPr>
      <w:r w:rsidRPr="008A0A6E">
        <w:rPr>
          <w:rFonts w:ascii="Arial" w:eastAsia="Arial" w:hAnsi="Arial" w:cs="Arial"/>
          <w:sz w:val="20"/>
          <w:szCs w:val="20"/>
        </w:rPr>
        <w:t xml:space="preserve">Los pacientes de </w:t>
      </w:r>
      <w:r w:rsidRPr="00D0027E">
        <w:rPr>
          <w:rFonts w:ascii="Arial" w:eastAsia="Arial" w:hAnsi="Arial" w:cs="Arial"/>
          <w:b/>
          <w:sz w:val="20"/>
          <w:szCs w:val="20"/>
        </w:rPr>
        <w:t>LDM-IT</w:t>
      </w:r>
      <w:r>
        <w:rPr>
          <w:rFonts w:ascii="Arial" w:eastAsia="Arial" w:hAnsi="Arial" w:cs="Arial"/>
          <w:sz w:val="20"/>
          <w:szCs w:val="20"/>
        </w:rPr>
        <w:t xml:space="preserve"> </w:t>
      </w:r>
      <w:r w:rsidRPr="008A0A6E">
        <w:rPr>
          <w:rFonts w:ascii="Arial" w:eastAsia="Arial" w:hAnsi="Arial" w:cs="Arial"/>
          <w:sz w:val="20"/>
          <w:szCs w:val="20"/>
        </w:rPr>
        <w:t>tratados antes del comienzo de la manifestación de los</w:t>
      </w:r>
      <w:r>
        <w:rPr>
          <w:rFonts w:ascii="Arial" w:eastAsia="Arial" w:hAnsi="Arial" w:cs="Arial"/>
          <w:sz w:val="20"/>
          <w:szCs w:val="20"/>
        </w:rPr>
        <w:t xml:space="preserve"> </w:t>
      </w:r>
      <w:r w:rsidRPr="008A0A6E">
        <w:rPr>
          <w:rFonts w:ascii="Arial" w:eastAsia="Arial" w:hAnsi="Arial" w:cs="Arial"/>
          <w:sz w:val="20"/>
          <w:szCs w:val="20"/>
        </w:rPr>
        <w:t>síntomas mostraron un desarrollo motriz normal, una estabilización o un retraso en la tasa de</w:t>
      </w:r>
      <w:r>
        <w:rPr>
          <w:rFonts w:ascii="Arial" w:eastAsia="Arial" w:hAnsi="Arial" w:cs="Arial"/>
          <w:sz w:val="20"/>
          <w:szCs w:val="20"/>
        </w:rPr>
        <w:t xml:space="preserve"> </w:t>
      </w:r>
      <w:r w:rsidRPr="008A0A6E">
        <w:rPr>
          <w:rFonts w:ascii="Arial" w:eastAsia="Arial" w:hAnsi="Arial" w:cs="Arial"/>
          <w:sz w:val="20"/>
          <w:szCs w:val="20"/>
        </w:rPr>
        <w:t>progresión de la disfunción motora según la medición de la puntuación total de MFMG (%)</w:t>
      </w:r>
      <w:r>
        <w:rPr>
          <w:rFonts w:ascii="Arial" w:eastAsia="Arial" w:hAnsi="Arial" w:cs="Arial"/>
          <w:sz w:val="20"/>
          <w:szCs w:val="20"/>
        </w:rPr>
        <w:t xml:space="preserve">. </w:t>
      </w:r>
      <w:r w:rsidR="0099190B">
        <w:rPr>
          <w:rFonts w:ascii="Arial" w:eastAsia="Arial" w:hAnsi="Arial" w:cs="Arial"/>
          <w:sz w:val="20"/>
          <w:szCs w:val="20"/>
        </w:rPr>
        <w:t>L</w:t>
      </w:r>
      <w:r w:rsidRPr="008A0A6E">
        <w:rPr>
          <w:rFonts w:ascii="Arial" w:eastAsia="Arial" w:hAnsi="Arial" w:cs="Arial"/>
          <w:sz w:val="20"/>
          <w:szCs w:val="20"/>
        </w:rPr>
        <w:t>a</w:t>
      </w:r>
      <w:r w:rsidR="0099190B">
        <w:rPr>
          <w:rFonts w:ascii="Arial" w:eastAsia="Arial" w:hAnsi="Arial" w:cs="Arial"/>
          <w:sz w:val="20"/>
          <w:szCs w:val="20"/>
        </w:rPr>
        <w:t xml:space="preserve"> </w:t>
      </w:r>
      <w:r w:rsidRPr="008A0A6E">
        <w:rPr>
          <w:rFonts w:ascii="Arial" w:eastAsia="Arial" w:hAnsi="Arial" w:cs="Arial"/>
          <w:sz w:val="20"/>
          <w:szCs w:val="20"/>
        </w:rPr>
        <w:t xml:space="preserve">diferencia media entre los pacientes </w:t>
      </w:r>
      <w:r w:rsidR="0099190B">
        <w:rPr>
          <w:rFonts w:ascii="Arial" w:eastAsia="Arial" w:hAnsi="Arial" w:cs="Arial"/>
          <w:sz w:val="20"/>
          <w:szCs w:val="20"/>
        </w:rPr>
        <w:t>con LDM-</w:t>
      </w:r>
      <w:r w:rsidRPr="008A0A6E">
        <w:rPr>
          <w:rFonts w:ascii="Arial" w:eastAsia="Arial" w:hAnsi="Arial" w:cs="Arial"/>
          <w:sz w:val="20"/>
          <w:szCs w:val="20"/>
        </w:rPr>
        <w:t xml:space="preserve">IT presintomáticos tratados y los pacientes </w:t>
      </w:r>
      <w:r w:rsidR="0099190B">
        <w:rPr>
          <w:rFonts w:ascii="Arial" w:eastAsia="Arial" w:hAnsi="Arial" w:cs="Arial"/>
          <w:sz w:val="20"/>
          <w:szCs w:val="20"/>
        </w:rPr>
        <w:t>con LDM-</w:t>
      </w:r>
      <w:r w:rsidRPr="008A0A6E">
        <w:rPr>
          <w:rFonts w:ascii="Arial" w:eastAsia="Arial" w:hAnsi="Arial" w:cs="Arial"/>
          <w:sz w:val="20"/>
          <w:szCs w:val="20"/>
        </w:rPr>
        <w:t>IT no tratados del</w:t>
      </w:r>
      <w:r w:rsidR="0099190B">
        <w:rPr>
          <w:rFonts w:ascii="Arial" w:eastAsia="Arial" w:hAnsi="Arial" w:cs="Arial"/>
          <w:sz w:val="20"/>
          <w:szCs w:val="20"/>
        </w:rPr>
        <w:t xml:space="preserve"> </w:t>
      </w:r>
      <w:r w:rsidRPr="008A0A6E">
        <w:rPr>
          <w:rFonts w:ascii="Arial" w:eastAsia="Arial" w:hAnsi="Arial" w:cs="Arial"/>
          <w:sz w:val="20"/>
          <w:szCs w:val="20"/>
        </w:rPr>
        <w:t xml:space="preserve">estudio de HN fue del 71,0 % en el segundo año y del 79,8 % en el tercero. </w:t>
      </w:r>
    </w:p>
    <w:p w14:paraId="42D77C5D" w14:textId="77777777" w:rsidR="0099190B" w:rsidRDefault="0099190B" w:rsidP="008A0A6E">
      <w:pPr>
        <w:ind w:left="0" w:hanging="2"/>
        <w:jc w:val="both"/>
        <w:rPr>
          <w:rFonts w:ascii="Arial" w:eastAsia="Arial" w:hAnsi="Arial" w:cs="Arial"/>
          <w:sz w:val="20"/>
          <w:szCs w:val="20"/>
        </w:rPr>
      </w:pPr>
    </w:p>
    <w:p w14:paraId="5FCADCD1" w14:textId="77777777" w:rsidR="008A0A6E" w:rsidRDefault="008A0A6E" w:rsidP="0099190B">
      <w:pPr>
        <w:ind w:left="0" w:hanging="2"/>
        <w:jc w:val="both"/>
        <w:rPr>
          <w:rFonts w:ascii="Arial" w:eastAsia="Arial" w:hAnsi="Arial" w:cs="Arial"/>
          <w:sz w:val="20"/>
          <w:szCs w:val="20"/>
        </w:rPr>
      </w:pPr>
      <w:r w:rsidRPr="008A0A6E">
        <w:rPr>
          <w:rFonts w:ascii="Arial" w:eastAsia="Arial" w:hAnsi="Arial" w:cs="Arial"/>
          <w:sz w:val="20"/>
          <w:szCs w:val="20"/>
        </w:rPr>
        <w:t>Del mismo modo, la</w:t>
      </w:r>
      <w:r w:rsidR="0099190B">
        <w:rPr>
          <w:rFonts w:ascii="Arial" w:eastAsia="Arial" w:hAnsi="Arial" w:cs="Arial"/>
          <w:sz w:val="20"/>
          <w:szCs w:val="20"/>
        </w:rPr>
        <w:t xml:space="preserve"> </w:t>
      </w:r>
      <w:r w:rsidRPr="008A0A6E">
        <w:rPr>
          <w:rFonts w:ascii="Arial" w:eastAsia="Arial" w:hAnsi="Arial" w:cs="Arial"/>
          <w:sz w:val="20"/>
          <w:szCs w:val="20"/>
        </w:rPr>
        <w:t xml:space="preserve">diferencia media entre los pacientes </w:t>
      </w:r>
      <w:r w:rsidR="0099190B">
        <w:rPr>
          <w:rFonts w:ascii="Arial" w:eastAsia="Arial" w:hAnsi="Arial" w:cs="Arial"/>
          <w:sz w:val="20"/>
          <w:szCs w:val="20"/>
        </w:rPr>
        <w:t xml:space="preserve">con </w:t>
      </w:r>
      <w:r w:rsidR="0099190B" w:rsidRPr="00D0027E">
        <w:rPr>
          <w:rFonts w:ascii="Arial" w:eastAsia="Arial" w:hAnsi="Arial" w:cs="Arial"/>
          <w:b/>
          <w:sz w:val="20"/>
          <w:szCs w:val="20"/>
        </w:rPr>
        <w:t>LDM-</w:t>
      </w:r>
      <w:r w:rsidRPr="00D0027E">
        <w:rPr>
          <w:rFonts w:ascii="Arial" w:eastAsia="Arial" w:hAnsi="Arial" w:cs="Arial"/>
          <w:b/>
          <w:sz w:val="20"/>
          <w:szCs w:val="20"/>
        </w:rPr>
        <w:t>JT presintomáticos</w:t>
      </w:r>
      <w:r w:rsidRPr="008A0A6E">
        <w:rPr>
          <w:rFonts w:ascii="Arial" w:eastAsia="Arial" w:hAnsi="Arial" w:cs="Arial"/>
          <w:sz w:val="20"/>
          <w:szCs w:val="20"/>
        </w:rPr>
        <w:t xml:space="preserve"> tratados y los pacientes </w:t>
      </w:r>
      <w:r w:rsidR="0099190B">
        <w:rPr>
          <w:rFonts w:ascii="Arial" w:eastAsia="Arial" w:hAnsi="Arial" w:cs="Arial"/>
          <w:sz w:val="20"/>
          <w:szCs w:val="20"/>
        </w:rPr>
        <w:t>con LDM-</w:t>
      </w:r>
      <w:r w:rsidRPr="008A0A6E">
        <w:rPr>
          <w:rFonts w:ascii="Arial" w:eastAsia="Arial" w:hAnsi="Arial" w:cs="Arial"/>
          <w:sz w:val="20"/>
          <w:szCs w:val="20"/>
        </w:rPr>
        <w:t>JT no tratados de la</w:t>
      </w:r>
      <w:r w:rsidR="0099190B">
        <w:rPr>
          <w:rFonts w:ascii="Arial" w:eastAsia="Arial" w:hAnsi="Arial" w:cs="Arial"/>
          <w:sz w:val="20"/>
          <w:szCs w:val="20"/>
        </w:rPr>
        <w:t xml:space="preserve"> </w:t>
      </w:r>
      <w:r w:rsidR="0099190B" w:rsidRPr="0099190B">
        <w:rPr>
          <w:rFonts w:ascii="Arial" w:eastAsia="Arial" w:hAnsi="Arial" w:cs="Arial"/>
          <w:sz w:val="20"/>
          <w:szCs w:val="20"/>
        </w:rPr>
        <w:t>misma</w:t>
      </w:r>
      <w:r w:rsidR="006639FA">
        <w:rPr>
          <w:rFonts w:ascii="Arial" w:eastAsia="Arial" w:hAnsi="Arial" w:cs="Arial"/>
          <w:sz w:val="20"/>
          <w:szCs w:val="20"/>
        </w:rPr>
        <w:t xml:space="preserve"> edad fue del 52,4</w:t>
      </w:r>
      <w:r w:rsidR="0099190B" w:rsidRPr="0099190B">
        <w:rPr>
          <w:rFonts w:ascii="Arial" w:eastAsia="Arial" w:hAnsi="Arial" w:cs="Arial"/>
          <w:sz w:val="20"/>
          <w:szCs w:val="20"/>
        </w:rPr>
        <w:t>% en el segundo año y del 74,9 % en el tercero. Estas diferencias de</w:t>
      </w:r>
      <w:r w:rsidR="0099190B">
        <w:rPr>
          <w:rFonts w:ascii="Arial" w:eastAsia="Arial" w:hAnsi="Arial" w:cs="Arial"/>
          <w:sz w:val="20"/>
          <w:szCs w:val="20"/>
        </w:rPr>
        <w:t xml:space="preserve"> </w:t>
      </w:r>
      <w:r w:rsidR="0099190B" w:rsidRPr="0099190B">
        <w:rPr>
          <w:rFonts w:ascii="Arial" w:eastAsia="Arial" w:hAnsi="Arial" w:cs="Arial"/>
          <w:sz w:val="20"/>
          <w:szCs w:val="20"/>
        </w:rPr>
        <w:t>tratamiento fueron est</w:t>
      </w:r>
      <w:r w:rsidR="0099190B">
        <w:rPr>
          <w:rFonts w:ascii="Arial" w:eastAsia="Arial" w:hAnsi="Arial" w:cs="Arial"/>
          <w:sz w:val="20"/>
          <w:szCs w:val="20"/>
        </w:rPr>
        <w:t>adísticamente significativas (p</w:t>
      </w:r>
      <w:r w:rsidR="0099190B" w:rsidRPr="0099190B">
        <w:rPr>
          <w:rFonts w:ascii="Arial" w:eastAsia="Arial" w:hAnsi="Arial" w:cs="Arial"/>
          <w:sz w:val="20"/>
          <w:szCs w:val="20"/>
        </w:rPr>
        <w:t>≤0,008) en favor de Libmeldy</w:t>
      </w:r>
      <w:r w:rsidR="0099190B" w:rsidRPr="00E31767">
        <w:rPr>
          <w:rFonts w:ascii="Arial" w:eastAsia="Arial" w:hAnsi="Arial" w:cs="Arial"/>
          <w:sz w:val="20"/>
          <w:szCs w:val="20"/>
          <w:vertAlign w:val="superscript"/>
        </w:rPr>
        <w:t>®</w:t>
      </w:r>
      <w:r w:rsidR="0099190B">
        <w:rPr>
          <w:rFonts w:ascii="Arial" w:eastAsia="Arial" w:hAnsi="Arial" w:cs="Arial"/>
          <w:sz w:val="20"/>
          <w:szCs w:val="20"/>
        </w:rPr>
        <w:t>.</w:t>
      </w:r>
    </w:p>
    <w:p w14:paraId="04862063" w14:textId="77777777" w:rsidR="0099190B" w:rsidRDefault="0099190B" w:rsidP="0099190B">
      <w:pPr>
        <w:ind w:left="0" w:hanging="2"/>
        <w:jc w:val="both"/>
        <w:rPr>
          <w:rFonts w:ascii="Arial" w:eastAsia="Arial" w:hAnsi="Arial" w:cs="Arial"/>
          <w:sz w:val="20"/>
          <w:szCs w:val="20"/>
        </w:rPr>
      </w:pPr>
    </w:p>
    <w:p w14:paraId="28951D01" w14:textId="77777777" w:rsidR="00D0027E" w:rsidRDefault="0099190B" w:rsidP="00D0027E">
      <w:pPr>
        <w:ind w:left="0" w:hanging="2"/>
        <w:jc w:val="both"/>
        <w:rPr>
          <w:rFonts w:ascii="Arial" w:eastAsia="Arial" w:hAnsi="Arial" w:cs="Arial"/>
          <w:sz w:val="20"/>
          <w:szCs w:val="20"/>
        </w:rPr>
      </w:pPr>
      <w:r>
        <w:rPr>
          <w:rFonts w:ascii="Arial" w:eastAsia="Arial" w:hAnsi="Arial" w:cs="Arial"/>
          <w:sz w:val="20"/>
          <w:szCs w:val="20"/>
        </w:rPr>
        <w:t xml:space="preserve">La </w:t>
      </w:r>
      <w:r w:rsidRPr="0099190B">
        <w:rPr>
          <w:rFonts w:ascii="Arial" w:eastAsia="Arial" w:hAnsi="Arial" w:cs="Arial"/>
          <w:sz w:val="20"/>
          <w:szCs w:val="20"/>
        </w:rPr>
        <w:t>diferencia en la puntuación</w:t>
      </w:r>
      <w:r>
        <w:rPr>
          <w:rFonts w:ascii="Arial" w:eastAsia="Arial" w:hAnsi="Arial" w:cs="Arial"/>
          <w:sz w:val="20"/>
          <w:szCs w:val="20"/>
        </w:rPr>
        <w:t xml:space="preserve"> </w:t>
      </w:r>
      <w:r w:rsidRPr="0099190B">
        <w:rPr>
          <w:rFonts w:ascii="Arial" w:eastAsia="Arial" w:hAnsi="Arial" w:cs="Arial"/>
          <w:sz w:val="20"/>
          <w:szCs w:val="20"/>
        </w:rPr>
        <w:t xml:space="preserve">total de MFMG entre los pacientes </w:t>
      </w:r>
      <w:r>
        <w:rPr>
          <w:rFonts w:ascii="Arial" w:eastAsia="Arial" w:hAnsi="Arial" w:cs="Arial"/>
          <w:sz w:val="20"/>
          <w:szCs w:val="20"/>
        </w:rPr>
        <w:t xml:space="preserve">con </w:t>
      </w:r>
      <w:r w:rsidRPr="00D0027E">
        <w:rPr>
          <w:rFonts w:ascii="Arial" w:eastAsia="Arial" w:hAnsi="Arial" w:cs="Arial"/>
          <w:b/>
          <w:sz w:val="20"/>
          <w:szCs w:val="20"/>
        </w:rPr>
        <w:t>LDM-JT sintomáticos</w:t>
      </w:r>
      <w:r w:rsidRPr="0099190B">
        <w:rPr>
          <w:rFonts w:ascii="Arial" w:eastAsia="Arial" w:hAnsi="Arial" w:cs="Arial"/>
          <w:sz w:val="20"/>
          <w:szCs w:val="20"/>
        </w:rPr>
        <w:t xml:space="preserve"> tempranos tratados y los pacientes </w:t>
      </w:r>
      <w:r>
        <w:rPr>
          <w:rFonts w:ascii="Arial" w:eastAsia="Arial" w:hAnsi="Arial" w:cs="Arial"/>
          <w:sz w:val="20"/>
          <w:szCs w:val="20"/>
        </w:rPr>
        <w:t>con LDM-</w:t>
      </w:r>
      <w:r w:rsidRPr="0099190B">
        <w:rPr>
          <w:rFonts w:ascii="Arial" w:eastAsia="Arial" w:hAnsi="Arial" w:cs="Arial"/>
          <w:sz w:val="20"/>
          <w:szCs w:val="20"/>
        </w:rPr>
        <w:t>JT no tratados</w:t>
      </w:r>
      <w:r>
        <w:rPr>
          <w:rFonts w:ascii="Arial" w:eastAsia="Arial" w:hAnsi="Arial" w:cs="Arial"/>
          <w:sz w:val="20"/>
          <w:szCs w:val="20"/>
        </w:rPr>
        <w:t xml:space="preserve"> </w:t>
      </w:r>
      <w:r w:rsidRPr="0099190B">
        <w:rPr>
          <w:rFonts w:ascii="Arial" w:eastAsia="Arial" w:hAnsi="Arial" w:cs="Arial"/>
          <w:sz w:val="20"/>
          <w:szCs w:val="20"/>
        </w:rPr>
        <w:t>d</w:t>
      </w:r>
      <w:r>
        <w:rPr>
          <w:rFonts w:ascii="Arial" w:eastAsia="Arial" w:hAnsi="Arial" w:cs="Arial"/>
          <w:sz w:val="20"/>
          <w:szCs w:val="20"/>
        </w:rPr>
        <w:t>e la edad correspondiente no mostró diferencias estadíticamente significativas (28,7</w:t>
      </w:r>
      <w:r w:rsidRPr="0099190B">
        <w:rPr>
          <w:rFonts w:ascii="Arial" w:eastAsia="Arial" w:hAnsi="Arial" w:cs="Arial"/>
          <w:sz w:val="20"/>
          <w:szCs w:val="20"/>
        </w:rPr>
        <w:t>% en el segundo año; p=0,350 y 43,9% en el tercer año; p=0,054).</w:t>
      </w:r>
      <w:r w:rsidR="00D0027E" w:rsidRPr="00D0027E">
        <w:rPr>
          <w:rFonts w:ascii="Arial" w:eastAsia="Arial" w:hAnsi="Arial" w:cs="Arial"/>
          <w:sz w:val="20"/>
          <w:szCs w:val="20"/>
        </w:rPr>
        <w:t xml:space="preserve"> </w:t>
      </w:r>
      <w:r w:rsidR="00D0027E">
        <w:rPr>
          <w:rFonts w:ascii="Arial" w:eastAsia="Arial" w:hAnsi="Arial" w:cs="Arial"/>
          <w:sz w:val="20"/>
          <w:szCs w:val="20"/>
        </w:rPr>
        <w:t xml:space="preserve">A </w:t>
      </w:r>
      <w:r w:rsidR="00D0027E" w:rsidRPr="00FC4BD1">
        <w:rPr>
          <w:rFonts w:ascii="Arial" w:eastAsia="Arial" w:hAnsi="Arial" w:cs="Arial"/>
          <w:sz w:val="20"/>
          <w:szCs w:val="20"/>
        </w:rPr>
        <w:t>los cuatro</w:t>
      </w:r>
      <w:r w:rsidR="00D0027E">
        <w:rPr>
          <w:rFonts w:ascii="Arial" w:eastAsia="Arial" w:hAnsi="Arial" w:cs="Arial"/>
          <w:sz w:val="20"/>
          <w:szCs w:val="20"/>
        </w:rPr>
        <w:t xml:space="preserve"> </w:t>
      </w:r>
      <w:r w:rsidR="00D0027E" w:rsidRPr="00FC4BD1">
        <w:rPr>
          <w:rFonts w:ascii="Arial" w:eastAsia="Arial" w:hAnsi="Arial" w:cs="Arial"/>
          <w:sz w:val="20"/>
          <w:szCs w:val="20"/>
        </w:rPr>
        <w:t>años del inicio de la enfermedad, la proporción estimada de pacientes que sobrevivieron y</w:t>
      </w:r>
      <w:r w:rsidR="00D0027E">
        <w:rPr>
          <w:rFonts w:ascii="Arial" w:eastAsia="Arial" w:hAnsi="Arial" w:cs="Arial"/>
          <w:sz w:val="20"/>
          <w:szCs w:val="20"/>
        </w:rPr>
        <w:t xml:space="preserve"> </w:t>
      </w:r>
      <w:r w:rsidR="00D0027E" w:rsidRPr="00FC4BD1">
        <w:rPr>
          <w:rFonts w:ascii="Arial" w:eastAsia="Arial" w:hAnsi="Arial" w:cs="Arial"/>
          <w:sz w:val="20"/>
          <w:szCs w:val="20"/>
        </w:rPr>
        <w:t>mantuvieron la locomoción y la capacidad de sentarse sin apoyo (CFMG-LDM nivel 5 o superior) fue</w:t>
      </w:r>
      <w:r w:rsidR="00D0027E">
        <w:rPr>
          <w:rFonts w:ascii="Arial" w:eastAsia="Arial" w:hAnsi="Arial" w:cs="Arial"/>
          <w:sz w:val="20"/>
          <w:szCs w:val="20"/>
        </w:rPr>
        <w:t xml:space="preserve"> </w:t>
      </w:r>
      <w:r w:rsidR="00D0027E" w:rsidRPr="00FC4BD1">
        <w:rPr>
          <w:rFonts w:ascii="Arial" w:eastAsia="Arial" w:hAnsi="Arial" w:cs="Arial"/>
          <w:sz w:val="20"/>
          <w:szCs w:val="20"/>
        </w:rPr>
        <w:t>del 62,5 % en el grupo tratado, en comparación con el 26,3 % del grupo no tratado, lo que representa</w:t>
      </w:r>
      <w:r w:rsidR="00D0027E">
        <w:rPr>
          <w:rFonts w:ascii="Arial" w:eastAsia="Arial" w:hAnsi="Arial" w:cs="Arial"/>
          <w:sz w:val="20"/>
          <w:szCs w:val="20"/>
        </w:rPr>
        <w:t xml:space="preserve"> </w:t>
      </w:r>
      <w:r w:rsidR="00D0027E" w:rsidRPr="00FC4BD1">
        <w:rPr>
          <w:rFonts w:ascii="Arial" w:eastAsia="Arial" w:hAnsi="Arial" w:cs="Arial"/>
          <w:sz w:val="20"/>
          <w:szCs w:val="20"/>
        </w:rPr>
        <w:t>un retraso en la progresión de la enfermedad después del tratamiento con Libmeldy</w:t>
      </w:r>
      <w:r w:rsidR="00D0027E" w:rsidRPr="00E31767">
        <w:rPr>
          <w:rFonts w:ascii="Arial" w:eastAsia="Arial" w:hAnsi="Arial" w:cs="Arial"/>
          <w:sz w:val="20"/>
          <w:szCs w:val="20"/>
          <w:vertAlign w:val="superscript"/>
        </w:rPr>
        <w:t>®</w:t>
      </w:r>
      <w:r w:rsidR="00D0027E" w:rsidRPr="00FC4BD1">
        <w:rPr>
          <w:rFonts w:ascii="Arial" w:eastAsia="Arial" w:hAnsi="Arial" w:cs="Arial"/>
          <w:sz w:val="20"/>
          <w:szCs w:val="20"/>
        </w:rPr>
        <w:t>.</w:t>
      </w:r>
    </w:p>
    <w:p w14:paraId="7B867B30" w14:textId="77777777" w:rsidR="0099190B" w:rsidRDefault="0099190B" w:rsidP="00D0027E">
      <w:pPr>
        <w:ind w:leftChars="0" w:left="0" w:firstLineChars="0" w:firstLine="0"/>
        <w:jc w:val="both"/>
        <w:rPr>
          <w:rFonts w:ascii="Arial" w:eastAsia="Arial" w:hAnsi="Arial" w:cs="Arial"/>
          <w:sz w:val="20"/>
          <w:szCs w:val="20"/>
        </w:rPr>
      </w:pPr>
    </w:p>
    <w:tbl>
      <w:tblPr>
        <w:tblStyle w:val="Tablaconcuadrcula"/>
        <w:tblW w:w="8879" w:type="dxa"/>
        <w:tblLook w:val="04A0" w:firstRow="1" w:lastRow="0" w:firstColumn="1" w:lastColumn="0" w:noHBand="0" w:noVBand="1"/>
      </w:tblPr>
      <w:tblGrid>
        <w:gridCol w:w="1462"/>
        <w:gridCol w:w="724"/>
        <w:gridCol w:w="1133"/>
        <w:gridCol w:w="1180"/>
        <w:gridCol w:w="4380"/>
      </w:tblGrid>
      <w:tr w:rsidR="00635A5D" w:rsidRPr="0099190B" w14:paraId="51AA35FC" w14:textId="77777777" w:rsidTr="00635A5D">
        <w:tc>
          <w:tcPr>
            <w:tcW w:w="2186" w:type="dxa"/>
            <w:gridSpan w:val="2"/>
            <w:vMerge w:val="restart"/>
          </w:tcPr>
          <w:p w14:paraId="7130D9BE" w14:textId="77777777" w:rsidR="00635A5D" w:rsidRPr="0099190B" w:rsidRDefault="00635A5D" w:rsidP="0099190B">
            <w:pPr>
              <w:ind w:leftChars="0" w:left="0" w:firstLineChars="0" w:firstLine="0"/>
              <w:jc w:val="both"/>
              <w:rPr>
                <w:rFonts w:ascii="Arial" w:eastAsia="Arial" w:hAnsi="Arial" w:cs="Arial"/>
                <w:sz w:val="16"/>
                <w:szCs w:val="20"/>
              </w:rPr>
            </w:pPr>
          </w:p>
        </w:tc>
        <w:tc>
          <w:tcPr>
            <w:tcW w:w="2313" w:type="dxa"/>
            <w:gridSpan w:val="2"/>
          </w:tcPr>
          <w:p w14:paraId="7A1E5138" w14:textId="77777777" w:rsidR="00635A5D" w:rsidRPr="00635A5D" w:rsidRDefault="00635A5D" w:rsidP="0099190B">
            <w:pPr>
              <w:ind w:leftChars="0" w:firstLineChars="0" w:firstLine="0"/>
              <w:jc w:val="both"/>
              <w:rPr>
                <w:rFonts w:ascii="Arial" w:eastAsia="Arial" w:hAnsi="Arial" w:cs="Arial"/>
                <w:b/>
                <w:sz w:val="16"/>
                <w:szCs w:val="20"/>
              </w:rPr>
            </w:pPr>
            <w:r w:rsidRPr="00635A5D">
              <w:rPr>
                <w:rFonts w:ascii="Arial" w:eastAsia="Arial" w:hAnsi="Arial" w:cs="Arial"/>
                <w:b/>
                <w:sz w:val="16"/>
                <w:szCs w:val="20"/>
              </w:rPr>
              <w:t>Puntuación total media ajustada de MFMG</w:t>
            </w:r>
          </w:p>
        </w:tc>
        <w:tc>
          <w:tcPr>
            <w:tcW w:w="4380" w:type="dxa"/>
          </w:tcPr>
          <w:p w14:paraId="781ED3A4" w14:textId="77777777" w:rsidR="00635A5D" w:rsidRPr="00635A5D" w:rsidRDefault="00635A5D" w:rsidP="00635A5D">
            <w:pPr>
              <w:ind w:leftChars="0" w:firstLineChars="0" w:firstLine="0"/>
              <w:jc w:val="both"/>
              <w:rPr>
                <w:rFonts w:ascii="Arial" w:eastAsia="Arial" w:hAnsi="Arial" w:cs="Arial"/>
                <w:b/>
                <w:sz w:val="16"/>
                <w:szCs w:val="20"/>
              </w:rPr>
            </w:pPr>
            <w:r w:rsidRPr="00635A5D">
              <w:rPr>
                <w:rFonts w:ascii="Arial" w:eastAsia="Arial" w:hAnsi="Arial" w:cs="Arial"/>
                <w:b/>
                <w:sz w:val="16"/>
                <w:szCs w:val="20"/>
              </w:rPr>
              <w:t>Diferencia media en la puntuación total de MFMG entre los pacientes tratados y los pacientes de historia natural sin tratar, en función de la edad</w:t>
            </w:r>
          </w:p>
        </w:tc>
      </w:tr>
      <w:tr w:rsidR="00635A5D" w:rsidRPr="0099190B" w14:paraId="241F5D85" w14:textId="77777777" w:rsidTr="00635A5D">
        <w:tc>
          <w:tcPr>
            <w:tcW w:w="2186" w:type="dxa"/>
            <w:gridSpan w:val="2"/>
            <w:vMerge/>
          </w:tcPr>
          <w:p w14:paraId="09E5E4AF" w14:textId="77777777" w:rsidR="00635A5D" w:rsidRPr="0099190B" w:rsidRDefault="00635A5D" w:rsidP="0099190B">
            <w:pPr>
              <w:ind w:leftChars="0" w:left="0" w:firstLineChars="0" w:firstLine="0"/>
              <w:jc w:val="both"/>
              <w:rPr>
                <w:rFonts w:ascii="Arial" w:eastAsia="Arial" w:hAnsi="Arial" w:cs="Arial"/>
                <w:sz w:val="16"/>
                <w:szCs w:val="20"/>
              </w:rPr>
            </w:pPr>
          </w:p>
        </w:tc>
        <w:tc>
          <w:tcPr>
            <w:tcW w:w="1133" w:type="dxa"/>
          </w:tcPr>
          <w:p w14:paraId="5382C2C6" w14:textId="77777777" w:rsidR="00635A5D" w:rsidRPr="00635A5D" w:rsidRDefault="00635A5D" w:rsidP="00635A5D">
            <w:pPr>
              <w:ind w:leftChars="0" w:left="0" w:firstLineChars="0" w:firstLine="0"/>
              <w:jc w:val="center"/>
              <w:rPr>
                <w:rFonts w:ascii="Arial" w:eastAsia="Arial" w:hAnsi="Arial" w:cs="Arial"/>
                <w:b/>
                <w:sz w:val="16"/>
                <w:szCs w:val="20"/>
              </w:rPr>
            </w:pPr>
            <w:r w:rsidRPr="00635A5D">
              <w:rPr>
                <w:rFonts w:ascii="Arial" w:eastAsia="Arial" w:hAnsi="Arial" w:cs="Arial"/>
                <w:b/>
                <w:sz w:val="16"/>
                <w:szCs w:val="20"/>
              </w:rPr>
              <w:t>Pacientes tratados</w:t>
            </w:r>
          </w:p>
        </w:tc>
        <w:tc>
          <w:tcPr>
            <w:tcW w:w="1180" w:type="dxa"/>
          </w:tcPr>
          <w:p w14:paraId="5A76FE6B" w14:textId="77777777" w:rsidR="00635A5D" w:rsidRPr="00635A5D" w:rsidRDefault="00635A5D" w:rsidP="00635A5D">
            <w:pPr>
              <w:ind w:leftChars="0" w:left="0" w:firstLineChars="0" w:firstLine="0"/>
              <w:jc w:val="center"/>
              <w:rPr>
                <w:rFonts w:ascii="Arial" w:eastAsia="Arial" w:hAnsi="Arial" w:cs="Arial"/>
                <w:b/>
                <w:sz w:val="16"/>
                <w:szCs w:val="20"/>
              </w:rPr>
            </w:pPr>
            <w:r w:rsidRPr="00635A5D">
              <w:rPr>
                <w:rFonts w:ascii="Arial" w:eastAsia="Arial" w:hAnsi="Arial" w:cs="Arial"/>
                <w:b/>
                <w:sz w:val="16"/>
                <w:szCs w:val="20"/>
              </w:rPr>
              <w:t>TIGET-NHx</w:t>
            </w:r>
          </w:p>
        </w:tc>
        <w:tc>
          <w:tcPr>
            <w:tcW w:w="4380" w:type="dxa"/>
          </w:tcPr>
          <w:p w14:paraId="220B3C91" w14:textId="77777777" w:rsidR="00635A5D" w:rsidRPr="0099190B" w:rsidRDefault="00635A5D" w:rsidP="0099190B">
            <w:pPr>
              <w:ind w:leftChars="0" w:left="0" w:firstLineChars="0" w:firstLine="0"/>
              <w:jc w:val="both"/>
              <w:rPr>
                <w:rFonts w:ascii="Arial" w:eastAsia="Arial" w:hAnsi="Arial" w:cs="Arial"/>
                <w:sz w:val="16"/>
                <w:szCs w:val="20"/>
              </w:rPr>
            </w:pPr>
          </w:p>
        </w:tc>
      </w:tr>
      <w:tr w:rsidR="00635A5D" w:rsidRPr="0099190B" w14:paraId="4710B611" w14:textId="77777777" w:rsidTr="00635A5D">
        <w:tc>
          <w:tcPr>
            <w:tcW w:w="1462" w:type="dxa"/>
            <w:vMerge w:val="restart"/>
          </w:tcPr>
          <w:p w14:paraId="62537ECC" w14:textId="77777777" w:rsidR="00635A5D" w:rsidRPr="00635A5D" w:rsidRDefault="00635A5D" w:rsidP="0099190B">
            <w:pPr>
              <w:ind w:leftChars="0" w:left="0" w:firstLineChars="0" w:firstLine="0"/>
              <w:jc w:val="both"/>
              <w:rPr>
                <w:rFonts w:ascii="Arial" w:eastAsia="Arial" w:hAnsi="Arial" w:cs="Arial"/>
                <w:b/>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Presintomáticos</w:t>
            </w:r>
          </w:p>
        </w:tc>
        <w:tc>
          <w:tcPr>
            <w:tcW w:w="7417" w:type="dxa"/>
            <w:gridSpan w:val="4"/>
            <w:vAlign w:val="center"/>
          </w:tcPr>
          <w:p w14:paraId="38343CE4" w14:textId="77777777" w:rsidR="00635A5D" w:rsidRPr="00471227" w:rsidRDefault="00635A5D" w:rsidP="008723D4">
            <w:pPr>
              <w:ind w:left="0" w:hanging="2"/>
              <w:rPr>
                <w:rFonts w:ascii="Arial" w:eastAsia="Arial" w:hAnsi="Arial" w:cs="Arial"/>
                <w:b/>
                <w:i/>
                <w:sz w:val="16"/>
                <w:szCs w:val="16"/>
              </w:rPr>
            </w:pPr>
            <w:r w:rsidRPr="00471227">
              <w:rPr>
                <w:rFonts w:ascii="Arial" w:eastAsia="Arial" w:hAnsi="Arial" w:cs="Arial"/>
                <w:b/>
                <w:i/>
                <w:sz w:val="16"/>
                <w:szCs w:val="16"/>
              </w:rPr>
              <w:t>Leucodistrofia metacromática variante infantil tardía (LDM-IT)</w:t>
            </w:r>
          </w:p>
        </w:tc>
      </w:tr>
      <w:tr w:rsidR="00635A5D" w:rsidRPr="0099190B" w14:paraId="2E063367" w14:textId="77777777" w:rsidTr="00635A5D">
        <w:tc>
          <w:tcPr>
            <w:tcW w:w="1462" w:type="dxa"/>
            <w:vMerge/>
          </w:tcPr>
          <w:p w14:paraId="67258FB4" w14:textId="77777777" w:rsidR="00635A5D" w:rsidRPr="0099190B" w:rsidRDefault="00635A5D" w:rsidP="0099190B">
            <w:pPr>
              <w:ind w:leftChars="0" w:left="0" w:firstLineChars="0" w:firstLine="0"/>
              <w:jc w:val="both"/>
              <w:rPr>
                <w:rFonts w:ascii="Arial" w:eastAsia="Arial" w:hAnsi="Arial" w:cs="Arial"/>
                <w:sz w:val="16"/>
                <w:szCs w:val="20"/>
              </w:rPr>
            </w:pPr>
          </w:p>
        </w:tc>
        <w:tc>
          <w:tcPr>
            <w:tcW w:w="724" w:type="dxa"/>
          </w:tcPr>
          <w:p w14:paraId="2706CAF4" w14:textId="77777777" w:rsidR="00635A5D" w:rsidRPr="0099190B" w:rsidRDefault="00635A5D" w:rsidP="0099190B">
            <w:pPr>
              <w:ind w:leftChars="0" w:left="0" w:firstLineChars="0" w:firstLine="0"/>
              <w:jc w:val="both"/>
              <w:rPr>
                <w:rFonts w:ascii="Arial" w:eastAsia="Arial" w:hAnsi="Arial" w:cs="Arial"/>
                <w:sz w:val="16"/>
                <w:szCs w:val="20"/>
              </w:rPr>
            </w:pPr>
            <w:r>
              <w:rPr>
                <w:rFonts w:ascii="Arial" w:eastAsia="Arial" w:hAnsi="Arial" w:cs="Arial"/>
                <w:sz w:val="16"/>
                <w:szCs w:val="20"/>
              </w:rPr>
              <w:t>Año 2</w:t>
            </w:r>
          </w:p>
        </w:tc>
        <w:tc>
          <w:tcPr>
            <w:tcW w:w="1133" w:type="dxa"/>
          </w:tcPr>
          <w:p w14:paraId="4AA4AEF5"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79,5 %</w:t>
            </w:r>
          </w:p>
          <w:p w14:paraId="2AD8CF50"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10)</w:t>
            </w:r>
          </w:p>
        </w:tc>
        <w:tc>
          <w:tcPr>
            <w:tcW w:w="1180" w:type="dxa"/>
          </w:tcPr>
          <w:p w14:paraId="5A95EF87"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8,4 %</w:t>
            </w:r>
          </w:p>
          <w:p w14:paraId="4512E21D"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8)</w:t>
            </w:r>
          </w:p>
        </w:tc>
        <w:tc>
          <w:tcPr>
            <w:tcW w:w="4380" w:type="dxa"/>
          </w:tcPr>
          <w:p w14:paraId="007944BC" w14:textId="77777777" w:rsidR="00635A5D" w:rsidRPr="00635A5D" w:rsidRDefault="00635A5D" w:rsidP="00635A5D">
            <w:pPr>
              <w:ind w:leftChars="0" w:firstLineChars="0" w:firstLine="0"/>
              <w:jc w:val="center"/>
              <w:rPr>
                <w:rFonts w:ascii="Arial" w:eastAsia="Arial" w:hAnsi="Arial" w:cs="Arial"/>
                <w:sz w:val="16"/>
                <w:szCs w:val="20"/>
              </w:rPr>
            </w:pPr>
            <w:r>
              <w:rPr>
                <w:rFonts w:ascii="Arial" w:eastAsia="Arial" w:hAnsi="Arial" w:cs="Arial"/>
                <w:sz w:val="16"/>
                <w:szCs w:val="20"/>
              </w:rPr>
              <w:t>71,0 % (IC</w:t>
            </w:r>
            <w:r w:rsidRPr="00635A5D">
              <w:rPr>
                <w:rFonts w:ascii="Arial" w:eastAsia="Arial" w:hAnsi="Arial" w:cs="Arial"/>
                <w:sz w:val="16"/>
                <w:szCs w:val="20"/>
              </w:rPr>
              <w:t>95 %: 60,4-81,7);</w:t>
            </w:r>
          </w:p>
          <w:p w14:paraId="474E9DBD"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p&lt;0,001</w:t>
            </w:r>
          </w:p>
        </w:tc>
      </w:tr>
      <w:tr w:rsidR="00635A5D" w:rsidRPr="0099190B" w14:paraId="437241B7" w14:textId="77777777" w:rsidTr="00635A5D">
        <w:tc>
          <w:tcPr>
            <w:tcW w:w="1462" w:type="dxa"/>
            <w:vMerge/>
          </w:tcPr>
          <w:p w14:paraId="3EEED042" w14:textId="77777777" w:rsidR="00635A5D" w:rsidRPr="0099190B" w:rsidRDefault="00635A5D" w:rsidP="0099190B">
            <w:pPr>
              <w:ind w:leftChars="0" w:left="0" w:firstLineChars="0" w:firstLine="0"/>
              <w:jc w:val="both"/>
              <w:rPr>
                <w:rFonts w:ascii="Arial" w:eastAsia="Arial" w:hAnsi="Arial" w:cs="Arial"/>
                <w:sz w:val="16"/>
                <w:szCs w:val="20"/>
              </w:rPr>
            </w:pPr>
          </w:p>
        </w:tc>
        <w:tc>
          <w:tcPr>
            <w:tcW w:w="724" w:type="dxa"/>
          </w:tcPr>
          <w:p w14:paraId="6AB845A5" w14:textId="77777777" w:rsidR="00635A5D" w:rsidRDefault="00635A5D" w:rsidP="0099190B">
            <w:pPr>
              <w:ind w:leftChars="0" w:left="0" w:firstLineChars="0" w:firstLine="0"/>
              <w:jc w:val="both"/>
              <w:rPr>
                <w:rFonts w:ascii="Arial" w:eastAsia="Arial" w:hAnsi="Arial" w:cs="Arial"/>
                <w:sz w:val="16"/>
                <w:szCs w:val="20"/>
              </w:rPr>
            </w:pPr>
            <w:r>
              <w:rPr>
                <w:rFonts w:ascii="Arial" w:eastAsia="Arial" w:hAnsi="Arial" w:cs="Arial"/>
                <w:sz w:val="16"/>
                <w:szCs w:val="20"/>
              </w:rPr>
              <w:t>Año 3</w:t>
            </w:r>
          </w:p>
        </w:tc>
        <w:tc>
          <w:tcPr>
            <w:tcW w:w="1133" w:type="dxa"/>
          </w:tcPr>
          <w:p w14:paraId="3A54CAB2"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82,6 %</w:t>
            </w:r>
          </w:p>
          <w:p w14:paraId="61F0DCE3"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9)</w:t>
            </w:r>
          </w:p>
        </w:tc>
        <w:tc>
          <w:tcPr>
            <w:tcW w:w="1180" w:type="dxa"/>
          </w:tcPr>
          <w:p w14:paraId="7056E294"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2,8 %</w:t>
            </w:r>
          </w:p>
          <w:p w14:paraId="503F3A1B"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9)</w:t>
            </w:r>
          </w:p>
        </w:tc>
        <w:tc>
          <w:tcPr>
            <w:tcW w:w="4380" w:type="dxa"/>
          </w:tcPr>
          <w:p w14:paraId="24A4FED8"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79,8 % (</w:t>
            </w:r>
            <w:r w:rsidR="00FC4BD1">
              <w:rPr>
                <w:rFonts w:ascii="Arial" w:eastAsia="Arial" w:hAnsi="Arial" w:cs="Arial"/>
                <w:sz w:val="16"/>
                <w:szCs w:val="20"/>
              </w:rPr>
              <w:t>IC</w:t>
            </w:r>
            <w:r w:rsidRPr="00635A5D">
              <w:rPr>
                <w:rFonts w:ascii="Arial" w:eastAsia="Arial" w:hAnsi="Arial" w:cs="Arial"/>
                <w:sz w:val="16"/>
                <w:szCs w:val="20"/>
              </w:rPr>
              <w:t>95 %: 66,2-93,3);</w:t>
            </w:r>
          </w:p>
          <w:p w14:paraId="68D1608F"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p&lt;0,001</w:t>
            </w:r>
          </w:p>
        </w:tc>
      </w:tr>
      <w:tr w:rsidR="00635A5D" w:rsidRPr="0099190B" w14:paraId="0F2038B5" w14:textId="77777777" w:rsidTr="00635A5D">
        <w:tc>
          <w:tcPr>
            <w:tcW w:w="1462" w:type="dxa"/>
            <w:vMerge/>
          </w:tcPr>
          <w:p w14:paraId="114FD550" w14:textId="77777777" w:rsidR="00635A5D" w:rsidRPr="00635A5D" w:rsidRDefault="00635A5D" w:rsidP="0099190B">
            <w:pPr>
              <w:ind w:leftChars="0" w:left="0" w:firstLineChars="0" w:firstLine="0"/>
              <w:jc w:val="both"/>
              <w:rPr>
                <w:rFonts w:ascii="Arial" w:eastAsia="Arial" w:hAnsi="Arial" w:cs="Arial"/>
                <w:b/>
                <w:sz w:val="16"/>
                <w:szCs w:val="20"/>
              </w:rPr>
            </w:pPr>
          </w:p>
        </w:tc>
        <w:tc>
          <w:tcPr>
            <w:tcW w:w="7417" w:type="dxa"/>
            <w:gridSpan w:val="4"/>
            <w:vAlign w:val="center"/>
          </w:tcPr>
          <w:p w14:paraId="3EB70AA5" w14:textId="77777777" w:rsidR="00635A5D" w:rsidRDefault="00635A5D" w:rsidP="00635A5D">
            <w:pPr>
              <w:ind w:left="0" w:hanging="2"/>
              <w:jc w:val="center"/>
              <w:rPr>
                <w:rFonts w:ascii="Arial" w:eastAsia="Arial" w:hAnsi="Arial" w:cs="Arial"/>
                <w:i/>
                <w:sz w:val="16"/>
                <w:szCs w:val="16"/>
              </w:rPr>
            </w:pPr>
            <w:r>
              <w:rPr>
                <w:rFonts w:ascii="Arial" w:eastAsia="Arial" w:hAnsi="Arial" w:cs="Arial"/>
                <w:b/>
                <w:i/>
                <w:sz w:val="16"/>
                <w:szCs w:val="16"/>
              </w:rPr>
              <w:t>Leucodistrofia metacromática variante juvenil temprana (LDM-JT)</w:t>
            </w:r>
          </w:p>
        </w:tc>
      </w:tr>
      <w:tr w:rsidR="00635A5D" w:rsidRPr="0099190B" w14:paraId="4E17A4CE" w14:textId="77777777" w:rsidTr="00635A5D">
        <w:tc>
          <w:tcPr>
            <w:tcW w:w="1462" w:type="dxa"/>
            <w:vMerge/>
          </w:tcPr>
          <w:p w14:paraId="622C2648"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52C590A4" w14:textId="77777777" w:rsidR="00635A5D" w:rsidRPr="0099190B"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2</w:t>
            </w:r>
          </w:p>
        </w:tc>
        <w:tc>
          <w:tcPr>
            <w:tcW w:w="1133" w:type="dxa"/>
          </w:tcPr>
          <w:p w14:paraId="004AC06B"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96,7 %</w:t>
            </w:r>
          </w:p>
          <w:p w14:paraId="4EC47E5F"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4)</w:t>
            </w:r>
          </w:p>
        </w:tc>
        <w:tc>
          <w:tcPr>
            <w:tcW w:w="1180" w:type="dxa"/>
          </w:tcPr>
          <w:p w14:paraId="6330D083"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44,3 %</w:t>
            </w:r>
          </w:p>
          <w:p w14:paraId="62BC1D2F"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8)</w:t>
            </w:r>
          </w:p>
        </w:tc>
        <w:tc>
          <w:tcPr>
            <w:tcW w:w="4380" w:type="dxa"/>
          </w:tcPr>
          <w:p w14:paraId="65B88DFB" w14:textId="77777777" w:rsidR="00635A5D" w:rsidRPr="00635A5D" w:rsidRDefault="00FC4BD1" w:rsidP="00635A5D">
            <w:pPr>
              <w:ind w:leftChars="0" w:firstLineChars="0" w:firstLine="0"/>
              <w:jc w:val="center"/>
              <w:rPr>
                <w:rFonts w:ascii="Arial" w:eastAsia="Arial" w:hAnsi="Arial" w:cs="Arial"/>
                <w:sz w:val="16"/>
                <w:szCs w:val="20"/>
              </w:rPr>
            </w:pPr>
            <w:r>
              <w:rPr>
                <w:rFonts w:ascii="Arial" w:eastAsia="Arial" w:hAnsi="Arial" w:cs="Arial"/>
                <w:sz w:val="16"/>
                <w:szCs w:val="20"/>
              </w:rPr>
              <w:t>52,4 % (IC</w:t>
            </w:r>
            <w:r w:rsidR="00635A5D" w:rsidRPr="00635A5D">
              <w:rPr>
                <w:rFonts w:ascii="Arial" w:eastAsia="Arial" w:hAnsi="Arial" w:cs="Arial"/>
                <w:sz w:val="16"/>
                <w:szCs w:val="20"/>
              </w:rPr>
              <w:t>95 %: 25,1-79,6);</w:t>
            </w:r>
          </w:p>
          <w:p w14:paraId="742BC453" w14:textId="77777777" w:rsidR="00635A5D" w:rsidRPr="00635A5D"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p=0,008</w:t>
            </w:r>
          </w:p>
        </w:tc>
      </w:tr>
      <w:tr w:rsidR="00635A5D" w:rsidRPr="0099190B" w14:paraId="5FEC4DC2" w14:textId="77777777" w:rsidTr="00635A5D">
        <w:tc>
          <w:tcPr>
            <w:tcW w:w="1462" w:type="dxa"/>
            <w:vMerge/>
          </w:tcPr>
          <w:p w14:paraId="7C1A4807"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174A228A" w14:textId="77777777" w:rsidR="00635A5D"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3</w:t>
            </w:r>
          </w:p>
        </w:tc>
        <w:tc>
          <w:tcPr>
            <w:tcW w:w="1133" w:type="dxa"/>
          </w:tcPr>
          <w:p w14:paraId="121BD47D"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93,2 %</w:t>
            </w:r>
          </w:p>
          <w:p w14:paraId="50B37668"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4)</w:t>
            </w:r>
          </w:p>
        </w:tc>
        <w:tc>
          <w:tcPr>
            <w:tcW w:w="1180" w:type="dxa"/>
          </w:tcPr>
          <w:p w14:paraId="0FD25A10"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18,2 %</w:t>
            </w:r>
          </w:p>
          <w:p w14:paraId="13D5C8F8"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9)</w:t>
            </w:r>
          </w:p>
        </w:tc>
        <w:tc>
          <w:tcPr>
            <w:tcW w:w="4380" w:type="dxa"/>
          </w:tcPr>
          <w:p w14:paraId="0B8B8B91" w14:textId="77777777" w:rsidR="00635A5D" w:rsidRPr="00635A5D" w:rsidRDefault="00FC4BD1" w:rsidP="00635A5D">
            <w:pPr>
              <w:ind w:leftChars="0" w:firstLineChars="0" w:firstLine="0"/>
              <w:jc w:val="center"/>
              <w:rPr>
                <w:rFonts w:ascii="Arial" w:eastAsia="Arial" w:hAnsi="Arial" w:cs="Arial"/>
                <w:sz w:val="16"/>
                <w:szCs w:val="20"/>
              </w:rPr>
            </w:pPr>
            <w:r>
              <w:rPr>
                <w:rFonts w:ascii="Arial" w:eastAsia="Arial" w:hAnsi="Arial" w:cs="Arial"/>
                <w:sz w:val="16"/>
                <w:szCs w:val="20"/>
              </w:rPr>
              <w:t>74,9 % (IC</w:t>
            </w:r>
            <w:r w:rsidR="00635A5D" w:rsidRPr="00635A5D">
              <w:rPr>
                <w:rFonts w:ascii="Arial" w:eastAsia="Arial" w:hAnsi="Arial" w:cs="Arial"/>
                <w:sz w:val="16"/>
                <w:szCs w:val="20"/>
              </w:rPr>
              <w:t>95 %: 50,8-99,1);</w:t>
            </w:r>
          </w:p>
          <w:p w14:paraId="0375F95E"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p&lt;0,001</w:t>
            </w:r>
          </w:p>
        </w:tc>
      </w:tr>
      <w:tr w:rsidR="00635A5D" w:rsidRPr="0099190B" w14:paraId="7ECEBDAE" w14:textId="77777777" w:rsidTr="00635A5D">
        <w:tc>
          <w:tcPr>
            <w:tcW w:w="1462" w:type="dxa"/>
            <w:vMerge w:val="restart"/>
          </w:tcPr>
          <w:p w14:paraId="076FF7AD" w14:textId="77777777" w:rsidR="00635A5D" w:rsidRDefault="00635A5D" w:rsidP="0099190B">
            <w:pPr>
              <w:ind w:leftChars="0" w:left="0" w:firstLineChars="0" w:firstLine="0"/>
              <w:jc w:val="both"/>
              <w:rPr>
                <w:rFonts w:ascii="Arial" w:eastAsia="Arial" w:hAnsi="Arial" w:cs="Arial"/>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Sintomáticos tempranos</w:t>
            </w:r>
          </w:p>
        </w:tc>
        <w:tc>
          <w:tcPr>
            <w:tcW w:w="7417" w:type="dxa"/>
            <w:gridSpan w:val="4"/>
          </w:tcPr>
          <w:p w14:paraId="6D7D6669" w14:textId="77777777" w:rsidR="00635A5D" w:rsidRPr="0099190B" w:rsidRDefault="00635A5D" w:rsidP="00635A5D">
            <w:pPr>
              <w:ind w:leftChars="0" w:left="0" w:firstLineChars="0" w:firstLine="0"/>
              <w:jc w:val="center"/>
              <w:rPr>
                <w:rFonts w:ascii="Arial" w:eastAsia="Arial" w:hAnsi="Arial" w:cs="Arial"/>
                <w:sz w:val="16"/>
                <w:szCs w:val="20"/>
              </w:rPr>
            </w:pPr>
            <w:r>
              <w:rPr>
                <w:rFonts w:ascii="Arial" w:eastAsia="Arial" w:hAnsi="Arial" w:cs="Arial"/>
                <w:b/>
                <w:i/>
                <w:sz w:val="16"/>
                <w:szCs w:val="16"/>
              </w:rPr>
              <w:t>Leucodistrofia metacromática variante juvenil temprana (LDM-JT)</w:t>
            </w:r>
          </w:p>
        </w:tc>
      </w:tr>
      <w:tr w:rsidR="00635A5D" w:rsidRPr="0099190B" w14:paraId="7FE6EB24" w14:textId="77777777" w:rsidTr="00635A5D">
        <w:tc>
          <w:tcPr>
            <w:tcW w:w="1462" w:type="dxa"/>
            <w:vMerge/>
          </w:tcPr>
          <w:p w14:paraId="5C4FC002"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7A85FA0B" w14:textId="77777777" w:rsidR="00635A5D" w:rsidRPr="0099190B"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2</w:t>
            </w:r>
          </w:p>
        </w:tc>
        <w:tc>
          <w:tcPr>
            <w:tcW w:w="1133" w:type="dxa"/>
          </w:tcPr>
          <w:p w14:paraId="00D678BA"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60,7 %</w:t>
            </w:r>
          </w:p>
          <w:p w14:paraId="3EE22D72"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6)</w:t>
            </w:r>
          </w:p>
        </w:tc>
        <w:tc>
          <w:tcPr>
            <w:tcW w:w="1180" w:type="dxa"/>
          </w:tcPr>
          <w:p w14:paraId="05F638E6"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31,9 %</w:t>
            </w:r>
          </w:p>
          <w:p w14:paraId="51F17D43"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10)</w:t>
            </w:r>
          </w:p>
        </w:tc>
        <w:tc>
          <w:tcPr>
            <w:tcW w:w="4380" w:type="dxa"/>
          </w:tcPr>
          <w:p w14:paraId="385F4589"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28,7 % (IC 95 %: -14,1-71,5);</w:t>
            </w:r>
          </w:p>
          <w:p w14:paraId="39FB7C93"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p=0,350</w:t>
            </w:r>
          </w:p>
        </w:tc>
      </w:tr>
      <w:tr w:rsidR="00635A5D" w:rsidRPr="0099190B" w14:paraId="45426261" w14:textId="77777777" w:rsidTr="00635A5D">
        <w:tc>
          <w:tcPr>
            <w:tcW w:w="1462" w:type="dxa"/>
            <w:vMerge/>
          </w:tcPr>
          <w:p w14:paraId="58D7B8D1" w14:textId="77777777" w:rsidR="00635A5D" w:rsidRDefault="00635A5D" w:rsidP="0099190B">
            <w:pPr>
              <w:ind w:leftChars="0" w:left="0" w:firstLineChars="0" w:firstLine="0"/>
              <w:jc w:val="both"/>
              <w:rPr>
                <w:rFonts w:ascii="Arial" w:eastAsia="Arial" w:hAnsi="Arial" w:cs="Arial"/>
                <w:sz w:val="16"/>
                <w:szCs w:val="20"/>
              </w:rPr>
            </w:pPr>
          </w:p>
        </w:tc>
        <w:tc>
          <w:tcPr>
            <w:tcW w:w="724" w:type="dxa"/>
          </w:tcPr>
          <w:p w14:paraId="66DA03C3" w14:textId="77777777" w:rsidR="00635A5D" w:rsidRDefault="00635A5D" w:rsidP="008723D4">
            <w:pPr>
              <w:ind w:leftChars="0" w:left="0" w:firstLineChars="0" w:firstLine="0"/>
              <w:jc w:val="both"/>
              <w:rPr>
                <w:rFonts w:ascii="Arial" w:eastAsia="Arial" w:hAnsi="Arial" w:cs="Arial"/>
                <w:sz w:val="16"/>
                <w:szCs w:val="20"/>
              </w:rPr>
            </w:pPr>
            <w:r>
              <w:rPr>
                <w:rFonts w:ascii="Arial" w:eastAsia="Arial" w:hAnsi="Arial" w:cs="Arial"/>
                <w:sz w:val="16"/>
                <w:szCs w:val="20"/>
              </w:rPr>
              <w:t>Año 3</w:t>
            </w:r>
          </w:p>
        </w:tc>
        <w:tc>
          <w:tcPr>
            <w:tcW w:w="1133" w:type="dxa"/>
          </w:tcPr>
          <w:p w14:paraId="54CF47E0"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59,8 %</w:t>
            </w:r>
          </w:p>
          <w:p w14:paraId="2F0535C4"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6)</w:t>
            </w:r>
          </w:p>
        </w:tc>
        <w:tc>
          <w:tcPr>
            <w:tcW w:w="1180" w:type="dxa"/>
          </w:tcPr>
          <w:p w14:paraId="75EC6E6D"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15,9 %</w:t>
            </w:r>
          </w:p>
          <w:p w14:paraId="0A553DB8" w14:textId="77777777" w:rsidR="00635A5D" w:rsidRPr="0099190B" w:rsidRDefault="00635A5D" w:rsidP="00635A5D">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(n = 10)</w:t>
            </w:r>
          </w:p>
        </w:tc>
        <w:tc>
          <w:tcPr>
            <w:tcW w:w="4380" w:type="dxa"/>
          </w:tcPr>
          <w:p w14:paraId="032D6189" w14:textId="77777777" w:rsidR="00635A5D" w:rsidRPr="00635A5D" w:rsidRDefault="00635A5D" w:rsidP="00635A5D">
            <w:pPr>
              <w:ind w:leftChars="0" w:firstLineChars="0" w:firstLine="0"/>
              <w:jc w:val="center"/>
              <w:rPr>
                <w:rFonts w:ascii="Arial" w:eastAsia="Arial" w:hAnsi="Arial" w:cs="Arial"/>
                <w:sz w:val="16"/>
                <w:szCs w:val="20"/>
              </w:rPr>
            </w:pPr>
            <w:r w:rsidRPr="00635A5D">
              <w:rPr>
                <w:rFonts w:ascii="Arial" w:eastAsia="Arial" w:hAnsi="Arial" w:cs="Arial"/>
                <w:sz w:val="16"/>
                <w:szCs w:val="20"/>
              </w:rPr>
              <w:t>43,9 % (IC 95 %: 9,2-78,5);</w:t>
            </w:r>
          </w:p>
          <w:p w14:paraId="7F038641" w14:textId="77777777" w:rsidR="00635A5D" w:rsidRPr="0099190B" w:rsidRDefault="00635A5D" w:rsidP="00FC4BD1">
            <w:pPr>
              <w:ind w:leftChars="0" w:left="0" w:firstLineChars="0" w:firstLine="0"/>
              <w:jc w:val="center"/>
              <w:rPr>
                <w:rFonts w:ascii="Arial" w:eastAsia="Arial" w:hAnsi="Arial" w:cs="Arial"/>
                <w:sz w:val="16"/>
                <w:szCs w:val="20"/>
              </w:rPr>
            </w:pPr>
            <w:r w:rsidRPr="00635A5D">
              <w:rPr>
                <w:rFonts w:ascii="Arial" w:eastAsia="Arial" w:hAnsi="Arial" w:cs="Arial"/>
                <w:sz w:val="16"/>
                <w:szCs w:val="20"/>
              </w:rPr>
              <w:t>p=0,054</w:t>
            </w:r>
          </w:p>
        </w:tc>
      </w:tr>
    </w:tbl>
    <w:p w14:paraId="1EC4E9E6" w14:textId="77777777" w:rsidR="0099190B" w:rsidRDefault="0099190B" w:rsidP="0099190B">
      <w:pPr>
        <w:ind w:left="0" w:hanging="2"/>
        <w:jc w:val="both"/>
        <w:rPr>
          <w:rFonts w:ascii="Arial" w:eastAsia="Arial" w:hAnsi="Arial" w:cs="Arial"/>
          <w:sz w:val="20"/>
          <w:szCs w:val="20"/>
        </w:rPr>
      </w:pPr>
    </w:p>
    <w:p w14:paraId="034DDB0D" w14:textId="77777777" w:rsidR="00FC4BD1" w:rsidRDefault="00FC4BD1" w:rsidP="00FC4BD1">
      <w:pPr>
        <w:ind w:left="0" w:hanging="2"/>
        <w:jc w:val="both"/>
        <w:rPr>
          <w:rFonts w:ascii="Arial" w:eastAsia="Arial" w:hAnsi="Arial" w:cs="Arial"/>
          <w:sz w:val="20"/>
          <w:szCs w:val="20"/>
        </w:rPr>
      </w:pPr>
    </w:p>
    <w:p w14:paraId="5CD92191" w14:textId="77777777" w:rsidR="00FC4BD1" w:rsidRDefault="00FC4BD1" w:rsidP="00FC4BD1">
      <w:pPr>
        <w:ind w:left="0" w:hanging="2"/>
        <w:jc w:val="both"/>
        <w:rPr>
          <w:rFonts w:ascii="Arial" w:eastAsia="Arial" w:hAnsi="Arial" w:cs="Arial"/>
          <w:b/>
          <w:sz w:val="20"/>
          <w:szCs w:val="20"/>
          <w:u w:val="single"/>
        </w:rPr>
      </w:pPr>
      <w:r w:rsidRPr="003D1ECE">
        <w:rPr>
          <w:rFonts w:ascii="Arial" w:eastAsia="Arial" w:hAnsi="Arial" w:cs="Arial"/>
          <w:b/>
          <w:sz w:val="20"/>
          <w:szCs w:val="20"/>
          <w:u w:val="single"/>
        </w:rPr>
        <w:t xml:space="preserve">Acitividad de la enzima ARSA </w:t>
      </w:r>
      <w:r>
        <w:rPr>
          <w:rFonts w:ascii="Arial" w:eastAsia="Arial" w:hAnsi="Arial" w:cs="Arial"/>
          <w:b/>
          <w:sz w:val="20"/>
          <w:szCs w:val="20"/>
          <w:u w:val="single"/>
        </w:rPr>
        <w:t xml:space="preserve">medida </w:t>
      </w:r>
      <w:r w:rsidRPr="003D1ECE">
        <w:rPr>
          <w:rFonts w:ascii="Arial" w:eastAsia="Arial" w:hAnsi="Arial" w:cs="Arial"/>
          <w:b/>
          <w:sz w:val="20"/>
          <w:szCs w:val="20"/>
          <w:u w:val="single"/>
        </w:rPr>
        <w:t xml:space="preserve">en </w:t>
      </w:r>
      <w:r>
        <w:rPr>
          <w:rFonts w:ascii="Arial" w:eastAsia="Arial" w:hAnsi="Arial" w:cs="Arial"/>
          <w:b/>
          <w:sz w:val="20"/>
          <w:szCs w:val="20"/>
          <w:u w:val="single"/>
        </w:rPr>
        <w:t>células mononucleares de sangre periférica (</w:t>
      </w:r>
      <w:r w:rsidR="00E31767">
        <w:rPr>
          <w:rFonts w:ascii="Arial" w:eastAsia="Arial" w:hAnsi="Arial" w:cs="Arial"/>
          <w:b/>
          <w:sz w:val="20"/>
          <w:szCs w:val="20"/>
          <w:u w:val="single"/>
        </w:rPr>
        <w:t>C</w:t>
      </w:r>
      <w:r w:rsidR="00757B1D">
        <w:rPr>
          <w:rFonts w:ascii="Arial" w:eastAsia="Arial" w:hAnsi="Arial" w:cs="Arial"/>
          <w:b/>
          <w:sz w:val="20"/>
          <w:szCs w:val="20"/>
          <w:u w:val="single"/>
        </w:rPr>
        <w:t>MS</w:t>
      </w:r>
      <w:r w:rsidR="00E31767">
        <w:rPr>
          <w:rFonts w:ascii="Arial" w:eastAsia="Arial" w:hAnsi="Arial" w:cs="Arial"/>
          <w:b/>
          <w:sz w:val="20"/>
          <w:szCs w:val="20"/>
          <w:u w:val="single"/>
        </w:rPr>
        <w:t>P</w:t>
      </w:r>
      <w:r>
        <w:rPr>
          <w:rFonts w:ascii="Arial" w:eastAsia="Arial" w:hAnsi="Arial" w:cs="Arial"/>
          <w:b/>
          <w:sz w:val="20"/>
          <w:szCs w:val="20"/>
          <w:u w:val="single"/>
        </w:rPr>
        <w:t>).</w:t>
      </w:r>
    </w:p>
    <w:p w14:paraId="10E99917" w14:textId="77777777" w:rsidR="00FC4BD1" w:rsidRDefault="00FC4BD1" w:rsidP="00FC4BD1">
      <w:pPr>
        <w:ind w:left="0" w:hanging="2"/>
        <w:jc w:val="both"/>
        <w:rPr>
          <w:rFonts w:ascii="Arial" w:eastAsia="Arial" w:hAnsi="Arial" w:cs="Arial"/>
          <w:b/>
          <w:sz w:val="20"/>
          <w:szCs w:val="20"/>
          <w:u w:val="single"/>
        </w:rPr>
      </w:pPr>
    </w:p>
    <w:p w14:paraId="6CA2B090" w14:textId="77777777" w:rsidR="00FC4BD1" w:rsidRPr="00FC4BD1" w:rsidRDefault="00FC4BD1" w:rsidP="00FC4BD1">
      <w:pPr>
        <w:ind w:left="0" w:hanging="2"/>
        <w:jc w:val="both"/>
        <w:rPr>
          <w:rFonts w:ascii="Arial" w:eastAsia="Arial" w:hAnsi="Arial" w:cs="Arial"/>
          <w:sz w:val="20"/>
          <w:szCs w:val="20"/>
        </w:rPr>
      </w:pPr>
      <w:r w:rsidRPr="00FC4BD1">
        <w:rPr>
          <w:rFonts w:ascii="Arial" w:eastAsia="Arial" w:hAnsi="Arial" w:cs="Arial"/>
          <w:sz w:val="20"/>
          <w:szCs w:val="20"/>
        </w:rPr>
        <w:t>También se observó un aumento estadísticamente significativo de la actividad de la ARSA en las</w:t>
      </w:r>
    </w:p>
    <w:p w14:paraId="385C80C5" w14:textId="77777777" w:rsidR="00FC4BD1" w:rsidRDefault="00FC4BD1" w:rsidP="00FC4BD1">
      <w:pPr>
        <w:ind w:left="0" w:hanging="2"/>
        <w:jc w:val="both"/>
        <w:rPr>
          <w:rFonts w:ascii="Arial" w:eastAsia="Arial" w:hAnsi="Arial" w:cs="Arial"/>
          <w:sz w:val="20"/>
          <w:szCs w:val="20"/>
        </w:rPr>
      </w:pPr>
      <w:r w:rsidRPr="00FC4BD1">
        <w:rPr>
          <w:rFonts w:ascii="Arial" w:eastAsia="Arial" w:hAnsi="Arial" w:cs="Arial"/>
          <w:sz w:val="20"/>
          <w:szCs w:val="20"/>
        </w:rPr>
        <w:t>CMSP en el segundo año después del tratamiento, en comparación con la base de referencia previa al</w:t>
      </w:r>
      <w:r>
        <w:rPr>
          <w:rFonts w:ascii="Arial" w:eastAsia="Arial" w:hAnsi="Arial" w:cs="Arial"/>
          <w:sz w:val="20"/>
          <w:szCs w:val="20"/>
        </w:rPr>
        <w:t xml:space="preserve"> </w:t>
      </w:r>
      <w:r w:rsidRPr="00FC4BD1">
        <w:rPr>
          <w:rFonts w:ascii="Arial" w:eastAsia="Arial" w:hAnsi="Arial" w:cs="Arial"/>
          <w:sz w:val="20"/>
          <w:szCs w:val="20"/>
        </w:rPr>
        <w:t>tratamiento, tanto en los pacientes presintomáticos (20,0 veces más; p &lt;0,001) como en los pacientes</w:t>
      </w:r>
      <w:r>
        <w:rPr>
          <w:rFonts w:ascii="Arial" w:eastAsia="Arial" w:hAnsi="Arial" w:cs="Arial"/>
          <w:sz w:val="20"/>
          <w:szCs w:val="20"/>
        </w:rPr>
        <w:t xml:space="preserve"> </w:t>
      </w:r>
      <w:r w:rsidRPr="00FC4BD1">
        <w:rPr>
          <w:rFonts w:ascii="Arial" w:eastAsia="Arial" w:hAnsi="Arial" w:cs="Arial"/>
          <w:sz w:val="20"/>
          <w:szCs w:val="20"/>
        </w:rPr>
        <w:t>sintomáti</w:t>
      </w:r>
      <w:r>
        <w:rPr>
          <w:rFonts w:ascii="Arial" w:eastAsia="Arial" w:hAnsi="Arial" w:cs="Arial"/>
          <w:sz w:val="20"/>
          <w:szCs w:val="20"/>
        </w:rPr>
        <w:t>cos tempranos (4,2 veces más; p</w:t>
      </w:r>
      <w:r w:rsidRPr="00FC4BD1">
        <w:rPr>
          <w:rFonts w:ascii="Arial" w:eastAsia="Arial" w:hAnsi="Arial" w:cs="Arial"/>
          <w:sz w:val="20"/>
          <w:szCs w:val="20"/>
        </w:rPr>
        <w:t>=0,004)</w:t>
      </w:r>
      <w:r>
        <w:rPr>
          <w:rFonts w:ascii="Arial" w:eastAsia="Arial" w:hAnsi="Arial" w:cs="Arial"/>
          <w:sz w:val="20"/>
          <w:szCs w:val="20"/>
        </w:rPr>
        <w:t>.</w:t>
      </w:r>
    </w:p>
    <w:p w14:paraId="4FC4D42A" w14:textId="77777777" w:rsidR="00FC4BD1" w:rsidRDefault="00FC4BD1" w:rsidP="00FC4BD1">
      <w:pPr>
        <w:ind w:left="0" w:hanging="2"/>
        <w:jc w:val="both"/>
        <w:rPr>
          <w:rFonts w:ascii="Arial" w:eastAsia="Arial" w:hAnsi="Arial" w:cs="Arial"/>
          <w:sz w:val="20"/>
          <w:szCs w:val="20"/>
        </w:rPr>
      </w:pPr>
    </w:p>
    <w:tbl>
      <w:tblPr>
        <w:tblStyle w:val="Tablaconcuadrcula"/>
        <w:tblW w:w="0" w:type="auto"/>
        <w:tblLook w:val="04A0" w:firstRow="1" w:lastRow="0" w:firstColumn="1" w:lastColumn="0" w:noHBand="0" w:noVBand="1"/>
      </w:tblPr>
      <w:tblGrid>
        <w:gridCol w:w="2194"/>
        <w:gridCol w:w="2179"/>
        <w:gridCol w:w="2174"/>
        <w:gridCol w:w="2182"/>
      </w:tblGrid>
      <w:tr w:rsidR="003E61F7" w14:paraId="3E70C23C" w14:textId="77777777" w:rsidTr="008723D4">
        <w:tc>
          <w:tcPr>
            <w:tcW w:w="2219" w:type="dxa"/>
          </w:tcPr>
          <w:p w14:paraId="4D0C3DDA" w14:textId="77777777" w:rsidR="003E61F7" w:rsidRDefault="003E61F7" w:rsidP="00FC4BD1">
            <w:pPr>
              <w:ind w:leftChars="0" w:left="0" w:firstLineChars="0" w:firstLine="0"/>
              <w:jc w:val="both"/>
              <w:rPr>
                <w:rFonts w:ascii="Arial" w:eastAsia="Arial" w:hAnsi="Arial" w:cs="Arial"/>
                <w:sz w:val="20"/>
                <w:szCs w:val="20"/>
              </w:rPr>
            </w:pPr>
          </w:p>
        </w:tc>
        <w:tc>
          <w:tcPr>
            <w:tcW w:w="4440" w:type="dxa"/>
            <w:gridSpan w:val="2"/>
          </w:tcPr>
          <w:p w14:paraId="69ADB1EE"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Media geométrica (%CVb)</w:t>
            </w:r>
          </w:p>
          <w:p w14:paraId="478FDA37"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Actividad de ARSA en las CMSP</w:t>
            </w:r>
          </w:p>
        </w:tc>
        <w:tc>
          <w:tcPr>
            <w:tcW w:w="2220" w:type="dxa"/>
            <w:vMerge w:val="restart"/>
          </w:tcPr>
          <w:p w14:paraId="74B35940"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Incremento de la base de</w:t>
            </w:r>
          </w:p>
          <w:p w14:paraId="1F73F452"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referencia al año 2</w:t>
            </w:r>
            <w:r>
              <w:rPr>
                <w:rFonts w:ascii="Arial" w:eastAsia="Arial" w:hAnsi="Arial" w:cs="Arial"/>
                <w:b/>
                <w:sz w:val="16"/>
                <w:szCs w:val="20"/>
              </w:rPr>
              <w:t xml:space="preserve"> (razón de medias ajustadas)</w:t>
            </w:r>
          </w:p>
        </w:tc>
      </w:tr>
      <w:tr w:rsidR="003E61F7" w14:paraId="320A2FCB" w14:textId="77777777" w:rsidTr="00FC4BD1">
        <w:tc>
          <w:tcPr>
            <w:tcW w:w="2219" w:type="dxa"/>
          </w:tcPr>
          <w:p w14:paraId="06D8467A" w14:textId="77777777" w:rsidR="003E61F7" w:rsidRDefault="003E61F7" w:rsidP="00FC4BD1">
            <w:pPr>
              <w:ind w:leftChars="0" w:left="0" w:firstLineChars="0" w:firstLine="0"/>
              <w:jc w:val="both"/>
              <w:rPr>
                <w:rFonts w:ascii="Arial" w:eastAsia="Arial" w:hAnsi="Arial" w:cs="Arial"/>
                <w:sz w:val="20"/>
                <w:szCs w:val="20"/>
              </w:rPr>
            </w:pPr>
          </w:p>
        </w:tc>
        <w:tc>
          <w:tcPr>
            <w:tcW w:w="2220" w:type="dxa"/>
          </w:tcPr>
          <w:p w14:paraId="32145F28"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Base de referencia</w:t>
            </w:r>
          </w:p>
        </w:tc>
        <w:tc>
          <w:tcPr>
            <w:tcW w:w="2220" w:type="dxa"/>
          </w:tcPr>
          <w:p w14:paraId="52935B25" w14:textId="77777777" w:rsidR="003E61F7" w:rsidRPr="003E61F7" w:rsidRDefault="003E61F7" w:rsidP="003E61F7">
            <w:pPr>
              <w:ind w:leftChars="0" w:left="0" w:firstLineChars="0" w:firstLine="0"/>
              <w:jc w:val="center"/>
              <w:rPr>
                <w:rFonts w:ascii="Arial" w:eastAsia="Arial" w:hAnsi="Arial" w:cs="Arial"/>
                <w:b/>
                <w:sz w:val="16"/>
                <w:szCs w:val="20"/>
              </w:rPr>
            </w:pPr>
            <w:r w:rsidRPr="003E61F7">
              <w:rPr>
                <w:rFonts w:ascii="Arial" w:eastAsia="Arial" w:hAnsi="Arial" w:cs="Arial"/>
                <w:b/>
                <w:sz w:val="16"/>
                <w:szCs w:val="20"/>
              </w:rPr>
              <w:t>Año 2</w:t>
            </w:r>
          </w:p>
        </w:tc>
        <w:tc>
          <w:tcPr>
            <w:tcW w:w="2220" w:type="dxa"/>
            <w:vMerge/>
          </w:tcPr>
          <w:p w14:paraId="7A1C7D91" w14:textId="77777777" w:rsidR="003E61F7" w:rsidRDefault="003E61F7" w:rsidP="00FC4BD1">
            <w:pPr>
              <w:ind w:leftChars="0" w:left="0" w:firstLineChars="0" w:firstLine="0"/>
              <w:jc w:val="both"/>
              <w:rPr>
                <w:rFonts w:ascii="Arial" w:eastAsia="Arial" w:hAnsi="Arial" w:cs="Arial"/>
                <w:sz w:val="20"/>
                <w:szCs w:val="20"/>
              </w:rPr>
            </w:pPr>
          </w:p>
        </w:tc>
      </w:tr>
      <w:tr w:rsidR="00FC4BD1" w14:paraId="64BC40A1" w14:textId="77777777" w:rsidTr="00FC4BD1">
        <w:tc>
          <w:tcPr>
            <w:tcW w:w="2219" w:type="dxa"/>
          </w:tcPr>
          <w:p w14:paraId="4BD84BFF" w14:textId="77777777" w:rsidR="00FC4BD1" w:rsidRPr="00635A5D" w:rsidRDefault="00FC4BD1" w:rsidP="008723D4">
            <w:pPr>
              <w:ind w:leftChars="0" w:left="0" w:firstLineChars="0" w:firstLine="0"/>
              <w:jc w:val="both"/>
              <w:rPr>
                <w:rFonts w:ascii="Arial" w:eastAsia="Arial" w:hAnsi="Arial" w:cs="Arial"/>
                <w:b/>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Presintomáticos</w:t>
            </w:r>
          </w:p>
        </w:tc>
        <w:tc>
          <w:tcPr>
            <w:tcW w:w="2220" w:type="dxa"/>
          </w:tcPr>
          <w:p w14:paraId="43E859E4" w14:textId="77777777" w:rsidR="00FC4BD1" w:rsidRPr="003E61F7" w:rsidRDefault="00FC4BD1" w:rsidP="003E61F7">
            <w:pPr>
              <w:suppressAutoHyphens w:val="0"/>
              <w:autoSpaceDE w:val="0"/>
              <w:autoSpaceDN w:val="0"/>
              <w:adjustRightInd w:val="0"/>
              <w:spacing w:line="240" w:lineRule="auto"/>
              <w:ind w:leftChars="0" w:left="0" w:firstLineChars="0" w:firstLine="0"/>
              <w:jc w:val="center"/>
              <w:textDirection w:val="lrTb"/>
              <w:textAlignment w:val="auto"/>
              <w:outlineLvl w:val="9"/>
              <w:rPr>
                <w:rFonts w:ascii="Arial" w:hAnsi="Arial" w:cs="Arial"/>
                <w:position w:val="0"/>
                <w:sz w:val="16"/>
                <w:szCs w:val="16"/>
              </w:rPr>
            </w:pPr>
            <w:r w:rsidRPr="003E61F7">
              <w:rPr>
                <w:rFonts w:ascii="Arial" w:hAnsi="Arial" w:cs="Arial"/>
                <w:position w:val="0"/>
                <w:sz w:val="16"/>
                <w:szCs w:val="16"/>
              </w:rPr>
              <w:t>26,923 (6,72)</w:t>
            </w:r>
          </w:p>
          <w:p w14:paraId="43CD5B04"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hAnsi="Arial" w:cs="Arial"/>
                <w:position w:val="0"/>
                <w:sz w:val="16"/>
                <w:szCs w:val="16"/>
              </w:rPr>
              <w:t>(</w:t>
            </w:r>
            <w:r w:rsidRPr="003E61F7">
              <w:rPr>
                <w:rFonts w:ascii="Arial" w:hAnsi="Arial" w:cs="Arial"/>
                <w:i/>
                <w:iCs/>
                <w:position w:val="0"/>
                <w:sz w:val="16"/>
                <w:szCs w:val="16"/>
              </w:rPr>
              <w:t xml:space="preserve">n </w:t>
            </w:r>
            <w:r w:rsidRPr="003E61F7">
              <w:rPr>
                <w:rFonts w:ascii="Arial" w:hAnsi="Arial" w:cs="Arial"/>
                <w:position w:val="0"/>
                <w:sz w:val="16"/>
                <w:szCs w:val="16"/>
              </w:rPr>
              <w:t>= 19)</w:t>
            </w:r>
          </w:p>
        </w:tc>
        <w:tc>
          <w:tcPr>
            <w:tcW w:w="2220" w:type="dxa"/>
          </w:tcPr>
          <w:p w14:paraId="38298477" w14:textId="77777777" w:rsidR="00FC4BD1" w:rsidRPr="003E61F7" w:rsidRDefault="00FC4BD1"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339,736 (270,85)</w:t>
            </w:r>
          </w:p>
          <w:p w14:paraId="2BCBA52B"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eastAsia="Arial" w:hAnsi="Arial" w:cs="Arial"/>
                <w:sz w:val="16"/>
                <w:szCs w:val="16"/>
              </w:rPr>
              <w:t>(n = 14)</w:t>
            </w:r>
          </w:p>
        </w:tc>
        <w:tc>
          <w:tcPr>
            <w:tcW w:w="2220" w:type="dxa"/>
          </w:tcPr>
          <w:p w14:paraId="3E8C3797" w14:textId="77777777" w:rsidR="003E61F7" w:rsidRDefault="00FC4BD1"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20,0</w:t>
            </w:r>
            <w:r w:rsidR="003E61F7">
              <w:rPr>
                <w:rFonts w:ascii="Arial" w:eastAsia="Arial" w:hAnsi="Arial" w:cs="Arial"/>
                <w:sz w:val="16"/>
                <w:szCs w:val="16"/>
              </w:rPr>
              <w:t xml:space="preserve"> </w:t>
            </w:r>
            <w:r w:rsidRPr="003E61F7">
              <w:rPr>
                <w:rFonts w:ascii="Arial" w:eastAsia="Arial" w:hAnsi="Arial" w:cs="Arial"/>
                <w:sz w:val="16"/>
                <w:szCs w:val="16"/>
              </w:rPr>
              <w:t>(IC95 %: 9,0</w:t>
            </w:r>
            <w:r w:rsidR="00250202">
              <w:rPr>
                <w:rFonts w:ascii="Arial" w:eastAsia="Arial" w:hAnsi="Arial" w:cs="Arial"/>
                <w:sz w:val="16"/>
                <w:szCs w:val="16"/>
              </w:rPr>
              <w:t xml:space="preserve"> a</w:t>
            </w:r>
            <w:r w:rsidRPr="003E61F7">
              <w:rPr>
                <w:rFonts w:ascii="Arial" w:eastAsia="Arial" w:hAnsi="Arial" w:cs="Arial"/>
                <w:sz w:val="16"/>
                <w:szCs w:val="16"/>
              </w:rPr>
              <w:t xml:space="preserve"> 44,0) </w:t>
            </w:r>
          </w:p>
          <w:p w14:paraId="243D74F2" w14:textId="77777777" w:rsidR="00FC4BD1" w:rsidRPr="003E61F7" w:rsidRDefault="00FC4BD1"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p &lt;0,001</w:t>
            </w:r>
          </w:p>
        </w:tc>
      </w:tr>
      <w:tr w:rsidR="00FC4BD1" w14:paraId="6D927FD5" w14:textId="77777777" w:rsidTr="00FC4BD1">
        <w:tc>
          <w:tcPr>
            <w:tcW w:w="2219" w:type="dxa"/>
          </w:tcPr>
          <w:p w14:paraId="25083CBA" w14:textId="77777777" w:rsidR="00FC4BD1" w:rsidRPr="0099190B" w:rsidRDefault="00FC4BD1" w:rsidP="003E61F7">
            <w:pPr>
              <w:ind w:leftChars="0" w:left="0" w:firstLineChars="0" w:firstLine="0"/>
              <w:rPr>
                <w:rFonts w:ascii="Arial" w:eastAsia="Arial" w:hAnsi="Arial" w:cs="Arial"/>
                <w:sz w:val="16"/>
                <w:szCs w:val="20"/>
              </w:rPr>
            </w:pPr>
            <w:r>
              <w:rPr>
                <w:rFonts w:ascii="Arial" w:eastAsia="Arial" w:hAnsi="Arial" w:cs="Arial"/>
                <w:b/>
                <w:sz w:val="16"/>
                <w:szCs w:val="20"/>
              </w:rPr>
              <w:t xml:space="preserve">Pacientes </w:t>
            </w:r>
            <w:r w:rsidRPr="00635A5D">
              <w:rPr>
                <w:rFonts w:ascii="Arial" w:eastAsia="Arial" w:hAnsi="Arial" w:cs="Arial"/>
                <w:b/>
                <w:sz w:val="16"/>
                <w:szCs w:val="20"/>
              </w:rPr>
              <w:t>Sintomáticos tempranos</w:t>
            </w:r>
          </w:p>
        </w:tc>
        <w:tc>
          <w:tcPr>
            <w:tcW w:w="2220" w:type="dxa"/>
          </w:tcPr>
          <w:p w14:paraId="480E760D" w14:textId="77777777" w:rsidR="00FC4BD1" w:rsidRPr="003E61F7" w:rsidRDefault="00FC4BD1" w:rsidP="003E61F7">
            <w:pPr>
              <w:suppressAutoHyphens w:val="0"/>
              <w:autoSpaceDE w:val="0"/>
              <w:autoSpaceDN w:val="0"/>
              <w:adjustRightInd w:val="0"/>
              <w:spacing w:line="240" w:lineRule="auto"/>
              <w:ind w:leftChars="0" w:left="0" w:firstLineChars="0" w:firstLine="0"/>
              <w:jc w:val="center"/>
              <w:textDirection w:val="lrTb"/>
              <w:textAlignment w:val="auto"/>
              <w:outlineLvl w:val="9"/>
              <w:rPr>
                <w:rFonts w:ascii="Arial" w:hAnsi="Arial" w:cs="Arial"/>
                <w:position w:val="0"/>
                <w:sz w:val="16"/>
                <w:szCs w:val="16"/>
              </w:rPr>
            </w:pPr>
            <w:r w:rsidRPr="003E61F7">
              <w:rPr>
                <w:rFonts w:ascii="Arial" w:hAnsi="Arial" w:cs="Arial"/>
                <w:position w:val="0"/>
                <w:sz w:val="16"/>
                <w:szCs w:val="16"/>
              </w:rPr>
              <w:t>26,025 (2,72)</w:t>
            </w:r>
          </w:p>
          <w:p w14:paraId="6DD39953"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hAnsi="Arial" w:cs="Arial"/>
                <w:position w:val="0"/>
                <w:sz w:val="16"/>
                <w:szCs w:val="16"/>
              </w:rPr>
              <w:t>(</w:t>
            </w:r>
            <w:r w:rsidRPr="003E61F7">
              <w:rPr>
                <w:rFonts w:ascii="Arial" w:hAnsi="Arial" w:cs="Arial"/>
                <w:i/>
                <w:iCs/>
                <w:position w:val="0"/>
                <w:sz w:val="16"/>
                <w:szCs w:val="16"/>
              </w:rPr>
              <w:t xml:space="preserve">n </w:t>
            </w:r>
            <w:r w:rsidRPr="003E61F7">
              <w:rPr>
                <w:rFonts w:ascii="Arial" w:hAnsi="Arial" w:cs="Arial"/>
                <w:position w:val="0"/>
                <w:sz w:val="16"/>
                <w:szCs w:val="16"/>
              </w:rPr>
              <w:t>= 9)</w:t>
            </w:r>
          </w:p>
        </w:tc>
        <w:tc>
          <w:tcPr>
            <w:tcW w:w="2220" w:type="dxa"/>
          </w:tcPr>
          <w:p w14:paraId="69AE05BA" w14:textId="77777777" w:rsidR="00FC4BD1" w:rsidRPr="003E61F7" w:rsidRDefault="00FC4BD1" w:rsidP="003E61F7">
            <w:pPr>
              <w:suppressAutoHyphens w:val="0"/>
              <w:autoSpaceDE w:val="0"/>
              <w:autoSpaceDN w:val="0"/>
              <w:adjustRightInd w:val="0"/>
              <w:spacing w:line="240" w:lineRule="auto"/>
              <w:ind w:leftChars="0" w:left="0" w:firstLineChars="0" w:firstLine="0"/>
              <w:jc w:val="center"/>
              <w:textDirection w:val="lrTb"/>
              <w:textAlignment w:val="auto"/>
              <w:outlineLvl w:val="9"/>
              <w:rPr>
                <w:rFonts w:ascii="Arial" w:hAnsi="Arial" w:cs="Arial"/>
                <w:position w:val="0"/>
                <w:sz w:val="16"/>
                <w:szCs w:val="16"/>
              </w:rPr>
            </w:pPr>
            <w:r w:rsidRPr="003E61F7">
              <w:rPr>
                <w:rFonts w:ascii="Arial" w:hAnsi="Arial" w:cs="Arial"/>
                <w:position w:val="0"/>
                <w:sz w:val="16"/>
                <w:szCs w:val="16"/>
              </w:rPr>
              <w:t>134,056 (55,94)</w:t>
            </w:r>
          </w:p>
          <w:p w14:paraId="541EA515" w14:textId="77777777" w:rsidR="00FC4BD1" w:rsidRPr="003E61F7" w:rsidRDefault="00FC4BD1" w:rsidP="003E61F7">
            <w:pPr>
              <w:ind w:leftChars="0" w:left="0" w:firstLineChars="0" w:firstLine="0"/>
              <w:jc w:val="center"/>
              <w:rPr>
                <w:rFonts w:ascii="Arial" w:eastAsia="Arial" w:hAnsi="Arial" w:cs="Arial"/>
                <w:sz w:val="16"/>
                <w:szCs w:val="16"/>
              </w:rPr>
            </w:pPr>
            <w:r w:rsidRPr="003E61F7">
              <w:rPr>
                <w:rFonts w:ascii="Arial" w:hAnsi="Arial" w:cs="Arial"/>
                <w:position w:val="0"/>
                <w:sz w:val="16"/>
                <w:szCs w:val="16"/>
              </w:rPr>
              <w:t>(</w:t>
            </w:r>
            <w:r w:rsidRPr="003E61F7">
              <w:rPr>
                <w:rFonts w:ascii="Arial" w:hAnsi="Arial" w:cs="Arial"/>
                <w:i/>
                <w:iCs/>
                <w:position w:val="0"/>
                <w:sz w:val="16"/>
                <w:szCs w:val="16"/>
              </w:rPr>
              <w:t xml:space="preserve">n </w:t>
            </w:r>
            <w:r w:rsidRPr="003E61F7">
              <w:rPr>
                <w:rFonts w:ascii="Arial" w:hAnsi="Arial" w:cs="Arial"/>
                <w:position w:val="0"/>
                <w:sz w:val="16"/>
                <w:szCs w:val="16"/>
              </w:rPr>
              <w:t>= 6)</w:t>
            </w:r>
          </w:p>
        </w:tc>
        <w:tc>
          <w:tcPr>
            <w:tcW w:w="2220" w:type="dxa"/>
          </w:tcPr>
          <w:p w14:paraId="36B001C7" w14:textId="77777777" w:rsidR="003E61F7" w:rsidRDefault="003E61F7" w:rsidP="003E61F7">
            <w:pPr>
              <w:ind w:leftChars="0" w:firstLineChars="0" w:firstLine="0"/>
              <w:jc w:val="center"/>
              <w:rPr>
                <w:rFonts w:ascii="Arial" w:eastAsia="Arial" w:hAnsi="Arial" w:cs="Arial"/>
                <w:sz w:val="16"/>
                <w:szCs w:val="16"/>
              </w:rPr>
            </w:pPr>
            <w:r>
              <w:rPr>
                <w:rFonts w:ascii="Arial" w:eastAsia="Arial" w:hAnsi="Arial" w:cs="Arial"/>
                <w:sz w:val="16"/>
                <w:szCs w:val="16"/>
              </w:rPr>
              <w:t xml:space="preserve">4,2 </w:t>
            </w:r>
            <w:r w:rsidRPr="003E61F7">
              <w:rPr>
                <w:rFonts w:ascii="Arial" w:eastAsia="Arial" w:hAnsi="Arial" w:cs="Arial"/>
                <w:sz w:val="16"/>
                <w:szCs w:val="16"/>
              </w:rPr>
              <w:t>(IC 95 %: 1,6</w:t>
            </w:r>
            <w:r w:rsidR="00250202">
              <w:rPr>
                <w:rFonts w:ascii="Arial" w:eastAsia="Arial" w:hAnsi="Arial" w:cs="Arial"/>
                <w:sz w:val="16"/>
                <w:szCs w:val="16"/>
              </w:rPr>
              <w:t xml:space="preserve"> a</w:t>
            </w:r>
            <w:r w:rsidRPr="003E61F7">
              <w:rPr>
                <w:rFonts w:ascii="Arial" w:eastAsia="Arial" w:hAnsi="Arial" w:cs="Arial"/>
                <w:sz w:val="16"/>
                <w:szCs w:val="16"/>
              </w:rPr>
              <w:t xml:space="preserve"> 11,2) </w:t>
            </w:r>
          </w:p>
          <w:p w14:paraId="1940FF65" w14:textId="77777777" w:rsidR="00FC4BD1" w:rsidRPr="003E61F7" w:rsidRDefault="003E61F7" w:rsidP="003E61F7">
            <w:pPr>
              <w:ind w:leftChars="0" w:firstLineChars="0" w:firstLine="0"/>
              <w:jc w:val="center"/>
              <w:rPr>
                <w:rFonts w:ascii="Arial" w:eastAsia="Arial" w:hAnsi="Arial" w:cs="Arial"/>
                <w:sz w:val="16"/>
                <w:szCs w:val="16"/>
              </w:rPr>
            </w:pPr>
            <w:r w:rsidRPr="003E61F7">
              <w:rPr>
                <w:rFonts w:ascii="Arial" w:eastAsia="Arial" w:hAnsi="Arial" w:cs="Arial"/>
                <w:sz w:val="16"/>
                <w:szCs w:val="16"/>
              </w:rPr>
              <w:t>p = 0,004</w:t>
            </w:r>
          </w:p>
        </w:tc>
      </w:tr>
    </w:tbl>
    <w:p w14:paraId="283F0CC9" w14:textId="77777777" w:rsidR="00FC4BD1" w:rsidRDefault="00FC4BD1" w:rsidP="00FC4BD1">
      <w:pPr>
        <w:ind w:left="0" w:hanging="2"/>
        <w:jc w:val="both"/>
        <w:rPr>
          <w:rFonts w:ascii="Arial" w:eastAsia="Arial" w:hAnsi="Arial" w:cs="Arial"/>
          <w:sz w:val="20"/>
          <w:szCs w:val="20"/>
        </w:rPr>
      </w:pPr>
    </w:p>
    <w:p w14:paraId="15DA3EFB" w14:textId="77777777" w:rsidR="00FC4BD1" w:rsidRDefault="00FC4BD1" w:rsidP="00FC4BD1">
      <w:pPr>
        <w:ind w:left="0" w:hanging="2"/>
        <w:jc w:val="both"/>
        <w:rPr>
          <w:rFonts w:ascii="Arial" w:eastAsia="Arial" w:hAnsi="Arial" w:cs="Arial"/>
          <w:b/>
          <w:sz w:val="20"/>
          <w:szCs w:val="20"/>
          <w:u w:val="single"/>
        </w:rPr>
      </w:pPr>
      <w:r w:rsidRPr="00FC4BD1">
        <w:rPr>
          <w:rFonts w:ascii="Arial" w:eastAsia="Arial" w:hAnsi="Arial" w:cs="Arial"/>
          <w:b/>
          <w:sz w:val="20"/>
          <w:szCs w:val="20"/>
          <w:u w:val="single"/>
        </w:rPr>
        <w:t>Capacidades cognitivas.</w:t>
      </w:r>
    </w:p>
    <w:p w14:paraId="70AEF35B" w14:textId="77777777" w:rsidR="007B4CE4" w:rsidRPr="00FC4BD1" w:rsidRDefault="007B4CE4" w:rsidP="00FC4BD1">
      <w:pPr>
        <w:ind w:left="0" w:hanging="2"/>
        <w:jc w:val="both"/>
        <w:rPr>
          <w:rFonts w:ascii="Arial" w:eastAsia="Arial" w:hAnsi="Arial" w:cs="Arial"/>
          <w:b/>
          <w:sz w:val="20"/>
          <w:szCs w:val="20"/>
          <w:u w:val="single"/>
        </w:rPr>
      </w:pPr>
    </w:p>
    <w:p w14:paraId="02BAD18A" w14:textId="77777777" w:rsidR="003E61F7" w:rsidRDefault="003E61F7" w:rsidP="003E61F7">
      <w:pPr>
        <w:ind w:left="0" w:hanging="2"/>
        <w:jc w:val="both"/>
        <w:rPr>
          <w:rFonts w:ascii="Arial" w:eastAsia="Arial" w:hAnsi="Arial" w:cs="Arial"/>
          <w:sz w:val="20"/>
          <w:szCs w:val="20"/>
        </w:rPr>
      </w:pPr>
      <w:r w:rsidRPr="003E61F7">
        <w:rPr>
          <w:rFonts w:ascii="Arial" w:eastAsia="Arial" w:hAnsi="Arial" w:cs="Arial"/>
          <w:sz w:val="20"/>
          <w:szCs w:val="20"/>
        </w:rPr>
        <w:t xml:space="preserve">En el subgrupo </w:t>
      </w:r>
      <w:r>
        <w:rPr>
          <w:rFonts w:ascii="Arial" w:eastAsia="Arial" w:hAnsi="Arial" w:cs="Arial"/>
          <w:sz w:val="20"/>
          <w:szCs w:val="20"/>
        </w:rPr>
        <w:t>LDM-</w:t>
      </w:r>
      <w:r w:rsidRPr="003E61F7">
        <w:rPr>
          <w:rFonts w:ascii="Arial" w:eastAsia="Arial" w:hAnsi="Arial" w:cs="Arial"/>
          <w:sz w:val="20"/>
          <w:szCs w:val="20"/>
        </w:rPr>
        <w:t>IT (todos presintomáticos en el momento del tratamiento excepto uno), 12 de los</w:t>
      </w:r>
      <w:r>
        <w:rPr>
          <w:rFonts w:ascii="Arial" w:eastAsia="Arial" w:hAnsi="Arial" w:cs="Arial"/>
          <w:sz w:val="20"/>
          <w:szCs w:val="20"/>
        </w:rPr>
        <w:t xml:space="preserve"> </w:t>
      </w:r>
      <w:r w:rsidRPr="003E61F7">
        <w:rPr>
          <w:rFonts w:ascii="Arial" w:eastAsia="Arial" w:hAnsi="Arial" w:cs="Arial"/>
          <w:sz w:val="20"/>
          <w:szCs w:val="20"/>
        </w:rPr>
        <w:t xml:space="preserve">15 pacientes evaluados presentaron un </w:t>
      </w:r>
      <w:r>
        <w:rPr>
          <w:rFonts w:ascii="Arial" w:eastAsia="Arial" w:hAnsi="Arial" w:cs="Arial"/>
          <w:sz w:val="20"/>
          <w:szCs w:val="20"/>
        </w:rPr>
        <w:t>Cociente Intelectual / Cociente de Desarrollo (</w:t>
      </w:r>
      <w:r w:rsidRPr="003E61F7">
        <w:rPr>
          <w:rFonts w:ascii="Arial" w:eastAsia="Arial" w:hAnsi="Arial" w:cs="Arial"/>
          <w:sz w:val="20"/>
          <w:szCs w:val="20"/>
        </w:rPr>
        <w:t>CI/CD</w:t>
      </w:r>
      <w:r>
        <w:rPr>
          <w:rFonts w:ascii="Arial" w:eastAsia="Arial" w:hAnsi="Arial" w:cs="Arial"/>
          <w:sz w:val="20"/>
          <w:szCs w:val="20"/>
        </w:rPr>
        <w:t>)</w:t>
      </w:r>
      <w:r w:rsidRPr="003E61F7">
        <w:rPr>
          <w:rFonts w:ascii="Arial" w:eastAsia="Arial" w:hAnsi="Arial" w:cs="Arial"/>
          <w:sz w:val="20"/>
          <w:szCs w:val="20"/>
        </w:rPr>
        <w:t xml:space="preserve"> bastante constante, dentro del rango normal (puntuación</w:t>
      </w:r>
      <w:r>
        <w:rPr>
          <w:rFonts w:ascii="Arial" w:eastAsia="Arial" w:hAnsi="Arial" w:cs="Arial"/>
          <w:sz w:val="20"/>
          <w:szCs w:val="20"/>
        </w:rPr>
        <w:t xml:space="preserve"> </w:t>
      </w:r>
      <w:r w:rsidRPr="003E61F7">
        <w:rPr>
          <w:rFonts w:ascii="Arial" w:eastAsia="Arial" w:hAnsi="Arial" w:cs="Arial"/>
          <w:sz w:val="20"/>
          <w:szCs w:val="20"/>
        </w:rPr>
        <w:t>de CI/CD de 100 +/- desviación estándar de 15) a lo largo del periodo de seguimiento. Todos estos</w:t>
      </w:r>
      <w:r>
        <w:rPr>
          <w:rFonts w:ascii="Arial" w:eastAsia="Arial" w:hAnsi="Arial" w:cs="Arial"/>
          <w:sz w:val="20"/>
          <w:szCs w:val="20"/>
        </w:rPr>
        <w:t xml:space="preserve"> </w:t>
      </w:r>
      <w:r w:rsidRPr="003E61F7">
        <w:rPr>
          <w:rFonts w:ascii="Arial" w:eastAsia="Arial" w:hAnsi="Arial" w:cs="Arial"/>
          <w:sz w:val="20"/>
          <w:szCs w:val="20"/>
        </w:rPr>
        <w:t>pacientes, excepto dos (uno presintomático, otro sintomático temprano) permanecieron por encima del</w:t>
      </w:r>
      <w:r>
        <w:rPr>
          <w:rFonts w:ascii="Arial" w:eastAsia="Arial" w:hAnsi="Arial" w:cs="Arial"/>
          <w:sz w:val="20"/>
          <w:szCs w:val="20"/>
        </w:rPr>
        <w:t xml:space="preserve"> </w:t>
      </w:r>
      <w:r w:rsidRPr="003E61F7">
        <w:rPr>
          <w:rFonts w:ascii="Arial" w:eastAsia="Arial" w:hAnsi="Arial" w:cs="Arial"/>
          <w:sz w:val="20"/>
          <w:szCs w:val="20"/>
        </w:rPr>
        <w:t>umbral de discapacidad mental grave (CI/CD &gt;55) en edades en las que los 14 pacientes de N</w:t>
      </w:r>
      <w:r w:rsidR="00250202">
        <w:rPr>
          <w:rFonts w:ascii="Arial" w:eastAsia="Arial" w:hAnsi="Arial" w:cs="Arial"/>
          <w:sz w:val="20"/>
          <w:szCs w:val="20"/>
        </w:rPr>
        <w:t>Hx</w:t>
      </w:r>
      <w:r w:rsidRPr="003E61F7">
        <w:rPr>
          <w:rFonts w:ascii="Arial" w:eastAsia="Arial" w:hAnsi="Arial" w:cs="Arial"/>
          <w:sz w:val="20"/>
          <w:szCs w:val="20"/>
        </w:rPr>
        <w:t xml:space="preserve"> no</w:t>
      </w:r>
      <w:r>
        <w:rPr>
          <w:rFonts w:ascii="Arial" w:eastAsia="Arial" w:hAnsi="Arial" w:cs="Arial"/>
          <w:sz w:val="20"/>
          <w:szCs w:val="20"/>
        </w:rPr>
        <w:t xml:space="preserve"> </w:t>
      </w:r>
      <w:r w:rsidRPr="003E61F7">
        <w:rPr>
          <w:rFonts w:ascii="Arial" w:eastAsia="Arial" w:hAnsi="Arial" w:cs="Arial"/>
          <w:sz w:val="20"/>
          <w:szCs w:val="20"/>
        </w:rPr>
        <w:t>tratados con evaluaciones neuropsicológicas mostraron evidencias de deterioro cognitivo grave (es</w:t>
      </w:r>
      <w:r w:rsidR="007B4CE4">
        <w:rPr>
          <w:rFonts w:ascii="Arial" w:eastAsia="Arial" w:hAnsi="Arial" w:cs="Arial"/>
          <w:sz w:val="20"/>
          <w:szCs w:val="20"/>
        </w:rPr>
        <w:t xml:space="preserve"> </w:t>
      </w:r>
      <w:r w:rsidRPr="003E61F7">
        <w:rPr>
          <w:rFonts w:ascii="Arial" w:eastAsia="Arial" w:hAnsi="Arial" w:cs="Arial"/>
          <w:sz w:val="20"/>
          <w:szCs w:val="20"/>
        </w:rPr>
        <w:t>decir, CI/CD por debajo de 55 y cerca de 0).</w:t>
      </w:r>
    </w:p>
    <w:p w14:paraId="540548C3" w14:textId="77777777" w:rsidR="007B4CE4" w:rsidRPr="003E61F7" w:rsidRDefault="007B4CE4" w:rsidP="003E61F7">
      <w:pPr>
        <w:ind w:left="0" w:hanging="2"/>
        <w:jc w:val="both"/>
        <w:rPr>
          <w:rFonts w:ascii="Arial" w:eastAsia="Arial" w:hAnsi="Arial" w:cs="Arial"/>
          <w:sz w:val="20"/>
          <w:szCs w:val="20"/>
        </w:rPr>
      </w:pPr>
    </w:p>
    <w:p w14:paraId="69C5526E" w14:textId="77777777" w:rsidR="00FC4BD1" w:rsidRDefault="003E61F7" w:rsidP="003E61F7">
      <w:pPr>
        <w:ind w:left="0" w:hanging="2"/>
        <w:jc w:val="both"/>
        <w:rPr>
          <w:rFonts w:ascii="Arial" w:eastAsia="Arial" w:hAnsi="Arial" w:cs="Arial"/>
          <w:sz w:val="20"/>
          <w:szCs w:val="20"/>
        </w:rPr>
      </w:pPr>
      <w:r w:rsidRPr="003E61F7">
        <w:rPr>
          <w:rFonts w:ascii="Arial" w:eastAsia="Arial" w:hAnsi="Arial" w:cs="Arial"/>
          <w:sz w:val="20"/>
          <w:szCs w:val="20"/>
        </w:rPr>
        <w:t xml:space="preserve">De los 10 pacientes </w:t>
      </w:r>
      <w:r w:rsidR="007B4CE4">
        <w:rPr>
          <w:rFonts w:ascii="Arial" w:eastAsia="Arial" w:hAnsi="Arial" w:cs="Arial"/>
          <w:sz w:val="20"/>
          <w:szCs w:val="20"/>
        </w:rPr>
        <w:t>LDM-</w:t>
      </w:r>
      <w:r w:rsidRPr="003E61F7">
        <w:rPr>
          <w:rFonts w:ascii="Arial" w:eastAsia="Arial" w:hAnsi="Arial" w:cs="Arial"/>
          <w:sz w:val="20"/>
          <w:szCs w:val="20"/>
        </w:rPr>
        <w:t>JT supervivientes, los cuatro pacientes presintomáticos y cuatro de los seis</w:t>
      </w:r>
      <w:r w:rsidR="007B4CE4">
        <w:rPr>
          <w:rFonts w:ascii="Arial" w:eastAsia="Arial" w:hAnsi="Arial" w:cs="Arial"/>
          <w:sz w:val="20"/>
          <w:szCs w:val="20"/>
        </w:rPr>
        <w:t xml:space="preserve"> </w:t>
      </w:r>
      <w:r w:rsidRPr="003E61F7">
        <w:rPr>
          <w:rFonts w:ascii="Arial" w:eastAsia="Arial" w:hAnsi="Arial" w:cs="Arial"/>
          <w:sz w:val="20"/>
          <w:szCs w:val="20"/>
        </w:rPr>
        <w:t>pacientes sintomáticos tempranos mostraron un CI/CD normal durante el seguimiento. Sin embargo,</w:t>
      </w:r>
      <w:r w:rsidR="007B4CE4">
        <w:rPr>
          <w:rFonts w:ascii="Arial" w:eastAsia="Arial" w:hAnsi="Arial" w:cs="Arial"/>
          <w:sz w:val="20"/>
          <w:szCs w:val="20"/>
        </w:rPr>
        <w:t xml:space="preserve"> </w:t>
      </w:r>
      <w:r w:rsidRPr="003E61F7">
        <w:rPr>
          <w:rFonts w:ascii="Arial" w:eastAsia="Arial" w:hAnsi="Arial" w:cs="Arial"/>
          <w:sz w:val="20"/>
          <w:szCs w:val="20"/>
        </w:rPr>
        <w:t xml:space="preserve">11 de cada 12 pacientes de </w:t>
      </w:r>
      <w:r w:rsidR="00250202" w:rsidRPr="003E61F7">
        <w:rPr>
          <w:rFonts w:ascii="Arial" w:eastAsia="Arial" w:hAnsi="Arial" w:cs="Arial"/>
          <w:sz w:val="20"/>
          <w:szCs w:val="20"/>
        </w:rPr>
        <w:t>N</w:t>
      </w:r>
      <w:r w:rsidR="00250202">
        <w:rPr>
          <w:rFonts w:ascii="Arial" w:eastAsia="Arial" w:hAnsi="Arial" w:cs="Arial"/>
          <w:sz w:val="20"/>
          <w:szCs w:val="20"/>
        </w:rPr>
        <w:t>Hx</w:t>
      </w:r>
      <w:r w:rsidRPr="003E61F7">
        <w:rPr>
          <w:rFonts w:ascii="Arial" w:eastAsia="Arial" w:hAnsi="Arial" w:cs="Arial"/>
          <w:sz w:val="20"/>
          <w:szCs w:val="20"/>
        </w:rPr>
        <w:t xml:space="preserve"> con evaluaciones neuropsicológicas mostraron evidencias de deterioro</w:t>
      </w:r>
      <w:r w:rsidR="007B4CE4">
        <w:rPr>
          <w:rFonts w:ascii="Arial" w:eastAsia="Arial" w:hAnsi="Arial" w:cs="Arial"/>
          <w:sz w:val="20"/>
          <w:szCs w:val="20"/>
        </w:rPr>
        <w:t xml:space="preserve"> </w:t>
      </w:r>
      <w:r w:rsidRPr="003E61F7">
        <w:rPr>
          <w:rFonts w:ascii="Arial" w:eastAsia="Arial" w:hAnsi="Arial" w:cs="Arial"/>
          <w:sz w:val="20"/>
          <w:szCs w:val="20"/>
        </w:rPr>
        <w:t>cognitivo grave durante el seguimiento.</w:t>
      </w:r>
    </w:p>
    <w:p w14:paraId="51F844E4" w14:textId="77777777" w:rsidR="007B4CE4" w:rsidRPr="003E61F7" w:rsidRDefault="007B4CE4" w:rsidP="003E61F7">
      <w:pPr>
        <w:ind w:left="0" w:hanging="2"/>
        <w:jc w:val="both"/>
        <w:rPr>
          <w:rFonts w:ascii="Arial" w:eastAsia="Arial" w:hAnsi="Arial" w:cs="Arial"/>
          <w:sz w:val="20"/>
          <w:szCs w:val="20"/>
        </w:rPr>
      </w:pPr>
    </w:p>
    <w:p w14:paraId="3C77AD21" w14:textId="77777777" w:rsidR="00FC4BD1" w:rsidRDefault="00FC4BD1" w:rsidP="00FC4BD1">
      <w:pPr>
        <w:ind w:left="0" w:hanging="2"/>
        <w:jc w:val="both"/>
        <w:rPr>
          <w:rFonts w:ascii="Arial" w:eastAsia="Arial" w:hAnsi="Arial" w:cs="Arial"/>
          <w:b/>
          <w:sz w:val="20"/>
          <w:szCs w:val="20"/>
          <w:u w:val="single"/>
        </w:rPr>
      </w:pPr>
      <w:r w:rsidRPr="007B4CE4">
        <w:rPr>
          <w:rFonts w:ascii="Arial" w:eastAsia="Arial" w:hAnsi="Arial" w:cs="Arial"/>
          <w:b/>
          <w:sz w:val="20"/>
          <w:szCs w:val="20"/>
          <w:u w:val="single"/>
        </w:rPr>
        <w:t>Supervivencia.</w:t>
      </w:r>
    </w:p>
    <w:p w14:paraId="56399DB5" w14:textId="77777777" w:rsidR="007B4CE4" w:rsidRDefault="007B4CE4" w:rsidP="00FC4BD1">
      <w:pPr>
        <w:ind w:left="0" w:hanging="2"/>
        <w:jc w:val="both"/>
        <w:rPr>
          <w:rFonts w:ascii="Arial" w:eastAsia="Arial" w:hAnsi="Arial" w:cs="Arial"/>
          <w:b/>
          <w:sz w:val="20"/>
          <w:szCs w:val="20"/>
          <w:u w:val="single"/>
        </w:rPr>
      </w:pPr>
    </w:p>
    <w:p w14:paraId="7B6416F8" w14:textId="77777777" w:rsidR="007B4CE4" w:rsidRPr="007B4CE4" w:rsidRDefault="007B4CE4" w:rsidP="007B4CE4">
      <w:pPr>
        <w:ind w:left="0" w:hanging="2"/>
        <w:jc w:val="both"/>
        <w:rPr>
          <w:rFonts w:ascii="Arial" w:eastAsia="Arial" w:hAnsi="Arial" w:cs="Arial"/>
          <w:sz w:val="20"/>
          <w:szCs w:val="20"/>
        </w:rPr>
      </w:pPr>
      <w:r w:rsidRPr="007B4CE4">
        <w:rPr>
          <w:rFonts w:ascii="Arial" w:eastAsia="Arial" w:hAnsi="Arial" w:cs="Arial"/>
          <w:sz w:val="20"/>
          <w:szCs w:val="20"/>
        </w:rPr>
        <w:t>En el momento del análisis de los datos de integración, es decir, en un tiempo medio de seguimiento</w:t>
      </w:r>
      <w:r>
        <w:rPr>
          <w:rFonts w:ascii="Arial" w:eastAsia="Arial" w:hAnsi="Arial" w:cs="Arial"/>
          <w:sz w:val="20"/>
          <w:szCs w:val="20"/>
        </w:rPr>
        <w:t xml:space="preserve"> </w:t>
      </w:r>
      <w:r w:rsidRPr="007B4CE4">
        <w:rPr>
          <w:rFonts w:ascii="Arial" w:eastAsia="Arial" w:hAnsi="Arial" w:cs="Arial"/>
          <w:sz w:val="20"/>
          <w:szCs w:val="20"/>
        </w:rPr>
        <w:t>de 3,035 años después del tratamiento (rango de 0,99 a 7,51), ninguno de los 16 pacientes del</w:t>
      </w:r>
      <w:r>
        <w:rPr>
          <w:rFonts w:ascii="Arial" w:eastAsia="Arial" w:hAnsi="Arial" w:cs="Arial"/>
          <w:sz w:val="20"/>
          <w:szCs w:val="20"/>
        </w:rPr>
        <w:t xml:space="preserve"> </w:t>
      </w:r>
      <w:r w:rsidRPr="007B4CE4">
        <w:rPr>
          <w:rFonts w:ascii="Arial" w:eastAsia="Arial" w:hAnsi="Arial" w:cs="Arial"/>
          <w:sz w:val="20"/>
          <w:szCs w:val="20"/>
        </w:rPr>
        <w:t xml:space="preserve">subgrupo </w:t>
      </w:r>
      <w:r>
        <w:rPr>
          <w:rFonts w:ascii="Arial" w:eastAsia="Arial" w:hAnsi="Arial" w:cs="Arial"/>
          <w:sz w:val="20"/>
          <w:szCs w:val="20"/>
        </w:rPr>
        <w:t>LDM-</w:t>
      </w:r>
      <w:r w:rsidRPr="007B4CE4">
        <w:rPr>
          <w:rFonts w:ascii="Arial" w:eastAsia="Arial" w:hAnsi="Arial" w:cs="Arial"/>
          <w:sz w:val="20"/>
          <w:szCs w:val="20"/>
        </w:rPr>
        <w:t>IT tratados, todos presintomáticos en el momento del tratamiento excepto uno, había muerto</w:t>
      </w:r>
      <w:r>
        <w:rPr>
          <w:rFonts w:ascii="Arial" w:eastAsia="Arial" w:hAnsi="Arial" w:cs="Arial"/>
          <w:sz w:val="20"/>
          <w:szCs w:val="20"/>
        </w:rPr>
        <w:t xml:space="preserve"> (100</w:t>
      </w:r>
      <w:r w:rsidRPr="007B4CE4">
        <w:rPr>
          <w:rFonts w:ascii="Arial" w:eastAsia="Arial" w:hAnsi="Arial" w:cs="Arial"/>
          <w:sz w:val="20"/>
          <w:szCs w:val="20"/>
        </w:rPr>
        <w:t xml:space="preserve">% de supervivencia global). Cuatro pacientes presintomáticos </w:t>
      </w:r>
      <w:r>
        <w:rPr>
          <w:rFonts w:ascii="Arial" w:eastAsia="Arial" w:hAnsi="Arial" w:cs="Arial"/>
          <w:sz w:val="20"/>
          <w:szCs w:val="20"/>
        </w:rPr>
        <w:t>con LDM-</w:t>
      </w:r>
      <w:r w:rsidRPr="007B4CE4">
        <w:rPr>
          <w:rFonts w:ascii="Arial" w:eastAsia="Arial" w:hAnsi="Arial" w:cs="Arial"/>
          <w:sz w:val="20"/>
          <w:szCs w:val="20"/>
        </w:rPr>
        <w:t>IT habían sobrevivido seis o más</w:t>
      </w:r>
      <w:r>
        <w:rPr>
          <w:rFonts w:ascii="Arial" w:eastAsia="Arial" w:hAnsi="Arial" w:cs="Arial"/>
          <w:sz w:val="20"/>
          <w:szCs w:val="20"/>
        </w:rPr>
        <w:t xml:space="preserve"> </w:t>
      </w:r>
      <w:r w:rsidRPr="007B4CE4">
        <w:rPr>
          <w:rFonts w:ascii="Arial" w:eastAsia="Arial" w:hAnsi="Arial" w:cs="Arial"/>
          <w:sz w:val="20"/>
          <w:szCs w:val="20"/>
        </w:rPr>
        <w:t xml:space="preserve">años después del tratamiento y dos pacientes presintomáticos </w:t>
      </w:r>
      <w:r>
        <w:rPr>
          <w:rFonts w:ascii="Arial" w:eastAsia="Arial" w:hAnsi="Arial" w:cs="Arial"/>
          <w:sz w:val="20"/>
          <w:szCs w:val="20"/>
        </w:rPr>
        <w:t>LDM-</w:t>
      </w:r>
      <w:r w:rsidRPr="007B4CE4">
        <w:rPr>
          <w:rFonts w:ascii="Arial" w:eastAsia="Arial" w:hAnsi="Arial" w:cs="Arial"/>
          <w:sz w:val="20"/>
          <w:szCs w:val="20"/>
        </w:rPr>
        <w:t>IT habían sobrevivido siete o más años</w:t>
      </w:r>
      <w:r>
        <w:rPr>
          <w:rFonts w:ascii="Arial" w:eastAsia="Arial" w:hAnsi="Arial" w:cs="Arial"/>
          <w:sz w:val="20"/>
          <w:szCs w:val="20"/>
        </w:rPr>
        <w:t xml:space="preserve"> </w:t>
      </w:r>
      <w:r w:rsidRPr="007B4CE4">
        <w:rPr>
          <w:rFonts w:ascii="Arial" w:eastAsia="Arial" w:hAnsi="Arial" w:cs="Arial"/>
          <w:sz w:val="20"/>
          <w:szCs w:val="20"/>
        </w:rPr>
        <w:t>después del tratamiento. En comparación, 12 de los 19 (63,2 %) pacientes</w:t>
      </w:r>
      <w:r>
        <w:rPr>
          <w:rFonts w:ascii="Arial" w:eastAsia="Arial" w:hAnsi="Arial" w:cs="Arial"/>
          <w:sz w:val="20"/>
          <w:szCs w:val="20"/>
        </w:rPr>
        <w:t xml:space="preserve"> con LDM-</w:t>
      </w:r>
      <w:r w:rsidRPr="007B4CE4">
        <w:rPr>
          <w:rFonts w:ascii="Arial" w:eastAsia="Arial" w:hAnsi="Arial" w:cs="Arial"/>
          <w:sz w:val="20"/>
          <w:szCs w:val="20"/>
        </w:rPr>
        <w:t>IT no tratados en el estudio</w:t>
      </w:r>
      <w:r>
        <w:rPr>
          <w:rFonts w:ascii="Arial" w:eastAsia="Arial" w:hAnsi="Arial" w:cs="Arial"/>
          <w:sz w:val="20"/>
          <w:szCs w:val="20"/>
        </w:rPr>
        <w:t xml:space="preserve"> </w:t>
      </w:r>
      <w:r w:rsidRPr="007B4CE4">
        <w:rPr>
          <w:rFonts w:ascii="Arial" w:eastAsia="Arial" w:hAnsi="Arial" w:cs="Arial"/>
          <w:sz w:val="20"/>
          <w:szCs w:val="20"/>
        </w:rPr>
        <w:t>de HN habían fallecido en el momento del análisis.</w:t>
      </w:r>
    </w:p>
    <w:p w14:paraId="49D22FB7" w14:textId="77777777" w:rsidR="007B4CE4" w:rsidRDefault="007B4CE4" w:rsidP="007B4CE4">
      <w:pPr>
        <w:ind w:left="0" w:hanging="2"/>
        <w:jc w:val="both"/>
        <w:rPr>
          <w:rFonts w:ascii="Arial" w:eastAsia="Arial" w:hAnsi="Arial" w:cs="Arial"/>
          <w:sz w:val="20"/>
          <w:szCs w:val="20"/>
        </w:rPr>
      </w:pPr>
    </w:p>
    <w:p w14:paraId="1F7D50A1" w14:textId="77777777" w:rsidR="007B4CE4" w:rsidRPr="007B4CE4" w:rsidRDefault="007B4CE4" w:rsidP="007B4CE4">
      <w:pPr>
        <w:ind w:left="0" w:hanging="2"/>
        <w:jc w:val="both"/>
        <w:rPr>
          <w:rFonts w:ascii="Arial" w:eastAsia="Arial" w:hAnsi="Arial" w:cs="Arial"/>
          <w:sz w:val="20"/>
          <w:szCs w:val="20"/>
        </w:rPr>
      </w:pPr>
      <w:r w:rsidRPr="007B4CE4">
        <w:rPr>
          <w:rFonts w:ascii="Arial" w:eastAsia="Arial" w:hAnsi="Arial" w:cs="Arial"/>
          <w:sz w:val="20"/>
          <w:szCs w:val="20"/>
        </w:rPr>
        <w:t xml:space="preserve">Se observó una supervivencia general comparable en los grupos </w:t>
      </w:r>
      <w:r>
        <w:rPr>
          <w:rFonts w:ascii="Arial" w:eastAsia="Arial" w:hAnsi="Arial" w:cs="Arial"/>
          <w:sz w:val="20"/>
          <w:szCs w:val="20"/>
        </w:rPr>
        <w:t>con LDM-</w:t>
      </w:r>
      <w:r w:rsidRPr="007B4CE4">
        <w:rPr>
          <w:rFonts w:ascii="Arial" w:eastAsia="Arial" w:hAnsi="Arial" w:cs="Arial"/>
          <w:sz w:val="20"/>
          <w:szCs w:val="20"/>
        </w:rPr>
        <w:t>JT tratados y no tratados, con una</w:t>
      </w:r>
      <w:r>
        <w:rPr>
          <w:rFonts w:ascii="Arial" w:eastAsia="Arial" w:hAnsi="Arial" w:cs="Arial"/>
          <w:sz w:val="20"/>
          <w:szCs w:val="20"/>
        </w:rPr>
        <w:t xml:space="preserve"> </w:t>
      </w:r>
      <w:r w:rsidRPr="007B4CE4">
        <w:rPr>
          <w:rFonts w:ascii="Arial" w:eastAsia="Arial" w:hAnsi="Arial" w:cs="Arial"/>
          <w:sz w:val="20"/>
          <w:szCs w:val="20"/>
        </w:rPr>
        <w:t>mediana de tiempo de seguimiento de 3,49 años después del tratamiento (rango de 0,64 a 6,55). Uno</w:t>
      </w:r>
      <w:r>
        <w:rPr>
          <w:rFonts w:ascii="Arial" w:eastAsia="Arial" w:hAnsi="Arial" w:cs="Arial"/>
          <w:sz w:val="20"/>
          <w:szCs w:val="20"/>
        </w:rPr>
        <w:t xml:space="preserve"> </w:t>
      </w:r>
      <w:r w:rsidRPr="007B4CE4">
        <w:rPr>
          <w:rFonts w:ascii="Arial" w:eastAsia="Arial" w:hAnsi="Arial" w:cs="Arial"/>
          <w:sz w:val="20"/>
          <w:szCs w:val="20"/>
        </w:rPr>
        <w:t xml:space="preserve">de </w:t>
      </w:r>
      <w:r w:rsidR="00250202">
        <w:rPr>
          <w:rFonts w:ascii="Arial" w:eastAsia="Arial" w:hAnsi="Arial" w:cs="Arial"/>
          <w:sz w:val="20"/>
          <w:szCs w:val="20"/>
        </w:rPr>
        <w:t>los</w:t>
      </w:r>
      <w:r w:rsidRPr="007B4CE4">
        <w:rPr>
          <w:rFonts w:ascii="Arial" w:eastAsia="Arial" w:hAnsi="Arial" w:cs="Arial"/>
          <w:sz w:val="20"/>
          <w:szCs w:val="20"/>
        </w:rPr>
        <w:t xml:space="preserve"> cinco (20%) pacientes</w:t>
      </w:r>
      <w:r>
        <w:rPr>
          <w:rFonts w:ascii="Arial" w:eastAsia="Arial" w:hAnsi="Arial" w:cs="Arial"/>
          <w:sz w:val="20"/>
          <w:szCs w:val="20"/>
        </w:rPr>
        <w:t xml:space="preserve"> con LDM-</w:t>
      </w:r>
      <w:r w:rsidRPr="007B4CE4">
        <w:rPr>
          <w:rFonts w:ascii="Arial" w:eastAsia="Arial" w:hAnsi="Arial" w:cs="Arial"/>
          <w:sz w:val="20"/>
          <w:szCs w:val="20"/>
        </w:rPr>
        <w:t>JT tratados en la etapa presintomática falleció debido a un infarto</w:t>
      </w:r>
      <w:r>
        <w:rPr>
          <w:rFonts w:ascii="Arial" w:eastAsia="Arial" w:hAnsi="Arial" w:cs="Arial"/>
          <w:sz w:val="20"/>
          <w:szCs w:val="20"/>
        </w:rPr>
        <w:t xml:space="preserve"> </w:t>
      </w:r>
      <w:r w:rsidRPr="007B4CE4">
        <w:rPr>
          <w:rFonts w:ascii="Arial" w:eastAsia="Arial" w:hAnsi="Arial" w:cs="Arial"/>
          <w:sz w:val="20"/>
          <w:szCs w:val="20"/>
        </w:rPr>
        <w:t>isquémico cerebral no considerado como relacionado con Libmeldy</w:t>
      </w:r>
      <w:r>
        <w:rPr>
          <w:rFonts w:ascii="Arial" w:eastAsia="Arial" w:hAnsi="Arial" w:cs="Arial"/>
          <w:sz w:val="20"/>
          <w:szCs w:val="20"/>
        </w:rPr>
        <w:t>®</w:t>
      </w:r>
      <w:r w:rsidRPr="007B4CE4">
        <w:rPr>
          <w:rFonts w:ascii="Arial" w:eastAsia="Arial" w:hAnsi="Arial" w:cs="Arial"/>
          <w:sz w:val="20"/>
          <w:szCs w:val="20"/>
        </w:rPr>
        <w:t>. Se produjeron dos muertes entre</w:t>
      </w:r>
      <w:r>
        <w:rPr>
          <w:rFonts w:ascii="Arial" w:eastAsia="Arial" w:hAnsi="Arial" w:cs="Arial"/>
          <w:sz w:val="20"/>
          <w:szCs w:val="20"/>
        </w:rPr>
        <w:t xml:space="preserve"> los ocho (25,0</w:t>
      </w:r>
      <w:r w:rsidRPr="007B4CE4">
        <w:rPr>
          <w:rFonts w:ascii="Arial" w:eastAsia="Arial" w:hAnsi="Arial" w:cs="Arial"/>
          <w:sz w:val="20"/>
          <w:szCs w:val="20"/>
        </w:rPr>
        <w:t xml:space="preserve">%) pacientes </w:t>
      </w:r>
      <w:r>
        <w:rPr>
          <w:rFonts w:ascii="Arial" w:eastAsia="Arial" w:hAnsi="Arial" w:cs="Arial"/>
          <w:sz w:val="20"/>
          <w:szCs w:val="20"/>
        </w:rPr>
        <w:t>con LDM-</w:t>
      </w:r>
      <w:r w:rsidRPr="007B4CE4">
        <w:rPr>
          <w:rFonts w:ascii="Arial" w:eastAsia="Arial" w:hAnsi="Arial" w:cs="Arial"/>
          <w:sz w:val="20"/>
          <w:szCs w:val="20"/>
        </w:rPr>
        <w:t>JT tratados en la etapa sintomática temprana, ambas como consecuencia</w:t>
      </w:r>
      <w:r>
        <w:rPr>
          <w:rFonts w:ascii="Arial" w:eastAsia="Arial" w:hAnsi="Arial" w:cs="Arial"/>
          <w:sz w:val="20"/>
          <w:szCs w:val="20"/>
        </w:rPr>
        <w:t xml:space="preserve"> </w:t>
      </w:r>
      <w:r w:rsidRPr="007B4CE4">
        <w:rPr>
          <w:rFonts w:ascii="Arial" w:eastAsia="Arial" w:hAnsi="Arial" w:cs="Arial"/>
          <w:sz w:val="20"/>
          <w:szCs w:val="20"/>
        </w:rPr>
        <w:t>de la progresión de la enfermedad y que tampoco se consideraron relacionadas con el tratamiento con</w:t>
      </w:r>
      <w:r>
        <w:rPr>
          <w:rFonts w:ascii="Arial" w:eastAsia="Arial" w:hAnsi="Arial" w:cs="Arial"/>
          <w:sz w:val="20"/>
          <w:szCs w:val="20"/>
        </w:rPr>
        <w:t xml:space="preserve"> </w:t>
      </w:r>
      <w:r w:rsidRPr="007B4CE4">
        <w:rPr>
          <w:rFonts w:ascii="Arial" w:eastAsia="Arial" w:hAnsi="Arial" w:cs="Arial"/>
          <w:sz w:val="20"/>
          <w:szCs w:val="20"/>
        </w:rPr>
        <w:t>Libmeldy</w:t>
      </w:r>
      <w:r w:rsidRPr="00250202">
        <w:rPr>
          <w:rFonts w:ascii="Arial" w:eastAsia="Arial" w:hAnsi="Arial" w:cs="Arial"/>
          <w:sz w:val="20"/>
          <w:szCs w:val="20"/>
          <w:vertAlign w:val="superscript"/>
        </w:rPr>
        <w:t>®</w:t>
      </w:r>
      <w:r w:rsidRPr="007B4CE4">
        <w:rPr>
          <w:rFonts w:ascii="Arial" w:eastAsia="Arial" w:hAnsi="Arial" w:cs="Arial"/>
          <w:sz w:val="20"/>
          <w:szCs w:val="20"/>
        </w:rPr>
        <w:t xml:space="preserve">. Del mismo modo, tres de los 12 (25%) pacientes </w:t>
      </w:r>
      <w:r>
        <w:rPr>
          <w:rFonts w:ascii="Arial" w:eastAsia="Arial" w:hAnsi="Arial" w:cs="Arial"/>
          <w:sz w:val="20"/>
          <w:szCs w:val="20"/>
        </w:rPr>
        <w:t>con LDM-</w:t>
      </w:r>
      <w:r w:rsidRPr="007B4CE4">
        <w:rPr>
          <w:rFonts w:ascii="Arial" w:eastAsia="Arial" w:hAnsi="Arial" w:cs="Arial"/>
          <w:sz w:val="20"/>
          <w:szCs w:val="20"/>
        </w:rPr>
        <w:t xml:space="preserve">JT sin tratar en el estudio de </w:t>
      </w:r>
      <w:r w:rsidR="00250202">
        <w:rPr>
          <w:rFonts w:ascii="Arial" w:eastAsia="Arial" w:hAnsi="Arial" w:cs="Arial"/>
          <w:sz w:val="20"/>
          <w:szCs w:val="20"/>
        </w:rPr>
        <w:t>NHx</w:t>
      </w:r>
      <w:r w:rsidRPr="007B4CE4">
        <w:rPr>
          <w:rFonts w:ascii="Arial" w:eastAsia="Arial" w:hAnsi="Arial" w:cs="Arial"/>
          <w:sz w:val="20"/>
          <w:szCs w:val="20"/>
        </w:rPr>
        <w:t xml:space="preserve"> habían</w:t>
      </w:r>
      <w:r>
        <w:rPr>
          <w:rFonts w:ascii="Arial" w:eastAsia="Arial" w:hAnsi="Arial" w:cs="Arial"/>
          <w:sz w:val="20"/>
          <w:szCs w:val="20"/>
        </w:rPr>
        <w:t xml:space="preserve"> </w:t>
      </w:r>
      <w:r w:rsidRPr="007B4CE4">
        <w:rPr>
          <w:rFonts w:ascii="Arial" w:eastAsia="Arial" w:hAnsi="Arial" w:cs="Arial"/>
          <w:sz w:val="20"/>
          <w:szCs w:val="20"/>
        </w:rPr>
        <w:t>fallecido en el momento del análisis.</w:t>
      </w:r>
    </w:p>
    <w:p w14:paraId="258AFF77" w14:textId="77777777" w:rsidR="00F27589" w:rsidRDefault="00F27589">
      <w:pPr>
        <w:ind w:left="0" w:hanging="2"/>
        <w:jc w:val="both"/>
        <w:rPr>
          <w:rFonts w:ascii="Arial" w:eastAsia="Arial" w:hAnsi="Arial" w:cs="Arial"/>
          <w:color w:val="000080"/>
          <w:sz w:val="20"/>
          <w:szCs w:val="20"/>
          <w:u w:val="single"/>
        </w:rPr>
      </w:pPr>
    </w:p>
    <w:p w14:paraId="60773CF0" w14:textId="77777777" w:rsidR="009D55C9" w:rsidRPr="00211DBF" w:rsidRDefault="005A57E0" w:rsidP="00211DBF">
      <w:pPr>
        <w:pBdr>
          <w:top w:val="single" w:sz="2" w:space="1" w:color="000000"/>
          <w:left w:val="single" w:sz="2" w:space="4" w:color="000000"/>
          <w:bottom w:val="single" w:sz="2" w:space="1" w:color="000000"/>
          <w:right w:val="single" w:sz="2" w:space="4" w:color="000000"/>
        </w:pBdr>
        <w:ind w:left="0" w:hanging="2"/>
        <w:jc w:val="both"/>
        <w:rPr>
          <w:rFonts w:ascii="Arial" w:eastAsia="Arial" w:hAnsi="Arial" w:cs="Arial"/>
          <w:b/>
          <w:i/>
          <w:sz w:val="20"/>
          <w:szCs w:val="16"/>
          <w:lang w:val="en-US"/>
        </w:rPr>
      </w:pPr>
      <w:bookmarkStart w:id="87" w:name="_heading=h.mam098l2vh4p" w:colFirst="0" w:colLast="0"/>
      <w:bookmarkEnd w:id="87"/>
      <w:r w:rsidRPr="00211DBF">
        <w:rPr>
          <w:rFonts w:ascii="Arial" w:eastAsia="Arial" w:hAnsi="Arial" w:cs="Arial"/>
          <w:b/>
          <w:i/>
          <w:sz w:val="20"/>
          <w:szCs w:val="16"/>
          <w:lang w:val="en-US"/>
        </w:rPr>
        <w:t>Estudio 205756 (formulación comercial criopreservada – Libmeldy-c)</w:t>
      </w:r>
    </w:p>
    <w:p w14:paraId="5969B2AE" w14:textId="77777777" w:rsidR="00211DBF" w:rsidRDefault="00211DBF">
      <w:pPr>
        <w:ind w:left="0" w:hanging="2"/>
        <w:jc w:val="both"/>
        <w:rPr>
          <w:rFonts w:ascii="Arial" w:eastAsia="Arial" w:hAnsi="Arial" w:cs="Arial"/>
          <w:sz w:val="20"/>
          <w:szCs w:val="20"/>
        </w:rPr>
      </w:pPr>
      <w:bookmarkStart w:id="88" w:name="_heading=h.mi91aa191t8p" w:colFirst="0" w:colLast="0"/>
      <w:bookmarkEnd w:id="88"/>
    </w:p>
    <w:p w14:paraId="46F8A1D7" w14:textId="77777777" w:rsidR="003244B0" w:rsidRDefault="003244B0" w:rsidP="003244B0">
      <w:pPr>
        <w:ind w:left="0" w:hanging="2"/>
        <w:jc w:val="both"/>
        <w:rPr>
          <w:rFonts w:ascii="Arial" w:eastAsia="Arial" w:hAnsi="Arial" w:cs="Arial"/>
          <w:sz w:val="20"/>
          <w:szCs w:val="20"/>
        </w:rPr>
      </w:pPr>
      <w:r w:rsidRPr="003244B0">
        <w:rPr>
          <w:rFonts w:ascii="Arial" w:eastAsia="Arial" w:hAnsi="Arial" w:cs="Arial"/>
          <w:sz w:val="20"/>
          <w:szCs w:val="20"/>
        </w:rPr>
        <w:t xml:space="preserve">El estudio 205756 es un estudio abierto, </w:t>
      </w:r>
      <w:r w:rsidR="00250202">
        <w:rPr>
          <w:rFonts w:ascii="Arial" w:eastAsia="Arial" w:hAnsi="Arial" w:cs="Arial"/>
          <w:sz w:val="20"/>
          <w:szCs w:val="20"/>
        </w:rPr>
        <w:t>de</w:t>
      </w:r>
      <w:r w:rsidRPr="003244B0">
        <w:rPr>
          <w:rFonts w:ascii="Arial" w:eastAsia="Arial" w:hAnsi="Arial" w:cs="Arial"/>
          <w:sz w:val="20"/>
          <w:szCs w:val="20"/>
        </w:rPr>
        <w:t xml:space="preserve"> un solo grupo, para evaluar la formulación criopreservada</w:t>
      </w:r>
      <w:r>
        <w:rPr>
          <w:rFonts w:ascii="Arial" w:eastAsia="Arial" w:hAnsi="Arial" w:cs="Arial"/>
          <w:sz w:val="20"/>
          <w:szCs w:val="20"/>
        </w:rPr>
        <w:t xml:space="preserve"> </w:t>
      </w:r>
      <w:r w:rsidRPr="003244B0">
        <w:rPr>
          <w:rFonts w:ascii="Arial" w:eastAsia="Arial" w:hAnsi="Arial" w:cs="Arial"/>
          <w:sz w:val="20"/>
          <w:szCs w:val="20"/>
        </w:rPr>
        <w:t>(comercial) de Libmeldy</w:t>
      </w:r>
      <w:r>
        <w:rPr>
          <w:rFonts w:ascii="Arial" w:eastAsia="Arial" w:hAnsi="Arial" w:cs="Arial"/>
          <w:sz w:val="20"/>
          <w:szCs w:val="20"/>
        </w:rPr>
        <w:t>®</w:t>
      </w:r>
      <w:r w:rsidRPr="003244B0">
        <w:rPr>
          <w:rFonts w:ascii="Arial" w:eastAsia="Arial" w:hAnsi="Arial" w:cs="Arial"/>
          <w:sz w:val="20"/>
          <w:szCs w:val="20"/>
        </w:rPr>
        <w:t xml:space="preserve"> en el tratamiento de pacientes </w:t>
      </w:r>
      <w:r>
        <w:rPr>
          <w:rFonts w:ascii="Arial" w:eastAsia="Arial" w:hAnsi="Arial" w:cs="Arial"/>
          <w:sz w:val="20"/>
          <w:szCs w:val="20"/>
        </w:rPr>
        <w:t xml:space="preserve">con LDM-IT </w:t>
      </w:r>
      <w:r w:rsidRPr="003244B0">
        <w:rPr>
          <w:rFonts w:ascii="Arial" w:eastAsia="Arial" w:hAnsi="Arial" w:cs="Arial"/>
          <w:sz w:val="20"/>
          <w:szCs w:val="20"/>
        </w:rPr>
        <w:t xml:space="preserve">presintomáticos y </w:t>
      </w:r>
      <w:r>
        <w:rPr>
          <w:rFonts w:ascii="Arial" w:eastAsia="Arial" w:hAnsi="Arial" w:cs="Arial"/>
          <w:sz w:val="20"/>
          <w:szCs w:val="20"/>
        </w:rPr>
        <w:t xml:space="preserve">LDM-JT </w:t>
      </w:r>
      <w:r w:rsidRPr="003244B0">
        <w:rPr>
          <w:rFonts w:ascii="Arial" w:eastAsia="Arial" w:hAnsi="Arial" w:cs="Arial"/>
          <w:sz w:val="20"/>
          <w:szCs w:val="20"/>
        </w:rPr>
        <w:t>presintomáticos y</w:t>
      </w:r>
      <w:r>
        <w:rPr>
          <w:rFonts w:ascii="Arial" w:eastAsia="Arial" w:hAnsi="Arial" w:cs="Arial"/>
          <w:sz w:val="20"/>
          <w:szCs w:val="20"/>
        </w:rPr>
        <w:t xml:space="preserve"> </w:t>
      </w:r>
      <w:r w:rsidRPr="003244B0">
        <w:rPr>
          <w:rFonts w:ascii="Arial" w:eastAsia="Arial" w:hAnsi="Arial" w:cs="Arial"/>
          <w:sz w:val="20"/>
          <w:szCs w:val="20"/>
        </w:rPr>
        <w:t>sintomáticos tempranos. El rango de dosis celular utilizado en los primeros nueve</w:t>
      </w:r>
      <w:r>
        <w:rPr>
          <w:rFonts w:ascii="Arial" w:eastAsia="Arial" w:hAnsi="Arial" w:cs="Arial"/>
          <w:sz w:val="20"/>
          <w:szCs w:val="20"/>
        </w:rPr>
        <w:t xml:space="preserve"> </w:t>
      </w:r>
      <w:r w:rsidRPr="003244B0">
        <w:rPr>
          <w:rFonts w:ascii="Arial" w:eastAsia="Arial" w:hAnsi="Arial" w:cs="Arial"/>
          <w:sz w:val="20"/>
          <w:szCs w:val="20"/>
        </w:rPr>
        <w:t>pacientes (10,45-30,0 x 10</w:t>
      </w:r>
      <w:r w:rsidRPr="003244B0">
        <w:rPr>
          <w:rFonts w:ascii="Arial" w:eastAsia="Arial" w:hAnsi="Arial" w:cs="Arial"/>
          <w:sz w:val="20"/>
          <w:szCs w:val="20"/>
          <w:vertAlign w:val="superscript"/>
        </w:rPr>
        <w:t>6</w:t>
      </w:r>
      <w:r w:rsidRPr="003244B0">
        <w:rPr>
          <w:rFonts w:ascii="Arial" w:eastAsia="Arial" w:hAnsi="Arial" w:cs="Arial"/>
          <w:sz w:val="20"/>
          <w:szCs w:val="20"/>
        </w:rPr>
        <w:t xml:space="preserve"> células CD34+/kg) se acerca al rango utilizado en los</w:t>
      </w:r>
      <w:r>
        <w:rPr>
          <w:rFonts w:ascii="Arial" w:eastAsia="Arial" w:hAnsi="Arial" w:cs="Arial"/>
          <w:sz w:val="20"/>
          <w:szCs w:val="20"/>
        </w:rPr>
        <w:t xml:space="preserve"> </w:t>
      </w:r>
      <w:r w:rsidRPr="003244B0">
        <w:rPr>
          <w:rFonts w:ascii="Arial" w:eastAsia="Arial" w:hAnsi="Arial" w:cs="Arial"/>
          <w:sz w:val="20"/>
          <w:szCs w:val="20"/>
        </w:rPr>
        <w:t xml:space="preserve">pacientes tratados con la formulación </w:t>
      </w:r>
      <w:r>
        <w:rPr>
          <w:rFonts w:ascii="Arial" w:eastAsia="Arial" w:hAnsi="Arial" w:cs="Arial"/>
          <w:sz w:val="20"/>
          <w:szCs w:val="20"/>
        </w:rPr>
        <w:t xml:space="preserve">utilizada </w:t>
      </w:r>
      <w:r w:rsidRPr="003244B0">
        <w:rPr>
          <w:rFonts w:ascii="Arial" w:eastAsia="Arial" w:hAnsi="Arial" w:cs="Arial"/>
          <w:sz w:val="20"/>
          <w:szCs w:val="20"/>
        </w:rPr>
        <w:t>del medicamento</w:t>
      </w:r>
      <w:r w:rsidR="00250202">
        <w:rPr>
          <w:rFonts w:ascii="Arial" w:eastAsia="Arial" w:hAnsi="Arial" w:cs="Arial"/>
          <w:sz w:val="20"/>
          <w:szCs w:val="20"/>
        </w:rPr>
        <w:t xml:space="preserve"> en investigación</w:t>
      </w:r>
      <w:r w:rsidRPr="003244B0">
        <w:rPr>
          <w:rFonts w:ascii="Arial" w:eastAsia="Arial" w:hAnsi="Arial" w:cs="Arial"/>
          <w:sz w:val="20"/>
          <w:szCs w:val="20"/>
        </w:rPr>
        <w:t xml:space="preserve"> (4,2-25,9 x 10</w:t>
      </w:r>
      <w:r w:rsidRPr="003244B0">
        <w:rPr>
          <w:rFonts w:ascii="Arial" w:eastAsia="Arial" w:hAnsi="Arial" w:cs="Arial"/>
          <w:sz w:val="20"/>
          <w:szCs w:val="20"/>
          <w:vertAlign w:val="superscript"/>
        </w:rPr>
        <w:t>6</w:t>
      </w:r>
      <w:r w:rsidRPr="003244B0">
        <w:rPr>
          <w:rFonts w:ascii="Arial" w:eastAsia="Arial" w:hAnsi="Arial" w:cs="Arial"/>
          <w:sz w:val="20"/>
          <w:szCs w:val="20"/>
        </w:rPr>
        <w:t xml:space="preserve"> células CD34+/kg).</w:t>
      </w:r>
    </w:p>
    <w:p w14:paraId="4B658CC5" w14:textId="77777777" w:rsidR="003244B0" w:rsidRDefault="003244B0" w:rsidP="003244B0">
      <w:pPr>
        <w:ind w:left="0" w:hanging="2"/>
        <w:jc w:val="both"/>
        <w:rPr>
          <w:rFonts w:ascii="Arial" w:eastAsia="Arial" w:hAnsi="Arial" w:cs="Arial"/>
          <w:sz w:val="20"/>
          <w:szCs w:val="20"/>
        </w:rPr>
      </w:pPr>
    </w:p>
    <w:p w14:paraId="11D64F57" w14:textId="77777777" w:rsidR="003244B0" w:rsidRDefault="003244B0" w:rsidP="003244B0">
      <w:pPr>
        <w:ind w:left="0" w:hanging="2"/>
        <w:jc w:val="both"/>
        <w:rPr>
          <w:rFonts w:ascii="Arial" w:eastAsia="Arial" w:hAnsi="Arial" w:cs="Arial"/>
          <w:sz w:val="20"/>
          <w:szCs w:val="20"/>
        </w:rPr>
      </w:pPr>
      <w:r w:rsidRPr="003244B0">
        <w:rPr>
          <w:rFonts w:ascii="Arial" w:eastAsia="Arial" w:hAnsi="Arial" w:cs="Arial"/>
          <w:sz w:val="20"/>
          <w:szCs w:val="20"/>
        </w:rPr>
        <w:t xml:space="preserve">En el momento del corte de datos, se han tratado </w:t>
      </w:r>
      <w:r w:rsidRPr="003244B0">
        <w:rPr>
          <w:rFonts w:ascii="Arial" w:eastAsia="Arial" w:hAnsi="Arial" w:cs="Arial"/>
          <w:b/>
          <w:sz w:val="20"/>
          <w:szCs w:val="20"/>
        </w:rPr>
        <w:t>seis pacientes</w:t>
      </w:r>
      <w:r w:rsidRPr="003244B0">
        <w:rPr>
          <w:rFonts w:ascii="Arial" w:eastAsia="Arial" w:hAnsi="Arial" w:cs="Arial"/>
          <w:sz w:val="20"/>
          <w:szCs w:val="20"/>
        </w:rPr>
        <w:t xml:space="preserve"> (tres IT, tres JT), presintomáticos en el</w:t>
      </w:r>
      <w:r>
        <w:rPr>
          <w:rFonts w:ascii="Arial" w:eastAsia="Arial" w:hAnsi="Arial" w:cs="Arial"/>
          <w:sz w:val="20"/>
          <w:szCs w:val="20"/>
        </w:rPr>
        <w:t xml:space="preserve"> </w:t>
      </w:r>
      <w:r w:rsidRPr="003244B0">
        <w:rPr>
          <w:rFonts w:ascii="Arial" w:eastAsia="Arial" w:hAnsi="Arial" w:cs="Arial"/>
          <w:sz w:val="20"/>
          <w:szCs w:val="20"/>
        </w:rPr>
        <w:t>momento del tratamiento, con una mediana de seguimiento posterior al tratamiento de 0,87 años</w:t>
      </w:r>
      <w:r>
        <w:rPr>
          <w:rFonts w:ascii="Arial" w:eastAsia="Arial" w:hAnsi="Arial" w:cs="Arial"/>
          <w:sz w:val="20"/>
          <w:szCs w:val="20"/>
        </w:rPr>
        <w:t xml:space="preserve"> </w:t>
      </w:r>
      <w:r w:rsidRPr="003244B0">
        <w:rPr>
          <w:rFonts w:ascii="Arial" w:eastAsia="Arial" w:hAnsi="Arial" w:cs="Arial"/>
          <w:sz w:val="20"/>
          <w:szCs w:val="20"/>
        </w:rPr>
        <w:t>(rango: entre 0,0 y 1,47 años). Los datos preliminares de eficacia muestran niveles de prendimiento,</w:t>
      </w:r>
      <w:r>
        <w:rPr>
          <w:rFonts w:ascii="Arial" w:eastAsia="Arial" w:hAnsi="Arial" w:cs="Arial"/>
          <w:sz w:val="20"/>
          <w:szCs w:val="20"/>
        </w:rPr>
        <w:t xml:space="preserve"> </w:t>
      </w:r>
      <w:r w:rsidRPr="003244B0">
        <w:rPr>
          <w:rFonts w:ascii="Arial" w:eastAsia="Arial" w:hAnsi="Arial" w:cs="Arial"/>
          <w:sz w:val="20"/>
          <w:szCs w:val="20"/>
        </w:rPr>
        <w:t>número de copia vectorial, actividad de ARSA en CMSP y LCR en diferentes puntos temporales</w:t>
      </w:r>
      <w:r>
        <w:rPr>
          <w:rFonts w:ascii="Arial" w:eastAsia="Arial" w:hAnsi="Arial" w:cs="Arial"/>
          <w:sz w:val="20"/>
          <w:szCs w:val="20"/>
        </w:rPr>
        <w:t xml:space="preserve"> </w:t>
      </w:r>
      <w:r w:rsidRPr="003244B0">
        <w:rPr>
          <w:rFonts w:ascii="Arial" w:eastAsia="Arial" w:hAnsi="Arial" w:cs="Arial"/>
          <w:sz w:val="20"/>
          <w:szCs w:val="20"/>
        </w:rPr>
        <w:t xml:space="preserve">posteriores a la </w:t>
      </w:r>
      <w:r w:rsidR="00BD2296">
        <w:rPr>
          <w:rFonts w:ascii="Arial" w:eastAsia="Arial" w:hAnsi="Arial" w:cs="Arial"/>
          <w:sz w:val="20"/>
          <w:szCs w:val="20"/>
        </w:rPr>
        <w:t>TG</w:t>
      </w:r>
      <w:r w:rsidRPr="003244B0">
        <w:rPr>
          <w:rFonts w:ascii="Arial" w:eastAsia="Arial" w:hAnsi="Arial" w:cs="Arial"/>
          <w:sz w:val="20"/>
          <w:szCs w:val="20"/>
        </w:rPr>
        <w:t xml:space="preserve"> dentro del rango observado en el análisis de los datos de integración de</w:t>
      </w:r>
      <w:r>
        <w:rPr>
          <w:rFonts w:ascii="Arial" w:eastAsia="Arial" w:hAnsi="Arial" w:cs="Arial"/>
          <w:sz w:val="20"/>
          <w:szCs w:val="20"/>
        </w:rPr>
        <w:t xml:space="preserve"> </w:t>
      </w:r>
      <w:r w:rsidRPr="003244B0">
        <w:rPr>
          <w:rFonts w:ascii="Arial" w:eastAsia="Arial" w:hAnsi="Arial" w:cs="Arial"/>
          <w:sz w:val="20"/>
          <w:szCs w:val="20"/>
        </w:rPr>
        <w:t xml:space="preserve">los pacientes tratados con la formulación </w:t>
      </w:r>
      <w:r>
        <w:rPr>
          <w:rFonts w:ascii="Arial" w:eastAsia="Arial" w:hAnsi="Arial" w:cs="Arial"/>
          <w:sz w:val="20"/>
          <w:szCs w:val="20"/>
        </w:rPr>
        <w:t xml:space="preserve">utilizada en investigación </w:t>
      </w:r>
      <w:r w:rsidRPr="003244B0">
        <w:rPr>
          <w:rFonts w:ascii="Arial" w:eastAsia="Arial" w:hAnsi="Arial" w:cs="Arial"/>
          <w:sz w:val="20"/>
          <w:szCs w:val="20"/>
        </w:rPr>
        <w:t>de Libmeldy</w:t>
      </w:r>
      <w:r w:rsidRPr="003520E1">
        <w:rPr>
          <w:rFonts w:ascii="Arial" w:eastAsia="Arial" w:hAnsi="Arial" w:cs="Arial"/>
          <w:sz w:val="20"/>
          <w:szCs w:val="20"/>
          <w:vertAlign w:val="superscript"/>
        </w:rPr>
        <w:t>®</w:t>
      </w:r>
      <w:r w:rsidRPr="003244B0">
        <w:rPr>
          <w:rFonts w:ascii="Arial" w:eastAsia="Arial" w:hAnsi="Arial" w:cs="Arial"/>
          <w:sz w:val="20"/>
          <w:szCs w:val="20"/>
        </w:rPr>
        <w:t>.</w:t>
      </w:r>
    </w:p>
    <w:p w14:paraId="65AE740D" w14:textId="77777777" w:rsidR="00250202" w:rsidRDefault="00250202">
      <w:pPr>
        <w:ind w:left="0" w:hanging="2"/>
        <w:jc w:val="both"/>
        <w:rPr>
          <w:rFonts w:ascii="Arial" w:eastAsia="Arial" w:hAnsi="Arial" w:cs="Arial"/>
          <w:sz w:val="20"/>
          <w:szCs w:val="20"/>
        </w:rPr>
      </w:pPr>
      <w:bookmarkStart w:id="89" w:name="_heading=h.3kiszy26g0wz" w:colFirst="0" w:colLast="0"/>
      <w:bookmarkEnd w:id="89"/>
    </w:p>
    <w:p w14:paraId="70A70072"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Después del tratamiento, todos los pacientes con datos disponibles tenían valores de </w:t>
      </w:r>
      <w:r w:rsidRPr="002E1DF3">
        <w:rPr>
          <w:rFonts w:ascii="Arial" w:eastAsia="Arial" w:hAnsi="Arial" w:cs="Arial"/>
          <w:b/>
          <w:sz w:val="20"/>
          <w:szCs w:val="20"/>
        </w:rPr>
        <w:t xml:space="preserve">ARSA </w:t>
      </w:r>
      <w:r>
        <w:rPr>
          <w:rFonts w:ascii="Arial" w:eastAsia="Arial" w:hAnsi="Arial" w:cs="Arial"/>
          <w:sz w:val="20"/>
          <w:szCs w:val="20"/>
        </w:rPr>
        <w:t>dentro o por encima del rango normal (rango normal = 30,56-198,02 nmol/mg/h) en el mes 1 y por encima del rango normal en el mes 2. Los niveles por encima del rango normal se mantuvieron a los 3 y 6 meses y al cabo de 1 año para los pacientes con datos disponibles.</w:t>
      </w:r>
    </w:p>
    <w:p w14:paraId="51C8FA91" w14:textId="77777777" w:rsidR="002E1DF3" w:rsidRDefault="002E1DF3">
      <w:pPr>
        <w:ind w:left="0" w:hanging="2"/>
        <w:jc w:val="both"/>
        <w:rPr>
          <w:rFonts w:ascii="Arial" w:eastAsia="Arial" w:hAnsi="Arial" w:cs="Arial"/>
          <w:sz w:val="20"/>
          <w:szCs w:val="20"/>
        </w:rPr>
      </w:pPr>
    </w:p>
    <w:p w14:paraId="26416EE9" w14:textId="77777777" w:rsidR="009D55C9" w:rsidRDefault="005A57E0">
      <w:pPr>
        <w:ind w:left="0" w:hanging="2"/>
        <w:jc w:val="both"/>
        <w:rPr>
          <w:rFonts w:ascii="Arial" w:eastAsia="Arial" w:hAnsi="Arial" w:cs="Arial"/>
          <w:sz w:val="20"/>
          <w:szCs w:val="20"/>
        </w:rPr>
      </w:pPr>
      <w:bookmarkStart w:id="90" w:name="_heading=h.l79xn0azwj1d" w:colFirst="0" w:colLast="0"/>
      <w:bookmarkStart w:id="91" w:name="_heading=h.25d8wva3x0wq" w:colFirst="0" w:colLast="0"/>
      <w:bookmarkStart w:id="92" w:name="_heading=h.3zl4es5qur5f" w:colFirst="0" w:colLast="0"/>
      <w:bookmarkStart w:id="93" w:name="_heading=h.ymhdjps3ebkv" w:colFirst="0" w:colLast="0"/>
      <w:bookmarkEnd w:id="90"/>
      <w:bookmarkEnd w:id="91"/>
      <w:bookmarkEnd w:id="92"/>
      <w:bookmarkEnd w:id="93"/>
      <w:r>
        <w:rPr>
          <w:rFonts w:ascii="Arial" w:eastAsia="Arial" w:hAnsi="Arial" w:cs="Arial"/>
          <w:sz w:val="20"/>
          <w:szCs w:val="20"/>
        </w:rPr>
        <w:t>Los resultados en las variables secundarias fueron consistentes con los del estudio principal.</w:t>
      </w:r>
    </w:p>
    <w:p w14:paraId="37489924" w14:textId="77777777" w:rsidR="002E1DF3" w:rsidRDefault="002E1DF3">
      <w:pPr>
        <w:ind w:left="0" w:hanging="2"/>
        <w:jc w:val="both"/>
        <w:rPr>
          <w:rFonts w:ascii="Arial" w:eastAsia="Arial" w:hAnsi="Arial" w:cs="Arial"/>
          <w:sz w:val="20"/>
          <w:szCs w:val="20"/>
        </w:rPr>
      </w:pPr>
    </w:p>
    <w:p w14:paraId="7727D244" w14:textId="77777777" w:rsidR="009D55C9" w:rsidRDefault="009D55C9">
      <w:pPr>
        <w:ind w:left="0" w:hanging="2"/>
        <w:jc w:val="both"/>
        <w:rPr>
          <w:rFonts w:ascii="Arial" w:eastAsia="Arial" w:hAnsi="Arial" w:cs="Arial"/>
          <w:color w:val="000080"/>
          <w:sz w:val="20"/>
          <w:szCs w:val="20"/>
        </w:rPr>
      </w:pPr>
      <w:bookmarkStart w:id="94" w:name="_heading=h.t9io7546zl8q" w:colFirst="0" w:colLast="0"/>
      <w:bookmarkEnd w:id="94"/>
    </w:p>
    <w:p w14:paraId="4DBA72E3"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5.2.b Evaluación de la validez y de la utilidad práctica de los resultados. </w:t>
      </w:r>
    </w:p>
    <w:p w14:paraId="04D655CB" w14:textId="77777777" w:rsidR="009D55C9" w:rsidRDefault="009D55C9">
      <w:pPr>
        <w:ind w:left="0" w:hanging="2"/>
        <w:jc w:val="both"/>
        <w:rPr>
          <w:rFonts w:ascii="Arial" w:eastAsia="Arial" w:hAnsi="Arial" w:cs="Arial"/>
          <w:color w:val="000080"/>
          <w:sz w:val="20"/>
          <w:szCs w:val="20"/>
        </w:rPr>
      </w:pPr>
      <w:bookmarkStart w:id="95" w:name="_heading=h.4i7ojhp" w:colFirst="0" w:colLast="0"/>
      <w:bookmarkEnd w:id="95"/>
    </w:p>
    <w:p w14:paraId="2DA612BB"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A. Validez interna. Limitaciones de diseño y/o comentarios.</w:t>
      </w:r>
    </w:p>
    <w:p w14:paraId="57295C6F" w14:textId="77777777" w:rsidR="009D55C9" w:rsidRDefault="009D55C9">
      <w:pPr>
        <w:ind w:left="0" w:hanging="2"/>
        <w:rPr>
          <w:rFonts w:ascii="Arial" w:eastAsia="Arial" w:hAnsi="Arial" w:cs="Arial"/>
          <w:color w:val="000080"/>
          <w:sz w:val="20"/>
          <w:szCs w:val="20"/>
        </w:rPr>
      </w:pPr>
    </w:p>
    <w:p w14:paraId="68CBF99F" w14:textId="1FA818B4" w:rsidR="009D55C9" w:rsidRDefault="008723D4">
      <w:pPr>
        <w:ind w:left="0" w:hanging="2"/>
        <w:jc w:val="both"/>
        <w:rPr>
          <w:rFonts w:ascii="Arial" w:eastAsia="Arial" w:hAnsi="Arial" w:cs="Arial"/>
          <w:sz w:val="20"/>
          <w:szCs w:val="20"/>
        </w:rPr>
      </w:pPr>
      <w:r>
        <w:rPr>
          <w:rFonts w:ascii="Arial" w:eastAsia="Arial" w:hAnsi="Arial" w:cs="Arial"/>
          <w:sz w:val="20"/>
          <w:szCs w:val="20"/>
        </w:rPr>
        <w:t xml:space="preserve">El ensayo 201222 es un estudio </w:t>
      </w:r>
      <w:r w:rsidRPr="008723D4">
        <w:rPr>
          <w:rFonts w:ascii="Arial" w:eastAsia="Arial" w:hAnsi="Arial" w:cs="Arial"/>
          <w:b/>
          <w:sz w:val="20"/>
          <w:szCs w:val="20"/>
        </w:rPr>
        <w:t xml:space="preserve">abierto, no </w:t>
      </w:r>
      <w:r w:rsidR="00F24358" w:rsidRPr="008723D4">
        <w:rPr>
          <w:rFonts w:ascii="Arial" w:eastAsia="Arial" w:hAnsi="Arial" w:cs="Arial"/>
          <w:b/>
          <w:sz w:val="20"/>
          <w:szCs w:val="20"/>
        </w:rPr>
        <w:t>aleatorizado</w:t>
      </w:r>
      <w:r>
        <w:rPr>
          <w:rFonts w:ascii="Arial" w:eastAsia="Arial" w:hAnsi="Arial" w:cs="Arial"/>
          <w:sz w:val="20"/>
          <w:szCs w:val="20"/>
        </w:rPr>
        <w:t xml:space="preserve">, realizado en un </w:t>
      </w:r>
      <w:r w:rsidRPr="008723D4">
        <w:rPr>
          <w:rFonts w:ascii="Arial" w:eastAsia="Arial" w:hAnsi="Arial" w:cs="Arial"/>
          <w:b/>
          <w:sz w:val="20"/>
          <w:szCs w:val="20"/>
        </w:rPr>
        <w:t>único centro</w:t>
      </w:r>
      <w:r>
        <w:rPr>
          <w:rFonts w:ascii="Arial" w:eastAsia="Arial" w:hAnsi="Arial" w:cs="Arial"/>
          <w:sz w:val="20"/>
          <w:szCs w:val="20"/>
        </w:rPr>
        <w:t xml:space="preserve"> y controlado con un histórico de pacientes. </w:t>
      </w:r>
      <w:r w:rsidR="005A57E0">
        <w:rPr>
          <w:rFonts w:ascii="Arial" w:eastAsia="Arial" w:hAnsi="Arial" w:cs="Arial"/>
          <w:sz w:val="20"/>
          <w:szCs w:val="20"/>
        </w:rPr>
        <w:t>E</w:t>
      </w:r>
      <w:r>
        <w:rPr>
          <w:rFonts w:ascii="Arial" w:eastAsia="Arial" w:hAnsi="Arial" w:cs="Arial"/>
          <w:sz w:val="20"/>
          <w:szCs w:val="20"/>
        </w:rPr>
        <w:t>ste</w:t>
      </w:r>
      <w:r w:rsidR="005A57E0">
        <w:rPr>
          <w:rFonts w:ascii="Arial" w:eastAsia="Arial" w:hAnsi="Arial" w:cs="Arial"/>
          <w:sz w:val="20"/>
          <w:szCs w:val="20"/>
        </w:rPr>
        <w:t xml:space="preserve"> diseño fue acordado por el “Scientific Advice Working Party</w:t>
      </w:r>
      <w:r w:rsidR="00250202">
        <w:rPr>
          <w:rFonts w:ascii="Arial" w:eastAsia="Arial" w:hAnsi="Arial" w:cs="Arial"/>
          <w:sz w:val="20"/>
          <w:szCs w:val="20"/>
        </w:rPr>
        <w:t xml:space="preserve"> </w:t>
      </w:r>
      <w:r w:rsidR="005A57E0">
        <w:rPr>
          <w:rFonts w:ascii="Arial" w:eastAsia="Arial" w:hAnsi="Arial" w:cs="Arial"/>
          <w:sz w:val="20"/>
          <w:szCs w:val="20"/>
        </w:rPr>
        <w:t>dada la gravedad y naturaleza progresiva de la enfermedad, la ausencia de tratamiento, la posibilidad de que Libmeldy</w:t>
      </w:r>
      <w:r w:rsidR="00250202" w:rsidRPr="004E5719">
        <w:rPr>
          <w:rFonts w:ascii="Arial" w:eastAsia="Arial" w:hAnsi="Arial" w:cs="Arial"/>
          <w:sz w:val="20"/>
          <w:szCs w:val="20"/>
          <w:vertAlign w:val="superscript"/>
        </w:rPr>
        <w:t>®</w:t>
      </w:r>
      <w:r w:rsidR="005A57E0">
        <w:rPr>
          <w:rFonts w:ascii="Arial" w:eastAsia="Arial" w:hAnsi="Arial" w:cs="Arial"/>
          <w:sz w:val="20"/>
          <w:szCs w:val="20"/>
        </w:rPr>
        <w:t xml:space="preserve"> </w:t>
      </w:r>
      <w:r>
        <w:rPr>
          <w:rFonts w:ascii="Arial" w:eastAsia="Arial" w:hAnsi="Arial" w:cs="Arial"/>
          <w:sz w:val="20"/>
          <w:szCs w:val="20"/>
        </w:rPr>
        <w:t>fuera</w:t>
      </w:r>
      <w:r w:rsidR="005A57E0">
        <w:rPr>
          <w:rFonts w:ascii="Arial" w:eastAsia="Arial" w:hAnsi="Arial" w:cs="Arial"/>
          <w:sz w:val="20"/>
          <w:szCs w:val="20"/>
        </w:rPr>
        <w:t xml:space="preserve"> un tratamiento potencialmente curativo y</w:t>
      </w:r>
      <w:r>
        <w:rPr>
          <w:rFonts w:ascii="Arial" w:eastAsia="Arial" w:hAnsi="Arial" w:cs="Arial"/>
          <w:sz w:val="20"/>
          <w:szCs w:val="20"/>
        </w:rPr>
        <w:t xml:space="preserve"> el escaso número de pacientes.</w:t>
      </w:r>
    </w:p>
    <w:p w14:paraId="743426CB" w14:textId="77777777" w:rsidR="008723D4" w:rsidRDefault="008723D4">
      <w:pPr>
        <w:ind w:left="0" w:hanging="2"/>
        <w:jc w:val="both"/>
        <w:rPr>
          <w:rFonts w:ascii="Arial" w:eastAsia="Arial" w:hAnsi="Arial" w:cs="Arial"/>
          <w:sz w:val="20"/>
          <w:szCs w:val="20"/>
        </w:rPr>
      </w:pPr>
    </w:p>
    <w:p w14:paraId="0FC13861"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A pesar de las conocidas limitaciones relacionadas con el uso de una </w:t>
      </w:r>
      <w:r w:rsidRPr="008723D4">
        <w:rPr>
          <w:rFonts w:ascii="Arial" w:eastAsia="Arial" w:hAnsi="Arial" w:cs="Arial"/>
          <w:b/>
          <w:sz w:val="20"/>
          <w:szCs w:val="20"/>
        </w:rPr>
        <w:t>cohorte histórica</w:t>
      </w:r>
      <w:r>
        <w:rPr>
          <w:rFonts w:ascii="Arial" w:eastAsia="Arial" w:hAnsi="Arial" w:cs="Arial"/>
          <w:sz w:val="20"/>
          <w:szCs w:val="20"/>
        </w:rPr>
        <w:t xml:space="preserve"> como brazo comparador, se intentó minimizar el riesgo de sesgos mediante emparejamientos por edad y variante de la enfermedad. Para reducir la variabilidad en la evaluación del investigador se utilizó una misma metodología, instrumentación y evaluaciones.</w:t>
      </w:r>
    </w:p>
    <w:p w14:paraId="029C93D2" w14:textId="77777777" w:rsidR="009D55C9" w:rsidRDefault="009D55C9">
      <w:pPr>
        <w:ind w:left="0" w:hanging="2"/>
        <w:jc w:val="both"/>
        <w:rPr>
          <w:rFonts w:ascii="Arial" w:eastAsia="Arial" w:hAnsi="Arial" w:cs="Arial"/>
          <w:sz w:val="20"/>
          <w:szCs w:val="20"/>
        </w:rPr>
      </w:pPr>
    </w:p>
    <w:p w14:paraId="4BDF83B4" w14:textId="77777777" w:rsidR="00A407F4" w:rsidRDefault="00A407F4">
      <w:pPr>
        <w:ind w:left="0" w:hanging="2"/>
        <w:jc w:val="both"/>
        <w:rPr>
          <w:rFonts w:ascii="Arial" w:eastAsia="Arial" w:hAnsi="Arial" w:cs="Arial"/>
          <w:sz w:val="20"/>
          <w:szCs w:val="20"/>
        </w:rPr>
      </w:pPr>
      <w:r>
        <w:rPr>
          <w:rFonts w:ascii="Arial" w:eastAsia="Arial" w:hAnsi="Arial" w:cs="Arial"/>
          <w:sz w:val="20"/>
          <w:szCs w:val="20"/>
        </w:rPr>
        <w:t xml:space="preserve">Otra de las limitaciones es el </w:t>
      </w:r>
      <w:r w:rsidRPr="008723D4">
        <w:rPr>
          <w:rFonts w:ascii="Arial" w:eastAsia="Arial" w:hAnsi="Arial" w:cs="Arial"/>
          <w:b/>
          <w:sz w:val="20"/>
          <w:szCs w:val="20"/>
        </w:rPr>
        <w:t>escaso número de pacientes</w:t>
      </w:r>
      <w:r>
        <w:rPr>
          <w:rFonts w:ascii="Arial" w:eastAsia="Arial" w:hAnsi="Arial" w:cs="Arial"/>
          <w:sz w:val="20"/>
          <w:szCs w:val="20"/>
        </w:rPr>
        <w:t xml:space="preserve"> incluidos en el estudio, lo cual es normal debido a la baja incidencia de la enfermedad.</w:t>
      </w:r>
    </w:p>
    <w:p w14:paraId="58CC74DF" w14:textId="77777777" w:rsidR="008723D4" w:rsidRDefault="008723D4">
      <w:pPr>
        <w:ind w:left="0" w:hanging="2"/>
        <w:jc w:val="both"/>
        <w:rPr>
          <w:rFonts w:ascii="Arial" w:eastAsia="Arial" w:hAnsi="Arial" w:cs="Arial"/>
          <w:sz w:val="20"/>
          <w:szCs w:val="20"/>
        </w:rPr>
      </w:pPr>
    </w:p>
    <w:p w14:paraId="36AC6FBF" w14:textId="77777777" w:rsidR="009D55C9" w:rsidRDefault="008723D4">
      <w:pPr>
        <w:ind w:left="0" w:hanging="2"/>
        <w:jc w:val="both"/>
        <w:rPr>
          <w:rFonts w:ascii="Arial" w:eastAsia="Arial" w:hAnsi="Arial" w:cs="Arial"/>
          <w:sz w:val="20"/>
          <w:szCs w:val="20"/>
        </w:rPr>
      </w:pPr>
      <w:r>
        <w:rPr>
          <w:rFonts w:ascii="Arial" w:eastAsia="Arial" w:hAnsi="Arial" w:cs="Arial"/>
          <w:sz w:val="20"/>
          <w:szCs w:val="20"/>
        </w:rPr>
        <w:t xml:space="preserve">Todavía no se disponen de suficientes datos de </w:t>
      </w:r>
      <w:r w:rsidRPr="008723D4">
        <w:rPr>
          <w:rFonts w:ascii="Arial" w:eastAsia="Arial" w:hAnsi="Arial" w:cs="Arial"/>
          <w:b/>
          <w:sz w:val="20"/>
          <w:szCs w:val="20"/>
        </w:rPr>
        <w:t>seguimiento</w:t>
      </w:r>
      <w:r>
        <w:rPr>
          <w:rFonts w:ascii="Arial" w:eastAsia="Arial" w:hAnsi="Arial" w:cs="Arial"/>
          <w:sz w:val="20"/>
          <w:szCs w:val="20"/>
        </w:rPr>
        <w:t xml:space="preserve"> a largo plazo que </w:t>
      </w:r>
      <w:r w:rsidR="005A57E0">
        <w:rPr>
          <w:rFonts w:ascii="Arial" w:eastAsia="Arial" w:hAnsi="Arial" w:cs="Arial"/>
          <w:sz w:val="20"/>
          <w:szCs w:val="20"/>
        </w:rPr>
        <w:t xml:space="preserve">confirmen el beneficio de </w:t>
      </w:r>
      <w:r>
        <w:rPr>
          <w:rFonts w:ascii="Arial" w:eastAsia="Arial" w:hAnsi="Arial" w:cs="Arial"/>
          <w:sz w:val="20"/>
          <w:szCs w:val="20"/>
        </w:rPr>
        <w:t xml:space="preserve">esta </w:t>
      </w:r>
      <w:r w:rsidR="00BD2296">
        <w:rPr>
          <w:rFonts w:ascii="Arial" w:eastAsia="Arial" w:hAnsi="Arial" w:cs="Arial"/>
          <w:sz w:val="20"/>
          <w:szCs w:val="20"/>
        </w:rPr>
        <w:t>TG</w:t>
      </w:r>
      <w:r w:rsidR="005A57E0">
        <w:rPr>
          <w:rFonts w:ascii="Arial" w:eastAsia="Arial" w:hAnsi="Arial" w:cs="Arial"/>
          <w:sz w:val="20"/>
          <w:szCs w:val="20"/>
        </w:rPr>
        <w:t>.</w:t>
      </w:r>
    </w:p>
    <w:p w14:paraId="1047B8F9" w14:textId="77777777" w:rsidR="008723D4" w:rsidRDefault="008723D4" w:rsidP="008723D4">
      <w:pPr>
        <w:ind w:leftChars="0" w:left="0" w:firstLineChars="0" w:firstLine="0"/>
        <w:rPr>
          <w:rFonts w:ascii="Arial" w:eastAsia="Arial" w:hAnsi="Arial" w:cs="Arial"/>
          <w:color w:val="FF0000"/>
          <w:sz w:val="20"/>
          <w:szCs w:val="20"/>
        </w:rPr>
      </w:pPr>
      <w:bookmarkStart w:id="96" w:name="_heading=h.2xcytpi" w:colFirst="0" w:colLast="0"/>
      <w:bookmarkEnd w:id="96"/>
    </w:p>
    <w:p w14:paraId="2A8FDFFB"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B. Aplicabilidad del ensayo a la práctica del hospital.</w:t>
      </w:r>
    </w:p>
    <w:p w14:paraId="6C906A83" w14:textId="77777777" w:rsidR="009D55C9" w:rsidRDefault="009D55C9">
      <w:pPr>
        <w:pBdr>
          <w:top w:val="nil"/>
          <w:left w:val="nil"/>
          <w:bottom w:val="nil"/>
          <w:right w:val="nil"/>
          <w:between w:val="nil"/>
        </w:pBdr>
        <w:spacing w:line="240" w:lineRule="auto"/>
        <w:ind w:left="0" w:hanging="2"/>
        <w:jc w:val="both"/>
        <w:rPr>
          <w:color w:val="000080"/>
          <w:sz w:val="20"/>
          <w:szCs w:val="20"/>
        </w:rPr>
      </w:pPr>
    </w:p>
    <w:p w14:paraId="7B53049E" w14:textId="77777777" w:rsidR="009D55C9" w:rsidRDefault="008723D4">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Para la utilización en niños sin manifestaciones clínicas de la enfermedad h</w:t>
      </w:r>
      <w:r w:rsidR="005A57E0">
        <w:rPr>
          <w:rFonts w:ascii="Arial" w:eastAsia="Arial" w:hAnsi="Arial" w:cs="Arial"/>
          <w:sz w:val="20"/>
          <w:szCs w:val="20"/>
        </w:rPr>
        <w:t xml:space="preserve">abría que aplicar un método de cribado </w:t>
      </w:r>
      <w:r>
        <w:rPr>
          <w:rFonts w:ascii="Arial" w:eastAsia="Arial" w:hAnsi="Arial" w:cs="Arial"/>
          <w:sz w:val="20"/>
          <w:szCs w:val="20"/>
        </w:rPr>
        <w:t>prenatal, que actualmente no se realiza de manera rutinaria en España. P</w:t>
      </w:r>
      <w:r w:rsidR="005A57E0">
        <w:rPr>
          <w:rFonts w:ascii="Arial" w:eastAsia="Arial" w:hAnsi="Arial" w:cs="Arial"/>
          <w:sz w:val="20"/>
          <w:szCs w:val="20"/>
        </w:rPr>
        <w:t xml:space="preserve">or lo </w:t>
      </w:r>
      <w:r>
        <w:rPr>
          <w:rFonts w:ascii="Arial" w:eastAsia="Arial" w:hAnsi="Arial" w:cs="Arial"/>
          <w:sz w:val="20"/>
          <w:szCs w:val="20"/>
        </w:rPr>
        <w:t>tanto,</w:t>
      </w:r>
      <w:r w:rsidR="005A57E0">
        <w:rPr>
          <w:rFonts w:ascii="Arial" w:eastAsia="Arial" w:hAnsi="Arial" w:cs="Arial"/>
          <w:sz w:val="20"/>
          <w:szCs w:val="20"/>
        </w:rPr>
        <w:t xml:space="preserve"> la mayoría de los pacientes serían diagnosticados una vez desarrollasen síntomas.</w:t>
      </w:r>
    </w:p>
    <w:p w14:paraId="3AE52A4B" w14:textId="77777777" w:rsidR="009D55C9" w:rsidRDefault="009D55C9">
      <w:pPr>
        <w:pBdr>
          <w:top w:val="nil"/>
          <w:left w:val="nil"/>
          <w:bottom w:val="nil"/>
          <w:right w:val="nil"/>
          <w:between w:val="nil"/>
        </w:pBdr>
        <w:spacing w:line="240" w:lineRule="auto"/>
        <w:ind w:left="0" w:hanging="2"/>
        <w:jc w:val="both"/>
        <w:rPr>
          <w:rFonts w:ascii="Arial" w:eastAsia="Arial" w:hAnsi="Arial" w:cs="Arial"/>
          <w:sz w:val="20"/>
          <w:szCs w:val="20"/>
        </w:rPr>
      </w:pPr>
    </w:p>
    <w:p w14:paraId="049453B2" w14:textId="77777777" w:rsidR="009D55C9" w:rsidRDefault="00904F7B">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El hospital debería</w:t>
      </w:r>
      <w:r w:rsidR="005A57E0">
        <w:rPr>
          <w:rFonts w:ascii="Arial" w:eastAsia="Arial" w:hAnsi="Arial" w:cs="Arial"/>
          <w:sz w:val="20"/>
          <w:szCs w:val="20"/>
        </w:rPr>
        <w:t xml:space="preserve"> disponer de los medios necesarios para realizar una infusión de </w:t>
      </w:r>
      <w:r w:rsidR="008723D4">
        <w:rPr>
          <w:rFonts w:ascii="Arial" w:eastAsia="Arial" w:hAnsi="Arial" w:cs="Arial"/>
          <w:sz w:val="20"/>
          <w:szCs w:val="20"/>
        </w:rPr>
        <w:t>progenitores hematopoyéticos</w:t>
      </w:r>
      <w:r w:rsidR="005A57E0">
        <w:rPr>
          <w:rFonts w:ascii="Arial" w:eastAsia="Arial" w:hAnsi="Arial" w:cs="Arial"/>
          <w:sz w:val="20"/>
          <w:szCs w:val="20"/>
        </w:rPr>
        <w:t>.</w:t>
      </w:r>
    </w:p>
    <w:p w14:paraId="495B7BFA" w14:textId="77777777" w:rsidR="009D55C9" w:rsidRDefault="009D55C9" w:rsidP="00904F7B">
      <w:pPr>
        <w:ind w:leftChars="0" w:left="0" w:firstLineChars="0" w:firstLine="0"/>
        <w:jc w:val="both"/>
        <w:rPr>
          <w:rFonts w:ascii="Arial" w:eastAsia="Arial" w:hAnsi="Arial" w:cs="Arial"/>
          <w:sz w:val="20"/>
          <w:szCs w:val="20"/>
        </w:rPr>
      </w:pPr>
      <w:bookmarkStart w:id="97" w:name="_heading=h.1ci93xb" w:colFirst="0" w:colLast="0"/>
      <w:bookmarkEnd w:id="97"/>
    </w:p>
    <w:p w14:paraId="55AFF505"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C. Relevancia clínica de los resultados.</w:t>
      </w:r>
    </w:p>
    <w:p w14:paraId="5A579A6E" w14:textId="77777777" w:rsidR="009D55C9" w:rsidRDefault="009D55C9">
      <w:pPr>
        <w:pBdr>
          <w:top w:val="nil"/>
          <w:left w:val="nil"/>
          <w:bottom w:val="nil"/>
          <w:right w:val="nil"/>
          <w:between w:val="nil"/>
        </w:pBdr>
        <w:spacing w:line="240" w:lineRule="auto"/>
        <w:ind w:left="0" w:hanging="2"/>
        <w:rPr>
          <w:rFonts w:ascii="Arial" w:eastAsia="Arial" w:hAnsi="Arial" w:cs="Arial"/>
          <w:color w:val="333300"/>
          <w:sz w:val="20"/>
          <w:szCs w:val="20"/>
        </w:rPr>
      </w:pPr>
      <w:bookmarkStart w:id="98" w:name="_heading=h.3whwml4" w:colFirst="0" w:colLast="0"/>
      <w:bookmarkEnd w:id="98"/>
    </w:p>
    <w:p w14:paraId="6DCC5117"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rFonts w:ascii="Arial" w:eastAsia="Arial" w:hAnsi="Arial" w:cs="Arial"/>
          <w:color w:val="333300"/>
          <w:sz w:val="20"/>
          <w:szCs w:val="20"/>
        </w:rPr>
      </w:pPr>
      <w:r>
        <w:rPr>
          <w:rFonts w:ascii="Arial" w:eastAsia="Arial" w:hAnsi="Arial" w:cs="Arial"/>
          <w:color w:val="333300"/>
          <w:sz w:val="20"/>
          <w:szCs w:val="20"/>
        </w:rPr>
        <w:t xml:space="preserve">C.1 Valorar si la </w:t>
      </w:r>
      <w:r>
        <w:rPr>
          <w:rFonts w:ascii="Arial" w:eastAsia="Arial" w:hAnsi="Arial" w:cs="Arial"/>
          <w:color w:val="333300"/>
          <w:sz w:val="20"/>
          <w:szCs w:val="20"/>
          <w:u w:val="single"/>
        </w:rPr>
        <w:t>magnitud del efecto</w:t>
      </w:r>
      <w:r>
        <w:rPr>
          <w:rFonts w:ascii="Arial" w:eastAsia="Arial" w:hAnsi="Arial" w:cs="Arial"/>
          <w:color w:val="333300"/>
          <w:sz w:val="20"/>
          <w:szCs w:val="20"/>
        </w:rPr>
        <w:t xml:space="preserve"> del tratamiento es de relevancia clínica. </w:t>
      </w:r>
    </w:p>
    <w:p w14:paraId="524FC51B" w14:textId="77777777" w:rsidR="009D55C9" w:rsidRDefault="009D55C9">
      <w:pPr>
        <w:pBdr>
          <w:top w:val="nil"/>
          <w:left w:val="nil"/>
          <w:bottom w:val="nil"/>
          <w:right w:val="nil"/>
          <w:between w:val="nil"/>
        </w:pBdr>
        <w:spacing w:line="240" w:lineRule="auto"/>
        <w:ind w:left="0" w:hanging="2"/>
        <w:jc w:val="both"/>
        <w:rPr>
          <w:rFonts w:ascii="Arial" w:eastAsia="Arial" w:hAnsi="Arial" w:cs="Arial"/>
          <w:sz w:val="20"/>
          <w:szCs w:val="20"/>
        </w:rPr>
      </w:pPr>
    </w:p>
    <w:p w14:paraId="5949906C" w14:textId="77777777" w:rsidR="009D55C9" w:rsidRDefault="003520E1" w:rsidP="004E5719">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Aunque es difícil valorar la magnitud del efecto del tratamiento debido al diseño del estudio, e</w:t>
      </w:r>
      <w:r w:rsidR="00904F7B">
        <w:rPr>
          <w:rFonts w:ascii="Arial" w:eastAsia="Arial" w:hAnsi="Arial" w:cs="Arial"/>
          <w:sz w:val="20"/>
          <w:szCs w:val="20"/>
        </w:rPr>
        <w:t xml:space="preserve">n comparación con la serie histórica, </w:t>
      </w:r>
      <w:r w:rsidR="005A57E0">
        <w:rPr>
          <w:rFonts w:ascii="Arial" w:eastAsia="Arial" w:hAnsi="Arial" w:cs="Arial"/>
          <w:sz w:val="20"/>
          <w:szCs w:val="20"/>
        </w:rPr>
        <w:t>Libmeldy</w:t>
      </w:r>
      <w:r w:rsidR="00904F7B" w:rsidRPr="00904F7B">
        <w:rPr>
          <w:rFonts w:ascii="Arial" w:eastAsia="Arial" w:hAnsi="Arial" w:cs="Arial"/>
          <w:sz w:val="20"/>
          <w:szCs w:val="20"/>
          <w:vertAlign w:val="superscript"/>
        </w:rPr>
        <w:t>®</w:t>
      </w:r>
      <w:r w:rsidR="00904F7B">
        <w:rPr>
          <w:rFonts w:ascii="Arial" w:eastAsia="Arial" w:hAnsi="Arial" w:cs="Arial"/>
          <w:sz w:val="20"/>
          <w:szCs w:val="20"/>
        </w:rPr>
        <w:t xml:space="preserve"> </w:t>
      </w:r>
      <w:r>
        <w:rPr>
          <w:rFonts w:ascii="Arial" w:eastAsia="Arial" w:hAnsi="Arial" w:cs="Arial"/>
          <w:sz w:val="20"/>
          <w:szCs w:val="20"/>
        </w:rPr>
        <w:t>parece mostrar</w:t>
      </w:r>
      <w:r w:rsidR="005A57E0">
        <w:rPr>
          <w:rFonts w:ascii="Arial" w:eastAsia="Arial" w:hAnsi="Arial" w:cs="Arial"/>
          <w:sz w:val="20"/>
          <w:szCs w:val="20"/>
        </w:rPr>
        <w:t xml:space="preserve"> una </w:t>
      </w:r>
      <w:r w:rsidR="00904F7B" w:rsidRPr="003520E1">
        <w:rPr>
          <w:rFonts w:ascii="Arial" w:eastAsia="Arial" w:hAnsi="Arial" w:cs="Arial"/>
          <w:sz w:val="20"/>
          <w:szCs w:val="20"/>
        </w:rPr>
        <w:t>alta</w:t>
      </w:r>
      <w:r w:rsidR="005A57E0" w:rsidRPr="003520E1">
        <w:rPr>
          <w:rFonts w:ascii="Arial" w:eastAsia="Arial" w:hAnsi="Arial" w:cs="Arial"/>
          <w:sz w:val="20"/>
          <w:szCs w:val="20"/>
        </w:rPr>
        <w:t xml:space="preserve"> eficacia</w:t>
      </w:r>
      <w:r w:rsidR="005A57E0">
        <w:rPr>
          <w:rFonts w:ascii="Arial" w:eastAsia="Arial" w:hAnsi="Arial" w:cs="Arial"/>
          <w:b/>
          <w:sz w:val="20"/>
          <w:szCs w:val="20"/>
        </w:rPr>
        <w:t xml:space="preserve"> </w:t>
      </w:r>
      <w:r w:rsidR="005A57E0" w:rsidRPr="003520E1">
        <w:rPr>
          <w:rFonts w:ascii="Arial" w:eastAsia="Arial" w:hAnsi="Arial" w:cs="Arial"/>
          <w:sz w:val="20"/>
          <w:szCs w:val="20"/>
        </w:rPr>
        <w:t xml:space="preserve">en </w:t>
      </w:r>
      <w:r w:rsidR="005A57E0">
        <w:rPr>
          <w:rFonts w:ascii="Arial" w:eastAsia="Arial" w:hAnsi="Arial" w:cs="Arial"/>
          <w:sz w:val="20"/>
          <w:szCs w:val="20"/>
        </w:rPr>
        <w:t xml:space="preserve">los casos </w:t>
      </w:r>
      <w:r w:rsidR="005A57E0">
        <w:rPr>
          <w:rFonts w:ascii="Arial" w:eastAsia="Arial" w:hAnsi="Arial" w:cs="Arial"/>
          <w:b/>
          <w:sz w:val="20"/>
          <w:szCs w:val="20"/>
        </w:rPr>
        <w:t>presintomáticos</w:t>
      </w:r>
      <w:r w:rsidR="005A57E0">
        <w:rPr>
          <w:rFonts w:ascii="Arial" w:eastAsia="Arial" w:hAnsi="Arial" w:cs="Arial"/>
          <w:sz w:val="20"/>
          <w:szCs w:val="20"/>
        </w:rPr>
        <w:t xml:space="preserve"> de LDM-IT y LDM-JT</w:t>
      </w:r>
      <w:r w:rsidR="00904F7B">
        <w:rPr>
          <w:rFonts w:ascii="Arial" w:eastAsia="Arial" w:hAnsi="Arial" w:cs="Arial"/>
          <w:sz w:val="20"/>
          <w:szCs w:val="20"/>
        </w:rPr>
        <w:t>.</w:t>
      </w:r>
      <w:r w:rsidR="005A57E0">
        <w:rPr>
          <w:rFonts w:ascii="Arial" w:eastAsia="Arial" w:hAnsi="Arial" w:cs="Arial"/>
          <w:sz w:val="20"/>
          <w:szCs w:val="20"/>
        </w:rPr>
        <w:t xml:space="preserve"> </w:t>
      </w:r>
      <w:r w:rsidR="00904F7B">
        <w:rPr>
          <w:rFonts w:ascii="Arial" w:eastAsia="Arial" w:hAnsi="Arial" w:cs="Arial"/>
          <w:sz w:val="20"/>
          <w:szCs w:val="20"/>
        </w:rPr>
        <w:t xml:space="preserve">Los efectos beneficiosos del tratamiento </w:t>
      </w:r>
      <w:r>
        <w:rPr>
          <w:rFonts w:ascii="Arial" w:eastAsia="Arial" w:hAnsi="Arial" w:cs="Arial"/>
          <w:sz w:val="20"/>
          <w:szCs w:val="20"/>
        </w:rPr>
        <w:t>parecen</w:t>
      </w:r>
      <w:r w:rsidR="00904F7B">
        <w:rPr>
          <w:rFonts w:ascii="Arial" w:eastAsia="Arial" w:hAnsi="Arial" w:cs="Arial"/>
          <w:sz w:val="20"/>
          <w:szCs w:val="20"/>
        </w:rPr>
        <w:t xml:space="preserve"> evidentes en cuanto </w:t>
      </w:r>
      <w:r w:rsidR="004E5719">
        <w:rPr>
          <w:rFonts w:ascii="Arial" w:eastAsia="Arial" w:hAnsi="Arial" w:cs="Arial"/>
          <w:sz w:val="20"/>
          <w:szCs w:val="20"/>
        </w:rPr>
        <w:t>a la MFMG y la función cognitiva</w:t>
      </w:r>
      <w:r w:rsidR="00904F7B">
        <w:rPr>
          <w:rFonts w:ascii="Arial" w:eastAsia="Arial" w:hAnsi="Arial" w:cs="Arial"/>
          <w:sz w:val="20"/>
          <w:szCs w:val="20"/>
        </w:rPr>
        <w:t>.</w:t>
      </w:r>
      <w:r w:rsidR="00904F7B" w:rsidRPr="00904F7B">
        <w:rPr>
          <w:rFonts w:ascii="Arial" w:eastAsia="Arial" w:hAnsi="Arial" w:cs="Arial"/>
          <w:sz w:val="20"/>
          <w:szCs w:val="20"/>
        </w:rPr>
        <w:t xml:space="preserve"> </w:t>
      </w:r>
      <w:r w:rsidR="00904F7B">
        <w:rPr>
          <w:rFonts w:ascii="Arial" w:eastAsia="Arial" w:hAnsi="Arial" w:cs="Arial"/>
          <w:sz w:val="20"/>
          <w:szCs w:val="20"/>
        </w:rPr>
        <w:t>El estado físico y cognitivo de los pacientes tratados se equiparó al de niños sanos en la gran mayoría de los casos.</w:t>
      </w:r>
      <w:r w:rsidR="004E5719" w:rsidRPr="004E5719">
        <w:rPr>
          <w:rFonts w:ascii="Arial" w:eastAsia="Arial" w:hAnsi="Arial" w:cs="Arial"/>
          <w:sz w:val="20"/>
          <w:szCs w:val="20"/>
        </w:rPr>
        <w:t xml:space="preserve"> </w:t>
      </w:r>
      <w:r w:rsidR="004E5719">
        <w:rPr>
          <w:rFonts w:ascii="Arial" w:eastAsia="Arial" w:hAnsi="Arial" w:cs="Arial"/>
          <w:sz w:val="20"/>
          <w:szCs w:val="20"/>
        </w:rPr>
        <w:t>En cambio, el beneficio en la RMN cerebral y en supervivencia solo ha podido demorarse en pacientes con LDM-IT.</w:t>
      </w:r>
    </w:p>
    <w:p w14:paraId="7636637C" w14:textId="77777777" w:rsidR="00904F7B" w:rsidRDefault="00904F7B">
      <w:pPr>
        <w:pBdr>
          <w:top w:val="nil"/>
          <w:left w:val="nil"/>
          <w:bottom w:val="nil"/>
          <w:right w:val="nil"/>
          <w:between w:val="nil"/>
        </w:pBdr>
        <w:spacing w:line="240" w:lineRule="auto"/>
        <w:ind w:left="0" w:hanging="2"/>
        <w:jc w:val="both"/>
        <w:rPr>
          <w:rFonts w:ascii="Arial" w:eastAsia="Arial" w:hAnsi="Arial" w:cs="Arial"/>
          <w:sz w:val="20"/>
          <w:szCs w:val="20"/>
        </w:rPr>
      </w:pPr>
    </w:p>
    <w:p w14:paraId="1F938D9A" w14:textId="594D511B" w:rsidR="009D55C9" w:rsidRDefault="005A57E0">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 xml:space="preserve">La mediana de seguimiento en el momento de la presentación de los datos (fecha de corte de marzo de 2018) para el estudio pivotal fue de 5,4 años (rango: 2,98 a 7,51) </w:t>
      </w:r>
      <w:r w:rsidR="004E5719">
        <w:rPr>
          <w:rFonts w:ascii="Arial" w:eastAsia="Arial" w:hAnsi="Arial" w:cs="Arial"/>
          <w:sz w:val="20"/>
          <w:szCs w:val="20"/>
        </w:rPr>
        <w:t xml:space="preserve">para el grupo con LDM-IT (n=9) </w:t>
      </w:r>
      <w:r>
        <w:rPr>
          <w:rFonts w:ascii="Arial" w:eastAsia="Arial" w:hAnsi="Arial" w:cs="Arial"/>
          <w:sz w:val="20"/>
          <w:szCs w:val="20"/>
        </w:rPr>
        <w:t xml:space="preserve">y de 3,5 años (rango: 0,64 a 6,55) </w:t>
      </w:r>
      <w:r w:rsidR="004E5719">
        <w:rPr>
          <w:rFonts w:ascii="Arial" w:eastAsia="Arial" w:hAnsi="Arial" w:cs="Arial"/>
          <w:sz w:val="20"/>
          <w:szCs w:val="20"/>
        </w:rPr>
        <w:t>para el de LDM-JT (n=11)</w:t>
      </w:r>
      <w:r>
        <w:rPr>
          <w:rFonts w:ascii="Arial" w:eastAsia="Arial" w:hAnsi="Arial" w:cs="Arial"/>
          <w:sz w:val="20"/>
          <w:szCs w:val="20"/>
        </w:rPr>
        <w:t xml:space="preserve">. Como parece haber una reducción en las células con alto número de copias del vector (NCV) y los niveles de ARSA parecen disminuir con el tiempo, está por confirmar si el efecto del tratamiento es mantenido o si, por el contrario, puede producirse una progresión hacia la enfermedad sintomática. Se pretende recopilar más datos posteriores a la autorización para confirmar la eficacia, ya que el seguimiento actual es limitado. Para </w:t>
      </w:r>
      <w:r w:rsidR="00230B26">
        <w:rPr>
          <w:rFonts w:ascii="Arial" w:eastAsia="Arial" w:hAnsi="Arial" w:cs="Arial"/>
          <w:sz w:val="20"/>
          <w:szCs w:val="20"/>
        </w:rPr>
        <w:t>comprobar</w:t>
      </w:r>
      <w:r>
        <w:rPr>
          <w:rFonts w:ascii="Arial" w:eastAsia="Arial" w:hAnsi="Arial" w:cs="Arial"/>
          <w:sz w:val="20"/>
          <w:szCs w:val="20"/>
        </w:rPr>
        <w:t xml:space="preserve"> el mantenimiento de la eficacia se ha programado un seguimiento post-comercialización de hasta 15 años.</w:t>
      </w:r>
    </w:p>
    <w:p w14:paraId="7AAC02AA" w14:textId="77777777" w:rsidR="00904F7B" w:rsidRDefault="00904F7B">
      <w:pPr>
        <w:pBdr>
          <w:top w:val="nil"/>
          <w:left w:val="nil"/>
          <w:bottom w:val="nil"/>
          <w:right w:val="nil"/>
          <w:between w:val="nil"/>
        </w:pBdr>
        <w:spacing w:line="240" w:lineRule="auto"/>
        <w:ind w:left="0" w:hanging="2"/>
        <w:jc w:val="both"/>
        <w:rPr>
          <w:rFonts w:ascii="Arial" w:eastAsia="Arial" w:hAnsi="Arial" w:cs="Arial"/>
          <w:sz w:val="20"/>
          <w:szCs w:val="20"/>
        </w:rPr>
      </w:pPr>
    </w:p>
    <w:p w14:paraId="33EF3D07" w14:textId="77777777" w:rsidR="009D55C9" w:rsidRDefault="005A57E0">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 xml:space="preserve">Aunque se observa un deterioro de la función motora en todos los sujetos </w:t>
      </w:r>
      <w:r w:rsidRPr="00904F7B">
        <w:rPr>
          <w:rFonts w:ascii="Arial" w:eastAsia="Arial" w:hAnsi="Arial" w:cs="Arial"/>
          <w:b/>
          <w:sz w:val="20"/>
          <w:szCs w:val="20"/>
        </w:rPr>
        <w:t>sintomáticos</w:t>
      </w:r>
      <w:r>
        <w:rPr>
          <w:rFonts w:ascii="Arial" w:eastAsia="Arial" w:hAnsi="Arial" w:cs="Arial"/>
          <w:sz w:val="20"/>
          <w:szCs w:val="20"/>
        </w:rPr>
        <w:t xml:space="preserve"> con LDM-JT, los datos indican que para los pacientes sintomáticos precoces parece haber un retraso en dicho deterioro. Además, la función cognitiva en estos pacientes está al mismo nivel o incluso por encima de los rangos de los sujetos sanos de la misma edad. </w:t>
      </w:r>
    </w:p>
    <w:p w14:paraId="7C050663" w14:textId="77777777" w:rsidR="009D55C9" w:rsidRDefault="009D55C9">
      <w:pPr>
        <w:ind w:left="0" w:hanging="2"/>
        <w:rPr>
          <w:rFonts w:ascii="Arial" w:eastAsia="Arial" w:hAnsi="Arial" w:cs="Arial"/>
          <w:color w:val="000080"/>
          <w:sz w:val="20"/>
          <w:szCs w:val="20"/>
        </w:rPr>
      </w:pPr>
      <w:bookmarkStart w:id="99" w:name="_heading=h.2bn6wsx" w:colFirst="0" w:colLast="0"/>
      <w:bookmarkEnd w:id="99"/>
    </w:p>
    <w:p w14:paraId="67D303CA"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 xml:space="preserve">C.2 La evidencia de equivalencia terapéutica. </w:t>
      </w:r>
    </w:p>
    <w:p w14:paraId="25455817" w14:textId="77777777" w:rsidR="009D55C9" w:rsidRDefault="009D55C9">
      <w:pPr>
        <w:pBdr>
          <w:top w:val="nil"/>
          <w:left w:val="nil"/>
          <w:bottom w:val="nil"/>
          <w:right w:val="nil"/>
          <w:between w:val="nil"/>
        </w:pBdr>
        <w:spacing w:line="240" w:lineRule="auto"/>
        <w:ind w:left="0" w:hanging="2"/>
        <w:jc w:val="both"/>
        <w:rPr>
          <w:color w:val="000080"/>
          <w:sz w:val="20"/>
          <w:szCs w:val="20"/>
        </w:rPr>
      </w:pPr>
    </w:p>
    <w:p w14:paraId="70513FEC" w14:textId="77777777" w:rsidR="009D55C9" w:rsidRDefault="005A57E0">
      <w:pPr>
        <w:ind w:left="0" w:hanging="2"/>
        <w:jc w:val="both"/>
        <w:rPr>
          <w:rFonts w:ascii="Arial" w:eastAsia="Arial" w:hAnsi="Arial" w:cs="Arial"/>
          <w:color w:val="000000"/>
          <w:sz w:val="20"/>
          <w:szCs w:val="20"/>
        </w:rPr>
      </w:pPr>
      <w:r>
        <w:rPr>
          <w:rFonts w:ascii="Arial" w:eastAsia="Arial" w:hAnsi="Arial" w:cs="Arial"/>
          <w:color w:val="000000"/>
          <w:sz w:val="20"/>
          <w:szCs w:val="20"/>
        </w:rPr>
        <w:t>No procede.</w:t>
      </w:r>
      <w:r w:rsidR="003520E1">
        <w:rPr>
          <w:rFonts w:ascii="Arial" w:eastAsia="Arial" w:hAnsi="Arial" w:cs="Arial"/>
          <w:color w:val="000000"/>
          <w:sz w:val="20"/>
          <w:szCs w:val="20"/>
        </w:rPr>
        <w:t xml:space="preserve"> No se dispone de ningún tratamiento curativo para la enfermedad, solo cuidados de soporte.</w:t>
      </w:r>
    </w:p>
    <w:p w14:paraId="780E2B34" w14:textId="77777777" w:rsidR="009D55C9" w:rsidRDefault="009D55C9">
      <w:pPr>
        <w:ind w:left="0" w:hanging="2"/>
        <w:jc w:val="both"/>
        <w:rPr>
          <w:rFonts w:ascii="Arial" w:eastAsia="Arial" w:hAnsi="Arial" w:cs="Arial"/>
          <w:color w:val="0000FF"/>
          <w:sz w:val="20"/>
          <w:szCs w:val="20"/>
        </w:rPr>
      </w:pPr>
      <w:bookmarkStart w:id="100" w:name="_heading=h.qsh70q" w:colFirst="0" w:colLast="0"/>
      <w:bookmarkEnd w:id="100"/>
    </w:p>
    <w:p w14:paraId="529C6E70" w14:textId="77777777" w:rsidR="009D55C9" w:rsidRDefault="005A57E0">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rFonts w:ascii="Arial" w:eastAsia="Arial" w:hAnsi="Arial" w:cs="Arial"/>
          <w:color w:val="333300"/>
          <w:sz w:val="20"/>
          <w:szCs w:val="20"/>
        </w:rPr>
      </w:pPr>
      <w:r>
        <w:rPr>
          <w:rFonts w:ascii="Arial" w:eastAsia="Arial" w:hAnsi="Arial" w:cs="Arial"/>
          <w:color w:val="333300"/>
          <w:sz w:val="20"/>
          <w:szCs w:val="20"/>
        </w:rPr>
        <w:t xml:space="preserve">C.3 Alternativas terapéuticas equivalentes (ATE). </w:t>
      </w:r>
    </w:p>
    <w:p w14:paraId="5645A4F7" w14:textId="77777777" w:rsidR="009D55C9" w:rsidRDefault="009D55C9">
      <w:pPr>
        <w:ind w:left="0" w:hanging="2"/>
        <w:jc w:val="both"/>
        <w:rPr>
          <w:rFonts w:ascii="Arial" w:eastAsia="Arial" w:hAnsi="Arial" w:cs="Arial"/>
          <w:color w:val="0000FF"/>
          <w:sz w:val="20"/>
          <w:szCs w:val="20"/>
        </w:rPr>
      </w:pPr>
    </w:p>
    <w:p w14:paraId="48D66F3F" w14:textId="77777777" w:rsidR="009D55C9" w:rsidRDefault="005A57E0">
      <w:pPr>
        <w:ind w:left="0" w:hanging="2"/>
        <w:jc w:val="both"/>
        <w:rPr>
          <w:rFonts w:ascii="Arial" w:eastAsia="Arial" w:hAnsi="Arial" w:cs="Arial"/>
          <w:color w:val="000000"/>
          <w:sz w:val="20"/>
          <w:szCs w:val="20"/>
        </w:rPr>
      </w:pPr>
      <w:r>
        <w:rPr>
          <w:rFonts w:ascii="Arial" w:eastAsia="Arial" w:hAnsi="Arial" w:cs="Arial"/>
          <w:color w:val="000000"/>
          <w:sz w:val="20"/>
          <w:szCs w:val="20"/>
        </w:rPr>
        <w:t>No procede.</w:t>
      </w:r>
    </w:p>
    <w:p w14:paraId="6576A3B8" w14:textId="77777777" w:rsidR="003520E1" w:rsidRDefault="003520E1">
      <w:pPr>
        <w:ind w:left="0" w:hanging="2"/>
        <w:jc w:val="both"/>
        <w:rPr>
          <w:rFonts w:ascii="Arial" w:eastAsia="Arial" w:hAnsi="Arial" w:cs="Arial"/>
          <w:color w:val="000000"/>
          <w:sz w:val="20"/>
          <w:szCs w:val="20"/>
        </w:rPr>
      </w:pPr>
    </w:p>
    <w:p w14:paraId="1373AFE6" w14:textId="77777777" w:rsidR="009D55C9" w:rsidRDefault="009D55C9">
      <w:pPr>
        <w:ind w:left="0" w:hanging="2"/>
        <w:jc w:val="right"/>
        <w:rPr>
          <w:rFonts w:ascii="Arial" w:eastAsia="Arial" w:hAnsi="Arial" w:cs="Arial"/>
          <w:color w:val="FF0000"/>
          <w:sz w:val="16"/>
          <w:szCs w:val="16"/>
        </w:rPr>
      </w:pPr>
      <w:bookmarkStart w:id="101" w:name="_heading=h.3as4poj" w:colFirst="0" w:colLast="0"/>
      <w:bookmarkEnd w:id="101"/>
    </w:p>
    <w:p w14:paraId="582FCD2A" w14:textId="516230B2"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5.2.c Evaluación de las pruebas de cribado utilizadas </w:t>
      </w:r>
    </w:p>
    <w:p w14:paraId="3CDEB074" w14:textId="77777777" w:rsidR="009D55C9" w:rsidRDefault="009D55C9">
      <w:pPr>
        <w:ind w:left="0" w:hanging="2"/>
        <w:rPr>
          <w:rFonts w:ascii="Arial" w:eastAsia="Arial" w:hAnsi="Arial" w:cs="Arial"/>
          <w:color w:val="FF0000"/>
          <w:sz w:val="20"/>
          <w:szCs w:val="20"/>
        </w:rPr>
      </w:pPr>
    </w:p>
    <w:p w14:paraId="46243712" w14:textId="77777777" w:rsidR="00925D7B" w:rsidRDefault="005A57E0" w:rsidP="00925D7B">
      <w:pPr>
        <w:pBdr>
          <w:top w:val="nil"/>
          <w:left w:val="nil"/>
          <w:bottom w:val="nil"/>
          <w:right w:val="nil"/>
          <w:between w:val="nil"/>
        </w:pBdr>
        <w:spacing w:line="240" w:lineRule="auto"/>
        <w:ind w:left="0" w:hanging="2"/>
        <w:jc w:val="both"/>
        <w:rPr>
          <w:rFonts w:ascii="Arial" w:eastAsia="Arial" w:hAnsi="Arial" w:cs="Arial"/>
          <w:sz w:val="20"/>
          <w:szCs w:val="20"/>
        </w:rPr>
      </w:pPr>
      <w:r>
        <w:rPr>
          <w:rFonts w:ascii="Arial" w:eastAsia="Arial" w:hAnsi="Arial" w:cs="Arial"/>
          <w:sz w:val="20"/>
          <w:szCs w:val="20"/>
        </w:rPr>
        <w:t>Actualmente no existe programa de cribado para la LDM</w:t>
      </w:r>
      <w:r w:rsidR="00925D7B">
        <w:rPr>
          <w:rFonts w:ascii="Arial" w:eastAsia="Arial" w:hAnsi="Arial" w:cs="Arial"/>
          <w:sz w:val="20"/>
          <w:szCs w:val="20"/>
        </w:rPr>
        <w:t>, por lo que, la mayoría de los pacientes serían diagnosticados una vez desarrollasen síntomas.</w:t>
      </w:r>
    </w:p>
    <w:p w14:paraId="76617AB6" w14:textId="77777777" w:rsidR="009D55C9" w:rsidRDefault="009D55C9">
      <w:pPr>
        <w:ind w:left="0" w:hanging="2"/>
        <w:rPr>
          <w:rFonts w:ascii="Arial" w:eastAsia="Arial" w:hAnsi="Arial" w:cs="Arial"/>
          <w:sz w:val="20"/>
          <w:szCs w:val="20"/>
          <w:u w:val="single"/>
        </w:rPr>
      </w:pPr>
    </w:p>
    <w:p w14:paraId="14AD9BC5" w14:textId="77777777" w:rsidR="003520E1" w:rsidRDefault="003520E1">
      <w:pPr>
        <w:ind w:left="0" w:hanging="2"/>
        <w:jc w:val="both"/>
        <w:rPr>
          <w:rFonts w:ascii="Arial" w:eastAsia="Arial" w:hAnsi="Arial" w:cs="Arial"/>
          <w:sz w:val="20"/>
          <w:szCs w:val="20"/>
        </w:rPr>
      </w:pPr>
      <w:bookmarkStart w:id="102" w:name="_heading=h.1pxezwc" w:colFirst="0" w:colLast="0"/>
      <w:bookmarkEnd w:id="102"/>
    </w:p>
    <w:p w14:paraId="633D8D96"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5.3 Revisiones sistemáticas publicadas, comparaciones indirectas y sus conclusiones. </w:t>
      </w:r>
    </w:p>
    <w:p w14:paraId="4B6D9619" w14:textId="77777777" w:rsidR="009D55C9" w:rsidRDefault="009D55C9">
      <w:pPr>
        <w:ind w:left="0" w:hanging="2"/>
        <w:jc w:val="both"/>
        <w:rPr>
          <w:rFonts w:ascii="Arial" w:eastAsia="Arial" w:hAnsi="Arial" w:cs="Arial"/>
          <w:sz w:val="20"/>
          <w:szCs w:val="20"/>
        </w:rPr>
      </w:pPr>
    </w:p>
    <w:p w14:paraId="4624186B"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No procede.</w:t>
      </w:r>
    </w:p>
    <w:p w14:paraId="71C9AAD1" w14:textId="77777777" w:rsidR="009D55C9" w:rsidRDefault="00001385">
      <w:pPr>
        <w:ind w:left="0" w:hanging="2"/>
        <w:rPr>
          <w:rFonts w:ascii="Arial" w:eastAsia="Arial" w:hAnsi="Arial" w:cs="Arial"/>
          <w:color w:val="000080"/>
          <w:sz w:val="20"/>
          <w:szCs w:val="20"/>
        </w:rPr>
      </w:pPr>
      <w:bookmarkStart w:id="103" w:name="_heading=h.49x2ik5" w:colFirst="0" w:colLast="0"/>
      <w:bookmarkEnd w:id="103"/>
      <w:r>
        <w:rPr>
          <w:rFonts w:ascii="Arial" w:eastAsia="Arial" w:hAnsi="Arial" w:cs="Arial"/>
          <w:color w:val="000080"/>
          <w:sz w:val="20"/>
          <w:szCs w:val="20"/>
        </w:rPr>
        <w:br/>
      </w:r>
    </w:p>
    <w:p w14:paraId="60AB0DFB"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5.3.a Revisiones sistemáticas publicadas.</w:t>
      </w:r>
    </w:p>
    <w:p w14:paraId="1D445258" w14:textId="77777777" w:rsidR="009D55C9" w:rsidRDefault="005A57E0">
      <w:pPr>
        <w:ind w:left="0" w:hanging="2"/>
        <w:rPr>
          <w:rFonts w:ascii="Arial" w:eastAsia="Arial" w:hAnsi="Arial" w:cs="Arial"/>
          <w:sz w:val="20"/>
          <w:szCs w:val="20"/>
        </w:rPr>
      </w:pPr>
      <w:r>
        <w:rPr>
          <w:rFonts w:ascii="Arial" w:eastAsia="Arial" w:hAnsi="Arial" w:cs="Arial"/>
          <w:sz w:val="20"/>
          <w:szCs w:val="20"/>
        </w:rPr>
        <w:t xml:space="preserve">              </w:t>
      </w:r>
    </w:p>
    <w:p w14:paraId="6117AC9E" w14:textId="77777777" w:rsidR="009D55C9" w:rsidRDefault="005A57E0">
      <w:pPr>
        <w:ind w:left="0" w:hanging="2"/>
        <w:rPr>
          <w:rFonts w:ascii="Arial" w:eastAsia="Arial" w:hAnsi="Arial" w:cs="Arial"/>
          <w:sz w:val="20"/>
          <w:szCs w:val="20"/>
        </w:rPr>
      </w:pPr>
      <w:r>
        <w:rPr>
          <w:rFonts w:ascii="Arial" w:eastAsia="Arial" w:hAnsi="Arial" w:cs="Arial"/>
          <w:sz w:val="20"/>
          <w:szCs w:val="20"/>
        </w:rPr>
        <w:t>A fecha de 15 de febrero de 2021, no hay revisiones sistemáticas disponibles.</w:t>
      </w:r>
    </w:p>
    <w:p w14:paraId="64462182" w14:textId="77777777" w:rsidR="009D55C9" w:rsidRDefault="009D55C9">
      <w:pPr>
        <w:ind w:left="0" w:hanging="2"/>
        <w:jc w:val="right"/>
        <w:rPr>
          <w:rFonts w:ascii="Arial" w:eastAsia="Arial" w:hAnsi="Arial" w:cs="Arial"/>
          <w:sz w:val="20"/>
          <w:szCs w:val="20"/>
        </w:rPr>
      </w:pPr>
      <w:bookmarkStart w:id="104" w:name="_heading=h.2p2csry" w:colFirst="0" w:colLast="0"/>
      <w:bookmarkEnd w:id="104"/>
    </w:p>
    <w:p w14:paraId="71805895" w14:textId="77777777" w:rsidR="003520E1" w:rsidRDefault="003520E1">
      <w:pPr>
        <w:ind w:left="0" w:hanging="2"/>
        <w:jc w:val="right"/>
        <w:rPr>
          <w:rFonts w:ascii="Arial" w:eastAsia="Arial" w:hAnsi="Arial" w:cs="Arial"/>
          <w:sz w:val="20"/>
          <w:szCs w:val="20"/>
        </w:rPr>
      </w:pPr>
    </w:p>
    <w:p w14:paraId="63D33C98"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5.3.b Comparaciones indirectas (CCII).</w:t>
      </w:r>
    </w:p>
    <w:p w14:paraId="39C885C9" w14:textId="77777777" w:rsidR="009D55C9" w:rsidRDefault="009D55C9">
      <w:pPr>
        <w:ind w:left="0" w:hanging="2"/>
        <w:rPr>
          <w:rFonts w:ascii="Arial" w:eastAsia="Arial" w:hAnsi="Arial" w:cs="Arial"/>
          <w:sz w:val="20"/>
          <w:szCs w:val="20"/>
          <w:highlight w:val="yellow"/>
        </w:rPr>
      </w:pPr>
      <w:bookmarkStart w:id="105" w:name="_heading=h.147n2zr" w:colFirst="0" w:colLast="0"/>
      <w:bookmarkEnd w:id="105"/>
    </w:p>
    <w:p w14:paraId="5CC13F71"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5.3.b.1 Comparaciones Indirectas publicadas.</w:t>
      </w:r>
    </w:p>
    <w:p w14:paraId="7CABC091" w14:textId="77777777" w:rsidR="009D55C9" w:rsidRDefault="009D55C9">
      <w:pPr>
        <w:ind w:left="0" w:hanging="2"/>
        <w:rPr>
          <w:rFonts w:ascii="Arial" w:eastAsia="Arial" w:hAnsi="Arial" w:cs="Arial"/>
          <w:color w:val="FF0000"/>
          <w:sz w:val="20"/>
          <w:szCs w:val="20"/>
        </w:rPr>
      </w:pPr>
    </w:p>
    <w:p w14:paraId="640777CE" w14:textId="77777777" w:rsidR="009D55C9" w:rsidRPr="003520E1" w:rsidRDefault="005A57E0">
      <w:pPr>
        <w:ind w:left="0" w:hanging="2"/>
        <w:rPr>
          <w:rFonts w:ascii="Arial" w:eastAsia="Arial" w:hAnsi="Arial" w:cs="Arial"/>
          <w:color w:val="000000"/>
          <w:sz w:val="20"/>
          <w:szCs w:val="20"/>
        </w:rPr>
      </w:pPr>
      <w:r w:rsidRPr="003520E1">
        <w:rPr>
          <w:rFonts w:ascii="Arial" w:eastAsia="Arial" w:hAnsi="Arial" w:cs="Arial"/>
          <w:color w:val="000000"/>
          <w:sz w:val="20"/>
          <w:szCs w:val="20"/>
        </w:rPr>
        <w:t>No existen comparaciones indirectas publicadas.</w:t>
      </w:r>
    </w:p>
    <w:p w14:paraId="0D8C00DE" w14:textId="77777777" w:rsidR="009D55C9" w:rsidRDefault="009D55C9">
      <w:pPr>
        <w:ind w:left="0" w:hanging="2"/>
        <w:rPr>
          <w:rFonts w:ascii="Arial" w:eastAsia="Arial" w:hAnsi="Arial" w:cs="Arial"/>
          <w:color w:val="000080"/>
          <w:sz w:val="20"/>
          <w:szCs w:val="20"/>
        </w:rPr>
      </w:pPr>
    </w:p>
    <w:p w14:paraId="4F09EEC2" w14:textId="77777777" w:rsidR="009D55C9" w:rsidRDefault="009D55C9">
      <w:pPr>
        <w:ind w:left="0" w:hanging="2"/>
        <w:rPr>
          <w:rFonts w:ascii="Arial" w:eastAsia="Arial" w:hAnsi="Arial" w:cs="Arial"/>
          <w:color w:val="FF0000"/>
          <w:sz w:val="20"/>
          <w:szCs w:val="20"/>
        </w:rPr>
      </w:pPr>
      <w:bookmarkStart w:id="106" w:name="_heading=h.3o7alnk" w:colFirst="0" w:colLast="0"/>
      <w:bookmarkEnd w:id="106"/>
    </w:p>
    <w:p w14:paraId="4B196576"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5.3.b.2 Comparaciones indirectas de elaboración propia</w:t>
      </w:r>
    </w:p>
    <w:p w14:paraId="285649AB" w14:textId="77777777" w:rsidR="009D55C9" w:rsidRDefault="005A57E0">
      <w:pPr>
        <w:ind w:left="0" w:hanging="2"/>
        <w:rPr>
          <w:rFonts w:ascii="Arial" w:eastAsia="Arial" w:hAnsi="Arial" w:cs="Arial"/>
          <w:color w:val="000080"/>
        </w:rPr>
      </w:pPr>
      <w:r>
        <w:rPr>
          <w:rFonts w:ascii="Arial" w:eastAsia="Arial" w:hAnsi="Arial" w:cs="Arial"/>
          <w:color w:val="FF0000"/>
          <w:sz w:val="20"/>
          <w:szCs w:val="20"/>
        </w:rPr>
        <w:t xml:space="preserve">   </w:t>
      </w:r>
    </w:p>
    <w:p w14:paraId="1154EAE2" w14:textId="77777777" w:rsidR="009D55C9" w:rsidRDefault="005A57E0">
      <w:pPr>
        <w:ind w:left="0" w:hanging="2"/>
        <w:rPr>
          <w:rFonts w:ascii="Arial" w:eastAsia="Arial" w:hAnsi="Arial" w:cs="Arial"/>
          <w:sz w:val="20"/>
          <w:szCs w:val="20"/>
        </w:rPr>
      </w:pPr>
      <w:r>
        <w:rPr>
          <w:rFonts w:ascii="Arial" w:eastAsia="Arial" w:hAnsi="Arial" w:cs="Arial"/>
          <w:sz w:val="20"/>
          <w:szCs w:val="20"/>
        </w:rPr>
        <w:t>No procede. No existen alternativas de tratamiento para la LDM.</w:t>
      </w:r>
    </w:p>
    <w:p w14:paraId="01C397B4" w14:textId="77777777" w:rsidR="009D55C9" w:rsidRDefault="009D55C9">
      <w:pPr>
        <w:ind w:left="0" w:hanging="2"/>
        <w:rPr>
          <w:rFonts w:ascii="Arial" w:eastAsia="Arial" w:hAnsi="Arial" w:cs="Arial"/>
          <w:sz w:val="20"/>
          <w:szCs w:val="20"/>
        </w:rPr>
      </w:pPr>
      <w:bookmarkStart w:id="107" w:name="_heading=h.23ckvvd" w:colFirst="0" w:colLast="0"/>
      <w:bookmarkEnd w:id="107"/>
    </w:p>
    <w:p w14:paraId="479F7F53" w14:textId="77777777" w:rsidR="003520E1" w:rsidRDefault="003520E1">
      <w:pPr>
        <w:ind w:left="0" w:hanging="2"/>
        <w:rPr>
          <w:rFonts w:ascii="Arial" w:eastAsia="Arial" w:hAnsi="Arial" w:cs="Arial"/>
          <w:sz w:val="20"/>
          <w:szCs w:val="20"/>
        </w:rPr>
      </w:pPr>
    </w:p>
    <w:p w14:paraId="4CE47011"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5.4 Evaluación de fuentes secundarias. </w:t>
      </w:r>
    </w:p>
    <w:p w14:paraId="72AC0FA5" w14:textId="77777777" w:rsidR="009D55C9" w:rsidRDefault="009D55C9">
      <w:pPr>
        <w:ind w:left="0" w:hanging="2"/>
        <w:jc w:val="both"/>
        <w:rPr>
          <w:rFonts w:ascii="Arial" w:eastAsia="Arial" w:hAnsi="Arial" w:cs="Arial"/>
          <w:color w:val="0000FF"/>
          <w:sz w:val="20"/>
          <w:szCs w:val="20"/>
        </w:rPr>
      </w:pPr>
      <w:bookmarkStart w:id="108" w:name="_heading=h.ihv636" w:colFirst="0" w:colLast="0"/>
      <w:bookmarkEnd w:id="108"/>
    </w:p>
    <w:p w14:paraId="4DE1141E" w14:textId="77777777" w:rsidR="00A407F4" w:rsidRPr="00A407F4" w:rsidRDefault="00A407F4">
      <w:pPr>
        <w:ind w:left="0" w:hanging="2"/>
        <w:jc w:val="both"/>
        <w:rPr>
          <w:rFonts w:ascii="Arial" w:eastAsia="Arial" w:hAnsi="Arial" w:cs="Arial"/>
          <w:sz w:val="20"/>
          <w:szCs w:val="20"/>
        </w:rPr>
      </w:pPr>
      <w:r w:rsidRPr="00A407F4">
        <w:rPr>
          <w:rFonts w:ascii="Arial" w:eastAsia="Arial" w:hAnsi="Arial" w:cs="Arial"/>
          <w:sz w:val="20"/>
          <w:szCs w:val="20"/>
        </w:rPr>
        <w:t>No hay publicadas fuentes secundarias que aporten más datos sobre este tratamiento.</w:t>
      </w:r>
    </w:p>
    <w:p w14:paraId="4ECDA162" w14:textId="77777777" w:rsidR="00A407F4" w:rsidRDefault="00A407F4">
      <w:pPr>
        <w:ind w:left="0" w:hanging="2"/>
        <w:jc w:val="both"/>
        <w:rPr>
          <w:rFonts w:ascii="Arial" w:eastAsia="Arial" w:hAnsi="Arial" w:cs="Arial"/>
          <w:color w:val="0000FF"/>
          <w:sz w:val="20"/>
          <w:szCs w:val="20"/>
        </w:rPr>
      </w:pPr>
    </w:p>
    <w:p w14:paraId="41B50850" w14:textId="77777777" w:rsidR="003520E1" w:rsidRDefault="003520E1">
      <w:pPr>
        <w:ind w:left="0" w:hanging="2"/>
        <w:jc w:val="both"/>
        <w:rPr>
          <w:rFonts w:ascii="Arial" w:eastAsia="Arial" w:hAnsi="Arial" w:cs="Arial"/>
          <w:color w:val="0000FF"/>
          <w:sz w:val="20"/>
          <w:szCs w:val="20"/>
        </w:rPr>
      </w:pPr>
    </w:p>
    <w:p w14:paraId="590CCB7D"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5.4.1 Guías de Práctica clínica. </w:t>
      </w:r>
    </w:p>
    <w:p w14:paraId="5AE75FDD" w14:textId="77777777" w:rsidR="009D55C9" w:rsidRDefault="009D55C9">
      <w:pPr>
        <w:ind w:left="0" w:hanging="2"/>
        <w:jc w:val="both"/>
        <w:rPr>
          <w:rFonts w:ascii="Arial" w:eastAsia="Arial" w:hAnsi="Arial" w:cs="Arial"/>
          <w:sz w:val="20"/>
          <w:szCs w:val="20"/>
        </w:rPr>
      </w:pPr>
      <w:bookmarkStart w:id="109" w:name="_heading=h.32hioqz" w:colFirst="0" w:colLast="0"/>
      <w:bookmarkEnd w:id="109"/>
    </w:p>
    <w:p w14:paraId="795578E0" w14:textId="77777777" w:rsidR="009D55C9" w:rsidRDefault="005A57E0">
      <w:pPr>
        <w:ind w:left="0" w:hanging="2"/>
        <w:jc w:val="both"/>
        <w:rPr>
          <w:rFonts w:ascii="Arial" w:eastAsia="Arial" w:hAnsi="Arial" w:cs="Arial"/>
          <w:sz w:val="20"/>
          <w:szCs w:val="20"/>
        </w:rPr>
      </w:pPr>
      <w:bookmarkStart w:id="110" w:name="_heading=h.55194fw3f9l2" w:colFirst="0" w:colLast="0"/>
      <w:bookmarkEnd w:id="110"/>
      <w:r>
        <w:rPr>
          <w:rFonts w:ascii="Arial" w:eastAsia="Arial" w:hAnsi="Arial" w:cs="Arial"/>
          <w:sz w:val="20"/>
          <w:szCs w:val="20"/>
        </w:rPr>
        <w:t>No disponibles hasta la fecha,</w:t>
      </w:r>
    </w:p>
    <w:p w14:paraId="5F0B102D" w14:textId="77777777" w:rsidR="009D55C9" w:rsidRDefault="009D55C9">
      <w:pPr>
        <w:ind w:left="0" w:hanging="2"/>
        <w:jc w:val="both"/>
        <w:rPr>
          <w:rFonts w:ascii="Arial" w:eastAsia="Arial" w:hAnsi="Arial" w:cs="Arial"/>
          <w:sz w:val="20"/>
          <w:szCs w:val="20"/>
        </w:rPr>
      </w:pPr>
      <w:bookmarkStart w:id="111" w:name="_heading=h.o7p689pfuo6q" w:colFirst="0" w:colLast="0"/>
      <w:bookmarkEnd w:id="111"/>
    </w:p>
    <w:p w14:paraId="46787047" w14:textId="77777777" w:rsidR="003520E1" w:rsidRDefault="003520E1">
      <w:pPr>
        <w:ind w:left="0" w:hanging="2"/>
        <w:jc w:val="both"/>
        <w:rPr>
          <w:rFonts w:ascii="Arial" w:eastAsia="Arial" w:hAnsi="Arial" w:cs="Arial"/>
          <w:sz w:val="20"/>
          <w:szCs w:val="20"/>
        </w:rPr>
      </w:pPr>
    </w:p>
    <w:p w14:paraId="15783D25"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5.4.2 Evaluaciones previas por organismos independientes.</w:t>
      </w:r>
    </w:p>
    <w:p w14:paraId="40CE76C1" w14:textId="77777777" w:rsidR="009D55C9" w:rsidRDefault="009D55C9">
      <w:pPr>
        <w:ind w:left="0" w:hanging="2"/>
        <w:jc w:val="both"/>
        <w:rPr>
          <w:rFonts w:ascii="Arial" w:eastAsia="Arial" w:hAnsi="Arial" w:cs="Arial"/>
          <w:sz w:val="20"/>
          <w:szCs w:val="20"/>
        </w:rPr>
      </w:pPr>
    </w:p>
    <w:p w14:paraId="4BAE9A70" w14:textId="77777777" w:rsidR="009D55C9" w:rsidRPr="003520E1" w:rsidRDefault="005A57E0">
      <w:pPr>
        <w:ind w:left="0" w:hanging="2"/>
        <w:jc w:val="both"/>
        <w:rPr>
          <w:rFonts w:ascii="Arial" w:eastAsia="Arial" w:hAnsi="Arial" w:cs="Arial"/>
          <w:sz w:val="20"/>
          <w:szCs w:val="20"/>
        </w:rPr>
      </w:pPr>
      <w:r w:rsidRPr="003520E1">
        <w:rPr>
          <w:rFonts w:ascii="Arial" w:eastAsia="Arial" w:hAnsi="Arial" w:cs="Arial"/>
          <w:b/>
          <w:sz w:val="20"/>
          <w:szCs w:val="20"/>
        </w:rPr>
        <w:t>NICE</w:t>
      </w:r>
    </w:p>
    <w:p w14:paraId="046789BE" w14:textId="77777777" w:rsidR="009D55C9" w:rsidRDefault="005A57E0">
      <w:pPr>
        <w:ind w:left="0" w:hanging="2"/>
        <w:jc w:val="both"/>
        <w:rPr>
          <w:rFonts w:ascii="Arial" w:eastAsia="Arial" w:hAnsi="Arial" w:cs="Arial"/>
          <w:color w:val="000000"/>
          <w:sz w:val="20"/>
          <w:szCs w:val="20"/>
        </w:rPr>
      </w:pPr>
      <w:r>
        <w:rPr>
          <w:rFonts w:ascii="Arial" w:eastAsia="Arial" w:hAnsi="Arial" w:cs="Arial"/>
          <w:sz w:val="20"/>
          <w:szCs w:val="20"/>
        </w:rPr>
        <w:t xml:space="preserve">El </w:t>
      </w:r>
      <w:r>
        <w:rPr>
          <w:rFonts w:ascii="Arial" w:eastAsia="Arial" w:hAnsi="Arial" w:cs="Arial"/>
          <w:i/>
          <w:sz w:val="20"/>
          <w:szCs w:val="20"/>
        </w:rPr>
        <w:t>National Institute of Health and Care Excellence</w:t>
      </w:r>
      <w:r>
        <w:rPr>
          <w:rFonts w:ascii="Arial" w:eastAsia="Arial" w:hAnsi="Arial" w:cs="Arial"/>
          <w:sz w:val="20"/>
          <w:szCs w:val="20"/>
        </w:rPr>
        <w:t xml:space="preserve"> (NICE) está en desarrollo de su informe que tiene prevista su publicación para agosto de 2021.</w:t>
      </w:r>
    </w:p>
    <w:p w14:paraId="131BE357"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ab/>
      </w:r>
    </w:p>
    <w:p w14:paraId="2FED459E" w14:textId="77777777" w:rsidR="009D55C9" w:rsidRDefault="009D55C9">
      <w:pPr>
        <w:ind w:left="0" w:hanging="2"/>
        <w:jc w:val="both"/>
        <w:rPr>
          <w:rFonts w:ascii="Arial" w:eastAsia="Arial" w:hAnsi="Arial" w:cs="Arial"/>
          <w:sz w:val="20"/>
          <w:szCs w:val="20"/>
        </w:rPr>
      </w:pPr>
      <w:bookmarkStart w:id="112" w:name="_heading=h.41mghml" w:colFirst="0" w:colLast="0"/>
      <w:bookmarkEnd w:id="112"/>
    </w:p>
    <w:p w14:paraId="3C947D0A"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 xml:space="preserve">5.4.3 Opiniones de expertos. </w:t>
      </w:r>
    </w:p>
    <w:p w14:paraId="278DBCC7" w14:textId="77777777" w:rsidR="009D55C9" w:rsidRDefault="009D55C9">
      <w:pPr>
        <w:ind w:left="0" w:hanging="2"/>
        <w:rPr>
          <w:rFonts w:ascii="Arial" w:eastAsia="Arial" w:hAnsi="Arial" w:cs="Arial"/>
          <w:sz w:val="20"/>
          <w:szCs w:val="20"/>
        </w:rPr>
      </w:pPr>
      <w:bookmarkStart w:id="113" w:name="_heading=h.2grqrue" w:colFirst="0" w:colLast="0"/>
      <w:bookmarkEnd w:id="113"/>
    </w:p>
    <w:p w14:paraId="038FF776" w14:textId="77777777" w:rsidR="00F8494C" w:rsidRDefault="00F8494C">
      <w:pPr>
        <w:ind w:left="0" w:hanging="2"/>
        <w:rPr>
          <w:rFonts w:ascii="Arial" w:eastAsia="Arial" w:hAnsi="Arial" w:cs="Arial"/>
          <w:sz w:val="20"/>
          <w:szCs w:val="20"/>
        </w:rPr>
      </w:pPr>
      <w:r>
        <w:rPr>
          <w:rFonts w:ascii="Arial" w:eastAsia="Arial" w:hAnsi="Arial" w:cs="Arial"/>
          <w:sz w:val="20"/>
          <w:szCs w:val="20"/>
        </w:rPr>
        <w:t xml:space="preserve">No hay publicadas opiniones de expertos relevantes que aporten más datos </w:t>
      </w:r>
      <w:r w:rsidR="003520E1">
        <w:rPr>
          <w:rFonts w:ascii="Arial" w:eastAsia="Arial" w:hAnsi="Arial" w:cs="Arial"/>
          <w:sz w:val="20"/>
          <w:szCs w:val="20"/>
        </w:rPr>
        <w:t xml:space="preserve">relevantes. </w:t>
      </w:r>
    </w:p>
    <w:p w14:paraId="45152330" w14:textId="77777777" w:rsidR="00F8494C" w:rsidRDefault="00F8494C">
      <w:pPr>
        <w:ind w:left="0" w:hanging="2"/>
        <w:rPr>
          <w:rFonts w:ascii="Arial" w:eastAsia="Arial" w:hAnsi="Arial" w:cs="Arial"/>
          <w:sz w:val="20"/>
          <w:szCs w:val="20"/>
        </w:rPr>
      </w:pPr>
    </w:p>
    <w:p w14:paraId="56F3C08D" w14:textId="77777777" w:rsidR="003520E1" w:rsidRDefault="003520E1">
      <w:pPr>
        <w:ind w:left="0" w:hanging="2"/>
        <w:rPr>
          <w:rFonts w:ascii="Arial" w:eastAsia="Arial" w:hAnsi="Arial" w:cs="Arial"/>
          <w:sz w:val="20"/>
          <w:szCs w:val="20"/>
        </w:rPr>
      </w:pPr>
    </w:p>
    <w:p w14:paraId="602ED270"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5.4.4 Otras fuentes.</w:t>
      </w:r>
    </w:p>
    <w:p w14:paraId="7F4BFE22" w14:textId="77777777" w:rsidR="003520E1" w:rsidRDefault="005A57E0">
      <w:pPr>
        <w:ind w:left="0" w:hanging="2"/>
        <w:rPr>
          <w:rFonts w:ascii="Arial" w:eastAsia="Arial" w:hAnsi="Arial" w:cs="Arial"/>
          <w:b/>
          <w:sz w:val="20"/>
          <w:szCs w:val="20"/>
        </w:rPr>
      </w:pPr>
      <w:bookmarkStart w:id="114" w:name="_heading=h.vx1227" w:colFirst="0" w:colLast="0"/>
      <w:bookmarkEnd w:id="114"/>
      <w:r>
        <w:rPr>
          <w:rFonts w:ascii="Arial" w:eastAsia="Arial" w:hAnsi="Arial" w:cs="Arial"/>
          <w:b/>
          <w:sz w:val="20"/>
          <w:szCs w:val="20"/>
        </w:rPr>
        <w:t xml:space="preserve">                </w:t>
      </w:r>
    </w:p>
    <w:p w14:paraId="21614A53" w14:textId="77777777" w:rsidR="003520E1" w:rsidRPr="003520E1" w:rsidRDefault="003520E1">
      <w:pPr>
        <w:ind w:left="0" w:hanging="2"/>
        <w:rPr>
          <w:rFonts w:ascii="Arial" w:eastAsia="Arial" w:hAnsi="Arial" w:cs="Arial"/>
          <w:sz w:val="20"/>
          <w:szCs w:val="20"/>
        </w:rPr>
      </w:pPr>
      <w:r w:rsidRPr="003520E1">
        <w:rPr>
          <w:rFonts w:ascii="Arial" w:eastAsia="Arial" w:hAnsi="Arial" w:cs="Arial"/>
          <w:sz w:val="20"/>
          <w:szCs w:val="20"/>
        </w:rPr>
        <w:t>No procede.</w:t>
      </w:r>
    </w:p>
    <w:p w14:paraId="2C6D2241" w14:textId="77777777" w:rsidR="009D55C9" w:rsidRDefault="005A57E0">
      <w:pPr>
        <w:ind w:left="0" w:hanging="2"/>
        <w:rPr>
          <w:rFonts w:ascii="Arial" w:eastAsia="Arial" w:hAnsi="Arial" w:cs="Arial"/>
          <w:b/>
          <w:sz w:val="20"/>
          <w:szCs w:val="20"/>
        </w:rPr>
      </w:pPr>
      <w:r>
        <w:rPr>
          <w:rFonts w:ascii="Arial" w:eastAsia="Arial" w:hAnsi="Arial" w:cs="Arial"/>
          <w:b/>
          <w:sz w:val="20"/>
          <w:szCs w:val="20"/>
        </w:rPr>
        <w:t xml:space="preserve"> </w:t>
      </w:r>
    </w:p>
    <w:p w14:paraId="71C7D1C1" w14:textId="77777777" w:rsidR="003520E1" w:rsidRDefault="003520E1">
      <w:pPr>
        <w:ind w:left="0" w:hanging="2"/>
        <w:rPr>
          <w:rFonts w:ascii="Arial" w:eastAsia="Arial" w:hAnsi="Arial" w:cs="Arial"/>
          <w:sz w:val="20"/>
          <w:szCs w:val="20"/>
        </w:rPr>
      </w:pPr>
    </w:p>
    <w:tbl>
      <w:tblPr>
        <w:tblStyle w:val="afff7"/>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9D55C9" w14:paraId="7C46CD46" w14:textId="77777777">
        <w:trPr>
          <w:trHeight w:val="228"/>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19C6D785"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6. EVALUACIÓN DE LA SEGURIDAD. </w:t>
            </w:r>
          </w:p>
        </w:tc>
      </w:tr>
    </w:tbl>
    <w:p w14:paraId="433DECF7" w14:textId="77777777" w:rsidR="009D55C9" w:rsidRDefault="009D55C9">
      <w:pPr>
        <w:ind w:left="0" w:hanging="2"/>
        <w:rPr>
          <w:rFonts w:ascii="Arial" w:eastAsia="Arial" w:hAnsi="Arial" w:cs="Arial"/>
          <w:sz w:val="20"/>
          <w:szCs w:val="20"/>
        </w:rPr>
      </w:pPr>
      <w:bookmarkStart w:id="115" w:name="_heading=h.3fwokq0" w:colFirst="0" w:colLast="0"/>
      <w:bookmarkEnd w:id="115"/>
    </w:p>
    <w:p w14:paraId="39B8A75B"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6.1.a Descripción de la búsqueda bibliográfica.</w:t>
      </w:r>
    </w:p>
    <w:p w14:paraId="7BF92FE9" w14:textId="77777777" w:rsidR="009D55C9" w:rsidRDefault="009D55C9">
      <w:pPr>
        <w:shd w:val="clear" w:color="auto" w:fill="FFFFFF"/>
        <w:ind w:left="0" w:hanging="2"/>
        <w:jc w:val="both"/>
        <w:rPr>
          <w:rFonts w:ascii="Arial" w:eastAsia="Arial" w:hAnsi="Arial" w:cs="Arial"/>
          <w:sz w:val="20"/>
          <w:szCs w:val="20"/>
        </w:rPr>
      </w:pPr>
    </w:p>
    <w:p w14:paraId="21B00664"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Los datos de seguridad se detallan según el informe EPAR</w:t>
      </w:r>
      <w:r w:rsidR="003520E1" w:rsidRPr="003520E1">
        <w:rPr>
          <w:rFonts w:ascii="Arial" w:eastAsia="Arial" w:hAnsi="Arial" w:cs="Arial"/>
          <w:sz w:val="20"/>
          <w:szCs w:val="20"/>
          <w:vertAlign w:val="superscript"/>
        </w:rPr>
        <w:fldChar w:fldCharType="begin"/>
      </w:r>
      <w:r w:rsidR="003520E1" w:rsidRPr="003520E1">
        <w:rPr>
          <w:rFonts w:ascii="Arial" w:eastAsia="Arial" w:hAnsi="Arial" w:cs="Arial"/>
          <w:sz w:val="20"/>
          <w:szCs w:val="20"/>
          <w:vertAlign w:val="superscript"/>
        </w:rPr>
        <w:instrText xml:space="preserve"> NOTEREF _Ref66186475 \h </w:instrText>
      </w:r>
      <w:r w:rsidR="003520E1">
        <w:rPr>
          <w:rFonts w:ascii="Arial" w:eastAsia="Arial" w:hAnsi="Arial" w:cs="Arial"/>
          <w:sz w:val="20"/>
          <w:szCs w:val="20"/>
          <w:vertAlign w:val="superscript"/>
        </w:rPr>
        <w:instrText xml:space="preserve"> \* MERGEFORMAT </w:instrText>
      </w:r>
      <w:r w:rsidR="003520E1" w:rsidRPr="003520E1">
        <w:rPr>
          <w:rFonts w:ascii="Arial" w:eastAsia="Arial" w:hAnsi="Arial" w:cs="Arial"/>
          <w:sz w:val="20"/>
          <w:szCs w:val="20"/>
          <w:vertAlign w:val="superscript"/>
        </w:rPr>
      </w:r>
      <w:r w:rsidR="003520E1" w:rsidRPr="003520E1">
        <w:rPr>
          <w:rFonts w:ascii="Arial" w:eastAsia="Arial" w:hAnsi="Arial" w:cs="Arial"/>
          <w:sz w:val="20"/>
          <w:szCs w:val="20"/>
          <w:vertAlign w:val="superscript"/>
        </w:rPr>
        <w:fldChar w:fldCharType="separate"/>
      </w:r>
      <w:r w:rsidR="00942E63">
        <w:rPr>
          <w:rFonts w:ascii="Arial" w:eastAsia="Arial" w:hAnsi="Arial" w:cs="Arial"/>
          <w:sz w:val="20"/>
          <w:szCs w:val="20"/>
          <w:vertAlign w:val="superscript"/>
        </w:rPr>
        <w:t>1</w:t>
      </w:r>
      <w:r w:rsidR="003520E1" w:rsidRPr="003520E1">
        <w:rPr>
          <w:rFonts w:ascii="Arial" w:eastAsia="Arial" w:hAnsi="Arial" w:cs="Arial"/>
          <w:sz w:val="20"/>
          <w:szCs w:val="20"/>
          <w:vertAlign w:val="superscript"/>
        </w:rPr>
        <w:fldChar w:fldCharType="end"/>
      </w:r>
      <w:r>
        <w:rPr>
          <w:rFonts w:ascii="Arial" w:eastAsia="Arial" w:hAnsi="Arial" w:cs="Arial"/>
          <w:sz w:val="20"/>
          <w:szCs w:val="20"/>
        </w:rPr>
        <w:t>.</w:t>
      </w:r>
    </w:p>
    <w:p w14:paraId="78F1F0D5" w14:textId="77777777" w:rsidR="009D55C9" w:rsidRDefault="009D55C9">
      <w:pPr>
        <w:ind w:left="0" w:hanging="2"/>
        <w:rPr>
          <w:rFonts w:ascii="Arial" w:eastAsia="Arial" w:hAnsi="Arial" w:cs="Arial"/>
          <w:color w:val="FF0000"/>
          <w:sz w:val="20"/>
          <w:szCs w:val="20"/>
        </w:rPr>
      </w:pPr>
      <w:bookmarkStart w:id="116" w:name="_heading=h.1v1yuxt" w:colFirst="0" w:colLast="0"/>
      <w:bookmarkEnd w:id="116"/>
    </w:p>
    <w:p w14:paraId="74B118A8" w14:textId="77777777" w:rsidR="00B72728" w:rsidRDefault="00B72728">
      <w:pPr>
        <w:ind w:left="0" w:hanging="2"/>
        <w:rPr>
          <w:rFonts w:ascii="Arial" w:eastAsia="Arial" w:hAnsi="Arial" w:cs="Arial"/>
          <w:color w:val="FF0000"/>
          <w:sz w:val="20"/>
          <w:szCs w:val="20"/>
        </w:rPr>
      </w:pPr>
    </w:p>
    <w:p w14:paraId="490BD9D8"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6.1.b Descripción de los efectos adversos más significativos</w:t>
      </w:r>
      <w:r>
        <w:rPr>
          <w:rFonts w:ascii="Arial" w:eastAsia="Arial" w:hAnsi="Arial" w:cs="Arial"/>
          <w:b/>
          <w:i/>
          <w:color w:val="000000"/>
          <w:sz w:val="20"/>
          <w:szCs w:val="20"/>
          <w:vertAlign w:val="superscript"/>
        </w:rPr>
        <w:t>1</w:t>
      </w:r>
      <w:r>
        <w:rPr>
          <w:rFonts w:ascii="Arial" w:eastAsia="Arial" w:hAnsi="Arial" w:cs="Arial"/>
          <w:b/>
          <w:i/>
          <w:color w:val="000000"/>
          <w:sz w:val="20"/>
          <w:szCs w:val="20"/>
        </w:rPr>
        <w:t>.</w:t>
      </w:r>
    </w:p>
    <w:p w14:paraId="66B11433" w14:textId="77777777" w:rsidR="009D55C9" w:rsidRDefault="009D55C9">
      <w:pPr>
        <w:shd w:val="clear" w:color="auto" w:fill="FFFFFF"/>
        <w:ind w:left="0" w:hanging="2"/>
        <w:jc w:val="both"/>
        <w:rPr>
          <w:rFonts w:ascii="Arial" w:eastAsia="Arial" w:hAnsi="Arial" w:cs="Arial"/>
          <w:sz w:val="20"/>
          <w:szCs w:val="20"/>
        </w:rPr>
      </w:pPr>
    </w:p>
    <w:p w14:paraId="3260D579" w14:textId="77777777" w:rsidR="001F38BA" w:rsidRDefault="001F38BA" w:rsidP="001F38BA">
      <w:pPr>
        <w:shd w:val="clear" w:color="auto" w:fill="FFFFFF"/>
        <w:ind w:left="0" w:hanging="2"/>
        <w:jc w:val="both"/>
        <w:rPr>
          <w:rFonts w:ascii="Arial" w:eastAsia="Arial" w:hAnsi="Arial" w:cs="Arial"/>
          <w:sz w:val="20"/>
          <w:szCs w:val="20"/>
        </w:rPr>
      </w:pPr>
      <w:r w:rsidRPr="001F38BA">
        <w:rPr>
          <w:rFonts w:ascii="Arial" w:eastAsia="Arial" w:hAnsi="Arial" w:cs="Arial"/>
          <w:sz w:val="20"/>
          <w:szCs w:val="20"/>
        </w:rPr>
        <w:t>La seguridad de Libmeldy</w:t>
      </w:r>
      <w:r w:rsidRPr="001F38BA">
        <w:rPr>
          <w:rFonts w:ascii="Arial" w:eastAsia="Arial" w:hAnsi="Arial" w:cs="Arial"/>
          <w:sz w:val="20"/>
          <w:szCs w:val="20"/>
          <w:vertAlign w:val="superscript"/>
        </w:rPr>
        <w:t xml:space="preserve">® </w:t>
      </w:r>
      <w:r w:rsidRPr="001F38BA">
        <w:rPr>
          <w:rFonts w:ascii="Arial" w:eastAsia="Arial" w:hAnsi="Arial" w:cs="Arial"/>
          <w:sz w:val="20"/>
          <w:szCs w:val="20"/>
        </w:rPr>
        <w:t>se ha evaluado en 35 pacientes con LDM.</w:t>
      </w:r>
      <w:r>
        <w:rPr>
          <w:rFonts w:ascii="Arial" w:eastAsia="Arial" w:hAnsi="Arial" w:cs="Arial"/>
          <w:sz w:val="20"/>
          <w:szCs w:val="20"/>
        </w:rPr>
        <w:t xml:space="preserve"> </w:t>
      </w:r>
    </w:p>
    <w:p w14:paraId="47EA60D8" w14:textId="77777777" w:rsidR="001F38BA" w:rsidRDefault="001F38BA" w:rsidP="001F38BA">
      <w:pPr>
        <w:shd w:val="clear" w:color="auto" w:fill="FFFFFF"/>
        <w:ind w:left="0" w:hanging="2"/>
        <w:jc w:val="both"/>
        <w:rPr>
          <w:rFonts w:ascii="Arial" w:eastAsia="Arial" w:hAnsi="Arial" w:cs="Arial"/>
          <w:sz w:val="20"/>
          <w:szCs w:val="20"/>
        </w:rPr>
      </w:pPr>
    </w:p>
    <w:p w14:paraId="059208CD" w14:textId="77777777" w:rsidR="001F38BA" w:rsidRDefault="001F38BA" w:rsidP="001F38BA">
      <w:pPr>
        <w:shd w:val="clear" w:color="auto" w:fill="FFFFFF"/>
        <w:ind w:left="0" w:hanging="2"/>
        <w:jc w:val="both"/>
        <w:rPr>
          <w:rFonts w:ascii="Arial" w:eastAsia="Arial" w:hAnsi="Arial" w:cs="Arial"/>
          <w:sz w:val="20"/>
          <w:szCs w:val="20"/>
        </w:rPr>
      </w:pPr>
      <w:r w:rsidRPr="001F38BA">
        <w:rPr>
          <w:rFonts w:ascii="Arial" w:eastAsia="Arial" w:hAnsi="Arial" w:cs="Arial"/>
          <w:sz w:val="20"/>
          <w:szCs w:val="20"/>
        </w:rPr>
        <w:t>La duración media del seguimiento en el grupo de datos de seguridad de integración, que incluía</w:t>
      </w:r>
      <w:r>
        <w:rPr>
          <w:rFonts w:ascii="Arial" w:eastAsia="Arial" w:hAnsi="Arial" w:cs="Arial"/>
          <w:sz w:val="20"/>
          <w:szCs w:val="20"/>
        </w:rPr>
        <w:t xml:space="preserve"> </w:t>
      </w:r>
      <w:r w:rsidRPr="001F38BA">
        <w:rPr>
          <w:rFonts w:ascii="Arial" w:eastAsia="Arial" w:hAnsi="Arial" w:cs="Arial"/>
          <w:sz w:val="20"/>
          <w:szCs w:val="20"/>
        </w:rPr>
        <w:t xml:space="preserve">29 pacientes tratados con la </w:t>
      </w:r>
      <w:r w:rsidRPr="001F38BA">
        <w:rPr>
          <w:rFonts w:ascii="Arial" w:eastAsia="Arial" w:hAnsi="Arial" w:cs="Arial"/>
          <w:b/>
          <w:sz w:val="20"/>
          <w:szCs w:val="20"/>
        </w:rPr>
        <w:t>nueva formulación</w:t>
      </w:r>
      <w:r w:rsidRPr="001F38BA">
        <w:rPr>
          <w:rFonts w:ascii="Arial" w:eastAsia="Arial" w:hAnsi="Arial" w:cs="Arial"/>
          <w:sz w:val="20"/>
          <w:szCs w:val="20"/>
        </w:rPr>
        <w:t xml:space="preserve"> (en investigación), fue de 4,51 años (rango: entre 0,64</w:t>
      </w:r>
      <w:r>
        <w:rPr>
          <w:rFonts w:ascii="Arial" w:eastAsia="Arial" w:hAnsi="Arial" w:cs="Arial"/>
          <w:sz w:val="20"/>
          <w:szCs w:val="20"/>
        </w:rPr>
        <w:t xml:space="preserve"> </w:t>
      </w:r>
      <w:r w:rsidR="00B72728">
        <w:rPr>
          <w:rFonts w:ascii="Arial" w:eastAsia="Arial" w:hAnsi="Arial" w:cs="Arial"/>
          <w:sz w:val="20"/>
          <w:szCs w:val="20"/>
        </w:rPr>
        <w:t xml:space="preserve">y 8,85 años). </w:t>
      </w:r>
      <w:r w:rsidRPr="001F38BA">
        <w:rPr>
          <w:rFonts w:ascii="Arial" w:eastAsia="Arial" w:hAnsi="Arial" w:cs="Arial"/>
          <w:sz w:val="20"/>
          <w:szCs w:val="20"/>
        </w:rPr>
        <w:t xml:space="preserve">La duración media del seguimiento en los seis pacientes tratados con la </w:t>
      </w:r>
      <w:r w:rsidRPr="001F38BA">
        <w:rPr>
          <w:rFonts w:ascii="Arial" w:eastAsia="Arial" w:hAnsi="Arial" w:cs="Arial"/>
          <w:b/>
          <w:sz w:val="20"/>
          <w:szCs w:val="20"/>
        </w:rPr>
        <w:t>formulación criopreservada</w:t>
      </w:r>
      <w:r>
        <w:rPr>
          <w:rFonts w:ascii="Arial" w:eastAsia="Arial" w:hAnsi="Arial" w:cs="Arial"/>
          <w:sz w:val="20"/>
          <w:szCs w:val="20"/>
        </w:rPr>
        <w:t xml:space="preserve"> </w:t>
      </w:r>
      <w:r w:rsidRPr="001F38BA">
        <w:rPr>
          <w:rFonts w:ascii="Arial" w:eastAsia="Arial" w:hAnsi="Arial" w:cs="Arial"/>
          <w:sz w:val="20"/>
          <w:szCs w:val="20"/>
        </w:rPr>
        <w:t>(comercial) fue de 0,87 años (rango: entre 0,0 y 1,47 años). Todos ellos permanecieron en la fase de</w:t>
      </w:r>
      <w:r>
        <w:rPr>
          <w:rFonts w:ascii="Arial" w:eastAsia="Arial" w:hAnsi="Arial" w:cs="Arial"/>
          <w:sz w:val="20"/>
          <w:szCs w:val="20"/>
        </w:rPr>
        <w:t xml:space="preserve"> </w:t>
      </w:r>
      <w:r w:rsidRPr="001F38BA">
        <w:rPr>
          <w:rFonts w:ascii="Arial" w:eastAsia="Arial" w:hAnsi="Arial" w:cs="Arial"/>
          <w:sz w:val="20"/>
          <w:szCs w:val="20"/>
        </w:rPr>
        <w:t>seguimiento</w:t>
      </w:r>
      <w:r>
        <w:rPr>
          <w:rFonts w:ascii="Arial" w:eastAsia="Arial" w:hAnsi="Arial" w:cs="Arial"/>
          <w:sz w:val="20"/>
          <w:szCs w:val="20"/>
        </w:rPr>
        <w:t>.</w:t>
      </w:r>
    </w:p>
    <w:p w14:paraId="4E685B24" w14:textId="77777777" w:rsidR="00B72728" w:rsidRDefault="00B72728" w:rsidP="001F38BA">
      <w:pPr>
        <w:shd w:val="clear" w:color="auto" w:fill="FFFFFF"/>
        <w:ind w:left="0" w:hanging="2"/>
        <w:jc w:val="both"/>
        <w:rPr>
          <w:rFonts w:ascii="Arial" w:eastAsia="Arial" w:hAnsi="Arial" w:cs="Arial"/>
          <w:sz w:val="20"/>
          <w:szCs w:val="20"/>
        </w:rPr>
      </w:pPr>
    </w:p>
    <w:p w14:paraId="147D5689" w14:textId="77777777" w:rsidR="001F38BA" w:rsidRDefault="00B72728" w:rsidP="001F38BA">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Se produjeron </w:t>
      </w:r>
      <w:r w:rsidRPr="00F8494C">
        <w:rPr>
          <w:rFonts w:ascii="Arial" w:eastAsia="Arial" w:hAnsi="Arial" w:cs="Arial"/>
          <w:b/>
          <w:sz w:val="20"/>
          <w:szCs w:val="20"/>
        </w:rPr>
        <w:t>tres muertes durante el desarrollo clínico</w:t>
      </w:r>
      <w:r>
        <w:rPr>
          <w:rFonts w:ascii="Arial" w:eastAsia="Arial" w:hAnsi="Arial" w:cs="Arial"/>
          <w:sz w:val="20"/>
          <w:szCs w:val="20"/>
        </w:rPr>
        <w:t>. Dos pacientes murieron por la progresión de la enfermedad y se consideraron fracasos de tratamiento. Un paciente murió debido a un accidente isquémico cerebral un año después de la TG. Parece poco probable que exista una relación entre el evento y el tratamiento.</w:t>
      </w:r>
    </w:p>
    <w:p w14:paraId="276D932C" w14:textId="77777777" w:rsidR="00B72728" w:rsidRDefault="00B72728" w:rsidP="001F38BA">
      <w:pPr>
        <w:shd w:val="clear" w:color="auto" w:fill="FFFFFF"/>
        <w:ind w:left="0" w:hanging="2"/>
        <w:jc w:val="both"/>
        <w:rPr>
          <w:rFonts w:ascii="Arial" w:eastAsia="Arial" w:hAnsi="Arial" w:cs="Arial"/>
          <w:sz w:val="20"/>
          <w:szCs w:val="20"/>
        </w:rPr>
      </w:pPr>
    </w:p>
    <w:p w14:paraId="31B3CAD0" w14:textId="1BE9F319" w:rsidR="00211C8F" w:rsidRDefault="00211C8F" w:rsidP="00211C8F">
      <w:pPr>
        <w:shd w:val="clear" w:color="auto" w:fill="FFFFFF"/>
        <w:ind w:left="0" w:hanging="2"/>
        <w:jc w:val="both"/>
        <w:rPr>
          <w:rFonts w:ascii="Arial" w:eastAsia="Arial" w:hAnsi="Arial" w:cs="Arial"/>
          <w:sz w:val="20"/>
          <w:szCs w:val="20"/>
        </w:rPr>
      </w:pPr>
      <w:r w:rsidRPr="00211C8F">
        <w:rPr>
          <w:rFonts w:ascii="Arial" w:eastAsia="Arial" w:hAnsi="Arial" w:cs="Arial"/>
          <w:sz w:val="20"/>
          <w:szCs w:val="20"/>
        </w:rPr>
        <w:t>El tratamiento con Libmeldy</w:t>
      </w:r>
      <w:r w:rsidRPr="00FF4DAE">
        <w:rPr>
          <w:rFonts w:ascii="Arial" w:eastAsia="Arial" w:hAnsi="Arial" w:cs="Arial"/>
          <w:sz w:val="20"/>
          <w:szCs w:val="20"/>
          <w:vertAlign w:val="superscript"/>
        </w:rPr>
        <w:t>®</w:t>
      </w:r>
      <w:r w:rsidRPr="00211C8F">
        <w:rPr>
          <w:rFonts w:ascii="Arial" w:eastAsia="Arial" w:hAnsi="Arial" w:cs="Arial"/>
          <w:sz w:val="20"/>
          <w:szCs w:val="20"/>
        </w:rPr>
        <w:t xml:space="preserve"> va precedido de intervenciones médicas</w:t>
      </w:r>
      <w:r>
        <w:rPr>
          <w:rFonts w:ascii="Arial" w:eastAsia="Arial" w:hAnsi="Arial" w:cs="Arial"/>
          <w:sz w:val="20"/>
          <w:szCs w:val="20"/>
        </w:rPr>
        <w:t>, como</w:t>
      </w:r>
      <w:r w:rsidRPr="00211C8F">
        <w:rPr>
          <w:rFonts w:ascii="Arial" w:eastAsia="Arial" w:hAnsi="Arial" w:cs="Arial"/>
          <w:sz w:val="20"/>
          <w:szCs w:val="20"/>
        </w:rPr>
        <w:t xml:space="preserve"> la extracción de células</w:t>
      </w:r>
      <w:r>
        <w:rPr>
          <w:rFonts w:ascii="Arial" w:eastAsia="Arial" w:hAnsi="Arial" w:cs="Arial"/>
          <w:sz w:val="20"/>
          <w:szCs w:val="20"/>
        </w:rPr>
        <w:t xml:space="preserve"> </w:t>
      </w:r>
      <w:r w:rsidRPr="00211C8F">
        <w:rPr>
          <w:rFonts w:ascii="Arial" w:eastAsia="Arial" w:hAnsi="Arial" w:cs="Arial"/>
          <w:sz w:val="20"/>
          <w:szCs w:val="20"/>
        </w:rPr>
        <w:t>madre hematopoyéticas mediante la extracción de médula ósea o la movilización de sangre periférica</w:t>
      </w:r>
      <w:r>
        <w:rPr>
          <w:rFonts w:ascii="Arial" w:eastAsia="Arial" w:hAnsi="Arial" w:cs="Arial"/>
          <w:sz w:val="20"/>
          <w:szCs w:val="20"/>
        </w:rPr>
        <w:t xml:space="preserve"> </w:t>
      </w:r>
      <w:r w:rsidRPr="00211C8F">
        <w:rPr>
          <w:rFonts w:ascii="Arial" w:eastAsia="Arial" w:hAnsi="Arial" w:cs="Arial"/>
          <w:sz w:val="20"/>
          <w:szCs w:val="20"/>
        </w:rPr>
        <w:t>con FEC-G con o sin plerixafor, seguida de aféresis, y el acondicionamiento mieloablativo (utilizando</w:t>
      </w:r>
      <w:r>
        <w:rPr>
          <w:rFonts w:ascii="Arial" w:eastAsia="Arial" w:hAnsi="Arial" w:cs="Arial"/>
          <w:sz w:val="20"/>
          <w:szCs w:val="20"/>
        </w:rPr>
        <w:t xml:space="preserve"> </w:t>
      </w:r>
      <w:r w:rsidR="005217D4">
        <w:rPr>
          <w:rFonts w:ascii="Arial" w:eastAsia="Arial" w:hAnsi="Arial" w:cs="Arial"/>
          <w:sz w:val="20"/>
          <w:szCs w:val="20"/>
        </w:rPr>
        <w:t>preferentemente el busulfa</w:t>
      </w:r>
      <w:r w:rsidRPr="00211C8F">
        <w:rPr>
          <w:rFonts w:ascii="Arial" w:eastAsia="Arial" w:hAnsi="Arial" w:cs="Arial"/>
          <w:sz w:val="20"/>
          <w:szCs w:val="20"/>
        </w:rPr>
        <w:t>n), que conllevan sus propios riesgos. Al evaluar la seguridad de un</w:t>
      </w:r>
      <w:r>
        <w:rPr>
          <w:rFonts w:ascii="Arial" w:eastAsia="Arial" w:hAnsi="Arial" w:cs="Arial"/>
          <w:sz w:val="20"/>
          <w:szCs w:val="20"/>
        </w:rPr>
        <w:t xml:space="preserve"> </w:t>
      </w:r>
      <w:r w:rsidRPr="00211C8F">
        <w:rPr>
          <w:rFonts w:ascii="Arial" w:eastAsia="Arial" w:hAnsi="Arial" w:cs="Arial"/>
          <w:sz w:val="20"/>
          <w:szCs w:val="20"/>
        </w:rPr>
        <w:t>tratamiento con Libmeldy</w:t>
      </w:r>
      <w:r w:rsidRPr="00211C8F">
        <w:rPr>
          <w:rFonts w:ascii="Arial" w:eastAsia="Arial" w:hAnsi="Arial" w:cs="Arial"/>
          <w:sz w:val="20"/>
          <w:szCs w:val="20"/>
          <w:vertAlign w:val="superscript"/>
        </w:rPr>
        <w:t>®</w:t>
      </w:r>
      <w:r w:rsidRPr="00211C8F">
        <w:rPr>
          <w:rFonts w:ascii="Arial" w:eastAsia="Arial" w:hAnsi="Arial" w:cs="Arial"/>
          <w:sz w:val="20"/>
          <w:szCs w:val="20"/>
        </w:rPr>
        <w:t>, se debe considerar el perfil de seguridad y la información sobre el producto</w:t>
      </w:r>
      <w:r>
        <w:rPr>
          <w:rFonts w:ascii="Arial" w:eastAsia="Arial" w:hAnsi="Arial" w:cs="Arial"/>
          <w:sz w:val="20"/>
          <w:szCs w:val="20"/>
        </w:rPr>
        <w:t xml:space="preserve"> </w:t>
      </w:r>
      <w:r w:rsidRPr="00211C8F">
        <w:rPr>
          <w:rFonts w:ascii="Arial" w:eastAsia="Arial" w:hAnsi="Arial" w:cs="Arial"/>
          <w:sz w:val="20"/>
          <w:szCs w:val="20"/>
        </w:rPr>
        <w:t>de los medicamentos utilizados para la movilización de la sangre periférica y el acondicionamiento</w:t>
      </w:r>
      <w:r>
        <w:rPr>
          <w:rFonts w:ascii="Arial" w:eastAsia="Arial" w:hAnsi="Arial" w:cs="Arial"/>
          <w:sz w:val="20"/>
          <w:szCs w:val="20"/>
        </w:rPr>
        <w:t xml:space="preserve"> </w:t>
      </w:r>
      <w:r w:rsidRPr="00211C8F">
        <w:rPr>
          <w:rFonts w:ascii="Arial" w:eastAsia="Arial" w:hAnsi="Arial" w:cs="Arial"/>
          <w:sz w:val="20"/>
          <w:szCs w:val="20"/>
        </w:rPr>
        <w:t xml:space="preserve">mieloablativo, además de los riesgos vinculados a la </w:t>
      </w:r>
      <w:r w:rsidR="00BD2296">
        <w:rPr>
          <w:rFonts w:ascii="Arial" w:eastAsia="Arial" w:hAnsi="Arial" w:cs="Arial"/>
          <w:sz w:val="20"/>
          <w:szCs w:val="20"/>
        </w:rPr>
        <w:t>TG.</w:t>
      </w:r>
    </w:p>
    <w:p w14:paraId="59786082" w14:textId="77777777" w:rsidR="00211C8F" w:rsidRDefault="00211C8F">
      <w:pPr>
        <w:shd w:val="clear" w:color="auto" w:fill="FFFFFF"/>
        <w:ind w:left="0" w:hanging="2"/>
        <w:jc w:val="both"/>
        <w:rPr>
          <w:rFonts w:ascii="Arial" w:eastAsia="Arial" w:hAnsi="Arial" w:cs="Arial"/>
          <w:sz w:val="20"/>
          <w:szCs w:val="20"/>
        </w:rPr>
      </w:pPr>
    </w:p>
    <w:p w14:paraId="7A1B37FC"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Los eventos adversos (EA) reportados fueron muy frecuentes. Se clasificaron en 3 categorías: </w:t>
      </w:r>
    </w:p>
    <w:p w14:paraId="013FB9CF" w14:textId="77777777" w:rsidR="009D55C9" w:rsidRDefault="005A57E0">
      <w:pPr>
        <w:numPr>
          <w:ilvl w:val="0"/>
          <w:numId w:val="11"/>
        </w:numPr>
        <w:shd w:val="clear" w:color="auto" w:fill="FFFFFF"/>
        <w:ind w:left="0" w:hanging="2"/>
        <w:jc w:val="both"/>
        <w:rPr>
          <w:rFonts w:ascii="Arial" w:eastAsia="Arial" w:hAnsi="Arial" w:cs="Arial"/>
          <w:sz w:val="20"/>
          <w:szCs w:val="20"/>
        </w:rPr>
      </w:pPr>
      <w:r>
        <w:rPr>
          <w:rFonts w:ascii="Arial" w:eastAsia="Arial" w:hAnsi="Arial" w:cs="Arial"/>
          <w:sz w:val="20"/>
          <w:szCs w:val="20"/>
        </w:rPr>
        <w:t>EA relacionados con Libmeldy</w:t>
      </w:r>
      <w:r w:rsidR="00BD2296" w:rsidRPr="00BD2296">
        <w:rPr>
          <w:rFonts w:ascii="Arial" w:eastAsia="Arial" w:hAnsi="Arial" w:cs="Arial"/>
          <w:sz w:val="20"/>
          <w:szCs w:val="20"/>
          <w:vertAlign w:val="superscript"/>
        </w:rPr>
        <w:t>®</w:t>
      </w:r>
      <w:r>
        <w:rPr>
          <w:rFonts w:ascii="Arial" w:eastAsia="Arial" w:hAnsi="Arial" w:cs="Arial"/>
          <w:sz w:val="20"/>
          <w:szCs w:val="20"/>
        </w:rPr>
        <w:t>.</w:t>
      </w:r>
    </w:p>
    <w:p w14:paraId="04C7E609" w14:textId="77777777" w:rsidR="009D55C9" w:rsidRDefault="005A57E0">
      <w:pPr>
        <w:numPr>
          <w:ilvl w:val="0"/>
          <w:numId w:val="11"/>
        </w:numPr>
        <w:shd w:val="clear" w:color="auto" w:fill="FFFFFF"/>
        <w:ind w:left="0" w:hanging="2"/>
        <w:jc w:val="both"/>
        <w:rPr>
          <w:rFonts w:ascii="Arial" w:eastAsia="Arial" w:hAnsi="Arial" w:cs="Arial"/>
          <w:sz w:val="20"/>
          <w:szCs w:val="20"/>
        </w:rPr>
      </w:pPr>
      <w:r>
        <w:rPr>
          <w:rFonts w:ascii="Arial" w:eastAsia="Arial" w:hAnsi="Arial" w:cs="Arial"/>
          <w:sz w:val="20"/>
          <w:szCs w:val="20"/>
        </w:rPr>
        <w:t>EA relacionados con el acondicionamiento con busulfan.</w:t>
      </w:r>
    </w:p>
    <w:p w14:paraId="03D0A4B7" w14:textId="77777777" w:rsidR="009D55C9" w:rsidRDefault="005A57E0">
      <w:pPr>
        <w:numPr>
          <w:ilvl w:val="0"/>
          <w:numId w:val="11"/>
        </w:num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EA relacionados con la LDM. </w:t>
      </w:r>
    </w:p>
    <w:p w14:paraId="764BBD5A" w14:textId="77777777" w:rsidR="009D55C9" w:rsidRDefault="009D55C9">
      <w:pPr>
        <w:shd w:val="clear" w:color="auto" w:fill="FFFFFF"/>
        <w:ind w:left="0" w:hanging="2"/>
        <w:jc w:val="both"/>
        <w:rPr>
          <w:rFonts w:ascii="Arial" w:eastAsia="Arial" w:hAnsi="Arial" w:cs="Arial"/>
          <w:sz w:val="20"/>
          <w:szCs w:val="20"/>
        </w:rPr>
      </w:pPr>
    </w:p>
    <w:p w14:paraId="52AC2174" w14:textId="77777777" w:rsidR="009D55C9" w:rsidRDefault="0024715B">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9"/>
          <w:id w:val="212850874"/>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la </w:t>
          </w:r>
        </w:sdtContent>
      </w:sdt>
      <w:r w:rsidR="005A57E0" w:rsidRPr="00F8494C">
        <w:rPr>
          <w:rFonts w:ascii="Arial" w:eastAsia="Arial" w:hAnsi="Arial" w:cs="Arial"/>
          <w:sz w:val="20"/>
          <w:szCs w:val="20"/>
          <w:u w:val="single"/>
        </w:rPr>
        <w:t>fase de pretratamiento</w:t>
      </w:r>
      <w:r w:rsidR="005A57E0">
        <w:rPr>
          <w:rFonts w:ascii="Arial" w:eastAsia="Arial" w:hAnsi="Arial" w:cs="Arial"/>
          <w:sz w:val="20"/>
          <w:szCs w:val="20"/>
        </w:rPr>
        <w:t xml:space="preserve">, el EA más común fue el </w:t>
      </w:r>
      <w:r w:rsidR="005A57E0" w:rsidRPr="00F8494C">
        <w:rPr>
          <w:rFonts w:ascii="Arial" w:eastAsia="Arial" w:hAnsi="Arial" w:cs="Arial"/>
          <w:b/>
          <w:sz w:val="20"/>
          <w:szCs w:val="20"/>
        </w:rPr>
        <w:t>agrandamiento de la vesícula biliar</w:t>
      </w:r>
      <w:r w:rsidR="00211C8F">
        <w:rPr>
          <w:rFonts w:ascii="Arial" w:eastAsia="Arial" w:hAnsi="Arial" w:cs="Arial"/>
          <w:sz w:val="20"/>
          <w:szCs w:val="20"/>
        </w:rPr>
        <w:t xml:space="preserve"> (76%), p</w:t>
      </w:r>
      <w:r w:rsidR="005A57E0">
        <w:rPr>
          <w:rFonts w:ascii="Arial" w:eastAsia="Arial" w:hAnsi="Arial" w:cs="Arial"/>
          <w:sz w:val="20"/>
          <w:szCs w:val="20"/>
        </w:rPr>
        <w:t>robablemente debido a la patología subyacente, ya que en ese momento no se había realizado ninguna intervención.</w:t>
      </w:r>
    </w:p>
    <w:p w14:paraId="308C3BFA" w14:textId="77777777" w:rsidR="009D55C9" w:rsidRDefault="009D55C9">
      <w:pPr>
        <w:shd w:val="clear" w:color="auto" w:fill="FFFFFF"/>
        <w:ind w:left="0" w:hanging="2"/>
        <w:jc w:val="both"/>
        <w:rPr>
          <w:rFonts w:ascii="Arial" w:eastAsia="Arial" w:hAnsi="Arial" w:cs="Arial"/>
          <w:sz w:val="20"/>
          <w:szCs w:val="20"/>
        </w:rPr>
      </w:pPr>
    </w:p>
    <w:p w14:paraId="0EE5C1B0" w14:textId="77777777" w:rsidR="009D55C9" w:rsidRDefault="0024715B">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0"/>
          <w:id w:val="-1244951087"/>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la </w:t>
          </w:r>
        </w:sdtContent>
      </w:sdt>
      <w:r w:rsidR="005A57E0" w:rsidRPr="00F8494C">
        <w:rPr>
          <w:rFonts w:ascii="Arial" w:eastAsia="Arial" w:hAnsi="Arial" w:cs="Arial"/>
          <w:sz w:val="20"/>
          <w:szCs w:val="20"/>
          <w:u w:val="single"/>
        </w:rPr>
        <w:t>fase aguda</w:t>
      </w:r>
      <w:sdt>
        <w:sdtPr>
          <w:rPr>
            <w:rFonts w:ascii="Arial" w:eastAsia="Arial" w:hAnsi="Arial" w:cs="Arial"/>
            <w:sz w:val="20"/>
            <w:szCs w:val="20"/>
          </w:rPr>
          <w:tag w:val="goog_rdk_11"/>
          <w:id w:val="-351793048"/>
        </w:sdtPr>
        <w:sdtEndPr/>
        <w:sdtContent>
          <w:r w:rsidR="005A57E0" w:rsidRPr="00F8494C">
            <w:rPr>
              <w:rFonts w:ascii="Arial" w:eastAsia="Arial" w:hAnsi="Arial" w:cs="Arial"/>
              <w:sz w:val="20"/>
              <w:szCs w:val="20"/>
            </w:rPr>
            <w:t xml:space="preserve"> (≤ 48 horas después de la TG) el único EA notificado fue la </w:t>
          </w:r>
        </w:sdtContent>
      </w:sdt>
      <w:r w:rsidR="005A57E0" w:rsidRPr="00F8494C">
        <w:rPr>
          <w:rFonts w:ascii="Arial" w:eastAsia="Arial" w:hAnsi="Arial" w:cs="Arial"/>
          <w:b/>
          <w:sz w:val="20"/>
          <w:szCs w:val="20"/>
        </w:rPr>
        <w:t>hepatomegalia</w:t>
      </w:r>
      <w:r w:rsidR="005A57E0">
        <w:rPr>
          <w:rFonts w:ascii="Arial" w:eastAsia="Arial" w:hAnsi="Arial" w:cs="Arial"/>
          <w:sz w:val="20"/>
          <w:szCs w:val="20"/>
        </w:rPr>
        <w:t xml:space="preserve"> (3%), probablemente atribuible al acondicionamiento con busulfan.</w:t>
      </w:r>
    </w:p>
    <w:p w14:paraId="1F442494" w14:textId="77777777" w:rsidR="009D55C9" w:rsidRDefault="009D55C9">
      <w:pPr>
        <w:shd w:val="clear" w:color="auto" w:fill="FFFFFF"/>
        <w:ind w:left="0" w:hanging="2"/>
        <w:jc w:val="both"/>
        <w:rPr>
          <w:rFonts w:ascii="Arial" w:eastAsia="Arial" w:hAnsi="Arial" w:cs="Arial"/>
          <w:sz w:val="20"/>
          <w:szCs w:val="20"/>
        </w:rPr>
      </w:pPr>
    </w:p>
    <w:p w14:paraId="143BF89E" w14:textId="77777777" w:rsidR="009D55C9" w:rsidRDefault="0024715B">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2"/>
          <w:id w:val="-1621286562"/>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los </w:t>
          </w:r>
        </w:sdtContent>
      </w:sdt>
      <w:r w:rsidR="005A57E0" w:rsidRPr="00F8494C">
        <w:rPr>
          <w:rFonts w:ascii="Arial" w:eastAsia="Arial" w:hAnsi="Arial" w:cs="Arial"/>
          <w:sz w:val="20"/>
          <w:szCs w:val="20"/>
          <w:u w:val="single"/>
        </w:rPr>
        <w:t>3 meses posteriores a la TG</w:t>
      </w:r>
      <w:r w:rsidR="005A57E0">
        <w:rPr>
          <w:rFonts w:ascii="Arial" w:eastAsia="Arial" w:hAnsi="Arial" w:cs="Arial"/>
          <w:sz w:val="20"/>
          <w:szCs w:val="20"/>
        </w:rPr>
        <w:t xml:space="preserve"> los EA más comunes fueron </w:t>
      </w:r>
      <w:r w:rsidR="005A57E0" w:rsidRPr="00F8494C">
        <w:rPr>
          <w:rFonts w:ascii="Arial" w:eastAsia="Arial" w:hAnsi="Arial" w:cs="Arial"/>
          <w:b/>
          <w:sz w:val="20"/>
          <w:szCs w:val="20"/>
        </w:rPr>
        <w:t>neutropenia febril</w:t>
      </w:r>
      <w:r w:rsidR="005A57E0">
        <w:rPr>
          <w:rFonts w:ascii="Arial" w:eastAsia="Arial" w:hAnsi="Arial" w:cs="Arial"/>
          <w:sz w:val="20"/>
          <w:szCs w:val="20"/>
        </w:rPr>
        <w:t xml:space="preserve"> (79%), </w:t>
      </w:r>
      <w:r w:rsidR="005A57E0" w:rsidRPr="00F8494C">
        <w:rPr>
          <w:rFonts w:ascii="Arial" w:eastAsia="Arial" w:hAnsi="Arial" w:cs="Arial"/>
          <w:b/>
          <w:sz w:val="20"/>
          <w:szCs w:val="20"/>
        </w:rPr>
        <w:t>estomatitis</w:t>
      </w:r>
      <w:r w:rsidR="005A57E0">
        <w:rPr>
          <w:rFonts w:ascii="Arial" w:eastAsia="Arial" w:hAnsi="Arial" w:cs="Arial"/>
          <w:sz w:val="20"/>
          <w:szCs w:val="20"/>
        </w:rPr>
        <w:t xml:space="preserve"> (41%) e</w:t>
      </w:r>
      <w:r w:rsidR="005A57E0" w:rsidRPr="00F8494C">
        <w:rPr>
          <w:rFonts w:ascii="Arial" w:eastAsia="Arial" w:hAnsi="Arial" w:cs="Arial"/>
          <w:sz w:val="20"/>
          <w:szCs w:val="20"/>
        </w:rPr>
        <w:t xml:space="preserve"> </w:t>
      </w:r>
      <w:r w:rsidR="005A57E0" w:rsidRPr="00F8494C">
        <w:rPr>
          <w:rFonts w:ascii="Arial" w:eastAsia="Arial" w:hAnsi="Arial" w:cs="Arial"/>
          <w:b/>
          <w:sz w:val="20"/>
          <w:szCs w:val="20"/>
        </w:rPr>
        <w:t>inflamación de las mucosas</w:t>
      </w:r>
      <w:r w:rsidR="005A57E0">
        <w:rPr>
          <w:rFonts w:ascii="Arial" w:eastAsia="Arial" w:hAnsi="Arial" w:cs="Arial"/>
          <w:sz w:val="20"/>
          <w:szCs w:val="20"/>
        </w:rPr>
        <w:t xml:space="preserve"> (34%). Estos eventos probablemente se deban también al régimen de acondicionamiento con busulfan. Una excepción es la aparición de rash eritematoso (21%). La relación de este EA con Libmeldy</w:t>
      </w:r>
      <w:r w:rsidR="00BD2296" w:rsidRPr="00BD2296">
        <w:rPr>
          <w:rFonts w:ascii="Arial" w:eastAsia="Arial" w:hAnsi="Arial" w:cs="Arial"/>
          <w:sz w:val="20"/>
          <w:szCs w:val="20"/>
          <w:vertAlign w:val="superscript"/>
        </w:rPr>
        <w:t>®</w:t>
      </w:r>
      <w:r w:rsidR="005A57E0">
        <w:rPr>
          <w:rFonts w:ascii="Arial" w:eastAsia="Arial" w:hAnsi="Arial" w:cs="Arial"/>
          <w:sz w:val="20"/>
          <w:szCs w:val="20"/>
        </w:rPr>
        <w:t xml:space="preserve"> se considera improbable, ya que no se produjeron inmediatamente después de la infusión y los pacientes estaban tomando medicación concomitante.</w:t>
      </w:r>
    </w:p>
    <w:p w14:paraId="5BBD7760" w14:textId="77777777" w:rsidR="009D55C9" w:rsidRDefault="009D55C9">
      <w:pPr>
        <w:shd w:val="clear" w:color="auto" w:fill="FFFFFF"/>
        <w:ind w:left="0" w:hanging="2"/>
        <w:jc w:val="both"/>
        <w:rPr>
          <w:rFonts w:ascii="Arial" w:eastAsia="Arial" w:hAnsi="Arial" w:cs="Arial"/>
          <w:sz w:val="20"/>
          <w:szCs w:val="20"/>
        </w:rPr>
      </w:pPr>
    </w:p>
    <w:p w14:paraId="0E997DA3" w14:textId="77777777" w:rsidR="009D55C9" w:rsidRDefault="0024715B">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3"/>
          <w:id w:val="1758405996"/>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el </w:t>
          </w:r>
        </w:sdtContent>
      </w:sdt>
      <w:r w:rsidR="005A57E0" w:rsidRPr="00F8494C">
        <w:rPr>
          <w:rFonts w:ascii="Arial" w:eastAsia="Arial" w:hAnsi="Arial" w:cs="Arial"/>
          <w:sz w:val="20"/>
          <w:szCs w:val="20"/>
          <w:u w:val="single"/>
        </w:rPr>
        <w:t>seguimiento a corto plazo</w:t>
      </w:r>
      <w:r w:rsidR="005A57E0">
        <w:rPr>
          <w:rFonts w:ascii="Arial" w:eastAsia="Arial" w:hAnsi="Arial" w:cs="Arial"/>
          <w:sz w:val="20"/>
          <w:szCs w:val="20"/>
        </w:rPr>
        <w:t xml:space="preserve"> (100-1098 días después de la TG), se notificaron varios EA sugerentes de progresión de la LDM, es decir, </w:t>
      </w:r>
      <w:r w:rsidR="005A57E0" w:rsidRPr="00F8494C">
        <w:rPr>
          <w:rFonts w:ascii="Arial" w:eastAsia="Arial" w:hAnsi="Arial" w:cs="Arial"/>
          <w:b/>
          <w:sz w:val="20"/>
          <w:szCs w:val="20"/>
        </w:rPr>
        <w:t>trastornos de la marcha</w:t>
      </w:r>
      <w:r w:rsidR="005A57E0">
        <w:rPr>
          <w:rFonts w:ascii="Arial" w:eastAsia="Arial" w:hAnsi="Arial" w:cs="Arial"/>
          <w:sz w:val="20"/>
          <w:szCs w:val="20"/>
        </w:rPr>
        <w:t xml:space="preserve"> (31%),</w:t>
      </w:r>
      <w:r w:rsidR="005A57E0" w:rsidRPr="00F8494C">
        <w:rPr>
          <w:rFonts w:ascii="Arial" w:eastAsia="Arial" w:hAnsi="Arial" w:cs="Arial"/>
          <w:sz w:val="20"/>
          <w:szCs w:val="20"/>
        </w:rPr>
        <w:t xml:space="preserve"> </w:t>
      </w:r>
      <w:r w:rsidR="005A57E0" w:rsidRPr="00F8494C">
        <w:rPr>
          <w:rFonts w:ascii="Arial" w:eastAsia="Arial" w:hAnsi="Arial" w:cs="Arial"/>
          <w:b/>
          <w:sz w:val="20"/>
          <w:szCs w:val="20"/>
        </w:rPr>
        <w:t>disfunción motora</w:t>
      </w:r>
      <w:r w:rsidR="005A57E0">
        <w:rPr>
          <w:rFonts w:ascii="Arial" w:eastAsia="Arial" w:hAnsi="Arial" w:cs="Arial"/>
          <w:sz w:val="20"/>
          <w:szCs w:val="20"/>
        </w:rPr>
        <w:t xml:space="preserve"> (24%), </w:t>
      </w:r>
      <w:r w:rsidR="005A57E0" w:rsidRPr="00F8494C">
        <w:rPr>
          <w:rFonts w:ascii="Arial" w:eastAsia="Arial" w:hAnsi="Arial" w:cs="Arial"/>
          <w:b/>
          <w:sz w:val="20"/>
          <w:szCs w:val="20"/>
        </w:rPr>
        <w:t>espasticidad muscular</w:t>
      </w:r>
      <w:r w:rsidR="005A57E0">
        <w:rPr>
          <w:rFonts w:ascii="Arial" w:eastAsia="Arial" w:hAnsi="Arial" w:cs="Arial"/>
          <w:sz w:val="20"/>
          <w:szCs w:val="20"/>
        </w:rPr>
        <w:t xml:space="preserve"> (31%), </w:t>
      </w:r>
      <w:r w:rsidR="005A57E0" w:rsidRPr="00F8494C">
        <w:rPr>
          <w:rFonts w:ascii="Arial" w:eastAsia="Arial" w:hAnsi="Arial" w:cs="Arial"/>
          <w:sz w:val="20"/>
          <w:szCs w:val="20"/>
        </w:rPr>
        <w:t>ataxia</w:t>
      </w:r>
      <w:r w:rsidR="005A57E0">
        <w:rPr>
          <w:rFonts w:ascii="Arial" w:eastAsia="Arial" w:hAnsi="Arial" w:cs="Arial"/>
          <w:sz w:val="20"/>
          <w:szCs w:val="20"/>
        </w:rPr>
        <w:t xml:space="preserve"> (10%), </w:t>
      </w:r>
      <w:r w:rsidR="005A57E0" w:rsidRPr="00F8494C">
        <w:rPr>
          <w:rFonts w:ascii="Arial" w:eastAsia="Arial" w:hAnsi="Arial" w:cs="Arial"/>
          <w:sz w:val="20"/>
          <w:szCs w:val="20"/>
        </w:rPr>
        <w:t>afasia</w:t>
      </w:r>
      <w:r w:rsidR="005A57E0">
        <w:rPr>
          <w:rFonts w:ascii="Arial" w:eastAsia="Arial" w:hAnsi="Arial" w:cs="Arial"/>
          <w:sz w:val="20"/>
          <w:szCs w:val="20"/>
        </w:rPr>
        <w:t xml:space="preserve"> (14%), </w:t>
      </w:r>
      <w:r w:rsidR="005A57E0" w:rsidRPr="00F8494C">
        <w:rPr>
          <w:rFonts w:ascii="Arial" w:eastAsia="Arial" w:hAnsi="Arial" w:cs="Arial"/>
          <w:sz w:val="20"/>
          <w:szCs w:val="20"/>
        </w:rPr>
        <w:t>disartria</w:t>
      </w:r>
      <w:r w:rsidR="005A57E0">
        <w:rPr>
          <w:rFonts w:ascii="Arial" w:eastAsia="Arial" w:hAnsi="Arial" w:cs="Arial"/>
          <w:sz w:val="20"/>
          <w:szCs w:val="20"/>
        </w:rPr>
        <w:t xml:space="preserve"> (14%) y </w:t>
      </w:r>
      <w:r w:rsidR="005A57E0" w:rsidRPr="00F8494C">
        <w:rPr>
          <w:rFonts w:ascii="Arial" w:eastAsia="Arial" w:hAnsi="Arial" w:cs="Arial"/>
          <w:sz w:val="20"/>
          <w:szCs w:val="20"/>
        </w:rPr>
        <w:t>disfagia</w:t>
      </w:r>
      <w:r w:rsidR="005A57E0">
        <w:rPr>
          <w:rFonts w:ascii="Arial" w:eastAsia="Arial" w:hAnsi="Arial" w:cs="Arial"/>
          <w:sz w:val="20"/>
          <w:szCs w:val="20"/>
        </w:rPr>
        <w:t xml:space="preserve"> (10%).</w:t>
      </w:r>
    </w:p>
    <w:p w14:paraId="31758EF0" w14:textId="77777777" w:rsidR="009D55C9" w:rsidRDefault="009D55C9">
      <w:pPr>
        <w:shd w:val="clear" w:color="auto" w:fill="FFFFFF"/>
        <w:ind w:left="0" w:hanging="2"/>
        <w:jc w:val="both"/>
        <w:rPr>
          <w:rFonts w:ascii="Arial" w:eastAsia="Arial" w:hAnsi="Arial" w:cs="Arial"/>
          <w:sz w:val="20"/>
          <w:szCs w:val="20"/>
        </w:rPr>
      </w:pPr>
    </w:p>
    <w:p w14:paraId="05F953EC" w14:textId="77777777" w:rsidR="009D55C9" w:rsidRDefault="0024715B">
      <w:pPr>
        <w:shd w:val="clear" w:color="auto" w:fill="FFFFFF"/>
        <w:ind w:left="0" w:hanging="2"/>
        <w:jc w:val="both"/>
        <w:rPr>
          <w:rFonts w:ascii="Arial" w:eastAsia="Arial" w:hAnsi="Arial" w:cs="Arial"/>
          <w:sz w:val="20"/>
          <w:szCs w:val="20"/>
        </w:rPr>
      </w:pPr>
      <w:sdt>
        <w:sdtPr>
          <w:rPr>
            <w:rFonts w:ascii="Arial" w:eastAsia="Arial" w:hAnsi="Arial" w:cs="Arial"/>
            <w:sz w:val="20"/>
            <w:szCs w:val="20"/>
          </w:rPr>
          <w:tag w:val="goog_rdk_14"/>
          <w:id w:val="-136338200"/>
        </w:sdtPr>
        <w:sdtEndPr/>
        <w:sdtContent>
          <w:r w:rsidR="005A57E0" w:rsidRPr="00F8494C">
            <w:rPr>
              <w:rFonts w:ascii="Cambria Math" w:eastAsia="Arial" w:hAnsi="Cambria Math" w:cs="Cambria Math"/>
              <w:sz w:val="20"/>
              <w:szCs w:val="20"/>
            </w:rPr>
            <w:t>∘</w:t>
          </w:r>
          <w:r w:rsidR="005A57E0" w:rsidRPr="00F8494C">
            <w:rPr>
              <w:rFonts w:ascii="Arial" w:eastAsia="Arial" w:hAnsi="Arial" w:cs="Arial"/>
              <w:sz w:val="20"/>
              <w:szCs w:val="20"/>
            </w:rPr>
            <w:t xml:space="preserve"> En el </w:t>
          </w:r>
        </w:sdtContent>
      </w:sdt>
      <w:r w:rsidR="005A57E0" w:rsidRPr="00F8494C">
        <w:rPr>
          <w:rFonts w:ascii="Arial" w:eastAsia="Arial" w:hAnsi="Arial" w:cs="Arial"/>
          <w:sz w:val="20"/>
          <w:szCs w:val="20"/>
          <w:u w:val="single"/>
        </w:rPr>
        <w:t>seguimiento a largo plazo</w:t>
      </w:r>
      <w:r w:rsidR="005A57E0">
        <w:rPr>
          <w:rFonts w:ascii="Arial" w:eastAsia="Arial" w:hAnsi="Arial" w:cs="Arial"/>
          <w:sz w:val="20"/>
          <w:szCs w:val="20"/>
        </w:rPr>
        <w:t xml:space="preserve"> (&gt; 1098 días, es decir, &gt; 3 años después de la TG), los EA más frecuentes fueron</w:t>
      </w:r>
      <w:r w:rsidR="005A57E0" w:rsidRPr="00F8494C">
        <w:rPr>
          <w:rFonts w:ascii="Arial" w:eastAsia="Arial" w:hAnsi="Arial" w:cs="Arial"/>
          <w:sz w:val="20"/>
          <w:szCs w:val="20"/>
        </w:rPr>
        <w:t xml:space="preserve"> </w:t>
      </w:r>
      <w:r w:rsidR="005A57E0" w:rsidRPr="00F8494C">
        <w:rPr>
          <w:rFonts w:ascii="Arial" w:eastAsia="Arial" w:hAnsi="Arial" w:cs="Arial"/>
          <w:b/>
          <w:sz w:val="20"/>
          <w:szCs w:val="20"/>
        </w:rPr>
        <w:t>infección del tracto respiratorio superior</w:t>
      </w:r>
      <w:r w:rsidR="005A57E0" w:rsidRPr="00F8494C">
        <w:rPr>
          <w:rFonts w:ascii="Arial" w:eastAsia="Arial" w:hAnsi="Arial" w:cs="Arial"/>
          <w:sz w:val="20"/>
          <w:szCs w:val="20"/>
        </w:rPr>
        <w:t xml:space="preserve"> </w:t>
      </w:r>
      <w:r w:rsidR="005A57E0">
        <w:rPr>
          <w:rFonts w:ascii="Arial" w:eastAsia="Arial" w:hAnsi="Arial" w:cs="Arial"/>
          <w:sz w:val="20"/>
          <w:szCs w:val="20"/>
        </w:rPr>
        <w:t xml:space="preserve">(31%), </w:t>
      </w:r>
      <w:r w:rsidR="005A57E0" w:rsidRPr="00F8494C">
        <w:rPr>
          <w:rFonts w:ascii="Arial" w:eastAsia="Arial" w:hAnsi="Arial" w:cs="Arial"/>
          <w:b/>
          <w:sz w:val="20"/>
          <w:szCs w:val="20"/>
        </w:rPr>
        <w:t>disminución del nivel de vitamina D</w:t>
      </w:r>
      <w:r w:rsidR="005A57E0">
        <w:rPr>
          <w:rFonts w:ascii="Arial" w:eastAsia="Arial" w:hAnsi="Arial" w:cs="Arial"/>
          <w:sz w:val="20"/>
          <w:szCs w:val="20"/>
        </w:rPr>
        <w:t xml:space="preserve"> (25%) y </w:t>
      </w:r>
      <w:r w:rsidR="005A57E0" w:rsidRPr="00F8494C">
        <w:rPr>
          <w:rFonts w:ascii="Arial" w:eastAsia="Arial" w:hAnsi="Arial" w:cs="Arial"/>
          <w:b/>
          <w:sz w:val="20"/>
          <w:szCs w:val="20"/>
        </w:rPr>
        <w:t>pirexia</w:t>
      </w:r>
      <w:r w:rsidR="005A57E0">
        <w:rPr>
          <w:rFonts w:ascii="Arial" w:eastAsia="Arial" w:hAnsi="Arial" w:cs="Arial"/>
          <w:sz w:val="20"/>
          <w:szCs w:val="20"/>
        </w:rPr>
        <w:t xml:space="preserve"> (19%). En un 50% de los pacientes estuvieron relacionados con infecciones. La mayoría de los pacientes del grupo LDM-IT estaban en edad preescolar (4-6 años) y la tasa de infecciones del tracto respiratorio superior puede considerarse normal, ya que se observa con cierta frecuencia (hasta 8 episodios al año en este grupo de población</w:t>
      </w:r>
      <w:r w:rsidR="00211C8F">
        <w:rPr>
          <w:rFonts w:ascii="Arial" w:eastAsia="Arial" w:hAnsi="Arial" w:cs="Arial"/>
          <w:sz w:val="20"/>
          <w:szCs w:val="20"/>
        </w:rPr>
        <w:t>)</w:t>
      </w:r>
      <w:r w:rsidR="005A57E0">
        <w:rPr>
          <w:rFonts w:ascii="Arial" w:eastAsia="Arial" w:hAnsi="Arial" w:cs="Arial"/>
          <w:sz w:val="20"/>
          <w:szCs w:val="20"/>
        </w:rPr>
        <w:t xml:space="preserve">. </w:t>
      </w:r>
    </w:p>
    <w:p w14:paraId="49154A31" w14:textId="77777777" w:rsidR="009D55C9" w:rsidRDefault="009D55C9">
      <w:pPr>
        <w:shd w:val="clear" w:color="auto" w:fill="FFFFFF"/>
        <w:ind w:left="0" w:hanging="2"/>
        <w:jc w:val="both"/>
        <w:rPr>
          <w:rFonts w:ascii="Arial" w:eastAsia="Arial" w:hAnsi="Arial" w:cs="Arial"/>
          <w:sz w:val="20"/>
          <w:szCs w:val="20"/>
        </w:rPr>
      </w:pPr>
    </w:p>
    <w:p w14:paraId="50CC2240"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A continuación se detallan algunos </w:t>
      </w:r>
      <w:r>
        <w:rPr>
          <w:rFonts w:ascii="Arial" w:eastAsia="Arial" w:hAnsi="Arial" w:cs="Arial"/>
          <w:b/>
          <w:color w:val="000000"/>
          <w:sz w:val="20"/>
          <w:szCs w:val="20"/>
          <w:u w:val="single"/>
        </w:rPr>
        <w:t>eventos adversos de especial interés</w:t>
      </w:r>
      <w:r>
        <w:rPr>
          <w:rFonts w:ascii="Arial" w:eastAsia="Arial" w:hAnsi="Arial" w:cs="Arial"/>
          <w:sz w:val="20"/>
          <w:szCs w:val="20"/>
        </w:rPr>
        <w:t>:</w:t>
      </w:r>
    </w:p>
    <w:p w14:paraId="424AD308" w14:textId="77777777" w:rsidR="009D55C9" w:rsidRDefault="009D55C9">
      <w:pPr>
        <w:shd w:val="clear" w:color="auto" w:fill="FFFFFF"/>
        <w:ind w:left="0" w:hanging="2"/>
        <w:jc w:val="both"/>
        <w:rPr>
          <w:rFonts w:ascii="Arial" w:eastAsia="Arial" w:hAnsi="Arial" w:cs="Arial"/>
          <w:sz w:val="20"/>
          <w:szCs w:val="20"/>
        </w:rPr>
      </w:pPr>
    </w:p>
    <w:p w14:paraId="4B8EB552"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Acidosis tubular renal / acidosis metabólica</w:t>
      </w:r>
    </w:p>
    <w:p w14:paraId="3CCED558" w14:textId="77777777" w:rsidR="009D55C9" w:rsidRDefault="005A57E0" w:rsidP="00211C8F">
      <w:pPr>
        <w:shd w:val="clear" w:color="auto" w:fill="FFFFFF"/>
        <w:ind w:left="0" w:hanging="2"/>
        <w:jc w:val="both"/>
        <w:rPr>
          <w:rFonts w:ascii="Arial" w:eastAsia="Arial" w:hAnsi="Arial" w:cs="Arial"/>
          <w:sz w:val="20"/>
          <w:szCs w:val="20"/>
        </w:rPr>
      </w:pPr>
      <w:r>
        <w:rPr>
          <w:rFonts w:ascii="Arial" w:eastAsia="Arial" w:hAnsi="Arial" w:cs="Arial"/>
          <w:sz w:val="20"/>
          <w:szCs w:val="20"/>
        </w:rPr>
        <w:t>Los pacientes con LDM pueden desarrollar acidosis tubular renal proximal (tipo 2) debido a la acumulación de sulfátidos en los túbulos renales. Estos pacientes tienen un riesgo potencial de desarrollar acidosis metabólica en caso de padecer alguna condición clínica aguda como</w:t>
      </w:r>
      <w:r w:rsidR="00F8494C">
        <w:rPr>
          <w:rFonts w:ascii="Arial" w:eastAsia="Arial" w:hAnsi="Arial" w:cs="Arial"/>
          <w:sz w:val="20"/>
          <w:szCs w:val="20"/>
        </w:rPr>
        <w:t xml:space="preserve"> son</w:t>
      </w:r>
      <w:r>
        <w:rPr>
          <w:rFonts w:ascii="Arial" w:eastAsia="Arial" w:hAnsi="Arial" w:cs="Arial"/>
          <w:sz w:val="20"/>
          <w:szCs w:val="20"/>
        </w:rPr>
        <w:t xml:space="preserve"> las infecciones.</w:t>
      </w:r>
      <w:r w:rsidR="00211C8F">
        <w:rPr>
          <w:rFonts w:ascii="Arial" w:eastAsia="Arial" w:hAnsi="Arial" w:cs="Arial"/>
          <w:sz w:val="20"/>
          <w:szCs w:val="20"/>
        </w:rPr>
        <w:t xml:space="preserve"> </w:t>
      </w:r>
      <w:r>
        <w:rPr>
          <w:rFonts w:ascii="Arial" w:eastAsia="Arial" w:hAnsi="Arial" w:cs="Arial"/>
          <w:sz w:val="20"/>
          <w:szCs w:val="20"/>
        </w:rPr>
        <w:t>Se notificaron casos de acidosis tubular renal o acidosis metabólica antes del tratamiento en 16 pacientes (55%). En total (incluyendo antes y después del tratamiento con Libmeldy</w:t>
      </w:r>
      <w:r w:rsidR="00BD2296" w:rsidRPr="00BD2296">
        <w:rPr>
          <w:rFonts w:ascii="Arial" w:eastAsia="Arial" w:hAnsi="Arial" w:cs="Arial"/>
          <w:sz w:val="20"/>
          <w:szCs w:val="20"/>
          <w:vertAlign w:val="superscript"/>
        </w:rPr>
        <w:t>®</w:t>
      </w:r>
      <w:r>
        <w:rPr>
          <w:rFonts w:ascii="Arial" w:eastAsia="Arial" w:hAnsi="Arial" w:cs="Arial"/>
          <w:sz w:val="20"/>
          <w:szCs w:val="20"/>
        </w:rPr>
        <w:t>), 19 pacientes (66%) presentaron acidosis tubular renal o acidosis metabólica.</w:t>
      </w:r>
    </w:p>
    <w:p w14:paraId="65DB608A" w14:textId="77777777" w:rsidR="009D55C9" w:rsidRDefault="009D55C9" w:rsidP="00211C8F">
      <w:pPr>
        <w:shd w:val="clear" w:color="auto" w:fill="FFFFFF"/>
        <w:ind w:leftChars="0" w:left="0" w:firstLineChars="0" w:firstLine="0"/>
        <w:jc w:val="both"/>
        <w:rPr>
          <w:rFonts w:ascii="Arial" w:eastAsia="Arial" w:hAnsi="Arial" w:cs="Arial"/>
          <w:sz w:val="20"/>
          <w:szCs w:val="20"/>
        </w:rPr>
      </w:pPr>
    </w:p>
    <w:p w14:paraId="2C138A97"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Trastornos hepatobiliares</w:t>
      </w:r>
    </w:p>
    <w:p w14:paraId="04B89162"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En la LDM existe un mayor riesgo de experimentar trastornos en la vesícula biliar, incluido el engrosamiento de la p</w:t>
      </w:r>
      <w:r w:rsidR="004E570A">
        <w:rPr>
          <w:rFonts w:ascii="Arial" w:eastAsia="Arial" w:hAnsi="Arial" w:cs="Arial"/>
          <w:sz w:val="20"/>
          <w:szCs w:val="20"/>
        </w:rPr>
        <w:t>ared y el desarrollo de pólipos</w:t>
      </w:r>
      <w:r>
        <w:rPr>
          <w:rFonts w:ascii="Arial" w:eastAsia="Arial" w:hAnsi="Arial" w:cs="Arial"/>
          <w:sz w:val="20"/>
          <w:szCs w:val="20"/>
        </w:rPr>
        <w:t>. La causa parece ser el depósito de sulfátidos ac</w:t>
      </w:r>
      <w:r w:rsidR="004E570A">
        <w:rPr>
          <w:rFonts w:ascii="Arial" w:eastAsia="Arial" w:hAnsi="Arial" w:cs="Arial"/>
          <w:sz w:val="20"/>
          <w:szCs w:val="20"/>
        </w:rPr>
        <w:t xml:space="preserve">umulados en el tejido visceral. </w:t>
      </w:r>
      <w:r>
        <w:rPr>
          <w:rFonts w:ascii="Arial" w:eastAsia="Arial" w:hAnsi="Arial" w:cs="Arial"/>
          <w:sz w:val="20"/>
          <w:szCs w:val="20"/>
        </w:rPr>
        <w:t xml:space="preserve">Se notificó agrandamiento leve no grave de la vesícula biliar en 22 pacientes durante la fase de </w:t>
      </w:r>
      <w:r w:rsidRPr="004E570A">
        <w:rPr>
          <w:rFonts w:ascii="Arial" w:eastAsia="Arial" w:hAnsi="Arial" w:cs="Arial"/>
          <w:b/>
          <w:sz w:val="20"/>
          <w:szCs w:val="20"/>
        </w:rPr>
        <w:t>pretratamiento</w:t>
      </w:r>
      <w:r>
        <w:rPr>
          <w:rFonts w:ascii="Arial" w:eastAsia="Arial" w:hAnsi="Arial" w:cs="Arial"/>
          <w:sz w:val="20"/>
          <w:szCs w:val="20"/>
        </w:rPr>
        <w:t>. Ninguno de los sujetos tratados con Libmeldy</w:t>
      </w:r>
      <w:r w:rsidR="00BD2296" w:rsidRPr="00BD2296">
        <w:rPr>
          <w:rFonts w:ascii="Arial" w:eastAsia="Arial" w:hAnsi="Arial" w:cs="Arial"/>
          <w:sz w:val="20"/>
          <w:szCs w:val="20"/>
          <w:vertAlign w:val="superscript"/>
        </w:rPr>
        <w:t>®</w:t>
      </w:r>
      <w:r>
        <w:rPr>
          <w:rFonts w:ascii="Arial" w:eastAsia="Arial" w:hAnsi="Arial" w:cs="Arial"/>
          <w:sz w:val="20"/>
          <w:szCs w:val="20"/>
        </w:rPr>
        <w:t xml:space="preserve"> presentó deterioro hepático previo al tratamiento.</w:t>
      </w:r>
    </w:p>
    <w:p w14:paraId="37AE1DDD" w14:textId="251F2984"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Durante la fase de </w:t>
      </w:r>
      <w:r w:rsidRPr="004E570A">
        <w:rPr>
          <w:rFonts w:ascii="Arial" w:eastAsia="Arial" w:hAnsi="Arial" w:cs="Arial"/>
          <w:b/>
          <w:sz w:val="20"/>
          <w:szCs w:val="20"/>
        </w:rPr>
        <w:t>seguimiento</w:t>
      </w:r>
      <w:r>
        <w:rPr>
          <w:rFonts w:ascii="Arial" w:eastAsia="Arial" w:hAnsi="Arial" w:cs="Arial"/>
          <w:sz w:val="20"/>
          <w:szCs w:val="20"/>
        </w:rPr>
        <w:t xml:space="preserve">, 16 pacientes experimentaron EA hepatobiliares. 3 pacientes experimentaron agrandamiento de la vesícula biliar. Se notificó desarrollo de pólipos en 4 pacientes con agrandamiento de la vesícula biliar preexistente. En 2 pacientes hubo que realizar una colecistectomía debido a la detección de pólipos mayores de 5 mm. Además, 11 pacientes (38%) desarrollaron otros tipos de trastornos hepatobiliares, que incluyeron enfermedad venoclusiva (EVO) hepática (n=3), lesión hepática inducida por fármacos, hepatomegalia e hipertransaminasemia (n=2). </w:t>
      </w:r>
      <w:r w:rsidR="004E570A">
        <w:rPr>
          <w:rFonts w:ascii="Arial" w:eastAsia="Arial" w:hAnsi="Arial" w:cs="Arial"/>
          <w:sz w:val="20"/>
          <w:szCs w:val="20"/>
        </w:rPr>
        <w:t xml:space="preserve"> </w:t>
      </w:r>
      <w:r>
        <w:rPr>
          <w:rFonts w:ascii="Arial" w:eastAsia="Arial" w:hAnsi="Arial" w:cs="Arial"/>
          <w:sz w:val="20"/>
          <w:szCs w:val="20"/>
        </w:rPr>
        <w:t xml:space="preserve">Es importante destacar que la EVO hepática y la hepatomegalia son problemas de seguridad conocidos relacionados con </w:t>
      </w:r>
      <w:r w:rsidR="005217D4">
        <w:rPr>
          <w:rFonts w:ascii="Arial" w:eastAsia="Arial" w:hAnsi="Arial" w:cs="Arial"/>
          <w:sz w:val="20"/>
          <w:szCs w:val="20"/>
        </w:rPr>
        <w:t>el acondicionamiento con busulfa</w:t>
      </w:r>
      <w:r>
        <w:rPr>
          <w:rFonts w:ascii="Arial" w:eastAsia="Arial" w:hAnsi="Arial" w:cs="Arial"/>
          <w:sz w:val="20"/>
          <w:szCs w:val="20"/>
        </w:rPr>
        <w:t>n.</w:t>
      </w:r>
    </w:p>
    <w:p w14:paraId="2DBC8925" w14:textId="77777777" w:rsidR="009D55C9" w:rsidRDefault="009D55C9">
      <w:pPr>
        <w:shd w:val="clear" w:color="auto" w:fill="FFFFFF"/>
        <w:ind w:left="0" w:hanging="2"/>
        <w:jc w:val="both"/>
        <w:rPr>
          <w:rFonts w:ascii="Arial" w:eastAsia="Arial" w:hAnsi="Arial" w:cs="Arial"/>
          <w:sz w:val="20"/>
          <w:szCs w:val="20"/>
          <w:u w:val="single"/>
        </w:rPr>
      </w:pPr>
    </w:p>
    <w:p w14:paraId="34E60C76"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Elevación de la IgE</w:t>
      </w:r>
    </w:p>
    <w:p w14:paraId="7878D14C"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Los aumentos de Ig E se asocian típicamente a respuesta inflamatoria. Se notificó aumento de la IgE en 4 pacientes (14%) antes del tratamiento con Libmeldy</w:t>
      </w:r>
      <w:r w:rsidR="00BD2296" w:rsidRPr="00BD2296">
        <w:rPr>
          <w:rFonts w:ascii="Arial" w:eastAsia="Arial" w:hAnsi="Arial" w:cs="Arial"/>
          <w:sz w:val="20"/>
          <w:szCs w:val="20"/>
          <w:vertAlign w:val="superscript"/>
        </w:rPr>
        <w:t>®</w:t>
      </w:r>
      <w:r>
        <w:rPr>
          <w:rFonts w:ascii="Arial" w:eastAsia="Arial" w:hAnsi="Arial" w:cs="Arial"/>
          <w:sz w:val="20"/>
          <w:szCs w:val="20"/>
        </w:rPr>
        <w:t xml:space="preserve"> y en 13 (45%) durante la fase de seguimiento posterior al tratamiento. Ninguno de los EA fue grave. El investigador no relacionó estos eventos con el uso de Libmeldy</w:t>
      </w:r>
      <w:r w:rsidR="00BD2296" w:rsidRPr="00BD2296">
        <w:rPr>
          <w:rFonts w:ascii="Arial" w:eastAsia="Arial" w:hAnsi="Arial" w:cs="Arial"/>
          <w:sz w:val="20"/>
          <w:szCs w:val="20"/>
          <w:vertAlign w:val="superscript"/>
        </w:rPr>
        <w:t>®</w:t>
      </w:r>
      <w:r>
        <w:rPr>
          <w:rFonts w:ascii="Arial" w:eastAsia="Arial" w:hAnsi="Arial" w:cs="Arial"/>
          <w:sz w:val="20"/>
          <w:szCs w:val="20"/>
        </w:rPr>
        <w:t>.</w:t>
      </w:r>
    </w:p>
    <w:p w14:paraId="4E0246EC" w14:textId="77777777" w:rsidR="009D55C9" w:rsidRDefault="009D55C9">
      <w:pPr>
        <w:shd w:val="clear" w:color="auto" w:fill="FFFFFF"/>
        <w:ind w:left="0" w:hanging="2"/>
        <w:jc w:val="both"/>
        <w:rPr>
          <w:rFonts w:ascii="Arial" w:eastAsia="Arial" w:hAnsi="Arial" w:cs="Arial"/>
          <w:sz w:val="20"/>
          <w:szCs w:val="20"/>
          <w:u w:val="single"/>
        </w:rPr>
      </w:pPr>
    </w:p>
    <w:p w14:paraId="48679E61" w14:textId="77777777" w:rsidR="009D55C9" w:rsidRDefault="005A57E0">
      <w:pPr>
        <w:shd w:val="clear" w:color="auto" w:fill="FFFFFF"/>
        <w:ind w:left="0" w:hanging="2"/>
        <w:jc w:val="both"/>
        <w:rPr>
          <w:rFonts w:ascii="Arial" w:eastAsia="Arial" w:hAnsi="Arial" w:cs="Arial"/>
          <w:sz w:val="20"/>
          <w:szCs w:val="20"/>
          <w:u w:val="single"/>
        </w:rPr>
      </w:pPr>
      <w:r>
        <w:rPr>
          <w:rFonts w:ascii="Arial" w:eastAsia="Arial" w:hAnsi="Arial" w:cs="Arial"/>
          <w:sz w:val="20"/>
          <w:szCs w:val="20"/>
          <w:u w:val="single"/>
        </w:rPr>
        <w:t>Elevación de la ferritina</w:t>
      </w:r>
    </w:p>
    <w:p w14:paraId="4A33D67D" w14:textId="77777777" w:rsidR="009D55C9" w:rsidRDefault="005A57E0">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La ferritina es un reactante de fase aguda y puede aumentar </w:t>
      </w:r>
      <w:r w:rsidR="00F8494C">
        <w:rPr>
          <w:rFonts w:ascii="Arial" w:eastAsia="Arial" w:hAnsi="Arial" w:cs="Arial"/>
          <w:sz w:val="20"/>
          <w:szCs w:val="20"/>
        </w:rPr>
        <w:t>en varias situaciones clínicas</w:t>
      </w:r>
      <w:r>
        <w:rPr>
          <w:rFonts w:ascii="Arial" w:eastAsia="Arial" w:hAnsi="Arial" w:cs="Arial"/>
          <w:sz w:val="20"/>
          <w:szCs w:val="20"/>
        </w:rPr>
        <w:t>, como inflamación, infecciones o transfusiones de sangre recientes.</w:t>
      </w:r>
      <w:r w:rsidR="004E570A">
        <w:rPr>
          <w:rFonts w:ascii="Arial" w:eastAsia="Arial" w:hAnsi="Arial" w:cs="Arial"/>
          <w:sz w:val="20"/>
          <w:szCs w:val="20"/>
        </w:rPr>
        <w:t xml:space="preserve"> </w:t>
      </w:r>
      <w:r>
        <w:rPr>
          <w:rFonts w:ascii="Arial" w:eastAsia="Arial" w:hAnsi="Arial" w:cs="Arial"/>
          <w:sz w:val="20"/>
          <w:szCs w:val="20"/>
        </w:rPr>
        <w:t>Seis pacientes (21%) experimentaron aumento de la ferritina sérica. Todos se notificaron durante la fase de 3 meses post-TG. Los eventos estuvieron probablemente relacionados con las transfusiones repetidas durante este período de tiempo.</w:t>
      </w:r>
      <w:r w:rsidR="004E570A">
        <w:rPr>
          <w:rFonts w:ascii="Arial" w:eastAsia="Arial" w:hAnsi="Arial" w:cs="Arial"/>
          <w:sz w:val="20"/>
          <w:szCs w:val="20"/>
        </w:rPr>
        <w:t xml:space="preserve"> </w:t>
      </w:r>
      <w:r>
        <w:rPr>
          <w:rFonts w:ascii="Arial" w:eastAsia="Arial" w:hAnsi="Arial" w:cs="Arial"/>
          <w:sz w:val="20"/>
          <w:szCs w:val="20"/>
        </w:rPr>
        <w:t>Al igual que en el caso anterior, ninguno de los EA fue grave y el investigador consideró que los acontecimientos no estaban relacionados con Libmeldy</w:t>
      </w:r>
      <w:r w:rsidR="00BD2296" w:rsidRPr="00BD2296">
        <w:rPr>
          <w:rFonts w:ascii="Arial" w:eastAsia="Arial" w:hAnsi="Arial" w:cs="Arial"/>
          <w:sz w:val="20"/>
          <w:szCs w:val="20"/>
          <w:vertAlign w:val="superscript"/>
        </w:rPr>
        <w:t>®</w:t>
      </w:r>
      <w:r>
        <w:rPr>
          <w:rFonts w:ascii="Arial" w:eastAsia="Arial" w:hAnsi="Arial" w:cs="Arial"/>
          <w:sz w:val="20"/>
          <w:szCs w:val="20"/>
        </w:rPr>
        <w:t>.</w:t>
      </w:r>
    </w:p>
    <w:p w14:paraId="41B85ECA" w14:textId="77777777" w:rsidR="009D55C9" w:rsidRDefault="009D55C9">
      <w:pPr>
        <w:shd w:val="clear" w:color="auto" w:fill="FFFFFF"/>
        <w:ind w:left="0" w:hanging="2"/>
        <w:jc w:val="both"/>
        <w:rPr>
          <w:rFonts w:ascii="Arial" w:eastAsia="Arial" w:hAnsi="Arial" w:cs="Arial"/>
          <w:sz w:val="20"/>
          <w:szCs w:val="20"/>
        </w:rPr>
      </w:pPr>
    </w:p>
    <w:p w14:paraId="59193C01" w14:textId="77777777" w:rsidR="009D55C9" w:rsidRDefault="009D55C9">
      <w:pPr>
        <w:shd w:val="clear" w:color="auto" w:fill="FFFFFF"/>
        <w:ind w:left="0" w:hanging="2"/>
        <w:jc w:val="both"/>
        <w:rPr>
          <w:rFonts w:ascii="Arial" w:eastAsia="Arial" w:hAnsi="Arial" w:cs="Arial"/>
          <w:sz w:val="20"/>
          <w:szCs w:val="20"/>
        </w:rPr>
      </w:pPr>
    </w:p>
    <w:p w14:paraId="381FDD49" w14:textId="77777777" w:rsidR="009D55C9" w:rsidRDefault="009D55C9">
      <w:pPr>
        <w:shd w:val="clear" w:color="auto" w:fill="FFFFFF"/>
        <w:ind w:left="0" w:hanging="2"/>
        <w:jc w:val="both"/>
        <w:rPr>
          <w:rFonts w:ascii="Arial" w:eastAsia="Arial" w:hAnsi="Arial" w:cs="Arial"/>
          <w:sz w:val="20"/>
          <w:szCs w:val="20"/>
        </w:rPr>
      </w:pPr>
    </w:p>
    <w:tbl>
      <w:tblPr>
        <w:tblStyle w:val="afff8"/>
        <w:tblW w:w="8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926"/>
        <w:gridCol w:w="992"/>
        <w:gridCol w:w="709"/>
        <w:gridCol w:w="775"/>
        <w:gridCol w:w="851"/>
        <w:gridCol w:w="992"/>
        <w:gridCol w:w="1186"/>
      </w:tblGrid>
      <w:tr w:rsidR="009D55C9" w14:paraId="761094C5" w14:textId="77777777">
        <w:trPr>
          <w:trHeight w:val="191"/>
        </w:trPr>
        <w:tc>
          <w:tcPr>
            <w:tcW w:w="8836" w:type="dxa"/>
            <w:gridSpan w:val="8"/>
            <w:shd w:val="clear" w:color="auto" w:fill="CCFFCC"/>
          </w:tcPr>
          <w:p w14:paraId="39791B14" w14:textId="77777777" w:rsidR="009D55C9" w:rsidRDefault="005A57E0">
            <w:pPr>
              <w:ind w:left="0" w:hanging="2"/>
              <w:jc w:val="both"/>
              <w:rPr>
                <w:rFonts w:ascii="Arial" w:eastAsia="Arial" w:hAnsi="Arial" w:cs="Arial"/>
                <w:sz w:val="16"/>
                <w:szCs w:val="16"/>
              </w:rPr>
            </w:pPr>
            <w:r>
              <w:rPr>
                <w:rFonts w:ascii="Arial" w:eastAsia="Arial" w:hAnsi="Arial" w:cs="Arial"/>
                <w:b/>
                <w:i/>
                <w:sz w:val="18"/>
                <w:szCs w:val="18"/>
              </w:rPr>
              <w:t xml:space="preserve">Tabla 6.1. </w:t>
            </w:r>
            <w:r w:rsidR="00DD6ECF">
              <w:rPr>
                <w:rFonts w:ascii="Arial" w:eastAsia="Arial" w:hAnsi="Arial" w:cs="Arial"/>
                <w:b/>
                <w:i/>
                <w:sz w:val="18"/>
                <w:szCs w:val="18"/>
              </w:rPr>
              <w:t xml:space="preserve">EA grado ≥ 3. </w:t>
            </w:r>
            <w:r>
              <w:rPr>
                <w:rFonts w:ascii="Arial" w:eastAsia="Arial" w:hAnsi="Arial" w:cs="Arial"/>
                <w:b/>
                <w:i/>
                <w:sz w:val="18"/>
                <w:szCs w:val="18"/>
              </w:rPr>
              <w:t>Informe EPAR de la EMA</w:t>
            </w:r>
            <w:r w:rsidR="00B72728" w:rsidRPr="00B72728">
              <w:rPr>
                <w:rFonts w:ascii="Arial" w:eastAsia="Arial" w:hAnsi="Arial" w:cs="Arial"/>
                <w:b/>
                <w:i/>
                <w:sz w:val="18"/>
                <w:szCs w:val="18"/>
                <w:vertAlign w:val="superscript"/>
              </w:rPr>
              <w:fldChar w:fldCharType="begin"/>
            </w:r>
            <w:r w:rsidR="00B72728" w:rsidRPr="00B72728">
              <w:rPr>
                <w:rFonts w:ascii="Arial" w:eastAsia="Arial" w:hAnsi="Arial" w:cs="Arial"/>
                <w:b/>
                <w:i/>
                <w:sz w:val="18"/>
                <w:szCs w:val="18"/>
                <w:vertAlign w:val="superscript"/>
              </w:rPr>
              <w:instrText xml:space="preserve"> NOTEREF _Ref66186475 \h  \* MERGEFORMAT </w:instrText>
            </w:r>
            <w:r w:rsidR="00B72728" w:rsidRPr="00B72728">
              <w:rPr>
                <w:rFonts w:ascii="Arial" w:eastAsia="Arial" w:hAnsi="Arial" w:cs="Arial"/>
                <w:b/>
                <w:i/>
                <w:sz w:val="18"/>
                <w:szCs w:val="18"/>
                <w:vertAlign w:val="superscript"/>
              </w:rPr>
            </w:r>
            <w:r w:rsidR="00B72728" w:rsidRPr="00B72728">
              <w:rPr>
                <w:rFonts w:ascii="Arial" w:eastAsia="Arial" w:hAnsi="Arial" w:cs="Arial"/>
                <w:b/>
                <w:i/>
                <w:sz w:val="18"/>
                <w:szCs w:val="18"/>
                <w:vertAlign w:val="superscript"/>
              </w:rPr>
              <w:fldChar w:fldCharType="separate"/>
            </w:r>
            <w:r w:rsidR="00942E63">
              <w:rPr>
                <w:rFonts w:ascii="Arial" w:eastAsia="Arial" w:hAnsi="Arial" w:cs="Arial"/>
                <w:b/>
                <w:i/>
                <w:sz w:val="18"/>
                <w:szCs w:val="18"/>
                <w:vertAlign w:val="superscript"/>
              </w:rPr>
              <w:t>1</w:t>
            </w:r>
            <w:r w:rsidR="00B72728" w:rsidRPr="00B72728">
              <w:rPr>
                <w:rFonts w:ascii="Arial" w:eastAsia="Arial" w:hAnsi="Arial" w:cs="Arial"/>
                <w:b/>
                <w:i/>
                <w:sz w:val="18"/>
                <w:szCs w:val="18"/>
                <w:vertAlign w:val="superscript"/>
              </w:rPr>
              <w:fldChar w:fldCharType="end"/>
            </w:r>
          </w:p>
        </w:tc>
      </w:tr>
      <w:tr w:rsidR="009D55C9" w:rsidRPr="00DD6ECF" w14:paraId="2532C149" w14:textId="77777777">
        <w:trPr>
          <w:trHeight w:val="119"/>
        </w:trPr>
        <w:tc>
          <w:tcPr>
            <w:tcW w:w="8836" w:type="dxa"/>
            <w:gridSpan w:val="8"/>
            <w:shd w:val="clear" w:color="auto" w:fill="CCFFCC"/>
          </w:tcPr>
          <w:p w14:paraId="752846D8" w14:textId="77777777" w:rsidR="009D55C9" w:rsidRPr="00DD6ECF" w:rsidRDefault="005A57E0" w:rsidP="00DD6ECF">
            <w:pPr>
              <w:ind w:left="0" w:hanging="2"/>
              <w:jc w:val="both"/>
              <w:rPr>
                <w:rFonts w:ascii="Arial" w:eastAsia="Arial" w:hAnsi="Arial" w:cs="Arial"/>
                <w:sz w:val="16"/>
                <w:szCs w:val="16"/>
              </w:rPr>
            </w:pPr>
            <w:r w:rsidRPr="00DD6ECF">
              <w:rPr>
                <w:rFonts w:ascii="Arial" w:eastAsia="Arial" w:hAnsi="Arial" w:cs="Arial"/>
                <w:b/>
                <w:sz w:val="16"/>
                <w:szCs w:val="16"/>
              </w:rPr>
              <w:t>Resultados de seguridad</w:t>
            </w:r>
          </w:p>
        </w:tc>
      </w:tr>
      <w:tr w:rsidR="009D55C9" w:rsidRPr="00DD6ECF" w14:paraId="46209979" w14:textId="77777777" w:rsidTr="00DD6ECF">
        <w:trPr>
          <w:trHeight w:val="360"/>
        </w:trPr>
        <w:tc>
          <w:tcPr>
            <w:tcW w:w="2405" w:type="dxa"/>
            <w:shd w:val="clear" w:color="auto" w:fill="D9D9D9"/>
          </w:tcPr>
          <w:p w14:paraId="272DC7E4" w14:textId="77777777" w:rsidR="009D55C9" w:rsidRPr="00DD6ECF" w:rsidRDefault="005A57E0" w:rsidP="00DD6ECF">
            <w:pPr>
              <w:jc w:val="both"/>
              <w:rPr>
                <w:rFonts w:ascii="Arial" w:eastAsia="Arial" w:hAnsi="Arial" w:cs="Arial"/>
                <w:sz w:val="14"/>
                <w:szCs w:val="14"/>
              </w:rPr>
            </w:pPr>
            <w:r w:rsidRPr="00DD6ECF">
              <w:rPr>
                <w:rFonts w:ascii="Arial" w:eastAsia="Arial" w:hAnsi="Arial" w:cs="Arial"/>
                <w:b/>
                <w:i/>
                <w:sz w:val="14"/>
                <w:szCs w:val="14"/>
              </w:rPr>
              <w:t>Efectos adversos grado 3-4</w:t>
            </w:r>
          </w:p>
        </w:tc>
        <w:tc>
          <w:tcPr>
            <w:tcW w:w="926" w:type="dxa"/>
            <w:shd w:val="clear" w:color="auto" w:fill="D9D9D9"/>
          </w:tcPr>
          <w:p w14:paraId="225A3C6A" w14:textId="77777777" w:rsidR="009D55C9" w:rsidRPr="00DD6ECF" w:rsidRDefault="00DD6ECF"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Pre-acondicio-namiento</w:t>
            </w:r>
          </w:p>
          <w:p w14:paraId="7ACC6607"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(n=29)</w:t>
            </w:r>
          </w:p>
        </w:tc>
        <w:tc>
          <w:tcPr>
            <w:tcW w:w="992" w:type="dxa"/>
            <w:shd w:val="clear" w:color="auto" w:fill="D9D9D9"/>
          </w:tcPr>
          <w:p w14:paraId="0E730B3D" w14:textId="77777777" w:rsidR="00DD6ECF" w:rsidRPr="00DD6ECF" w:rsidRDefault="00DD6ECF"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Acondicio-namiento</w:t>
            </w:r>
          </w:p>
          <w:p w14:paraId="6E82DDD4" w14:textId="77777777" w:rsidR="009D55C9" w:rsidRPr="00DD6ECF" w:rsidRDefault="00DD6ECF" w:rsidP="00DD6ECF">
            <w:pPr>
              <w:tabs>
                <w:tab w:val="left" w:pos="1673"/>
              </w:tabs>
              <w:jc w:val="center"/>
              <w:rPr>
                <w:rFonts w:ascii="Arial" w:eastAsia="Arial" w:hAnsi="Arial" w:cs="Arial"/>
                <w:sz w:val="14"/>
                <w:szCs w:val="14"/>
              </w:rPr>
            </w:pPr>
            <w:r w:rsidRPr="00DD6ECF">
              <w:rPr>
                <w:rFonts w:ascii="Arial" w:eastAsia="Arial" w:hAnsi="Arial" w:cs="Arial"/>
                <w:b/>
                <w:i/>
                <w:sz w:val="14"/>
                <w:szCs w:val="14"/>
              </w:rPr>
              <w:t>(n=29)</w:t>
            </w:r>
          </w:p>
        </w:tc>
        <w:tc>
          <w:tcPr>
            <w:tcW w:w="709" w:type="dxa"/>
            <w:shd w:val="clear" w:color="auto" w:fill="D9D9D9"/>
          </w:tcPr>
          <w:p w14:paraId="2D84F079"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Agudo</w:t>
            </w:r>
          </w:p>
          <w:p w14:paraId="600A1F82"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(n=29)</w:t>
            </w:r>
          </w:p>
        </w:tc>
        <w:tc>
          <w:tcPr>
            <w:tcW w:w="775" w:type="dxa"/>
            <w:shd w:val="clear" w:color="auto" w:fill="D9D9D9"/>
          </w:tcPr>
          <w:p w14:paraId="7F6797FD"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3 meses post-TG</w:t>
            </w:r>
          </w:p>
          <w:p w14:paraId="443EB5FA" w14:textId="77777777" w:rsidR="009D55C9" w:rsidRPr="00DD6ECF" w:rsidRDefault="005A57E0" w:rsidP="00DD6ECF">
            <w:pPr>
              <w:tabs>
                <w:tab w:val="left" w:pos="1673"/>
              </w:tabs>
              <w:jc w:val="center"/>
              <w:rPr>
                <w:rFonts w:ascii="Arial" w:eastAsia="Arial" w:hAnsi="Arial" w:cs="Arial"/>
                <w:b/>
                <w:i/>
                <w:sz w:val="14"/>
                <w:szCs w:val="14"/>
              </w:rPr>
            </w:pPr>
            <w:r w:rsidRPr="00DD6ECF">
              <w:rPr>
                <w:rFonts w:ascii="Arial" w:eastAsia="Arial" w:hAnsi="Arial" w:cs="Arial"/>
                <w:b/>
                <w:i/>
                <w:sz w:val="14"/>
                <w:szCs w:val="14"/>
              </w:rPr>
              <w:t>(n=29)</w:t>
            </w:r>
          </w:p>
        </w:tc>
        <w:tc>
          <w:tcPr>
            <w:tcW w:w="851" w:type="dxa"/>
            <w:shd w:val="clear" w:color="auto" w:fill="D9D9D9"/>
          </w:tcPr>
          <w:p w14:paraId="34D81568"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Corto plazo</w:t>
            </w:r>
          </w:p>
          <w:p w14:paraId="60BA0B99"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(n=29)</w:t>
            </w:r>
          </w:p>
        </w:tc>
        <w:tc>
          <w:tcPr>
            <w:tcW w:w="992" w:type="dxa"/>
            <w:shd w:val="clear" w:color="auto" w:fill="D9D9D9"/>
          </w:tcPr>
          <w:p w14:paraId="5C5BDE19"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Largo plazo</w:t>
            </w:r>
          </w:p>
          <w:p w14:paraId="4B64460A"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(n=16)</w:t>
            </w:r>
          </w:p>
        </w:tc>
        <w:tc>
          <w:tcPr>
            <w:tcW w:w="1186" w:type="dxa"/>
            <w:shd w:val="clear" w:color="auto" w:fill="D9D9D9"/>
          </w:tcPr>
          <w:p w14:paraId="60DFC91E"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Total seguimiento post-TG</w:t>
            </w:r>
          </w:p>
          <w:p w14:paraId="04337BCA" w14:textId="77777777" w:rsidR="009D55C9" w:rsidRPr="00DD6ECF" w:rsidRDefault="005A57E0" w:rsidP="00DD6ECF">
            <w:pPr>
              <w:jc w:val="center"/>
              <w:rPr>
                <w:rFonts w:ascii="Arial" w:eastAsia="Arial" w:hAnsi="Arial" w:cs="Arial"/>
                <w:b/>
                <w:i/>
                <w:sz w:val="14"/>
                <w:szCs w:val="14"/>
              </w:rPr>
            </w:pPr>
            <w:r w:rsidRPr="00DD6ECF">
              <w:rPr>
                <w:rFonts w:ascii="Arial" w:eastAsia="Arial" w:hAnsi="Arial" w:cs="Arial"/>
                <w:b/>
                <w:i/>
                <w:sz w:val="14"/>
                <w:szCs w:val="14"/>
              </w:rPr>
              <w:t>(n=29)</w:t>
            </w:r>
          </w:p>
        </w:tc>
      </w:tr>
      <w:tr w:rsidR="009D55C9" w14:paraId="7D6A4FF8" w14:textId="77777777" w:rsidTr="00DD6ECF">
        <w:trPr>
          <w:trHeight w:val="78"/>
        </w:trPr>
        <w:tc>
          <w:tcPr>
            <w:tcW w:w="2405" w:type="dxa"/>
          </w:tcPr>
          <w:p w14:paraId="6BAC8D6C" w14:textId="77777777" w:rsidR="009D55C9" w:rsidRDefault="005A57E0">
            <w:pPr>
              <w:ind w:left="0" w:hanging="2"/>
              <w:rPr>
                <w:rFonts w:ascii="Arial" w:eastAsia="Arial" w:hAnsi="Arial" w:cs="Arial"/>
                <w:sz w:val="16"/>
                <w:szCs w:val="16"/>
              </w:rPr>
            </w:pPr>
            <w:r>
              <w:rPr>
                <w:rFonts w:ascii="Arial" w:eastAsia="Arial" w:hAnsi="Arial" w:cs="Arial"/>
                <w:sz w:val="16"/>
                <w:szCs w:val="16"/>
              </w:rPr>
              <w:t>Cualquier evento</w:t>
            </w:r>
          </w:p>
        </w:tc>
        <w:tc>
          <w:tcPr>
            <w:tcW w:w="926" w:type="dxa"/>
          </w:tcPr>
          <w:p w14:paraId="55BA599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24%</w:t>
            </w:r>
          </w:p>
        </w:tc>
        <w:tc>
          <w:tcPr>
            <w:tcW w:w="992" w:type="dxa"/>
          </w:tcPr>
          <w:p w14:paraId="690C3C0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28%</w:t>
            </w:r>
          </w:p>
        </w:tc>
        <w:tc>
          <w:tcPr>
            <w:tcW w:w="709" w:type="dxa"/>
          </w:tcPr>
          <w:p w14:paraId="1568365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59F9278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93%</w:t>
            </w:r>
          </w:p>
        </w:tc>
        <w:tc>
          <w:tcPr>
            <w:tcW w:w="851" w:type="dxa"/>
          </w:tcPr>
          <w:p w14:paraId="466E5F4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76%</w:t>
            </w:r>
          </w:p>
        </w:tc>
        <w:tc>
          <w:tcPr>
            <w:tcW w:w="992" w:type="dxa"/>
          </w:tcPr>
          <w:p w14:paraId="1349FC9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c>
          <w:tcPr>
            <w:tcW w:w="1186" w:type="dxa"/>
          </w:tcPr>
          <w:p w14:paraId="186BDF8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100%</w:t>
            </w:r>
          </w:p>
        </w:tc>
      </w:tr>
      <w:tr w:rsidR="009D55C9" w14:paraId="3D8431C9" w14:textId="77777777" w:rsidTr="00DD6ECF">
        <w:trPr>
          <w:trHeight w:val="78"/>
        </w:trPr>
        <w:tc>
          <w:tcPr>
            <w:tcW w:w="2405" w:type="dxa"/>
          </w:tcPr>
          <w:p w14:paraId="728AE3D0" w14:textId="77777777" w:rsidR="009D55C9" w:rsidRDefault="005A57E0">
            <w:pPr>
              <w:ind w:left="0" w:hanging="2"/>
              <w:rPr>
                <w:rFonts w:ascii="Arial" w:eastAsia="Arial" w:hAnsi="Arial" w:cs="Arial"/>
                <w:sz w:val="16"/>
                <w:szCs w:val="16"/>
              </w:rPr>
            </w:pPr>
            <w:r>
              <w:rPr>
                <w:rFonts w:ascii="Arial" w:eastAsia="Arial" w:hAnsi="Arial" w:cs="Arial"/>
                <w:sz w:val="16"/>
                <w:szCs w:val="16"/>
              </w:rPr>
              <w:t>Neutropenia febril</w:t>
            </w:r>
          </w:p>
        </w:tc>
        <w:tc>
          <w:tcPr>
            <w:tcW w:w="926" w:type="dxa"/>
          </w:tcPr>
          <w:p w14:paraId="5552932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BE525D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0E9E362"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7C4C925"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79%</w:t>
            </w:r>
          </w:p>
        </w:tc>
        <w:tc>
          <w:tcPr>
            <w:tcW w:w="851" w:type="dxa"/>
          </w:tcPr>
          <w:p w14:paraId="4365602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3271AC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2E3B8C5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79%</w:t>
            </w:r>
          </w:p>
        </w:tc>
      </w:tr>
      <w:tr w:rsidR="009D55C9" w14:paraId="62B95CE4" w14:textId="77777777" w:rsidTr="00DD6ECF">
        <w:trPr>
          <w:trHeight w:val="66"/>
        </w:trPr>
        <w:tc>
          <w:tcPr>
            <w:tcW w:w="2405" w:type="dxa"/>
          </w:tcPr>
          <w:p w14:paraId="1376C4BD" w14:textId="77777777" w:rsidR="009D55C9" w:rsidRDefault="005A57E0">
            <w:pPr>
              <w:ind w:left="0" w:hanging="2"/>
              <w:rPr>
                <w:rFonts w:ascii="Arial" w:eastAsia="Arial" w:hAnsi="Arial" w:cs="Arial"/>
                <w:sz w:val="16"/>
                <w:szCs w:val="16"/>
              </w:rPr>
            </w:pPr>
            <w:r>
              <w:rPr>
                <w:rFonts w:ascii="Arial" w:eastAsia="Arial" w:hAnsi="Arial" w:cs="Arial"/>
                <w:sz w:val="16"/>
                <w:szCs w:val="16"/>
              </w:rPr>
              <w:t>Alteración de la marcha</w:t>
            </w:r>
          </w:p>
        </w:tc>
        <w:tc>
          <w:tcPr>
            <w:tcW w:w="926" w:type="dxa"/>
          </w:tcPr>
          <w:p w14:paraId="4E663C88"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992" w:type="dxa"/>
          </w:tcPr>
          <w:p w14:paraId="432D1E4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34EE45D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3FABCC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c>
          <w:tcPr>
            <w:tcW w:w="851" w:type="dxa"/>
          </w:tcPr>
          <w:p w14:paraId="3528C615"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c>
          <w:tcPr>
            <w:tcW w:w="992" w:type="dxa"/>
          </w:tcPr>
          <w:p w14:paraId="7843D86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5DD22A9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52%</w:t>
            </w:r>
          </w:p>
        </w:tc>
      </w:tr>
      <w:tr w:rsidR="009D55C9" w14:paraId="72529109" w14:textId="77777777" w:rsidTr="00DD6ECF">
        <w:trPr>
          <w:trHeight w:val="66"/>
        </w:trPr>
        <w:tc>
          <w:tcPr>
            <w:tcW w:w="2405" w:type="dxa"/>
          </w:tcPr>
          <w:p w14:paraId="7C2D75D5" w14:textId="77777777" w:rsidR="009D55C9" w:rsidRDefault="005A57E0">
            <w:pPr>
              <w:ind w:left="0" w:hanging="2"/>
              <w:rPr>
                <w:rFonts w:ascii="Arial" w:eastAsia="Arial" w:hAnsi="Arial" w:cs="Arial"/>
                <w:sz w:val="16"/>
                <w:szCs w:val="16"/>
              </w:rPr>
            </w:pPr>
            <w:r>
              <w:rPr>
                <w:rFonts w:ascii="Arial" w:eastAsia="Arial" w:hAnsi="Arial" w:cs="Arial"/>
                <w:sz w:val="16"/>
                <w:szCs w:val="16"/>
              </w:rPr>
              <w:t>Estomatitis</w:t>
            </w:r>
          </w:p>
        </w:tc>
        <w:tc>
          <w:tcPr>
            <w:tcW w:w="926" w:type="dxa"/>
          </w:tcPr>
          <w:p w14:paraId="770E78D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13FCCA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79B84E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74456D8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41%</w:t>
            </w:r>
          </w:p>
        </w:tc>
        <w:tc>
          <w:tcPr>
            <w:tcW w:w="851" w:type="dxa"/>
          </w:tcPr>
          <w:p w14:paraId="2687A57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3CE3276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16CB46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41%</w:t>
            </w:r>
          </w:p>
        </w:tc>
      </w:tr>
      <w:tr w:rsidR="009D55C9" w14:paraId="4F6965FB" w14:textId="77777777" w:rsidTr="00DD6ECF">
        <w:trPr>
          <w:trHeight w:val="66"/>
        </w:trPr>
        <w:tc>
          <w:tcPr>
            <w:tcW w:w="2405" w:type="dxa"/>
          </w:tcPr>
          <w:p w14:paraId="64930592" w14:textId="77777777" w:rsidR="009D55C9" w:rsidRDefault="005A57E0">
            <w:pPr>
              <w:ind w:left="0" w:hanging="2"/>
              <w:rPr>
                <w:rFonts w:ascii="Arial" w:eastAsia="Arial" w:hAnsi="Arial" w:cs="Arial"/>
                <w:sz w:val="16"/>
                <w:szCs w:val="16"/>
              </w:rPr>
            </w:pPr>
            <w:r>
              <w:rPr>
                <w:rFonts w:ascii="Arial" w:eastAsia="Arial" w:hAnsi="Arial" w:cs="Arial"/>
                <w:sz w:val="16"/>
                <w:szCs w:val="16"/>
              </w:rPr>
              <w:t>Disfunción motora</w:t>
            </w:r>
          </w:p>
        </w:tc>
        <w:tc>
          <w:tcPr>
            <w:tcW w:w="926" w:type="dxa"/>
          </w:tcPr>
          <w:p w14:paraId="7749A34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F08E00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2888B9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7B5F3DF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0FDA577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24%</w:t>
            </w:r>
          </w:p>
        </w:tc>
        <w:tc>
          <w:tcPr>
            <w:tcW w:w="992" w:type="dxa"/>
          </w:tcPr>
          <w:p w14:paraId="46599B5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6A913C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r>
      <w:tr w:rsidR="009D55C9" w14:paraId="545526C9" w14:textId="77777777" w:rsidTr="00DD6ECF">
        <w:trPr>
          <w:trHeight w:val="66"/>
        </w:trPr>
        <w:tc>
          <w:tcPr>
            <w:tcW w:w="2405" w:type="dxa"/>
          </w:tcPr>
          <w:p w14:paraId="197A252E" w14:textId="77777777" w:rsidR="009D55C9" w:rsidRDefault="005A57E0">
            <w:pPr>
              <w:ind w:left="0" w:hanging="2"/>
              <w:rPr>
                <w:rFonts w:ascii="Arial" w:eastAsia="Arial" w:hAnsi="Arial" w:cs="Arial"/>
                <w:sz w:val="16"/>
                <w:szCs w:val="16"/>
              </w:rPr>
            </w:pPr>
            <w:r>
              <w:rPr>
                <w:rFonts w:ascii="Arial" w:eastAsia="Arial" w:hAnsi="Arial" w:cs="Arial"/>
                <w:sz w:val="16"/>
                <w:szCs w:val="16"/>
              </w:rPr>
              <w:t>Espasticidad muscular</w:t>
            </w:r>
          </w:p>
        </w:tc>
        <w:tc>
          <w:tcPr>
            <w:tcW w:w="926" w:type="dxa"/>
          </w:tcPr>
          <w:p w14:paraId="7DF104C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250AFB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C72CC1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B0C4D7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1203E60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21%</w:t>
            </w:r>
          </w:p>
        </w:tc>
        <w:tc>
          <w:tcPr>
            <w:tcW w:w="992" w:type="dxa"/>
          </w:tcPr>
          <w:p w14:paraId="3A9B9B2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13%</w:t>
            </w:r>
          </w:p>
        </w:tc>
        <w:tc>
          <w:tcPr>
            <w:tcW w:w="1186" w:type="dxa"/>
          </w:tcPr>
          <w:p w14:paraId="7E9C7C3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r>
      <w:tr w:rsidR="009D55C9" w14:paraId="4DD9EB5F" w14:textId="77777777" w:rsidTr="00DD6ECF">
        <w:trPr>
          <w:trHeight w:val="66"/>
        </w:trPr>
        <w:tc>
          <w:tcPr>
            <w:tcW w:w="2405" w:type="dxa"/>
          </w:tcPr>
          <w:p w14:paraId="61BDD5D8" w14:textId="77777777" w:rsidR="009D55C9" w:rsidRDefault="005A57E0">
            <w:pPr>
              <w:ind w:left="0" w:hanging="2"/>
              <w:rPr>
                <w:rFonts w:ascii="Arial" w:eastAsia="Arial" w:hAnsi="Arial" w:cs="Arial"/>
                <w:sz w:val="16"/>
                <w:szCs w:val="16"/>
              </w:rPr>
            </w:pPr>
            <w:r>
              <w:rPr>
                <w:rFonts w:ascii="Arial" w:eastAsia="Arial" w:hAnsi="Arial" w:cs="Arial"/>
                <w:sz w:val="16"/>
                <w:szCs w:val="16"/>
              </w:rPr>
              <w:t>Inflamación de la mucosa</w:t>
            </w:r>
          </w:p>
        </w:tc>
        <w:tc>
          <w:tcPr>
            <w:tcW w:w="926" w:type="dxa"/>
          </w:tcPr>
          <w:p w14:paraId="4AC19DBA"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0CCD5B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4D30A67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5E6E6E1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c>
          <w:tcPr>
            <w:tcW w:w="851" w:type="dxa"/>
          </w:tcPr>
          <w:p w14:paraId="4D82EF6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33281ED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2533C35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31%</w:t>
            </w:r>
          </w:p>
        </w:tc>
      </w:tr>
      <w:tr w:rsidR="009D55C9" w14:paraId="2A30A0C9" w14:textId="77777777" w:rsidTr="00DD6ECF">
        <w:trPr>
          <w:trHeight w:val="66"/>
        </w:trPr>
        <w:tc>
          <w:tcPr>
            <w:tcW w:w="2405" w:type="dxa"/>
          </w:tcPr>
          <w:p w14:paraId="3C2784A3" w14:textId="77777777" w:rsidR="009D55C9" w:rsidRDefault="005A57E0">
            <w:pPr>
              <w:ind w:left="0" w:hanging="2"/>
              <w:rPr>
                <w:rFonts w:ascii="Arial" w:eastAsia="Arial" w:hAnsi="Arial" w:cs="Arial"/>
                <w:sz w:val="16"/>
                <w:szCs w:val="16"/>
              </w:rPr>
            </w:pPr>
            <w:r>
              <w:rPr>
                <w:rFonts w:ascii="Arial" w:eastAsia="Arial" w:hAnsi="Arial" w:cs="Arial"/>
                <w:sz w:val="16"/>
                <w:szCs w:val="16"/>
              </w:rPr>
              <w:t>Afasia</w:t>
            </w:r>
          </w:p>
        </w:tc>
        <w:tc>
          <w:tcPr>
            <w:tcW w:w="926" w:type="dxa"/>
          </w:tcPr>
          <w:p w14:paraId="531834F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2B5843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689EBFB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D2DF27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56BB023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c>
          <w:tcPr>
            <w:tcW w:w="992" w:type="dxa"/>
          </w:tcPr>
          <w:p w14:paraId="5F51BD8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5DE1601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21%</w:t>
            </w:r>
          </w:p>
        </w:tc>
      </w:tr>
      <w:tr w:rsidR="009D55C9" w14:paraId="037E6CD5" w14:textId="77777777" w:rsidTr="00DD6ECF">
        <w:trPr>
          <w:trHeight w:val="66"/>
        </w:trPr>
        <w:tc>
          <w:tcPr>
            <w:tcW w:w="2405" w:type="dxa"/>
          </w:tcPr>
          <w:p w14:paraId="2695029B" w14:textId="77777777" w:rsidR="009D55C9" w:rsidRDefault="005A57E0">
            <w:pPr>
              <w:ind w:left="0" w:hanging="2"/>
              <w:rPr>
                <w:rFonts w:ascii="Arial" w:eastAsia="Arial" w:hAnsi="Arial" w:cs="Arial"/>
                <w:sz w:val="16"/>
                <w:szCs w:val="16"/>
              </w:rPr>
            </w:pPr>
            <w:r>
              <w:rPr>
                <w:rFonts w:ascii="Arial" w:eastAsia="Arial" w:hAnsi="Arial" w:cs="Arial"/>
                <w:sz w:val="16"/>
                <w:szCs w:val="16"/>
              </w:rPr>
              <w:t>Ataxia</w:t>
            </w:r>
          </w:p>
        </w:tc>
        <w:tc>
          <w:tcPr>
            <w:tcW w:w="926" w:type="dxa"/>
          </w:tcPr>
          <w:p w14:paraId="3D91C80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1CB2A41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C4D8BA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15F441B8"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5689E97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03CE47D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BA77D4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76B9A93C" w14:textId="77777777" w:rsidTr="00DD6ECF">
        <w:trPr>
          <w:trHeight w:val="66"/>
        </w:trPr>
        <w:tc>
          <w:tcPr>
            <w:tcW w:w="2405" w:type="dxa"/>
          </w:tcPr>
          <w:p w14:paraId="2421DEE7" w14:textId="77777777" w:rsidR="009D55C9" w:rsidRDefault="005A57E0">
            <w:pPr>
              <w:ind w:left="0" w:hanging="2"/>
              <w:rPr>
                <w:rFonts w:ascii="Arial" w:eastAsia="Arial" w:hAnsi="Arial" w:cs="Arial"/>
                <w:sz w:val="16"/>
                <w:szCs w:val="16"/>
              </w:rPr>
            </w:pPr>
            <w:r>
              <w:rPr>
                <w:rFonts w:ascii="Arial" w:eastAsia="Arial" w:hAnsi="Arial" w:cs="Arial"/>
                <w:sz w:val="16"/>
                <w:szCs w:val="16"/>
              </w:rPr>
              <w:t>Infecc. relac. con dispositivos</w:t>
            </w:r>
          </w:p>
        </w:tc>
        <w:tc>
          <w:tcPr>
            <w:tcW w:w="926" w:type="dxa"/>
          </w:tcPr>
          <w:p w14:paraId="42710E3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063C67E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66B84D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75D3866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4ED882B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631ADFF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90F303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3DCE9240" w14:textId="77777777" w:rsidTr="00DD6ECF">
        <w:trPr>
          <w:trHeight w:val="66"/>
        </w:trPr>
        <w:tc>
          <w:tcPr>
            <w:tcW w:w="2405" w:type="dxa"/>
          </w:tcPr>
          <w:p w14:paraId="4B9E5B48" w14:textId="77777777" w:rsidR="009D55C9" w:rsidRDefault="005A57E0">
            <w:pPr>
              <w:ind w:left="0" w:hanging="2"/>
              <w:rPr>
                <w:rFonts w:ascii="Arial" w:eastAsia="Arial" w:hAnsi="Arial" w:cs="Arial"/>
                <w:sz w:val="16"/>
                <w:szCs w:val="16"/>
              </w:rPr>
            </w:pPr>
            <w:r>
              <w:rPr>
                <w:rFonts w:ascii="Arial" w:eastAsia="Arial" w:hAnsi="Arial" w:cs="Arial"/>
                <w:sz w:val="16"/>
                <w:szCs w:val="16"/>
              </w:rPr>
              <w:t>Neutropenia</w:t>
            </w:r>
          </w:p>
        </w:tc>
        <w:tc>
          <w:tcPr>
            <w:tcW w:w="926" w:type="dxa"/>
          </w:tcPr>
          <w:p w14:paraId="1520B5F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2F2AD2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2E8E5B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4BC17AB1"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c>
          <w:tcPr>
            <w:tcW w:w="851" w:type="dxa"/>
          </w:tcPr>
          <w:p w14:paraId="588CB0A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861635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3B2CB954"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208675E5" w14:textId="77777777" w:rsidTr="00DD6ECF">
        <w:trPr>
          <w:trHeight w:val="66"/>
        </w:trPr>
        <w:tc>
          <w:tcPr>
            <w:tcW w:w="2405" w:type="dxa"/>
          </w:tcPr>
          <w:p w14:paraId="38CD66B6" w14:textId="77777777" w:rsidR="009D55C9" w:rsidRDefault="005A57E0">
            <w:pPr>
              <w:ind w:left="0" w:hanging="2"/>
              <w:rPr>
                <w:rFonts w:ascii="Arial" w:eastAsia="Arial" w:hAnsi="Arial" w:cs="Arial"/>
                <w:sz w:val="16"/>
                <w:szCs w:val="16"/>
              </w:rPr>
            </w:pPr>
            <w:r>
              <w:rPr>
                <w:rFonts w:ascii="Arial" w:eastAsia="Arial" w:hAnsi="Arial" w:cs="Arial"/>
                <w:sz w:val="16"/>
                <w:szCs w:val="16"/>
              </w:rPr>
              <w:t>Trastorno cognitivo</w:t>
            </w:r>
          </w:p>
        </w:tc>
        <w:tc>
          <w:tcPr>
            <w:tcW w:w="926" w:type="dxa"/>
          </w:tcPr>
          <w:p w14:paraId="3AEA163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162AAAC"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13A63E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817391C"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6DF6B6B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2CCD9EF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67577092"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r>
      <w:tr w:rsidR="009D55C9" w14:paraId="5323D6A0" w14:textId="77777777" w:rsidTr="00DD6ECF">
        <w:trPr>
          <w:trHeight w:val="66"/>
        </w:trPr>
        <w:tc>
          <w:tcPr>
            <w:tcW w:w="2405" w:type="dxa"/>
          </w:tcPr>
          <w:p w14:paraId="61659866" w14:textId="77777777" w:rsidR="009D55C9" w:rsidRDefault="005A57E0">
            <w:pPr>
              <w:ind w:left="0" w:hanging="2"/>
              <w:rPr>
                <w:rFonts w:ascii="Arial" w:eastAsia="Arial" w:hAnsi="Arial" w:cs="Arial"/>
                <w:sz w:val="16"/>
                <w:szCs w:val="16"/>
              </w:rPr>
            </w:pPr>
            <w:r>
              <w:rPr>
                <w:rFonts w:ascii="Arial" w:eastAsia="Arial" w:hAnsi="Arial" w:cs="Arial"/>
                <w:sz w:val="16"/>
                <w:szCs w:val="16"/>
              </w:rPr>
              <w:t>Disartria</w:t>
            </w:r>
          </w:p>
        </w:tc>
        <w:tc>
          <w:tcPr>
            <w:tcW w:w="926" w:type="dxa"/>
          </w:tcPr>
          <w:p w14:paraId="1194627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49227C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60DC2A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08F08E8E"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0F999F0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c>
          <w:tcPr>
            <w:tcW w:w="992" w:type="dxa"/>
          </w:tcPr>
          <w:p w14:paraId="13758C6F"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F99321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17%</w:t>
            </w:r>
          </w:p>
        </w:tc>
      </w:tr>
      <w:tr w:rsidR="009D55C9" w14:paraId="6AC7E131" w14:textId="77777777" w:rsidTr="00DD6ECF">
        <w:trPr>
          <w:trHeight w:val="66"/>
        </w:trPr>
        <w:tc>
          <w:tcPr>
            <w:tcW w:w="2405" w:type="dxa"/>
          </w:tcPr>
          <w:p w14:paraId="20EDA765" w14:textId="77777777" w:rsidR="009D55C9" w:rsidRDefault="005A57E0">
            <w:pPr>
              <w:ind w:left="0" w:hanging="2"/>
              <w:rPr>
                <w:rFonts w:ascii="Arial" w:eastAsia="Arial" w:hAnsi="Arial" w:cs="Arial"/>
                <w:sz w:val="16"/>
                <w:szCs w:val="16"/>
              </w:rPr>
            </w:pPr>
            <w:r>
              <w:rPr>
                <w:rFonts w:ascii="Arial" w:eastAsia="Arial" w:hAnsi="Arial" w:cs="Arial"/>
                <w:sz w:val="16"/>
                <w:szCs w:val="16"/>
              </w:rPr>
              <w:t>Disfagia</w:t>
            </w:r>
          </w:p>
        </w:tc>
        <w:tc>
          <w:tcPr>
            <w:tcW w:w="926" w:type="dxa"/>
          </w:tcPr>
          <w:p w14:paraId="583B9D6A"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212CF8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26B0A76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621375E2"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1F9E50E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17931DD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01EC8C1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r>
      <w:tr w:rsidR="009D55C9" w14:paraId="6D881658" w14:textId="77777777" w:rsidTr="00DD6ECF">
        <w:trPr>
          <w:trHeight w:val="66"/>
        </w:trPr>
        <w:tc>
          <w:tcPr>
            <w:tcW w:w="2405" w:type="dxa"/>
          </w:tcPr>
          <w:p w14:paraId="1116F889" w14:textId="77777777" w:rsidR="009D55C9" w:rsidRDefault="005A57E0">
            <w:pPr>
              <w:ind w:left="0" w:hanging="2"/>
              <w:rPr>
                <w:rFonts w:ascii="Arial" w:eastAsia="Arial" w:hAnsi="Arial" w:cs="Arial"/>
                <w:sz w:val="16"/>
                <w:szCs w:val="16"/>
              </w:rPr>
            </w:pPr>
            <w:r>
              <w:rPr>
                <w:rFonts w:ascii="Arial" w:eastAsia="Arial" w:hAnsi="Arial" w:cs="Arial"/>
                <w:sz w:val="16"/>
                <w:szCs w:val="16"/>
              </w:rPr>
              <w:t>Vómitos</w:t>
            </w:r>
          </w:p>
        </w:tc>
        <w:tc>
          <w:tcPr>
            <w:tcW w:w="926" w:type="dxa"/>
          </w:tcPr>
          <w:p w14:paraId="3949612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F22118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69065C0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404598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851" w:type="dxa"/>
          </w:tcPr>
          <w:p w14:paraId="25EC18C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D7EE6E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386DF621"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r>
      <w:tr w:rsidR="009D55C9" w14:paraId="0C704F6F" w14:textId="77777777" w:rsidTr="00DD6ECF">
        <w:trPr>
          <w:trHeight w:val="66"/>
        </w:trPr>
        <w:tc>
          <w:tcPr>
            <w:tcW w:w="2405" w:type="dxa"/>
          </w:tcPr>
          <w:p w14:paraId="18CE1D51" w14:textId="77777777" w:rsidR="009D55C9" w:rsidRDefault="005A57E0">
            <w:pPr>
              <w:ind w:left="0" w:hanging="2"/>
              <w:rPr>
                <w:rFonts w:ascii="Arial" w:eastAsia="Arial" w:hAnsi="Arial" w:cs="Arial"/>
                <w:sz w:val="16"/>
                <w:szCs w:val="16"/>
              </w:rPr>
            </w:pPr>
            <w:r>
              <w:rPr>
                <w:rFonts w:ascii="Arial" w:eastAsia="Arial" w:hAnsi="Arial" w:cs="Arial"/>
                <w:sz w:val="16"/>
                <w:szCs w:val="16"/>
              </w:rPr>
              <w:t>Enteritis</w:t>
            </w:r>
          </w:p>
        </w:tc>
        <w:tc>
          <w:tcPr>
            <w:tcW w:w="926" w:type="dxa"/>
          </w:tcPr>
          <w:p w14:paraId="36475CE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AC3F7C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B04D89D"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03F70B01" w14:textId="77777777" w:rsidR="009D55C9" w:rsidRDefault="00DD6ECF">
            <w:pPr>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376DE48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992" w:type="dxa"/>
          </w:tcPr>
          <w:p w14:paraId="0DE4ED9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227C0FA1"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4C5C27E9" w14:textId="77777777" w:rsidTr="00DD6ECF">
        <w:trPr>
          <w:trHeight w:val="66"/>
        </w:trPr>
        <w:tc>
          <w:tcPr>
            <w:tcW w:w="2405" w:type="dxa"/>
          </w:tcPr>
          <w:p w14:paraId="4BA414CA" w14:textId="77777777" w:rsidR="009D55C9" w:rsidRDefault="005A57E0">
            <w:pPr>
              <w:ind w:left="0" w:hanging="2"/>
              <w:rPr>
                <w:rFonts w:ascii="Arial" w:eastAsia="Arial" w:hAnsi="Arial" w:cs="Arial"/>
                <w:sz w:val="16"/>
                <w:szCs w:val="16"/>
              </w:rPr>
            </w:pPr>
            <w:r>
              <w:rPr>
                <w:rFonts w:ascii="Arial" w:eastAsia="Arial" w:hAnsi="Arial" w:cs="Arial"/>
                <w:sz w:val="16"/>
                <w:szCs w:val="16"/>
              </w:rPr>
              <w:t>Acidosis metabólica</w:t>
            </w:r>
          </w:p>
        </w:tc>
        <w:tc>
          <w:tcPr>
            <w:tcW w:w="926" w:type="dxa"/>
          </w:tcPr>
          <w:p w14:paraId="70BE5D73"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992" w:type="dxa"/>
          </w:tcPr>
          <w:p w14:paraId="5213FD5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14%</w:t>
            </w:r>
          </w:p>
        </w:tc>
        <w:tc>
          <w:tcPr>
            <w:tcW w:w="709" w:type="dxa"/>
          </w:tcPr>
          <w:p w14:paraId="63EAB01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D7373F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1134E1B7"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992" w:type="dxa"/>
          </w:tcPr>
          <w:p w14:paraId="34C3DD2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5909144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459FA5FE" w14:textId="77777777" w:rsidTr="00DD6ECF">
        <w:trPr>
          <w:trHeight w:val="66"/>
        </w:trPr>
        <w:tc>
          <w:tcPr>
            <w:tcW w:w="2405" w:type="dxa"/>
          </w:tcPr>
          <w:p w14:paraId="0673E4FF" w14:textId="77777777" w:rsidR="009D55C9" w:rsidRDefault="005A57E0">
            <w:pPr>
              <w:ind w:left="0" w:hanging="2"/>
              <w:rPr>
                <w:rFonts w:ascii="Arial" w:eastAsia="Arial" w:hAnsi="Arial" w:cs="Arial"/>
                <w:sz w:val="16"/>
                <w:szCs w:val="16"/>
              </w:rPr>
            </w:pPr>
            <w:r>
              <w:rPr>
                <w:rFonts w:ascii="Arial" w:eastAsia="Arial" w:hAnsi="Arial" w:cs="Arial"/>
                <w:sz w:val="16"/>
                <w:szCs w:val="16"/>
              </w:rPr>
              <w:t>Neumonía</w:t>
            </w:r>
          </w:p>
        </w:tc>
        <w:tc>
          <w:tcPr>
            <w:tcW w:w="926" w:type="dxa"/>
          </w:tcPr>
          <w:p w14:paraId="2724CBD4"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9AC388A"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6F01ECA2"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7DFEF4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851" w:type="dxa"/>
          </w:tcPr>
          <w:p w14:paraId="24EB23F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992" w:type="dxa"/>
          </w:tcPr>
          <w:p w14:paraId="6BCFF59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240DEF3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6C0EA008" w14:textId="77777777" w:rsidTr="00DD6ECF">
        <w:trPr>
          <w:trHeight w:val="66"/>
        </w:trPr>
        <w:tc>
          <w:tcPr>
            <w:tcW w:w="2405" w:type="dxa"/>
          </w:tcPr>
          <w:p w14:paraId="18AFC8E8" w14:textId="77777777" w:rsidR="009D55C9" w:rsidRDefault="005A57E0">
            <w:pPr>
              <w:ind w:left="0" w:hanging="2"/>
              <w:rPr>
                <w:rFonts w:ascii="Arial" w:eastAsia="Arial" w:hAnsi="Arial" w:cs="Arial"/>
                <w:sz w:val="16"/>
                <w:szCs w:val="16"/>
              </w:rPr>
            </w:pPr>
            <w:r>
              <w:rPr>
                <w:rFonts w:ascii="Arial" w:eastAsia="Arial" w:hAnsi="Arial" w:cs="Arial"/>
                <w:sz w:val="16"/>
                <w:szCs w:val="16"/>
              </w:rPr>
              <w:t>EVO hepática</w:t>
            </w:r>
          </w:p>
        </w:tc>
        <w:tc>
          <w:tcPr>
            <w:tcW w:w="926" w:type="dxa"/>
          </w:tcPr>
          <w:p w14:paraId="2ABB38A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6B787C3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84209E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68826DC8"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c>
          <w:tcPr>
            <w:tcW w:w="851" w:type="dxa"/>
          </w:tcPr>
          <w:p w14:paraId="6EBA787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02AC027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BE645C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10%</w:t>
            </w:r>
          </w:p>
        </w:tc>
      </w:tr>
      <w:tr w:rsidR="009D55C9" w14:paraId="1BE1E8EF" w14:textId="77777777" w:rsidTr="00DD6ECF">
        <w:trPr>
          <w:trHeight w:val="66"/>
        </w:trPr>
        <w:tc>
          <w:tcPr>
            <w:tcW w:w="2405" w:type="dxa"/>
          </w:tcPr>
          <w:p w14:paraId="081E361D" w14:textId="77777777" w:rsidR="009D55C9" w:rsidRDefault="005A57E0">
            <w:pPr>
              <w:ind w:left="0" w:hanging="2"/>
              <w:rPr>
                <w:rFonts w:ascii="Arial" w:eastAsia="Arial" w:hAnsi="Arial" w:cs="Arial"/>
                <w:sz w:val="16"/>
                <w:szCs w:val="16"/>
              </w:rPr>
            </w:pPr>
            <w:r>
              <w:rPr>
                <w:rFonts w:ascii="Arial" w:eastAsia="Arial" w:hAnsi="Arial" w:cs="Arial"/>
                <w:sz w:val="16"/>
                <w:szCs w:val="16"/>
              </w:rPr>
              <w:t>SHUa</w:t>
            </w:r>
          </w:p>
        </w:tc>
        <w:tc>
          <w:tcPr>
            <w:tcW w:w="926" w:type="dxa"/>
          </w:tcPr>
          <w:p w14:paraId="0A0EBCE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7271662B"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03697CA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00E0D8D6"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4CEB310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75C3D41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4AC952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08467841" w14:textId="77777777" w:rsidTr="00DD6ECF">
        <w:trPr>
          <w:trHeight w:val="66"/>
        </w:trPr>
        <w:tc>
          <w:tcPr>
            <w:tcW w:w="2405" w:type="dxa"/>
          </w:tcPr>
          <w:p w14:paraId="44B1D97D" w14:textId="77777777" w:rsidR="009D55C9" w:rsidRDefault="005A57E0">
            <w:pPr>
              <w:ind w:left="0" w:hanging="2"/>
              <w:rPr>
                <w:rFonts w:ascii="Arial" w:eastAsia="Arial" w:hAnsi="Arial" w:cs="Arial"/>
                <w:sz w:val="16"/>
                <w:szCs w:val="16"/>
              </w:rPr>
            </w:pPr>
            <w:r>
              <w:rPr>
                <w:rFonts w:ascii="Arial" w:eastAsia="Arial" w:hAnsi="Arial" w:cs="Arial"/>
                <w:sz w:val="16"/>
                <w:szCs w:val="16"/>
              </w:rPr>
              <w:t>Colitis por C.difficile</w:t>
            </w:r>
          </w:p>
        </w:tc>
        <w:tc>
          <w:tcPr>
            <w:tcW w:w="926" w:type="dxa"/>
          </w:tcPr>
          <w:p w14:paraId="75F160E1"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481E9B1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93084DD"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3566056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25E90DB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78BFF72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77796C8E"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182162C4" w14:textId="77777777" w:rsidTr="00DD6ECF">
        <w:trPr>
          <w:trHeight w:val="66"/>
        </w:trPr>
        <w:tc>
          <w:tcPr>
            <w:tcW w:w="2405" w:type="dxa"/>
          </w:tcPr>
          <w:p w14:paraId="1280020D" w14:textId="77777777" w:rsidR="009D55C9" w:rsidRDefault="005A57E0">
            <w:pPr>
              <w:ind w:left="0" w:hanging="2"/>
              <w:rPr>
                <w:rFonts w:ascii="Arial" w:eastAsia="Arial" w:hAnsi="Arial" w:cs="Arial"/>
                <w:sz w:val="16"/>
                <w:szCs w:val="16"/>
              </w:rPr>
            </w:pPr>
            <w:r>
              <w:rPr>
                <w:rFonts w:ascii="Arial" w:eastAsia="Arial" w:hAnsi="Arial" w:cs="Arial"/>
                <w:sz w:val="16"/>
                <w:szCs w:val="16"/>
              </w:rPr>
              <w:t>Epistaxis</w:t>
            </w:r>
          </w:p>
        </w:tc>
        <w:tc>
          <w:tcPr>
            <w:tcW w:w="926" w:type="dxa"/>
          </w:tcPr>
          <w:p w14:paraId="53DB552F"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05FC936"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15B6EDF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25D4E6C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73A6B217"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D0B0CF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0BFD869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646D2AF0" w14:textId="77777777" w:rsidTr="00DD6ECF">
        <w:trPr>
          <w:trHeight w:val="66"/>
        </w:trPr>
        <w:tc>
          <w:tcPr>
            <w:tcW w:w="2405" w:type="dxa"/>
          </w:tcPr>
          <w:p w14:paraId="53D6C21C" w14:textId="77777777" w:rsidR="009D55C9" w:rsidRDefault="005A57E0">
            <w:pPr>
              <w:ind w:left="0" w:hanging="2"/>
              <w:rPr>
                <w:rFonts w:ascii="Arial" w:eastAsia="Arial" w:hAnsi="Arial" w:cs="Arial"/>
                <w:sz w:val="16"/>
                <w:szCs w:val="16"/>
              </w:rPr>
            </w:pPr>
            <w:r>
              <w:rPr>
                <w:rFonts w:ascii="Arial" w:eastAsia="Arial" w:hAnsi="Arial" w:cs="Arial"/>
                <w:sz w:val="16"/>
                <w:szCs w:val="16"/>
              </w:rPr>
              <w:t>Rash eritematoso</w:t>
            </w:r>
          </w:p>
        </w:tc>
        <w:tc>
          <w:tcPr>
            <w:tcW w:w="926" w:type="dxa"/>
          </w:tcPr>
          <w:p w14:paraId="70E17BE5"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155AE43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5AF22510"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1684C629"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c>
          <w:tcPr>
            <w:tcW w:w="851" w:type="dxa"/>
          </w:tcPr>
          <w:p w14:paraId="7EB2C338"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2AF8419E"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1186" w:type="dxa"/>
          </w:tcPr>
          <w:p w14:paraId="10FA110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r w:rsidR="009D55C9" w14:paraId="2113C761" w14:textId="77777777" w:rsidTr="00DD6ECF">
        <w:trPr>
          <w:trHeight w:val="48"/>
        </w:trPr>
        <w:tc>
          <w:tcPr>
            <w:tcW w:w="2405" w:type="dxa"/>
          </w:tcPr>
          <w:p w14:paraId="4B1525C2" w14:textId="77777777" w:rsidR="009D55C9" w:rsidRDefault="005A57E0">
            <w:pPr>
              <w:ind w:left="0" w:hanging="2"/>
              <w:rPr>
                <w:rFonts w:ascii="Arial" w:eastAsia="Arial" w:hAnsi="Arial" w:cs="Arial"/>
                <w:sz w:val="16"/>
                <w:szCs w:val="16"/>
              </w:rPr>
            </w:pPr>
            <w:r>
              <w:rPr>
                <w:rFonts w:ascii="Arial" w:eastAsia="Arial" w:hAnsi="Arial" w:cs="Arial"/>
                <w:sz w:val="16"/>
                <w:szCs w:val="16"/>
              </w:rPr>
              <w:t>Convulsiones</w:t>
            </w:r>
          </w:p>
        </w:tc>
        <w:tc>
          <w:tcPr>
            <w:tcW w:w="926" w:type="dxa"/>
          </w:tcPr>
          <w:p w14:paraId="055664E3"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992" w:type="dxa"/>
          </w:tcPr>
          <w:p w14:paraId="5E69110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09" w:type="dxa"/>
          </w:tcPr>
          <w:p w14:paraId="7FBF656D"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775" w:type="dxa"/>
          </w:tcPr>
          <w:p w14:paraId="6CA2FAA9" w14:textId="77777777" w:rsidR="009D55C9" w:rsidRDefault="005A57E0">
            <w:pPr>
              <w:tabs>
                <w:tab w:val="center" w:pos="851"/>
              </w:tabs>
              <w:ind w:left="0" w:hanging="2"/>
              <w:jc w:val="center"/>
              <w:rPr>
                <w:rFonts w:ascii="Arial" w:eastAsia="Arial" w:hAnsi="Arial" w:cs="Arial"/>
                <w:sz w:val="16"/>
                <w:szCs w:val="16"/>
              </w:rPr>
            </w:pPr>
            <w:r>
              <w:rPr>
                <w:rFonts w:ascii="Arial" w:eastAsia="Arial" w:hAnsi="Arial" w:cs="Arial"/>
                <w:sz w:val="16"/>
                <w:szCs w:val="16"/>
              </w:rPr>
              <w:t>0</w:t>
            </w:r>
          </w:p>
        </w:tc>
        <w:tc>
          <w:tcPr>
            <w:tcW w:w="851" w:type="dxa"/>
          </w:tcPr>
          <w:p w14:paraId="43770D2C"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w:t>
            </w:r>
          </w:p>
        </w:tc>
        <w:tc>
          <w:tcPr>
            <w:tcW w:w="992" w:type="dxa"/>
          </w:tcPr>
          <w:p w14:paraId="49411A7D"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6%</w:t>
            </w:r>
          </w:p>
        </w:tc>
        <w:tc>
          <w:tcPr>
            <w:tcW w:w="1186" w:type="dxa"/>
          </w:tcPr>
          <w:p w14:paraId="61A20E84"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7%</w:t>
            </w:r>
          </w:p>
        </w:tc>
      </w:tr>
    </w:tbl>
    <w:p w14:paraId="0ED49D85" w14:textId="77777777" w:rsidR="009D55C9" w:rsidRDefault="009D55C9">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bookmarkStart w:id="117" w:name="_heading=h.wqpeb0m7j9d9" w:colFirst="0" w:colLast="0"/>
      <w:bookmarkEnd w:id="117"/>
    </w:p>
    <w:p w14:paraId="0DABC386" w14:textId="77777777" w:rsidR="00B72728" w:rsidRDefault="00B72728">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14:paraId="117894BE" w14:textId="77777777" w:rsidR="009D55C9" w:rsidRPr="00C55F60"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18"/>
        </w:rPr>
      </w:pPr>
      <w:r w:rsidRPr="00C55F60">
        <w:rPr>
          <w:rFonts w:ascii="Arial" w:eastAsia="Arial" w:hAnsi="Arial" w:cs="Arial"/>
          <w:b/>
          <w:i/>
          <w:color w:val="000000"/>
          <w:sz w:val="20"/>
          <w:szCs w:val="18"/>
        </w:rPr>
        <w:t>6.2 Ensayos Clínicos comparativos.</w:t>
      </w:r>
    </w:p>
    <w:p w14:paraId="59EF052E" w14:textId="77777777" w:rsidR="009D55C9" w:rsidRDefault="009D55C9">
      <w:pPr>
        <w:ind w:left="0" w:hanging="2"/>
        <w:rPr>
          <w:rFonts w:ascii="Arial" w:eastAsia="Arial" w:hAnsi="Arial" w:cs="Arial"/>
          <w:sz w:val="20"/>
          <w:szCs w:val="20"/>
        </w:rPr>
      </w:pPr>
    </w:p>
    <w:p w14:paraId="41A68C7A" w14:textId="77777777" w:rsidR="009D55C9" w:rsidRDefault="005A57E0">
      <w:pPr>
        <w:ind w:left="0" w:hanging="2"/>
        <w:rPr>
          <w:rFonts w:ascii="Arial" w:eastAsia="Arial" w:hAnsi="Arial" w:cs="Arial"/>
          <w:sz w:val="16"/>
          <w:szCs w:val="16"/>
        </w:rPr>
      </w:pPr>
      <w:r>
        <w:rPr>
          <w:rFonts w:ascii="Arial" w:eastAsia="Arial" w:hAnsi="Arial" w:cs="Arial"/>
          <w:sz w:val="20"/>
          <w:szCs w:val="20"/>
        </w:rPr>
        <w:t xml:space="preserve">No se dispone de ensayos clínicos comparativos. </w:t>
      </w:r>
    </w:p>
    <w:p w14:paraId="2D680B33" w14:textId="77777777" w:rsidR="009D55C9" w:rsidRDefault="009D55C9">
      <w:pPr>
        <w:ind w:left="0" w:hanging="2"/>
        <w:jc w:val="both"/>
        <w:rPr>
          <w:rFonts w:ascii="Arial" w:eastAsia="Arial" w:hAnsi="Arial" w:cs="Arial"/>
          <w:color w:val="000080"/>
          <w:sz w:val="20"/>
          <w:szCs w:val="20"/>
        </w:rPr>
      </w:pPr>
      <w:bookmarkStart w:id="118" w:name="_heading=h.2u6wntf" w:colFirst="0" w:colLast="0"/>
      <w:bookmarkEnd w:id="118"/>
    </w:p>
    <w:p w14:paraId="0B826611"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6.3 Fuentes secundarias sobre seguridad.</w:t>
      </w:r>
    </w:p>
    <w:p w14:paraId="2492590B" w14:textId="77777777" w:rsidR="009D55C9" w:rsidRDefault="009D55C9">
      <w:pPr>
        <w:ind w:left="0" w:hanging="2"/>
        <w:jc w:val="both"/>
        <w:rPr>
          <w:rFonts w:ascii="Arial" w:eastAsia="Arial" w:hAnsi="Arial" w:cs="Arial"/>
          <w:sz w:val="20"/>
          <w:szCs w:val="20"/>
        </w:rPr>
      </w:pPr>
    </w:p>
    <w:p w14:paraId="1D6EBDAF"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No disponemos de fuentes secundarias sobre seguridad que aporten datos significativamente diferentes de los anteriormente descritos. </w:t>
      </w:r>
    </w:p>
    <w:p w14:paraId="3C6FAF60" w14:textId="77777777" w:rsidR="00B72728" w:rsidRDefault="00B72728">
      <w:pPr>
        <w:ind w:left="0" w:hanging="2"/>
        <w:jc w:val="right"/>
        <w:rPr>
          <w:rFonts w:ascii="Arial" w:eastAsia="Arial" w:hAnsi="Arial" w:cs="Arial"/>
          <w:sz w:val="20"/>
          <w:szCs w:val="20"/>
        </w:rPr>
      </w:pPr>
      <w:bookmarkStart w:id="119" w:name="_heading=h.19c6y18" w:colFirst="0" w:colLast="0"/>
      <w:bookmarkEnd w:id="119"/>
    </w:p>
    <w:p w14:paraId="23A7D6AF" w14:textId="77777777" w:rsidR="009D55C9" w:rsidRDefault="005A57E0">
      <w:pPr>
        <w:ind w:left="0" w:hanging="2"/>
        <w:jc w:val="right"/>
        <w:rPr>
          <w:rFonts w:ascii="Arial" w:eastAsia="Arial" w:hAnsi="Arial" w:cs="Arial"/>
          <w:sz w:val="20"/>
          <w:szCs w:val="20"/>
        </w:rPr>
      </w:pPr>
      <w:r>
        <w:rPr>
          <w:rFonts w:ascii="Arial" w:eastAsia="Arial" w:hAnsi="Arial" w:cs="Arial"/>
          <w:sz w:val="20"/>
          <w:szCs w:val="20"/>
        </w:rPr>
        <w:t xml:space="preserve">                  </w:t>
      </w:r>
    </w:p>
    <w:p w14:paraId="78E3C51F"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6.4 Precauciones de empleo en casos especiales</w:t>
      </w:r>
      <w:r>
        <w:rPr>
          <w:rFonts w:ascii="Arial" w:eastAsia="Arial" w:hAnsi="Arial" w:cs="Arial"/>
          <w:b/>
          <w:i/>
          <w:color w:val="000000"/>
          <w:sz w:val="20"/>
          <w:szCs w:val="20"/>
          <w:vertAlign w:val="superscript"/>
        </w:rPr>
        <w:t>6</w:t>
      </w:r>
      <w:r>
        <w:rPr>
          <w:rFonts w:ascii="Arial" w:eastAsia="Arial" w:hAnsi="Arial" w:cs="Arial"/>
          <w:b/>
          <w:i/>
          <w:color w:val="000000"/>
          <w:sz w:val="20"/>
          <w:szCs w:val="20"/>
        </w:rPr>
        <w:t xml:space="preserve">. </w:t>
      </w:r>
    </w:p>
    <w:p w14:paraId="550E3663" w14:textId="77777777" w:rsidR="009D55C9" w:rsidRDefault="009D55C9">
      <w:pPr>
        <w:ind w:left="0" w:hanging="2"/>
        <w:rPr>
          <w:rFonts w:ascii="Arial" w:eastAsia="Arial" w:hAnsi="Arial" w:cs="Arial"/>
          <w:sz w:val="20"/>
          <w:szCs w:val="20"/>
        </w:rPr>
      </w:pPr>
    </w:p>
    <w:p w14:paraId="1D49652F" w14:textId="77777777" w:rsidR="009D55C9" w:rsidRDefault="005A57E0">
      <w:pPr>
        <w:ind w:left="0" w:hanging="2"/>
        <w:jc w:val="both"/>
        <w:rPr>
          <w:rFonts w:ascii="Arial" w:eastAsia="Arial" w:hAnsi="Arial" w:cs="Arial"/>
          <w:b/>
          <w:sz w:val="20"/>
          <w:szCs w:val="20"/>
          <w:u w:val="single"/>
        </w:rPr>
      </w:pPr>
      <w:r>
        <w:rPr>
          <w:rFonts w:ascii="Arial" w:eastAsia="Arial" w:hAnsi="Arial" w:cs="Arial"/>
          <w:b/>
          <w:sz w:val="20"/>
          <w:szCs w:val="20"/>
          <w:u w:val="single"/>
        </w:rPr>
        <w:t>Advertencias y precauciones especiales de empleo</w:t>
      </w:r>
    </w:p>
    <w:p w14:paraId="23BB8129" w14:textId="77777777" w:rsidR="009D55C9" w:rsidRDefault="009D55C9">
      <w:pPr>
        <w:ind w:left="0" w:hanging="2"/>
        <w:jc w:val="both"/>
        <w:rPr>
          <w:rFonts w:ascii="Arial" w:eastAsia="Arial" w:hAnsi="Arial" w:cs="Arial"/>
          <w:sz w:val="20"/>
          <w:szCs w:val="20"/>
        </w:rPr>
      </w:pPr>
      <w:bookmarkStart w:id="120" w:name="_heading=h.3tbugp1" w:colFirst="0" w:colLast="0"/>
      <w:bookmarkEnd w:id="120"/>
    </w:p>
    <w:p w14:paraId="6B56C780" w14:textId="77777777" w:rsidR="009D55C9" w:rsidRDefault="005A57E0">
      <w:pPr>
        <w:ind w:left="0" w:hanging="2"/>
        <w:jc w:val="both"/>
        <w:rPr>
          <w:rFonts w:ascii="Arial" w:eastAsia="Arial" w:hAnsi="Arial" w:cs="Arial"/>
          <w:sz w:val="20"/>
          <w:szCs w:val="20"/>
          <w:u w:val="single"/>
        </w:rPr>
      </w:pPr>
      <w:bookmarkStart w:id="121" w:name="_heading=h.85eb28ibug7e" w:colFirst="0" w:colLast="0"/>
      <w:bookmarkEnd w:id="121"/>
      <w:r>
        <w:rPr>
          <w:rFonts w:ascii="Arial" w:eastAsia="Arial" w:hAnsi="Arial" w:cs="Arial"/>
          <w:sz w:val="20"/>
          <w:szCs w:val="20"/>
          <w:u w:val="single"/>
        </w:rPr>
        <w:t>Trazabilidad</w:t>
      </w:r>
    </w:p>
    <w:p w14:paraId="7B306FE2" w14:textId="77777777" w:rsidR="009D55C9" w:rsidRDefault="005A57E0">
      <w:pPr>
        <w:ind w:left="0" w:hanging="2"/>
        <w:jc w:val="both"/>
        <w:rPr>
          <w:rFonts w:ascii="Arial" w:eastAsia="Arial" w:hAnsi="Arial" w:cs="Arial"/>
          <w:sz w:val="20"/>
          <w:szCs w:val="20"/>
        </w:rPr>
      </w:pPr>
      <w:bookmarkStart w:id="122" w:name="_heading=h.9307i4vb4ge0" w:colFirst="0" w:colLast="0"/>
      <w:bookmarkEnd w:id="122"/>
      <w:r>
        <w:rPr>
          <w:rFonts w:ascii="Arial" w:eastAsia="Arial" w:hAnsi="Arial" w:cs="Arial"/>
          <w:sz w:val="20"/>
          <w:szCs w:val="20"/>
        </w:rPr>
        <w:t>Se deben aplicar los requisitos de trazabilidad de los medicamentos de terapia celular avanzada. Con objeto de garantizar la trazabilidad, el nombre y el número de lote del producto, así como el nombre del paciente tratado, deben conservarse durante un periodo de 30 años.</w:t>
      </w:r>
    </w:p>
    <w:p w14:paraId="0C413102" w14:textId="77777777" w:rsidR="009D55C9" w:rsidRDefault="009D55C9">
      <w:pPr>
        <w:ind w:left="0" w:hanging="2"/>
        <w:jc w:val="both"/>
        <w:rPr>
          <w:rFonts w:ascii="Arial" w:eastAsia="Arial" w:hAnsi="Arial" w:cs="Arial"/>
          <w:sz w:val="20"/>
          <w:szCs w:val="20"/>
        </w:rPr>
      </w:pPr>
      <w:bookmarkStart w:id="123" w:name="_heading=h.cj9gbmbfrex4" w:colFirst="0" w:colLast="0"/>
      <w:bookmarkEnd w:id="123"/>
    </w:p>
    <w:p w14:paraId="3C01CF9A" w14:textId="77777777" w:rsidR="009D55C9" w:rsidRDefault="005A57E0">
      <w:pPr>
        <w:ind w:left="0" w:hanging="2"/>
        <w:jc w:val="both"/>
        <w:rPr>
          <w:rFonts w:ascii="Arial" w:eastAsia="Arial" w:hAnsi="Arial" w:cs="Arial"/>
          <w:sz w:val="20"/>
          <w:szCs w:val="20"/>
          <w:u w:val="single"/>
        </w:rPr>
      </w:pPr>
      <w:bookmarkStart w:id="124" w:name="_heading=h.gvdqybo63mcr" w:colFirst="0" w:colLast="0"/>
      <w:bookmarkEnd w:id="124"/>
      <w:r>
        <w:rPr>
          <w:rFonts w:ascii="Arial" w:eastAsia="Arial" w:hAnsi="Arial" w:cs="Arial"/>
          <w:sz w:val="20"/>
          <w:szCs w:val="20"/>
          <w:u w:val="single"/>
        </w:rPr>
        <w:t>Uso autólogo</w:t>
      </w:r>
    </w:p>
    <w:p w14:paraId="2C86116D" w14:textId="77777777" w:rsidR="009D55C9" w:rsidRDefault="005A57E0" w:rsidP="009E0203">
      <w:pPr>
        <w:ind w:left="0" w:hanging="2"/>
        <w:jc w:val="both"/>
        <w:rPr>
          <w:rFonts w:ascii="Arial" w:eastAsia="Arial" w:hAnsi="Arial" w:cs="Arial"/>
          <w:sz w:val="20"/>
          <w:szCs w:val="20"/>
        </w:rPr>
      </w:pPr>
      <w:bookmarkStart w:id="125" w:name="_heading=h.mj737jk9w4b6" w:colFirst="0" w:colLast="0"/>
      <w:bookmarkEnd w:id="125"/>
      <w:r>
        <w:rPr>
          <w:rFonts w:ascii="Arial" w:eastAsia="Arial" w:hAnsi="Arial" w:cs="Arial"/>
          <w:sz w:val="20"/>
          <w:szCs w:val="20"/>
        </w:rPr>
        <w:t>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está destinado exclusivamente a un uso autólogo y no se debe administrar en ninguna</w:t>
      </w:r>
      <w:bookmarkStart w:id="126" w:name="_heading=h.c6j9kicjt5pp" w:colFirst="0" w:colLast="0"/>
      <w:bookmarkEnd w:id="126"/>
      <w:r w:rsidR="00F8494C">
        <w:rPr>
          <w:rFonts w:ascii="Arial" w:eastAsia="Arial" w:hAnsi="Arial" w:cs="Arial"/>
          <w:sz w:val="20"/>
          <w:szCs w:val="20"/>
        </w:rPr>
        <w:t xml:space="preserve"> </w:t>
      </w:r>
      <w:r>
        <w:rPr>
          <w:rFonts w:ascii="Arial" w:eastAsia="Arial" w:hAnsi="Arial" w:cs="Arial"/>
          <w:sz w:val="20"/>
          <w:szCs w:val="20"/>
        </w:rPr>
        <w:t>circunstancia a otros pacientes.</w:t>
      </w:r>
    </w:p>
    <w:p w14:paraId="2E574B34" w14:textId="77777777" w:rsidR="009D55C9" w:rsidRDefault="009D55C9">
      <w:pPr>
        <w:ind w:left="0" w:hanging="2"/>
        <w:jc w:val="both"/>
        <w:rPr>
          <w:rFonts w:ascii="Arial" w:eastAsia="Arial" w:hAnsi="Arial" w:cs="Arial"/>
          <w:sz w:val="20"/>
          <w:szCs w:val="20"/>
        </w:rPr>
      </w:pPr>
      <w:bookmarkStart w:id="127" w:name="_heading=h.gmg45xwjsjs9" w:colFirst="0" w:colLast="0"/>
      <w:bookmarkEnd w:id="127"/>
    </w:p>
    <w:p w14:paraId="65ECE41A" w14:textId="77777777" w:rsidR="009D55C9" w:rsidRDefault="005A57E0">
      <w:pPr>
        <w:ind w:left="0" w:hanging="2"/>
        <w:jc w:val="both"/>
        <w:rPr>
          <w:rFonts w:ascii="Arial" w:eastAsia="Arial" w:hAnsi="Arial" w:cs="Arial"/>
          <w:sz w:val="20"/>
          <w:szCs w:val="20"/>
          <w:u w:val="single"/>
        </w:rPr>
      </w:pPr>
      <w:bookmarkStart w:id="128" w:name="_heading=h.l2axq1eqfb59" w:colFirst="0" w:colLast="0"/>
      <w:bookmarkEnd w:id="128"/>
      <w:r>
        <w:rPr>
          <w:rFonts w:ascii="Arial" w:eastAsia="Arial" w:hAnsi="Arial" w:cs="Arial"/>
          <w:sz w:val="20"/>
          <w:szCs w:val="20"/>
          <w:u w:val="single"/>
        </w:rPr>
        <w:t>Fase de progresión rápida de la enfermedad</w:t>
      </w:r>
    </w:p>
    <w:p w14:paraId="4BF7ADF5" w14:textId="77777777" w:rsidR="009D55C9" w:rsidRDefault="005A57E0" w:rsidP="009E0203">
      <w:pPr>
        <w:ind w:left="0" w:hanging="2"/>
        <w:jc w:val="both"/>
        <w:rPr>
          <w:rFonts w:ascii="Arial" w:eastAsia="Arial" w:hAnsi="Arial" w:cs="Arial"/>
          <w:sz w:val="20"/>
          <w:szCs w:val="20"/>
        </w:rPr>
      </w:pPr>
      <w:bookmarkStart w:id="129" w:name="_heading=h.yj85zk5aauiv" w:colFirst="0" w:colLast="0"/>
      <w:bookmarkEnd w:id="129"/>
      <w:r>
        <w:rPr>
          <w:rFonts w:ascii="Arial" w:eastAsia="Arial" w:hAnsi="Arial" w:cs="Arial"/>
          <w:sz w:val="20"/>
          <w:szCs w:val="20"/>
        </w:rPr>
        <w:t>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se debe realizar antes de que la enfermedad entre en su fase de progresión rápida.</w:t>
      </w:r>
      <w:bookmarkStart w:id="130" w:name="_heading=h.2j1j6blzg0in" w:colFirst="0" w:colLast="0"/>
      <w:bookmarkEnd w:id="130"/>
      <w:r w:rsidR="00D90FEC">
        <w:rPr>
          <w:rFonts w:ascii="Arial" w:eastAsia="Arial" w:hAnsi="Arial" w:cs="Arial"/>
          <w:sz w:val="20"/>
          <w:szCs w:val="20"/>
        </w:rPr>
        <w:t xml:space="preserve"> </w:t>
      </w:r>
      <w:r>
        <w:rPr>
          <w:rFonts w:ascii="Arial" w:eastAsia="Arial" w:hAnsi="Arial" w:cs="Arial"/>
          <w:sz w:val="20"/>
          <w:szCs w:val="20"/>
        </w:rPr>
        <w:t>Para establecer a un paciente como candidato a tratamiento, debe ser evaluado inicialmente por el médico mediante un examen neurológico completo, una evaluación de la función motora y una evaluación neurocognitiva, según sea apropiado en base a su edad.</w:t>
      </w:r>
      <w:bookmarkStart w:id="131" w:name="_heading=h.7ncuqxr77e72" w:colFirst="0" w:colLast="0"/>
      <w:bookmarkEnd w:id="131"/>
      <w:r w:rsidR="00D90FEC">
        <w:rPr>
          <w:rFonts w:ascii="Arial" w:eastAsia="Arial" w:hAnsi="Arial" w:cs="Arial"/>
          <w:sz w:val="20"/>
          <w:szCs w:val="20"/>
        </w:rPr>
        <w:t xml:space="preserve"> </w:t>
      </w:r>
      <w:r>
        <w:rPr>
          <w:rFonts w:ascii="Arial" w:eastAsia="Arial" w:hAnsi="Arial" w:cs="Arial"/>
          <w:sz w:val="20"/>
          <w:szCs w:val="20"/>
        </w:rPr>
        <w:t>Antes de comenzar la extracción de células, el médico se debe asegurar de que el estado clínico del paciente no se haya deteriorado. A partir de entonces, antes de comenzar el acondicionamiento, el médico se debe asegurar de que 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sigue estando indicado.</w:t>
      </w:r>
    </w:p>
    <w:p w14:paraId="77D97B26" w14:textId="77777777" w:rsidR="009D55C9" w:rsidRDefault="009D55C9">
      <w:pPr>
        <w:ind w:left="0" w:hanging="2"/>
        <w:jc w:val="both"/>
        <w:rPr>
          <w:rFonts w:ascii="Arial" w:eastAsia="Arial" w:hAnsi="Arial" w:cs="Arial"/>
          <w:sz w:val="20"/>
          <w:szCs w:val="20"/>
        </w:rPr>
      </w:pPr>
      <w:bookmarkStart w:id="132" w:name="_heading=h.qqqdl9fxvgem" w:colFirst="0" w:colLast="0"/>
      <w:bookmarkEnd w:id="132"/>
    </w:p>
    <w:p w14:paraId="6D565744" w14:textId="77777777" w:rsidR="009D55C9" w:rsidRDefault="005A57E0">
      <w:pPr>
        <w:ind w:left="0" w:hanging="2"/>
        <w:jc w:val="both"/>
        <w:rPr>
          <w:rFonts w:ascii="Arial" w:eastAsia="Arial" w:hAnsi="Arial" w:cs="Arial"/>
          <w:sz w:val="20"/>
          <w:szCs w:val="20"/>
          <w:u w:val="single"/>
        </w:rPr>
      </w:pPr>
      <w:bookmarkStart w:id="133" w:name="_heading=h.s4vynd459ezj" w:colFirst="0" w:colLast="0"/>
      <w:bookmarkEnd w:id="133"/>
      <w:r>
        <w:rPr>
          <w:rFonts w:ascii="Arial" w:eastAsia="Arial" w:hAnsi="Arial" w:cs="Arial"/>
          <w:sz w:val="20"/>
          <w:szCs w:val="20"/>
          <w:u w:val="single"/>
        </w:rPr>
        <w:t>Medicamentos de movilización y acondicionamiento mieloablativo</w:t>
      </w:r>
    </w:p>
    <w:p w14:paraId="245EAC4A" w14:textId="77777777" w:rsidR="009D55C9" w:rsidRDefault="005A57E0">
      <w:pPr>
        <w:ind w:left="0" w:hanging="2"/>
        <w:jc w:val="both"/>
        <w:rPr>
          <w:rFonts w:ascii="Arial" w:eastAsia="Arial" w:hAnsi="Arial" w:cs="Arial"/>
          <w:sz w:val="20"/>
          <w:szCs w:val="20"/>
        </w:rPr>
      </w:pPr>
      <w:bookmarkStart w:id="134" w:name="_heading=h.czf0zewzkho4" w:colFirst="0" w:colLast="0"/>
      <w:bookmarkEnd w:id="134"/>
      <w:r>
        <w:rPr>
          <w:rFonts w:ascii="Arial" w:eastAsia="Arial" w:hAnsi="Arial" w:cs="Arial"/>
          <w:sz w:val="20"/>
          <w:szCs w:val="20"/>
        </w:rPr>
        <w:t>Se deben considerar las advertencias y precauciones de los medicamentos de movilización y para el acondicionamiento mieloablativo.</w:t>
      </w:r>
    </w:p>
    <w:p w14:paraId="5F044B9A" w14:textId="77777777" w:rsidR="009D55C9" w:rsidRDefault="009D55C9">
      <w:pPr>
        <w:ind w:left="0" w:hanging="2"/>
        <w:jc w:val="both"/>
        <w:rPr>
          <w:rFonts w:ascii="Arial" w:eastAsia="Arial" w:hAnsi="Arial" w:cs="Arial"/>
          <w:sz w:val="20"/>
          <w:szCs w:val="20"/>
        </w:rPr>
      </w:pPr>
      <w:bookmarkStart w:id="135" w:name="_heading=h.510oh27pfa7q" w:colFirst="0" w:colLast="0"/>
      <w:bookmarkEnd w:id="135"/>
    </w:p>
    <w:p w14:paraId="42D5400B" w14:textId="77777777" w:rsidR="009D55C9" w:rsidRDefault="005A57E0">
      <w:pPr>
        <w:ind w:left="0" w:hanging="2"/>
        <w:jc w:val="both"/>
        <w:rPr>
          <w:rFonts w:ascii="Arial" w:eastAsia="Arial" w:hAnsi="Arial" w:cs="Arial"/>
          <w:sz w:val="20"/>
          <w:szCs w:val="20"/>
          <w:u w:val="single"/>
        </w:rPr>
      </w:pPr>
      <w:bookmarkStart w:id="136" w:name="_heading=h.atfrz6p9gkw" w:colFirst="0" w:colLast="0"/>
      <w:bookmarkEnd w:id="136"/>
      <w:r>
        <w:rPr>
          <w:rFonts w:ascii="Arial" w:eastAsia="Arial" w:hAnsi="Arial" w:cs="Arial"/>
          <w:sz w:val="20"/>
          <w:szCs w:val="20"/>
          <w:u w:val="single"/>
        </w:rPr>
        <w:t>Complicaciones del catéter venoso central (CVC), incluidas infecciones y trombosis</w:t>
      </w:r>
    </w:p>
    <w:p w14:paraId="0A06AB75" w14:textId="77777777" w:rsidR="009D55C9" w:rsidRDefault="005A57E0">
      <w:pPr>
        <w:ind w:left="0" w:hanging="2"/>
        <w:jc w:val="both"/>
        <w:rPr>
          <w:rFonts w:ascii="Arial" w:eastAsia="Arial" w:hAnsi="Arial" w:cs="Arial"/>
          <w:sz w:val="20"/>
          <w:szCs w:val="20"/>
        </w:rPr>
      </w:pPr>
      <w:bookmarkStart w:id="137" w:name="_heading=h.9jw8g8i074r1" w:colFirst="0" w:colLast="0"/>
      <w:bookmarkEnd w:id="137"/>
      <w:r>
        <w:rPr>
          <w:rFonts w:ascii="Arial" w:eastAsia="Arial" w:hAnsi="Arial" w:cs="Arial"/>
          <w:sz w:val="20"/>
          <w:szCs w:val="20"/>
        </w:rPr>
        <w:t>En los estudios clínicos se han notificado infecciones relacionadas con el uso de CVC y existe un riesgo de trombosis asociado. Se debe realizar un seguimiento exhaustivo a los pacientes para detectar posibles complicaciones de este tipo.</w:t>
      </w:r>
    </w:p>
    <w:p w14:paraId="3CEC6997" w14:textId="77777777" w:rsidR="009D55C9" w:rsidRDefault="009D55C9">
      <w:pPr>
        <w:ind w:left="0" w:hanging="2"/>
        <w:rPr>
          <w:rFonts w:ascii="Arial" w:eastAsia="Arial" w:hAnsi="Arial" w:cs="Arial"/>
          <w:sz w:val="20"/>
          <w:szCs w:val="20"/>
        </w:rPr>
      </w:pPr>
      <w:bookmarkStart w:id="138" w:name="_heading=h.nm0v2ryg7isk" w:colFirst="0" w:colLast="0"/>
      <w:bookmarkEnd w:id="138"/>
    </w:p>
    <w:p w14:paraId="549BA7A3" w14:textId="77777777" w:rsidR="009D55C9" w:rsidRDefault="005A57E0">
      <w:pPr>
        <w:ind w:left="0" w:hanging="2"/>
        <w:jc w:val="both"/>
        <w:rPr>
          <w:rFonts w:ascii="Arial" w:eastAsia="Arial" w:hAnsi="Arial" w:cs="Arial"/>
          <w:sz w:val="20"/>
          <w:szCs w:val="20"/>
          <w:u w:val="single"/>
        </w:rPr>
      </w:pPr>
      <w:bookmarkStart w:id="139" w:name="_heading=h.y4xtnx2im205" w:colFirst="0" w:colLast="0"/>
      <w:bookmarkEnd w:id="139"/>
      <w:r>
        <w:rPr>
          <w:rFonts w:ascii="Arial" w:eastAsia="Arial" w:hAnsi="Arial" w:cs="Arial"/>
          <w:sz w:val="20"/>
          <w:szCs w:val="20"/>
          <w:u w:val="single"/>
        </w:rPr>
        <w:t>Reacciones de hipersensibilidad y relacionadas con la perfusión</w:t>
      </w:r>
    </w:p>
    <w:p w14:paraId="727AF3A0" w14:textId="77777777" w:rsidR="009D55C9" w:rsidRDefault="005A57E0">
      <w:pPr>
        <w:ind w:left="0" w:hanging="2"/>
        <w:jc w:val="both"/>
        <w:rPr>
          <w:rFonts w:ascii="Arial" w:eastAsia="Arial" w:hAnsi="Arial" w:cs="Arial"/>
          <w:sz w:val="20"/>
          <w:szCs w:val="20"/>
        </w:rPr>
      </w:pPr>
      <w:bookmarkStart w:id="140" w:name="_heading=h.zi9914nbpc0i" w:colFirst="0" w:colLast="0"/>
      <w:bookmarkEnd w:id="140"/>
      <w:r>
        <w:rPr>
          <w:rFonts w:ascii="Arial" w:eastAsia="Arial" w:hAnsi="Arial" w:cs="Arial"/>
          <w:sz w:val="20"/>
          <w:szCs w:val="20"/>
        </w:rPr>
        <w:t>El dimetilsulfóxido (DMSO), uno de los excipientes de Libmeldy</w:t>
      </w:r>
      <w:r w:rsidR="009E0203" w:rsidRPr="009E0203">
        <w:rPr>
          <w:rFonts w:ascii="Arial" w:eastAsia="Arial" w:hAnsi="Arial" w:cs="Arial"/>
          <w:sz w:val="20"/>
          <w:szCs w:val="20"/>
          <w:vertAlign w:val="superscript"/>
        </w:rPr>
        <w:t>®</w:t>
      </w:r>
      <w:r>
        <w:rPr>
          <w:rFonts w:ascii="Arial" w:eastAsia="Arial" w:hAnsi="Arial" w:cs="Arial"/>
          <w:sz w:val="20"/>
          <w:szCs w:val="20"/>
        </w:rPr>
        <w:t>, es conocido por su posibilidad de causar reacciones anafilácticas después de la administración parenteral. Los pacientes que no hayan estado expuestos previamente</w:t>
      </w:r>
      <w:r w:rsidR="00D90FEC">
        <w:rPr>
          <w:rFonts w:ascii="Arial" w:eastAsia="Arial" w:hAnsi="Arial" w:cs="Arial"/>
          <w:sz w:val="20"/>
          <w:szCs w:val="20"/>
        </w:rPr>
        <w:t xml:space="preserve"> a</w:t>
      </w:r>
      <w:r>
        <w:rPr>
          <w:rFonts w:ascii="Arial" w:eastAsia="Arial" w:hAnsi="Arial" w:cs="Arial"/>
          <w:sz w:val="20"/>
          <w:szCs w:val="20"/>
        </w:rPr>
        <w:t xml:space="preserve"> este excipiente se deben someter a un seguimiento exhaustivo. Deben monitorizarse estrechamente los signos vitales (presión sanguínea, frecuencia cardíaca y saturación de oxígeno) y la aparición de cualquier síntoma antes de iniciar la perfusión, aproximadamente cada diez minutos durante la perfusión y cada hora, durante tres horas, después de la perfusión.</w:t>
      </w:r>
    </w:p>
    <w:p w14:paraId="71E1320A" w14:textId="77777777" w:rsidR="00D90FEC" w:rsidRDefault="00D90FEC">
      <w:pPr>
        <w:ind w:left="0" w:hanging="2"/>
        <w:jc w:val="both"/>
        <w:rPr>
          <w:rFonts w:ascii="Arial" w:eastAsia="Arial" w:hAnsi="Arial" w:cs="Arial"/>
          <w:sz w:val="20"/>
          <w:szCs w:val="20"/>
        </w:rPr>
      </w:pPr>
    </w:p>
    <w:p w14:paraId="67499FA5" w14:textId="77777777" w:rsidR="009D55C9" w:rsidRDefault="005A57E0">
      <w:pPr>
        <w:ind w:left="0" w:hanging="2"/>
        <w:jc w:val="both"/>
        <w:rPr>
          <w:rFonts w:ascii="Arial" w:eastAsia="Arial" w:hAnsi="Arial" w:cs="Arial"/>
          <w:sz w:val="20"/>
          <w:szCs w:val="20"/>
        </w:rPr>
      </w:pPr>
      <w:bookmarkStart w:id="141" w:name="_heading=h.6zdlxfjifw5c" w:colFirst="0" w:colLast="0"/>
      <w:bookmarkEnd w:id="141"/>
      <w:r>
        <w:rPr>
          <w:rFonts w:ascii="Arial" w:eastAsia="Arial" w:hAnsi="Arial" w:cs="Arial"/>
          <w:sz w:val="20"/>
          <w:szCs w:val="20"/>
        </w:rPr>
        <w:t>Cuando se requiera más de una bolsa de Libmeldy</w:t>
      </w:r>
      <w:r w:rsidR="009E0203" w:rsidRPr="009E0203">
        <w:rPr>
          <w:rFonts w:ascii="Arial" w:eastAsia="Arial" w:hAnsi="Arial" w:cs="Arial"/>
          <w:sz w:val="20"/>
          <w:szCs w:val="20"/>
          <w:vertAlign w:val="superscript"/>
        </w:rPr>
        <w:t>®</w:t>
      </w:r>
      <w:r>
        <w:rPr>
          <w:rFonts w:ascii="Arial" w:eastAsia="Arial" w:hAnsi="Arial" w:cs="Arial"/>
          <w:sz w:val="20"/>
          <w:szCs w:val="20"/>
        </w:rPr>
        <w:t>, se debe asegurar antes de la perfusión que el</w:t>
      </w:r>
      <w:bookmarkStart w:id="142" w:name="_heading=h.n05etqvo184x" w:colFirst="0" w:colLast="0"/>
      <w:bookmarkEnd w:id="142"/>
      <w:r w:rsidR="009E0203">
        <w:rPr>
          <w:rFonts w:ascii="Arial" w:eastAsia="Arial" w:hAnsi="Arial" w:cs="Arial"/>
          <w:sz w:val="20"/>
          <w:szCs w:val="20"/>
        </w:rPr>
        <w:t xml:space="preserve"> </w:t>
      </w:r>
      <w:r>
        <w:rPr>
          <w:rFonts w:ascii="Arial" w:eastAsia="Arial" w:hAnsi="Arial" w:cs="Arial"/>
          <w:sz w:val="20"/>
          <w:szCs w:val="20"/>
        </w:rPr>
        <w:t>volumen del medicamento que se va a perfundir es compatible con el límite de DMSO recomendado, es decir, el volumen total de DMSO administrado debe ser &lt;1 % del volumen del plasma estimado del paciente. El volumen máximo de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administrado debe ser &lt;20 % del volumen del plasma estimado del paciente.</w:t>
      </w:r>
      <w:bookmarkStart w:id="143" w:name="_heading=h.iq2myw5kdfvn" w:colFirst="0" w:colLast="0"/>
      <w:bookmarkEnd w:id="143"/>
      <w:r w:rsidR="00D90FEC">
        <w:rPr>
          <w:rFonts w:ascii="Arial" w:eastAsia="Arial" w:hAnsi="Arial" w:cs="Arial"/>
          <w:sz w:val="20"/>
          <w:szCs w:val="20"/>
        </w:rPr>
        <w:t xml:space="preserve"> </w:t>
      </w:r>
      <w:r>
        <w:rPr>
          <w:rFonts w:ascii="Arial" w:eastAsia="Arial" w:hAnsi="Arial" w:cs="Arial"/>
          <w:sz w:val="20"/>
          <w:szCs w:val="20"/>
        </w:rPr>
        <w:t>Cuando se requiera más de una bolsa de Libmeldy</w:t>
      </w:r>
      <w:r w:rsidR="009E0203" w:rsidRPr="009E0203">
        <w:rPr>
          <w:rFonts w:ascii="Arial" w:eastAsia="Arial" w:hAnsi="Arial" w:cs="Arial"/>
          <w:sz w:val="20"/>
          <w:szCs w:val="20"/>
          <w:vertAlign w:val="superscript"/>
        </w:rPr>
        <w:t>®</w:t>
      </w:r>
      <w:r>
        <w:rPr>
          <w:rFonts w:ascii="Arial" w:eastAsia="Arial" w:hAnsi="Arial" w:cs="Arial"/>
          <w:sz w:val="20"/>
          <w:szCs w:val="20"/>
        </w:rPr>
        <w:t>, solo debe perfundir una bolsa del medicamento por hora.</w:t>
      </w:r>
    </w:p>
    <w:p w14:paraId="0E7E5A15" w14:textId="77777777" w:rsidR="009D55C9" w:rsidRDefault="009D55C9">
      <w:pPr>
        <w:ind w:left="0" w:hanging="2"/>
        <w:rPr>
          <w:rFonts w:ascii="Arial" w:eastAsia="Arial" w:hAnsi="Arial" w:cs="Arial"/>
          <w:sz w:val="20"/>
          <w:szCs w:val="20"/>
        </w:rPr>
      </w:pPr>
      <w:bookmarkStart w:id="144" w:name="_heading=h.l7i5ysanmub5" w:colFirst="0" w:colLast="0"/>
      <w:bookmarkEnd w:id="144"/>
    </w:p>
    <w:p w14:paraId="205282A4" w14:textId="77777777" w:rsidR="009D55C9" w:rsidRDefault="005A57E0">
      <w:pPr>
        <w:ind w:left="0" w:hanging="2"/>
        <w:rPr>
          <w:rFonts w:ascii="Arial" w:eastAsia="Arial" w:hAnsi="Arial" w:cs="Arial"/>
          <w:sz w:val="20"/>
          <w:szCs w:val="20"/>
          <w:u w:val="single"/>
        </w:rPr>
      </w:pPr>
      <w:bookmarkStart w:id="145" w:name="_heading=h.lxu0i17n3xy8" w:colFirst="0" w:colLast="0"/>
      <w:bookmarkEnd w:id="145"/>
      <w:r>
        <w:rPr>
          <w:rFonts w:ascii="Arial" w:eastAsia="Arial" w:hAnsi="Arial" w:cs="Arial"/>
          <w:sz w:val="20"/>
          <w:szCs w:val="20"/>
          <w:u w:val="single"/>
        </w:rPr>
        <w:t>Fallo del injerto</w:t>
      </w:r>
    </w:p>
    <w:p w14:paraId="186A8B19" w14:textId="77777777" w:rsidR="009D55C9" w:rsidRDefault="005A57E0">
      <w:pPr>
        <w:ind w:left="0" w:hanging="2"/>
        <w:jc w:val="both"/>
        <w:rPr>
          <w:rFonts w:ascii="Arial" w:eastAsia="Arial" w:hAnsi="Arial" w:cs="Arial"/>
          <w:sz w:val="20"/>
          <w:szCs w:val="20"/>
        </w:rPr>
      </w:pPr>
      <w:bookmarkStart w:id="146" w:name="_heading=h.wi0phokai3za" w:colFirst="0" w:colLast="0"/>
      <w:bookmarkEnd w:id="146"/>
      <w:r>
        <w:rPr>
          <w:rFonts w:ascii="Arial" w:eastAsia="Arial" w:hAnsi="Arial" w:cs="Arial"/>
          <w:sz w:val="20"/>
          <w:szCs w:val="20"/>
        </w:rPr>
        <w:t>En los estudios clínicos, no se produjo ningún fallo de injerto de MO, según la medición del recuento de neutrófilos en la sangre periférica. El fallo del injerto de neutrófilos es un riesgo a corto plazo, pero potencialmente importante, definido como la imposibilidad de alcanzar un recuento absoluto de neutrófilos (RAN) &gt;500 células/μL asociado a la falta de evidencias de recuperación de la MO (es decir, no hay médula hipocelular) al día 60 después de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En caso de fallo del injerto, las células madre de reserva no transductoras se deben perfundir según la normativa local.</w:t>
      </w:r>
    </w:p>
    <w:p w14:paraId="4A66F66E" w14:textId="77777777" w:rsidR="009D55C9" w:rsidRDefault="009D55C9">
      <w:pPr>
        <w:ind w:left="0" w:hanging="2"/>
        <w:rPr>
          <w:rFonts w:ascii="Arial" w:eastAsia="Arial" w:hAnsi="Arial" w:cs="Arial"/>
          <w:sz w:val="20"/>
          <w:szCs w:val="20"/>
        </w:rPr>
      </w:pPr>
      <w:bookmarkStart w:id="147" w:name="_heading=h.1i077g8kvy34" w:colFirst="0" w:colLast="0"/>
      <w:bookmarkEnd w:id="147"/>
    </w:p>
    <w:p w14:paraId="6B08A436" w14:textId="77777777" w:rsidR="009D55C9" w:rsidRDefault="005A57E0">
      <w:pPr>
        <w:ind w:left="0" w:hanging="2"/>
        <w:rPr>
          <w:rFonts w:ascii="Arial" w:eastAsia="Arial" w:hAnsi="Arial" w:cs="Arial"/>
          <w:sz w:val="20"/>
          <w:szCs w:val="20"/>
          <w:u w:val="single"/>
        </w:rPr>
      </w:pPr>
      <w:bookmarkStart w:id="148" w:name="_heading=h.1czct2m8yb9c" w:colFirst="0" w:colLast="0"/>
      <w:bookmarkEnd w:id="148"/>
      <w:r>
        <w:rPr>
          <w:rFonts w:ascii="Arial" w:eastAsia="Arial" w:hAnsi="Arial" w:cs="Arial"/>
          <w:sz w:val="20"/>
          <w:szCs w:val="20"/>
          <w:u w:val="single"/>
        </w:rPr>
        <w:t>Citopenia prolongada</w:t>
      </w:r>
    </w:p>
    <w:p w14:paraId="4590AC0B" w14:textId="2179B7C3" w:rsidR="009D55C9" w:rsidRDefault="005A57E0">
      <w:pPr>
        <w:ind w:left="0" w:hanging="2"/>
        <w:jc w:val="both"/>
        <w:rPr>
          <w:rFonts w:ascii="Arial" w:eastAsia="Arial" w:hAnsi="Arial" w:cs="Arial"/>
          <w:sz w:val="20"/>
          <w:szCs w:val="20"/>
        </w:rPr>
      </w:pPr>
      <w:bookmarkStart w:id="149" w:name="_heading=h.u214fuoru627" w:colFirst="0" w:colLast="0"/>
      <w:bookmarkEnd w:id="149"/>
      <w:r>
        <w:rPr>
          <w:rFonts w:ascii="Arial" w:eastAsia="Arial" w:hAnsi="Arial" w:cs="Arial"/>
          <w:sz w:val="20"/>
          <w:szCs w:val="20"/>
        </w:rPr>
        <w:t>Los pacientes pueden manifestar citopenias graves, como la neutropenia grave (RAN &lt;500 células/</w:t>
      </w:r>
      <w:r w:rsidR="005217D4">
        <w:rPr>
          <w:rFonts w:ascii="Arial" w:eastAsia="Arial" w:hAnsi="Arial" w:cs="Arial"/>
          <w:sz w:val="20"/>
          <w:szCs w:val="20"/>
        </w:rPr>
        <w:t xml:space="preserve"> </w:t>
      </w:r>
      <w:r>
        <w:rPr>
          <w:rFonts w:ascii="Arial" w:eastAsia="Arial" w:hAnsi="Arial" w:cs="Arial"/>
          <w:sz w:val="20"/>
          <w:szCs w:val="20"/>
        </w:rPr>
        <w:t>μL) y la trombocitopenia prolongada, durante varias semanas después del acondicionamiento mieloablativo y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En los estudios clínicos, la recuperación hematológica después d</w:t>
      </w:r>
      <w:r w:rsidR="005217D4">
        <w:rPr>
          <w:rFonts w:ascii="Arial" w:eastAsia="Arial" w:hAnsi="Arial" w:cs="Arial"/>
          <w:sz w:val="20"/>
          <w:szCs w:val="20"/>
        </w:rPr>
        <w:t>el acondicionamiento con busulfa</w:t>
      </w:r>
      <w:r>
        <w:rPr>
          <w:rFonts w:ascii="Arial" w:eastAsia="Arial" w:hAnsi="Arial" w:cs="Arial"/>
          <w:sz w:val="20"/>
          <w:szCs w:val="20"/>
        </w:rPr>
        <w:t>n se observó en un periodo de cuatro a cinco semanas a partir del día de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En el estudio clínico con la formulación criopreservada (comercial), el injerto de neutrófilos se produjo después de una mediana de 36,5 días después de la </w:t>
      </w:r>
      <w:r w:rsidR="00BD2296">
        <w:rPr>
          <w:rFonts w:ascii="Arial" w:eastAsia="Arial" w:hAnsi="Arial" w:cs="Arial"/>
          <w:sz w:val="20"/>
          <w:szCs w:val="20"/>
        </w:rPr>
        <w:t>TG</w:t>
      </w:r>
      <w:r>
        <w:rPr>
          <w:rFonts w:ascii="Arial" w:eastAsia="Arial" w:hAnsi="Arial" w:cs="Arial"/>
          <w:sz w:val="20"/>
          <w:szCs w:val="20"/>
        </w:rPr>
        <w:t>. Por lo tanto, se debe realizar un seguimiento de los pacientes durante al menos seis semanas después de la perfusión.</w:t>
      </w:r>
    </w:p>
    <w:p w14:paraId="5A2508B9" w14:textId="77777777" w:rsidR="00D90FEC" w:rsidRDefault="00D90FEC">
      <w:pPr>
        <w:ind w:left="0" w:hanging="2"/>
        <w:jc w:val="both"/>
        <w:rPr>
          <w:rFonts w:ascii="Arial" w:eastAsia="Arial" w:hAnsi="Arial" w:cs="Arial"/>
          <w:sz w:val="20"/>
          <w:szCs w:val="20"/>
        </w:rPr>
      </w:pPr>
    </w:p>
    <w:p w14:paraId="59CC7C2B" w14:textId="77777777" w:rsidR="009D55C9" w:rsidRDefault="005A57E0">
      <w:pPr>
        <w:ind w:left="0" w:hanging="2"/>
        <w:jc w:val="both"/>
        <w:rPr>
          <w:rFonts w:ascii="Arial" w:eastAsia="Arial" w:hAnsi="Arial" w:cs="Arial"/>
          <w:sz w:val="20"/>
          <w:szCs w:val="20"/>
        </w:rPr>
      </w:pPr>
      <w:bookmarkStart w:id="150" w:name="_heading=h.nxuzn8bcev0i" w:colFirst="0" w:colLast="0"/>
      <w:bookmarkEnd w:id="150"/>
      <w:r>
        <w:rPr>
          <w:rFonts w:ascii="Arial" w:eastAsia="Arial" w:hAnsi="Arial" w:cs="Arial"/>
          <w:sz w:val="20"/>
          <w:szCs w:val="20"/>
        </w:rPr>
        <w:t xml:space="preserve">Las transfusiones de soporte de sangre y plaquetas se deben administrar según el criterio médico y la práctica institucional. </w:t>
      </w:r>
      <w:bookmarkStart w:id="151" w:name="_heading=h.rsas6wquvaxc" w:colFirst="0" w:colLast="0"/>
      <w:bookmarkEnd w:id="151"/>
      <w:r>
        <w:rPr>
          <w:rFonts w:ascii="Arial" w:eastAsia="Arial" w:hAnsi="Arial" w:cs="Arial"/>
          <w:sz w:val="20"/>
          <w:szCs w:val="20"/>
        </w:rPr>
        <w:t>Si la citopenia persiste más allá de seis o siete semanas, a pesar del uso de medicamentos movilizadores de granulocitos, se deben perfundir las células madre de reserva no perfundidas. Si la citopenia persiste a pesar de la perfusión de células madre de reserva no transductoras, se deben considerar tratamientos alternativos.</w:t>
      </w:r>
    </w:p>
    <w:p w14:paraId="14C46B18" w14:textId="77777777" w:rsidR="009D55C9" w:rsidRDefault="009D55C9">
      <w:pPr>
        <w:ind w:left="0" w:hanging="2"/>
        <w:rPr>
          <w:rFonts w:ascii="Arial" w:eastAsia="Arial" w:hAnsi="Arial" w:cs="Arial"/>
          <w:sz w:val="20"/>
          <w:szCs w:val="20"/>
        </w:rPr>
      </w:pPr>
      <w:bookmarkStart w:id="152" w:name="_heading=h.ec957dijck67" w:colFirst="0" w:colLast="0"/>
      <w:bookmarkEnd w:id="152"/>
    </w:p>
    <w:p w14:paraId="4E4D39A8" w14:textId="77777777" w:rsidR="009D55C9" w:rsidRDefault="005A57E0">
      <w:pPr>
        <w:ind w:left="0" w:hanging="2"/>
        <w:rPr>
          <w:rFonts w:ascii="Arial" w:eastAsia="Arial" w:hAnsi="Arial" w:cs="Arial"/>
          <w:sz w:val="20"/>
          <w:szCs w:val="20"/>
          <w:u w:val="single"/>
        </w:rPr>
      </w:pPr>
      <w:bookmarkStart w:id="153" w:name="_heading=h.lwb3eljd2xda" w:colFirst="0" w:colLast="0"/>
      <w:bookmarkEnd w:id="153"/>
      <w:r>
        <w:rPr>
          <w:rFonts w:ascii="Arial" w:eastAsia="Arial" w:hAnsi="Arial" w:cs="Arial"/>
          <w:sz w:val="20"/>
          <w:szCs w:val="20"/>
          <w:u w:val="single"/>
        </w:rPr>
        <w:t>Retraso en el prendimiento de plaquetas</w:t>
      </w:r>
    </w:p>
    <w:bookmarkStart w:id="154" w:name="_heading=h.mudcao198y9h" w:colFirst="0" w:colLast="0"/>
    <w:bookmarkEnd w:id="154"/>
    <w:p w14:paraId="03A9B5E1" w14:textId="77777777" w:rsidR="009D55C9" w:rsidRDefault="0024715B" w:rsidP="00427633">
      <w:pPr>
        <w:spacing w:line="240" w:lineRule="auto"/>
        <w:ind w:left="0" w:hanging="2"/>
        <w:jc w:val="both"/>
        <w:rPr>
          <w:rFonts w:ascii="Arial" w:eastAsia="Arial" w:hAnsi="Arial" w:cs="Arial"/>
          <w:sz w:val="20"/>
          <w:szCs w:val="20"/>
        </w:rPr>
      </w:pPr>
      <w:sdt>
        <w:sdtPr>
          <w:rPr>
            <w:rFonts w:ascii="Arial" w:eastAsia="Arial" w:hAnsi="Arial" w:cs="Arial"/>
            <w:sz w:val="20"/>
            <w:szCs w:val="20"/>
          </w:rPr>
          <w:tag w:val="goog_rdk_15"/>
          <w:id w:val="-1081905604"/>
        </w:sdtPr>
        <w:sdtEndPr/>
        <w:sdtContent>
          <w:r w:rsidR="005A57E0" w:rsidRPr="00427633">
            <w:rPr>
              <w:rFonts w:ascii="Arial" w:eastAsia="Arial" w:hAnsi="Arial" w:cs="Arial"/>
              <w:sz w:val="20"/>
              <w:szCs w:val="20"/>
            </w:rPr>
            <w:t>El prendimiento de plaquetas se define como tres valores consecutivos de plaquetas ≥</w:t>
          </w:r>
          <w:r w:rsidR="00427633">
            <w:rPr>
              <w:rFonts w:ascii="Arial" w:eastAsia="Arial" w:hAnsi="Arial" w:cs="Arial"/>
              <w:sz w:val="20"/>
              <w:szCs w:val="20"/>
            </w:rPr>
            <w:t xml:space="preserve"> </w:t>
          </w:r>
          <w:r w:rsidR="005A57E0" w:rsidRPr="00427633">
            <w:rPr>
              <w:rFonts w:ascii="Arial" w:eastAsia="Arial" w:hAnsi="Arial" w:cs="Arial"/>
              <w:sz w:val="20"/>
              <w:szCs w:val="20"/>
            </w:rPr>
            <w:t>20 × 10</w:t>
          </w:r>
          <w:r w:rsidR="005A57E0" w:rsidRPr="00427633">
            <w:rPr>
              <w:rFonts w:ascii="Arial" w:eastAsia="Arial" w:hAnsi="Arial" w:cs="Arial"/>
              <w:sz w:val="20"/>
              <w:szCs w:val="20"/>
              <w:vertAlign w:val="superscript"/>
            </w:rPr>
            <w:t>9</w:t>
          </w:r>
          <w:r w:rsidR="005A57E0" w:rsidRPr="00427633">
            <w:rPr>
              <w:rFonts w:ascii="Arial" w:eastAsia="Arial" w:hAnsi="Arial" w:cs="Arial"/>
              <w:sz w:val="20"/>
              <w:szCs w:val="20"/>
            </w:rPr>
            <w:t>/L obtenidos en diferentes días después de la perfusión de Libmeldy</w:t>
          </w:r>
          <w:r w:rsidR="00427633" w:rsidRPr="00427633">
            <w:rPr>
              <w:rFonts w:ascii="Arial" w:eastAsia="Arial" w:hAnsi="Arial" w:cs="Arial"/>
              <w:sz w:val="20"/>
              <w:szCs w:val="20"/>
              <w:vertAlign w:val="superscript"/>
            </w:rPr>
            <w:t>®</w:t>
          </w:r>
          <w:r w:rsidR="005A57E0" w:rsidRPr="00427633">
            <w:rPr>
              <w:rFonts w:ascii="Arial" w:eastAsia="Arial" w:hAnsi="Arial" w:cs="Arial"/>
              <w:sz w:val="20"/>
              <w:szCs w:val="20"/>
            </w:rPr>
            <w:t xml:space="preserve">, sin transfusiones de plaquetas administradas durante los siete días inmediatamente anteriores al periodo de evaluación (hasta 60 días tras la </w:t>
          </w:r>
          <w:r w:rsidR="00BD2296">
            <w:rPr>
              <w:rFonts w:ascii="Arial" w:eastAsia="Arial" w:hAnsi="Arial" w:cs="Arial"/>
              <w:sz w:val="20"/>
              <w:szCs w:val="20"/>
            </w:rPr>
            <w:t>TG</w:t>
          </w:r>
          <w:r w:rsidR="009E0203">
            <w:rPr>
              <w:rFonts w:ascii="Arial" w:eastAsia="Arial" w:hAnsi="Arial" w:cs="Arial"/>
              <w:sz w:val="20"/>
              <w:szCs w:val="20"/>
            </w:rPr>
            <w:t>) y durante é</w:t>
          </w:r>
          <w:r w:rsidR="005A57E0" w:rsidRPr="00427633">
            <w:rPr>
              <w:rFonts w:ascii="Arial" w:eastAsia="Arial" w:hAnsi="Arial" w:cs="Arial"/>
              <w:sz w:val="20"/>
              <w:szCs w:val="20"/>
            </w:rPr>
            <w:t>ste.</w:t>
          </w:r>
        </w:sdtContent>
      </w:sdt>
      <w:bookmarkStart w:id="155" w:name="_heading=h.dmsydt1atza7" w:colFirst="0" w:colLast="0"/>
      <w:bookmarkEnd w:id="155"/>
      <w:r w:rsidR="00427633">
        <w:rPr>
          <w:rFonts w:ascii="Arial" w:eastAsia="Arial" w:hAnsi="Arial" w:cs="Arial"/>
          <w:sz w:val="20"/>
          <w:szCs w:val="20"/>
        </w:rPr>
        <w:t xml:space="preserve"> </w:t>
      </w:r>
      <w:r w:rsidR="005A57E0">
        <w:rPr>
          <w:rFonts w:ascii="Arial" w:eastAsia="Arial" w:hAnsi="Arial" w:cs="Arial"/>
          <w:sz w:val="20"/>
          <w:szCs w:val="20"/>
        </w:rPr>
        <w:t>Durante el desarrollo clínico, 4/35 pacientes (11,4 %) informaron de un retraso en el prendimiento de plaquetas (mediana: 73,5 días, rango 65-109 días) que no se correlacionó con un aumento de la incidencia de hemorragias. Como parte de la norma de atención/p</w:t>
      </w:r>
      <w:r w:rsidR="009E0203">
        <w:rPr>
          <w:rFonts w:ascii="Arial" w:eastAsia="Arial" w:hAnsi="Arial" w:cs="Arial"/>
          <w:sz w:val="20"/>
          <w:szCs w:val="20"/>
        </w:rPr>
        <w:t xml:space="preserve">rofilaxis, todos los pacientes </w:t>
      </w:r>
      <w:r w:rsidR="005A57E0">
        <w:rPr>
          <w:rFonts w:ascii="Arial" w:eastAsia="Arial" w:hAnsi="Arial" w:cs="Arial"/>
          <w:sz w:val="20"/>
          <w:szCs w:val="20"/>
        </w:rPr>
        <w:t>(</w:t>
      </w:r>
      <w:r w:rsidR="009E0203">
        <w:rPr>
          <w:rFonts w:ascii="Arial" w:eastAsia="Arial" w:hAnsi="Arial" w:cs="Arial"/>
          <w:sz w:val="20"/>
          <w:szCs w:val="20"/>
        </w:rPr>
        <w:t>n</w:t>
      </w:r>
      <w:r w:rsidR="005A57E0">
        <w:rPr>
          <w:rFonts w:ascii="Arial" w:eastAsia="Arial" w:hAnsi="Arial" w:cs="Arial"/>
          <w:sz w:val="20"/>
          <w:szCs w:val="20"/>
        </w:rPr>
        <w:t>=29) recibieron una transfusión de apoyo con plaquetas. El recuento de plaquetas se debe someter a seguimiento según el criterio médico hasta que se logre el prendimiento de estas células y la recuperación. La transfusión de apoyo con plaquetas se debe administrar según el criterio médico y la práctica institucional.</w:t>
      </w:r>
    </w:p>
    <w:p w14:paraId="20B33608" w14:textId="77777777" w:rsidR="009D55C9" w:rsidRDefault="009D55C9">
      <w:pPr>
        <w:ind w:left="0" w:hanging="2"/>
        <w:jc w:val="both"/>
        <w:rPr>
          <w:rFonts w:ascii="Arial" w:eastAsia="Arial" w:hAnsi="Arial" w:cs="Arial"/>
          <w:sz w:val="20"/>
          <w:szCs w:val="20"/>
        </w:rPr>
      </w:pPr>
      <w:bookmarkStart w:id="156" w:name="_heading=h.k1ggyir6lf7h" w:colFirst="0" w:colLast="0"/>
      <w:bookmarkEnd w:id="156"/>
    </w:p>
    <w:p w14:paraId="162C9AB7" w14:textId="77777777" w:rsidR="009D55C9" w:rsidRDefault="005A57E0">
      <w:pPr>
        <w:ind w:left="0" w:hanging="2"/>
        <w:rPr>
          <w:rFonts w:ascii="Arial" w:eastAsia="Arial" w:hAnsi="Arial" w:cs="Arial"/>
          <w:sz w:val="20"/>
          <w:szCs w:val="20"/>
          <w:u w:val="single"/>
        </w:rPr>
      </w:pPr>
      <w:bookmarkStart w:id="157" w:name="_heading=h.gwevaj30a7x" w:colFirst="0" w:colLast="0"/>
      <w:bookmarkEnd w:id="157"/>
      <w:r>
        <w:rPr>
          <w:rFonts w:ascii="Arial" w:eastAsia="Arial" w:hAnsi="Arial" w:cs="Arial"/>
          <w:sz w:val="20"/>
          <w:szCs w:val="20"/>
          <w:u w:val="single"/>
        </w:rPr>
        <w:t>Acidosis metabólica</w:t>
      </w:r>
    </w:p>
    <w:p w14:paraId="48380EBC" w14:textId="77777777" w:rsidR="009D55C9" w:rsidRDefault="005A57E0">
      <w:pPr>
        <w:ind w:left="0" w:hanging="2"/>
        <w:jc w:val="both"/>
        <w:rPr>
          <w:rFonts w:ascii="Arial" w:eastAsia="Arial" w:hAnsi="Arial" w:cs="Arial"/>
          <w:sz w:val="20"/>
          <w:szCs w:val="20"/>
        </w:rPr>
      </w:pPr>
      <w:bookmarkStart w:id="158" w:name="_heading=h.vs7qi472tu0j" w:colFirst="0" w:colLast="0"/>
      <w:bookmarkEnd w:id="158"/>
      <w:r>
        <w:rPr>
          <w:rFonts w:ascii="Arial" w:eastAsia="Arial" w:hAnsi="Arial" w:cs="Arial"/>
          <w:sz w:val="20"/>
          <w:szCs w:val="20"/>
        </w:rPr>
        <w:t xml:space="preserve">Antes del tratamiento se debe evaluar la presencia de acidosis tubular renal junto con los riesgos del régimen de acondicionamiento y del procedimiento de TG, que pueden contribuir al desarrollo de este acontecimiento adverso. El estado ácido-base se debe someter a seguimiento durante el acondicionamiento y hasta que el paciente no esté bajo estrés metabólico. </w:t>
      </w:r>
    </w:p>
    <w:p w14:paraId="299A1B3D" w14:textId="77777777" w:rsidR="009D55C9" w:rsidRDefault="009D55C9">
      <w:pPr>
        <w:ind w:left="0" w:hanging="2"/>
        <w:jc w:val="both"/>
        <w:rPr>
          <w:rFonts w:ascii="Arial" w:eastAsia="Arial" w:hAnsi="Arial" w:cs="Arial"/>
          <w:sz w:val="20"/>
          <w:szCs w:val="20"/>
        </w:rPr>
      </w:pPr>
      <w:bookmarkStart w:id="159" w:name="_heading=h.u080z4eznqmi" w:colFirst="0" w:colLast="0"/>
      <w:bookmarkEnd w:id="159"/>
    </w:p>
    <w:p w14:paraId="1813BDF1" w14:textId="77777777" w:rsidR="009D55C9" w:rsidRDefault="005A57E0">
      <w:pPr>
        <w:ind w:left="0" w:hanging="2"/>
        <w:jc w:val="both"/>
        <w:rPr>
          <w:rFonts w:ascii="Arial" w:eastAsia="Arial" w:hAnsi="Arial" w:cs="Arial"/>
          <w:sz w:val="20"/>
          <w:szCs w:val="20"/>
          <w:u w:val="single"/>
        </w:rPr>
      </w:pPr>
      <w:bookmarkStart w:id="160" w:name="_heading=h.i27a0v6rbaz5" w:colFirst="0" w:colLast="0"/>
      <w:bookmarkEnd w:id="160"/>
      <w:r>
        <w:rPr>
          <w:rFonts w:ascii="Arial" w:eastAsia="Arial" w:hAnsi="Arial" w:cs="Arial"/>
          <w:sz w:val="20"/>
          <w:szCs w:val="20"/>
          <w:u w:val="single"/>
        </w:rPr>
        <w:t>Transmisión de agentes infecciosos</w:t>
      </w:r>
    </w:p>
    <w:p w14:paraId="486A84AB" w14:textId="77777777" w:rsidR="009D55C9" w:rsidRDefault="005A57E0">
      <w:pPr>
        <w:ind w:left="0" w:hanging="2"/>
        <w:jc w:val="both"/>
        <w:rPr>
          <w:rFonts w:ascii="Arial" w:eastAsia="Arial" w:hAnsi="Arial" w:cs="Arial"/>
          <w:sz w:val="20"/>
          <w:szCs w:val="20"/>
        </w:rPr>
      </w:pPr>
      <w:bookmarkStart w:id="161" w:name="_heading=h.utq2xj4xufis" w:colFirst="0" w:colLast="0"/>
      <w:bookmarkEnd w:id="161"/>
      <w:r>
        <w:rPr>
          <w:rFonts w:ascii="Arial" w:eastAsia="Arial" w:hAnsi="Arial" w:cs="Arial"/>
          <w:sz w:val="20"/>
          <w:szCs w:val="20"/>
        </w:rPr>
        <w:t>Aunque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se somete a pruebas de esterilidad y micoplasma en el momento de su liberación, existe un pequeño riesgo de transmisión de agentes infecciosos.</w:t>
      </w:r>
    </w:p>
    <w:p w14:paraId="39705DDA" w14:textId="77777777" w:rsidR="009D55C9" w:rsidRDefault="009D55C9">
      <w:pPr>
        <w:ind w:left="0" w:hanging="2"/>
        <w:jc w:val="both"/>
        <w:rPr>
          <w:rFonts w:ascii="Arial" w:eastAsia="Arial" w:hAnsi="Arial" w:cs="Arial"/>
          <w:sz w:val="20"/>
          <w:szCs w:val="20"/>
        </w:rPr>
      </w:pPr>
      <w:bookmarkStart w:id="162" w:name="_heading=h.nyqg9d56fzr6" w:colFirst="0" w:colLast="0"/>
      <w:bookmarkEnd w:id="162"/>
    </w:p>
    <w:p w14:paraId="26CD43D9" w14:textId="77777777" w:rsidR="009D55C9" w:rsidRDefault="005A57E0">
      <w:pPr>
        <w:ind w:left="0" w:hanging="2"/>
        <w:jc w:val="both"/>
        <w:rPr>
          <w:rFonts w:ascii="Arial" w:eastAsia="Arial" w:hAnsi="Arial" w:cs="Arial"/>
          <w:sz w:val="20"/>
          <w:szCs w:val="20"/>
          <w:u w:val="single"/>
        </w:rPr>
      </w:pPr>
      <w:bookmarkStart w:id="163" w:name="_heading=h.16abo9c90ahe" w:colFirst="0" w:colLast="0"/>
      <w:bookmarkEnd w:id="163"/>
      <w:r>
        <w:rPr>
          <w:rFonts w:ascii="Arial" w:eastAsia="Arial" w:hAnsi="Arial" w:cs="Arial"/>
          <w:sz w:val="20"/>
          <w:szCs w:val="20"/>
          <w:u w:val="single"/>
        </w:rPr>
        <w:t>Control de la glándula tiroides</w:t>
      </w:r>
    </w:p>
    <w:p w14:paraId="2BB09288" w14:textId="77777777" w:rsidR="009D55C9" w:rsidRDefault="005A57E0">
      <w:pPr>
        <w:ind w:left="0" w:hanging="2"/>
        <w:jc w:val="both"/>
        <w:rPr>
          <w:rFonts w:ascii="Arial" w:eastAsia="Arial" w:hAnsi="Arial" w:cs="Arial"/>
          <w:sz w:val="20"/>
          <w:szCs w:val="20"/>
        </w:rPr>
      </w:pPr>
      <w:bookmarkStart w:id="164" w:name="_heading=h.e89lmjh332pq" w:colFirst="0" w:colLast="0"/>
      <w:bookmarkEnd w:id="164"/>
      <w:r>
        <w:rPr>
          <w:rFonts w:ascii="Arial" w:eastAsia="Arial" w:hAnsi="Arial" w:cs="Arial"/>
          <w:sz w:val="20"/>
          <w:szCs w:val="20"/>
        </w:rPr>
        <w:t>Durante los estudios clínicos se observaron en algunos pacientes aumentos transitorios de la TSH y T4 y T3 libres.</w:t>
      </w:r>
      <w:bookmarkStart w:id="165" w:name="_heading=h.3sf7em4mznxi" w:colFirst="0" w:colLast="0"/>
      <w:bookmarkEnd w:id="165"/>
      <w:r w:rsidR="00427633">
        <w:rPr>
          <w:rFonts w:ascii="Arial" w:eastAsia="Arial" w:hAnsi="Arial" w:cs="Arial"/>
          <w:sz w:val="20"/>
          <w:szCs w:val="20"/>
        </w:rPr>
        <w:t xml:space="preserve"> </w:t>
      </w:r>
      <w:r>
        <w:rPr>
          <w:rFonts w:ascii="Arial" w:eastAsia="Arial" w:hAnsi="Arial" w:cs="Arial"/>
          <w:sz w:val="20"/>
          <w:szCs w:val="20"/>
        </w:rPr>
        <w:t>Teniendo en cuenta que los trastornos a este nivel podrían estar enmascarados por una enfermedad crítica o inducidos por la medicación concomitante, se debe evaluar a los pacientes para determinar la función y la estructura de la tiroides antes del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 También se debe realizar un seguimiento a corto plazo de la función y la estructura de la glándula tiroides tras el tratamiento y posteriormente, según sea necesario.</w:t>
      </w:r>
    </w:p>
    <w:p w14:paraId="2FF235D0" w14:textId="77777777" w:rsidR="009D55C9" w:rsidRDefault="009D55C9">
      <w:pPr>
        <w:ind w:left="0" w:hanging="2"/>
        <w:jc w:val="both"/>
        <w:rPr>
          <w:rFonts w:ascii="Arial" w:eastAsia="Arial" w:hAnsi="Arial" w:cs="Arial"/>
          <w:sz w:val="20"/>
          <w:szCs w:val="20"/>
        </w:rPr>
      </w:pPr>
      <w:bookmarkStart w:id="166" w:name="_heading=h.5ay97y9gn59w" w:colFirst="0" w:colLast="0"/>
      <w:bookmarkEnd w:id="166"/>
    </w:p>
    <w:p w14:paraId="7A072E32" w14:textId="77777777" w:rsidR="009D55C9" w:rsidRDefault="005A57E0">
      <w:pPr>
        <w:ind w:left="0" w:hanging="2"/>
        <w:jc w:val="both"/>
        <w:rPr>
          <w:rFonts w:ascii="Arial" w:eastAsia="Arial" w:hAnsi="Arial" w:cs="Arial"/>
          <w:sz w:val="20"/>
          <w:szCs w:val="20"/>
          <w:u w:val="single"/>
        </w:rPr>
      </w:pPr>
      <w:bookmarkStart w:id="167" w:name="_heading=h.khjg1avr3tk6" w:colFirst="0" w:colLast="0"/>
      <w:bookmarkEnd w:id="167"/>
      <w:r>
        <w:rPr>
          <w:rFonts w:ascii="Arial" w:eastAsia="Arial" w:hAnsi="Arial" w:cs="Arial"/>
          <w:sz w:val="20"/>
          <w:szCs w:val="20"/>
          <w:u w:val="single"/>
        </w:rPr>
        <w:t>Riesgo de oncogénesis insercional</w:t>
      </w:r>
    </w:p>
    <w:p w14:paraId="008438DE" w14:textId="77777777" w:rsidR="009D55C9" w:rsidRDefault="005A57E0">
      <w:pPr>
        <w:ind w:left="0" w:hanging="2"/>
        <w:jc w:val="both"/>
        <w:rPr>
          <w:rFonts w:ascii="Arial" w:eastAsia="Arial" w:hAnsi="Arial" w:cs="Arial"/>
          <w:sz w:val="20"/>
          <w:szCs w:val="20"/>
        </w:rPr>
      </w:pPr>
      <w:bookmarkStart w:id="168" w:name="_heading=h.7ke77kn796o6" w:colFirst="0" w:colLast="0"/>
      <w:bookmarkEnd w:id="168"/>
      <w:r>
        <w:rPr>
          <w:rFonts w:ascii="Arial" w:eastAsia="Arial" w:hAnsi="Arial" w:cs="Arial"/>
          <w:sz w:val="20"/>
          <w:szCs w:val="20"/>
        </w:rPr>
        <w:t>Existe un riesgo teórico de leucemia o linfoma después del tratamiento con Libmeldy</w:t>
      </w:r>
      <w:r w:rsidR="009E0203" w:rsidRPr="009E0203">
        <w:rPr>
          <w:rFonts w:ascii="Arial" w:eastAsia="Arial" w:hAnsi="Arial" w:cs="Arial"/>
          <w:sz w:val="20"/>
          <w:szCs w:val="20"/>
          <w:vertAlign w:val="superscript"/>
        </w:rPr>
        <w:t>®</w:t>
      </w:r>
      <w:r>
        <w:rPr>
          <w:rFonts w:ascii="Arial" w:eastAsia="Arial" w:hAnsi="Arial" w:cs="Arial"/>
          <w:sz w:val="20"/>
          <w:szCs w:val="20"/>
        </w:rPr>
        <w:t>.</w:t>
      </w:r>
    </w:p>
    <w:p w14:paraId="6B864422" w14:textId="77777777" w:rsidR="009D55C9" w:rsidRDefault="009D55C9">
      <w:pPr>
        <w:ind w:left="0" w:hanging="2"/>
        <w:jc w:val="both"/>
        <w:rPr>
          <w:rFonts w:ascii="Arial" w:eastAsia="Arial" w:hAnsi="Arial" w:cs="Arial"/>
          <w:sz w:val="20"/>
          <w:szCs w:val="20"/>
        </w:rPr>
      </w:pPr>
      <w:bookmarkStart w:id="169" w:name="_heading=h.4t8uhr2vp2rh" w:colFirst="0" w:colLast="0"/>
      <w:bookmarkEnd w:id="169"/>
    </w:p>
    <w:p w14:paraId="18F0C1FE" w14:textId="77777777" w:rsidR="009D55C9" w:rsidRDefault="005A57E0">
      <w:pPr>
        <w:ind w:left="0" w:hanging="2"/>
        <w:jc w:val="both"/>
        <w:rPr>
          <w:rFonts w:ascii="Arial" w:eastAsia="Arial" w:hAnsi="Arial" w:cs="Arial"/>
          <w:sz w:val="20"/>
          <w:szCs w:val="20"/>
          <w:u w:val="single"/>
        </w:rPr>
      </w:pPr>
      <w:bookmarkStart w:id="170" w:name="_heading=h.iyqobs98t7d" w:colFirst="0" w:colLast="0"/>
      <w:bookmarkEnd w:id="170"/>
      <w:r>
        <w:rPr>
          <w:rFonts w:ascii="Arial" w:eastAsia="Arial" w:hAnsi="Arial" w:cs="Arial"/>
          <w:sz w:val="20"/>
          <w:szCs w:val="20"/>
          <w:u w:val="single"/>
        </w:rPr>
        <w:t>Anticuerpos contra ARSA</w:t>
      </w:r>
    </w:p>
    <w:p w14:paraId="674EF308" w14:textId="77777777" w:rsidR="009D55C9" w:rsidRDefault="005A57E0">
      <w:pPr>
        <w:ind w:left="0" w:hanging="2"/>
        <w:jc w:val="both"/>
        <w:rPr>
          <w:rFonts w:ascii="Arial" w:eastAsia="Arial" w:hAnsi="Arial" w:cs="Arial"/>
          <w:sz w:val="20"/>
          <w:szCs w:val="20"/>
        </w:rPr>
      </w:pPr>
      <w:bookmarkStart w:id="171" w:name="_heading=h.8hq2cf9oop19" w:colFirst="0" w:colLast="0"/>
      <w:bookmarkEnd w:id="171"/>
      <w:r>
        <w:rPr>
          <w:rFonts w:ascii="Arial" w:eastAsia="Arial" w:hAnsi="Arial" w:cs="Arial"/>
          <w:sz w:val="20"/>
          <w:szCs w:val="20"/>
        </w:rPr>
        <w:t>Durante el desarrollo clínico, se informó de la presencia de anticuerpos contra ARSA (AAA) en cinco pacientes. Los títulos de anticuerpos eran generalmente bajos y se resolv</w:t>
      </w:r>
      <w:r w:rsidR="00427633">
        <w:rPr>
          <w:rFonts w:ascii="Arial" w:eastAsia="Arial" w:hAnsi="Arial" w:cs="Arial"/>
          <w:sz w:val="20"/>
          <w:szCs w:val="20"/>
        </w:rPr>
        <w:t>ieron</w:t>
      </w:r>
      <w:r>
        <w:rPr>
          <w:rFonts w:ascii="Arial" w:eastAsia="Arial" w:hAnsi="Arial" w:cs="Arial"/>
          <w:sz w:val="20"/>
          <w:szCs w:val="20"/>
        </w:rPr>
        <w:t xml:space="preserve"> espontáneamente o después del tratamiento con rituximab. No se observaron repercusiones en los resultados de la eficacia clínica o la seguridad.</w:t>
      </w:r>
      <w:bookmarkStart w:id="172" w:name="_heading=h.ecmcwa11fx9x" w:colFirst="0" w:colLast="0"/>
      <w:bookmarkEnd w:id="172"/>
      <w:r w:rsidR="00427633">
        <w:rPr>
          <w:rFonts w:ascii="Arial" w:eastAsia="Arial" w:hAnsi="Arial" w:cs="Arial"/>
          <w:sz w:val="20"/>
          <w:szCs w:val="20"/>
        </w:rPr>
        <w:t xml:space="preserve"> </w:t>
      </w:r>
      <w:r>
        <w:rPr>
          <w:rFonts w:ascii="Arial" w:eastAsia="Arial" w:hAnsi="Arial" w:cs="Arial"/>
          <w:sz w:val="20"/>
          <w:szCs w:val="20"/>
        </w:rPr>
        <w:t xml:space="preserve">Se recomienda realizar un seguimiento de los AAA antes del tratamiento, entre uno y dos meses después de la </w:t>
      </w:r>
      <w:r w:rsidR="00BD2296">
        <w:rPr>
          <w:rFonts w:ascii="Arial" w:eastAsia="Arial" w:hAnsi="Arial" w:cs="Arial"/>
          <w:sz w:val="20"/>
          <w:szCs w:val="20"/>
        </w:rPr>
        <w:t>TG</w:t>
      </w:r>
      <w:r>
        <w:rPr>
          <w:rFonts w:ascii="Arial" w:eastAsia="Arial" w:hAnsi="Arial" w:cs="Arial"/>
          <w:sz w:val="20"/>
          <w:szCs w:val="20"/>
        </w:rPr>
        <w:t xml:space="preserve"> y después</w:t>
      </w:r>
      <w:r w:rsidR="00427633">
        <w:rPr>
          <w:rFonts w:ascii="Arial" w:eastAsia="Arial" w:hAnsi="Arial" w:cs="Arial"/>
          <w:sz w:val="20"/>
          <w:szCs w:val="20"/>
        </w:rPr>
        <w:t>,</w:t>
      </w:r>
      <w:r>
        <w:rPr>
          <w:rFonts w:ascii="Arial" w:eastAsia="Arial" w:hAnsi="Arial" w:cs="Arial"/>
          <w:sz w:val="20"/>
          <w:szCs w:val="20"/>
        </w:rPr>
        <w:t xml:space="preserve"> a los seis meses, un año, tres años, cinco años, siete años, nueve años, 12 años y 15 años después del tratamiento.</w:t>
      </w:r>
      <w:bookmarkStart w:id="173" w:name="_heading=h.8szokefh4h4" w:colFirst="0" w:colLast="0"/>
      <w:bookmarkEnd w:id="173"/>
      <w:r w:rsidR="00427633">
        <w:rPr>
          <w:rFonts w:ascii="Arial" w:eastAsia="Arial" w:hAnsi="Arial" w:cs="Arial"/>
          <w:sz w:val="20"/>
          <w:szCs w:val="20"/>
        </w:rPr>
        <w:t xml:space="preserve"> </w:t>
      </w:r>
      <w:r>
        <w:rPr>
          <w:rFonts w:ascii="Arial" w:eastAsia="Arial" w:hAnsi="Arial" w:cs="Arial"/>
          <w:sz w:val="20"/>
          <w:szCs w:val="20"/>
        </w:rPr>
        <w:t>En caso de aparición de una enfermedad o de una progresión significativa de la misma, se recomienda realizar un seguimiento adicional de los AAA.</w:t>
      </w:r>
    </w:p>
    <w:p w14:paraId="5ACE57DD" w14:textId="77777777" w:rsidR="009D55C9" w:rsidRDefault="009D55C9">
      <w:pPr>
        <w:ind w:left="0" w:hanging="2"/>
        <w:jc w:val="both"/>
        <w:rPr>
          <w:rFonts w:ascii="Arial" w:eastAsia="Arial" w:hAnsi="Arial" w:cs="Arial"/>
          <w:sz w:val="20"/>
          <w:szCs w:val="20"/>
        </w:rPr>
      </w:pPr>
      <w:bookmarkStart w:id="174" w:name="_heading=h.llrswwt9976h" w:colFirst="0" w:colLast="0"/>
      <w:bookmarkEnd w:id="174"/>
    </w:p>
    <w:p w14:paraId="390DB0F2" w14:textId="77777777" w:rsidR="009D55C9" w:rsidRDefault="005A57E0">
      <w:pPr>
        <w:ind w:left="0" w:hanging="2"/>
        <w:jc w:val="both"/>
        <w:rPr>
          <w:rFonts w:ascii="Arial" w:eastAsia="Arial" w:hAnsi="Arial" w:cs="Arial"/>
          <w:sz w:val="20"/>
          <w:szCs w:val="20"/>
          <w:u w:val="single"/>
        </w:rPr>
      </w:pPr>
      <w:bookmarkStart w:id="175" w:name="_heading=h.rdh0jqj96q4o" w:colFirst="0" w:colLast="0"/>
      <w:bookmarkEnd w:id="175"/>
      <w:r>
        <w:rPr>
          <w:rFonts w:ascii="Arial" w:eastAsia="Arial" w:hAnsi="Arial" w:cs="Arial"/>
          <w:sz w:val="20"/>
          <w:szCs w:val="20"/>
          <w:u w:val="single"/>
        </w:rPr>
        <w:t>Pruebas serológicas</w:t>
      </w:r>
    </w:p>
    <w:p w14:paraId="5D4A10D3" w14:textId="77777777" w:rsidR="009D55C9" w:rsidRDefault="005A57E0">
      <w:pPr>
        <w:ind w:left="0" w:hanging="2"/>
        <w:jc w:val="both"/>
        <w:rPr>
          <w:rFonts w:ascii="Arial" w:eastAsia="Arial" w:hAnsi="Arial" w:cs="Arial"/>
          <w:sz w:val="20"/>
          <w:szCs w:val="20"/>
        </w:rPr>
      </w:pPr>
      <w:bookmarkStart w:id="176" w:name="_heading=h.o268xc3id0h5" w:colFirst="0" w:colLast="0"/>
      <w:bookmarkEnd w:id="176"/>
      <w:r>
        <w:rPr>
          <w:rFonts w:ascii="Arial" w:eastAsia="Arial" w:hAnsi="Arial" w:cs="Arial"/>
          <w:sz w:val="20"/>
          <w:szCs w:val="20"/>
        </w:rPr>
        <w:t>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no se ha estudiado en pacientes con VIH-1, VIH-2, HTLV-1, HTLV-2, VHB, VHC o infección por micoplasma.</w:t>
      </w:r>
      <w:bookmarkStart w:id="177" w:name="_heading=h.pc7ex7npgjct" w:colFirst="0" w:colLast="0"/>
      <w:bookmarkEnd w:id="177"/>
      <w:r w:rsidR="00427633">
        <w:rPr>
          <w:rFonts w:ascii="Arial" w:eastAsia="Arial" w:hAnsi="Arial" w:cs="Arial"/>
          <w:sz w:val="20"/>
          <w:szCs w:val="20"/>
        </w:rPr>
        <w:t xml:space="preserve"> </w:t>
      </w:r>
      <w:r>
        <w:rPr>
          <w:rFonts w:ascii="Arial" w:eastAsia="Arial" w:hAnsi="Arial" w:cs="Arial"/>
          <w:sz w:val="20"/>
          <w:szCs w:val="20"/>
        </w:rPr>
        <w:t>Todos los pacientes deben ser sometidos a pruebas de VIH-1/2, HTLV-1/2, VHB, VHC y micoplasma antes de la movilización o la extracción de médula ósea para asegurar la aceptación del material básico celular para la elaboración de Libmeldy</w:t>
      </w:r>
      <w:r w:rsidR="009E0203" w:rsidRPr="009E0203">
        <w:rPr>
          <w:rFonts w:ascii="Arial" w:eastAsia="Arial" w:hAnsi="Arial" w:cs="Arial"/>
          <w:sz w:val="20"/>
          <w:szCs w:val="20"/>
          <w:vertAlign w:val="superscript"/>
        </w:rPr>
        <w:t>®</w:t>
      </w:r>
      <w:r>
        <w:rPr>
          <w:rFonts w:ascii="Arial" w:eastAsia="Arial" w:hAnsi="Arial" w:cs="Arial"/>
          <w:sz w:val="20"/>
          <w:szCs w:val="20"/>
        </w:rPr>
        <w:t>.</w:t>
      </w:r>
    </w:p>
    <w:p w14:paraId="7D74517B" w14:textId="77777777" w:rsidR="009D55C9" w:rsidRDefault="009D55C9">
      <w:pPr>
        <w:ind w:left="0" w:hanging="2"/>
        <w:jc w:val="both"/>
        <w:rPr>
          <w:rFonts w:ascii="Arial" w:eastAsia="Arial" w:hAnsi="Arial" w:cs="Arial"/>
          <w:sz w:val="20"/>
          <w:szCs w:val="20"/>
        </w:rPr>
      </w:pPr>
      <w:bookmarkStart w:id="178" w:name="_heading=h.lt6n1agct54p" w:colFirst="0" w:colLast="0"/>
      <w:bookmarkEnd w:id="178"/>
    </w:p>
    <w:p w14:paraId="7266CBEC" w14:textId="77777777" w:rsidR="009D55C9" w:rsidRDefault="005A57E0">
      <w:pPr>
        <w:ind w:left="0" w:hanging="2"/>
        <w:jc w:val="both"/>
        <w:rPr>
          <w:rFonts w:ascii="Arial" w:eastAsia="Arial" w:hAnsi="Arial" w:cs="Arial"/>
          <w:sz w:val="20"/>
          <w:szCs w:val="20"/>
          <w:u w:val="single"/>
        </w:rPr>
      </w:pPr>
      <w:bookmarkStart w:id="179" w:name="_heading=h.q1uwh0jg2b7n" w:colFirst="0" w:colLast="0"/>
      <w:bookmarkEnd w:id="179"/>
      <w:r>
        <w:rPr>
          <w:rFonts w:ascii="Arial" w:eastAsia="Arial" w:hAnsi="Arial" w:cs="Arial"/>
          <w:sz w:val="20"/>
          <w:szCs w:val="20"/>
          <w:u w:val="single"/>
        </w:rPr>
        <w:t>Uso de antirretrovirales</w:t>
      </w:r>
    </w:p>
    <w:p w14:paraId="6CAA20D5" w14:textId="77777777" w:rsidR="009D55C9" w:rsidRDefault="005A57E0">
      <w:pPr>
        <w:ind w:left="0" w:hanging="2"/>
        <w:jc w:val="both"/>
        <w:rPr>
          <w:rFonts w:ascii="Arial" w:eastAsia="Arial" w:hAnsi="Arial" w:cs="Arial"/>
          <w:sz w:val="20"/>
          <w:szCs w:val="20"/>
        </w:rPr>
      </w:pPr>
      <w:bookmarkStart w:id="180" w:name="_heading=h.rolri3wivedy" w:colFirst="0" w:colLast="0"/>
      <w:bookmarkEnd w:id="180"/>
      <w:r>
        <w:rPr>
          <w:rFonts w:ascii="Arial" w:eastAsia="Arial" w:hAnsi="Arial" w:cs="Arial"/>
          <w:sz w:val="20"/>
          <w:szCs w:val="20"/>
        </w:rPr>
        <w:t>Los pacientes no deben tomar medicamentos antirretrovirales desde</w:t>
      </w:r>
      <w:r w:rsidR="00F8494C">
        <w:rPr>
          <w:rFonts w:ascii="Arial" w:eastAsia="Arial" w:hAnsi="Arial" w:cs="Arial"/>
          <w:sz w:val="20"/>
          <w:szCs w:val="20"/>
        </w:rPr>
        <w:t>,</w:t>
      </w:r>
      <w:r>
        <w:rPr>
          <w:rFonts w:ascii="Arial" w:eastAsia="Arial" w:hAnsi="Arial" w:cs="Arial"/>
          <w:sz w:val="20"/>
          <w:szCs w:val="20"/>
        </w:rPr>
        <w:t xml:space="preserve"> al menos</w:t>
      </w:r>
      <w:r w:rsidR="00F8494C">
        <w:rPr>
          <w:rFonts w:ascii="Arial" w:eastAsia="Arial" w:hAnsi="Arial" w:cs="Arial"/>
          <w:sz w:val="20"/>
          <w:szCs w:val="20"/>
        </w:rPr>
        <w:t>,</w:t>
      </w:r>
      <w:r>
        <w:rPr>
          <w:rFonts w:ascii="Arial" w:eastAsia="Arial" w:hAnsi="Arial" w:cs="Arial"/>
          <w:sz w:val="20"/>
          <w:szCs w:val="20"/>
        </w:rPr>
        <w:t xml:space="preserve"> un mes antes de la movilización o extracción de MO hasta</w:t>
      </w:r>
      <w:r w:rsidR="00F8494C">
        <w:rPr>
          <w:rFonts w:ascii="Arial" w:eastAsia="Arial" w:hAnsi="Arial" w:cs="Arial"/>
          <w:sz w:val="20"/>
          <w:szCs w:val="20"/>
        </w:rPr>
        <w:t>,</w:t>
      </w:r>
      <w:r>
        <w:rPr>
          <w:rFonts w:ascii="Arial" w:eastAsia="Arial" w:hAnsi="Arial" w:cs="Arial"/>
          <w:sz w:val="20"/>
          <w:szCs w:val="20"/>
        </w:rPr>
        <w:t xml:space="preserve"> al menos</w:t>
      </w:r>
      <w:r w:rsidR="00F8494C">
        <w:rPr>
          <w:rFonts w:ascii="Arial" w:eastAsia="Arial" w:hAnsi="Arial" w:cs="Arial"/>
          <w:sz w:val="20"/>
          <w:szCs w:val="20"/>
        </w:rPr>
        <w:t>,</w:t>
      </w:r>
      <w:r>
        <w:rPr>
          <w:rFonts w:ascii="Arial" w:eastAsia="Arial" w:hAnsi="Arial" w:cs="Arial"/>
          <w:sz w:val="20"/>
          <w:szCs w:val="20"/>
        </w:rPr>
        <w:t xml:space="preserve"> siete días después de la perfusión de Libmeldy</w:t>
      </w:r>
      <w:r w:rsidR="009E0203" w:rsidRPr="009E0203">
        <w:rPr>
          <w:rFonts w:ascii="Arial" w:eastAsia="Arial" w:hAnsi="Arial" w:cs="Arial"/>
          <w:sz w:val="20"/>
          <w:szCs w:val="20"/>
          <w:vertAlign w:val="superscript"/>
        </w:rPr>
        <w:t>®</w:t>
      </w:r>
      <w:r>
        <w:rPr>
          <w:rFonts w:ascii="Arial" w:eastAsia="Arial" w:hAnsi="Arial" w:cs="Arial"/>
          <w:sz w:val="20"/>
          <w:szCs w:val="20"/>
        </w:rPr>
        <w:t>. Si un paciente requiere un tratamiento con antirretrovirales después de la exposición al VIH/HTLV, el inicio del tratamiento de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debe retrasarse hasta que se haya realizado una prueba de inmunoelectrotransferencia y carga vírica del VIH/HTLV a los seis meses de la exposición.</w:t>
      </w:r>
    </w:p>
    <w:p w14:paraId="55BA6E35" w14:textId="77777777" w:rsidR="009D55C9" w:rsidRDefault="009D55C9">
      <w:pPr>
        <w:ind w:left="0" w:hanging="2"/>
        <w:jc w:val="both"/>
        <w:rPr>
          <w:rFonts w:ascii="Arial" w:eastAsia="Arial" w:hAnsi="Arial" w:cs="Arial"/>
          <w:sz w:val="20"/>
          <w:szCs w:val="20"/>
        </w:rPr>
      </w:pPr>
      <w:bookmarkStart w:id="181" w:name="_heading=h.fodhucq260pa" w:colFirst="0" w:colLast="0"/>
      <w:bookmarkEnd w:id="181"/>
    </w:p>
    <w:p w14:paraId="6C22D792" w14:textId="77777777" w:rsidR="009D55C9" w:rsidRDefault="005A57E0">
      <w:pPr>
        <w:ind w:left="0" w:hanging="2"/>
        <w:jc w:val="both"/>
        <w:rPr>
          <w:rFonts w:ascii="Arial" w:eastAsia="Arial" w:hAnsi="Arial" w:cs="Arial"/>
          <w:sz w:val="20"/>
          <w:szCs w:val="20"/>
          <w:u w:val="single"/>
        </w:rPr>
      </w:pPr>
      <w:bookmarkStart w:id="182" w:name="_heading=h.dk1934z7k273" w:colFirst="0" w:colLast="0"/>
      <w:bookmarkEnd w:id="182"/>
      <w:r>
        <w:rPr>
          <w:rFonts w:ascii="Arial" w:eastAsia="Arial" w:hAnsi="Arial" w:cs="Arial"/>
          <w:sz w:val="20"/>
          <w:szCs w:val="20"/>
          <w:u w:val="single"/>
        </w:rPr>
        <w:t>Interferencia con las pruebas del VIH</w:t>
      </w:r>
    </w:p>
    <w:p w14:paraId="0FB4E099" w14:textId="77777777" w:rsidR="009D55C9" w:rsidRDefault="005A57E0">
      <w:pPr>
        <w:ind w:left="0" w:hanging="2"/>
        <w:jc w:val="both"/>
        <w:rPr>
          <w:rFonts w:ascii="Arial" w:eastAsia="Arial" w:hAnsi="Arial" w:cs="Arial"/>
          <w:sz w:val="20"/>
          <w:szCs w:val="20"/>
        </w:rPr>
      </w:pPr>
      <w:bookmarkStart w:id="183" w:name="_heading=h.sekf2qczof6v" w:colFirst="0" w:colLast="0"/>
      <w:bookmarkEnd w:id="183"/>
      <w:r>
        <w:rPr>
          <w:rFonts w:ascii="Arial" w:eastAsia="Arial" w:hAnsi="Arial" w:cs="Arial"/>
          <w:sz w:val="20"/>
          <w:szCs w:val="20"/>
        </w:rPr>
        <w:t>Es probable que los pacientes que han recibido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den positivo en las pruebas de reacción en cadena de la polimerasa (PCR) para el VIH debido a la inserción del provirus LV, lo que resulta en un falso positivo de VIH. Por lo tanto, los pacientes que han recibido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no se deben clasificar para la detección de la infección por VIH mediante una prueba basada en la PCR.</w:t>
      </w:r>
    </w:p>
    <w:p w14:paraId="2918F811" w14:textId="77777777" w:rsidR="009D55C9" w:rsidRDefault="009D55C9">
      <w:pPr>
        <w:ind w:left="0" w:hanging="2"/>
        <w:jc w:val="both"/>
        <w:rPr>
          <w:rFonts w:ascii="Arial" w:eastAsia="Arial" w:hAnsi="Arial" w:cs="Arial"/>
          <w:sz w:val="20"/>
          <w:szCs w:val="20"/>
        </w:rPr>
      </w:pPr>
      <w:bookmarkStart w:id="184" w:name="_heading=h.81lepap91rag" w:colFirst="0" w:colLast="0"/>
      <w:bookmarkEnd w:id="184"/>
    </w:p>
    <w:p w14:paraId="3DF17DA4" w14:textId="77777777" w:rsidR="009D55C9" w:rsidRDefault="005A57E0">
      <w:pPr>
        <w:ind w:left="0" w:hanging="2"/>
        <w:jc w:val="both"/>
        <w:rPr>
          <w:rFonts w:ascii="Arial" w:eastAsia="Arial" w:hAnsi="Arial" w:cs="Arial"/>
          <w:sz w:val="20"/>
          <w:szCs w:val="20"/>
          <w:u w:val="single"/>
        </w:rPr>
      </w:pPr>
      <w:bookmarkStart w:id="185" w:name="_heading=h.byfod45p4wt" w:colFirst="0" w:colLast="0"/>
      <w:bookmarkEnd w:id="185"/>
      <w:r>
        <w:rPr>
          <w:rFonts w:ascii="Arial" w:eastAsia="Arial" w:hAnsi="Arial" w:cs="Arial"/>
          <w:sz w:val="20"/>
          <w:szCs w:val="20"/>
          <w:u w:val="single"/>
        </w:rPr>
        <w:t>Donación de sangre, órganos, tejidos y células</w:t>
      </w:r>
    </w:p>
    <w:p w14:paraId="746DD1C5" w14:textId="77777777" w:rsidR="009D55C9" w:rsidRDefault="005A57E0">
      <w:pPr>
        <w:ind w:left="0" w:hanging="2"/>
        <w:jc w:val="both"/>
        <w:rPr>
          <w:rFonts w:ascii="Arial" w:eastAsia="Arial" w:hAnsi="Arial" w:cs="Arial"/>
          <w:sz w:val="20"/>
          <w:szCs w:val="20"/>
        </w:rPr>
      </w:pPr>
      <w:bookmarkStart w:id="186" w:name="_heading=h.qwdsm2oancpx" w:colFirst="0" w:colLast="0"/>
      <w:bookmarkEnd w:id="186"/>
      <w:r>
        <w:rPr>
          <w:rFonts w:ascii="Arial" w:eastAsia="Arial" w:hAnsi="Arial" w:cs="Arial"/>
          <w:sz w:val="20"/>
          <w:szCs w:val="20"/>
        </w:rPr>
        <w:t>Los pacientes tratados con Libmeldy</w:t>
      </w:r>
      <w:r w:rsidR="009E0203" w:rsidRPr="009E0203">
        <w:rPr>
          <w:rFonts w:ascii="Arial" w:eastAsia="Arial" w:hAnsi="Arial" w:cs="Arial"/>
          <w:sz w:val="20"/>
          <w:szCs w:val="20"/>
          <w:vertAlign w:val="superscript"/>
        </w:rPr>
        <w:t>®</w:t>
      </w:r>
      <w:r>
        <w:rPr>
          <w:rFonts w:ascii="Arial" w:eastAsia="Arial" w:hAnsi="Arial" w:cs="Arial"/>
          <w:sz w:val="20"/>
          <w:szCs w:val="20"/>
        </w:rPr>
        <w:t xml:space="preserve"> no deben donar sangre, órganos, tejidos y células para trasplantes en ningún momento en el futuro. Esta información se proporciona en la tarjeta de alerta al paciente que debe entregarse después del tratamiento.</w:t>
      </w:r>
    </w:p>
    <w:p w14:paraId="34156090" w14:textId="77777777" w:rsidR="009D55C9" w:rsidRDefault="009D55C9">
      <w:pPr>
        <w:ind w:left="0" w:hanging="2"/>
        <w:jc w:val="both"/>
        <w:rPr>
          <w:rFonts w:ascii="Arial" w:eastAsia="Arial" w:hAnsi="Arial" w:cs="Arial"/>
          <w:sz w:val="20"/>
          <w:szCs w:val="20"/>
        </w:rPr>
      </w:pPr>
      <w:bookmarkStart w:id="187" w:name="_heading=h.auc41aggjma" w:colFirst="0" w:colLast="0"/>
      <w:bookmarkEnd w:id="187"/>
    </w:p>
    <w:p w14:paraId="332640AA" w14:textId="77777777" w:rsidR="009D55C9" w:rsidRDefault="005A57E0">
      <w:pPr>
        <w:ind w:left="0" w:hanging="2"/>
        <w:jc w:val="both"/>
        <w:rPr>
          <w:rFonts w:ascii="Arial" w:eastAsia="Arial" w:hAnsi="Arial" w:cs="Arial"/>
          <w:sz w:val="20"/>
          <w:szCs w:val="20"/>
          <w:u w:val="single"/>
        </w:rPr>
      </w:pPr>
      <w:bookmarkStart w:id="188" w:name="_heading=h.a08yn4if70te" w:colFirst="0" w:colLast="0"/>
      <w:bookmarkEnd w:id="188"/>
      <w:r>
        <w:rPr>
          <w:rFonts w:ascii="Arial" w:eastAsia="Arial" w:hAnsi="Arial" w:cs="Arial"/>
          <w:sz w:val="20"/>
          <w:szCs w:val="20"/>
          <w:u w:val="single"/>
        </w:rPr>
        <w:t>Después de la administración de Libmeldy</w:t>
      </w:r>
      <w:r w:rsidR="00921408" w:rsidRPr="009E0203">
        <w:rPr>
          <w:rFonts w:ascii="Arial" w:eastAsia="Arial" w:hAnsi="Arial" w:cs="Arial"/>
          <w:sz w:val="20"/>
          <w:szCs w:val="20"/>
          <w:vertAlign w:val="superscript"/>
        </w:rPr>
        <w:t>®</w:t>
      </w:r>
    </w:p>
    <w:p w14:paraId="5D8B971E" w14:textId="77777777" w:rsidR="009D55C9" w:rsidRDefault="005A57E0">
      <w:pPr>
        <w:ind w:left="0" w:hanging="2"/>
        <w:jc w:val="both"/>
        <w:rPr>
          <w:rFonts w:ascii="Arial" w:eastAsia="Arial" w:hAnsi="Arial" w:cs="Arial"/>
          <w:sz w:val="20"/>
          <w:szCs w:val="20"/>
        </w:rPr>
      </w:pPr>
      <w:bookmarkStart w:id="189" w:name="_heading=h.ioakrfi4ootx" w:colFirst="0" w:colLast="0"/>
      <w:bookmarkEnd w:id="189"/>
      <w:r>
        <w:rPr>
          <w:rFonts w:ascii="Arial" w:eastAsia="Arial" w:hAnsi="Arial" w:cs="Arial"/>
          <w:sz w:val="20"/>
          <w:szCs w:val="20"/>
        </w:rPr>
        <w:t>Después de la perfusión, deben seguirse los procedimientos habituales para el tratamiento de pacientes después del trasplante de CMH.</w:t>
      </w:r>
      <w:bookmarkStart w:id="190" w:name="_heading=h.t1d3fw789ze7" w:colFirst="0" w:colLast="0"/>
      <w:bookmarkEnd w:id="190"/>
      <w:r w:rsidR="00427633">
        <w:rPr>
          <w:rFonts w:ascii="Arial" w:eastAsia="Arial" w:hAnsi="Arial" w:cs="Arial"/>
          <w:sz w:val="20"/>
          <w:szCs w:val="20"/>
        </w:rPr>
        <w:t xml:space="preserve"> </w:t>
      </w:r>
      <w:r>
        <w:rPr>
          <w:rFonts w:ascii="Arial" w:eastAsia="Arial" w:hAnsi="Arial" w:cs="Arial"/>
          <w:sz w:val="20"/>
          <w:szCs w:val="20"/>
        </w:rPr>
        <w:t>La inmunoglobulina G debe mantenerse por encima de 5 g/L para prevenir posibles infecciones posteriores (que se producen más de 100 días después de la terapia) asociadas a la hipogammaglobulinemia grave, resultante de la aféresis y acondicionamiento de la MO.</w:t>
      </w:r>
      <w:bookmarkStart w:id="191" w:name="_heading=h.dcz8u75t2vgw" w:colFirst="0" w:colLast="0"/>
      <w:bookmarkEnd w:id="191"/>
      <w:r w:rsidR="00427633">
        <w:rPr>
          <w:rFonts w:ascii="Arial" w:eastAsia="Arial" w:hAnsi="Arial" w:cs="Arial"/>
          <w:sz w:val="20"/>
          <w:szCs w:val="20"/>
        </w:rPr>
        <w:t xml:space="preserve"> </w:t>
      </w:r>
      <w:r>
        <w:rPr>
          <w:rFonts w:ascii="Arial" w:eastAsia="Arial" w:hAnsi="Arial" w:cs="Arial"/>
          <w:sz w:val="20"/>
          <w:szCs w:val="20"/>
        </w:rPr>
        <w:t>Cualquier producto sanguíneo que se requiera dentro de los primeros tres meses después de la perfusión de Libmeldy</w:t>
      </w:r>
      <w:r w:rsidR="00921408" w:rsidRPr="009E0203">
        <w:rPr>
          <w:rFonts w:ascii="Arial" w:eastAsia="Arial" w:hAnsi="Arial" w:cs="Arial"/>
          <w:sz w:val="20"/>
          <w:szCs w:val="20"/>
          <w:vertAlign w:val="superscript"/>
        </w:rPr>
        <w:t>®</w:t>
      </w:r>
      <w:r>
        <w:rPr>
          <w:rFonts w:ascii="Arial" w:eastAsia="Arial" w:hAnsi="Arial" w:cs="Arial"/>
          <w:sz w:val="20"/>
          <w:szCs w:val="20"/>
        </w:rPr>
        <w:t xml:space="preserve"> debe ser irradiado.</w:t>
      </w:r>
    </w:p>
    <w:p w14:paraId="4F31402D" w14:textId="77777777" w:rsidR="009D55C9" w:rsidRDefault="009D55C9">
      <w:pPr>
        <w:ind w:left="0" w:hanging="2"/>
        <w:jc w:val="both"/>
        <w:rPr>
          <w:rFonts w:ascii="Arial" w:eastAsia="Arial" w:hAnsi="Arial" w:cs="Arial"/>
          <w:sz w:val="20"/>
          <w:szCs w:val="20"/>
        </w:rPr>
      </w:pPr>
      <w:bookmarkStart w:id="192" w:name="_heading=h.ntcx17ql7ip7" w:colFirst="0" w:colLast="0"/>
      <w:bookmarkEnd w:id="192"/>
    </w:p>
    <w:p w14:paraId="2F77D5DE" w14:textId="77777777" w:rsidR="009D55C9" w:rsidRDefault="005A57E0">
      <w:pPr>
        <w:ind w:left="0" w:hanging="2"/>
        <w:jc w:val="both"/>
        <w:rPr>
          <w:rFonts w:ascii="Arial" w:eastAsia="Arial" w:hAnsi="Arial" w:cs="Arial"/>
          <w:sz w:val="20"/>
          <w:szCs w:val="20"/>
          <w:u w:val="single"/>
        </w:rPr>
      </w:pPr>
      <w:bookmarkStart w:id="193" w:name="_heading=h.5k72g38rxve7" w:colFirst="0" w:colLast="0"/>
      <w:bookmarkEnd w:id="193"/>
      <w:r>
        <w:rPr>
          <w:rFonts w:ascii="Arial" w:eastAsia="Arial" w:hAnsi="Arial" w:cs="Arial"/>
          <w:sz w:val="20"/>
          <w:szCs w:val="20"/>
          <w:u w:val="single"/>
        </w:rPr>
        <w:t>Contenido en sodio</w:t>
      </w:r>
    </w:p>
    <w:p w14:paraId="23545F1F" w14:textId="77777777" w:rsidR="009D55C9" w:rsidRDefault="005A57E0">
      <w:pPr>
        <w:ind w:left="0" w:hanging="2"/>
        <w:jc w:val="both"/>
        <w:rPr>
          <w:rFonts w:ascii="Arial" w:eastAsia="Arial" w:hAnsi="Arial" w:cs="Arial"/>
          <w:sz w:val="20"/>
          <w:szCs w:val="20"/>
        </w:rPr>
      </w:pPr>
      <w:bookmarkStart w:id="194" w:name="_heading=h.lburx5z25wyp" w:colFirst="0" w:colLast="0"/>
      <w:bookmarkEnd w:id="194"/>
      <w:r>
        <w:rPr>
          <w:rFonts w:ascii="Arial" w:eastAsia="Arial" w:hAnsi="Arial" w:cs="Arial"/>
          <w:sz w:val="20"/>
          <w:szCs w:val="20"/>
        </w:rPr>
        <w:t>Este medicamento contiene 35-560 mg de sodio por dosis, que equivale al 2-28% de la ingesta diaria máxima recomendada por la OMS de 2 g de sodio para un adulto.</w:t>
      </w:r>
    </w:p>
    <w:p w14:paraId="76D1E7F3" w14:textId="77777777" w:rsidR="009D55C9" w:rsidRDefault="009D55C9">
      <w:pPr>
        <w:ind w:left="0" w:hanging="2"/>
        <w:jc w:val="both"/>
        <w:rPr>
          <w:rFonts w:ascii="Arial" w:eastAsia="Arial" w:hAnsi="Arial" w:cs="Arial"/>
          <w:sz w:val="20"/>
          <w:szCs w:val="20"/>
        </w:rPr>
      </w:pPr>
      <w:bookmarkStart w:id="195" w:name="_heading=h.k1c02apq8e7a" w:colFirst="0" w:colLast="0"/>
      <w:bookmarkEnd w:id="195"/>
    </w:p>
    <w:p w14:paraId="6DBC3E40" w14:textId="77777777" w:rsidR="009D55C9" w:rsidRDefault="009D55C9">
      <w:pPr>
        <w:ind w:left="0" w:hanging="2"/>
        <w:rPr>
          <w:rFonts w:ascii="Arial" w:eastAsia="Arial" w:hAnsi="Arial" w:cs="Arial"/>
          <w:sz w:val="20"/>
          <w:szCs w:val="20"/>
        </w:rPr>
      </w:pPr>
      <w:bookmarkStart w:id="196" w:name="_heading=h.gsmyui3zrhr9" w:colFirst="0" w:colLast="0"/>
      <w:bookmarkStart w:id="197" w:name="_heading=h.dvhiaj74wbmd" w:colFirst="0" w:colLast="0"/>
      <w:bookmarkEnd w:id="196"/>
      <w:bookmarkEnd w:id="197"/>
    </w:p>
    <w:tbl>
      <w:tblPr>
        <w:tblStyle w:val="afff9"/>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1"/>
      </w:tblGrid>
      <w:tr w:rsidR="009D55C9" w14:paraId="2E531F4A" w14:textId="77777777">
        <w:tc>
          <w:tcPr>
            <w:tcW w:w="9001" w:type="dxa"/>
            <w:tcBorders>
              <w:top w:val="single" w:sz="4" w:space="0" w:color="000000"/>
              <w:left w:val="single" w:sz="4" w:space="0" w:color="000000"/>
              <w:bottom w:val="single" w:sz="4" w:space="0" w:color="000000"/>
              <w:right w:val="single" w:sz="4" w:space="0" w:color="000000"/>
            </w:tcBorders>
            <w:shd w:val="clear" w:color="auto" w:fill="B3B3B3"/>
          </w:tcPr>
          <w:p w14:paraId="69AD0985" w14:textId="77777777" w:rsidR="009D55C9"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7. AREA ECONÓMICA</w:t>
            </w:r>
          </w:p>
        </w:tc>
      </w:tr>
    </w:tbl>
    <w:p w14:paraId="45E429E8" w14:textId="77777777" w:rsidR="009D55C9" w:rsidRDefault="009D55C9">
      <w:pPr>
        <w:ind w:left="0" w:hanging="2"/>
        <w:jc w:val="both"/>
        <w:rPr>
          <w:rFonts w:ascii="Arial" w:eastAsia="Arial" w:hAnsi="Arial" w:cs="Arial"/>
          <w:sz w:val="20"/>
          <w:szCs w:val="20"/>
          <w:highlight w:val="lightGray"/>
        </w:rPr>
      </w:pPr>
      <w:bookmarkStart w:id="198" w:name="_heading=h.28h4qwu" w:colFirst="0" w:colLast="0"/>
      <w:bookmarkEnd w:id="198"/>
    </w:p>
    <w:p w14:paraId="5D2882D2"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7.1 Costes. Coste incremental</w:t>
      </w:r>
    </w:p>
    <w:p w14:paraId="762F8E73" w14:textId="77777777" w:rsidR="009D55C9" w:rsidRDefault="009D55C9">
      <w:pPr>
        <w:ind w:left="0" w:hanging="2"/>
        <w:jc w:val="both"/>
        <w:rPr>
          <w:rFonts w:ascii="Arial" w:eastAsia="Arial" w:hAnsi="Arial" w:cs="Arial"/>
          <w:sz w:val="20"/>
          <w:szCs w:val="20"/>
          <w:highlight w:val="lightGray"/>
        </w:rPr>
      </w:pPr>
    </w:p>
    <w:tbl>
      <w:tblPr>
        <w:tblStyle w:val="afffa"/>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5843"/>
      </w:tblGrid>
      <w:tr w:rsidR="009D55C9" w14:paraId="47C3C278" w14:textId="77777777">
        <w:tc>
          <w:tcPr>
            <w:tcW w:w="8890" w:type="dxa"/>
            <w:gridSpan w:val="2"/>
            <w:shd w:val="clear" w:color="auto" w:fill="CCFFCC"/>
          </w:tcPr>
          <w:p w14:paraId="1978BBA7" w14:textId="77777777" w:rsidR="009D55C9" w:rsidRDefault="005A57E0">
            <w:pPr>
              <w:ind w:left="0" w:hanging="2"/>
              <w:rPr>
                <w:rFonts w:ascii="Arial" w:eastAsia="Arial" w:hAnsi="Arial" w:cs="Arial"/>
                <w:sz w:val="16"/>
                <w:szCs w:val="16"/>
              </w:rPr>
            </w:pPr>
            <w:r>
              <w:rPr>
                <w:rFonts w:ascii="Arial" w:eastAsia="Arial" w:hAnsi="Arial" w:cs="Arial"/>
                <w:b/>
                <w:sz w:val="18"/>
                <w:szCs w:val="18"/>
              </w:rPr>
              <w:t xml:space="preserve">Tabla 7.1.1  Costes de la terapia con el medicamento y con las distintas alternativas </w:t>
            </w:r>
          </w:p>
        </w:tc>
      </w:tr>
      <w:tr w:rsidR="009D55C9" w14:paraId="70E10EA2" w14:textId="77777777">
        <w:tc>
          <w:tcPr>
            <w:tcW w:w="3047" w:type="dxa"/>
            <w:shd w:val="clear" w:color="auto" w:fill="E6E6E6"/>
          </w:tcPr>
          <w:p w14:paraId="3C085667" w14:textId="77777777" w:rsidR="009D55C9" w:rsidRDefault="009D55C9">
            <w:pPr>
              <w:ind w:left="0" w:hanging="2"/>
              <w:jc w:val="both"/>
              <w:rPr>
                <w:rFonts w:ascii="Arial" w:eastAsia="Arial" w:hAnsi="Arial" w:cs="Arial"/>
              </w:rPr>
            </w:pPr>
          </w:p>
        </w:tc>
        <w:tc>
          <w:tcPr>
            <w:tcW w:w="5843" w:type="dxa"/>
            <w:shd w:val="clear" w:color="auto" w:fill="E6E6E6"/>
          </w:tcPr>
          <w:p w14:paraId="26E77AF8" w14:textId="77777777" w:rsidR="009D55C9" w:rsidRDefault="005A57E0">
            <w:pPr>
              <w:ind w:left="0" w:hanging="2"/>
              <w:jc w:val="center"/>
              <w:rPr>
                <w:rFonts w:ascii="Arial" w:eastAsia="Arial" w:hAnsi="Arial" w:cs="Arial"/>
                <w:b/>
                <w:sz w:val="16"/>
                <w:szCs w:val="16"/>
              </w:rPr>
            </w:pPr>
            <w:r>
              <w:rPr>
                <w:rFonts w:ascii="Arial" w:eastAsia="Arial" w:hAnsi="Arial" w:cs="Arial"/>
                <w:b/>
                <w:sz w:val="16"/>
                <w:szCs w:val="16"/>
              </w:rPr>
              <w:t>Libmeldy</w:t>
            </w:r>
            <w:r>
              <w:rPr>
                <w:rFonts w:ascii="Arial" w:eastAsia="Arial" w:hAnsi="Arial" w:cs="Arial"/>
                <w:b/>
                <w:sz w:val="16"/>
                <w:szCs w:val="16"/>
                <w:vertAlign w:val="superscript"/>
              </w:rPr>
              <w:t>®</w:t>
            </w:r>
          </w:p>
          <w:p w14:paraId="196555DC" w14:textId="77777777" w:rsidR="009D55C9" w:rsidRDefault="005A57E0">
            <w:pPr>
              <w:ind w:left="0" w:hanging="2"/>
              <w:jc w:val="center"/>
              <w:rPr>
                <w:rFonts w:ascii="Arial" w:eastAsia="Arial" w:hAnsi="Arial" w:cs="Arial"/>
                <w:b/>
                <w:sz w:val="16"/>
                <w:szCs w:val="16"/>
              </w:rPr>
            </w:pPr>
            <w:r>
              <w:rPr>
                <w:rFonts w:ascii="Arial" w:eastAsia="Arial" w:hAnsi="Arial" w:cs="Arial"/>
                <w:b/>
                <w:sz w:val="16"/>
                <w:szCs w:val="16"/>
              </w:rPr>
              <w:t>Dispersión para perfusión</w:t>
            </w:r>
          </w:p>
          <w:p w14:paraId="5F9BA3A0" w14:textId="77777777" w:rsidR="009D55C9" w:rsidRDefault="005A57E0">
            <w:pPr>
              <w:ind w:left="0" w:hanging="2"/>
              <w:jc w:val="center"/>
              <w:rPr>
                <w:rFonts w:ascii="Arial" w:eastAsia="Arial" w:hAnsi="Arial" w:cs="Arial"/>
              </w:rPr>
            </w:pPr>
            <w:r>
              <w:rPr>
                <w:rFonts w:ascii="Arial" w:eastAsia="Arial" w:hAnsi="Arial" w:cs="Arial"/>
                <w:b/>
                <w:sz w:val="16"/>
                <w:szCs w:val="16"/>
              </w:rPr>
              <w:t>2-10 x 10</w:t>
            </w:r>
            <w:r>
              <w:rPr>
                <w:rFonts w:ascii="Arial" w:eastAsia="Arial" w:hAnsi="Arial" w:cs="Arial"/>
                <w:b/>
                <w:sz w:val="16"/>
                <w:szCs w:val="16"/>
                <w:vertAlign w:val="superscript"/>
              </w:rPr>
              <w:t>6</w:t>
            </w:r>
            <w:r>
              <w:rPr>
                <w:rFonts w:ascii="Arial" w:eastAsia="Arial" w:hAnsi="Arial" w:cs="Arial"/>
                <w:b/>
                <w:sz w:val="16"/>
                <w:szCs w:val="16"/>
              </w:rPr>
              <w:t xml:space="preserve"> células/mL suspendidas en una solución criopreservadora</w:t>
            </w:r>
          </w:p>
        </w:tc>
      </w:tr>
      <w:tr w:rsidR="009D55C9" w14:paraId="1A56A43C" w14:textId="77777777">
        <w:trPr>
          <w:trHeight w:val="168"/>
        </w:trPr>
        <w:tc>
          <w:tcPr>
            <w:tcW w:w="3047" w:type="dxa"/>
          </w:tcPr>
          <w:p w14:paraId="04FB5112" w14:textId="77777777" w:rsidR="009D55C9" w:rsidRDefault="00A16486" w:rsidP="00A16486">
            <w:pPr>
              <w:ind w:left="0" w:hanging="2"/>
              <w:jc w:val="both"/>
              <w:rPr>
                <w:rFonts w:ascii="Arial" w:eastAsia="Arial" w:hAnsi="Arial" w:cs="Arial"/>
              </w:rPr>
            </w:pPr>
            <w:r>
              <w:rPr>
                <w:rFonts w:ascii="Arial" w:eastAsia="Arial" w:hAnsi="Arial" w:cs="Arial"/>
                <w:b/>
                <w:sz w:val="16"/>
                <w:szCs w:val="16"/>
              </w:rPr>
              <w:t>Precio unitario</w:t>
            </w:r>
          </w:p>
        </w:tc>
        <w:tc>
          <w:tcPr>
            <w:tcW w:w="5843" w:type="dxa"/>
          </w:tcPr>
          <w:p w14:paraId="3861C887" w14:textId="77777777" w:rsidR="009D55C9" w:rsidRDefault="00F33D08">
            <w:pPr>
              <w:ind w:left="0" w:hanging="2"/>
              <w:jc w:val="center"/>
              <w:rPr>
                <w:rFonts w:ascii="Arial" w:eastAsia="Arial" w:hAnsi="Arial" w:cs="Arial"/>
                <w:sz w:val="16"/>
                <w:szCs w:val="16"/>
              </w:rPr>
            </w:pPr>
            <w:r>
              <w:rPr>
                <w:rFonts w:ascii="Arial" w:eastAsia="Arial" w:hAnsi="Arial" w:cs="Arial"/>
                <w:sz w:val="16"/>
                <w:szCs w:val="16"/>
              </w:rPr>
              <w:t xml:space="preserve">2.500.000 € - </w:t>
            </w:r>
            <w:r w:rsidR="005A57E0">
              <w:rPr>
                <w:rFonts w:ascii="Arial" w:eastAsia="Arial" w:hAnsi="Arial" w:cs="Arial"/>
                <w:sz w:val="16"/>
                <w:szCs w:val="16"/>
              </w:rPr>
              <w:t>3.000.000 €</w:t>
            </w:r>
            <w:r w:rsidR="00A16486">
              <w:rPr>
                <w:rFonts w:ascii="Arial" w:eastAsia="Arial" w:hAnsi="Arial" w:cs="Arial"/>
                <w:sz w:val="16"/>
                <w:szCs w:val="16"/>
              </w:rPr>
              <w:t>*</w:t>
            </w:r>
          </w:p>
        </w:tc>
      </w:tr>
      <w:tr w:rsidR="009D55C9" w14:paraId="26A2694E" w14:textId="77777777">
        <w:tc>
          <w:tcPr>
            <w:tcW w:w="3047" w:type="dxa"/>
          </w:tcPr>
          <w:p w14:paraId="08E74653" w14:textId="77777777" w:rsidR="009D55C9" w:rsidRDefault="005A57E0">
            <w:pPr>
              <w:ind w:left="0" w:hanging="2"/>
              <w:jc w:val="both"/>
              <w:rPr>
                <w:rFonts w:ascii="Arial" w:eastAsia="Arial" w:hAnsi="Arial" w:cs="Arial"/>
              </w:rPr>
            </w:pPr>
            <w:r>
              <w:rPr>
                <w:rFonts w:ascii="Arial" w:eastAsia="Arial" w:hAnsi="Arial" w:cs="Arial"/>
                <w:b/>
                <w:sz w:val="16"/>
                <w:szCs w:val="16"/>
              </w:rPr>
              <w:t>Posología</w:t>
            </w:r>
          </w:p>
        </w:tc>
        <w:tc>
          <w:tcPr>
            <w:tcW w:w="5843" w:type="dxa"/>
          </w:tcPr>
          <w:p w14:paraId="2B819E4B"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 x 10</w:t>
            </w:r>
            <w:r>
              <w:rPr>
                <w:rFonts w:ascii="Arial" w:eastAsia="Arial" w:hAnsi="Arial" w:cs="Arial"/>
                <w:sz w:val="16"/>
                <w:szCs w:val="16"/>
                <w:vertAlign w:val="superscript"/>
              </w:rPr>
              <w:t>6</w:t>
            </w:r>
            <w:r>
              <w:rPr>
                <w:rFonts w:ascii="Arial" w:eastAsia="Arial" w:hAnsi="Arial" w:cs="Arial"/>
                <w:sz w:val="16"/>
                <w:szCs w:val="16"/>
              </w:rPr>
              <w:t xml:space="preserve"> células CD34+/kg</w:t>
            </w:r>
          </w:p>
        </w:tc>
      </w:tr>
      <w:tr w:rsidR="00F33D08" w14:paraId="43822780" w14:textId="77777777">
        <w:tc>
          <w:tcPr>
            <w:tcW w:w="3047" w:type="dxa"/>
          </w:tcPr>
          <w:p w14:paraId="3FAEA8CE" w14:textId="77777777" w:rsidR="00F33D08" w:rsidRDefault="00F33D08">
            <w:pPr>
              <w:ind w:left="0" w:hanging="2"/>
              <w:jc w:val="both"/>
              <w:rPr>
                <w:rFonts w:ascii="Arial" w:eastAsia="Arial" w:hAnsi="Arial" w:cs="Arial"/>
              </w:rPr>
            </w:pPr>
            <w:r>
              <w:rPr>
                <w:rFonts w:ascii="Arial" w:eastAsia="Arial" w:hAnsi="Arial" w:cs="Arial"/>
                <w:b/>
                <w:sz w:val="16"/>
                <w:szCs w:val="16"/>
              </w:rPr>
              <w:t>Coste día o por ciclo</w:t>
            </w:r>
          </w:p>
        </w:tc>
        <w:tc>
          <w:tcPr>
            <w:tcW w:w="5843" w:type="dxa"/>
          </w:tcPr>
          <w:p w14:paraId="2A8ECE04" w14:textId="77777777" w:rsidR="00F33D08" w:rsidRDefault="00F33D08" w:rsidP="00F33D08">
            <w:pPr>
              <w:ind w:left="0" w:hanging="2"/>
              <w:jc w:val="center"/>
            </w:pPr>
            <w:r w:rsidRPr="00A524DF">
              <w:rPr>
                <w:rFonts w:ascii="Arial" w:eastAsia="Arial" w:hAnsi="Arial" w:cs="Arial"/>
                <w:sz w:val="16"/>
                <w:szCs w:val="16"/>
              </w:rPr>
              <w:t>2.500.000 €</w:t>
            </w:r>
            <w:r>
              <w:rPr>
                <w:rFonts w:ascii="Arial" w:eastAsia="Arial" w:hAnsi="Arial" w:cs="Arial"/>
                <w:sz w:val="16"/>
                <w:szCs w:val="16"/>
              </w:rPr>
              <w:t xml:space="preserve"> </w:t>
            </w:r>
            <w:r w:rsidRPr="00A524DF">
              <w:rPr>
                <w:rFonts w:ascii="Arial" w:eastAsia="Arial" w:hAnsi="Arial" w:cs="Arial"/>
                <w:sz w:val="16"/>
                <w:szCs w:val="16"/>
              </w:rPr>
              <w:t>- 3.000.000 €</w:t>
            </w:r>
          </w:p>
        </w:tc>
      </w:tr>
      <w:tr w:rsidR="00F33D08" w14:paraId="0E5AF6C5" w14:textId="77777777">
        <w:tc>
          <w:tcPr>
            <w:tcW w:w="3047" w:type="dxa"/>
          </w:tcPr>
          <w:p w14:paraId="73322E3E" w14:textId="77777777" w:rsidR="00F33D08" w:rsidRDefault="00F33D08" w:rsidP="00F33D08">
            <w:pPr>
              <w:ind w:left="0" w:hanging="2"/>
              <w:rPr>
                <w:rFonts w:ascii="Arial" w:eastAsia="Arial" w:hAnsi="Arial" w:cs="Arial"/>
                <w:sz w:val="16"/>
                <w:szCs w:val="16"/>
              </w:rPr>
            </w:pPr>
            <w:r>
              <w:rPr>
                <w:rFonts w:ascii="Arial" w:eastAsia="Arial" w:hAnsi="Arial" w:cs="Arial"/>
                <w:b/>
                <w:sz w:val="16"/>
                <w:szCs w:val="16"/>
              </w:rPr>
              <w:t>Coste tratamiento completo</w:t>
            </w:r>
            <w:r>
              <w:rPr>
                <w:rFonts w:ascii="Arial" w:eastAsia="Arial" w:hAnsi="Arial" w:cs="Arial"/>
                <w:sz w:val="16"/>
                <w:szCs w:val="16"/>
              </w:rPr>
              <w:t xml:space="preserve">  </w:t>
            </w:r>
          </w:p>
        </w:tc>
        <w:tc>
          <w:tcPr>
            <w:tcW w:w="5843" w:type="dxa"/>
          </w:tcPr>
          <w:p w14:paraId="6724EB12" w14:textId="77777777" w:rsidR="00F33D08" w:rsidRDefault="00F33D08" w:rsidP="00F33D08">
            <w:pPr>
              <w:ind w:left="0" w:hanging="2"/>
              <w:jc w:val="center"/>
            </w:pPr>
            <w:r w:rsidRPr="00A524DF">
              <w:rPr>
                <w:rFonts w:ascii="Arial" w:eastAsia="Arial" w:hAnsi="Arial" w:cs="Arial"/>
                <w:sz w:val="16"/>
                <w:szCs w:val="16"/>
              </w:rPr>
              <w:t>2.500.000 €</w:t>
            </w:r>
            <w:r>
              <w:rPr>
                <w:rFonts w:ascii="Arial" w:eastAsia="Arial" w:hAnsi="Arial" w:cs="Arial"/>
                <w:sz w:val="16"/>
                <w:szCs w:val="16"/>
              </w:rPr>
              <w:t xml:space="preserve"> </w:t>
            </w:r>
            <w:r w:rsidRPr="00A524DF">
              <w:rPr>
                <w:rFonts w:ascii="Arial" w:eastAsia="Arial" w:hAnsi="Arial" w:cs="Arial"/>
                <w:sz w:val="16"/>
                <w:szCs w:val="16"/>
              </w:rPr>
              <w:t>- 3.000.000 €</w:t>
            </w:r>
          </w:p>
        </w:tc>
      </w:tr>
      <w:tr w:rsidR="009D55C9" w14:paraId="281A3B51" w14:textId="77777777">
        <w:tc>
          <w:tcPr>
            <w:tcW w:w="3047" w:type="dxa"/>
          </w:tcPr>
          <w:p w14:paraId="52B9A640" w14:textId="77777777" w:rsidR="009D55C9" w:rsidRDefault="00F33D08" w:rsidP="00921408">
            <w:pPr>
              <w:ind w:left="0" w:hanging="2"/>
              <w:jc w:val="both"/>
              <w:rPr>
                <w:rFonts w:ascii="Arial" w:eastAsia="Arial" w:hAnsi="Arial" w:cs="Arial"/>
                <w:sz w:val="16"/>
                <w:szCs w:val="16"/>
              </w:rPr>
            </w:pPr>
            <w:r>
              <w:rPr>
                <w:rFonts w:ascii="Arial" w:eastAsia="Arial" w:hAnsi="Arial" w:cs="Arial"/>
                <w:b/>
                <w:sz w:val="16"/>
                <w:szCs w:val="16"/>
              </w:rPr>
              <w:t xml:space="preserve">Costes directos asociados </w:t>
            </w:r>
          </w:p>
        </w:tc>
        <w:tc>
          <w:tcPr>
            <w:tcW w:w="5843" w:type="dxa"/>
          </w:tcPr>
          <w:p w14:paraId="372BD86A" w14:textId="77777777" w:rsidR="009D55C9" w:rsidRDefault="00A16486">
            <w:pPr>
              <w:ind w:left="0" w:hanging="2"/>
              <w:jc w:val="center"/>
              <w:rPr>
                <w:rFonts w:ascii="Arial" w:eastAsia="Arial" w:hAnsi="Arial" w:cs="Arial"/>
                <w:sz w:val="16"/>
                <w:szCs w:val="16"/>
              </w:rPr>
            </w:pPr>
            <w:r>
              <w:rPr>
                <w:rFonts w:ascii="Arial" w:eastAsia="Arial" w:hAnsi="Arial" w:cs="Arial"/>
                <w:sz w:val="16"/>
                <w:szCs w:val="16"/>
              </w:rPr>
              <w:t>**</w:t>
            </w:r>
          </w:p>
        </w:tc>
      </w:tr>
      <w:tr w:rsidR="00F33D08" w14:paraId="1BA9EC33" w14:textId="77777777">
        <w:tc>
          <w:tcPr>
            <w:tcW w:w="3047" w:type="dxa"/>
          </w:tcPr>
          <w:p w14:paraId="11625FFB" w14:textId="77777777" w:rsidR="00F33D08" w:rsidRDefault="00F33D08" w:rsidP="00F33D08">
            <w:pPr>
              <w:ind w:left="0" w:hanging="2"/>
              <w:rPr>
                <w:rFonts w:ascii="Arial" w:eastAsia="Arial" w:hAnsi="Arial" w:cs="Arial"/>
                <w:sz w:val="16"/>
                <w:szCs w:val="16"/>
              </w:rPr>
            </w:pPr>
            <w:r>
              <w:rPr>
                <w:rFonts w:ascii="Arial" w:eastAsia="Arial" w:hAnsi="Arial" w:cs="Arial"/>
                <w:b/>
                <w:sz w:val="16"/>
                <w:szCs w:val="16"/>
              </w:rPr>
              <w:t xml:space="preserve">Coste global  </w:t>
            </w:r>
          </w:p>
        </w:tc>
        <w:tc>
          <w:tcPr>
            <w:tcW w:w="5843" w:type="dxa"/>
          </w:tcPr>
          <w:p w14:paraId="0608D397" w14:textId="77777777" w:rsidR="00F33D08" w:rsidRPr="00F33D08" w:rsidRDefault="00F33D08" w:rsidP="00F33D08">
            <w:pPr>
              <w:ind w:left="0" w:hanging="2"/>
              <w:jc w:val="center"/>
              <w:rPr>
                <w:rFonts w:ascii="Arial" w:eastAsia="Arial" w:hAnsi="Arial" w:cs="Arial"/>
                <w:sz w:val="16"/>
                <w:szCs w:val="16"/>
              </w:rPr>
            </w:pPr>
            <w:r w:rsidRPr="00F33D08">
              <w:rPr>
                <w:rFonts w:ascii="Arial" w:eastAsia="Arial" w:hAnsi="Arial" w:cs="Arial"/>
                <w:sz w:val="16"/>
                <w:szCs w:val="16"/>
              </w:rPr>
              <w:t>2.500.000 €</w:t>
            </w:r>
            <w:r>
              <w:rPr>
                <w:rFonts w:ascii="Arial" w:eastAsia="Arial" w:hAnsi="Arial" w:cs="Arial"/>
                <w:sz w:val="16"/>
                <w:szCs w:val="16"/>
              </w:rPr>
              <w:t xml:space="preserve"> </w:t>
            </w:r>
            <w:r w:rsidRPr="00F33D08">
              <w:rPr>
                <w:rFonts w:ascii="Arial" w:eastAsia="Arial" w:hAnsi="Arial" w:cs="Arial"/>
                <w:sz w:val="16"/>
                <w:szCs w:val="16"/>
              </w:rPr>
              <w:t>- 3.000.000 €</w:t>
            </w:r>
          </w:p>
        </w:tc>
      </w:tr>
      <w:tr w:rsidR="00F33D08" w14:paraId="35B1434D" w14:textId="77777777">
        <w:tc>
          <w:tcPr>
            <w:tcW w:w="3047" w:type="dxa"/>
          </w:tcPr>
          <w:p w14:paraId="60D717AC" w14:textId="77777777" w:rsidR="00F33D08" w:rsidRDefault="00F33D08" w:rsidP="00F33D08">
            <w:pPr>
              <w:ind w:left="0" w:hanging="2"/>
              <w:rPr>
                <w:rFonts w:ascii="Arial" w:eastAsia="Arial" w:hAnsi="Arial" w:cs="Arial"/>
                <w:sz w:val="16"/>
                <w:szCs w:val="16"/>
              </w:rPr>
            </w:pPr>
            <w:r>
              <w:rPr>
                <w:rFonts w:ascii="Arial" w:eastAsia="Arial" w:hAnsi="Arial" w:cs="Arial"/>
                <w:b/>
                <w:sz w:val="16"/>
                <w:szCs w:val="16"/>
              </w:rPr>
              <w:t>Coste incremental (diferencial) respecto al medicamento evaluado</w:t>
            </w:r>
          </w:p>
        </w:tc>
        <w:tc>
          <w:tcPr>
            <w:tcW w:w="5843" w:type="dxa"/>
          </w:tcPr>
          <w:p w14:paraId="36B415B3" w14:textId="77777777" w:rsidR="00F33D08" w:rsidRPr="00F33D08" w:rsidRDefault="00F33D08" w:rsidP="00F33D08">
            <w:pPr>
              <w:ind w:left="0" w:hanging="2"/>
              <w:jc w:val="center"/>
              <w:rPr>
                <w:rFonts w:ascii="Arial" w:eastAsia="Arial" w:hAnsi="Arial" w:cs="Arial"/>
                <w:sz w:val="16"/>
                <w:szCs w:val="16"/>
              </w:rPr>
            </w:pPr>
            <w:r w:rsidRPr="00F33D08">
              <w:rPr>
                <w:rFonts w:ascii="Arial" w:eastAsia="Arial" w:hAnsi="Arial" w:cs="Arial"/>
                <w:sz w:val="16"/>
                <w:szCs w:val="16"/>
              </w:rPr>
              <w:t>2.500.000 €</w:t>
            </w:r>
            <w:r>
              <w:rPr>
                <w:rFonts w:ascii="Arial" w:eastAsia="Arial" w:hAnsi="Arial" w:cs="Arial"/>
                <w:sz w:val="16"/>
                <w:szCs w:val="16"/>
              </w:rPr>
              <w:t xml:space="preserve"> </w:t>
            </w:r>
            <w:r w:rsidRPr="00F33D08">
              <w:rPr>
                <w:rFonts w:ascii="Arial" w:eastAsia="Arial" w:hAnsi="Arial" w:cs="Arial"/>
                <w:sz w:val="16"/>
                <w:szCs w:val="16"/>
              </w:rPr>
              <w:t>- 3.000.000 €</w:t>
            </w:r>
          </w:p>
        </w:tc>
      </w:tr>
    </w:tbl>
    <w:p w14:paraId="6C6FC18E" w14:textId="77777777" w:rsidR="009D55C9" w:rsidRDefault="009D55C9">
      <w:pPr>
        <w:ind w:left="0" w:hanging="2"/>
        <w:jc w:val="both"/>
        <w:rPr>
          <w:rFonts w:ascii="Arial" w:eastAsia="Arial" w:hAnsi="Arial" w:cs="Arial"/>
        </w:rPr>
      </w:pPr>
    </w:p>
    <w:p w14:paraId="16614399" w14:textId="77777777" w:rsidR="009D55C9" w:rsidRPr="00F33D08" w:rsidRDefault="00A16486">
      <w:pPr>
        <w:ind w:left="0" w:hanging="2"/>
        <w:jc w:val="both"/>
        <w:rPr>
          <w:rFonts w:ascii="Arial" w:eastAsia="Arial" w:hAnsi="Arial" w:cs="Arial"/>
          <w:sz w:val="20"/>
          <w:szCs w:val="20"/>
        </w:rPr>
      </w:pPr>
      <w:r>
        <w:rPr>
          <w:rFonts w:ascii="Arial" w:eastAsia="Arial" w:hAnsi="Arial" w:cs="Arial"/>
          <w:sz w:val="20"/>
          <w:szCs w:val="20"/>
        </w:rPr>
        <w:t>*</w:t>
      </w:r>
      <w:r w:rsidR="005A57E0" w:rsidRPr="00F33D08">
        <w:rPr>
          <w:rFonts w:ascii="Arial" w:eastAsia="Arial" w:hAnsi="Arial" w:cs="Arial"/>
          <w:sz w:val="20"/>
          <w:szCs w:val="20"/>
        </w:rPr>
        <w:t xml:space="preserve">Actualmente no hay precio oficial disponible, por lo que utilizamos el estimado en un documento publicado por Orchard Therapeutics en el que indican un rango entre 2,5 - 3 millones de </w:t>
      </w:r>
      <w:r w:rsidR="00711F7C">
        <w:rPr>
          <w:rFonts w:ascii="Arial" w:eastAsia="Arial" w:hAnsi="Arial" w:cs="Arial"/>
          <w:sz w:val="20"/>
          <w:szCs w:val="20"/>
        </w:rPr>
        <w:t>€</w:t>
      </w:r>
      <w:r w:rsidR="005A57E0" w:rsidRPr="00F33D08">
        <w:rPr>
          <w:rFonts w:ascii="Arial" w:eastAsia="Arial" w:hAnsi="Arial" w:cs="Arial"/>
          <w:sz w:val="20"/>
          <w:szCs w:val="20"/>
        </w:rPr>
        <w:t xml:space="preserve"> por tratamiento.</w:t>
      </w:r>
    </w:p>
    <w:p w14:paraId="2C6B0459" w14:textId="77777777" w:rsidR="009D55C9" w:rsidRDefault="009D55C9">
      <w:pPr>
        <w:ind w:left="0" w:hanging="2"/>
        <w:jc w:val="both"/>
        <w:rPr>
          <w:rFonts w:ascii="Arial" w:eastAsia="Arial" w:hAnsi="Arial" w:cs="Arial"/>
          <w:color w:val="000080"/>
          <w:sz w:val="20"/>
          <w:szCs w:val="20"/>
        </w:rPr>
      </w:pPr>
    </w:p>
    <w:p w14:paraId="209293EA" w14:textId="77777777" w:rsidR="009D55C9" w:rsidRDefault="00A16486">
      <w:pPr>
        <w:ind w:left="0" w:hanging="2"/>
        <w:jc w:val="both"/>
        <w:rPr>
          <w:rFonts w:ascii="Arial" w:eastAsia="Arial" w:hAnsi="Arial" w:cs="Arial"/>
          <w:sz w:val="20"/>
          <w:szCs w:val="20"/>
        </w:rPr>
      </w:pPr>
      <w:r w:rsidRPr="00A16486">
        <w:rPr>
          <w:rFonts w:ascii="Arial" w:eastAsia="Arial" w:hAnsi="Arial" w:cs="Arial"/>
          <w:sz w:val="20"/>
          <w:szCs w:val="20"/>
        </w:rPr>
        <w:t xml:space="preserve">**Los costes directos asociados deberían incluir, entre otros, costes </w:t>
      </w:r>
      <w:r w:rsidR="005637D2">
        <w:rPr>
          <w:rFonts w:ascii="Arial" w:eastAsia="Arial" w:hAnsi="Arial" w:cs="Arial"/>
          <w:sz w:val="20"/>
          <w:szCs w:val="20"/>
        </w:rPr>
        <w:t xml:space="preserve">de </w:t>
      </w:r>
      <w:r w:rsidRPr="00A16486">
        <w:rPr>
          <w:rFonts w:ascii="Arial" w:eastAsia="Arial" w:hAnsi="Arial" w:cs="Arial"/>
          <w:sz w:val="20"/>
          <w:szCs w:val="20"/>
        </w:rPr>
        <w:t>movilización de sangre periférica, aféresis, acondicionamiento (con busulfan), profilaxis para EVO, profilaxis para complicaciones de lesiones endoteliales relacionadas, profilaxis anticonvulsiva y antiinfecciosa, premedicación con antihistamínicos previa, hospitalización, pruebas analíticas, y tratamiento de efectos adversos.</w:t>
      </w:r>
      <w:r>
        <w:rPr>
          <w:rFonts w:ascii="Arial" w:eastAsia="Arial" w:hAnsi="Arial" w:cs="Arial"/>
          <w:sz w:val="20"/>
          <w:szCs w:val="20"/>
        </w:rPr>
        <w:t xml:space="preserve"> Aunque estos costes directos asociados son importantes, probablemente puedan considerarse despreciables en relación al coste total </w:t>
      </w:r>
      <w:r w:rsidR="00711F7C">
        <w:rPr>
          <w:rFonts w:ascii="Arial" w:eastAsia="Arial" w:hAnsi="Arial" w:cs="Arial"/>
          <w:sz w:val="20"/>
          <w:szCs w:val="20"/>
        </w:rPr>
        <w:t xml:space="preserve">propuesto por </w:t>
      </w:r>
      <w:r w:rsidR="00711F7C" w:rsidRPr="00F33D08">
        <w:rPr>
          <w:rFonts w:ascii="Arial" w:eastAsia="Arial" w:hAnsi="Arial" w:cs="Arial"/>
          <w:sz w:val="20"/>
          <w:szCs w:val="20"/>
        </w:rPr>
        <w:t>Orchard Therapeutics</w:t>
      </w:r>
      <w:r w:rsidR="00711F7C">
        <w:rPr>
          <w:rFonts w:ascii="Arial" w:eastAsia="Arial" w:hAnsi="Arial" w:cs="Arial"/>
          <w:sz w:val="20"/>
          <w:szCs w:val="20"/>
        </w:rPr>
        <w:t>.</w:t>
      </w:r>
      <w:bookmarkStart w:id="199" w:name="_heading=h.nmf14n" w:colFirst="0" w:colLast="0"/>
      <w:bookmarkEnd w:id="199"/>
    </w:p>
    <w:p w14:paraId="324139B9" w14:textId="77777777" w:rsidR="001100A3" w:rsidRDefault="001100A3">
      <w:pPr>
        <w:ind w:left="0" w:hanging="2"/>
        <w:jc w:val="both"/>
        <w:rPr>
          <w:rFonts w:ascii="Arial" w:eastAsia="Arial" w:hAnsi="Arial" w:cs="Arial"/>
          <w:sz w:val="20"/>
          <w:szCs w:val="20"/>
        </w:rPr>
      </w:pPr>
    </w:p>
    <w:p w14:paraId="0B502D26" w14:textId="77777777" w:rsidR="00881543" w:rsidRDefault="00881543">
      <w:pPr>
        <w:ind w:left="0" w:hanging="2"/>
        <w:jc w:val="both"/>
        <w:rPr>
          <w:rFonts w:ascii="Arial" w:eastAsia="Arial" w:hAnsi="Arial" w:cs="Arial"/>
          <w:sz w:val="20"/>
          <w:szCs w:val="20"/>
        </w:rPr>
      </w:pPr>
    </w:p>
    <w:p w14:paraId="1DE0D476" w14:textId="77777777" w:rsidR="009D55C9" w:rsidRDefault="005A57E0">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rFonts w:ascii="Arial" w:eastAsia="Arial" w:hAnsi="Arial" w:cs="Arial"/>
          <w:color w:val="000000"/>
          <w:sz w:val="20"/>
          <w:szCs w:val="20"/>
        </w:rPr>
      </w:pPr>
      <w:r>
        <w:rPr>
          <w:rFonts w:ascii="Arial" w:eastAsia="Arial" w:hAnsi="Arial" w:cs="Arial"/>
          <w:b/>
          <w:i/>
          <w:color w:val="000000"/>
          <w:sz w:val="20"/>
          <w:szCs w:val="20"/>
        </w:rPr>
        <w:t>7.2 Evaluaciones económicas publicadas</w:t>
      </w:r>
      <w:r>
        <w:rPr>
          <w:rFonts w:ascii="Arial" w:eastAsia="Arial" w:hAnsi="Arial" w:cs="Arial"/>
          <w:color w:val="000000"/>
          <w:sz w:val="20"/>
          <w:szCs w:val="20"/>
        </w:rPr>
        <w:t xml:space="preserve">.  </w:t>
      </w:r>
    </w:p>
    <w:p w14:paraId="55437B8C" w14:textId="77777777" w:rsidR="009D55C9" w:rsidRDefault="009D55C9">
      <w:pPr>
        <w:ind w:left="0" w:hanging="2"/>
        <w:jc w:val="both"/>
        <w:rPr>
          <w:rFonts w:ascii="Arial" w:eastAsia="Arial" w:hAnsi="Arial" w:cs="Arial"/>
          <w:sz w:val="20"/>
          <w:szCs w:val="20"/>
        </w:rPr>
      </w:pPr>
    </w:p>
    <w:p w14:paraId="18E78B0B"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7.2.a Búsqueda de evaluaciones económicas publicadas.</w:t>
      </w:r>
    </w:p>
    <w:p w14:paraId="05CDEF07" w14:textId="77777777" w:rsidR="009D55C9" w:rsidRDefault="009D55C9">
      <w:pPr>
        <w:ind w:left="0" w:hanging="2"/>
        <w:rPr>
          <w:rFonts w:ascii="Arial" w:eastAsia="Arial" w:hAnsi="Arial" w:cs="Arial"/>
          <w:sz w:val="20"/>
          <w:szCs w:val="20"/>
        </w:rPr>
      </w:pPr>
    </w:p>
    <w:p w14:paraId="4857A4B4"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 xml:space="preserve">En fecha </w:t>
      </w:r>
      <w:r w:rsidR="00711F7C">
        <w:rPr>
          <w:rFonts w:ascii="Arial" w:eastAsia="Arial" w:hAnsi="Arial" w:cs="Arial"/>
          <w:sz w:val="20"/>
          <w:szCs w:val="20"/>
        </w:rPr>
        <w:t>26/03/2021</w:t>
      </w:r>
      <w:r>
        <w:rPr>
          <w:rFonts w:ascii="Arial" w:eastAsia="Arial" w:hAnsi="Arial" w:cs="Arial"/>
          <w:sz w:val="20"/>
          <w:szCs w:val="20"/>
        </w:rPr>
        <w:t xml:space="preserve"> se realizó una búsqueda bibliográfica en las siguientes bases de datos: </w:t>
      </w:r>
      <w:r w:rsidR="00711F7C">
        <w:rPr>
          <w:rFonts w:ascii="Arial" w:eastAsia="Arial" w:hAnsi="Arial" w:cs="Arial"/>
          <w:sz w:val="20"/>
          <w:szCs w:val="20"/>
        </w:rPr>
        <w:t>MEDLINE</w:t>
      </w:r>
      <w:r>
        <w:rPr>
          <w:rFonts w:ascii="Arial" w:eastAsia="Arial" w:hAnsi="Arial" w:cs="Arial"/>
          <w:sz w:val="20"/>
          <w:szCs w:val="20"/>
        </w:rPr>
        <w:t xml:space="preserve">. Se aplicaron los siguientes filtros para localizar evaluaciones económicas: </w:t>
      </w:r>
      <w:r w:rsidR="00711F7C">
        <w:rPr>
          <w:rFonts w:ascii="Arial" w:eastAsia="Arial" w:hAnsi="Arial" w:cs="Arial"/>
          <w:sz w:val="20"/>
          <w:szCs w:val="20"/>
        </w:rPr>
        <w:t>“</w:t>
      </w:r>
      <w:r w:rsidR="00711F7C" w:rsidRPr="00711F7C">
        <w:rPr>
          <w:rFonts w:ascii="Arial" w:eastAsia="Arial" w:hAnsi="Arial" w:cs="Arial"/>
          <w:sz w:val="20"/>
          <w:szCs w:val="20"/>
        </w:rPr>
        <w:t xml:space="preserve">Autologous CD34+ cell encoding ARSA gene” </w:t>
      </w:r>
      <w:r w:rsidR="005623EE">
        <w:rPr>
          <w:rFonts w:ascii="Arial" w:eastAsia="Arial" w:hAnsi="Arial" w:cs="Arial"/>
          <w:sz w:val="20"/>
          <w:szCs w:val="20"/>
        </w:rPr>
        <w:t>OR</w:t>
      </w:r>
      <w:r w:rsidR="00711F7C" w:rsidRPr="00711F7C">
        <w:rPr>
          <w:rFonts w:ascii="Arial" w:eastAsia="Arial" w:hAnsi="Arial" w:cs="Arial"/>
          <w:sz w:val="20"/>
          <w:szCs w:val="20"/>
        </w:rPr>
        <w:t xml:space="preserve"> “metachromatic leukodystrophy” AND “</w:t>
      </w:r>
      <w:r w:rsidR="005623EE" w:rsidRPr="00711F7C">
        <w:rPr>
          <w:rFonts w:ascii="Arial" w:eastAsia="Arial" w:hAnsi="Arial" w:cs="Arial"/>
          <w:sz w:val="20"/>
          <w:szCs w:val="20"/>
        </w:rPr>
        <w:t>economic evaluation”</w:t>
      </w:r>
      <w:r w:rsidR="005623EE">
        <w:rPr>
          <w:rFonts w:ascii="Arial" w:eastAsia="Arial" w:hAnsi="Arial" w:cs="Arial"/>
          <w:sz w:val="20"/>
          <w:szCs w:val="20"/>
        </w:rPr>
        <w:t>. No se encontró ningún estudio publicado.</w:t>
      </w:r>
    </w:p>
    <w:p w14:paraId="655659F7" w14:textId="77777777" w:rsidR="009D55C9" w:rsidRDefault="009D55C9">
      <w:pPr>
        <w:ind w:left="0" w:hanging="2"/>
        <w:jc w:val="both"/>
        <w:rPr>
          <w:rFonts w:ascii="Arial" w:eastAsia="Arial" w:hAnsi="Arial" w:cs="Arial"/>
          <w:sz w:val="20"/>
          <w:szCs w:val="20"/>
        </w:rPr>
      </w:pPr>
    </w:p>
    <w:p w14:paraId="3CC64AFF"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7.2.b Extracción de datos de las evaluaciones económicas publicadas.</w:t>
      </w:r>
    </w:p>
    <w:p w14:paraId="1E37F28E" w14:textId="77777777" w:rsidR="009D55C9" w:rsidRDefault="009D55C9">
      <w:pPr>
        <w:ind w:left="0" w:hanging="2"/>
        <w:jc w:val="both"/>
        <w:rPr>
          <w:rFonts w:ascii="Arial" w:eastAsia="Arial" w:hAnsi="Arial" w:cs="Arial"/>
          <w:sz w:val="20"/>
          <w:szCs w:val="20"/>
        </w:rPr>
      </w:pPr>
    </w:p>
    <w:p w14:paraId="6360E3DC" w14:textId="77777777" w:rsidR="005623EE" w:rsidRDefault="005623EE">
      <w:pPr>
        <w:ind w:left="0" w:hanging="2"/>
        <w:jc w:val="both"/>
        <w:rPr>
          <w:rFonts w:ascii="Arial" w:eastAsia="Arial" w:hAnsi="Arial" w:cs="Arial"/>
          <w:sz w:val="20"/>
          <w:szCs w:val="20"/>
        </w:rPr>
      </w:pPr>
      <w:r>
        <w:rPr>
          <w:rFonts w:ascii="Arial" w:eastAsia="Arial" w:hAnsi="Arial" w:cs="Arial"/>
          <w:sz w:val="20"/>
          <w:szCs w:val="20"/>
        </w:rPr>
        <w:t>No procede.</w:t>
      </w:r>
    </w:p>
    <w:p w14:paraId="17126A8E" w14:textId="77777777" w:rsidR="005623EE" w:rsidRDefault="005623EE">
      <w:pPr>
        <w:ind w:left="0" w:hanging="2"/>
        <w:jc w:val="both"/>
        <w:rPr>
          <w:rFonts w:ascii="Arial" w:eastAsia="Arial" w:hAnsi="Arial" w:cs="Arial"/>
          <w:sz w:val="20"/>
          <w:szCs w:val="20"/>
        </w:rPr>
      </w:pPr>
    </w:p>
    <w:p w14:paraId="388E9830"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7.3 Evaluación económica de elaboración propia.</w:t>
      </w:r>
    </w:p>
    <w:p w14:paraId="517131AB" w14:textId="77777777" w:rsidR="009D55C9" w:rsidRDefault="009D55C9">
      <w:pPr>
        <w:ind w:left="0" w:hanging="2"/>
        <w:jc w:val="both"/>
        <w:rPr>
          <w:rFonts w:ascii="Arial" w:eastAsia="Arial" w:hAnsi="Arial" w:cs="Arial"/>
          <w:sz w:val="20"/>
          <w:szCs w:val="20"/>
        </w:rPr>
      </w:pPr>
    </w:p>
    <w:p w14:paraId="7E8B4ADA" w14:textId="77777777" w:rsidR="005623EE" w:rsidRDefault="005623EE" w:rsidP="005623EE">
      <w:pPr>
        <w:ind w:left="0" w:hanging="2"/>
        <w:jc w:val="both"/>
        <w:rPr>
          <w:rFonts w:ascii="Arial" w:eastAsia="Arial" w:hAnsi="Arial" w:cs="Arial"/>
          <w:sz w:val="20"/>
          <w:szCs w:val="20"/>
        </w:rPr>
      </w:pPr>
      <w:r>
        <w:rPr>
          <w:rFonts w:ascii="Arial" w:eastAsia="Arial" w:hAnsi="Arial" w:cs="Arial"/>
          <w:sz w:val="20"/>
          <w:szCs w:val="20"/>
        </w:rPr>
        <w:t>Al no existir ningún estudio comparativo</w:t>
      </w:r>
      <w:r w:rsidR="00D0027E">
        <w:rPr>
          <w:rFonts w:ascii="Arial" w:eastAsia="Arial" w:hAnsi="Arial" w:cs="Arial"/>
          <w:sz w:val="20"/>
          <w:szCs w:val="20"/>
        </w:rPr>
        <w:t>, ni un coste oficial del tratamiento</w:t>
      </w:r>
      <w:r>
        <w:rPr>
          <w:rFonts w:ascii="Arial" w:eastAsia="Arial" w:hAnsi="Arial" w:cs="Arial"/>
          <w:sz w:val="20"/>
          <w:szCs w:val="20"/>
        </w:rPr>
        <w:t xml:space="preserve"> no se pueda hacer una evaluación económica completa.</w:t>
      </w:r>
    </w:p>
    <w:p w14:paraId="40C39650" w14:textId="77777777" w:rsidR="009D55C9" w:rsidRDefault="009D55C9">
      <w:pPr>
        <w:ind w:left="0" w:hanging="2"/>
        <w:jc w:val="both"/>
        <w:rPr>
          <w:rFonts w:ascii="Arial" w:eastAsia="Arial" w:hAnsi="Arial" w:cs="Arial"/>
          <w:sz w:val="20"/>
          <w:szCs w:val="20"/>
        </w:rPr>
      </w:pPr>
    </w:p>
    <w:p w14:paraId="2A6A647D"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 xml:space="preserve">7.3.0 Consideraciones generales y selección del tipo de evaluación económica. </w:t>
      </w:r>
    </w:p>
    <w:p w14:paraId="4E9DD8B1" w14:textId="77777777" w:rsidR="009D55C9" w:rsidRDefault="009D55C9">
      <w:pPr>
        <w:ind w:left="0" w:hanging="2"/>
        <w:jc w:val="both"/>
        <w:rPr>
          <w:rFonts w:ascii="Arial" w:eastAsia="Arial" w:hAnsi="Arial" w:cs="Arial"/>
          <w:sz w:val="20"/>
          <w:szCs w:val="20"/>
        </w:rPr>
      </w:pPr>
    </w:p>
    <w:p w14:paraId="188ECA81" w14:textId="77777777" w:rsidR="009D55C9" w:rsidRDefault="00D0027E">
      <w:pPr>
        <w:ind w:left="0" w:hanging="2"/>
        <w:jc w:val="both"/>
        <w:rPr>
          <w:rFonts w:ascii="Arial" w:eastAsia="Arial" w:hAnsi="Arial" w:cs="Arial"/>
          <w:sz w:val="20"/>
          <w:szCs w:val="20"/>
        </w:rPr>
      </w:pPr>
      <w:r>
        <w:rPr>
          <w:rFonts w:ascii="Arial" w:eastAsia="Arial" w:hAnsi="Arial" w:cs="Arial"/>
          <w:sz w:val="20"/>
          <w:szCs w:val="20"/>
        </w:rPr>
        <w:t xml:space="preserve">A pesar de las limitaciones e incertidumbres que supone, realizamos un análisis coste eficacia </w:t>
      </w:r>
      <w:r w:rsidR="009852B7">
        <w:rPr>
          <w:rFonts w:ascii="Arial" w:eastAsia="Arial" w:hAnsi="Arial" w:cs="Arial"/>
          <w:sz w:val="20"/>
          <w:szCs w:val="20"/>
        </w:rPr>
        <w:t xml:space="preserve">frente a terapia de soporte, </w:t>
      </w:r>
      <w:r>
        <w:rPr>
          <w:rFonts w:ascii="Arial" w:eastAsia="Arial" w:hAnsi="Arial" w:cs="Arial"/>
          <w:sz w:val="20"/>
          <w:szCs w:val="20"/>
        </w:rPr>
        <w:t xml:space="preserve">asumiendo los resultados de eficacia del análisis integrado (29 pacientes) </w:t>
      </w:r>
      <w:r w:rsidR="009852B7">
        <w:rPr>
          <w:rFonts w:ascii="Arial" w:eastAsia="Arial" w:hAnsi="Arial" w:cs="Arial"/>
          <w:sz w:val="20"/>
          <w:szCs w:val="20"/>
        </w:rPr>
        <w:t xml:space="preserve">incluidos en el informe EPAR y el coste aproximado propuesto por </w:t>
      </w:r>
      <w:r w:rsidR="009852B7" w:rsidRPr="00F33D08">
        <w:rPr>
          <w:rFonts w:ascii="Arial" w:eastAsia="Arial" w:hAnsi="Arial" w:cs="Arial"/>
          <w:sz w:val="20"/>
          <w:szCs w:val="20"/>
        </w:rPr>
        <w:t>Orchard Therapeutics</w:t>
      </w:r>
      <w:r w:rsidR="009852B7">
        <w:rPr>
          <w:rFonts w:ascii="Arial" w:eastAsia="Arial" w:hAnsi="Arial" w:cs="Arial"/>
          <w:sz w:val="20"/>
          <w:szCs w:val="20"/>
        </w:rPr>
        <w:t>.</w:t>
      </w:r>
    </w:p>
    <w:p w14:paraId="38FB864A" w14:textId="77777777" w:rsidR="009852B7" w:rsidRDefault="009852B7">
      <w:pPr>
        <w:ind w:left="0" w:hanging="2"/>
        <w:jc w:val="both"/>
        <w:rPr>
          <w:rFonts w:ascii="Arial" w:eastAsia="Arial" w:hAnsi="Arial" w:cs="Arial"/>
          <w:sz w:val="20"/>
          <w:szCs w:val="20"/>
        </w:rPr>
      </w:pPr>
    </w:p>
    <w:tbl>
      <w:tblPr>
        <w:tblStyle w:val="afffd"/>
        <w:tblW w:w="8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1087"/>
        <w:gridCol w:w="1289"/>
        <w:gridCol w:w="1168"/>
        <w:gridCol w:w="1135"/>
        <w:gridCol w:w="1938"/>
      </w:tblGrid>
      <w:tr w:rsidR="009852B7" w14:paraId="673E8F66" w14:textId="77777777" w:rsidTr="00196703">
        <w:tc>
          <w:tcPr>
            <w:tcW w:w="8955" w:type="dxa"/>
            <w:gridSpan w:val="6"/>
            <w:shd w:val="clear" w:color="auto" w:fill="CCFFCC"/>
          </w:tcPr>
          <w:p w14:paraId="245B8D0A" w14:textId="77777777" w:rsidR="009852B7" w:rsidRDefault="009852B7" w:rsidP="00B66C67">
            <w:pPr>
              <w:ind w:left="0" w:hanging="2"/>
              <w:jc w:val="both"/>
              <w:rPr>
                <w:rFonts w:ascii="Arial" w:eastAsia="Arial" w:hAnsi="Arial" w:cs="Arial"/>
                <w:sz w:val="16"/>
                <w:szCs w:val="16"/>
              </w:rPr>
            </w:pPr>
            <w:r>
              <w:rPr>
                <w:rFonts w:ascii="Arial" w:eastAsia="Arial" w:hAnsi="Arial" w:cs="Arial"/>
                <w:b/>
                <w:sz w:val="18"/>
                <w:szCs w:val="18"/>
              </w:rPr>
              <w:t xml:space="preserve">Tabla 7.3.0.1. Resultados diferenciales entre los tratamientos comparados </w:t>
            </w:r>
            <w:r w:rsidR="00B66C67">
              <w:rPr>
                <w:rFonts w:ascii="Arial" w:eastAsia="Arial" w:hAnsi="Arial" w:cs="Arial"/>
                <w:b/>
                <w:sz w:val="18"/>
                <w:szCs w:val="18"/>
              </w:rPr>
              <w:t>(datos agrupados).</w:t>
            </w:r>
          </w:p>
        </w:tc>
      </w:tr>
      <w:tr w:rsidR="009852B7" w14:paraId="3945B65B" w14:textId="77777777" w:rsidTr="00FD4A30">
        <w:tc>
          <w:tcPr>
            <w:tcW w:w="2338" w:type="dxa"/>
            <w:shd w:val="clear" w:color="auto" w:fill="E7E6E6"/>
          </w:tcPr>
          <w:p w14:paraId="661022EE" w14:textId="77777777" w:rsidR="009852B7" w:rsidRDefault="009852B7" w:rsidP="00196703">
            <w:pPr>
              <w:ind w:left="0" w:hanging="2"/>
              <w:jc w:val="both"/>
              <w:rPr>
                <w:rFonts w:ascii="Arial" w:eastAsia="Arial" w:hAnsi="Arial" w:cs="Arial"/>
                <w:sz w:val="16"/>
                <w:szCs w:val="16"/>
              </w:rPr>
            </w:pPr>
          </w:p>
        </w:tc>
        <w:tc>
          <w:tcPr>
            <w:tcW w:w="1087" w:type="dxa"/>
            <w:shd w:val="clear" w:color="auto" w:fill="E7E6E6"/>
          </w:tcPr>
          <w:p w14:paraId="1418ED5D" w14:textId="77777777" w:rsidR="009852B7" w:rsidRDefault="009852B7" w:rsidP="009852B7">
            <w:pPr>
              <w:ind w:left="0" w:hanging="2"/>
              <w:jc w:val="center"/>
              <w:rPr>
                <w:rFonts w:ascii="Arial" w:eastAsia="Arial" w:hAnsi="Arial" w:cs="Arial"/>
                <w:sz w:val="16"/>
                <w:szCs w:val="16"/>
              </w:rPr>
            </w:pPr>
            <w:r>
              <w:rPr>
                <w:rFonts w:ascii="Arial" w:eastAsia="Arial" w:hAnsi="Arial" w:cs="Arial"/>
                <w:sz w:val="16"/>
                <w:szCs w:val="16"/>
              </w:rPr>
              <w:t>Libmeldy</w:t>
            </w:r>
            <w:r w:rsidRPr="00B66C67">
              <w:rPr>
                <w:rFonts w:ascii="Arial" w:eastAsia="Arial" w:hAnsi="Arial" w:cs="Arial"/>
                <w:sz w:val="16"/>
                <w:szCs w:val="16"/>
                <w:vertAlign w:val="superscript"/>
              </w:rPr>
              <w:t>®</w:t>
            </w:r>
          </w:p>
        </w:tc>
        <w:tc>
          <w:tcPr>
            <w:tcW w:w="1289" w:type="dxa"/>
            <w:shd w:val="clear" w:color="auto" w:fill="E7E6E6"/>
          </w:tcPr>
          <w:p w14:paraId="1B56C7A7" w14:textId="77777777" w:rsidR="009852B7" w:rsidRDefault="009852B7" w:rsidP="00196703">
            <w:pPr>
              <w:ind w:left="0" w:hanging="2"/>
              <w:jc w:val="center"/>
              <w:rPr>
                <w:rFonts w:ascii="Arial" w:eastAsia="Arial" w:hAnsi="Arial" w:cs="Arial"/>
                <w:sz w:val="16"/>
                <w:szCs w:val="16"/>
              </w:rPr>
            </w:pPr>
            <w:r>
              <w:rPr>
                <w:rFonts w:ascii="Arial" w:eastAsia="Arial" w:hAnsi="Arial" w:cs="Arial"/>
                <w:sz w:val="16"/>
                <w:szCs w:val="16"/>
              </w:rPr>
              <w:t>Soporte (histórico)</w:t>
            </w:r>
          </w:p>
        </w:tc>
        <w:tc>
          <w:tcPr>
            <w:tcW w:w="1168" w:type="dxa"/>
            <w:shd w:val="clear" w:color="auto" w:fill="E7E6E6"/>
          </w:tcPr>
          <w:p w14:paraId="6B36145A" w14:textId="77777777" w:rsidR="009852B7" w:rsidRDefault="009852B7" w:rsidP="000252CF">
            <w:pPr>
              <w:ind w:left="0" w:hanging="2"/>
              <w:jc w:val="center"/>
              <w:rPr>
                <w:rFonts w:ascii="Arial" w:eastAsia="Arial" w:hAnsi="Arial" w:cs="Arial"/>
                <w:sz w:val="16"/>
                <w:szCs w:val="16"/>
              </w:rPr>
            </w:pPr>
            <w:r>
              <w:rPr>
                <w:rFonts w:ascii="Arial" w:eastAsia="Arial" w:hAnsi="Arial" w:cs="Arial"/>
                <w:sz w:val="16"/>
                <w:szCs w:val="16"/>
              </w:rPr>
              <w:t xml:space="preserve">Diferencia </w:t>
            </w:r>
            <w:r w:rsidR="000252CF">
              <w:rPr>
                <w:rFonts w:ascii="Arial" w:eastAsia="Arial" w:hAnsi="Arial" w:cs="Arial"/>
                <w:sz w:val="16"/>
                <w:szCs w:val="16"/>
              </w:rPr>
              <w:t xml:space="preserve">de medias e </w:t>
            </w:r>
            <w:r>
              <w:rPr>
                <w:rFonts w:ascii="Arial" w:eastAsia="Arial" w:hAnsi="Arial" w:cs="Arial"/>
                <w:sz w:val="16"/>
                <w:szCs w:val="16"/>
              </w:rPr>
              <w:t>IC95%</w:t>
            </w:r>
          </w:p>
        </w:tc>
        <w:tc>
          <w:tcPr>
            <w:tcW w:w="1135" w:type="dxa"/>
            <w:shd w:val="clear" w:color="auto" w:fill="E7E6E6"/>
          </w:tcPr>
          <w:p w14:paraId="14B7B3DD" w14:textId="77777777" w:rsidR="009852B7" w:rsidRDefault="009852B7" w:rsidP="00196703">
            <w:pPr>
              <w:ind w:left="0" w:hanging="2"/>
              <w:jc w:val="center"/>
              <w:rPr>
                <w:rFonts w:ascii="Arial" w:eastAsia="Arial" w:hAnsi="Arial" w:cs="Arial"/>
                <w:sz w:val="16"/>
                <w:szCs w:val="16"/>
              </w:rPr>
            </w:pPr>
            <w:r>
              <w:rPr>
                <w:rFonts w:ascii="Arial" w:eastAsia="Arial" w:hAnsi="Arial" w:cs="Arial"/>
                <w:sz w:val="16"/>
                <w:szCs w:val="16"/>
              </w:rPr>
              <w:t>Referencia</w:t>
            </w:r>
          </w:p>
        </w:tc>
        <w:tc>
          <w:tcPr>
            <w:tcW w:w="1938" w:type="dxa"/>
            <w:shd w:val="clear" w:color="auto" w:fill="E7E6E6"/>
          </w:tcPr>
          <w:p w14:paraId="667BDFCD" w14:textId="77777777" w:rsidR="009852B7" w:rsidRDefault="009852B7" w:rsidP="00196703">
            <w:pPr>
              <w:ind w:left="0" w:hanging="2"/>
              <w:jc w:val="center"/>
              <w:rPr>
                <w:rFonts w:ascii="Arial" w:eastAsia="Arial" w:hAnsi="Arial" w:cs="Arial"/>
                <w:sz w:val="16"/>
                <w:szCs w:val="16"/>
              </w:rPr>
            </w:pPr>
            <w:r>
              <w:rPr>
                <w:rFonts w:ascii="Arial" w:eastAsia="Arial" w:hAnsi="Arial" w:cs="Arial"/>
                <w:sz w:val="16"/>
                <w:szCs w:val="16"/>
              </w:rPr>
              <w:t>Supuestos asumidos</w:t>
            </w:r>
          </w:p>
        </w:tc>
      </w:tr>
      <w:tr w:rsidR="00FD4A30" w:rsidRPr="00FD4A30" w14:paraId="1AAF4279" w14:textId="77777777" w:rsidTr="00196703">
        <w:tc>
          <w:tcPr>
            <w:tcW w:w="8955" w:type="dxa"/>
            <w:gridSpan w:val="6"/>
          </w:tcPr>
          <w:p w14:paraId="427196B4" w14:textId="77777777" w:rsidR="00FD4A30" w:rsidRPr="00FD4A30" w:rsidRDefault="00FD4A30" w:rsidP="00FD4A30">
            <w:pPr>
              <w:ind w:left="0" w:hanging="2"/>
              <w:rPr>
                <w:rFonts w:ascii="Arial" w:eastAsia="Arial" w:hAnsi="Arial" w:cs="Arial"/>
                <w:b/>
                <w:sz w:val="16"/>
                <w:szCs w:val="16"/>
              </w:rPr>
            </w:pPr>
            <w:r w:rsidRPr="00FD4A30">
              <w:rPr>
                <w:rFonts w:ascii="Arial" w:eastAsia="Arial" w:hAnsi="Arial" w:cs="Arial"/>
                <w:b/>
                <w:sz w:val="16"/>
                <w:szCs w:val="16"/>
              </w:rPr>
              <w:t>LMD-IT. Pacientes presintomáticos.</w:t>
            </w:r>
          </w:p>
        </w:tc>
      </w:tr>
      <w:tr w:rsidR="009852B7" w14:paraId="6513DAA3" w14:textId="77777777" w:rsidTr="00B66C67">
        <w:tc>
          <w:tcPr>
            <w:tcW w:w="2338" w:type="dxa"/>
            <w:vAlign w:val="center"/>
          </w:tcPr>
          <w:p w14:paraId="5095CF95" w14:textId="77777777" w:rsidR="009852B7" w:rsidRDefault="009852B7" w:rsidP="00B66C67">
            <w:pPr>
              <w:ind w:left="0" w:hanging="2"/>
              <w:rPr>
                <w:rFonts w:ascii="Arial" w:eastAsia="Arial" w:hAnsi="Arial" w:cs="Arial"/>
                <w:sz w:val="16"/>
                <w:szCs w:val="16"/>
              </w:rPr>
            </w:pPr>
            <w:r>
              <w:rPr>
                <w:rFonts w:ascii="Arial" w:eastAsia="Arial" w:hAnsi="Arial" w:cs="Arial"/>
                <w:sz w:val="16"/>
                <w:szCs w:val="16"/>
              </w:rPr>
              <w:t xml:space="preserve">Variable principal del ensayo clínico: escala MFGM </w:t>
            </w:r>
          </w:p>
        </w:tc>
        <w:tc>
          <w:tcPr>
            <w:tcW w:w="1087" w:type="dxa"/>
            <w:vAlign w:val="center"/>
          </w:tcPr>
          <w:p w14:paraId="1E4966BD"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79,5</w:t>
            </w:r>
            <w:r w:rsidR="00B66C67">
              <w:rPr>
                <w:rFonts w:ascii="Arial" w:eastAsia="Arial" w:hAnsi="Arial" w:cs="Arial"/>
                <w:sz w:val="16"/>
                <w:szCs w:val="16"/>
              </w:rPr>
              <w:t>%</w:t>
            </w:r>
          </w:p>
        </w:tc>
        <w:tc>
          <w:tcPr>
            <w:tcW w:w="1289" w:type="dxa"/>
            <w:vAlign w:val="center"/>
          </w:tcPr>
          <w:p w14:paraId="00F731D0"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8,4</w:t>
            </w:r>
            <w:r w:rsidR="00B66C67">
              <w:rPr>
                <w:rFonts w:ascii="Arial" w:eastAsia="Arial" w:hAnsi="Arial" w:cs="Arial"/>
                <w:sz w:val="16"/>
                <w:szCs w:val="16"/>
              </w:rPr>
              <w:t>%</w:t>
            </w:r>
          </w:p>
        </w:tc>
        <w:tc>
          <w:tcPr>
            <w:tcW w:w="1168" w:type="dxa"/>
            <w:vAlign w:val="center"/>
          </w:tcPr>
          <w:p w14:paraId="263EA12D"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71,0</w:t>
            </w:r>
            <w:r w:rsidR="00B66C67">
              <w:rPr>
                <w:rFonts w:ascii="Arial" w:eastAsia="Arial" w:hAnsi="Arial" w:cs="Arial"/>
                <w:sz w:val="16"/>
                <w:szCs w:val="16"/>
              </w:rPr>
              <w:t>%</w:t>
            </w:r>
          </w:p>
          <w:p w14:paraId="4BBA000F"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(60,4 a 81,7)</w:t>
            </w:r>
          </w:p>
        </w:tc>
        <w:tc>
          <w:tcPr>
            <w:tcW w:w="1135" w:type="dxa"/>
            <w:vAlign w:val="center"/>
          </w:tcPr>
          <w:p w14:paraId="39A11415" w14:textId="77777777" w:rsidR="009852B7" w:rsidRDefault="009852B7"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738C3681" w14:textId="77777777" w:rsidR="009852B7" w:rsidRDefault="00FD4A30" w:rsidP="00B66C67">
            <w:pPr>
              <w:ind w:left="0" w:hanging="2"/>
              <w:jc w:val="center"/>
              <w:rPr>
                <w:rFonts w:ascii="Arial" w:eastAsia="Arial" w:hAnsi="Arial" w:cs="Arial"/>
                <w:sz w:val="16"/>
                <w:szCs w:val="16"/>
              </w:rPr>
            </w:pPr>
            <w:r>
              <w:rPr>
                <w:rFonts w:ascii="Arial" w:eastAsia="Arial" w:hAnsi="Arial" w:cs="Arial"/>
                <w:sz w:val="16"/>
                <w:szCs w:val="16"/>
              </w:rPr>
              <w:t>A los 2 años</w:t>
            </w:r>
          </w:p>
        </w:tc>
      </w:tr>
      <w:tr w:rsidR="00774B7A" w14:paraId="295904F3" w14:textId="77777777" w:rsidTr="00B66C67">
        <w:tc>
          <w:tcPr>
            <w:tcW w:w="2338" w:type="dxa"/>
            <w:vAlign w:val="center"/>
          </w:tcPr>
          <w:p w14:paraId="45B78F15" w14:textId="77777777" w:rsidR="00774B7A" w:rsidRDefault="00774B7A" w:rsidP="00B66C67">
            <w:pPr>
              <w:ind w:left="0" w:hanging="2"/>
              <w:rPr>
                <w:rFonts w:ascii="Arial" w:eastAsia="Arial" w:hAnsi="Arial" w:cs="Arial"/>
                <w:sz w:val="16"/>
                <w:szCs w:val="16"/>
              </w:rPr>
            </w:pPr>
            <w:r>
              <w:rPr>
                <w:rFonts w:ascii="Arial" w:eastAsia="Arial" w:hAnsi="Arial" w:cs="Arial"/>
                <w:sz w:val="16"/>
                <w:szCs w:val="16"/>
              </w:rPr>
              <w:t>Variable principal del ensayo clínico: escala MFGM</w:t>
            </w:r>
          </w:p>
        </w:tc>
        <w:tc>
          <w:tcPr>
            <w:tcW w:w="1087" w:type="dxa"/>
            <w:vAlign w:val="center"/>
          </w:tcPr>
          <w:p w14:paraId="2DF8F9BD"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82,6</w:t>
            </w:r>
            <w:r w:rsidR="00B66C67">
              <w:rPr>
                <w:rFonts w:ascii="Arial" w:eastAsia="Arial" w:hAnsi="Arial" w:cs="Arial"/>
                <w:sz w:val="16"/>
                <w:szCs w:val="16"/>
              </w:rPr>
              <w:t>%</w:t>
            </w:r>
          </w:p>
        </w:tc>
        <w:tc>
          <w:tcPr>
            <w:tcW w:w="1289" w:type="dxa"/>
            <w:vAlign w:val="center"/>
          </w:tcPr>
          <w:p w14:paraId="43918AB9"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2,8</w:t>
            </w:r>
            <w:r w:rsidR="00B66C67">
              <w:rPr>
                <w:rFonts w:ascii="Arial" w:eastAsia="Arial" w:hAnsi="Arial" w:cs="Arial"/>
                <w:sz w:val="16"/>
                <w:szCs w:val="16"/>
              </w:rPr>
              <w:t>%</w:t>
            </w:r>
          </w:p>
        </w:tc>
        <w:tc>
          <w:tcPr>
            <w:tcW w:w="1168" w:type="dxa"/>
            <w:vAlign w:val="center"/>
          </w:tcPr>
          <w:p w14:paraId="4183A47D"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79,8</w:t>
            </w:r>
            <w:r w:rsidR="00B66C67">
              <w:rPr>
                <w:rFonts w:ascii="Arial" w:eastAsia="Arial" w:hAnsi="Arial" w:cs="Arial"/>
                <w:sz w:val="16"/>
                <w:szCs w:val="16"/>
              </w:rPr>
              <w:t>%</w:t>
            </w:r>
          </w:p>
          <w:p w14:paraId="724A1B9C"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(66,2 a 93,3)</w:t>
            </w:r>
          </w:p>
        </w:tc>
        <w:tc>
          <w:tcPr>
            <w:tcW w:w="1135" w:type="dxa"/>
            <w:vAlign w:val="center"/>
          </w:tcPr>
          <w:p w14:paraId="20122576" w14:textId="77777777" w:rsidR="00774B7A" w:rsidRDefault="00774B7A"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7333E805" w14:textId="77777777" w:rsidR="00774B7A" w:rsidRDefault="00FD4A30" w:rsidP="00B66C67">
            <w:pPr>
              <w:ind w:left="0" w:hanging="2"/>
              <w:jc w:val="center"/>
              <w:rPr>
                <w:rFonts w:ascii="Arial" w:eastAsia="Arial" w:hAnsi="Arial" w:cs="Arial"/>
                <w:sz w:val="16"/>
                <w:szCs w:val="16"/>
              </w:rPr>
            </w:pPr>
            <w:r w:rsidRPr="00FD4A30">
              <w:rPr>
                <w:rFonts w:ascii="Arial" w:eastAsia="Arial" w:hAnsi="Arial" w:cs="Arial"/>
                <w:sz w:val="16"/>
                <w:szCs w:val="16"/>
              </w:rPr>
              <w:t xml:space="preserve">A los </w:t>
            </w:r>
            <w:r>
              <w:rPr>
                <w:rFonts w:ascii="Arial" w:eastAsia="Arial" w:hAnsi="Arial" w:cs="Arial"/>
                <w:sz w:val="16"/>
                <w:szCs w:val="16"/>
              </w:rPr>
              <w:t>3</w:t>
            </w:r>
            <w:r w:rsidRPr="00FD4A30">
              <w:rPr>
                <w:rFonts w:ascii="Arial" w:eastAsia="Arial" w:hAnsi="Arial" w:cs="Arial"/>
                <w:sz w:val="16"/>
                <w:szCs w:val="16"/>
              </w:rPr>
              <w:t xml:space="preserve"> años</w:t>
            </w:r>
          </w:p>
        </w:tc>
      </w:tr>
      <w:tr w:rsidR="00FD4A30" w:rsidRPr="00FD4A30" w14:paraId="73215405" w14:textId="77777777" w:rsidTr="00196703">
        <w:tc>
          <w:tcPr>
            <w:tcW w:w="8955" w:type="dxa"/>
            <w:gridSpan w:val="6"/>
          </w:tcPr>
          <w:p w14:paraId="571F9EF0" w14:textId="77777777" w:rsidR="00FD4A30" w:rsidRPr="00FD4A30" w:rsidRDefault="00FD4A30" w:rsidP="00196703">
            <w:pPr>
              <w:ind w:left="0" w:hanging="2"/>
              <w:rPr>
                <w:rFonts w:ascii="Arial" w:eastAsia="Arial" w:hAnsi="Arial" w:cs="Arial"/>
                <w:b/>
                <w:sz w:val="16"/>
                <w:szCs w:val="16"/>
              </w:rPr>
            </w:pPr>
            <w:r w:rsidRPr="00FD4A30">
              <w:rPr>
                <w:rFonts w:ascii="Arial" w:eastAsia="Arial" w:hAnsi="Arial" w:cs="Arial"/>
                <w:b/>
                <w:sz w:val="16"/>
                <w:szCs w:val="16"/>
              </w:rPr>
              <w:t>LMD-</w:t>
            </w:r>
            <w:r>
              <w:rPr>
                <w:rFonts w:ascii="Arial" w:eastAsia="Arial" w:hAnsi="Arial" w:cs="Arial"/>
                <w:b/>
                <w:sz w:val="16"/>
                <w:szCs w:val="16"/>
              </w:rPr>
              <w:t>J</w:t>
            </w:r>
            <w:r w:rsidRPr="00FD4A30">
              <w:rPr>
                <w:rFonts w:ascii="Arial" w:eastAsia="Arial" w:hAnsi="Arial" w:cs="Arial"/>
                <w:b/>
                <w:sz w:val="16"/>
                <w:szCs w:val="16"/>
              </w:rPr>
              <w:t>T. Pacientes presintomáticos.</w:t>
            </w:r>
          </w:p>
        </w:tc>
      </w:tr>
      <w:tr w:rsidR="00FD4A30" w14:paraId="02DF1F66" w14:textId="77777777" w:rsidTr="00B66C67">
        <w:tc>
          <w:tcPr>
            <w:tcW w:w="2338" w:type="dxa"/>
            <w:vAlign w:val="center"/>
          </w:tcPr>
          <w:p w14:paraId="60A1472A" w14:textId="77777777" w:rsidR="00FD4A30" w:rsidRDefault="00FD4A30" w:rsidP="00B66C67">
            <w:pPr>
              <w:ind w:left="0" w:hanging="2"/>
              <w:rPr>
                <w:rFonts w:ascii="Arial" w:eastAsia="Arial" w:hAnsi="Arial" w:cs="Arial"/>
                <w:sz w:val="16"/>
                <w:szCs w:val="16"/>
              </w:rPr>
            </w:pPr>
            <w:r>
              <w:rPr>
                <w:rFonts w:ascii="Arial" w:eastAsia="Arial" w:hAnsi="Arial" w:cs="Arial"/>
                <w:sz w:val="16"/>
                <w:szCs w:val="16"/>
              </w:rPr>
              <w:t xml:space="preserve">Variable principal del ensayo clínico: escala MFGM </w:t>
            </w:r>
          </w:p>
        </w:tc>
        <w:tc>
          <w:tcPr>
            <w:tcW w:w="1087" w:type="dxa"/>
            <w:vAlign w:val="center"/>
          </w:tcPr>
          <w:p w14:paraId="26340022"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96,7</w:t>
            </w:r>
            <w:r w:rsidR="00B66C67">
              <w:rPr>
                <w:rFonts w:ascii="Arial" w:eastAsia="Arial" w:hAnsi="Arial" w:cs="Arial"/>
                <w:sz w:val="16"/>
                <w:szCs w:val="16"/>
              </w:rPr>
              <w:t>%</w:t>
            </w:r>
          </w:p>
        </w:tc>
        <w:tc>
          <w:tcPr>
            <w:tcW w:w="1289" w:type="dxa"/>
            <w:vAlign w:val="center"/>
          </w:tcPr>
          <w:p w14:paraId="33F5E514"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44,3</w:t>
            </w:r>
            <w:r w:rsidR="00B66C67">
              <w:rPr>
                <w:rFonts w:ascii="Arial" w:eastAsia="Arial" w:hAnsi="Arial" w:cs="Arial"/>
                <w:sz w:val="16"/>
                <w:szCs w:val="16"/>
              </w:rPr>
              <w:t>%</w:t>
            </w:r>
          </w:p>
        </w:tc>
        <w:tc>
          <w:tcPr>
            <w:tcW w:w="1168" w:type="dxa"/>
            <w:vAlign w:val="center"/>
          </w:tcPr>
          <w:p w14:paraId="7B620A1A"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52,4</w:t>
            </w:r>
            <w:r w:rsidR="00B66C67">
              <w:rPr>
                <w:rFonts w:ascii="Arial" w:eastAsia="Arial" w:hAnsi="Arial" w:cs="Arial"/>
                <w:sz w:val="16"/>
                <w:szCs w:val="16"/>
              </w:rPr>
              <w:t>%</w:t>
            </w:r>
          </w:p>
          <w:p w14:paraId="7B2A7F7A"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(25,1 a 79,6)</w:t>
            </w:r>
          </w:p>
        </w:tc>
        <w:tc>
          <w:tcPr>
            <w:tcW w:w="1135" w:type="dxa"/>
            <w:vAlign w:val="center"/>
          </w:tcPr>
          <w:p w14:paraId="28696B3A" w14:textId="77777777" w:rsidR="00FD4A30" w:rsidRDefault="00FD4A30" w:rsidP="00B66C67">
            <w:pPr>
              <w:ind w:left="0" w:hanging="2"/>
              <w:jc w:val="center"/>
              <w:rPr>
                <w:rFonts w:ascii="Arial" w:eastAsia="Arial" w:hAnsi="Arial" w:cs="Arial"/>
                <w:sz w:val="16"/>
                <w:szCs w:val="16"/>
              </w:rPr>
            </w:pPr>
            <w:r w:rsidRPr="00FD4A30">
              <w:rPr>
                <w:rFonts w:ascii="Arial" w:eastAsia="Arial" w:hAnsi="Arial" w:cs="Arial"/>
                <w:sz w:val="16"/>
                <w:szCs w:val="16"/>
              </w:rPr>
              <w:t>EPAR</w:t>
            </w:r>
          </w:p>
        </w:tc>
        <w:tc>
          <w:tcPr>
            <w:tcW w:w="1938" w:type="dxa"/>
            <w:vAlign w:val="center"/>
          </w:tcPr>
          <w:p w14:paraId="6F4345F1"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A los 2 años</w:t>
            </w:r>
          </w:p>
        </w:tc>
      </w:tr>
      <w:tr w:rsidR="00FD4A30" w14:paraId="12509560" w14:textId="77777777" w:rsidTr="00B66C67">
        <w:tc>
          <w:tcPr>
            <w:tcW w:w="2338" w:type="dxa"/>
            <w:vAlign w:val="center"/>
          </w:tcPr>
          <w:p w14:paraId="44C42E72" w14:textId="77777777" w:rsidR="00FD4A30" w:rsidRDefault="00FD4A30" w:rsidP="00B66C67">
            <w:pPr>
              <w:ind w:left="0" w:hanging="2"/>
              <w:rPr>
                <w:rFonts w:ascii="Arial" w:eastAsia="Arial" w:hAnsi="Arial" w:cs="Arial"/>
                <w:sz w:val="16"/>
                <w:szCs w:val="16"/>
              </w:rPr>
            </w:pPr>
            <w:r>
              <w:rPr>
                <w:rFonts w:ascii="Arial" w:eastAsia="Arial" w:hAnsi="Arial" w:cs="Arial"/>
                <w:sz w:val="16"/>
                <w:szCs w:val="16"/>
              </w:rPr>
              <w:t>Variable principal del ensayo clínico: escala MFGM</w:t>
            </w:r>
          </w:p>
        </w:tc>
        <w:tc>
          <w:tcPr>
            <w:tcW w:w="1087" w:type="dxa"/>
            <w:vAlign w:val="center"/>
          </w:tcPr>
          <w:p w14:paraId="3536B391"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93,2</w:t>
            </w:r>
            <w:r w:rsidR="00B66C67">
              <w:rPr>
                <w:rFonts w:ascii="Arial" w:eastAsia="Arial" w:hAnsi="Arial" w:cs="Arial"/>
                <w:sz w:val="16"/>
                <w:szCs w:val="16"/>
              </w:rPr>
              <w:t>%</w:t>
            </w:r>
          </w:p>
        </w:tc>
        <w:tc>
          <w:tcPr>
            <w:tcW w:w="1289" w:type="dxa"/>
            <w:vAlign w:val="center"/>
          </w:tcPr>
          <w:p w14:paraId="0E939E97"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18,2</w:t>
            </w:r>
            <w:r w:rsidR="00B66C67">
              <w:rPr>
                <w:rFonts w:ascii="Arial" w:eastAsia="Arial" w:hAnsi="Arial" w:cs="Arial"/>
                <w:sz w:val="16"/>
                <w:szCs w:val="16"/>
              </w:rPr>
              <w:t>%</w:t>
            </w:r>
          </w:p>
        </w:tc>
        <w:tc>
          <w:tcPr>
            <w:tcW w:w="1168" w:type="dxa"/>
            <w:vAlign w:val="center"/>
          </w:tcPr>
          <w:p w14:paraId="5037C352"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74,9</w:t>
            </w:r>
          </w:p>
          <w:p w14:paraId="064D1109"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(50,8 a 99,1)</w:t>
            </w:r>
          </w:p>
        </w:tc>
        <w:tc>
          <w:tcPr>
            <w:tcW w:w="1135" w:type="dxa"/>
            <w:vAlign w:val="center"/>
          </w:tcPr>
          <w:p w14:paraId="55933D7E" w14:textId="77777777" w:rsidR="00FD4A30" w:rsidRDefault="00FD4A30"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0CAADF99" w14:textId="77777777" w:rsidR="00FD4A30" w:rsidRDefault="00FD4A30" w:rsidP="00B66C67">
            <w:pPr>
              <w:ind w:left="0" w:hanging="2"/>
              <w:jc w:val="center"/>
              <w:rPr>
                <w:rFonts w:ascii="Arial" w:eastAsia="Arial" w:hAnsi="Arial" w:cs="Arial"/>
                <w:sz w:val="16"/>
                <w:szCs w:val="16"/>
              </w:rPr>
            </w:pPr>
            <w:r w:rsidRPr="00FD4A30">
              <w:rPr>
                <w:rFonts w:ascii="Arial" w:eastAsia="Arial" w:hAnsi="Arial" w:cs="Arial"/>
                <w:sz w:val="16"/>
                <w:szCs w:val="16"/>
              </w:rPr>
              <w:t xml:space="preserve">A los </w:t>
            </w:r>
            <w:r>
              <w:rPr>
                <w:rFonts w:ascii="Arial" w:eastAsia="Arial" w:hAnsi="Arial" w:cs="Arial"/>
                <w:sz w:val="16"/>
                <w:szCs w:val="16"/>
              </w:rPr>
              <w:t>3</w:t>
            </w:r>
            <w:r w:rsidRPr="00FD4A30">
              <w:rPr>
                <w:rFonts w:ascii="Arial" w:eastAsia="Arial" w:hAnsi="Arial" w:cs="Arial"/>
                <w:sz w:val="16"/>
                <w:szCs w:val="16"/>
              </w:rPr>
              <w:t xml:space="preserve"> años</w:t>
            </w:r>
          </w:p>
        </w:tc>
      </w:tr>
      <w:tr w:rsidR="00FD4A30" w:rsidRPr="00FD4A30" w14:paraId="048C5D16" w14:textId="77777777" w:rsidTr="00196703">
        <w:tc>
          <w:tcPr>
            <w:tcW w:w="8955" w:type="dxa"/>
            <w:gridSpan w:val="6"/>
          </w:tcPr>
          <w:p w14:paraId="387F3E78" w14:textId="77777777" w:rsidR="00FD4A30" w:rsidRPr="00FD4A30" w:rsidRDefault="00FD4A30" w:rsidP="00196703">
            <w:pPr>
              <w:ind w:left="0" w:hanging="2"/>
              <w:rPr>
                <w:rFonts w:ascii="Arial" w:eastAsia="Arial" w:hAnsi="Arial" w:cs="Arial"/>
                <w:b/>
                <w:sz w:val="16"/>
                <w:szCs w:val="16"/>
              </w:rPr>
            </w:pPr>
            <w:r w:rsidRPr="00FD4A30">
              <w:rPr>
                <w:rFonts w:ascii="Arial" w:eastAsia="Arial" w:hAnsi="Arial" w:cs="Arial"/>
                <w:b/>
                <w:sz w:val="16"/>
                <w:szCs w:val="16"/>
              </w:rPr>
              <w:t>LMD-IT. Pacientes presintomáticos.</w:t>
            </w:r>
          </w:p>
        </w:tc>
      </w:tr>
      <w:tr w:rsidR="00FD4A30" w:rsidRPr="00774B7A" w14:paraId="7B9B66E0" w14:textId="77777777" w:rsidTr="00B66C67">
        <w:tc>
          <w:tcPr>
            <w:tcW w:w="2338" w:type="dxa"/>
            <w:vAlign w:val="center"/>
          </w:tcPr>
          <w:p w14:paraId="17DBC027" w14:textId="77777777" w:rsidR="00FD4A30" w:rsidRDefault="00FD4A30" w:rsidP="00B66C67">
            <w:pPr>
              <w:ind w:left="0" w:hanging="2"/>
              <w:rPr>
                <w:rFonts w:ascii="Arial" w:eastAsia="Arial" w:hAnsi="Arial" w:cs="Arial"/>
                <w:sz w:val="16"/>
                <w:szCs w:val="16"/>
              </w:rPr>
            </w:pPr>
            <w:r>
              <w:rPr>
                <w:rFonts w:ascii="Arial" w:eastAsia="Arial" w:hAnsi="Arial" w:cs="Arial"/>
                <w:sz w:val="16"/>
                <w:szCs w:val="16"/>
              </w:rPr>
              <w:t>Supervivencia al seguimiento</w:t>
            </w:r>
          </w:p>
        </w:tc>
        <w:tc>
          <w:tcPr>
            <w:tcW w:w="1087" w:type="dxa"/>
            <w:vAlign w:val="center"/>
          </w:tcPr>
          <w:p w14:paraId="6467639E" w14:textId="77777777" w:rsidR="00FD4A30" w:rsidRPr="00774B7A" w:rsidRDefault="00FD4A30" w:rsidP="00B66C67">
            <w:pPr>
              <w:ind w:left="0" w:hanging="2"/>
              <w:jc w:val="center"/>
              <w:rPr>
                <w:rFonts w:ascii="Arial" w:eastAsia="Arial" w:hAnsi="Arial" w:cs="Arial"/>
                <w:sz w:val="16"/>
                <w:szCs w:val="16"/>
              </w:rPr>
            </w:pPr>
            <w:r w:rsidRPr="00774B7A">
              <w:rPr>
                <w:rFonts w:ascii="Arial" w:eastAsia="Arial" w:hAnsi="Arial" w:cs="Arial"/>
                <w:sz w:val="16"/>
                <w:szCs w:val="16"/>
              </w:rPr>
              <w:t>100%</w:t>
            </w:r>
          </w:p>
        </w:tc>
        <w:tc>
          <w:tcPr>
            <w:tcW w:w="1289" w:type="dxa"/>
            <w:vAlign w:val="center"/>
          </w:tcPr>
          <w:p w14:paraId="6D65A13A"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36,8%</w:t>
            </w:r>
          </w:p>
        </w:tc>
        <w:tc>
          <w:tcPr>
            <w:tcW w:w="1168" w:type="dxa"/>
            <w:vAlign w:val="center"/>
          </w:tcPr>
          <w:p w14:paraId="6EE71F6F" w14:textId="77777777" w:rsidR="00FD4A30" w:rsidRDefault="000252CF" w:rsidP="00B66C67">
            <w:pPr>
              <w:ind w:left="0" w:hanging="2"/>
              <w:jc w:val="center"/>
              <w:rPr>
                <w:rFonts w:ascii="Arial" w:eastAsia="Arial" w:hAnsi="Arial" w:cs="Arial"/>
                <w:sz w:val="16"/>
                <w:szCs w:val="16"/>
              </w:rPr>
            </w:pPr>
            <w:r>
              <w:rPr>
                <w:rFonts w:ascii="Arial" w:eastAsia="Arial" w:hAnsi="Arial" w:cs="Arial"/>
                <w:sz w:val="16"/>
                <w:szCs w:val="16"/>
              </w:rPr>
              <w:t>RAR=</w:t>
            </w:r>
            <w:r w:rsidR="00FD4A30">
              <w:rPr>
                <w:rFonts w:ascii="Arial" w:eastAsia="Arial" w:hAnsi="Arial" w:cs="Arial"/>
                <w:sz w:val="16"/>
                <w:szCs w:val="16"/>
              </w:rPr>
              <w:t>63,2%</w:t>
            </w:r>
          </w:p>
          <w:p w14:paraId="33ADDEC9"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(41,5 a 84,8)</w:t>
            </w:r>
          </w:p>
        </w:tc>
        <w:tc>
          <w:tcPr>
            <w:tcW w:w="1135" w:type="dxa"/>
            <w:vAlign w:val="center"/>
          </w:tcPr>
          <w:p w14:paraId="3048896E"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EPAR</w:t>
            </w:r>
          </w:p>
        </w:tc>
        <w:tc>
          <w:tcPr>
            <w:tcW w:w="1938" w:type="dxa"/>
            <w:vAlign w:val="center"/>
          </w:tcPr>
          <w:p w14:paraId="69CD1494" w14:textId="77777777" w:rsidR="00FD4A30" w:rsidRPr="00774B7A" w:rsidRDefault="00FD4A30" w:rsidP="00B66C67">
            <w:pPr>
              <w:ind w:left="0" w:hanging="2"/>
              <w:jc w:val="center"/>
              <w:rPr>
                <w:rFonts w:ascii="Arial" w:eastAsia="Arial" w:hAnsi="Arial" w:cs="Arial"/>
                <w:sz w:val="16"/>
                <w:szCs w:val="16"/>
              </w:rPr>
            </w:pPr>
            <w:r>
              <w:rPr>
                <w:rFonts w:ascii="Arial" w:eastAsia="Arial" w:hAnsi="Arial" w:cs="Arial"/>
                <w:sz w:val="16"/>
                <w:szCs w:val="16"/>
              </w:rPr>
              <w:t>Seguimiento medio de 3 años (rango: 0,99 a 7,51)</w:t>
            </w:r>
          </w:p>
        </w:tc>
      </w:tr>
    </w:tbl>
    <w:p w14:paraId="13C69BE9" w14:textId="77777777" w:rsidR="009852B7" w:rsidRPr="00881543" w:rsidRDefault="009852B7" w:rsidP="00774B7A">
      <w:pPr>
        <w:ind w:left="0" w:hanging="2"/>
        <w:jc w:val="center"/>
        <w:rPr>
          <w:rFonts w:ascii="Arial" w:eastAsia="Arial" w:hAnsi="Arial" w:cs="Arial"/>
          <w:sz w:val="20"/>
          <w:szCs w:val="16"/>
        </w:rPr>
      </w:pPr>
    </w:p>
    <w:p w14:paraId="4557E8ED"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7.3.1. Análisis de minimización de costes. Estudios propios</w:t>
      </w:r>
    </w:p>
    <w:p w14:paraId="588F972D" w14:textId="77777777" w:rsidR="009D55C9" w:rsidRDefault="009D55C9">
      <w:pPr>
        <w:ind w:left="0" w:hanging="2"/>
        <w:jc w:val="both"/>
        <w:rPr>
          <w:rFonts w:ascii="Arial" w:eastAsia="Arial" w:hAnsi="Arial" w:cs="Arial"/>
          <w:sz w:val="20"/>
          <w:szCs w:val="20"/>
        </w:rPr>
      </w:pPr>
    </w:p>
    <w:p w14:paraId="17A77357" w14:textId="77777777" w:rsidR="009D55C9" w:rsidRDefault="005A57E0">
      <w:pPr>
        <w:ind w:left="0" w:hanging="2"/>
        <w:jc w:val="both"/>
        <w:rPr>
          <w:rFonts w:ascii="Arial" w:eastAsia="Arial" w:hAnsi="Arial" w:cs="Arial"/>
          <w:sz w:val="20"/>
          <w:szCs w:val="20"/>
        </w:rPr>
      </w:pPr>
      <w:r>
        <w:rPr>
          <w:rFonts w:ascii="Arial" w:eastAsia="Arial" w:hAnsi="Arial" w:cs="Arial"/>
          <w:sz w:val="20"/>
          <w:szCs w:val="20"/>
        </w:rPr>
        <w:t>No procede.</w:t>
      </w:r>
    </w:p>
    <w:p w14:paraId="0E0089DB" w14:textId="77777777" w:rsidR="009D55C9" w:rsidRDefault="009D55C9">
      <w:pPr>
        <w:ind w:left="0" w:hanging="2"/>
        <w:rPr>
          <w:rFonts w:ascii="Arial" w:eastAsia="Arial" w:hAnsi="Arial" w:cs="Arial"/>
          <w:sz w:val="20"/>
          <w:szCs w:val="20"/>
        </w:rPr>
      </w:pPr>
    </w:p>
    <w:p w14:paraId="45B54158" w14:textId="77777777" w:rsidR="009D55C9" w:rsidRDefault="005A57E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7.3.2. Coste-efectividad. Estudios propios</w:t>
      </w:r>
    </w:p>
    <w:p w14:paraId="55989BF1" w14:textId="77777777" w:rsidR="009D55C9" w:rsidRDefault="009D55C9">
      <w:pPr>
        <w:ind w:left="0" w:hanging="2"/>
        <w:jc w:val="both"/>
        <w:rPr>
          <w:rFonts w:ascii="Arial" w:eastAsia="Arial" w:hAnsi="Arial" w:cs="Arial"/>
          <w:color w:val="FF0000"/>
          <w:sz w:val="20"/>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3"/>
        <w:gridCol w:w="1234"/>
        <w:gridCol w:w="925"/>
        <w:gridCol w:w="851"/>
        <w:gridCol w:w="1134"/>
        <w:gridCol w:w="1134"/>
        <w:gridCol w:w="992"/>
        <w:gridCol w:w="850"/>
        <w:gridCol w:w="1145"/>
      </w:tblGrid>
      <w:tr w:rsidR="00045888" w14:paraId="47655E41" w14:textId="77777777" w:rsidTr="006A6E85">
        <w:tc>
          <w:tcPr>
            <w:tcW w:w="9378" w:type="dxa"/>
            <w:gridSpan w:val="9"/>
            <w:shd w:val="clear" w:color="auto" w:fill="CCFFCC"/>
          </w:tcPr>
          <w:p w14:paraId="5AA3579F" w14:textId="77777777" w:rsidR="00045888" w:rsidRDefault="00045888" w:rsidP="00196703">
            <w:pPr>
              <w:ind w:left="0" w:hanging="2"/>
              <w:jc w:val="both"/>
              <w:rPr>
                <w:rFonts w:ascii="Arial" w:eastAsia="Arial" w:hAnsi="Arial" w:cs="Arial"/>
                <w:sz w:val="16"/>
                <w:szCs w:val="16"/>
              </w:rPr>
            </w:pPr>
            <w:r>
              <w:rPr>
                <w:rFonts w:ascii="Arial" w:eastAsia="Arial" w:hAnsi="Arial" w:cs="Arial"/>
                <w:b/>
                <w:sz w:val="18"/>
                <w:szCs w:val="18"/>
              </w:rPr>
              <w:t>Tabla 7.3.2.1. Análisis de coste-efectividad cuando la variable de efectividad es una variable continua</w:t>
            </w:r>
            <w:r w:rsidR="006A6E85">
              <w:rPr>
                <w:rFonts w:ascii="Arial" w:eastAsia="Arial" w:hAnsi="Arial" w:cs="Arial"/>
                <w:b/>
                <w:sz w:val="18"/>
                <w:szCs w:val="18"/>
              </w:rPr>
              <w:t>. Referencia EPAR</w:t>
            </w:r>
          </w:p>
        </w:tc>
      </w:tr>
      <w:tr w:rsidR="006A6E85" w14:paraId="42209225" w14:textId="77777777" w:rsidTr="006A6E85">
        <w:tc>
          <w:tcPr>
            <w:tcW w:w="1113" w:type="dxa"/>
            <w:shd w:val="clear" w:color="auto" w:fill="E0E0E0"/>
          </w:tcPr>
          <w:p w14:paraId="16DDC83F" w14:textId="77777777" w:rsidR="006A6E85" w:rsidRPr="006A6E85" w:rsidRDefault="006A6E85" w:rsidP="006A6E85">
            <w:pPr>
              <w:ind w:left="0" w:hanging="2"/>
              <w:rPr>
                <w:rFonts w:ascii="Arial" w:eastAsia="Arial" w:hAnsi="Arial" w:cs="Arial"/>
                <w:b/>
                <w:sz w:val="16"/>
                <w:szCs w:val="16"/>
              </w:rPr>
            </w:pPr>
            <w:r w:rsidRPr="006A6E85">
              <w:rPr>
                <w:rFonts w:ascii="Arial" w:eastAsia="Arial" w:hAnsi="Arial" w:cs="Arial"/>
                <w:b/>
                <w:sz w:val="16"/>
                <w:szCs w:val="16"/>
              </w:rPr>
              <w:t>Variable</w:t>
            </w:r>
          </w:p>
        </w:tc>
        <w:tc>
          <w:tcPr>
            <w:tcW w:w="1234" w:type="dxa"/>
            <w:shd w:val="clear" w:color="auto" w:fill="E0E0E0"/>
          </w:tcPr>
          <w:p w14:paraId="5557CA30"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Descripción de la VARIABLE  evaluada</w:t>
            </w:r>
          </w:p>
        </w:tc>
        <w:tc>
          <w:tcPr>
            <w:tcW w:w="925" w:type="dxa"/>
            <w:shd w:val="clear" w:color="auto" w:fill="E0E0E0"/>
          </w:tcPr>
          <w:p w14:paraId="23F48136" w14:textId="77777777" w:rsidR="006A6E85" w:rsidRDefault="006A6E85" w:rsidP="006A6E85">
            <w:pPr>
              <w:ind w:left="0" w:hanging="2"/>
              <w:jc w:val="center"/>
              <w:rPr>
                <w:rFonts w:ascii="Arial" w:eastAsia="Arial" w:hAnsi="Arial" w:cs="Arial"/>
                <w:sz w:val="16"/>
                <w:szCs w:val="16"/>
              </w:rPr>
            </w:pPr>
            <w:r>
              <w:rPr>
                <w:rFonts w:ascii="Arial" w:eastAsia="Arial" w:hAnsi="Arial" w:cs="Arial"/>
                <w:b/>
                <w:sz w:val="16"/>
                <w:szCs w:val="16"/>
              </w:rPr>
              <w:t>Eficacia de Libmeldy</w:t>
            </w:r>
          </w:p>
        </w:tc>
        <w:tc>
          <w:tcPr>
            <w:tcW w:w="851" w:type="dxa"/>
            <w:shd w:val="clear" w:color="auto" w:fill="E0E0E0"/>
          </w:tcPr>
          <w:p w14:paraId="760DAC10" w14:textId="77777777" w:rsidR="006A6E85" w:rsidRDefault="006A6E85" w:rsidP="006A6E85">
            <w:pPr>
              <w:ind w:left="0" w:hanging="2"/>
              <w:jc w:val="center"/>
              <w:rPr>
                <w:rFonts w:ascii="Arial" w:eastAsia="Arial" w:hAnsi="Arial" w:cs="Arial"/>
                <w:sz w:val="16"/>
                <w:szCs w:val="16"/>
              </w:rPr>
            </w:pPr>
            <w:r>
              <w:rPr>
                <w:rFonts w:ascii="Arial" w:eastAsia="Arial" w:hAnsi="Arial" w:cs="Arial"/>
                <w:b/>
                <w:sz w:val="16"/>
                <w:szCs w:val="16"/>
              </w:rPr>
              <w:t>Eficacia de soporte</w:t>
            </w:r>
          </w:p>
        </w:tc>
        <w:tc>
          <w:tcPr>
            <w:tcW w:w="1134" w:type="dxa"/>
            <w:shd w:val="clear" w:color="auto" w:fill="E0E0E0"/>
          </w:tcPr>
          <w:p w14:paraId="058ECB8A"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 xml:space="preserve">Diferencia de eficacia </w:t>
            </w:r>
          </w:p>
        </w:tc>
        <w:tc>
          <w:tcPr>
            <w:tcW w:w="1134" w:type="dxa"/>
            <w:shd w:val="clear" w:color="auto" w:fill="E0E0E0"/>
          </w:tcPr>
          <w:p w14:paraId="52232BFF"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Coste por paciente con Libmeldy</w:t>
            </w:r>
          </w:p>
        </w:tc>
        <w:tc>
          <w:tcPr>
            <w:tcW w:w="992" w:type="dxa"/>
            <w:shd w:val="clear" w:color="auto" w:fill="E0E0E0"/>
          </w:tcPr>
          <w:p w14:paraId="2A5BBEB0" w14:textId="77777777" w:rsidR="006A6E85" w:rsidRDefault="006A6E85" w:rsidP="006A6E85">
            <w:pPr>
              <w:ind w:left="0" w:hanging="2"/>
              <w:jc w:val="center"/>
              <w:rPr>
                <w:rFonts w:ascii="Arial" w:eastAsia="Arial" w:hAnsi="Arial" w:cs="Arial"/>
                <w:sz w:val="16"/>
                <w:szCs w:val="16"/>
              </w:rPr>
            </w:pPr>
            <w:r>
              <w:rPr>
                <w:rFonts w:ascii="Arial" w:eastAsia="Arial" w:hAnsi="Arial" w:cs="Arial"/>
                <w:b/>
                <w:sz w:val="16"/>
                <w:szCs w:val="16"/>
              </w:rPr>
              <w:t>Coste por paciente con terapia de soporte</w:t>
            </w:r>
          </w:p>
        </w:tc>
        <w:tc>
          <w:tcPr>
            <w:tcW w:w="850" w:type="dxa"/>
            <w:shd w:val="clear" w:color="auto" w:fill="E0E0E0"/>
          </w:tcPr>
          <w:p w14:paraId="1CAF32BE"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Coste incre-mental</w:t>
            </w:r>
          </w:p>
        </w:tc>
        <w:tc>
          <w:tcPr>
            <w:tcW w:w="1145" w:type="dxa"/>
            <w:shd w:val="clear" w:color="auto" w:fill="E0E0E0"/>
          </w:tcPr>
          <w:p w14:paraId="083A5D79" w14:textId="77777777" w:rsidR="006A6E85" w:rsidRDefault="006A6E85" w:rsidP="00196703">
            <w:pPr>
              <w:ind w:left="0" w:hanging="2"/>
              <w:jc w:val="center"/>
              <w:rPr>
                <w:rFonts w:ascii="Arial" w:eastAsia="Arial" w:hAnsi="Arial" w:cs="Arial"/>
                <w:sz w:val="16"/>
                <w:szCs w:val="16"/>
              </w:rPr>
            </w:pPr>
            <w:r>
              <w:rPr>
                <w:rFonts w:ascii="Arial" w:eastAsia="Arial" w:hAnsi="Arial" w:cs="Arial"/>
                <w:b/>
                <w:sz w:val="16"/>
                <w:szCs w:val="16"/>
              </w:rPr>
              <w:t>Razón Coste-efectividad incremental (RCEI)</w:t>
            </w:r>
          </w:p>
        </w:tc>
      </w:tr>
      <w:tr w:rsidR="006A6E85" w14:paraId="111E0EF6" w14:textId="77777777" w:rsidTr="006A6E85">
        <w:trPr>
          <w:trHeight w:val="204"/>
        </w:trPr>
        <w:tc>
          <w:tcPr>
            <w:tcW w:w="9378" w:type="dxa"/>
            <w:gridSpan w:val="9"/>
          </w:tcPr>
          <w:p w14:paraId="76936F34" w14:textId="77777777" w:rsidR="006A6E85" w:rsidRDefault="006A6E85" w:rsidP="006A6E85">
            <w:pPr>
              <w:ind w:left="0" w:hanging="2"/>
              <w:rPr>
                <w:rFonts w:ascii="Arial" w:eastAsia="Arial" w:hAnsi="Arial" w:cs="Arial"/>
                <w:sz w:val="16"/>
                <w:szCs w:val="16"/>
              </w:rPr>
            </w:pPr>
            <w:r w:rsidRPr="00FD4A30">
              <w:rPr>
                <w:rFonts w:ascii="Arial" w:eastAsia="Arial" w:hAnsi="Arial" w:cs="Arial"/>
                <w:b/>
                <w:sz w:val="16"/>
                <w:szCs w:val="16"/>
              </w:rPr>
              <w:t>LMD-IT. Pacientes presintomáticos</w:t>
            </w:r>
          </w:p>
        </w:tc>
      </w:tr>
      <w:tr w:rsidR="006A6E85" w14:paraId="766290D0" w14:textId="77777777" w:rsidTr="006A6E85">
        <w:trPr>
          <w:trHeight w:val="420"/>
        </w:trPr>
        <w:tc>
          <w:tcPr>
            <w:tcW w:w="1113" w:type="dxa"/>
          </w:tcPr>
          <w:p w14:paraId="4930AA97" w14:textId="77777777" w:rsidR="006A6E85" w:rsidRDefault="006A6E85" w:rsidP="00045888">
            <w:pPr>
              <w:ind w:left="0" w:hanging="2"/>
              <w:rPr>
                <w:rFonts w:ascii="Arial" w:eastAsia="Arial" w:hAnsi="Arial" w:cs="Arial"/>
                <w:sz w:val="16"/>
                <w:szCs w:val="16"/>
              </w:rPr>
            </w:pPr>
            <w:r>
              <w:rPr>
                <w:rFonts w:ascii="Arial" w:eastAsia="Arial" w:hAnsi="Arial" w:cs="Arial"/>
                <w:sz w:val="16"/>
                <w:szCs w:val="16"/>
              </w:rPr>
              <w:t>Principal</w:t>
            </w:r>
          </w:p>
        </w:tc>
        <w:tc>
          <w:tcPr>
            <w:tcW w:w="1234" w:type="dxa"/>
          </w:tcPr>
          <w:p w14:paraId="6B0D37AC" w14:textId="77777777" w:rsidR="006A6E85" w:rsidRDefault="006A6E85" w:rsidP="00045888">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2 años</w:t>
            </w:r>
          </w:p>
        </w:tc>
        <w:tc>
          <w:tcPr>
            <w:tcW w:w="925" w:type="dxa"/>
          </w:tcPr>
          <w:p w14:paraId="751DB2FF"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79,5</w:t>
            </w:r>
            <w:r w:rsidR="002E180F">
              <w:rPr>
                <w:rFonts w:ascii="Arial" w:eastAsia="Arial" w:hAnsi="Arial" w:cs="Arial"/>
                <w:sz w:val="16"/>
                <w:szCs w:val="16"/>
              </w:rPr>
              <w:t>%</w:t>
            </w:r>
          </w:p>
        </w:tc>
        <w:tc>
          <w:tcPr>
            <w:tcW w:w="851" w:type="dxa"/>
          </w:tcPr>
          <w:p w14:paraId="0F68E809"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8,4</w:t>
            </w:r>
            <w:r w:rsidR="002E180F">
              <w:rPr>
                <w:rFonts w:ascii="Arial" w:eastAsia="Arial" w:hAnsi="Arial" w:cs="Arial"/>
                <w:sz w:val="16"/>
                <w:szCs w:val="16"/>
              </w:rPr>
              <w:t>%</w:t>
            </w:r>
          </w:p>
        </w:tc>
        <w:tc>
          <w:tcPr>
            <w:tcW w:w="1134" w:type="dxa"/>
          </w:tcPr>
          <w:p w14:paraId="469A5D70" w14:textId="77777777" w:rsidR="006A6E85" w:rsidRDefault="002E180F" w:rsidP="00196703">
            <w:pPr>
              <w:ind w:left="0" w:hanging="2"/>
              <w:jc w:val="center"/>
              <w:rPr>
                <w:rFonts w:ascii="Arial" w:eastAsia="Arial" w:hAnsi="Arial" w:cs="Arial"/>
                <w:sz w:val="16"/>
                <w:szCs w:val="16"/>
              </w:rPr>
            </w:pPr>
            <w:r>
              <w:rPr>
                <w:rFonts w:ascii="Arial" w:eastAsia="Arial" w:hAnsi="Arial" w:cs="Arial"/>
                <w:sz w:val="16"/>
                <w:szCs w:val="16"/>
              </w:rPr>
              <w:t>71,0%</w:t>
            </w:r>
          </w:p>
          <w:p w14:paraId="2AFF660F"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(60,4 a 81,7)</w:t>
            </w:r>
          </w:p>
        </w:tc>
        <w:tc>
          <w:tcPr>
            <w:tcW w:w="1134" w:type="dxa"/>
          </w:tcPr>
          <w:p w14:paraId="22FB1528"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156772DB"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3CADEE6F"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77A0FEF9"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35.211 €</w:t>
            </w:r>
          </w:p>
        </w:tc>
      </w:tr>
      <w:tr w:rsidR="006A6E85" w14:paraId="5A8D7383" w14:textId="77777777" w:rsidTr="006A6E85">
        <w:trPr>
          <w:trHeight w:val="420"/>
        </w:trPr>
        <w:tc>
          <w:tcPr>
            <w:tcW w:w="1113" w:type="dxa"/>
          </w:tcPr>
          <w:p w14:paraId="3E5A6D3B" w14:textId="77777777" w:rsidR="006A6E85" w:rsidRDefault="006A6E85" w:rsidP="00196703">
            <w:pPr>
              <w:ind w:left="0" w:hanging="2"/>
              <w:rPr>
                <w:rFonts w:ascii="Arial" w:eastAsia="Arial" w:hAnsi="Arial" w:cs="Arial"/>
                <w:sz w:val="16"/>
                <w:szCs w:val="16"/>
              </w:rPr>
            </w:pPr>
            <w:r>
              <w:rPr>
                <w:rFonts w:ascii="Arial" w:eastAsia="Arial" w:hAnsi="Arial" w:cs="Arial"/>
                <w:sz w:val="16"/>
                <w:szCs w:val="16"/>
              </w:rPr>
              <w:t>Secundaria</w:t>
            </w:r>
          </w:p>
        </w:tc>
        <w:tc>
          <w:tcPr>
            <w:tcW w:w="1234" w:type="dxa"/>
          </w:tcPr>
          <w:p w14:paraId="2E1D390A" w14:textId="77777777" w:rsidR="006A6E85" w:rsidRDefault="006A6E85" w:rsidP="006A6E85">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3 años</w:t>
            </w:r>
          </w:p>
        </w:tc>
        <w:tc>
          <w:tcPr>
            <w:tcW w:w="925" w:type="dxa"/>
          </w:tcPr>
          <w:p w14:paraId="32220ED9"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82,6</w:t>
            </w:r>
            <w:r w:rsidR="002E180F">
              <w:rPr>
                <w:rFonts w:ascii="Arial" w:eastAsia="Arial" w:hAnsi="Arial" w:cs="Arial"/>
                <w:sz w:val="16"/>
                <w:szCs w:val="16"/>
              </w:rPr>
              <w:t>%</w:t>
            </w:r>
          </w:p>
        </w:tc>
        <w:tc>
          <w:tcPr>
            <w:tcW w:w="851" w:type="dxa"/>
          </w:tcPr>
          <w:p w14:paraId="5FA068FB"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2,8</w:t>
            </w:r>
            <w:r w:rsidR="002E180F">
              <w:rPr>
                <w:rFonts w:ascii="Arial" w:eastAsia="Arial" w:hAnsi="Arial" w:cs="Arial"/>
                <w:sz w:val="16"/>
                <w:szCs w:val="16"/>
              </w:rPr>
              <w:t>%</w:t>
            </w:r>
          </w:p>
        </w:tc>
        <w:tc>
          <w:tcPr>
            <w:tcW w:w="1134" w:type="dxa"/>
          </w:tcPr>
          <w:p w14:paraId="27E85055"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79,8</w:t>
            </w:r>
            <w:r w:rsidR="002E180F">
              <w:rPr>
                <w:rFonts w:ascii="Arial" w:eastAsia="Arial" w:hAnsi="Arial" w:cs="Arial"/>
                <w:sz w:val="16"/>
                <w:szCs w:val="16"/>
              </w:rPr>
              <w:t>%</w:t>
            </w:r>
          </w:p>
          <w:p w14:paraId="165E9CFB"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(66,2 a 93,3)</w:t>
            </w:r>
          </w:p>
        </w:tc>
        <w:tc>
          <w:tcPr>
            <w:tcW w:w="1134" w:type="dxa"/>
          </w:tcPr>
          <w:p w14:paraId="46B90354"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42C1858E"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152D82D6"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0E0114F3" w14:textId="77777777" w:rsidR="006A6E85" w:rsidRDefault="006A6E85" w:rsidP="00196703">
            <w:pPr>
              <w:ind w:left="0" w:hanging="2"/>
              <w:jc w:val="center"/>
              <w:rPr>
                <w:rFonts w:ascii="Arial" w:eastAsia="Arial" w:hAnsi="Arial" w:cs="Arial"/>
                <w:sz w:val="16"/>
                <w:szCs w:val="16"/>
              </w:rPr>
            </w:pPr>
            <w:r>
              <w:rPr>
                <w:rFonts w:ascii="Arial" w:eastAsia="Arial" w:hAnsi="Arial" w:cs="Arial"/>
                <w:sz w:val="16"/>
                <w:szCs w:val="16"/>
              </w:rPr>
              <w:t>31.328 €</w:t>
            </w:r>
          </w:p>
        </w:tc>
      </w:tr>
      <w:tr w:rsidR="00196703" w14:paraId="1B30D280" w14:textId="77777777" w:rsidTr="00196703">
        <w:trPr>
          <w:trHeight w:val="120"/>
        </w:trPr>
        <w:tc>
          <w:tcPr>
            <w:tcW w:w="9378" w:type="dxa"/>
            <w:gridSpan w:val="9"/>
          </w:tcPr>
          <w:p w14:paraId="7F953C22" w14:textId="77777777" w:rsidR="00196703" w:rsidRDefault="00196703" w:rsidP="00196703">
            <w:pPr>
              <w:ind w:left="0" w:hanging="2"/>
              <w:rPr>
                <w:rFonts w:ascii="Arial" w:eastAsia="Arial" w:hAnsi="Arial" w:cs="Arial"/>
                <w:sz w:val="16"/>
                <w:szCs w:val="16"/>
              </w:rPr>
            </w:pPr>
            <w:r w:rsidRPr="00FD4A30">
              <w:rPr>
                <w:rFonts w:ascii="Arial" w:eastAsia="Arial" w:hAnsi="Arial" w:cs="Arial"/>
                <w:b/>
                <w:sz w:val="16"/>
                <w:szCs w:val="16"/>
              </w:rPr>
              <w:t>LMD-</w:t>
            </w:r>
            <w:r>
              <w:rPr>
                <w:rFonts w:ascii="Arial" w:eastAsia="Arial" w:hAnsi="Arial" w:cs="Arial"/>
                <w:b/>
                <w:sz w:val="16"/>
                <w:szCs w:val="16"/>
              </w:rPr>
              <w:t>J</w:t>
            </w:r>
            <w:r w:rsidRPr="00FD4A30">
              <w:rPr>
                <w:rFonts w:ascii="Arial" w:eastAsia="Arial" w:hAnsi="Arial" w:cs="Arial"/>
                <w:b/>
                <w:sz w:val="16"/>
                <w:szCs w:val="16"/>
              </w:rPr>
              <w:t>T. Pacientes presintomáticos.</w:t>
            </w:r>
          </w:p>
        </w:tc>
      </w:tr>
      <w:tr w:rsidR="00196703" w14:paraId="1773173A" w14:textId="77777777" w:rsidTr="006A6E85">
        <w:trPr>
          <w:trHeight w:val="420"/>
        </w:trPr>
        <w:tc>
          <w:tcPr>
            <w:tcW w:w="1113" w:type="dxa"/>
          </w:tcPr>
          <w:p w14:paraId="3B082C93" w14:textId="77777777" w:rsidR="00196703" w:rsidRDefault="00196703" w:rsidP="00196703">
            <w:pPr>
              <w:ind w:left="0" w:hanging="2"/>
              <w:rPr>
                <w:rFonts w:ascii="Arial" w:eastAsia="Arial" w:hAnsi="Arial" w:cs="Arial"/>
                <w:sz w:val="16"/>
                <w:szCs w:val="16"/>
              </w:rPr>
            </w:pPr>
            <w:r>
              <w:rPr>
                <w:rFonts w:ascii="Arial" w:eastAsia="Arial" w:hAnsi="Arial" w:cs="Arial"/>
                <w:sz w:val="16"/>
                <w:szCs w:val="16"/>
              </w:rPr>
              <w:t>Principal</w:t>
            </w:r>
          </w:p>
        </w:tc>
        <w:tc>
          <w:tcPr>
            <w:tcW w:w="1234" w:type="dxa"/>
          </w:tcPr>
          <w:p w14:paraId="43A2E675" w14:textId="77777777" w:rsidR="00196703" w:rsidRDefault="00196703" w:rsidP="00196703">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2 años</w:t>
            </w:r>
          </w:p>
        </w:tc>
        <w:tc>
          <w:tcPr>
            <w:tcW w:w="925" w:type="dxa"/>
          </w:tcPr>
          <w:p w14:paraId="5B6FF549"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96,7</w:t>
            </w:r>
            <w:r w:rsidR="002E180F">
              <w:rPr>
                <w:rFonts w:ascii="Arial" w:eastAsia="Arial" w:hAnsi="Arial" w:cs="Arial"/>
                <w:sz w:val="16"/>
                <w:szCs w:val="16"/>
              </w:rPr>
              <w:t>%</w:t>
            </w:r>
          </w:p>
        </w:tc>
        <w:tc>
          <w:tcPr>
            <w:tcW w:w="851" w:type="dxa"/>
          </w:tcPr>
          <w:p w14:paraId="7121E91A"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44,3</w:t>
            </w:r>
            <w:r w:rsidR="002E180F">
              <w:rPr>
                <w:rFonts w:ascii="Arial" w:eastAsia="Arial" w:hAnsi="Arial" w:cs="Arial"/>
                <w:sz w:val="16"/>
                <w:szCs w:val="16"/>
              </w:rPr>
              <w:t>%</w:t>
            </w:r>
          </w:p>
        </w:tc>
        <w:tc>
          <w:tcPr>
            <w:tcW w:w="1134" w:type="dxa"/>
          </w:tcPr>
          <w:p w14:paraId="3CF886C0"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52,4</w:t>
            </w:r>
            <w:r w:rsidR="002E180F">
              <w:rPr>
                <w:rFonts w:ascii="Arial" w:eastAsia="Arial" w:hAnsi="Arial" w:cs="Arial"/>
                <w:sz w:val="16"/>
                <w:szCs w:val="16"/>
              </w:rPr>
              <w:t>%</w:t>
            </w:r>
          </w:p>
          <w:p w14:paraId="25565AC7"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(25,1 a 79,6)</w:t>
            </w:r>
          </w:p>
        </w:tc>
        <w:tc>
          <w:tcPr>
            <w:tcW w:w="1134" w:type="dxa"/>
          </w:tcPr>
          <w:p w14:paraId="7CE554C3"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04F1C031"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4966DB50"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09F858CB"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47.710 €</w:t>
            </w:r>
          </w:p>
        </w:tc>
      </w:tr>
      <w:tr w:rsidR="00196703" w14:paraId="2F69FFCF" w14:textId="77777777" w:rsidTr="006A6E85">
        <w:trPr>
          <w:trHeight w:val="420"/>
        </w:trPr>
        <w:tc>
          <w:tcPr>
            <w:tcW w:w="1113" w:type="dxa"/>
          </w:tcPr>
          <w:p w14:paraId="354EB761" w14:textId="77777777" w:rsidR="00196703" w:rsidRDefault="00196703" w:rsidP="00196703">
            <w:pPr>
              <w:ind w:left="0" w:hanging="2"/>
              <w:rPr>
                <w:rFonts w:ascii="Arial" w:eastAsia="Arial" w:hAnsi="Arial" w:cs="Arial"/>
                <w:sz w:val="16"/>
                <w:szCs w:val="16"/>
              </w:rPr>
            </w:pPr>
            <w:r>
              <w:rPr>
                <w:rFonts w:ascii="Arial" w:eastAsia="Arial" w:hAnsi="Arial" w:cs="Arial"/>
                <w:sz w:val="16"/>
                <w:szCs w:val="16"/>
              </w:rPr>
              <w:t>Secundaria</w:t>
            </w:r>
          </w:p>
        </w:tc>
        <w:tc>
          <w:tcPr>
            <w:tcW w:w="1234" w:type="dxa"/>
          </w:tcPr>
          <w:p w14:paraId="27DDDDA1" w14:textId="77777777" w:rsidR="00196703" w:rsidRDefault="00196703" w:rsidP="00196703">
            <w:pPr>
              <w:ind w:left="0" w:hanging="2"/>
              <w:jc w:val="center"/>
              <w:rPr>
                <w:rFonts w:ascii="Arial" w:eastAsia="Arial" w:hAnsi="Arial" w:cs="Arial"/>
                <w:sz w:val="16"/>
                <w:szCs w:val="16"/>
              </w:rPr>
            </w:pPr>
            <w:r w:rsidRPr="00045888">
              <w:rPr>
                <w:rFonts w:ascii="Arial" w:eastAsia="Arial" w:hAnsi="Arial" w:cs="Arial"/>
                <w:sz w:val="16"/>
                <w:szCs w:val="16"/>
              </w:rPr>
              <w:t>escala MFGM</w:t>
            </w:r>
            <w:r>
              <w:rPr>
                <w:rFonts w:ascii="Arial" w:eastAsia="Arial" w:hAnsi="Arial" w:cs="Arial"/>
                <w:sz w:val="16"/>
                <w:szCs w:val="16"/>
              </w:rPr>
              <w:t xml:space="preserve"> a 3 años</w:t>
            </w:r>
          </w:p>
        </w:tc>
        <w:tc>
          <w:tcPr>
            <w:tcW w:w="925" w:type="dxa"/>
          </w:tcPr>
          <w:p w14:paraId="058C37B8"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93,2</w:t>
            </w:r>
            <w:r w:rsidR="002E180F">
              <w:rPr>
                <w:rFonts w:ascii="Arial" w:eastAsia="Arial" w:hAnsi="Arial" w:cs="Arial"/>
                <w:sz w:val="16"/>
                <w:szCs w:val="16"/>
              </w:rPr>
              <w:t>%</w:t>
            </w:r>
          </w:p>
        </w:tc>
        <w:tc>
          <w:tcPr>
            <w:tcW w:w="851" w:type="dxa"/>
          </w:tcPr>
          <w:p w14:paraId="6F42333B"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18,2</w:t>
            </w:r>
            <w:r w:rsidR="002E180F">
              <w:rPr>
                <w:rFonts w:ascii="Arial" w:eastAsia="Arial" w:hAnsi="Arial" w:cs="Arial"/>
                <w:sz w:val="16"/>
                <w:szCs w:val="16"/>
              </w:rPr>
              <w:t>%</w:t>
            </w:r>
          </w:p>
        </w:tc>
        <w:tc>
          <w:tcPr>
            <w:tcW w:w="1134" w:type="dxa"/>
          </w:tcPr>
          <w:p w14:paraId="59B450C6"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74,9</w:t>
            </w:r>
            <w:r w:rsidR="002E180F">
              <w:rPr>
                <w:rFonts w:ascii="Arial" w:eastAsia="Arial" w:hAnsi="Arial" w:cs="Arial"/>
                <w:sz w:val="16"/>
                <w:szCs w:val="16"/>
              </w:rPr>
              <w:t>%</w:t>
            </w:r>
          </w:p>
          <w:p w14:paraId="758B9CF5"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(50,8 a 99,1)</w:t>
            </w:r>
          </w:p>
        </w:tc>
        <w:tc>
          <w:tcPr>
            <w:tcW w:w="1134" w:type="dxa"/>
          </w:tcPr>
          <w:p w14:paraId="08116BD4"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1F624B35"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0 €</w:t>
            </w:r>
          </w:p>
        </w:tc>
        <w:tc>
          <w:tcPr>
            <w:tcW w:w="850" w:type="dxa"/>
          </w:tcPr>
          <w:p w14:paraId="18EBE3A8"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2,5 M €</w:t>
            </w:r>
          </w:p>
        </w:tc>
        <w:tc>
          <w:tcPr>
            <w:tcW w:w="1145" w:type="dxa"/>
          </w:tcPr>
          <w:p w14:paraId="2C896EBC" w14:textId="77777777" w:rsidR="00196703" w:rsidRDefault="00196703" w:rsidP="00196703">
            <w:pPr>
              <w:ind w:left="0" w:hanging="2"/>
              <w:jc w:val="center"/>
              <w:rPr>
                <w:rFonts w:ascii="Arial" w:eastAsia="Arial" w:hAnsi="Arial" w:cs="Arial"/>
                <w:sz w:val="16"/>
                <w:szCs w:val="16"/>
              </w:rPr>
            </w:pPr>
            <w:r>
              <w:rPr>
                <w:rFonts w:ascii="Arial" w:eastAsia="Arial" w:hAnsi="Arial" w:cs="Arial"/>
                <w:sz w:val="16"/>
                <w:szCs w:val="16"/>
              </w:rPr>
              <w:t>33.378 €</w:t>
            </w:r>
          </w:p>
        </w:tc>
      </w:tr>
    </w:tbl>
    <w:p w14:paraId="1087760E" w14:textId="77777777" w:rsidR="00FD4A30" w:rsidRDefault="00FD4A30">
      <w:pPr>
        <w:ind w:left="0" w:hanging="2"/>
        <w:jc w:val="both"/>
        <w:rPr>
          <w:rFonts w:ascii="Arial" w:eastAsia="Arial" w:hAnsi="Arial" w:cs="Arial"/>
          <w:color w:val="FF0000"/>
          <w:sz w:val="20"/>
          <w:szCs w:val="20"/>
        </w:rPr>
      </w:pPr>
    </w:p>
    <w:p w14:paraId="37C89FFF" w14:textId="77777777" w:rsidR="00196703" w:rsidRPr="00196703" w:rsidRDefault="00196703">
      <w:pPr>
        <w:ind w:left="0" w:hanging="2"/>
        <w:jc w:val="both"/>
        <w:rPr>
          <w:rFonts w:ascii="Arial" w:eastAsia="Arial" w:hAnsi="Arial" w:cs="Arial"/>
          <w:b/>
          <w:sz w:val="20"/>
          <w:szCs w:val="20"/>
        </w:rPr>
      </w:pPr>
      <w:r w:rsidRPr="00196703">
        <w:rPr>
          <w:rFonts w:ascii="Arial" w:eastAsia="Arial" w:hAnsi="Arial" w:cs="Arial"/>
          <w:b/>
          <w:sz w:val="20"/>
          <w:szCs w:val="20"/>
        </w:rPr>
        <w:t xml:space="preserve">Interpretación. </w:t>
      </w:r>
    </w:p>
    <w:p w14:paraId="26AEDA39" w14:textId="77777777" w:rsidR="00FD4A30" w:rsidRDefault="00196703">
      <w:pPr>
        <w:ind w:left="0" w:hanging="2"/>
        <w:jc w:val="both"/>
        <w:rPr>
          <w:rFonts w:ascii="Arial" w:eastAsia="Arial" w:hAnsi="Arial" w:cs="Arial"/>
          <w:sz w:val="20"/>
          <w:szCs w:val="20"/>
        </w:rPr>
      </w:pPr>
      <w:r w:rsidRPr="00196703">
        <w:rPr>
          <w:rFonts w:ascii="Arial" w:eastAsia="Arial" w:hAnsi="Arial" w:cs="Arial"/>
          <w:sz w:val="20"/>
          <w:szCs w:val="20"/>
        </w:rPr>
        <w:t xml:space="preserve">Según los datos del </w:t>
      </w:r>
      <w:r>
        <w:rPr>
          <w:rFonts w:ascii="Arial" w:eastAsia="Arial" w:hAnsi="Arial" w:cs="Arial"/>
          <w:color w:val="000000"/>
          <w:sz w:val="20"/>
          <w:szCs w:val="20"/>
        </w:rPr>
        <w:t xml:space="preserve">informe EPAR </w:t>
      </w:r>
      <w:r w:rsidRPr="00196703">
        <w:rPr>
          <w:rFonts w:ascii="Arial" w:eastAsia="Arial" w:hAnsi="Arial" w:cs="Arial"/>
          <w:sz w:val="20"/>
          <w:szCs w:val="20"/>
        </w:rPr>
        <w:t xml:space="preserve">sobre la eficacia </w:t>
      </w:r>
      <w:r>
        <w:rPr>
          <w:rFonts w:ascii="Arial" w:eastAsia="Arial" w:hAnsi="Arial" w:cs="Arial"/>
          <w:color w:val="000000"/>
          <w:sz w:val="20"/>
          <w:szCs w:val="20"/>
        </w:rPr>
        <w:t>sobre la eficacia de Libmeldy</w:t>
      </w:r>
      <w:r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y la diferencia de costes</w:t>
      </w:r>
      <w:r w:rsidRPr="00196703">
        <w:rPr>
          <w:rFonts w:ascii="Arial" w:eastAsia="Arial" w:hAnsi="Arial" w:cs="Arial"/>
          <w:sz w:val="20"/>
          <w:szCs w:val="20"/>
        </w:rPr>
        <w:t xml:space="preserve">, si se trata </w:t>
      </w:r>
      <w:r>
        <w:rPr>
          <w:rFonts w:ascii="Arial" w:eastAsia="Arial" w:hAnsi="Arial" w:cs="Arial"/>
          <w:color w:val="000000"/>
          <w:sz w:val="20"/>
          <w:szCs w:val="20"/>
        </w:rPr>
        <w:t xml:space="preserve">a los pacientes </w:t>
      </w:r>
      <w:r w:rsidRPr="000E3CF2">
        <w:rPr>
          <w:rFonts w:ascii="Arial" w:eastAsia="Arial" w:hAnsi="Arial" w:cs="Arial"/>
          <w:b/>
          <w:color w:val="000000"/>
          <w:sz w:val="20"/>
          <w:szCs w:val="20"/>
        </w:rPr>
        <w:t>presintomáticos con LMD-IT</w:t>
      </w:r>
      <w:r w:rsidRPr="000E3CF2">
        <w:rPr>
          <w:rFonts w:ascii="Arial" w:eastAsia="Arial" w:hAnsi="Arial" w:cs="Arial"/>
          <w:color w:val="000000"/>
          <w:sz w:val="20"/>
          <w:szCs w:val="20"/>
        </w:rPr>
        <w:t xml:space="preserve"> </w:t>
      </w:r>
      <w:r>
        <w:rPr>
          <w:rFonts w:ascii="Arial" w:eastAsia="Arial" w:hAnsi="Arial" w:cs="Arial"/>
          <w:color w:val="000000"/>
          <w:sz w:val="20"/>
          <w:szCs w:val="20"/>
        </w:rPr>
        <w:t>con Libmeldy</w:t>
      </w:r>
      <w:r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en lugar de con el tratamiento de soporte</w:t>
      </w:r>
      <w:r w:rsidRPr="00196703">
        <w:rPr>
          <w:rFonts w:ascii="Arial" w:eastAsia="Arial" w:hAnsi="Arial" w:cs="Arial"/>
          <w:sz w:val="20"/>
          <w:szCs w:val="20"/>
        </w:rPr>
        <w:t xml:space="preserve"> costará </w:t>
      </w:r>
      <w:r>
        <w:rPr>
          <w:rFonts w:ascii="Arial" w:eastAsia="Arial" w:hAnsi="Arial" w:cs="Arial"/>
          <w:sz w:val="20"/>
          <w:szCs w:val="20"/>
        </w:rPr>
        <w:t>35.211 €</w:t>
      </w:r>
      <w:r w:rsidRPr="00196703">
        <w:rPr>
          <w:rFonts w:ascii="Arial" w:eastAsia="Arial" w:hAnsi="Arial" w:cs="Arial"/>
          <w:sz w:val="20"/>
          <w:szCs w:val="20"/>
        </w:rPr>
        <w:t xml:space="preserve"> obtener una unidad </w:t>
      </w:r>
      <w:r>
        <w:rPr>
          <w:rFonts w:ascii="Arial" w:eastAsia="Arial" w:hAnsi="Arial" w:cs="Arial"/>
          <w:sz w:val="20"/>
          <w:szCs w:val="20"/>
        </w:rPr>
        <w:t>de la escala MFGM adicional para los pacientes a los dos años y 31.328 € a los tres años.</w:t>
      </w:r>
    </w:p>
    <w:p w14:paraId="1CF6755B" w14:textId="77777777" w:rsidR="00196703" w:rsidRDefault="00196703">
      <w:pPr>
        <w:ind w:left="0" w:hanging="2"/>
        <w:jc w:val="both"/>
        <w:rPr>
          <w:rFonts w:ascii="Arial" w:eastAsia="Arial" w:hAnsi="Arial" w:cs="Arial"/>
          <w:sz w:val="20"/>
          <w:szCs w:val="20"/>
        </w:rPr>
      </w:pPr>
    </w:p>
    <w:p w14:paraId="3600E3D3" w14:textId="77777777" w:rsidR="00196703" w:rsidRDefault="00196703" w:rsidP="00196703">
      <w:pPr>
        <w:ind w:left="0" w:hanging="2"/>
        <w:jc w:val="both"/>
        <w:rPr>
          <w:rFonts w:ascii="Arial" w:eastAsia="Arial" w:hAnsi="Arial" w:cs="Arial"/>
          <w:sz w:val="20"/>
          <w:szCs w:val="20"/>
        </w:rPr>
      </w:pPr>
      <w:r>
        <w:rPr>
          <w:rFonts w:ascii="Arial" w:eastAsia="Arial" w:hAnsi="Arial" w:cs="Arial"/>
          <w:sz w:val="20"/>
          <w:szCs w:val="20"/>
        </w:rPr>
        <w:t xml:space="preserve">Igualmente </w:t>
      </w:r>
      <w:r w:rsidRPr="00196703">
        <w:rPr>
          <w:rFonts w:ascii="Arial" w:eastAsia="Arial" w:hAnsi="Arial" w:cs="Arial"/>
          <w:sz w:val="20"/>
          <w:szCs w:val="20"/>
        </w:rPr>
        <w:t xml:space="preserve">si se trata </w:t>
      </w:r>
      <w:r>
        <w:rPr>
          <w:rFonts w:ascii="Arial" w:eastAsia="Arial" w:hAnsi="Arial" w:cs="Arial"/>
          <w:color w:val="000000"/>
          <w:sz w:val="20"/>
          <w:szCs w:val="20"/>
        </w:rPr>
        <w:t xml:space="preserve">a los pacientes </w:t>
      </w:r>
      <w:r w:rsidRPr="000E3CF2">
        <w:rPr>
          <w:rFonts w:ascii="Arial" w:eastAsia="Arial" w:hAnsi="Arial" w:cs="Arial"/>
          <w:b/>
          <w:color w:val="000000"/>
          <w:sz w:val="20"/>
          <w:szCs w:val="20"/>
        </w:rPr>
        <w:t>presintomáticos con LMD-</w:t>
      </w:r>
      <w:r>
        <w:rPr>
          <w:rFonts w:ascii="Arial" w:eastAsia="Arial" w:hAnsi="Arial" w:cs="Arial"/>
          <w:b/>
          <w:color w:val="000000"/>
          <w:sz w:val="20"/>
          <w:szCs w:val="20"/>
        </w:rPr>
        <w:t>J</w:t>
      </w:r>
      <w:r w:rsidRPr="000E3CF2">
        <w:rPr>
          <w:rFonts w:ascii="Arial" w:eastAsia="Arial" w:hAnsi="Arial" w:cs="Arial"/>
          <w:b/>
          <w:color w:val="000000"/>
          <w:sz w:val="20"/>
          <w:szCs w:val="20"/>
        </w:rPr>
        <w:t>T</w:t>
      </w:r>
      <w:r w:rsidRPr="000E3CF2">
        <w:rPr>
          <w:rFonts w:ascii="Arial" w:eastAsia="Arial" w:hAnsi="Arial" w:cs="Arial"/>
          <w:color w:val="000000"/>
          <w:sz w:val="20"/>
          <w:szCs w:val="20"/>
        </w:rPr>
        <w:t xml:space="preserve"> </w:t>
      </w:r>
      <w:r>
        <w:rPr>
          <w:rFonts w:ascii="Arial" w:eastAsia="Arial" w:hAnsi="Arial" w:cs="Arial"/>
          <w:color w:val="000000"/>
          <w:sz w:val="20"/>
          <w:szCs w:val="20"/>
        </w:rPr>
        <w:t>con Libmeldy</w:t>
      </w:r>
      <w:r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en lugar de con el tratamiento de soporte</w:t>
      </w:r>
      <w:r w:rsidRPr="00196703">
        <w:rPr>
          <w:rFonts w:ascii="Arial" w:eastAsia="Arial" w:hAnsi="Arial" w:cs="Arial"/>
          <w:sz w:val="20"/>
          <w:szCs w:val="20"/>
        </w:rPr>
        <w:t xml:space="preserve"> costará </w:t>
      </w:r>
      <w:r>
        <w:rPr>
          <w:rFonts w:ascii="Arial" w:eastAsia="Arial" w:hAnsi="Arial" w:cs="Arial"/>
          <w:sz w:val="20"/>
          <w:szCs w:val="20"/>
        </w:rPr>
        <w:t>47.710 €</w:t>
      </w:r>
      <w:r w:rsidRPr="00196703">
        <w:rPr>
          <w:rFonts w:ascii="Arial" w:eastAsia="Arial" w:hAnsi="Arial" w:cs="Arial"/>
          <w:sz w:val="20"/>
          <w:szCs w:val="20"/>
        </w:rPr>
        <w:t xml:space="preserve"> obtener una unidad </w:t>
      </w:r>
      <w:r>
        <w:rPr>
          <w:rFonts w:ascii="Arial" w:eastAsia="Arial" w:hAnsi="Arial" w:cs="Arial"/>
          <w:sz w:val="20"/>
          <w:szCs w:val="20"/>
        </w:rPr>
        <w:t>de la escala MFGM adicional para los pacientes a los dos años y 33.378 € a los tres años.</w:t>
      </w:r>
    </w:p>
    <w:p w14:paraId="5B30DF3B" w14:textId="77777777" w:rsidR="00196703" w:rsidRDefault="00196703" w:rsidP="00196703">
      <w:pPr>
        <w:ind w:left="0" w:hanging="2"/>
        <w:jc w:val="both"/>
        <w:rPr>
          <w:rFonts w:ascii="Arial" w:eastAsia="Arial" w:hAnsi="Arial" w:cs="Arial"/>
          <w:sz w:val="20"/>
          <w:szCs w:val="20"/>
        </w:rPr>
      </w:pPr>
    </w:p>
    <w:p w14:paraId="7CF0C281" w14:textId="77777777" w:rsidR="00196703" w:rsidRPr="00196703" w:rsidRDefault="003E7B75">
      <w:pPr>
        <w:ind w:left="0" w:hanging="2"/>
        <w:jc w:val="both"/>
        <w:rPr>
          <w:rFonts w:ascii="Arial" w:eastAsia="Arial" w:hAnsi="Arial" w:cs="Arial"/>
          <w:sz w:val="20"/>
          <w:szCs w:val="20"/>
        </w:rPr>
      </w:pPr>
      <w:r>
        <w:rPr>
          <w:rFonts w:ascii="Arial" w:eastAsia="Arial" w:hAnsi="Arial" w:cs="Arial"/>
          <w:sz w:val="20"/>
          <w:szCs w:val="20"/>
        </w:rPr>
        <w:t>Por lo tanto, obtener un 10% de retraso en la progresión de la enfermedad costaría 10 veces más.</w:t>
      </w:r>
    </w:p>
    <w:p w14:paraId="3B62DA88" w14:textId="77777777" w:rsidR="00FD4A30" w:rsidRDefault="00FD4A30">
      <w:pPr>
        <w:ind w:left="0" w:hanging="2"/>
        <w:jc w:val="both"/>
        <w:rPr>
          <w:rFonts w:ascii="Arial" w:eastAsia="Arial" w:hAnsi="Arial" w:cs="Arial"/>
          <w:color w:val="FF0000"/>
          <w:sz w:val="20"/>
          <w:szCs w:val="20"/>
        </w:rPr>
      </w:pPr>
    </w:p>
    <w:tbl>
      <w:tblPr>
        <w:tblStyle w:val="affff0"/>
        <w:tblW w:w="91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
        <w:gridCol w:w="1275"/>
        <w:gridCol w:w="851"/>
        <w:gridCol w:w="850"/>
        <w:gridCol w:w="709"/>
        <w:gridCol w:w="1134"/>
        <w:gridCol w:w="992"/>
        <w:gridCol w:w="1153"/>
        <w:gridCol w:w="1134"/>
      </w:tblGrid>
      <w:tr w:rsidR="009D55C9" w14:paraId="240CF77F" w14:textId="77777777" w:rsidTr="00196703">
        <w:tc>
          <w:tcPr>
            <w:tcW w:w="9161" w:type="dxa"/>
            <w:gridSpan w:val="9"/>
            <w:shd w:val="clear" w:color="auto" w:fill="CCFFCC"/>
          </w:tcPr>
          <w:p w14:paraId="5A665D0F" w14:textId="77777777" w:rsidR="009D55C9" w:rsidRDefault="005A57E0">
            <w:pPr>
              <w:ind w:left="0" w:hanging="2"/>
              <w:jc w:val="both"/>
              <w:rPr>
                <w:rFonts w:ascii="Arial" w:eastAsia="Arial" w:hAnsi="Arial" w:cs="Arial"/>
                <w:sz w:val="16"/>
                <w:szCs w:val="16"/>
              </w:rPr>
            </w:pPr>
            <w:r>
              <w:rPr>
                <w:rFonts w:ascii="Arial" w:eastAsia="Arial" w:hAnsi="Arial" w:cs="Arial"/>
                <w:b/>
                <w:sz w:val="18"/>
                <w:szCs w:val="18"/>
              </w:rPr>
              <w:t>Tabla 7.3.2.2. Análisis de coste-efectividad cuando la variable de eficacia/seguridad es una variable binaria</w:t>
            </w:r>
            <w:r w:rsidR="00196703">
              <w:rPr>
                <w:rFonts w:ascii="Arial" w:eastAsia="Arial" w:hAnsi="Arial" w:cs="Arial"/>
                <w:b/>
                <w:sz w:val="18"/>
                <w:szCs w:val="18"/>
              </w:rPr>
              <w:t>. Referencia EPAR</w:t>
            </w:r>
          </w:p>
        </w:tc>
      </w:tr>
      <w:tr w:rsidR="00196703" w14:paraId="7F0C9571" w14:textId="77777777" w:rsidTr="00196703">
        <w:tc>
          <w:tcPr>
            <w:tcW w:w="1063" w:type="dxa"/>
            <w:shd w:val="clear" w:color="auto" w:fill="E0E0E0"/>
          </w:tcPr>
          <w:p w14:paraId="207F7DF5" w14:textId="77777777" w:rsidR="00196703" w:rsidRPr="00196703" w:rsidRDefault="00196703" w:rsidP="00196703">
            <w:pPr>
              <w:ind w:left="0" w:hanging="2"/>
              <w:rPr>
                <w:rFonts w:ascii="Arial" w:eastAsia="Arial" w:hAnsi="Arial" w:cs="Arial"/>
                <w:b/>
                <w:sz w:val="16"/>
                <w:szCs w:val="16"/>
              </w:rPr>
            </w:pPr>
            <w:r w:rsidRPr="00196703">
              <w:rPr>
                <w:rFonts w:ascii="Arial" w:eastAsia="Arial" w:hAnsi="Arial" w:cs="Arial"/>
                <w:b/>
                <w:sz w:val="16"/>
                <w:szCs w:val="16"/>
              </w:rPr>
              <w:t>Variable</w:t>
            </w:r>
          </w:p>
        </w:tc>
        <w:tc>
          <w:tcPr>
            <w:tcW w:w="1275" w:type="dxa"/>
            <w:shd w:val="clear" w:color="auto" w:fill="E0E0E0"/>
          </w:tcPr>
          <w:p w14:paraId="560FEA08"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Descripción de la VARIABLE  evaluada</w:t>
            </w:r>
          </w:p>
        </w:tc>
        <w:tc>
          <w:tcPr>
            <w:tcW w:w="851" w:type="dxa"/>
            <w:shd w:val="clear" w:color="auto" w:fill="E0E0E0"/>
          </w:tcPr>
          <w:p w14:paraId="3B92206E" w14:textId="77777777" w:rsidR="00196703" w:rsidRDefault="00196703" w:rsidP="000E3CF2">
            <w:pPr>
              <w:ind w:left="0" w:hanging="2"/>
              <w:jc w:val="center"/>
              <w:rPr>
                <w:rFonts w:ascii="Arial" w:eastAsia="Arial" w:hAnsi="Arial" w:cs="Arial"/>
                <w:sz w:val="16"/>
                <w:szCs w:val="16"/>
              </w:rPr>
            </w:pPr>
            <w:r>
              <w:rPr>
                <w:rFonts w:ascii="Arial" w:eastAsia="Arial" w:hAnsi="Arial" w:cs="Arial"/>
                <w:b/>
                <w:sz w:val="16"/>
                <w:szCs w:val="16"/>
              </w:rPr>
              <w:t>Eficacia de Libmeldy</w:t>
            </w:r>
          </w:p>
        </w:tc>
        <w:tc>
          <w:tcPr>
            <w:tcW w:w="850" w:type="dxa"/>
            <w:shd w:val="clear" w:color="auto" w:fill="E0E0E0"/>
          </w:tcPr>
          <w:p w14:paraId="6FF2E889" w14:textId="77777777" w:rsidR="00196703" w:rsidRDefault="00196703" w:rsidP="000E3CF2">
            <w:pPr>
              <w:ind w:left="0" w:hanging="2"/>
              <w:jc w:val="center"/>
              <w:rPr>
                <w:rFonts w:ascii="Arial" w:eastAsia="Arial" w:hAnsi="Arial" w:cs="Arial"/>
                <w:sz w:val="16"/>
                <w:szCs w:val="16"/>
              </w:rPr>
            </w:pPr>
            <w:r>
              <w:rPr>
                <w:rFonts w:ascii="Arial" w:eastAsia="Arial" w:hAnsi="Arial" w:cs="Arial"/>
                <w:b/>
                <w:sz w:val="16"/>
                <w:szCs w:val="16"/>
              </w:rPr>
              <w:t>Eficacia de soporte</w:t>
            </w:r>
          </w:p>
        </w:tc>
        <w:tc>
          <w:tcPr>
            <w:tcW w:w="709" w:type="dxa"/>
            <w:shd w:val="clear" w:color="auto" w:fill="E0E0E0"/>
          </w:tcPr>
          <w:p w14:paraId="54CFC209"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NNT</w:t>
            </w:r>
          </w:p>
        </w:tc>
        <w:tc>
          <w:tcPr>
            <w:tcW w:w="1134" w:type="dxa"/>
            <w:shd w:val="clear" w:color="auto" w:fill="E0E0E0"/>
          </w:tcPr>
          <w:p w14:paraId="4153AD42"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Coste por paciente con Libmeldy</w:t>
            </w:r>
          </w:p>
        </w:tc>
        <w:tc>
          <w:tcPr>
            <w:tcW w:w="992" w:type="dxa"/>
            <w:shd w:val="clear" w:color="auto" w:fill="E0E0E0"/>
          </w:tcPr>
          <w:p w14:paraId="422A9C96"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Coste por paciente con soporte</w:t>
            </w:r>
          </w:p>
        </w:tc>
        <w:tc>
          <w:tcPr>
            <w:tcW w:w="1153" w:type="dxa"/>
            <w:shd w:val="clear" w:color="auto" w:fill="E0E0E0"/>
          </w:tcPr>
          <w:p w14:paraId="77C5F7A3"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Coste incremental</w:t>
            </w:r>
          </w:p>
        </w:tc>
        <w:tc>
          <w:tcPr>
            <w:tcW w:w="1134" w:type="dxa"/>
            <w:shd w:val="clear" w:color="auto" w:fill="E0E0E0"/>
          </w:tcPr>
          <w:p w14:paraId="00BA1D8F" w14:textId="77777777" w:rsidR="00196703" w:rsidRDefault="00196703">
            <w:pPr>
              <w:ind w:left="0" w:hanging="2"/>
              <w:jc w:val="center"/>
              <w:rPr>
                <w:rFonts w:ascii="Arial" w:eastAsia="Arial" w:hAnsi="Arial" w:cs="Arial"/>
                <w:sz w:val="16"/>
                <w:szCs w:val="16"/>
              </w:rPr>
            </w:pPr>
            <w:r>
              <w:rPr>
                <w:rFonts w:ascii="Arial" w:eastAsia="Arial" w:hAnsi="Arial" w:cs="Arial"/>
                <w:b/>
                <w:sz w:val="16"/>
                <w:szCs w:val="16"/>
              </w:rPr>
              <w:t>Razón Coste-efectividad incremental (RCEI)</w:t>
            </w:r>
          </w:p>
        </w:tc>
      </w:tr>
      <w:tr w:rsidR="00196703" w14:paraId="1BE80F9D" w14:textId="77777777" w:rsidTr="00196703">
        <w:trPr>
          <w:trHeight w:val="136"/>
        </w:trPr>
        <w:tc>
          <w:tcPr>
            <w:tcW w:w="9161" w:type="dxa"/>
            <w:gridSpan w:val="9"/>
          </w:tcPr>
          <w:p w14:paraId="20CE0D7C" w14:textId="77777777" w:rsidR="00196703" w:rsidRDefault="00196703" w:rsidP="00196703">
            <w:pPr>
              <w:ind w:left="0" w:hanging="2"/>
              <w:rPr>
                <w:rFonts w:ascii="Arial" w:eastAsia="Arial" w:hAnsi="Arial" w:cs="Arial"/>
                <w:sz w:val="16"/>
                <w:szCs w:val="16"/>
              </w:rPr>
            </w:pPr>
            <w:r w:rsidRPr="00FD4A30">
              <w:rPr>
                <w:rFonts w:ascii="Arial" w:eastAsia="Arial" w:hAnsi="Arial" w:cs="Arial"/>
                <w:b/>
                <w:sz w:val="16"/>
                <w:szCs w:val="16"/>
              </w:rPr>
              <w:t>LMD-IT. Pacientes presintomáticos</w:t>
            </w:r>
          </w:p>
        </w:tc>
      </w:tr>
      <w:tr w:rsidR="00196703" w14:paraId="69DC94AF" w14:textId="77777777" w:rsidTr="00196703">
        <w:trPr>
          <w:trHeight w:val="544"/>
        </w:trPr>
        <w:tc>
          <w:tcPr>
            <w:tcW w:w="1063" w:type="dxa"/>
          </w:tcPr>
          <w:p w14:paraId="30ABAB0A" w14:textId="77777777" w:rsidR="00196703" w:rsidRDefault="00196703" w:rsidP="00FD4A30">
            <w:pPr>
              <w:ind w:left="0" w:hanging="2"/>
              <w:rPr>
                <w:rFonts w:ascii="Arial" w:eastAsia="Arial" w:hAnsi="Arial" w:cs="Arial"/>
                <w:sz w:val="16"/>
                <w:szCs w:val="16"/>
              </w:rPr>
            </w:pPr>
            <w:r>
              <w:rPr>
                <w:rFonts w:ascii="Arial" w:eastAsia="Arial" w:hAnsi="Arial" w:cs="Arial"/>
                <w:sz w:val="16"/>
                <w:szCs w:val="16"/>
              </w:rPr>
              <w:t xml:space="preserve">Secundaria </w:t>
            </w:r>
          </w:p>
        </w:tc>
        <w:tc>
          <w:tcPr>
            <w:tcW w:w="1275" w:type="dxa"/>
          </w:tcPr>
          <w:p w14:paraId="44CD7088" w14:textId="77777777" w:rsidR="00196703" w:rsidRDefault="00196703">
            <w:pPr>
              <w:ind w:left="0" w:hanging="2"/>
              <w:rPr>
                <w:rFonts w:ascii="Arial" w:eastAsia="Arial" w:hAnsi="Arial" w:cs="Arial"/>
                <w:sz w:val="16"/>
                <w:szCs w:val="16"/>
              </w:rPr>
            </w:pPr>
            <w:r>
              <w:rPr>
                <w:rFonts w:ascii="Arial" w:eastAsia="Arial" w:hAnsi="Arial" w:cs="Arial"/>
                <w:sz w:val="16"/>
                <w:szCs w:val="16"/>
              </w:rPr>
              <w:t>Supervivencia al seguimiento</w:t>
            </w:r>
          </w:p>
        </w:tc>
        <w:tc>
          <w:tcPr>
            <w:tcW w:w="851" w:type="dxa"/>
          </w:tcPr>
          <w:p w14:paraId="1862D957"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100%</w:t>
            </w:r>
          </w:p>
        </w:tc>
        <w:tc>
          <w:tcPr>
            <w:tcW w:w="850" w:type="dxa"/>
          </w:tcPr>
          <w:p w14:paraId="2338A078"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36,8%</w:t>
            </w:r>
          </w:p>
        </w:tc>
        <w:tc>
          <w:tcPr>
            <w:tcW w:w="709" w:type="dxa"/>
          </w:tcPr>
          <w:p w14:paraId="4E70E878"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 xml:space="preserve">2 </w:t>
            </w:r>
          </w:p>
          <w:p w14:paraId="5C932B5E"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(1 a 2)</w:t>
            </w:r>
          </w:p>
        </w:tc>
        <w:tc>
          <w:tcPr>
            <w:tcW w:w="1134" w:type="dxa"/>
          </w:tcPr>
          <w:p w14:paraId="14F3A4F2"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2,5 M €</w:t>
            </w:r>
          </w:p>
        </w:tc>
        <w:tc>
          <w:tcPr>
            <w:tcW w:w="992" w:type="dxa"/>
          </w:tcPr>
          <w:p w14:paraId="620B8BB0" w14:textId="77777777" w:rsidR="00196703" w:rsidRDefault="00196703" w:rsidP="000E3CF2">
            <w:pPr>
              <w:ind w:left="0" w:hanging="2"/>
              <w:jc w:val="center"/>
              <w:rPr>
                <w:rFonts w:ascii="Arial" w:eastAsia="Arial" w:hAnsi="Arial" w:cs="Arial"/>
                <w:sz w:val="16"/>
                <w:szCs w:val="16"/>
              </w:rPr>
            </w:pPr>
            <w:r>
              <w:rPr>
                <w:rFonts w:ascii="Arial" w:eastAsia="Arial" w:hAnsi="Arial" w:cs="Arial"/>
                <w:sz w:val="16"/>
                <w:szCs w:val="16"/>
              </w:rPr>
              <w:t>0 €</w:t>
            </w:r>
          </w:p>
        </w:tc>
        <w:tc>
          <w:tcPr>
            <w:tcW w:w="1153" w:type="dxa"/>
          </w:tcPr>
          <w:p w14:paraId="6FFACC7B"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2,5 M €</w:t>
            </w:r>
          </w:p>
        </w:tc>
        <w:tc>
          <w:tcPr>
            <w:tcW w:w="1134" w:type="dxa"/>
          </w:tcPr>
          <w:p w14:paraId="038379F5"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5 M €</w:t>
            </w:r>
          </w:p>
          <w:p w14:paraId="65EA5570" w14:textId="77777777" w:rsidR="00196703" w:rsidRDefault="00196703">
            <w:pPr>
              <w:ind w:left="0" w:hanging="2"/>
              <w:jc w:val="center"/>
              <w:rPr>
                <w:rFonts w:ascii="Arial" w:eastAsia="Arial" w:hAnsi="Arial" w:cs="Arial"/>
                <w:sz w:val="16"/>
                <w:szCs w:val="16"/>
              </w:rPr>
            </w:pPr>
            <w:r>
              <w:rPr>
                <w:rFonts w:ascii="Arial" w:eastAsia="Arial" w:hAnsi="Arial" w:cs="Arial"/>
                <w:sz w:val="16"/>
                <w:szCs w:val="16"/>
              </w:rPr>
              <w:t>(2,5 a 5 M €)</w:t>
            </w:r>
          </w:p>
        </w:tc>
      </w:tr>
    </w:tbl>
    <w:p w14:paraId="4E40E619" w14:textId="77777777" w:rsidR="009D55C9" w:rsidRPr="00881543" w:rsidRDefault="009D55C9">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highlight w:val="cyan"/>
        </w:rPr>
      </w:pPr>
    </w:p>
    <w:p w14:paraId="2AC835D5" w14:textId="77777777" w:rsidR="003E7B75" w:rsidRDefault="005A57E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b/>
          <w:color w:val="000000"/>
          <w:sz w:val="20"/>
          <w:szCs w:val="20"/>
        </w:rPr>
      </w:pPr>
      <w:r w:rsidRPr="003E7B75">
        <w:rPr>
          <w:rFonts w:ascii="Arial" w:eastAsia="Arial" w:hAnsi="Arial" w:cs="Arial"/>
          <w:b/>
          <w:color w:val="000000"/>
          <w:sz w:val="20"/>
          <w:szCs w:val="20"/>
        </w:rPr>
        <w:t>Interpretación</w:t>
      </w:r>
      <w:r w:rsidR="003E7B75" w:rsidRPr="003E7B75">
        <w:rPr>
          <w:rFonts w:ascii="Arial" w:eastAsia="Arial" w:hAnsi="Arial" w:cs="Arial"/>
          <w:b/>
          <w:color w:val="000000"/>
          <w:sz w:val="20"/>
          <w:szCs w:val="20"/>
        </w:rPr>
        <w:t>.</w:t>
      </w:r>
    </w:p>
    <w:p w14:paraId="5DC603AB" w14:textId="77777777" w:rsidR="009D55C9" w:rsidRDefault="005A57E0">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r>
        <w:rPr>
          <w:rFonts w:ascii="Arial" w:eastAsia="Arial" w:hAnsi="Arial" w:cs="Arial"/>
          <w:color w:val="000000"/>
          <w:sz w:val="20"/>
          <w:szCs w:val="20"/>
        </w:rPr>
        <w:t xml:space="preserve">Según los datos del </w:t>
      </w:r>
      <w:r w:rsidR="000E3CF2">
        <w:rPr>
          <w:rFonts w:ascii="Arial" w:eastAsia="Arial" w:hAnsi="Arial" w:cs="Arial"/>
          <w:color w:val="000000"/>
          <w:sz w:val="20"/>
          <w:szCs w:val="20"/>
        </w:rPr>
        <w:t>informe EPAR</w:t>
      </w:r>
      <w:r>
        <w:rPr>
          <w:rFonts w:ascii="Arial" w:eastAsia="Arial" w:hAnsi="Arial" w:cs="Arial"/>
          <w:color w:val="000000"/>
          <w:sz w:val="20"/>
          <w:szCs w:val="20"/>
        </w:rPr>
        <w:t xml:space="preserve"> sobre la eficacia de </w:t>
      </w:r>
      <w:r w:rsidR="000E3CF2">
        <w:rPr>
          <w:rFonts w:ascii="Arial" w:eastAsia="Arial" w:hAnsi="Arial" w:cs="Arial"/>
          <w:color w:val="000000"/>
          <w:sz w:val="20"/>
          <w:szCs w:val="20"/>
        </w:rPr>
        <w:t>Libmeldy</w:t>
      </w:r>
      <w:r w:rsidR="000E3CF2" w:rsidRPr="000252CF">
        <w:rPr>
          <w:rFonts w:ascii="Arial" w:eastAsia="Arial" w:hAnsi="Arial" w:cs="Arial"/>
          <w:color w:val="000000"/>
          <w:sz w:val="20"/>
          <w:szCs w:val="20"/>
          <w:vertAlign w:val="superscript"/>
        </w:rPr>
        <w:t>®</w:t>
      </w:r>
      <w:r>
        <w:rPr>
          <w:rFonts w:ascii="Arial" w:eastAsia="Arial" w:hAnsi="Arial" w:cs="Arial"/>
          <w:color w:val="000000"/>
          <w:sz w:val="20"/>
          <w:szCs w:val="20"/>
        </w:rPr>
        <w:t xml:space="preserve"> y la diferencia de costes, si se trata a los pacientes </w:t>
      </w:r>
      <w:r w:rsidR="000E3CF2" w:rsidRPr="000E3CF2">
        <w:rPr>
          <w:rFonts w:ascii="Arial" w:eastAsia="Arial" w:hAnsi="Arial" w:cs="Arial"/>
          <w:b/>
          <w:color w:val="000000"/>
          <w:sz w:val="20"/>
          <w:szCs w:val="20"/>
        </w:rPr>
        <w:t>presintomáticos con L</w:t>
      </w:r>
      <w:r w:rsidR="00B86FCB">
        <w:rPr>
          <w:rFonts w:ascii="Arial" w:eastAsia="Arial" w:hAnsi="Arial" w:cs="Arial"/>
          <w:b/>
          <w:color w:val="000000"/>
          <w:sz w:val="20"/>
          <w:szCs w:val="20"/>
        </w:rPr>
        <w:t>DM</w:t>
      </w:r>
      <w:r w:rsidR="000E3CF2" w:rsidRPr="000E3CF2">
        <w:rPr>
          <w:rFonts w:ascii="Arial" w:eastAsia="Arial" w:hAnsi="Arial" w:cs="Arial"/>
          <w:b/>
          <w:color w:val="000000"/>
          <w:sz w:val="20"/>
          <w:szCs w:val="20"/>
        </w:rPr>
        <w:t>-IT</w:t>
      </w:r>
      <w:r w:rsidR="000E3CF2" w:rsidRPr="000E3CF2">
        <w:rPr>
          <w:rFonts w:ascii="Arial" w:eastAsia="Arial" w:hAnsi="Arial" w:cs="Arial"/>
          <w:color w:val="000000"/>
          <w:sz w:val="20"/>
          <w:szCs w:val="20"/>
        </w:rPr>
        <w:t xml:space="preserve"> </w:t>
      </w:r>
      <w:r>
        <w:rPr>
          <w:rFonts w:ascii="Arial" w:eastAsia="Arial" w:hAnsi="Arial" w:cs="Arial"/>
          <w:color w:val="000000"/>
          <w:sz w:val="20"/>
          <w:szCs w:val="20"/>
        </w:rPr>
        <w:t xml:space="preserve">con </w:t>
      </w:r>
      <w:r w:rsidR="000E3CF2">
        <w:rPr>
          <w:rFonts w:ascii="Arial" w:eastAsia="Arial" w:hAnsi="Arial" w:cs="Arial"/>
          <w:color w:val="000000"/>
          <w:sz w:val="20"/>
          <w:szCs w:val="20"/>
        </w:rPr>
        <w:t>Libmeldy</w:t>
      </w:r>
      <w:r w:rsidR="000E3CF2" w:rsidRPr="000252CF">
        <w:rPr>
          <w:rFonts w:ascii="Arial" w:eastAsia="Arial" w:hAnsi="Arial" w:cs="Arial"/>
          <w:color w:val="000000"/>
          <w:sz w:val="20"/>
          <w:szCs w:val="20"/>
          <w:vertAlign w:val="superscript"/>
        </w:rPr>
        <w:t>®</w:t>
      </w:r>
      <w:r>
        <w:rPr>
          <w:rFonts w:ascii="Arial" w:eastAsia="Arial" w:hAnsi="Arial" w:cs="Arial"/>
          <w:color w:val="000000"/>
          <w:sz w:val="20"/>
          <w:szCs w:val="20"/>
        </w:rPr>
        <w:t xml:space="preserve"> en lugar de con </w:t>
      </w:r>
      <w:r w:rsidR="000E3CF2">
        <w:rPr>
          <w:rFonts w:ascii="Arial" w:eastAsia="Arial" w:hAnsi="Arial" w:cs="Arial"/>
          <w:color w:val="000000"/>
          <w:sz w:val="20"/>
          <w:szCs w:val="20"/>
        </w:rPr>
        <w:t>el tratamiento de soporte</w:t>
      </w:r>
      <w:r>
        <w:rPr>
          <w:rFonts w:ascii="Arial" w:eastAsia="Arial" w:hAnsi="Arial" w:cs="Arial"/>
          <w:color w:val="000000"/>
          <w:sz w:val="20"/>
          <w:szCs w:val="20"/>
        </w:rPr>
        <w:t xml:space="preserve"> </w:t>
      </w:r>
      <w:r w:rsidR="000E3CF2">
        <w:rPr>
          <w:rFonts w:ascii="Arial" w:eastAsia="Arial" w:hAnsi="Arial" w:cs="Arial"/>
          <w:color w:val="000000"/>
          <w:sz w:val="20"/>
          <w:szCs w:val="20"/>
        </w:rPr>
        <w:t>costará 5 M</w:t>
      </w:r>
      <w:r>
        <w:rPr>
          <w:rFonts w:ascii="Arial" w:eastAsia="Arial" w:hAnsi="Arial" w:cs="Arial"/>
          <w:color w:val="000000"/>
          <w:sz w:val="20"/>
          <w:szCs w:val="20"/>
        </w:rPr>
        <w:t xml:space="preserve"> € </w:t>
      </w:r>
      <w:r w:rsidR="000E3CF2">
        <w:rPr>
          <w:rFonts w:ascii="Arial" w:eastAsia="Arial" w:hAnsi="Arial" w:cs="Arial"/>
          <w:color w:val="000000"/>
          <w:sz w:val="20"/>
          <w:szCs w:val="20"/>
        </w:rPr>
        <w:t xml:space="preserve">que un paciente más sobreviva a los tres años. </w:t>
      </w:r>
    </w:p>
    <w:p w14:paraId="1087A86A"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rPr>
      </w:pPr>
      <w:bookmarkStart w:id="200" w:name="_heading=h.1mrcu09" w:colFirst="0" w:colLast="0"/>
      <w:bookmarkEnd w:id="200"/>
    </w:p>
    <w:p w14:paraId="3F54B68F" w14:textId="77777777" w:rsidR="00881543" w:rsidRPr="003E7B75" w:rsidRDefault="00881543">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rPr>
      </w:pPr>
    </w:p>
    <w:p w14:paraId="2FEC73CD"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7.3.3 Coste-utilidad. Estudios propios</w:t>
      </w:r>
    </w:p>
    <w:p w14:paraId="1D234FE0" w14:textId="77777777" w:rsidR="009D55C9" w:rsidRPr="009430A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rPr>
      </w:pPr>
    </w:p>
    <w:p w14:paraId="6EBBF407" w14:textId="77777777" w:rsidR="009D55C9" w:rsidRDefault="003E7B75">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szCs w:val="20"/>
        </w:rPr>
      </w:pPr>
      <w:r>
        <w:rPr>
          <w:rFonts w:ascii="Arial" w:eastAsia="Arial" w:hAnsi="Arial" w:cs="Arial"/>
          <w:color w:val="000000"/>
          <w:sz w:val="20"/>
          <w:szCs w:val="20"/>
        </w:rPr>
        <w:t>No disponemos de datos de utilidad.</w:t>
      </w:r>
    </w:p>
    <w:p w14:paraId="3B8D9E77" w14:textId="77777777" w:rsidR="009430A9" w:rsidRDefault="003E7B75" w:rsidP="003E7B75">
      <w:pPr>
        <w:pBdr>
          <w:top w:val="nil"/>
          <w:left w:val="nil"/>
          <w:bottom w:val="nil"/>
          <w:right w:val="nil"/>
          <w:between w:val="nil"/>
        </w:pBdr>
        <w:tabs>
          <w:tab w:val="left" w:pos="4252"/>
        </w:tabs>
        <w:spacing w:line="240" w:lineRule="auto"/>
        <w:ind w:left="0" w:hanging="2"/>
        <w:rPr>
          <w:rFonts w:ascii="Arial" w:eastAsia="Arial" w:hAnsi="Arial" w:cs="Arial"/>
          <w:color w:val="000000"/>
          <w:sz w:val="20"/>
        </w:rPr>
      </w:pPr>
      <w:r w:rsidRPr="009430A9">
        <w:rPr>
          <w:rFonts w:ascii="Arial" w:eastAsia="Arial" w:hAnsi="Arial" w:cs="Arial"/>
          <w:color w:val="000000"/>
          <w:sz w:val="20"/>
        </w:rPr>
        <w:tab/>
      </w:r>
    </w:p>
    <w:p w14:paraId="430500B0" w14:textId="77777777" w:rsidR="00881543" w:rsidRPr="009430A9" w:rsidRDefault="00881543" w:rsidP="003E7B75">
      <w:pPr>
        <w:pBdr>
          <w:top w:val="nil"/>
          <w:left w:val="nil"/>
          <w:bottom w:val="nil"/>
          <w:right w:val="nil"/>
          <w:between w:val="nil"/>
        </w:pBdr>
        <w:tabs>
          <w:tab w:val="left" w:pos="4252"/>
        </w:tabs>
        <w:spacing w:line="240" w:lineRule="auto"/>
        <w:ind w:left="0" w:hanging="2"/>
        <w:rPr>
          <w:rFonts w:ascii="Arial" w:eastAsia="Arial" w:hAnsi="Arial" w:cs="Arial"/>
          <w:color w:val="000000"/>
          <w:sz w:val="20"/>
        </w:rPr>
      </w:pPr>
    </w:p>
    <w:p w14:paraId="31F84864" w14:textId="77777777" w:rsidR="009D55C9" w:rsidRDefault="003E7B75" w:rsidP="00881543">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sidRPr="00881543">
        <w:rPr>
          <w:rFonts w:ascii="Arial" w:eastAsia="Arial" w:hAnsi="Arial" w:cs="Arial"/>
          <w:b/>
          <w:i/>
          <w:color w:val="000000"/>
          <w:sz w:val="20"/>
          <w:szCs w:val="20"/>
        </w:rPr>
        <w:tab/>
      </w:r>
      <w:r w:rsidR="005A57E0">
        <w:rPr>
          <w:rFonts w:ascii="Arial" w:eastAsia="Arial" w:hAnsi="Arial" w:cs="Arial"/>
          <w:b/>
          <w:i/>
          <w:color w:val="000000"/>
          <w:sz w:val="20"/>
          <w:szCs w:val="20"/>
        </w:rPr>
        <w:t>7.3.4. Análisis de sensibilidad</w:t>
      </w:r>
    </w:p>
    <w:p w14:paraId="1CFDDFC0"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p w14:paraId="527D7DCC" w14:textId="77777777" w:rsidR="009D55C9" w:rsidRDefault="003E7B75">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Se realiza análisis de sensibilidad aplicando un coste de 3 millones de €, en lugar de 2,5 millones de €.</w:t>
      </w:r>
    </w:p>
    <w:p w14:paraId="334FEC07" w14:textId="77777777" w:rsidR="009D55C9" w:rsidRDefault="009D55C9">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p>
    <w:tbl>
      <w:tblPr>
        <w:tblStyle w:val="affff2"/>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843"/>
        <w:gridCol w:w="2126"/>
        <w:gridCol w:w="2127"/>
      </w:tblGrid>
      <w:tr w:rsidR="009D55C9" w14:paraId="5CBE8CFD" w14:textId="77777777">
        <w:tc>
          <w:tcPr>
            <w:tcW w:w="9039" w:type="dxa"/>
            <w:gridSpan w:val="4"/>
            <w:shd w:val="clear" w:color="auto" w:fill="CCFFCC"/>
          </w:tcPr>
          <w:p w14:paraId="1C1E981F" w14:textId="77777777" w:rsidR="009D55C9" w:rsidRDefault="005A57E0">
            <w:pPr>
              <w:ind w:left="0" w:hanging="2"/>
              <w:jc w:val="both"/>
              <w:rPr>
                <w:rFonts w:ascii="Arial" w:eastAsia="Arial" w:hAnsi="Arial" w:cs="Arial"/>
                <w:sz w:val="16"/>
                <w:szCs w:val="16"/>
              </w:rPr>
            </w:pPr>
            <w:r>
              <w:rPr>
                <w:rFonts w:ascii="Arial" w:eastAsia="Arial" w:hAnsi="Arial" w:cs="Arial"/>
                <w:b/>
                <w:sz w:val="18"/>
                <w:szCs w:val="18"/>
              </w:rPr>
              <w:t>Tabla 7.3.4.1. Razón coste Eficacia Incremental (RCEI). Análisis de sensibilidad con otras posibles variables, modelos o supuestos</w:t>
            </w:r>
          </w:p>
        </w:tc>
      </w:tr>
      <w:tr w:rsidR="009D55C9" w14:paraId="30B906C3" w14:textId="77777777">
        <w:tc>
          <w:tcPr>
            <w:tcW w:w="2943" w:type="dxa"/>
            <w:shd w:val="clear" w:color="auto" w:fill="D9D9D9"/>
          </w:tcPr>
          <w:p w14:paraId="1533BACD" w14:textId="77777777" w:rsidR="009D55C9" w:rsidRDefault="005A57E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Variable, modelo o supuesto alternativo</w:t>
            </w:r>
          </w:p>
        </w:tc>
        <w:tc>
          <w:tcPr>
            <w:tcW w:w="1843" w:type="dxa"/>
            <w:shd w:val="clear" w:color="auto" w:fill="D9D9D9"/>
          </w:tcPr>
          <w:p w14:paraId="7C920BBB" w14:textId="77777777" w:rsidR="009D55C9" w:rsidRDefault="005A57E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Valor utilizado en el análisis basal</w:t>
            </w:r>
          </w:p>
        </w:tc>
        <w:tc>
          <w:tcPr>
            <w:tcW w:w="2126" w:type="dxa"/>
            <w:shd w:val="clear" w:color="auto" w:fill="D9D9D9"/>
          </w:tcPr>
          <w:p w14:paraId="09D90D28" w14:textId="77777777" w:rsidR="009D55C9" w:rsidRDefault="005A57E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Rango de variación de la nueva variable</w:t>
            </w:r>
          </w:p>
          <w:p w14:paraId="66DA73B2" w14:textId="77777777" w:rsidR="009D55C9" w:rsidRDefault="005A57E0"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Medio o probable </w:t>
            </w:r>
          </w:p>
        </w:tc>
        <w:tc>
          <w:tcPr>
            <w:tcW w:w="2127" w:type="dxa"/>
            <w:shd w:val="clear" w:color="auto" w:fill="D9D9D9"/>
          </w:tcPr>
          <w:p w14:paraId="65956E65" w14:textId="77777777" w:rsidR="009D55C9" w:rsidRDefault="005A57E0"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b/>
                <w:color w:val="000000"/>
                <w:sz w:val="16"/>
                <w:szCs w:val="16"/>
              </w:rPr>
              <w:t xml:space="preserve">RCEI media o más probable con la nueva variable </w:t>
            </w:r>
          </w:p>
        </w:tc>
      </w:tr>
      <w:tr w:rsidR="00B86FCB" w14:paraId="07D8CF02" w14:textId="77777777" w:rsidTr="000252CF">
        <w:tc>
          <w:tcPr>
            <w:tcW w:w="2943" w:type="dxa"/>
          </w:tcPr>
          <w:p w14:paraId="45453A29"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0BD51023"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sidRPr="003E7B75">
              <w:rPr>
                <w:rFonts w:ascii="Arial" w:eastAsia="Arial" w:hAnsi="Arial" w:cs="Arial"/>
                <w:color w:val="000000"/>
                <w:sz w:val="16"/>
                <w:szCs w:val="16"/>
              </w:rPr>
              <w:t>35.211 €</w:t>
            </w:r>
            <w:r>
              <w:rPr>
                <w:rFonts w:ascii="Arial" w:eastAsia="Arial" w:hAnsi="Arial" w:cs="Arial"/>
                <w:color w:val="000000"/>
                <w:sz w:val="16"/>
                <w:szCs w:val="16"/>
              </w:rPr>
              <w:t xml:space="preserve"> /unidad de escala MFGM ganada en LDM-IT a dos años</w:t>
            </w:r>
          </w:p>
        </w:tc>
      </w:tr>
      <w:tr w:rsidR="00B86FCB" w14:paraId="1A40695F" w14:textId="77777777" w:rsidTr="000252CF">
        <w:tc>
          <w:tcPr>
            <w:tcW w:w="2943" w:type="dxa"/>
          </w:tcPr>
          <w:p w14:paraId="238A2D5C"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06FAEDA7"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637BE13A"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227C6BCD"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42.253 €</w:t>
            </w:r>
          </w:p>
        </w:tc>
      </w:tr>
      <w:tr w:rsidR="00B86FCB" w14:paraId="794CBCAB" w14:textId="77777777" w:rsidTr="000252CF">
        <w:tc>
          <w:tcPr>
            <w:tcW w:w="2943" w:type="dxa"/>
          </w:tcPr>
          <w:p w14:paraId="34172972"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779DBC46" w14:textId="77777777" w:rsidR="00B86FCB" w:rsidRDefault="00B86FCB" w:rsidP="00B86FC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31.328 €</w:t>
            </w:r>
            <w:r>
              <w:rPr>
                <w:rFonts w:ascii="Arial" w:eastAsia="Arial" w:hAnsi="Arial" w:cs="Arial"/>
                <w:color w:val="000000"/>
                <w:sz w:val="16"/>
                <w:szCs w:val="16"/>
              </w:rPr>
              <w:t xml:space="preserve"> /unidad de escala MFGM ganada en LDM-IT a tres años</w:t>
            </w:r>
          </w:p>
        </w:tc>
      </w:tr>
      <w:tr w:rsidR="00B86FCB" w14:paraId="5F14601B" w14:textId="77777777">
        <w:tc>
          <w:tcPr>
            <w:tcW w:w="2943" w:type="dxa"/>
          </w:tcPr>
          <w:p w14:paraId="0FEED40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5849A7C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1CB73C5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3C92996B"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37.594 €</w:t>
            </w:r>
          </w:p>
        </w:tc>
      </w:tr>
      <w:tr w:rsidR="00B86FCB" w14:paraId="53351248" w14:textId="77777777" w:rsidTr="000252CF">
        <w:tc>
          <w:tcPr>
            <w:tcW w:w="2943" w:type="dxa"/>
          </w:tcPr>
          <w:p w14:paraId="2BB7DB8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476D9D3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47.710 €</w:t>
            </w:r>
            <w:r>
              <w:rPr>
                <w:rFonts w:ascii="Arial" w:eastAsia="Arial" w:hAnsi="Arial" w:cs="Arial"/>
                <w:color w:val="000000"/>
                <w:sz w:val="16"/>
                <w:szCs w:val="16"/>
              </w:rPr>
              <w:t>/unidad de escala MFGM ganada en LDM-JT a dos años</w:t>
            </w:r>
          </w:p>
        </w:tc>
      </w:tr>
      <w:tr w:rsidR="00B86FCB" w14:paraId="2CE2DB92" w14:textId="77777777" w:rsidTr="000252CF">
        <w:tc>
          <w:tcPr>
            <w:tcW w:w="2943" w:type="dxa"/>
          </w:tcPr>
          <w:p w14:paraId="360B430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69181CF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5D1C285D"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1C45628F"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57.252 €</w:t>
            </w:r>
          </w:p>
        </w:tc>
      </w:tr>
      <w:tr w:rsidR="00B86FCB" w14:paraId="76C173B6" w14:textId="77777777" w:rsidTr="000252CF">
        <w:tc>
          <w:tcPr>
            <w:tcW w:w="2943" w:type="dxa"/>
          </w:tcPr>
          <w:p w14:paraId="160E3ECB"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3B8BA18D" w14:textId="77777777" w:rsidR="00B86FCB" w:rsidRDefault="00B86FCB" w:rsidP="00B86FC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33.378 €</w:t>
            </w:r>
            <w:r>
              <w:rPr>
                <w:rFonts w:ascii="Arial" w:eastAsia="Arial" w:hAnsi="Arial" w:cs="Arial"/>
                <w:color w:val="000000"/>
                <w:sz w:val="16"/>
                <w:szCs w:val="16"/>
              </w:rPr>
              <w:t>/unidad de escala MFGM ganada en LDM-JT a tres años</w:t>
            </w:r>
          </w:p>
        </w:tc>
      </w:tr>
      <w:tr w:rsidR="00B86FCB" w14:paraId="149F1D23" w14:textId="77777777" w:rsidTr="000252CF">
        <w:tc>
          <w:tcPr>
            <w:tcW w:w="2943" w:type="dxa"/>
          </w:tcPr>
          <w:p w14:paraId="768116FB"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515BA3C7"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43A6E83A"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7527D83A"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40.053 €</w:t>
            </w:r>
          </w:p>
        </w:tc>
      </w:tr>
      <w:tr w:rsidR="00B86FCB" w14:paraId="3A356303" w14:textId="77777777" w:rsidTr="000252CF">
        <w:tc>
          <w:tcPr>
            <w:tcW w:w="2943" w:type="dxa"/>
          </w:tcPr>
          <w:p w14:paraId="372D8921"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6"/>
                <w:szCs w:val="16"/>
              </w:rPr>
              <w:t>RCEI RESULTADO BASAL</w:t>
            </w:r>
          </w:p>
        </w:tc>
        <w:tc>
          <w:tcPr>
            <w:tcW w:w="6096" w:type="dxa"/>
            <w:gridSpan w:val="3"/>
          </w:tcPr>
          <w:p w14:paraId="68F2806A" w14:textId="77777777" w:rsidR="00B86FCB" w:rsidRDefault="00B86FCB" w:rsidP="00B86FC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sz w:val="16"/>
                <w:szCs w:val="16"/>
              </w:rPr>
              <w:t>5 M €</w:t>
            </w:r>
            <w:r>
              <w:rPr>
                <w:rFonts w:ascii="Arial" w:eastAsia="Arial" w:hAnsi="Arial" w:cs="Arial"/>
                <w:color w:val="000000"/>
                <w:sz w:val="16"/>
                <w:szCs w:val="16"/>
              </w:rPr>
              <w:t>/paciente adicional que sobrevive a los 3 años</w:t>
            </w:r>
          </w:p>
        </w:tc>
      </w:tr>
      <w:tr w:rsidR="00B86FCB" w14:paraId="64930B1F" w14:textId="77777777" w:rsidTr="000252CF">
        <w:tc>
          <w:tcPr>
            <w:tcW w:w="2943" w:type="dxa"/>
          </w:tcPr>
          <w:p w14:paraId="2D243146" w14:textId="77777777" w:rsidR="00B86FCB" w:rsidRDefault="00B86FCB" w:rsidP="000252C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color w:val="000000"/>
                <w:sz w:val="16"/>
                <w:szCs w:val="16"/>
              </w:rPr>
              <w:t xml:space="preserve">Coste del fármaco </w:t>
            </w:r>
          </w:p>
        </w:tc>
        <w:tc>
          <w:tcPr>
            <w:tcW w:w="1843" w:type="dxa"/>
          </w:tcPr>
          <w:p w14:paraId="60831355"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2,5 M €</w:t>
            </w:r>
          </w:p>
        </w:tc>
        <w:tc>
          <w:tcPr>
            <w:tcW w:w="2126" w:type="dxa"/>
          </w:tcPr>
          <w:p w14:paraId="1F8999F8" w14:textId="77777777" w:rsidR="00B86FCB" w:rsidRDefault="00B86FCB" w:rsidP="000252CF">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3 M €</w:t>
            </w:r>
          </w:p>
        </w:tc>
        <w:tc>
          <w:tcPr>
            <w:tcW w:w="2127" w:type="dxa"/>
          </w:tcPr>
          <w:p w14:paraId="7CE47CC2" w14:textId="77777777" w:rsidR="00B86FCB" w:rsidRDefault="00B86FCB" w:rsidP="00B86FCB">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10 M €</w:t>
            </w:r>
          </w:p>
        </w:tc>
      </w:tr>
    </w:tbl>
    <w:p w14:paraId="781E8CC9" w14:textId="77777777" w:rsidR="009D55C9" w:rsidRDefault="009D55C9">
      <w:pPr>
        <w:ind w:left="0" w:hanging="2"/>
        <w:jc w:val="both"/>
        <w:rPr>
          <w:rFonts w:ascii="Arial" w:eastAsia="Arial" w:hAnsi="Arial" w:cs="Arial"/>
          <w:sz w:val="20"/>
          <w:szCs w:val="20"/>
        </w:rPr>
      </w:pPr>
    </w:p>
    <w:p w14:paraId="470BE3C5" w14:textId="77777777" w:rsidR="00881543" w:rsidRDefault="00881543">
      <w:pPr>
        <w:ind w:left="0" w:hanging="2"/>
        <w:jc w:val="both"/>
        <w:rPr>
          <w:rFonts w:ascii="Arial" w:eastAsia="Arial" w:hAnsi="Arial" w:cs="Arial"/>
          <w:sz w:val="20"/>
          <w:szCs w:val="20"/>
        </w:rPr>
      </w:pPr>
    </w:p>
    <w:p w14:paraId="2E2DD402" w14:textId="77777777" w:rsidR="00881543" w:rsidRDefault="00881543">
      <w:pPr>
        <w:ind w:left="0" w:hanging="2"/>
        <w:jc w:val="both"/>
        <w:rPr>
          <w:rFonts w:ascii="Arial" w:eastAsia="Arial" w:hAnsi="Arial" w:cs="Arial"/>
          <w:sz w:val="20"/>
          <w:szCs w:val="20"/>
        </w:rPr>
      </w:pPr>
    </w:p>
    <w:p w14:paraId="2F2B2998" w14:textId="77777777" w:rsidR="00881543" w:rsidRDefault="00881543">
      <w:pPr>
        <w:ind w:left="0" w:hanging="2"/>
        <w:jc w:val="both"/>
        <w:rPr>
          <w:rFonts w:ascii="Arial" w:eastAsia="Arial" w:hAnsi="Arial" w:cs="Arial"/>
          <w:sz w:val="20"/>
          <w:szCs w:val="20"/>
        </w:rPr>
      </w:pPr>
    </w:p>
    <w:p w14:paraId="25E77008"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7.4. Estimación del impacto presupuestario y de los beneficios esperados en salud</w:t>
      </w:r>
    </w:p>
    <w:p w14:paraId="3AC1A525" w14:textId="77777777" w:rsidR="009D55C9" w:rsidRDefault="009D55C9">
      <w:pPr>
        <w:ind w:left="0" w:hanging="2"/>
        <w:jc w:val="both"/>
        <w:rPr>
          <w:rFonts w:ascii="Arial" w:eastAsia="Arial" w:hAnsi="Arial" w:cs="Arial"/>
          <w:sz w:val="20"/>
          <w:szCs w:val="20"/>
        </w:rPr>
      </w:pPr>
    </w:p>
    <w:p w14:paraId="31E945CC"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7.4.1. Estimación de la población diana</w:t>
      </w:r>
    </w:p>
    <w:p w14:paraId="5D277647" w14:textId="77777777" w:rsidR="009D55C9" w:rsidRDefault="009D55C9">
      <w:pPr>
        <w:ind w:left="0" w:hanging="2"/>
        <w:rPr>
          <w:rFonts w:ascii="Arial" w:eastAsia="Arial" w:hAnsi="Arial" w:cs="Arial"/>
          <w:sz w:val="20"/>
          <w:szCs w:val="20"/>
        </w:rPr>
      </w:pPr>
    </w:p>
    <w:tbl>
      <w:tblPr>
        <w:tblStyle w:val="affff3"/>
        <w:tblW w:w="8936"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9"/>
        <w:gridCol w:w="2977"/>
      </w:tblGrid>
      <w:tr w:rsidR="009D55C9" w14:paraId="42E73E66" w14:textId="77777777">
        <w:trPr>
          <w:trHeight w:val="268"/>
        </w:trPr>
        <w:tc>
          <w:tcPr>
            <w:tcW w:w="8936" w:type="dxa"/>
            <w:gridSpan w:val="2"/>
            <w:shd w:val="clear" w:color="auto" w:fill="CCFFCC"/>
          </w:tcPr>
          <w:p w14:paraId="4DF17375" w14:textId="77777777" w:rsidR="009D55C9" w:rsidRDefault="005A57E0">
            <w:pPr>
              <w:ind w:left="0" w:hanging="2"/>
              <w:rPr>
                <w:rFonts w:ascii="Arial" w:eastAsia="Arial" w:hAnsi="Arial" w:cs="Arial"/>
                <w:sz w:val="16"/>
                <w:szCs w:val="16"/>
              </w:rPr>
            </w:pPr>
            <w:r>
              <w:rPr>
                <w:rFonts w:ascii="Arial" w:eastAsia="Arial" w:hAnsi="Arial" w:cs="Arial"/>
                <w:b/>
                <w:sz w:val="18"/>
                <w:szCs w:val="18"/>
              </w:rPr>
              <w:t>Tabla 7.4.1.1. Estimación de la población diana en tratamientos de duración limitada</w:t>
            </w:r>
          </w:p>
        </w:tc>
      </w:tr>
      <w:tr w:rsidR="009D55C9" w14:paraId="79C94C2E" w14:textId="77777777">
        <w:trPr>
          <w:trHeight w:val="268"/>
        </w:trPr>
        <w:tc>
          <w:tcPr>
            <w:tcW w:w="8936" w:type="dxa"/>
            <w:gridSpan w:val="2"/>
          </w:tcPr>
          <w:p w14:paraId="3C51A24D"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Fármaco e indicación: </w:t>
            </w:r>
            <w:r>
              <w:rPr>
                <w:rFonts w:ascii="Arial" w:eastAsia="Arial" w:hAnsi="Arial" w:cs="Arial"/>
                <w:sz w:val="16"/>
                <w:szCs w:val="16"/>
              </w:rPr>
              <w:t>Libmeldy</w:t>
            </w:r>
            <w:r w:rsidR="002E180F" w:rsidRPr="002E180F">
              <w:rPr>
                <w:rFonts w:ascii="Arial" w:eastAsia="Arial" w:hAnsi="Arial" w:cs="Arial"/>
                <w:sz w:val="16"/>
                <w:szCs w:val="16"/>
                <w:vertAlign w:val="superscript"/>
              </w:rPr>
              <w:t>®</w:t>
            </w:r>
            <w:r>
              <w:rPr>
                <w:rFonts w:ascii="Arial" w:eastAsia="Arial" w:hAnsi="Arial" w:cs="Arial"/>
                <w:sz w:val="16"/>
                <w:szCs w:val="16"/>
              </w:rPr>
              <w:t xml:space="preserve"> en LDM.</w:t>
            </w:r>
          </w:p>
          <w:p w14:paraId="22CC363F"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Escenario: </w:t>
            </w:r>
            <w:r>
              <w:rPr>
                <w:rFonts w:ascii="Arial" w:eastAsia="Arial" w:hAnsi="Arial" w:cs="Arial"/>
                <w:sz w:val="16"/>
                <w:szCs w:val="16"/>
              </w:rPr>
              <w:t>LDM-IT o LDM-JT en pacientes presintomáticos o con síntomas tempranos.</w:t>
            </w:r>
          </w:p>
          <w:p w14:paraId="0F49D34D"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Ámbito y horizonte temporal: </w:t>
            </w:r>
            <w:r>
              <w:rPr>
                <w:rFonts w:ascii="Arial" w:eastAsia="Arial" w:hAnsi="Arial" w:cs="Arial"/>
                <w:sz w:val="16"/>
                <w:szCs w:val="16"/>
              </w:rPr>
              <w:t>Estatal (España). Anual.</w:t>
            </w:r>
          </w:p>
          <w:p w14:paraId="1E3BDE3B" w14:textId="77777777" w:rsidR="009D55C9" w:rsidRDefault="005A57E0" w:rsidP="002E180F">
            <w:pPr>
              <w:ind w:left="0" w:hanging="2"/>
              <w:rPr>
                <w:rFonts w:ascii="Cambria" w:eastAsia="Cambria" w:hAnsi="Cambria" w:cs="Cambria"/>
                <w:sz w:val="18"/>
                <w:szCs w:val="18"/>
              </w:rPr>
            </w:pPr>
            <w:r>
              <w:rPr>
                <w:rFonts w:ascii="Arial" w:eastAsia="Arial" w:hAnsi="Arial" w:cs="Arial"/>
                <w:b/>
                <w:sz w:val="16"/>
                <w:szCs w:val="16"/>
              </w:rPr>
              <w:t xml:space="preserve">Estimación: </w:t>
            </w:r>
            <w:r>
              <w:rPr>
                <w:rFonts w:ascii="Arial" w:eastAsia="Arial" w:hAnsi="Arial" w:cs="Arial"/>
                <w:color w:val="000000"/>
                <w:sz w:val="16"/>
                <w:szCs w:val="16"/>
              </w:rPr>
              <w:t>Se extraen los datos de la población de referencia (recién nacidos vivos en 2019) INE</w:t>
            </w:r>
            <w:r w:rsidR="002E180F">
              <w:rPr>
                <w:rStyle w:val="Refdenotaalfinal"/>
                <w:rFonts w:ascii="Arial" w:eastAsia="Arial" w:hAnsi="Arial" w:cs="Arial"/>
                <w:color w:val="000000"/>
                <w:sz w:val="16"/>
                <w:szCs w:val="16"/>
              </w:rPr>
              <w:endnoteReference w:id="8"/>
            </w:r>
            <w:r>
              <w:rPr>
                <w:rFonts w:ascii="Arial" w:eastAsia="Arial" w:hAnsi="Arial" w:cs="Arial"/>
                <w:color w:val="000000"/>
                <w:sz w:val="16"/>
                <w:szCs w:val="16"/>
              </w:rPr>
              <w:t>, realizándose una estimación con la incidencia de la enfermedad</w:t>
            </w:r>
            <w:r w:rsidR="002E180F" w:rsidRPr="002E180F">
              <w:rPr>
                <w:rFonts w:ascii="Arial" w:eastAsia="Arial" w:hAnsi="Arial" w:cs="Arial"/>
                <w:color w:val="000000"/>
                <w:sz w:val="16"/>
                <w:szCs w:val="16"/>
                <w:vertAlign w:val="superscript"/>
              </w:rPr>
              <w:fldChar w:fldCharType="begin"/>
            </w:r>
            <w:r w:rsidR="002E180F" w:rsidRPr="002E180F">
              <w:rPr>
                <w:rFonts w:ascii="Arial" w:eastAsia="Arial" w:hAnsi="Arial" w:cs="Arial"/>
                <w:color w:val="000000"/>
                <w:sz w:val="16"/>
                <w:szCs w:val="16"/>
                <w:vertAlign w:val="superscript"/>
              </w:rPr>
              <w:instrText xml:space="preserve"> NOTEREF _Ref66185096 \h </w:instrText>
            </w:r>
            <w:r w:rsidR="002E180F">
              <w:rPr>
                <w:rFonts w:ascii="Arial" w:eastAsia="Arial" w:hAnsi="Arial" w:cs="Arial"/>
                <w:color w:val="000000"/>
                <w:sz w:val="16"/>
                <w:szCs w:val="16"/>
                <w:vertAlign w:val="superscript"/>
              </w:rPr>
              <w:instrText xml:space="preserve"> \* MERGEFORMAT </w:instrText>
            </w:r>
            <w:r w:rsidR="002E180F" w:rsidRPr="002E180F">
              <w:rPr>
                <w:rFonts w:ascii="Arial" w:eastAsia="Arial" w:hAnsi="Arial" w:cs="Arial"/>
                <w:color w:val="000000"/>
                <w:sz w:val="16"/>
                <w:szCs w:val="16"/>
                <w:vertAlign w:val="superscript"/>
              </w:rPr>
            </w:r>
            <w:r w:rsidR="002E180F" w:rsidRPr="002E180F">
              <w:rPr>
                <w:rFonts w:ascii="Arial" w:eastAsia="Arial" w:hAnsi="Arial" w:cs="Arial"/>
                <w:color w:val="000000"/>
                <w:sz w:val="16"/>
                <w:szCs w:val="16"/>
                <w:vertAlign w:val="superscript"/>
              </w:rPr>
              <w:fldChar w:fldCharType="separate"/>
            </w:r>
            <w:r w:rsidR="00942E63">
              <w:rPr>
                <w:rFonts w:ascii="Arial" w:eastAsia="Arial" w:hAnsi="Arial" w:cs="Arial"/>
                <w:color w:val="000000"/>
                <w:sz w:val="16"/>
                <w:szCs w:val="16"/>
                <w:vertAlign w:val="superscript"/>
              </w:rPr>
              <w:t>4</w:t>
            </w:r>
            <w:r w:rsidR="002E180F" w:rsidRPr="002E180F">
              <w:rPr>
                <w:rFonts w:ascii="Arial" w:eastAsia="Arial" w:hAnsi="Arial" w:cs="Arial"/>
                <w:color w:val="000000"/>
                <w:sz w:val="16"/>
                <w:szCs w:val="16"/>
                <w:vertAlign w:val="superscript"/>
              </w:rPr>
              <w:fldChar w:fldCharType="end"/>
            </w:r>
            <w:r>
              <w:rPr>
                <w:rFonts w:ascii="Arial" w:eastAsia="Arial" w:hAnsi="Arial" w:cs="Arial"/>
                <w:color w:val="000000"/>
                <w:sz w:val="16"/>
                <w:szCs w:val="16"/>
              </w:rPr>
              <w:t xml:space="preserve"> </w:t>
            </w:r>
          </w:p>
        </w:tc>
      </w:tr>
      <w:tr w:rsidR="009D55C9" w14:paraId="51E401B3" w14:textId="77777777" w:rsidTr="00422146">
        <w:trPr>
          <w:trHeight w:val="224"/>
        </w:trPr>
        <w:tc>
          <w:tcPr>
            <w:tcW w:w="5959" w:type="dxa"/>
            <w:shd w:val="clear" w:color="auto" w:fill="D9D9D9"/>
          </w:tcPr>
          <w:p w14:paraId="3A7C7D3E" w14:textId="77777777" w:rsidR="009D55C9" w:rsidRDefault="005A57E0">
            <w:pPr>
              <w:ind w:left="0" w:hanging="2"/>
              <w:rPr>
                <w:rFonts w:ascii="Arial" w:eastAsia="Arial" w:hAnsi="Arial" w:cs="Arial"/>
                <w:sz w:val="16"/>
                <w:szCs w:val="16"/>
              </w:rPr>
            </w:pPr>
            <w:r>
              <w:rPr>
                <w:rFonts w:ascii="Arial" w:eastAsia="Arial" w:hAnsi="Arial" w:cs="Arial"/>
                <w:b/>
                <w:sz w:val="16"/>
                <w:szCs w:val="16"/>
              </w:rPr>
              <w:t>Ámbito</w:t>
            </w:r>
          </w:p>
        </w:tc>
        <w:tc>
          <w:tcPr>
            <w:tcW w:w="2977" w:type="dxa"/>
            <w:shd w:val="clear" w:color="auto" w:fill="D9D9D9"/>
          </w:tcPr>
          <w:p w14:paraId="54DD892A"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España</w:t>
            </w:r>
          </w:p>
        </w:tc>
      </w:tr>
      <w:tr w:rsidR="009D55C9" w14:paraId="2C0605F6" w14:textId="77777777">
        <w:trPr>
          <w:trHeight w:val="375"/>
        </w:trPr>
        <w:tc>
          <w:tcPr>
            <w:tcW w:w="5959" w:type="dxa"/>
            <w:vAlign w:val="center"/>
          </w:tcPr>
          <w:p w14:paraId="33220A04" w14:textId="77777777" w:rsidR="009D55C9" w:rsidRDefault="005A57E0">
            <w:pPr>
              <w:ind w:left="0" w:hanging="2"/>
              <w:rPr>
                <w:rFonts w:ascii="Arial" w:eastAsia="Arial" w:hAnsi="Arial" w:cs="Arial"/>
                <w:sz w:val="16"/>
                <w:szCs w:val="16"/>
              </w:rPr>
            </w:pPr>
            <w:r>
              <w:rPr>
                <w:rFonts w:ascii="Arial" w:eastAsia="Arial" w:hAnsi="Arial" w:cs="Arial"/>
                <w:b/>
                <w:sz w:val="16"/>
                <w:szCs w:val="16"/>
              </w:rPr>
              <w:t>0. Población de referencia recién nacidos vivos en España en 2019</w:t>
            </w:r>
          </w:p>
        </w:tc>
        <w:tc>
          <w:tcPr>
            <w:tcW w:w="2977" w:type="dxa"/>
            <w:vAlign w:val="center"/>
          </w:tcPr>
          <w:p w14:paraId="3BE71B10"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359.770</w:t>
            </w:r>
          </w:p>
        </w:tc>
      </w:tr>
      <w:tr w:rsidR="009D55C9" w14:paraId="56CEA56A" w14:textId="77777777">
        <w:trPr>
          <w:trHeight w:val="510"/>
        </w:trPr>
        <w:tc>
          <w:tcPr>
            <w:tcW w:w="5959" w:type="dxa"/>
            <w:vAlign w:val="center"/>
          </w:tcPr>
          <w:p w14:paraId="7E1F7D57" w14:textId="77777777" w:rsidR="009D55C9" w:rsidRDefault="005A57E0" w:rsidP="00272799">
            <w:pPr>
              <w:ind w:left="0" w:hanging="2"/>
              <w:rPr>
                <w:rFonts w:ascii="Arial" w:eastAsia="Arial" w:hAnsi="Arial" w:cs="Arial"/>
                <w:sz w:val="16"/>
                <w:szCs w:val="16"/>
              </w:rPr>
            </w:pPr>
            <w:r>
              <w:rPr>
                <w:rFonts w:ascii="Arial" w:eastAsia="Arial" w:hAnsi="Arial" w:cs="Arial"/>
                <w:b/>
                <w:sz w:val="16"/>
                <w:szCs w:val="16"/>
              </w:rPr>
              <w:t xml:space="preserve">A. Incidencia LDM: </w:t>
            </w:r>
            <w:r w:rsidR="00272799">
              <w:rPr>
                <w:rFonts w:ascii="Arial" w:eastAsia="Arial" w:hAnsi="Arial" w:cs="Arial"/>
                <w:sz w:val="16"/>
                <w:szCs w:val="16"/>
              </w:rPr>
              <w:t>0,5 a 1</w:t>
            </w:r>
            <w:r>
              <w:rPr>
                <w:rFonts w:ascii="Arial" w:eastAsia="Arial" w:hAnsi="Arial" w:cs="Arial"/>
                <w:sz w:val="16"/>
                <w:szCs w:val="16"/>
              </w:rPr>
              <w:t>/</w:t>
            </w:r>
            <w:r w:rsidR="00272799">
              <w:rPr>
                <w:rFonts w:ascii="Arial" w:eastAsia="Arial" w:hAnsi="Arial" w:cs="Arial"/>
                <w:sz w:val="16"/>
                <w:szCs w:val="16"/>
              </w:rPr>
              <w:t>5</w:t>
            </w:r>
            <w:r>
              <w:rPr>
                <w:rFonts w:ascii="Arial" w:eastAsia="Arial" w:hAnsi="Arial" w:cs="Arial"/>
                <w:sz w:val="16"/>
                <w:szCs w:val="16"/>
              </w:rPr>
              <w:t>0.000 nacidos vivos</w:t>
            </w:r>
            <w:r>
              <w:rPr>
                <w:rFonts w:ascii="Arial" w:eastAsia="Arial" w:hAnsi="Arial" w:cs="Arial"/>
                <w:b/>
                <w:sz w:val="16"/>
                <w:szCs w:val="16"/>
              </w:rPr>
              <w:t xml:space="preserve"> </w:t>
            </w:r>
          </w:p>
        </w:tc>
        <w:tc>
          <w:tcPr>
            <w:tcW w:w="2977" w:type="dxa"/>
            <w:vAlign w:val="center"/>
          </w:tcPr>
          <w:p w14:paraId="19185DAE"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4</w:t>
            </w:r>
            <w:r w:rsidR="00272799">
              <w:rPr>
                <w:rFonts w:ascii="Arial" w:eastAsia="Arial" w:hAnsi="Arial" w:cs="Arial"/>
                <w:sz w:val="16"/>
                <w:szCs w:val="16"/>
              </w:rPr>
              <w:t>-7</w:t>
            </w:r>
          </w:p>
        </w:tc>
      </w:tr>
      <w:tr w:rsidR="009D55C9" w14:paraId="52FA64D7" w14:textId="77777777">
        <w:trPr>
          <w:trHeight w:val="528"/>
        </w:trPr>
        <w:tc>
          <w:tcPr>
            <w:tcW w:w="5959" w:type="dxa"/>
            <w:vAlign w:val="center"/>
          </w:tcPr>
          <w:p w14:paraId="50ACBF1B" w14:textId="77777777" w:rsidR="009D55C9" w:rsidRDefault="005A57E0" w:rsidP="00B732D2">
            <w:pPr>
              <w:ind w:left="0" w:hanging="2"/>
              <w:rPr>
                <w:rFonts w:ascii="Arial" w:eastAsia="Arial" w:hAnsi="Arial" w:cs="Arial"/>
                <w:sz w:val="16"/>
                <w:szCs w:val="16"/>
              </w:rPr>
            </w:pPr>
            <w:r>
              <w:rPr>
                <w:rFonts w:ascii="Arial" w:eastAsia="Arial" w:hAnsi="Arial" w:cs="Arial"/>
                <w:b/>
                <w:sz w:val="16"/>
                <w:szCs w:val="16"/>
              </w:rPr>
              <w:t xml:space="preserve">B. </w:t>
            </w:r>
            <w:r w:rsidRPr="00CC6B01">
              <w:rPr>
                <w:rFonts w:ascii="Arial" w:eastAsia="Arial" w:hAnsi="Arial" w:cs="Arial"/>
                <w:sz w:val="16"/>
                <w:szCs w:val="16"/>
              </w:rPr>
              <w:t>Pacientes con LDM-IT (60%)</w:t>
            </w:r>
          </w:p>
        </w:tc>
        <w:tc>
          <w:tcPr>
            <w:tcW w:w="2977" w:type="dxa"/>
            <w:vAlign w:val="center"/>
          </w:tcPr>
          <w:p w14:paraId="0E2C425B" w14:textId="77777777" w:rsidR="009D55C9" w:rsidRDefault="00B732D2">
            <w:pPr>
              <w:ind w:left="0" w:hanging="2"/>
              <w:jc w:val="center"/>
              <w:rPr>
                <w:rFonts w:ascii="Arial" w:eastAsia="Arial" w:hAnsi="Arial" w:cs="Arial"/>
                <w:sz w:val="16"/>
                <w:szCs w:val="16"/>
              </w:rPr>
            </w:pPr>
            <w:r>
              <w:rPr>
                <w:rFonts w:ascii="Arial" w:eastAsia="Arial" w:hAnsi="Arial" w:cs="Arial"/>
                <w:sz w:val="16"/>
                <w:szCs w:val="16"/>
              </w:rPr>
              <w:t>2-</w:t>
            </w:r>
            <w:r w:rsidR="00272799">
              <w:rPr>
                <w:rFonts w:ascii="Arial" w:eastAsia="Arial" w:hAnsi="Arial" w:cs="Arial"/>
                <w:sz w:val="16"/>
                <w:szCs w:val="16"/>
              </w:rPr>
              <w:t>4</w:t>
            </w:r>
          </w:p>
        </w:tc>
      </w:tr>
      <w:tr w:rsidR="009D55C9" w14:paraId="4EAFBD3A" w14:textId="77777777">
        <w:trPr>
          <w:trHeight w:val="452"/>
        </w:trPr>
        <w:tc>
          <w:tcPr>
            <w:tcW w:w="5959" w:type="dxa"/>
            <w:vAlign w:val="center"/>
          </w:tcPr>
          <w:p w14:paraId="6AFB6664" w14:textId="77777777" w:rsidR="009D55C9" w:rsidRDefault="005A57E0" w:rsidP="00B732D2">
            <w:pPr>
              <w:ind w:left="0" w:hanging="2"/>
              <w:rPr>
                <w:rFonts w:ascii="Arial" w:eastAsia="Arial" w:hAnsi="Arial" w:cs="Arial"/>
                <w:sz w:val="16"/>
                <w:szCs w:val="16"/>
              </w:rPr>
            </w:pPr>
            <w:r>
              <w:rPr>
                <w:rFonts w:ascii="Arial" w:eastAsia="Arial" w:hAnsi="Arial" w:cs="Arial"/>
                <w:b/>
                <w:sz w:val="16"/>
                <w:szCs w:val="16"/>
              </w:rPr>
              <w:t xml:space="preserve">C. </w:t>
            </w:r>
            <w:r w:rsidRPr="00CC6B01">
              <w:rPr>
                <w:rFonts w:ascii="Arial" w:eastAsia="Arial" w:hAnsi="Arial" w:cs="Arial"/>
                <w:sz w:val="16"/>
                <w:szCs w:val="16"/>
              </w:rPr>
              <w:t xml:space="preserve">Pacientes con LDM forma juvenil (20 – </w:t>
            </w:r>
            <w:r w:rsidR="00B732D2">
              <w:rPr>
                <w:rFonts w:ascii="Arial" w:eastAsia="Arial" w:hAnsi="Arial" w:cs="Arial"/>
                <w:sz w:val="16"/>
                <w:szCs w:val="16"/>
              </w:rPr>
              <w:t>3</w:t>
            </w:r>
            <w:r w:rsidRPr="00CC6B01">
              <w:rPr>
                <w:rFonts w:ascii="Arial" w:eastAsia="Arial" w:hAnsi="Arial" w:cs="Arial"/>
                <w:sz w:val="16"/>
                <w:szCs w:val="16"/>
              </w:rPr>
              <w:t>0%). Incluye la juvenil temprana y la juvenil tardía.</w:t>
            </w:r>
          </w:p>
        </w:tc>
        <w:tc>
          <w:tcPr>
            <w:tcW w:w="2977" w:type="dxa"/>
            <w:vAlign w:val="center"/>
          </w:tcPr>
          <w:p w14:paraId="499405CF" w14:textId="77777777" w:rsidR="009D55C9" w:rsidRDefault="005A57E0">
            <w:pPr>
              <w:ind w:left="0" w:hanging="2"/>
              <w:jc w:val="center"/>
              <w:rPr>
                <w:rFonts w:ascii="Arial" w:eastAsia="Arial" w:hAnsi="Arial" w:cs="Arial"/>
                <w:sz w:val="16"/>
                <w:szCs w:val="16"/>
              </w:rPr>
            </w:pPr>
            <w:r>
              <w:rPr>
                <w:rFonts w:ascii="Arial" w:eastAsia="Arial" w:hAnsi="Arial" w:cs="Arial"/>
                <w:sz w:val="16"/>
                <w:szCs w:val="16"/>
              </w:rPr>
              <w:t>1</w:t>
            </w:r>
            <w:r w:rsidR="00272799">
              <w:rPr>
                <w:rFonts w:ascii="Arial" w:eastAsia="Arial" w:hAnsi="Arial" w:cs="Arial"/>
                <w:sz w:val="16"/>
                <w:szCs w:val="16"/>
              </w:rPr>
              <w:t>-2</w:t>
            </w:r>
          </w:p>
        </w:tc>
      </w:tr>
      <w:tr w:rsidR="009D55C9" w14:paraId="75D89F7B" w14:textId="77777777">
        <w:trPr>
          <w:trHeight w:val="421"/>
        </w:trPr>
        <w:tc>
          <w:tcPr>
            <w:tcW w:w="5959" w:type="dxa"/>
            <w:tcBorders>
              <w:bottom w:val="single" w:sz="4" w:space="0" w:color="000000"/>
            </w:tcBorders>
            <w:vAlign w:val="center"/>
          </w:tcPr>
          <w:p w14:paraId="46FB2A8B" w14:textId="77777777" w:rsidR="009D55C9" w:rsidRDefault="005A57E0">
            <w:pPr>
              <w:ind w:left="0" w:hanging="2"/>
              <w:rPr>
                <w:rFonts w:ascii="Arial" w:eastAsia="Arial" w:hAnsi="Arial" w:cs="Arial"/>
                <w:sz w:val="16"/>
                <w:szCs w:val="16"/>
              </w:rPr>
            </w:pPr>
            <w:r>
              <w:rPr>
                <w:rFonts w:ascii="Arial" w:eastAsia="Arial" w:hAnsi="Arial" w:cs="Arial"/>
                <w:b/>
                <w:sz w:val="16"/>
                <w:szCs w:val="16"/>
              </w:rPr>
              <w:t xml:space="preserve">D. POBLACION DIANA. </w:t>
            </w:r>
          </w:p>
        </w:tc>
        <w:tc>
          <w:tcPr>
            <w:tcW w:w="2977" w:type="dxa"/>
            <w:tcBorders>
              <w:bottom w:val="single" w:sz="4" w:space="0" w:color="000000"/>
            </w:tcBorders>
            <w:vAlign w:val="center"/>
          </w:tcPr>
          <w:p w14:paraId="2C9BF37C" w14:textId="77777777" w:rsidR="009D55C9" w:rsidRPr="00B732D2" w:rsidRDefault="00272799">
            <w:pPr>
              <w:ind w:left="0" w:hanging="2"/>
              <w:jc w:val="center"/>
              <w:rPr>
                <w:rFonts w:ascii="Arial" w:eastAsia="Arial" w:hAnsi="Arial" w:cs="Arial"/>
                <w:b/>
                <w:sz w:val="16"/>
                <w:szCs w:val="16"/>
              </w:rPr>
            </w:pPr>
            <w:r w:rsidRPr="00B732D2">
              <w:rPr>
                <w:rFonts w:ascii="Arial" w:eastAsia="Arial" w:hAnsi="Arial" w:cs="Arial"/>
                <w:b/>
                <w:sz w:val="16"/>
                <w:szCs w:val="16"/>
              </w:rPr>
              <w:t>3-6</w:t>
            </w:r>
          </w:p>
        </w:tc>
      </w:tr>
    </w:tbl>
    <w:p w14:paraId="126B1DCF" w14:textId="77777777" w:rsidR="009D55C9" w:rsidRDefault="009D55C9">
      <w:pPr>
        <w:ind w:left="0" w:hanging="2"/>
        <w:rPr>
          <w:rFonts w:ascii="Arial" w:eastAsia="Arial" w:hAnsi="Arial" w:cs="Arial"/>
          <w:sz w:val="18"/>
          <w:szCs w:val="18"/>
        </w:rPr>
      </w:pPr>
    </w:p>
    <w:p w14:paraId="326345DF" w14:textId="77777777" w:rsidR="009D55C9" w:rsidRDefault="005A57E0">
      <w:pPr>
        <w:spacing w:line="240" w:lineRule="auto"/>
        <w:ind w:left="0" w:hanging="2"/>
        <w:jc w:val="both"/>
      </w:pPr>
      <w:r>
        <w:rPr>
          <w:rFonts w:ascii="Arial" w:eastAsia="Arial" w:hAnsi="Arial" w:cs="Arial"/>
          <w:color w:val="000000"/>
          <w:sz w:val="20"/>
          <w:szCs w:val="20"/>
        </w:rPr>
        <w:t xml:space="preserve">La </w:t>
      </w:r>
      <w:r w:rsidRPr="00CC6B01">
        <w:rPr>
          <w:rFonts w:ascii="Arial" w:eastAsia="Arial" w:hAnsi="Arial" w:cs="Arial"/>
          <w:b/>
          <w:color w:val="000000"/>
          <w:sz w:val="20"/>
          <w:szCs w:val="20"/>
        </w:rPr>
        <w:t>población diana anual</w:t>
      </w:r>
      <w:r>
        <w:rPr>
          <w:rFonts w:ascii="Arial" w:eastAsia="Arial" w:hAnsi="Arial" w:cs="Arial"/>
          <w:color w:val="000000"/>
          <w:sz w:val="20"/>
          <w:szCs w:val="20"/>
        </w:rPr>
        <w:t xml:space="preserve"> de candidatos a tratamiento con </w:t>
      </w:r>
      <w:r w:rsidR="002E180F">
        <w:rPr>
          <w:rFonts w:ascii="Arial" w:eastAsia="Arial" w:hAnsi="Arial" w:cs="Arial"/>
          <w:color w:val="000000"/>
          <w:sz w:val="20"/>
          <w:szCs w:val="20"/>
        </w:rPr>
        <w:t>L</w:t>
      </w:r>
      <w:r>
        <w:rPr>
          <w:rFonts w:ascii="Arial" w:eastAsia="Arial" w:hAnsi="Arial" w:cs="Arial"/>
          <w:color w:val="000000"/>
          <w:sz w:val="20"/>
          <w:szCs w:val="20"/>
        </w:rPr>
        <w:t>ibmeldy</w:t>
      </w:r>
      <w:r w:rsidR="002E180F" w:rsidRPr="002E180F">
        <w:rPr>
          <w:rFonts w:ascii="Arial" w:eastAsia="Arial" w:hAnsi="Arial" w:cs="Arial"/>
          <w:color w:val="000000"/>
          <w:sz w:val="20"/>
          <w:szCs w:val="20"/>
          <w:vertAlign w:val="superscript"/>
        </w:rPr>
        <w:t>®</w:t>
      </w:r>
      <w:r>
        <w:rPr>
          <w:rFonts w:ascii="Arial" w:eastAsia="Arial" w:hAnsi="Arial" w:cs="Arial"/>
          <w:color w:val="000000"/>
          <w:sz w:val="20"/>
          <w:szCs w:val="20"/>
        </w:rPr>
        <w:t xml:space="preserve">, en pacientes con LDM-IT o LDM-JT presintomáticos o con síntomas precoces se estima que es de </w:t>
      </w:r>
      <w:r w:rsidR="00272799">
        <w:rPr>
          <w:rFonts w:ascii="Arial" w:eastAsia="Arial" w:hAnsi="Arial" w:cs="Arial"/>
          <w:b/>
          <w:color w:val="000000"/>
          <w:sz w:val="20"/>
          <w:szCs w:val="20"/>
        </w:rPr>
        <w:t>3-6</w:t>
      </w:r>
      <w:r>
        <w:rPr>
          <w:rFonts w:ascii="Arial" w:eastAsia="Arial" w:hAnsi="Arial" w:cs="Arial"/>
          <w:b/>
          <w:color w:val="000000"/>
          <w:sz w:val="20"/>
          <w:szCs w:val="20"/>
        </w:rPr>
        <w:t xml:space="preserve"> pacientes</w:t>
      </w:r>
      <w:r>
        <w:rPr>
          <w:rFonts w:ascii="Arial" w:eastAsia="Arial" w:hAnsi="Arial" w:cs="Arial"/>
          <w:color w:val="000000"/>
          <w:sz w:val="20"/>
          <w:szCs w:val="20"/>
        </w:rPr>
        <w:t xml:space="preserve"> en el ámbito estatal. </w:t>
      </w:r>
    </w:p>
    <w:p w14:paraId="257C5447" w14:textId="77777777" w:rsidR="002E180F" w:rsidRDefault="002E180F">
      <w:pPr>
        <w:ind w:left="0" w:hanging="2"/>
        <w:rPr>
          <w:rFonts w:ascii="Arial" w:eastAsia="Arial" w:hAnsi="Arial" w:cs="Arial"/>
          <w:color w:val="000000"/>
          <w:sz w:val="20"/>
          <w:szCs w:val="20"/>
        </w:rPr>
      </w:pPr>
    </w:p>
    <w:p w14:paraId="2DBA0096" w14:textId="77777777" w:rsidR="00881543" w:rsidRDefault="00881543">
      <w:pPr>
        <w:ind w:left="0" w:hanging="2"/>
        <w:rPr>
          <w:rFonts w:ascii="Arial" w:eastAsia="Arial" w:hAnsi="Arial" w:cs="Arial"/>
          <w:color w:val="000000"/>
          <w:sz w:val="20"/>
          <w:szCs w:val="20"/>
        </w:rPr>
      </w:pPr>
    </w:p>
    <w:p w14:paraId="53B53755"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7.4.2 Estudios publicados de impacto presupuestario</w:t>
      </w:r>
    </w:p>
    <w:p w14:paraId="6A18A499" w14:textId="77777777" w:rsidR="009D55C9" w:rsidRDefault="009D55C9">
      <w:pPr>
        <w:ind w:left="0" w:hanging="2"/>
        <w:rPr>
          <w:rFonts w:ascii="Arial" w:eastAsia="Arial" w:hAnsi="Arial" w:cs="Arial"/>
          <w:sz w:val="20"/>
          <w:szCs w:val="20"/>
        </w:rPr>
      </w:pPr>
    </w:p>
    <w:p w14:paraId="4E6F70ED" w14:textId="77777777" w:rsidR="009D55C9" w:rsidRDefault="00B732D2">
      <w:pPr>
        <w:ind w:left="0" w:hanging="2"/>
        <w:jc w:val="both"/>
        <w:rPr>
          <w:rFonts w:ascii="Arial" w:eastAsia="Arial" w:hAnsi="Arial" w:cs="Arial"/>
          <w:sz w:val="20"/>
          <w:szCs w:val="20"/>
        </w:rPr>
      </w:pPr>
      <w:r w:rsidRPr="00B732D2">
        <w:rPr>
          <w:rFonts w:ascii="Arial" w:eastAsia="Arial" w:hAnsi="Arial" w:cs="Arial"/>
          <w:sz w:val="20"/>
          <w:szCs w:val="20"/>
        </w:rPr>
        <w:t xml:space="preserve">No se </w:t>
      </w:r>
      <w:r>
        <w:rPr>
          <w:rFonts w:ascii="Arial" w:eastAsia="Arial" w:hAnsi="Arial" w:cs="Arial"/>
          <w:sz w:val="20"/>
          <w:szCs w:val="20"/>
        </w:rPr>
        <w:t>han encontrado estudios de impacto presupuestario para este fármaco.</w:t>
      </w:r>
    </w:p>
    <w:p w14:paraId="244C0ACB" w14:textId="77777777" w:rsidR="00B732D2" w:rsidRDefault="00B732D2">
      <w:pPr>
        <w:ind w:left="0" w:hanging="2"/>
        <w:jc w:val="both"/>
        <w:rPr>
          <w:rFonts w:ascii="Arial" w:eastAsia="Arial" w:hAnsi="Arial" w:cs="Arial"/>
          <w:sz w:val="20"/>
          <w:szCs w:val="20"/>
        </w:rPr>
      </w:pPr>
    </w:p>
    <w:p w14:paraId="1446C74B" w14:textId="77777777" w:rsidR="00881543" w:rsidRDefault="00881543">
      <w:pPr>
        <w:ind w:left="0" w:hanging="2"/>
        <w:jc w:val="both"/>
        <w:rPr>
          <w:rFonts w:ascii="Arial" w:eastAsia="Arial" w:hAnsi="Arial" w:cs="Arial"/>
          <w:sz w:val="20"/>
          <w:szCs w:val="20"/>
        </w:rPr>
      </w:pPr>
    </w:p>
    <w:p w14:paraId="7A584EE6"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7.4.3. Estimación propia de impacto presupuestario y beneficios en salud</w:t>
      </w:r>
    </w:p>
    <w:p w14:paraId="28D7D8C6" w14:textId="77777777" w:rsidR="009D55C9" w:rsidRDefault="009D55C9">
      <w:pPr>
        <w:ind w:left="0" w:hanging="2"/>
        <w:jc w:val="both"/>
        <w:rPr>
          <w:rFonts w:ascii="Arial" w:eastAsia="Arial" w:hAnsi="Arial" w:cs="Arial"/>
          <w:sz w:val="20"/>
          <w:szCs w:val="20"/>
        </w:rPr>
      </w:pPr>
    </w:p>
    <w:p w14:paraId="7BA3EA49" w14:textId="77777777" w:rsidR="009D55C9" w:rsidRDefault="005A57E0">
      <w:pPr>
        <w:pBdr>
          <w:top w:val="single" w:sz="4" w:space="0"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7.4.3.1. Estimación propia de impacto presupuestario y beneficios en salud en el hospital</w:t>
      </w:r>
    </w:p>
    <w:p w14:paraId="5A5FE1DD" w14:textId="77777777" w:rsidR="00FE0B23" w:rsidRDefault="00FE0B23">
      <w:pPr>
        <w:ind w:left="0" w:hanging="2"/>
        <w:jc w:val="both"/>
        <w:rPr>
          <w:rFonts w:ascii="Arial" w:eastAsia="Arial" w:hAnsi="Arial" w:cs="Arial"/>
          <w:sz w:val="20"/>
          <w:szCs w:val="20"/>
          <w:highlight w:val="yellow"/>
        </w:rPr>
      </w:pPr>
    </w:p>
    <w:p w14:paraId="2B68B221" w14:textId="77777777" w:rsidR="009430A9" w:rsidRPr="009430A9" w:rsidRDefault="009430A9">
      <w:pPr>
        <w:ind w:left="0" w:hanging="2"/>
        <w:jc w:val="both"/>
        <w:rPr>
          <w:rFonts w:ascii="Arial" w:eastAsia="Arial" w:hAnsi="Arial" w:cs="Arial"/>
          <w:sz w:val="20"/>
          <w:szCs w:val="20"/>
        </w:rPr>
      </w:pPr>
      <w:r w:rsidRPr="009430A9">
        <w:rPr>
          <w:rFonts w:ascii="Arial" w:eastAsia="Arial" w:hAnsi="Arial" w:cs="Arial"/>
          <w:sz w:val="20"/>
          <w:szCs w:val="20"/>
        </w:rPr>
        <w:t>Debido a la baja prevalencia, analizamos únicamente el impacto presupuestario a nivel estatal.</w:t>
      </w:r>
    </w:p>
    <w:p w14:paraId="6A866378" w14:textId="77777777" w:rsidR="009D55C9" w:rsidRDefault="009D55C9">
      <w:pPr>
        <w:ind w:left="0" w:hanging="2"/>
        <w:rPr>
          <w:rFonts w:ascii="Arial" w:eastAsia="Arial" w:hAnsi="Arial" w:cs="Arial"/>
          <w:sz w:val="20"/>
          <w:szCs w:val="20"/>
        </w:rPr>
      </w:pPr>
    </w:p>
    <w:p w14:paraId="40A2D75F"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7.4.3.2. Estimación propia de impacto presupuestario y beneficios en salud en atención primaria</w:t>
      </w:r>
    </w:p>
    <w:p w14:paraId="422D3D1D" w14:textId="77777777" w:rsidR="009D55C9" w:rsidRDefault="009D55C9">
      <w:pPr>
        <w:ind w:left="0" w:hanging="2"/>
        <w:rPr>
          <w:rFonts w:ascii="Arial" w:eastAsia="Arial" w:hAnsi="Arial" w:cs="Arial"/>
          <w:sz w:val="20"/>
          <w:szCs w:val="20"/>
        </w:rPr>
      </w:pPr>
    </w:p>
    <w:p w14:paraId="5C8E6710" w14:textId="77777777" w:rsidR="009D55C9" w:rsidRPr="009430A9" w:rsidRDefault="009430A9" w:rsidP="009430A9">
      <w:pPr>
        <w:ind w:left="0" w:hanging="2"/>
        <w:rPr>
          <w:rFonts w:ascii="Arial" w:eastAsia="Arial" w:hAnsi="Arial" w:cs="Arial"/>
          <w:sz w:val="20"/>
          <w:szCs w:val="20"/>
        </w:rPr>
      </w:pPr>
      <w:r w:rsidRPr="009430A9">
        <w:rPr>
          <w:rFonts w:ascii="Arial" w:eastAsia="Arial" w:hAnsi="Arial" w:cs="Arial"/>
          <w:sz w:val="20"/>
          <w:szCs w:val="20"/>
        </w:rPr>
        <w:t>No procede</w:t>
      </w:r>
      <w:r>
        <w:rPr>
          <w:rFonts w:ascii="Arial" w:eastAsia="Arial" w:hAnsi="Arial" w:cs="Arial"/>
          <w:sz w:val="20"/>
          <w:szCs w:val="20"/>
        </w:rPr>
        <w:t>.</w:t>
      </w:r>
    </w:p>
    <w:p w14:paraId="5E14AF5F" w14:textId="77777777" w:rsidR="009430A9" w:rsidRPr="00881543" w:rsidRDefault="009430A9" w:rsidP="009430A9">
      <w:pPr>
        <w:ind w:left="0" w:hanging="2"/>
        <w:jc w:val="both"/>
        <w:rPr>
          <w:rFonts w:ascii="Arial" w:eastAsia="Arial" w:hAnsi="Arial" w:cs="Arial"/>
          <w:sz w:val="20"/>
        </w:rPr>
      </w:pPr>
    </w:p>
    <w:p w14:paraId="5A98B231" w14:textId="77777777" w:rsidR="009D55C9" w:rsidRDefault="005A57E0">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 xml:space="preserve">7.4.3.3. Estimación propia de impacto presupuestario y beneficios en salud a nivel autonómico/estatal </w:t>
      </w:r>
    </w:p>
    <w:p w14:paraId="2EF8E41C" w14:textId="77777777" w:rsidR="009D55C9" w:rsidRPr="009430A9" w:rsidRDefault="009D55C9">
      <w:pPr>
        <w:ind w:left="0" w:hanging="2"/>
        <w:jc w:val="right"/>
        <w:rPr>
          <w:rFonts w:ascii="Arial" w:eastAsia="Arial" w:hAnsi="Arial" w:cs="Arial"/>
          <w:sz w:val="20"/>
        </w:rPr>
      </w:pPr>
    </w:p>
    <w:tbl>
      <w:tblPr>
        <w:tblStyle w:val="affff5"/>
        <w:tblW w:w="90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0"/>
        <w:gridCol w:w="1703"/>
        <w:gridCol w:w="2128"/>
        <w:gridCol w:w="1602"/>
        <w:gridCol w:w="2088"/>
      </w:tblGrid>
      <w:tr w:rsidR="009430A9" w14:paraId="31D1D249" w14:textId="77777777" w:rsidTr="00422146">
        <w:trPr>
          <w:trHeight w:val="377"/>
        </w:trPr>
        <w:tc>
          <w:tcPr>
            <w:tcW w:w="9011" w:type="dxa"/>
            <w:gridSpan w:val="5"/>
            <w:tcBorders>
              <w:bottom w:val="single" w:sz="4" w:space="0" w:color="000000"/>
            </w:tcBorders>
            <w:shd w:val="clear" w:color="auto" w:fill="CCFFCC"/>
          </w:tcPr>
          <w:p w14:paraId="1D53C5A3" w14:textId="77777777" w:rsidR="009430A9" w:rsidRDefault="009430A9" w:rsidP="00786169">
            <w:pPr>
              <w:pBdr>
                <w:top w:val="single" w:sz="4" w:space="0" w:color="000000"/>
                <w:left w:val="single" w:sz="4" w:space="4" w:color="000000"/>
                <w:right w:val="single" w:sz="4" w:space="4" w:color="000000"/>
              </w:pBdr>
              <w:ind w:left="0" w:hanging="2"/>
              <w:jc w:val="both"/>
              <w:rPr>
                <w:rFonts w:ascii="Arial" w:eastAsia="Arial" w:hAnsi="Arial" w:cs="Arial"/>
                <w:sz w:val="16"/>
                <w:szCs w:val="16"/>
              </w:rPr>
            </w:pPr>
            <w:r>
              <w:rPr>
                <w:rFonts w:ascii="Arial" w:eastAsia="Arial" w:hAnsi="Arial" w:cs="Arial"/>
                <w:b/>
                <w:sz w:val="18"/>
                <w:szCs w:val="18"/>
              </w:rPr>
              <w:t>Tabla 7.4.3.1.1. Estimación propia de impacto presupuestario y beneficios en salud anuales en el hospital en el caso de variables de eficacia continuas</w:t>
            </w:r>
          </w:p>
        </w:tc>
      </w:tr>
      <w:tr w:rsidR="009430A9" w14:paraId="14F28CB8" w14:textId="77777777" w:rsidTr="00422146">
        <w:trPr>
          <w:trHeight w:val="531"/>
        </w:trPr>
        <w:tc>
          <w:tcPr>
            <w:tcW w:w="9011" w:type="dxa"/>
            <w:gridSpan w:val="5"/>
            <w:tcBorders>
              <w:bottom w:val="single" w:sz="4" w:space="0" w:color="000000"/>
            </w:tcBorders>
          </w:tcPr>
          <w:p w14:paraId="597D0CB7"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Medicamento e indicación:</w:t>
            </w:r>
            <w:r>
              <w:rPr>
                <w:rFonts w:ascii="Arial" w:eastAsia="Arial" w:hAnsi="Arial" w:cs="Arial"/>
                <w:sz w:val="16"/>
                <w:szCs w:val="16"/>
              </w:rPr>
              <w:t xml:space="preserve"> Libmeldy en LDM.</w:t>
            </w:r>
          </w:p>
          <w:p w14:paraId="2D5DAC49" w14:textId="77777777" w:rsidR="009430A9" w:rsidRPr="00731CF0" w:rsidRDefault="009430A9" w:rsidP="00786169">
            <w:pPr>
              <w:ind w:left="0" w:hanging="2"/>
              <w:jc w:val="both"/>
              <w:rPr>
                <w:rFonts w:ascii="Arial" w:eastAsia="Arial" w:hAnsi="Arial" w:cs="Arial"/>
                <w:sz w:val="16"/>
                <w:szCs w:val="16"/>
              </w:rPr>
            </w:pPr>
            <w:r>
              <w:rPr>
                <w:rFonts w:ascii="Arial" w:eastAsia="Arial" w:hAnsi="Arial" w:cs="Arial"/>
                <w:b/>
                <w:sz w:val="16"/>
                <w:szCs w:val="16"/>
              </w:rPr>
              <w:t xml:space="preserve">Variable evaluada y comparador: </w:t>
            </w:r>
            <w:r>
              <w:rPr>
                <w:rFonts w:ascii="Arial" w:eastAsia="Arial" w:hAnsi="Arial" w:cs="Arial"/>
                <w:sz w:val="16"/>
                <w:szCs w:val="16"/>
              </w:rPr>
              <w:t>puntuación en la escala MFMG a los 2 años en los pacientes con LDM-IT y con LDM-JT.</w:t>
            </w:r>
          </w:p>
          <w:p w14:paraId="7DA74442" w14:textId="77777777" w:rsidR="009430A9" w:rsidRDefault="009430A9" w:rsidP="00786169">
            <w:pPr>
              <w:ind w:left="0" w:hanging="2"/>
              <w:rPr>
                <w:rFonts w:ascii="Arial" w:eastAsia="Arial" w:hAnsi="Arial" w:cs="Arial"/>
                <w:sz w:val="20"/>
                <w:szCs w:val="20"/>
              </w:rPr>
            </w:pPr>
            <w:r>
              <w:rPr>
                <w:rFonts w:ascii="Arial" w:eastAsia="Arial" w:hAnsi="Arial" w:cs="Arial"/>
                <w:b/>
                <w:sz w:val="16"/>
                <w:szCs w:val="16"/>
              </w:rPr>
              <w:t xml:space="preserve">Escenario y ámbito: </w:t>
            </w:r>
            <w:r w:rsidRPr="00731CF0">
              <w:rPr>
                <w:rFonts w:ascii="Arial" w:eastAsia="Arial" w:hAnsi="Arial" w:cs="Arial"/>
                <w:sz w:val="16"/>
                <w:szCs w:val="16"/>
              </w:rPr>
              <w:t>estatal.</w:t>
            </w:r>
          </w:p>
        </w:tc>
      </w:tr>
      <w:tr w:rsidR="009430A9" w14:paraId="7ABB5CCE" w14:textId="77777777" w:rsidTr="00422146">
        <w:trPr>
          <w:trHeight w:val="546"/>
        </w:trPr>
        <w:tc>
          <w:tcPr>
            <w:tcW w:w="1490" w:type="dxa"/>
            <w:tcBorders>
              <w:top w:val="single" w:sz="4" w:space="0" w:color="000000"/>
            </w:tcBorders>
            <w:shd w:val="clear" w:color="auto" w:fill="D9D9D9"/>
          </w:tcPr>
          <w:p w14:paraId="380D225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Nº de pacientes</w:t>
            </w:r>
          </w:p>
        </w:tc>
        <w:tc>
          <w:tcPr>
            <w:tcW w:w="1703" w:type="dxa"/>
            <w:tcBorders>
              <w:top w:val="single" w:sz="4" w:space="0" w:color="000000"/>
            </w:tcBorders>
            <w:shd w:val="clear" w:color="auto" w:fill="D9D9D9"/>
          </w:tcPr>
          <w:p w14:paraId="6AEA7575"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Coste incremental por paciente</w:t>
            </w:r>
          </w:p>
        </w:tc>
        <w:tc>
          <w:tcPr>
            <w:tcW w:w="2128" w:type="dxa"/>
            <w:tcBorders>
              <w:top w:val="single" w:sz="4" w:space="0" w:color="000000"/>
            </w:tcBorders>
            <w:shd w:val="clear" w:color="auto" w:fill="D9D9D9"/>
          </w:tcPr>
          <w:p w14:paraId="3FA9094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Diferencia de eficacia por paciente entre medicamentos estudiados</w:t>
            </w:r>
          </w:p>
        </w:tc>
        <w:tc>
          <w:tcPr>
            <w:tcW w:w="1602" w:type="dxa"/>
            <w:tcBorders>
              <w:top w:val="single" w:sz="4" w:space="0" w:color="000000"/>
            </w:tcBorders>
            <w:shd w:val="clear" w:color="auto" w:fill="D9D9D9"/>
          </w:tcPr>
          <w:p w14:paraId="52D4F747"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Impacto económico </w:t>
            </w:r>
          </w:p>
        </w:tc>
        <w:tc>
          <w:tcPr>
            <w:tcW w:w="2088" w:type="dxa"/>
            <w:tcBorders>
              <w:top w:val="single" w:sz="4" w:space="0" w:color="000000"/>
            </w:tcBorders>
            <w:shd w:val="clear" w:color="auto" w:fill="D9D9D9"/>
          </w:tcPr>
          <w:p w14:paraId="4F1F3183"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Unidades de eficacia </w:t>
            </w:r>
            <w:r w:rsidR="00422146">
              <w:rPr>
                <w:rFonts w:ascii="Arial" w:eastAsia="Arial" w:hAnsi="Arial" w:cs="Arial"/>
                <w:sz w:val="16"/>
                <w:szCs w:val="16"/>
              </w:rPr>
              <w:t>(escala MFGM)</w:t>
            </w:r>
          </w:p>
        </w:tc>
      </w:tr>
      <w:tr w:rsidR="009430A9" w14:paraId="577F9D02" w14:textId="77777777" w:rsidTr="00422146">
        <w:trPr>
          <w:trHeight w:val="220"/>
        </w:trPr>
        <w:tc>
          <w:tcPr>
            <w:tcW w:w="1490" w:type="dxa"/>
            <w:vAlign w:val="center"/>
          </w:tcPr>
          <w:p w14:paraId="00E45276"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2-4 (LDM-IT)</w:t>
            </w:r>
          </w:p>
        </w:tc>
        <w:tc>
          <w:tcPr>
            <w:tcW w:w="1703" w:type="dxa"/>
            <w:vAlign w:val="center"/>
          </w:tcPr>
          <w:p w14:paraId="523C23A7"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2,5 M €</w:t>
            </w:r>
          </w:p>
        </w:tc>
        <w:tc>
          <w:tcPr>
            <w:tcW w:w="2128" w:type="dxa"/>
            <w:vAlign w:val="center"/>
          </w:tcPr>
          <w:p w14:paraId="68308CA4" w14:textId="77777777" w:rsidR="009430A9" w:rsidRPr="00770615" w:rsidRDefault="00AA26D6"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71,0</w:t>
            </w:r>
          </w:p>
        </w:tc>
        <w:tc>
          <w:tcPr>
            <w:tcW w:w="1602" w:type="dxa"/>
            <w:vAlign w:val="center"/>
          </w:tcPr>
          <w:p w14:paraId="2990661E"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5 - 10 M €</w:t>
            </w:r>
          </w:p>
        </w:tc>
        <w:tc>
          <w:tcPr>
            <w:tcW w:w="2088" w:type="dxa"/>
            <w:vAlign w:val="center"/>
          </w:tcPr>
          <w:p w14:paraId="23AA4E03" w14:textId="77777777" w:rsidR="009430A9" w:rsidRDefault="009430A9" w:rsidP="00422146">
            <w:pPr>
              <w:spacing w:line="240" w:lineRule="auto"/>
              <w:ind w:left="0" w:hanging="2"/>
              <w:jc w:val="center"/>
              <w:rPr>
                <w:rFonts w:ascii="Arial" w:eastAsia="Arial" w:hAnsi="Arial" w:cs="Arial"/>
                <w:sz w:val="16"/>
                <w:szCs w:val="16"/>
              </w:rPr>
            </w:pPr>
            <w:r>
              <w:rPr>
                <w:rFonts w:ascii="Arial" w:eastAsia="Arial" w:hAnsi="Arial" w:cs="Arial"/>
                <w:sz w:val="16"/>
                <w:szCs w:val="16"/>
              </w:rPr>
              <w:t xml:space="preserve">142-284 </w:t>
            </w:r>
          </w:p>
        </w:tc>
      </w:tr>
      <w:tr w:rsidR="009430A9" w14:paraId="2C306F2E" w14:textId="77777777" w:rsidTr="00422146">
        <w:trPr>
          <w:trHeight w:val="249"/>
        </w:trPr>
        <w:tc>
          <w:tcPr>
            <w:tcW w:w="1490" w:type="dxa"/>
            <w:tcBorders>
              <w:bottom w:val="single" w:sz="4" w:space="0" w:color="000000"/>
            </w:tcBorders>
            <w:vAlign w:val="center"/>
          </w:tcPr>
          <w:p w14:paraId="55B74059"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1-2 (LDM-JT)</w:t>
            </w:r>
          </w:p>
        </w:tc>
        <w:tc>
          <w:tcPr>
            <w:tcW w:w="1703" w:type="dxa"/>
            <w:tcBorders>
              <w:bottom w:val="single" w:sz="4" w:space="0" w:color="000000"/>
            </w:tcBorders>
            <w:vAlign w:val="center"/>
          </w:tcPr>
          <w:p w14:paraId="722C8260"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M €</w:t>
            </w:r>
          </w:p>
        </w:tc>
        <w:tc>
          <w:tcPr>
            <w:tcW w:w="2128" w:type="dxa"/>
            <w:tcBorders>
              <w:bottom w:val="single" w:sz="4" w:space="0" w:color="000000"/>
            </w:tcBorders>
            <w:vAlign w:val="center"/>
          </w:tcPr>
          <w:p w14:paraId="30929A3B" w14:textId="77777777" w:rsidR="009430A9" w:rsidRPr="00770615" w:rsidRDefault="009430A9" w:rsidP="00786169">
            <w:pPr>
              <w:ind w:left="0" w:hanging="2"/>
              <w:jc w:val="center"/>
              <w:rPr>
                <w:rFonts w:ascii="Arial" w:eastAsia="Arial" w:hAnsi="Arial" w:cs="Arial"/>
                <w:sz w:val="16"/>
                <w:szCs w:val="16"/>
              </w:rPr>
            </w:pPr>
            <w:r w:rsidRPr="00770615">
              <w:rPr>
                <w:rFonts w:ascii="Arial" w:eastAsia="Arial" w:hAnsi="Arial" w:cs="Arial"/>
                <w:sz w:val="16"/>
                <w:szCs w:val="16"/>
              </w:rPr>
              <w:t>52,4</w:t>
            </w:r>
          </w:p>
        </w:tc>
        <w:tc>
          <w:tcPr>
            <w:tcW w:w="1602" w:type="dxa"/>
            <w:tcBorders>
              <w:bottom w:val="single" w:sz="4" w:space="0" w:color="000000"/>
            </w:tcBorders>
            <w:vAlign w:val="center"/>
          </w:tcPr>
          <w:p w14:paraId="03339EEE"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2,5 - 5 M €</w:t>
            </w:r>
          </w:p>
        </w:tc>
        <w:tc>
          <w:tcPr>
            <w:tcW w:w="2088" w:type="dxa"/>
            <w:tcBorders>
              <w:bottom w:val="single" w:sz="4" w:space="0" w:color="000000"/>
            </w:tcBorders>
            <w:vAlign w:val="center"/>
          </w:tcPr>
          <w:p w14:paraId="6E64CD9A" w14:textId="77777777" w:rsidR="009430A9" w:rsidRDefault="009430A9" w:rsidP="00422146">
            <w:pPr>
              <w:ind w:left="0" w:hanging="2"/>
              <w:jc w:val="center"/>
              <w:rPr>
                <w:rFonts w:ascii="Arial" w:eastAsia="Arial" w:hAnsi="Arial" w:cs="Arial"/>
                <w:sz w:val="16"/>
                <w:szCs w:val="16"/>
              </w:rPr>
            </w:pPr>
            <w:r>
              <w:rPr>
                <w:rFonts w:ascii="Arial" w:eastAsia="Arial" w:hAnsi="Arial" w:cs="Arial"/>
                <w:sz w:val="16"/>
                <w:szCs w:val="16"/>
              </w:rPr>
              <w:t xml:space="preserve">52-105 </w:t>
            </w:r>
          </w:p>
        </w:tc>
      </w:tr>
    </w:tbl>
    <w:p w14:paraId="59260735" w14:textId="77777777" w:rsidR="009430A9" w:rsidRPr="00422146" w:rsidRDefault="009430A9" w:rsidP="009430A9">
      <w:pPr>
        <w:ind w:left="0" w:hanging="2"/>
        <w:rPr>
          <w:rFonts w:ascii="Arial" w:eastAsia="Arial" w:hAnsi="Arial" w:cs="Arial"/>
          <w:sz w:val="20"/>
        </w:rPr>
      </w:pPr>
    </w:p>
    <w:p w14:paraId="22EF71BE" w14:textId="77777777" w:rsidR="009430A9" w:rsidRDefault="009430A9" w:rsidP="009430A9">
      <w:pPr>
        <w:ind w:left="0" w:hanging="2"/>
        <w:jc w:val="both"/>
        <w:rPr>
          <w:rFonts w:ascii="Arial" w:eastAsia="Arial" w:hAnsi="Arial" w:cs="Arial"/>
          <w:sz w:val="20"/>
          <w:szCs w:val="20"/>
        </w:rPr>
      </w:pPr>
      <w:r w:rsidRPr="009430A9">
        <w:rPr>
          <w:rFonts w:ascii="Arial" w:eastAsia="Arial" w:hAnsi="Arial" w:cs="Arial"/>
          <w:b/>
          <w:sz w:val="20"/>
          <w:szCs w:val="20"/>
        </w:rPr>
        <w:t>Interpretación</w:t>
      </w:r>
      <w:r>
        <w:rPr>
          <w:rFonts w:ascii="Arial" w:eastAsia="Arial" w:hAnsi="Arial" w:cs="Arial"/>
          <w:sz w:val="20"/>
          <w:szCs w:val="20"/>
        </w:rPr>
        <w:t xml:space="preserve">. </w:t>
      </w:r>
    </w:p>
    <w:p w14:paraId="56EB58AB" w14:textId="77777777" w:rsidR="009430A9" w:rsidRDefault="009430A9" w:rsidP="009430A9">
      <w:pPr>
        <w:ind w:left="0" w:hanging="2"/>
        <w:jc w:val="both"/>
        <w:rPr>
          <w:rFonts w:ascii="Arial" w:eastAsia="Arial" w:hAnsi="Arial" w:cs="Arial"/>
          <w:sz w:val="20"/>
          <w:szCs w:val="20"/>
        </w:rPr>
      </w:pPr>
      <w:r>
        <w:rPr>
          <w:rFonts w:ascii="Arial" w:eastAsia="Arial" w:hAnsi="Arial" w:cs="Arial"/>
          <w:sz w:val="20"/>
          <w:szCs w:val="20"/>
        </w:rPr>
        <w:t>Se estima que durante un año serán tratados entre 3 y 6 pacientes con el nuevo  fármaco. El coste adicional para</w:t>
      </w:r>
      <w:r w:rsidR="00AA26D6">
        <w:rPr>
          <w:rFonts w:ascii="Arial" w:eastAsia="Arial" w:hAnsi="Arial" w:cs="Arial"/>
          <w:sz w:val="20"/>
          <w:szCs w:val="20"/>
        </w:rPr>
        <w:t xml:space="preserve"> el SNS será de entre 7,5 y 15 millones de </w:t>
      </w:r>
      <w:r>
        <w:rPr>
          <w:rFonts w:ascii="Arial" w:eastAsia="Arial" w:hAnsi="Arial" w:cs="Arial"/>
          <w:sz w:val="20"/>
          <w:szCs w:val="20"/>
        </w:rPr>
        <w:t xml:space="preserve">€. El beneficio global que se obtendrá será de entre 194 y 389 unidades adicionales en la escala MFMG (escala de función motora gruesa). </w:t>
      </w:r>
    </w:p>
    <w:p w14:paraId="1DB57F60" w14:textId="77777777" w:rsidR="009430A9" w:rsidRDefault="009430A9" w:rsidP="009430A9">
      <w:pPr>
        <w:ind w:left="0" w:hanging="2"/>
        <w:rPr>
          <w:rFonts w:ascii="Arial" w:eastAsia="Arial" w:hAnsi="Arial" w:cs="Arial"/>
          <w:sz w:val="20"/>
          <w:szCs w:val="20"/>
        </w:rPr>
      </w:pPr>
    </w:p>
    <w:tbl>
      <w:tblPr>
        <w:tblStyle w:val="affff6"/>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729"/>
        <w:gridCol w:w="1729"/>
        <w:gridCol w:w="1729"/>
        <w:gridCol w:w="2086"/>
      </w:tblGrid>
      <w:tr w:rsidR="009430A9" w14:paraId="0E33AF74" w14:textId="77777777" w:rsidTr="00786169">
        <w:tc>
          <w:tcPr>
            <w:tcW w:w="9001" w:type="dxa"/>
            <w:gridSpan w:val="5"/>
            <w:shd w:val="clear" w:color="auto" w:fill="CCFFCC"/>
          </w:tcPr>
          <w:p w14:paraId="56E444E3" w14:textId="77777777" w:rsidR="009430A9" w:rsidRDefault="009430A9" w:rsidP="00786169">
            <w:pPr>
              <w:ind w:left="0" w:hanging="2"/>
              <w:jc w:val="both"/>
              <w:rPr>
                <w:rFonts w:ascii="Arial" w:eastAsia="Arial" w:hAnsi="Arial" w:cs="Arial"/>
                <w:sz w:val="16"/>
                <w:szCs w:val="16"/>
              </w:rPr>
            </w:pPr>
            <w:r>
              <w:rPr>
                <w:rFonts w:ascii="Arial" w:eastAsia="Arial" w:hAnsi="Arial" w:cs="Arial"/>
                <w:b/>
                <w:sz w:val="18"/>
                <w:szCs w:val="18"/>
              </w:rPr>
              <w:t>Tabla 7.4.3.1.2. Estimación propia de impacto presupuestario y beneficios en salud en el hospital en el caso de variables de eficacia binarias</w:t>
            </w:r>
          </w:p>
        </w:tc>
      </w:tr>
      <w:tr w:rsidR="009430A9" w14:paraId="4B7924A8" w14:textId="77777777" w:rsidTr="00786169">
        <w:trPr>
          <w:trHeight w:val="575"/>
        </w:trPr>
        <w:tc>
          <w:tcPr>
            <w:tcW w:w="9001" w:type="dxa"/>
            <w:gridSpan w:val="5"/>
          </w:tcPr>
          <w:p w14:paraId="6FDEB9B3"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 xml:space="preserve">Medicamento e indicación: </w:t>
            </w:r>
            <w:r>
              <w:rPr>
                <w:rFonts w:ascii="Arial" w:eastAsia="Arial" w:hAnsi="Arial" w:cs="Arial"/>
                <w:sz w:val="16"/>
                <w:szCs w:val="16"/>
              </w:rPr>
              <w:t>Libmeldy en LDM.</w:t>
            </w:r>
          </w:p>
          <w:p w14:paraId="4E86E995"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 xml:space="preserve">Variable evaluada y comparador: </w:t>
            </w:r>
            <w:r w:rsidRPr="00F6426D">
              <w:rPr>
                <w:rFonts w:ascii="Arial" w:eastAsia="Arial" w:hAnsi="Arial" w:cs="Arial"/>
                <w:sz w:val="16"/>
                <w:szCs w:val="16"/>
              </w:rPr>
              <w:t>supervivencia a los tres años</w:t>
            </w:r>
          </w:p>
          <w:p w14:paraId="28BBE627" w14:textId="77777777" w:rsidR="009430A9" w:rsidRDefault="009430A9" w:rsidP="00786169">
            <w:pPr>
              <w:ind w:left="0" w:hanging="2"/>
              <w:rPr>
                <w:rFonts w:ascii="Arial" w:eastAsia="Arial" w:hAnsi="Arial" w:cs="Arial"/>
                <w:sz w:val="16"/>
                <w:szCs w:val="16"/>
              </w:rPr>
            </w:pPr>
            <w:r>
              <w:rPr>
                <w:rFonts w:ascii="Arial" w:eastAsia="Arial" w:hAnsi="Arial" w:cs="Arial"/>
                <w:b/>
                <w:sz w:val="16"/>
                <w:szCs w:val="16"/>
              </w:rPr>
              <w:t xml:space="preserve">Escenario y ámbito: </w:t>
            </w:r>
            <w:r>
              <w:rPr>
                <w:rFonts w:ascii="Arial" w:eastAsia="Arial" w:hAnsi="Arial" w:cs="Arial"/>
                <w:sz w:val="16"/>
                <w:szCs w:val="16"/>
              </w:rPr>
              <w:t xml:space="preserve">estatal </w:t>
            </w:r>
          </w:p>
        </w:tc>
      </w:tr>
      <w:tr w:rsidR="009430A9" w14:paraId="0A586E52" w14:textId="77777777" w:rsidTr="00786169">
        <w:tc>
          <w:tcPr>
            <w:tcW w:w="1728" w:type="dxa"/>
            <w:shd w:val="clear" w:color="auto" w:fill="D9D9D9"/>
          </w:tcPr>
          <w:p w14:paraId="01802D9B"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Nº de pacientes</w:t>
            </w:r>
          </w:p>
        </w:tc>
        <w:tc>
          <w:tcPr>
            <w:tcW w:w="1729" w:type="dxa"/>
            <w:shd w:val="clear" w:color="auto" w:fill="D9D9D9"/>
          </w:tcPr>
          <w:p w14:paraId="2D624E5B"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Coste incremental por paciente</w:t>
            </w:r>
          </w:p>
        </w:tc>
        <w:tc>
          <w:tcPr>
            <w:tcW w:w="1729" w:type="dxa"/>
            <w:shd w:val="clear" w:color="auto" w:fill="D9D9D9"/>
          </w:tcPr>
          <w:p w14:paraId="2F64B1A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NNT</w:t>
            </w:r>
          </w:p>
        </w:tc>
        <w:tc>
          <w:tcPr>
            <w:tcW w:w="1729" w:type="dxa"/>
            <w:shd w:val="clear" w:color="auto" w:fill="D9D9D9"/>
          </w:tcPr>
          <w:p w14:paraId="44FF5826"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Impacto económico </w:t>
            </w:r>
          </w:p>
        </w:tc>
        <w:tc>
          <w:tcPr>
            <w:tcW w:w="2086" w:type="dxa"/>
            <w:shd w:val="clear" w:color="auto" w:fill="D9D9D9"/>
          </w:tcPr>
          <w:p w14:paraId="12E58628"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 xml:space="preserve">Unidades de eficacia </w:t>
            </w:r>
          </w:p>
        </w:tc>
      </w:tr>
      <w:tr w:rsidR="009430A9" w14:paraId="49FB65F1" w14:textId="77777777" w:rsidTr="00786169">
        <w:trPr>
          <w:trHeight w:val="314"/>
        </w:trPr>
        <w:tc>
          <w:tcPr>
            <w:tcW w:w="1728" w:type="dxa"/>
            <w:tcBorders>
              <w:bottom w:val="single" w:sz="4" w:space="0" w:color="000000"/>
            </w:tcBorders>
            <w:vAlign w:val="center"/>
          </w:tcPr>
          <w:p w14:paraId="7D8D05B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2-4 (LDM-IT)</w:t>
            </w:r>
          </w:p>
        </w:tc>
        <w:tc>
          <w:tcPr>
            <w:tcW w:w="1729" w:type="dxa"/>
            <w:tcBorders>
              <w:bottom w:val="single" w:sz="4" w:space="0" w:color="000000"/>
            </w:tcBorders>
            <w:vAlign w:val="center"/>
          </w:tcPr>
          <w:p w14:paraId="26206990"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M €</w:t>
            </w:r>
          </w:p>
        </w:tc>
        <w:tc>
          <w:tcPr>
            <w:tcW w:w="1729" w:type="dxa"/>
            <w:tcBorders>
              <w:bottom w:val="single" w:sz="4" w:space="0" w:color="000000"/>
            </w:tcBorders>
            <w:vAlign w:val="center"/>
          </w:tcPr>
          <w:p w14:paraId="447E825E"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 (1 a 2)</w:t>
            </w:r>
          </w:p>
        </w:tc>
        <w:tc>
          <w:tcPr>
            <w:tcW w:w="1729" w:type="dxa"/>
            <w:tcBorders>
              <w:bottom w:val="single" w:sz="4" w:space="0" w:color="000000"/>
            </w:tcBorders>
            <w:vAlign w:val="center"/>
          </w:tcPr>
          <w:p w14:paraId="445C2DCF"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5 - 10 M €</w:t>
            </w:r>
          </w:p>
        </w:tc>
        <w:tc>
          <w:tcPr>
            <w:tcW w:w="2086" w:type="dxa"/>
            <w:tcBorders>
              <w:bottom w:val="single" w:sz="4" w:space="0" w:color="000000"/>
            </w:tcBorders>
            <w:vAlign w:val="center"/>
          </w:tcPr>
          <w:p w14:paraId="1F5639FD" w14:textId="77777777" w:rsidR="009430A9" w:rsidRDefault="009430A9" w:rsidP="00786169">
            <w:pPr>
              <w:ind w:left="0" w:hanging="2"/>
              <w:rPr>
                <w:rFonts w:ascii="Arial" w:eastAsia="Arial" w:hAnsi="Arial" w:cs="Arial"/>
                <w:sz w:val="16"/>
                <w:szCs w:val="16"/>
              </w:rPr>
            </w:pPr>
            <w:r>
              <w:rPr>
                <w:rFonts w:ascii="Arial" w:eastAsia="Arial" w:hAnsi="Arial" w:cs="Arial"/>
                <w:sz w:val="16"/>
                <w:szCs w:val="16"/>
              </w:rPr>
              <w:t>1-2 pacientes más sobrevivirán a los 3 años</w:t>
            </w:r>
          </w:p>
        </w:tc>
      </w:tr>
      <w:tr w:rsidR="009430A9" w14:paraId="45E56C3A" w14:textId="77777777" w:rsidTr="00786169">
        <w:trPr>
          <w:trHeight w:val="314"/>
        </w:trPr>
        <w:tc>
          <w:tcPr>
            <w:tcW w:w="1728" w:type="dxa"/>
            <w:tcBorders>
              <w:bottom w:val="single" w:sz="4" w:space="0" w:color="000000"/>
            </w:tcBorders>
            <w:vAlign w:val="center"/>
          </w:tcPr>
          <w:p w14:paraId="4C82AFE2"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1-2 (LDM-JT)</w:t>
            </w:r>
          </w:p>
        </w:tc>
        <w:tc>
          <w:tcPr>
            <w:tcW w:w="1729" w:type="dxa"/>
            <w:tcBorders>
              <w:bottom w:val="single" w:sz="4" w:space="0" w:color="000000"/>
            </w:tcBorders>
            <w:vAlign w:val="center"/>
          </w:tcPr>
          <w:p w14:paraId="4CA24911" w14:textId="77777777" w:rsidR="009430A9" w:rsidRDefault="009430A9" w:rsidP="00786169">
            <w:pPr>
              <w:ind w:left="0" w:hanging="2"/>
              <w:jc w:val="center"/>
              <w:rPr>
                <w:rFonts w:ascii="Arial" w:eastAsia="Arial" w:hAnsi="Arial" w:cs="Arial"/>
                <w:sz w:val="16"/>
                <w:szCs w:val="16"/>
              </w:rPr>
            </w:pPr>
            <w:r w:rsidRPr="00F6426D">
              <w:rPr>
                <w:rFonts w:ascii="Arial" w:eastAsia="Arial" w:hAnsi="Arial" w:cs="Arial"/>
                <w:sz w:val="16"/>
                <w:szCs w:val="16"/>
              </w:rPr>
              <w:t>2,5 M €</w:t>
            </w:r>
          </w:p>
        </w:tc>
        <w:tc>
          <w:tcPr>
            <w:tcW w:w="1729" w:type="dxa"/>
            <w:tcBorders>
              <w:bottom w:val="single" w:sz="4" w:space="0" w:color="000000"/>
            </w:tcBorders>
            <w:vAlign w:val="center"/>
          </w:tcPr>
          <w:p w14:paraId="08D9F476"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w:t>
            </w:r>
          </w:p>
        </w:tc>
        <w:tc>
          <w:tcPr>
            <w:tcW w:w="1729" w:type="dxa"/>
            <w:tcBorders>
              <w:bottom w:val="single" w:sz="4" w:space="0" w:color="000000"/>
            </w:tcBorders>
            <w:vAlign w:val="center"/>
          </w:tcPr>
          <w:p w14:paraId="2C83F9D5" w14:textId="77777777" w:rsidR="009430A9" w:rsidRDefault="009430A9" w:rsidP="00786169">
            <w:pPr>
              <w:ind w:left="0" w:hanging="2"/>
              <w:jc w:val="center"/>
              <w:rPr>
                <w:rFonts w:ascii="Arial" w:eastAsia="Arial" w:hAnsi="Arial" w:cs="Arial"/>
                <w:sz w:val="16"/>
                <w:szCs w:val="16"/>
              </w:rPr>
            </w:pPr>
            <w:r>
              <w:rPr>
                <w:rFonts w:ascii="Arial" w:eastAsia="Arial" w:hAnsi="Arial" w:cs="Arial"/>
                <w:sz w:val="16"/>
                <w:szCs w:val="16"/>
              </w:rPr>
              <w:t>2,5 - 5 M €</w:t>
            </w:r>
          </w:p>
        </w:tc>
        <w:tc>
          <w:tcPr>
            <w:tcW w:w="2086" w:type="dxa"/>
            <w:tcBorders>
              <w:bottom w:val="single" w:sz="4" w:space="0" w:color="000000"/>
            </w:tcBorders>
            <w:vAlign w:val="center"/>
          </w:tcPr>
          <w:p w14:paraId="5E14253D" w14:textId="77777777" w:rsidR="009430A9" w:rsidRDefault="009430A9" w:rsidP="00786169">
            <w:pPr>
              <w:ind w:left="0" w:hanging="2"/>
              <w:rPr>
                <w:rFonts w:ascii="Arial" w:eastAsia="Arial" w:hAnsi="Arial" w:cs="Arial"/>
                <w:sz w:val="16"/>
                <w:szCs w:val="16"/>
              </w:rPr>
            </w:pPr>
            <w:r>
              <w:rPr>
                <w:rFonts w:ascii="Arial" w:eastAsia="Arial" w:hAnsi="Arial" w:cs="Arial"/>
                <w:sz w:val="16"/>
                <w:szCs w:val="16"/>
              </w:rPr>
              <w:t>No hay mejora de supervivencia a los 3 años</w:t>
            </w:r>
          </w:p>
        </w:tc>
      </w:tr>
    </w:tbl>
    <w:p w14:paraId="0D75C976" w14:textId="77777777" w:rsidR="009430A9" w:rsidRPr="00881543" w:rsidRDefault="009430A9" w:rsidP="009430A9">
      <w:pPr>
        <w:ind w:left="0" w:hanging="2"/>
        <w:rPr>
          <w:rFonts w:ascii="Arial" w:eastAsia="Arial" w:hAnsi="Arial" w:cs="Arial"/>
          <w:sz w:val="20"/>
        </w:rPr>
      </w:pPr>
    </w:p>
    <w:p w14:paraId="7ABE65EB" w14:textId="77777777" w:rsidR="009430A9" w:rsidRDefault="009430A9" w:rsidP="009430A9">
      <w:pPr>
        <w:ind w:left="0" w:hanging="2"/>
        <w:jc w:val="both"/>
        <w:rPr>
          <w:rFonts w:ascii="Arial" w:eastAsia="Arial" w:hAnsi="Arial" w:cs="Arial"/>
          <w:sz w:val="20"/>
          <w:szCs w:val="20"/>
        </w:rPr>
      </w:pPr>
      <w:r w:rsidRPr="00FE0B23">
        <w:rPr>
          <w:rFonts w:ascii="Arial" w:eastAsia="Arial" w:hAnsi="Arial" w:cs="Arial"/>
          <w:b/>
          <w:sz w:val="20"/>
          <w:szCs w:val="20"/>
        </w:rPr>
        <w:t>Interpretación.</w:t>
      </w:r>
      <w:r w:rsidRPr="00FE0B23">
        <w:rPr>
          <w:rFonts w:ascii="Arial" w:eastAsia="Arial" w:hAnsi="Arial" w:cs="Arial"/>
          <w:sz w:val="20"/>
          <w:szCs w:val="20"/>
        </w:rPr>
        <w:t xml:space="preserve"> </w:t>
      </w:r>
    </w:p>
    <w:p w14:paraId="7558CF18" w14:textId="77777777" w:rsidR="009430A9" w:rsidRPr="00FE0B23" w:rsidRDefault="009430A9" w:rsidP="009430A9">
      <w:pPr>
        <w:ind w:left="0" w:hanging="2"/>
        <w:jc w:val="both"/>
        <w:rPr>
          <w:rFonts w:ascii="Arial" w:eastAsia="Arial" w:hAnsi="Arial" w:cs="Arial"/>
          <w:sz w:val="20"/>
          <w:szCs w:val="20"/>
        </w:rPr>
      </w:pPr>
      <w:r w:rsidRPr="00FE0B23">
        <w:rPr>
          <w:rFonts w:ascii="Arial" w:eastAsia="Arial" w:hAnsi="Arial" w:cs="Arial"/>
          <w:sz w:val="20"/>
          <w:szCs w:val="20"/>
        </w:rPr>
        <w:t>Se estima que durante un año serán tratados entre 2 y 4 pacientes con LDM-IT con el nuevo fármaco. El coste adicional para el SNS estará entre 5 y 10 millones de €. El número estimado de pacientes que obtendrán beneficio durante ese periodo será de 1 o 2 (pacientes adicionales que sobrevivirán a los tres años.</w:t>
      </w:r>
    </w:p>
    <w:p w14:paraId="6B0DCD1E" w14:textId="77777777" w:rsidR="00AA26D6" w:rsidRDefault="00AA26D6" w:rsidP="009430A9">
      <w:pPr>
        <w:ind w:left="0" w:hanging="2"/>
        <w:jc w:val="both"/>
        <w:rPr>
          <w:rFonts w:ascii="Arial" w:eastAsia="Arial" w:hAnsi="Arial" w:cs="Arial"/>
          <w:sz w:val="20"/>
          <w:szCs w:val="20"/>
        </w:rPr>
      </w:pPr>
    </w:p>
    <w:p w14:paraId="0B82EC6A" w14:textId="77777777" w:rsidR="009430A9" w:rsidRPr="00FE0B23" w:rsidRDefault="009430A9" w:rsidP="009430A9">
      <w:pPr>
        <w:ind w:left="0" w:hanging="2"/>
        <w:jc w:val="both"/>
        <w:rPr>
          <w:rFonts w:ascii="Arial" w:eastAsia="Arial" w:hAnsi="Arial" w:cs="Arial"/>
          <w:sz w:val="20"/>
          <w:szCs w:val="20"/>
        </w:rPr>
      </w:pPr>
      <w:r w:rsidRPr="00FE0B23">
        <w:rPr>
          <w:rFonts w:ascii="Arial" w:eastAsia="Arial" w:hAnsi="Arial" w:cs="Arial"/>
          <w:sz w:val="20"/>
          <w:szCs w:val="20"/>
        </w:rPr>
        <w:t xml:space="preserve">También </w:t>
      </w:r>
      <w:r>
        <w:rPr>
          <w:rFonts w:ascii="Arial" w:eastAsia="Arial" w:hAnsi="Arial" w:cs="Arial"/>
          <w:sz w:val="20"/>
          <w:szCs w:val="20"/>
        </w:rPr>
        <w:t xml:space="preserve">se podría administrar a 1 o </w:t>
      </w:r>
      <w:r w:rsidR="00AA26D6">
        <w:rPr>
          <w:rFonts w:ascii="Arial" w:eastAsia="Arial" w:hAnsi="Arial" w:cs="Arial"/>
          <w:sz w:val="20"/>
          <w:szCs w:val="20"/>
        </w:rPr>
        <w:t xml:space="preserve">2 </w:t>
      </w:r>
      <w:r>
        <w:rPr>
          <w:rFonts w:ascii="Arial" w:eastAsia="Arial" w:hAnsi="Arial" w:cs="Arial"/>
          <w:sz w:val="20"/>
          <w:szCs w:val="20"/>
        </w:rPr>
        <w:t>pacientes con LDM-JT. El coste adicional en este caso estaría entre 2,5 y 5 millones de € más, pero ningún paciente más se beneficiaría en cuanto a supervivencia a tres años.</w:t>
      </w:r>
    </w:p>
    <w:p w14:paraId="38B4635E" w14:textId="77777777" w:rsidR="009D55C9" w:rsidRDefault="009D55C9">
      <w:pPr>
        <w:ind w:left="0" w:hanging="2"/>
        <w:jc w:val="both"/>
        <w:rPr>
          <w:rFonts w:ascii="Arial" w:eastAsia="Arial" w:hAnsi="Arial" w:cs="Arial"/>
          <w:sz w:val="20"/>
          <w:szCs w:val="20"/>
        </w:rPr>
      </w:pPr>
    </w:p>
    <w:p w14:paraId="7B54E436" w14:textId="77777777" w:rsidR="009D55C9" w:rsidRPr="00D840DC" w:rsidRDefault="005A57E0">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sidRPr="00D840DC">
        <w:rPr>
          <w:rFonts w:ascii="Arial" w:eastAsia="Arial" w:hAnsi="Arial" w:cs="Arial"/>
          <w:b/>
          <w:sz w:val="20"/>
          <w:szCs w:val="20"/>
        </w:rPr>
        <w:t>7.</w:t>
      </w:r>
      <w:r w:rsidR="00422146" w:rsidRPr="00D840DC">
        <w:rPr>
          <w:rFonts w:ascii="Arial" w:eastAsia="Arial" w:hAnsi="Arial" w:cs="Arial"/>
          <w:b/>
          <w:sz w:val="20"/>
          <w:szCs w:val="20"/>
        </w:rPr>
        <w:t>4.4 Estimaciones de coste de fabricación y de investigación del medicamento</w:t>
      </w:r>
    </w:p>
    <w:p w14:paraId="02C3EE5F" w14:textId="77777777" w:rsidR="009D55C9" w:rsidRPr="00D840DC" w:rsidRDefault="009D55C9">
      <w:pPr>
        <w:ind w:left="0" w:hanging="2"/>
        <w:jc w:val="both"/>
        <w:rPr>
          <w:rFonts w:ascii="Arial" w:eastAsia="Arial" w:hAnsi="Arial" w:cs="Arial"/>
          <w:sz w:val="20"/>
          <w:szCs w:val="20"/>
        </w:rPr>
      </w:pPr>
    </w:p>
    <w:p w14:paraId="319C64A4" w14:textId="77777777" w:rsidR="009D55C9"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Búsqueda de información</w:t>
      </w:r>
    </w:p>
    <w:p w14:paraId="57CDAEE9" w14:textId="77777777" w:rsidR="009D55C9" w:rsidRPr="00D840DC" w:rsidRDefault="009D55C9">
      <w:pPr>
        <w:ind w:left="0" w:hanging="2"/>
        <w:rPr>
          <w:rFonts w:ascii="Arial" w:eastAsia="Arial" w:hAnsi="Arial" w:cs="Arial"/>
          <w:sz w:val="20"/>
          <w:szCs w:val="20"/>
        </w:rPr>
      </w:pPr>
    </w:p>
    <w:p w14:paraId="08BC0E7E" w14:textId="77777777" w:rsidR="00AA26D6" w:rsidRPr="00D840DC" w:rsidRDefault="00AA26D6" w:rsidP="00AA26D6">
      <w:pPr>
        <w:ind w:left="0" w:hanging="2"/>
        <w:jc w:val="both"/>
        <w:rPr>
          <w:rFonts w:ascii="Arial" w:hAnsi="Arial" w:cs="Arial"/>
          <w:sz w:val="20"/>
          <w:szCs w:val="20"/>
        </w:rPr>
      </w:pPr>
      <w:r w:rsidRPr="00D840DC">
        <w:rPr>
          <w:rFonts w:ascii="Arial" w:hAnsi="Arial" w:cs="Arial"/>
          <w:bCs/>
          <w:sz w:val="20"/>
          <w:szCs w:val="20"/>
        </w:rPr>
        <w:t>Debido a que no se dispone del dosier aportado por el laboratorio farmacéutico</w:t>
      </w:r>
      <w:r w:rsidRPr="00D840DC">
        <w:rPr>
          <w:rFonts w:ascii="Arial" w:hAnsi="Arial" w:cs="Arial"/>
          <w:sz w:val="20"/>
          <w:szCs w:val="20"/>
        </w:rPr>
        <w:t xml:space="preserve"> que solicita asignación de precio y financiación, ya que es confidencial</w:t>
      </w:r>
      <w:r w:rsidR="00EB3556" w:rsidRPr="00D840DC">
        <w:rPr>
          <w:rFonts w:ascii="Arial" w:hAnsi="Arial" w:cs="Arial"/>
          <w:sz w:val="20"/>
          <w:szCs w:val="20"/>
        </w:rPr>
        <w:t>,</w:t>
      </w:r>
      <w:r w:rsidRPr="00D840DC">
        <w:rPr>
          <w:rFonts w:ascii="Arial" w:hAnsi="Arial" w:cs="Arial"/>
          <w:sz w:val="20"/>
          <w:szCs w:val="20"/>
        </w:rPr>
        <w:t xml:space="preserve"> se ha realizado una búsqueda de información en artículos científicos y en prensa nacional e internacional y otras publicaciones de organizaciones. Al tratarse algunas de ellas de fuentes no oficiales o sin revisión por pares, la información se debe interpretar con cautela, pero sirve para tener una idea aproximada de la magnitud de los costes.</w:t>
      </w:r>
    </w:p>
    <w:p w14:paraId="3184B631" w14:textId="77777777" w:rsidR="002C33D7" w:rsidRPr="00D840DC" w:rsidRDefault="002C33D7">
      <w:pPr>
        <w:ind w:left="0" w:hanging="2"/>
        <w:rPr>
          <w:rFonts w:ascii="Arial" w:eastAsia="Arial" w:hAnsi="Arial" w:cs="Arial"/>
          <w:sz w:val="20"/>
          <w:szCs w:val="20"/>
        </w:rPr>
      </w:pPr>
    </w:p>
    <w:p w14:paraId="4B4E350A" w14:textId="77777777" w:rsidR="009D55C9"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Costes de producción</w:t>
      </w:r>
    </w:p>
    <w:p w14:paraId="1255A62A" w14:textId="77777777" w:rsidR="00422146" w:rsidRPr="00D840DC" w:rsidRDefault="00422146">
      <w:pPr>
        <w:pBdr>
          <w:top w:val="nil"/>
          <w:left w:val="nil"/>
          <w:bottom w:val="nil"/>
          <w:right w:val="nil"/>
          <w:between w:val="nil"/>
        </w:pBdr>
        <w:tabs>
          <w:tab w:val="center" w:pos="4252"/>
          <w:tab w:val="right" w:pos="8504"/>
        </w:tabs>
        <w:spacing w:line="240" w:lineRule="auto"/>
        <w:ind w:left="0" w:hanging="2"/>
        <w:rPr>
          <w:rFonts w:ascii="Arial" w:eastAsia="Arial" w:hAnsi="Arial" w:cs="Arial"/>
        </w:rPr>
      </w:pPr>
    </w:p>
    <w:p w14:paraId="7AD45173" w14:textId="77777777" w:rsidR="00EB3556" w:rsidRPr="00D840DC" w:rsidRDefault="00EB3556" w:rsidP="00EB3556">
      <w:pPr>
        <w:ind w:left="0" w:hanging="2"/>
        <w:jc w:val="both"/>
        <w:rPr>
          <w:rFonts w:ascii="Arial" w:hAnsi="Arial" w:cs="Arial"/>
          <w:bCs/>
          <w:sz w:val="20"/>
          <w:szCs w:val="20"/>
        </w:rPr>
      </w:pPr>
      <w:r w:rsidRPr="00D840DC">
        <w:rPr>
          <w:rFonts w:ascii="Arial" w:hAnsi="Arial" w:cs="Arial"/>
          <w:b/>
          <w:bCs/>
          <w:sz w:val="20"/>
          <w:szCs w:val="20"/>
        </w:rPr>
        <w:t xml:space="preserve">Tratamiento. </w:t>
      </w:r>
      <w:r w:rsidRPr="00D840DC">
        <w:rPr>
          <w:rFonts w:ascii="Arial" w:hAnsi="Arial" w:cs="Arial"/>
          <w:bCs/>
          <w:sz w:val="20"/>
          <w:szCs w:val="20"/>
        </w:rPr>
        <w:t xml:space="preserve">Dosis única de </w:t>
      </w:r>
      <w:r w:rsidRPr="00D840DC">
        <w:rPr>
          <w:rFonts w:ascii="Arial" w:eastAsia="Arial" w:hAnsi="Arial" w:cs="Arial"/>
          <w:sz w:val="20"/>
          <w:szCs w:val="20"/>
        </w:rPr>
        <w:t>células CD34+ autólogas transducidas que codifican el gen ARSA.</w:t>
      </w:r>
      <w:r w:rsidRPr="00D840DC">
        <w:rPr>
          <w:rFonts w:ascii="Arial" w:hAnsi="Arial" w:cs="Arial"/>
          <w:bCs/>
          <w:sz w:val="20"/>
          <w:szCs w:val="20"/>
        </w:rPr>
        <w:t xml:space="preserve"> </w:t>
      </w:r>
      <w:r w:rsidRPr="00D840DC">
        <w:rPr>
          <w:rFonts w:ascii="Arial" w:eastAsia="Arial" w:hAnsi="Arial" w:cs="Arial"/>
          <w:sz w:val="20"/>
          <w:szCs w:val="20"/>
        </w:rPr>
        <w:t xml:space="preserve">La </w:t>
      </w:r>
      <w:r w:rsidRPr="00D840DC">
        <w:rPr>
          <w:rFonts w:ascii="Arial" w:eastAsia="Arial" w:hAnsi="Arial" w:cs="Arial"/>
          <w:b/>
          <w:sz w:val="20"/>
          <w:szCs w:val="20"/>
        </w:rPr>
        <w:t>dosis mínima</w:t>
      </w:r>
      <w:r w:rsidRPr="00D840DC">
        <w:rPr>
          <w:rFonts w:ascii="Arial" w:eastAsia="Arial" w:hAnsi="Arial" w:cs="Arial"/>
          <w:sz w:val="20"/>
          <w:szCs w:val="20"/>
        </w:rPr>
        <w:t xml:space="preserve"> recomendada es de </w:t>
      </w:r>
      <w:r w:rsidRPr="00D840DC">
        <w:rPr>
          <w:rFonts w:ascii="Arial" w:eastAsia="Arial" w:hAnsi="Arial" w:cs="Arial"/>
          <w:b/>
          <w:sz w:val="20"/>
          <w:szCs w:val="20"/>
        </w:rPr>
        <w:t>3 × 10</w:t>
      </w:r>
      <w:r w:rsidRPr="00D840DC">
        <w:rPr>
          <w:rFonts w:ascii="Arial" w:eastAsia="Arial" w:hAnsi="Arial" w:cs="Arial"/>
          <w:b/>
          <w:sz w:val="20"/>
          <w:szCs w:val="20"/>
          <w:vertAlign w:val="superscript"/>
        </w:rPr>
        <w:t>6</w:t>
      </w:r>
      <w:r w:rsidRPr="00D840DC">
        <w:rPr>
          <w:rFonts w:ascii="Arial" w:eastAsia="Arial" w:hAnsi="Arial" w:cs="Arial"/>
          <w:b/>
          <w:sz w:val="20"/>
          <w:szCs w:val="20"/>
        </w:rPr>
        <w:t xml:space="preserve"> células CD34</w:t>
      </w:r>
      <w:r w:rsidRPr="00D840DC">
        <w:rPr>
          <w:rFonts w:ascii="Arial" w:eastAsia="Arial" w:hAnsi="Arial" w:cs="Arial"/>
          <w:b/>
          <w:sz w:val="20"/>
          <w:szCs w:val="20"/>
          <w:vertAlign w:val="superscript"/>
        </w:rPr>
        <w:t>+</w:t>
      </w:r>
      <w:r w:rsidRPr="00D840DC">
        <w:rPr>
          <w:rFonts w:ascii="Arial" w:eastAsia="Arial" w:hAnsi="Arial" w:cs="Arial"/>
          <w:b/>
          <w:sz w:val="20"/>
          <w:szCs w:val="20"/>
        </w:rPr>
        <w:t>/kg</w:t>
      </w:r>
      <w:r w:rsidRPr="00D840DC">
        <w:rPr>
          <w:rFonts w:ascii="Arial" w:eastAsia="Arial" w:hAnsi="Arial" w:cs="Arial"/>
          <w:sz w:val="20"/>
          <w:szCs w:val="20"/>
        </w:rPr>
        <w:t xml:space="preserve">. </w:t>
      </w:r>
    </w:p>
    <w:p w14:paraId="3E45B1D2" w14:textId="77777777" w:rsidR="002C33D7" w:rsidRPr="00D840DC" w:rsidRDefault="002C33D7"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p>
    <w:p w14:paraId="12C3A7AC" w14:textId="77777777" w:rsidR="006D67D3"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b/>
          <w:sz w:val="20"/>
        </w:rPr>
        <w:t xml:space="preserve">Costes de producción. </w:t>
      </w:r>
      <w:r w:rsidR="006D67D3" w:rsidRPr="00D840DC">
        <w:rPr>
          <w:rFonts w:ascii="Arial" w:eastAsia="Arial" w:hAnsi="Arial" w:cs="Arial"/>
          <w:sz w:val="20"/>
        </w:rPr>
        <w:t xml:space="preserve">Se deben cubrir las siguientes fases:  </w:t>
      </w:r>
    </w:p>
    <w:p w14:paraId="770437EA" w14:textId="77777777" w:rsidR="00981E0E" w:rsidRPr="00D840DC" w:rsidRDefault="006D67D3"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1) Obtención de las células CD34</w:t>
      </w:r>
      <w:r w:rsidR="001D7EFF" w:rsidRPr="00D840DC">
        <w:rPr>
          <w:rFonts w:ascii="Arial" w:eastAsia="Arial" w:hAnsi="Arial" w:cs="Arial"/>
          <w:sz w:val="20"/>
        </w:rPr>
        <w:t>+</w:t>
      </w:r>
      <w:r w:rsidRPr="00D840DC">
        <w:rPr>
          <w:rFonts w:ascii="Arial" w:eastAsia="Arial" w:hAnsi="Arial" w:cs="Arial"/>
          <w:sz w:val="20"/>
        </w:rPr>
        <w:t xml:space="preserve"> del paciente de la sangre</w:t>
      </w:r>
      <w:r w:rsidR="00981E0E" w:rsidRPr="00D840DC">
        <w:rPr>
          <w:rFonts w:ascii="Arial" w:eastAsia="Arial" w:hAnsi="Arial" w:cs="Arial"/>
          <w:sz w:val="20"/>
        </w:rPr>
        <w:t xml:space="preserve"> del paciente mediante aféresis.</w:t>
      </w:r>
    </w:p>
    <w:p w14:paraId="77E20251" w14:textId="77777777" w:rsidR="001D7EFF"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 xml:space="preserve">2) Procesamiento para su envío al centro donde se va a realizar su manipulación genética. </w:t>
      </w:r>
    </w:p>
    <w:p w14:paraId="347FD670" w14:textId="77777777" w:rsidR="006D67D3"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3</w:t>
      </w:r>
      <w:r w:rsidR="006D67D3" w:rsidRPr="00D840DC">
        <w:rPr>
          <w:rFonts w:ascii="Arial" w:eastAsia="Arial" w:hAnsi="Arial" w:cs="Arial"/>
          <w:sz w:val="20"/>
        </w:rPr>
        <w:t xml:space="preserve">) Modificación genética “in vitro” del material de partida mediante vectores virales y posterior expansión de dichas células, </w:t>
      </w:r>
    </w:p>
    <w:p w14:paraId="275247A7" w14:textId="77777777" w:rsidR="001D7EFF"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4) Criopreservación en el centro de fabricación y remisión del material biológico al centro hospitalario</w:t>
      </w:r>
    </w:p>
    <w:p w14:paraId="1A9397A7" w14:textId="77777777" w:rsidR="006D67D3" w:rsidRPr="00D840DC" w:rsidRDefault="001D7EFF" w:rsidP="006D67D3">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5</w:t>
      </w:r>
      <w:r w:rsidR="006D67D3" w:rsidRPr="00D840DC">
        <w:rPr>
          <w:rFonts w:ascii="Arial" w:eastAsia="Arial" w:hAnsi="Arial" w:cs="Arial"/>
          <w:sz w:val="20"/>
        </w:rPr>
        <w:t xml:space="preserve">) Acondicionamiento del medicamento para su administración. </w:t>
      </w:r>
    </w:p>
    <w:p w14:paraId="2B2DAE2C" w14:textId="77777777" w:rsidR="00DA0BCC" w:rsidRPr="00D840DC" w:rsidRDefault="001D7EFF" w:rsidP="00DA0BCC">
      <w:pPr>
        <w:pBdr>
          <w:top w:val="nil"/>
          <w:left w:val="nil"/>
          <w:bottom w:val="nil"/>
          <w:right w:val="nil"/>
          <w:between w:val="nil"/>
        </w:pBdr>
        <w:tabs>
          <w:tab w:val="center" w:pos="4252"/>
          <w:tab w:val="right" w:pos="8504"/>
        </w:tabs>
        <w:spacing w:line="240" w:lineRule="auto"/>
        <w:ind w:left="0" w:hanging="2"/>
        <w:jc w:val="both"/>
        <w:rPr>
          <w:rFonts w:ascii="Arial" w:hAnsi="Arial" w:cs="Arial"/>
          <w:sz w:val="20"/>
          <w:szCs w:val="20"/>
        </w:rPr>
      </w:pPr>
      <w:r w:rsidRPr="00D840DC">
        <w:rPr>
          <w:rFonts w:ascii="Arial" w:eastAsia="Arial" w:hAnsi="Arial" w:cs="Arial"/>
          <w:sz w:val="20"/>
        </w:rPr>
        <w:t>Aunque n</w:t>
      </w:r>
      <w:r w:rsidRPr="00D840DC">
        <w:rPr>
          <w:rFonts w:ascii="Arial" w:hAnsi="Arial" w:cs="Arial"/>
          <w:bCs/>
          <w:sz w:val="20"/>
          <w:szCs w:val="20"/>
        </w:rPr>
        <w:t>o se ha encontrado información relativa al coste de producción de Libmeldy</w:t>
      </w:r>
      <w:r w:rsidRPr="00D840DC">
        <w:rPr>
          <w:rFonts w:ascii="Arial" w:hAnsi="Arial" w:cs="Arial"/>
          <w:bCs/>
          <w:sz w:val="20"/>
          <w:szCs w:val="20"/>
          <w:vertAlign w:val="superscript"/>
        </w:rPr>
        <w:t>®</w:t>
      </w:r>
      <w:r w:rsidRPr="00D840DC">
        <w:rPr>
          <w:rFonts w:ascii="Arial" w:hAnsi="Arial" w:cs="Arial"/>
          <w:bCs/>
          <w:sz w:val="20"/>
          <w:szCs w:val="20"/>
        </w:rPr>
        <w:t>, la información disponible de otras terapias con producción similar, como las CAR-T, estiman un coste de producción que oscila entre  los 15.000 $ y los 40.000 $, según diversas fuentes</w:t>
      </w:r>
      <w:r w:rsidRPr="00D840DC">
        <w:rPr>
          <w:rStyle w:val="Refdenotaalfinal"/>
          <w:rFonts w:ascii="Arial" w:hAnsi="Arial" w:cs="Arial"/>
          <w:bCs/>
          <w:sz w:val="20"/>
          <w:szCs w:val="20"/>
        </w:rPr>
        <w:endnoteReference w:id="9"/>
      </w:r>
      <w:r w:rsidRPr="00D840DC">
        <w:rPr>
          <w:rFonts w:ascii="Arial" w:hAnsi="Arial" w:cs="Arial"/>
          <w:bCs/>
          <w:sz w:val="20"/>
          <w:szCs w:val="20"/>
          <w:vertAlign w:val="superscript"/>
        </w:rPr>
        <w:t>,</w:t>
      </w:r>
      <w:r w:rsidRPr="00D840DC">
        <w:rPr>
          <w:rStyle w:val="Refdenotaalfinal"/>
          <w:rFonts w:ascii="Arial" w:hAnsi="Arial" w:cs="Arial"/>
          <w:bCs/>
          <w:sz w:val="20"/>
          <w:szCs w:val="20"/>
        </w:rPr>
        <w:endnoteReference w:id="10"/>
      </w:r>
      <w:r w:rsidRPr="00D840DC">
        <w:rPr>
          <w:rFonts w:ascii="Arial" w:hAnsi="Arial" w:cs="Arial"/>
          <w:bCs/>
          <w:sz w:val="20"/>
          <w:szCs w:val="20"/>
          <w:vertAlign w:val="superscript"/>
        </w:rPr>
        <w:t>,</w:t>
      </w:r>
      <w:r w:rsidRPr="00D840DC">
        <w:rPr>
          <w:rStyle w:val="Refdenotaalfinal"/>
          <w:rFonts w:ascii="Arial" w:hAnsi="Arial" w:cs="Arial"/>
          <w:bCs/>
          <w:sz w:val="20"/>
          <w:szCs w:val="20"/>
        </w:rPr>
        <w:endnoteReference w:id="11"/>
      </w:r>
      <w:r w:rsidRPr="00D840DC">
        <w:rPr>
          <w:rFonts w:ascii="Arial" w:hAnsi="Arial" w:cs="Arial"/>
          <w:bCs/>
          <w:sz w:val="20"/>
          <w:szCs w:val="20"/>
          <w:vertAlign w:val="superscript"/>
        </w:rPr>
        <w:t>,</w:t>
      </w:r>
      <w:r w:rsidRPr="00D840DC">
        <w:rPr>
          <w:rStyle w:val="Refdenotaalfinal"/>
          <w:rFonts w:ascii="Arial" w:hAnsi="Arial" w:cs="Arial"/>
          <w:bCs/>
          <w:sz w:val="20"/>
          <w:szCs w:val="20"/>
        </w:rPr>
        <w:endnoteReference w:id="12"/>
      </w:r>
      <w:r w:rsidRPr="00D840DC">
        <w:rPr>
          <w:rFonts w:ascii="Arial" w:hAnsi="Arial" w:cs="Arial"/>
          <w:bCs/>
          <w:sz w:val="20"/>
          <w:szCs w:val="20"/>
        </w:rPr>
        <w:t xml:space="preserve">. </w:t>
      </w:r>
      <w:r w:rsidRPr="00D840DC">
        <w:rPr>
          <w:rFonts w:ascii="Arial" w:eastAsia="Arial" w:hAnsi="Arial" w:cs="Arial"/>
          <w:sz w:val="20"/>
        </w:rPr>
        <w:t>Ello incluye costes directos indirectos, cadena de frio, lentivirus, control de calidad, etc</w:t>
      </w:r>
      <w:r w:rsidR="00DA0BCC" w:rsidRPr="00D840DC">
        <w:rPr>
          <w:rFonts w:ascii="Arial" w:eastAsia="Arial" w:hAnsi="Arial" w:cs="Arial"/>
          <w:sz w:val="20"/>
        </w:rPr>
        <w:t xml:space="preserve">. </w:t>
      </w:r>
      <w:r w:rsidR="00DA0BCC" w:rsidRPr="00D840DC">
        <w:rPr>
          <w:rFonts w:ascii="Arial" w:eastAsia="Arial" w:hAnsi="Arial" w:cs="Arial"/>
          <w:sz w:val="20"/>
          <w:szCs w:val="20"/>
        </w:rPr>
        <w:t xml:space="preserve">Por ejemplo para el preparado comercial de </w:t>
      </w:r>
      <w:r w:rsidR="005137A6" w:rsidRPr="00D840DC">
        <w:rPr>
          <w:rFonts w:ascii="Arial" w:eastAsia="Arial" w:hAnsi="Arial" w:cs="Arial"/>
          <w:sz w:val="20"/>
          <w:szCs w:val="20"/>
        </w:rPr>
        <w:t>t</w:t>
      </w:r>
      <w:r w:rsidR="00DA0BCC" w:rsidRPr="00D840DC">
        <w:rPr>
          <w:rFonts w:ascii="Arial" w:eastAsia="Arial" w:hAnsi="Arial" w:cs="Arial"/>
          <w:sz w:val="20"/>
          <w:szCs w:val="20"/>
        </w:rPr>
        <w:t>isagenlecleucel (</w:t>
      </w:r>
      <w:r w:rsidR="00DA0BCC" w:rsidRPr="00D840DC">
        <w:rPr>
          <w:rFonts w:ascii="Arial" w:hAnsi="Arial" w:cs="Arial"/>
          <w:sz w:val="20"/>
          <w:szCs w:val="20"/>
        </w:rPr>
        <w:t>Kymriah</w:t>
      </w:r>
      <w:r w:rsidR="00DA0BCC" w:rsidRPr="00D840DC">
        <w:rPr>
          <w:rFonts w:ascii="Arial" w:eastAsia="Arial" w:hAnsi="Arial" w:cs="Arial"/>
          <w:sz w:val="20"/>
          <w:vertAlign w:val="superscript"/>
        </w:rPr>
        <w:t>®</w:t>
      </w:r>
      <w:r w:rsidR="00DA0BCC" w:rsidRPr="00D840DC">
        <w:rPr>
          <w:rFonts w:ascii="Arial" w:hAnsi="Arial" w:cs="Arial"/>
          <w:sz w:val="20"/>
          <w:szCs w:val="20"/>
        </w:rPr>
        <w:t xml:space="preserve">), se estimó un coste de producción </w:t>
      </w:r>
      <w:r w:rsidR="00DA0BCC" w:rsidRPr="00D840DC">
        <w:rPr>
          <w:rFonts w:ascii="Arial" w:hAnsi="Arial" w:cs="Arial"/>
          <w:b/>
          <w:sz w:val="20"/>
          <w:szCs w:val="20"/>
        </w:rPr>
        <w:t>industrial</w:t>
      </w:r>
      <w:r w:rsidR="00DA0BCC" w:rsidRPr="00D840DC">
        <w:rPr>
          <w:rFonts w:ascii="Arial" w:hAnsi="Arial" w:cs="Arial"/>
          <w:sz w:val="20"/>
          <w:szCs w:val="20"/>
        </w:rPr>
        <w:t xml:space="preserve"> de </w:t>
      </w:r>
      <w:r w:rsidR="00DA0BCC" w:rsidRPr="00D840DC">
        <w:rPr>
          <w:rFonts w:ascii="Arial" w:hAnsi="Arial" w:cs="Arial"/>
          <w:b/>
          <w:sz w:val="20"/>
          <w:szCs w:val="20"/>
        </w:rPr>
        <w:t>48.000 € por dosis</w:t>
      </w:r>
      <w:r w:rsidR="00DA0BCC" w:rsidRPr="00D840DC">
        <w:rPr>
          <w:rStyle w:val="Refdenotaalfinal"/>
          <w:rFonts w:ascii="Arial" w:hAnsi="Arial" w:cs="Arial"/>
          <w:b/>
          <w:sz w:val="20"/>
          <w:szCs w:val="20"/>
        </w:rPr>
        <w:endnoteReference w:id="13"/>
      </w:r>
      <w:r w:rsidR="00DA0BCC" w:rsidRPr="00D840DC">
        <w:rPr>
          <w:rFonts w:ascii="Arial" w:hAnsi="Arial" w:cs="Arial"/>
          <w:b/>
          <w:sz w:val="20"/>
          <w:szCs w:val="20"/>
        </w:rPr>
        <w:t xml:space="preserve"> </w:t>
      </w:r>
      <w:r w:rsidR="00DA0BCC" w:rsidRPr="00D840DC">
        <w:rPr>
          <w:rFonts w:ascii="Arial" w:hAnsi="Arial" w:cs="Arial"/>
          <w:sz w:val="20"/>
          <w:szCs w:val="20"/>
        </w:rPr>
        <w:t>y el de</w:t>
      </w:r>
      <w:r w:rsidR="00DA0BCC" w:rsidRPr="00D840DC">
        <w:rPr>
          <w:rFonts w:ascii="Arial" w:hAnsi="Arial" w:cs="Arial"/>
          <w:b/>
          <w:sz w:val="20"/>
          <w:szCs w:val="20"/>
        </w:rPr>
        <w:t xml:space="preserve"> </w:t>
      </w:r>
      <w:r w:rsidR="00DA0BCC" w:rsidRPr="00D840DC">
        <w:rPr>
          <w:rFonts w:ascii="Arial" w:hAnsi="Arial" w:cs="Arial"/>
          <w:sz w:val="20"/>
          <w:szCs w:val="20"/>
        </w:rPr>
        <w:t xml:space="preserve">producción </w:t>
      </w:r>
      <w:r w:rsidR="00DA0BCC" w:rsidRPr="00D840DC">
        <w:rPr>
          <w:rFonts w:ascii="Arial" w:hAnsi="Arial" w:cs="Arial"/>
          <w:b/>
          <w:sz w:val="20"/>
          <w:szCs w:val="20"/>
        </w:rPr>
        <w:t>académica</w:t>
      </w:r>
      <w:r w:rsidR="00DA0BCC" w:rsidRPr="00D840DC">
        <w:rPr>
          <w:rFonts w:ascii="Arial" w:hAnsi="Arial" w:cs="Arial"/>
          <w:sz w:val="20"/>
          <w:szCs w:val="20"/>
        </w:rPr>
        <w:t xml:space="preserve"> </w:t>
      </w:r>
      <w:r w:rsidR="00DA0BCC" w:rsidRPr="00D840DC">
        <w:rPr>
          <w:rFonts w:ascii="Arial" w:eastAsia="Arial" w:hAnsi="Arial" w:cs="Arial"/>
          <w:sz w:val="20"/>
        </w:rPr>
        <w:t xml:space="preserve">sumando costes fijos y variables </w:t>
      </w:r>
      <w:r w:rsidR="005637D2" w:rsidRPr="00D840DC">
        <w:rPr>
          <w:rFonts w:ascii="Arial" w:eastAsia="Arial" w:hAnsi="Arial" w:cs="Arial"/>
          <w:sz w:val="20"/>
        </w:rPr>
        <w:t xml:space="preserve">de </w:t>
      </w:r>
      <w:r w:rsidR="00166C49" w:rsidRPr="00D840DC">
        <w:rPr>
          <w:rFonts w:ascii="Arial" w:eastAsia="Arial" w:hAnsi="Arial" w:cs="Arial"/>
          <w:b/>
          <w:sz w:val="20"/>
        </w:rPr>
        <w:t>45.</w:t>
      </w:r>
      <w:r w:rsidR="00DA0BCC" w:rsidRPr="00D840DC">
        <w:rPr>
          <w:rFonts w:ascii="Arial" w:eastAsia="Arial" w:hAnsi="Arial" w:cs="Arial"/>
          <w:b/>
          <w:sz w:val="20"/>
        </w:rPr>
        <w:t xml:space="preserve">000 </w:t>
      </w:r>
      <w:r w:rsidR="00DA0BCC" w:rsidRPr="00D840DC">
        <w:rPr>
          <w:rFonts w:ascii="Arial" w:eastAsia="Arial" w:hAnsi="Arial" w:cs="Arial"/>
          <w:b/>
          <w:sz w:val="20"/>
          <w:szCs w:val="20"/>
        </w:rPr>
        <w:t>€</w:t>
      </w:r>
      <w:r w:rsidR="00DA0BCC" w:rsidRPr="00D840DC">
        <w:rPr>
          <w:rFonts w:ascii="Arial" w:eastAsia="Arial" w:hAnsi="Arial" w:cs="Arial"/>
          <w:sz w:val="20"/>
          <w:szCs w:val="20"/>
        </w:rPr>
        <w:t xml:space="preserve"> (ver tabla </w:t>
      </w:r>
      <w:r w:rsidR="00DA0BCC" w:rsidRPr="00D840DC">
        <w:rPr>
          <w:rFonts w:ascii="Arial" w:hAnsi="Arial" w:cs="Arial"/>
          <w:b/>
          <w:bCs/>
          <w:position w:val="0"/>
          <w:sz w:val="20"/>
          <w:szCs w:val="20"/>
        </w:rPr>
        <w:t>7.4.4.1</w:t>
      </w:r>
      <w:r w:rsidR="00DA0BCC" w:rsidRPr="00D840DC">
        <w:rPr>
          <w:rFonts w:ascii="Arial" w:eastAsia="Arial" w:hAnsi="Arial" w:cs="Arial"/>
          <w:sz w:val="20"/>
          <w:szCs w:val="20"/>
        </w:rPr>
        <w:t>).</w:t>
      </w:r>
      <w:r w:rsidR="00DA0BCC" w:rsidRPr="00D840DC">
        <w:rPr>
          <w:rFonts w:ascii="Arial" w:eastAsia="Arial" w:hAnsi="Arial" w:cs="Arial"/>
          <w:sz w:val="20"/>
        </w:rPr>
        <w:t xml:space="preserve"> </w:t>
      </w:r>
    </w:p>
    <w:p w14:paraId="127F92EC" w14:textId="77777777" w:rsidR="00DA0BCC" w:rsidRPr="00D840DC" w:rsidRDefault="00DA0BCC" w:rsidP="00DA0BC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p>
    <w:tbl>
      <w:tblPr>
        <w:tblStyle w:val="Tablaconcuadrcula"/>
        <w:tblW w:w="0" w:type="auto"/>
        <w:tblLook w:val="04A0" w:firstRow="1" w:lastRow="0" w:firstColumn="1" w:lastColumn="0" w:noHBand="0" w:noVBand="1"/>
      </w:tblPr>
      <w:tblGrid>
        <w:gridCol w:w="3032"/>
        <w:gridCol w:w="2085"/>
        <w:gridCol w:w="1811"/>
        <w:gridCol w:w="1801"/>
      </w:tblGrid>
      <w:tr w:rsidR="00D840DC" w:rsidRPr="00D840DC" w14:paraId="41A5B10C" w14:textId="77777777" w:rsidTr="00DA0BCC">
        <w:tc>
          <w:tcPr>
            <w:tcW w:w="8879" w:type="dxa"/>
            <w:gridSpan w:val="4"/>
          </w:tcPr>
          <w:p w14:paraId="43341F6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 xml:space="preserve">Tabla 7.4.4.1. Coste detallado producción para una terapia CAR-T. </w:t>
            </w:r>
            <w:r w:rsidRPr="00D840DC">
              <w:rPr>
                <w:rFonts w:ascii="Arial" w:hAnsi="Arial" w:cs="Arial"/>
                <w:bCs/>
                <w:position w:val="0"/>
                <w:sz w:val="16"/>
                <w:szCs w:val="16"/>
              </w:rPr>
              <w:t>Ref:  Rant T et al</w:t>
            </w:r>
            <w:r w:rsidRPr="00D840DC">
              <w:rPr>
                <w:rFonts w:ascii="Arial" w:hAnsi="Arial" w:cs="Arial"/>
                <w:b/>
                <w:bCs/>
                <w:position w:val="0"/>
                <w:sz w:val="16"/>
                <w:szCs w:val="16"/>
              </w:rPr>
              <w:t xml:space="preserve">  </w:t>
            </w:r>
            <w:r w:rsidRPr="00D840DC">
              <w:rPr>
                <w:rFonts w:ascii="Arial" w:hAnsi="Arial" w:cs="Arial"/>
                <w:bCs/>
                <w:position w:val="0"/>
                <w:sz w:val="16"/>
                <w:szCs w:val="16"/>
              </w:rPr>
              <w:t>2020</w:t>
            </w:r>
            <w:r w:rsidRPr="00D840DC">
              <w:rPr>
                <w:rStyle w:val="Refdenotaalfinal"/>
                <w:rFonts w:ascii="Arial" w:hAnsi="Arial" w:cs="Arial"/>
                <w:bCs/>
                <w:sz w:val="16"/>
                <w:szCs w:val="16"/>
              </w:rPr>
              <w:endnoteReference w:id="14"/>
            </w:r>
          </w:p>
        </w:tc>
      </w:tr>
      <w:tr w:rsidR="00D840DC" w:rsidRPr="00D840DC" w14:paraId="299D9952" w14:textId="77777777" w:rsidTr="00DA0BCC">
        <w:tc>
          <w:tcPr>
            <w:tcW w:w="3085" w:type="dxa"/>
          </w:tcPr>
          <w:p w14:paraId="0C85F227"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Categoría</w:t>
            </w:r>
          </w:p>
        </w:tc>
        <w:tc>
          <w:tcPr>
            <w:tcW w:w="2126" w:type="dxa"/>
          </w:tcPr>
          <w:p w14:paraId="09A77F03"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Costo (euro)</w:t>
            </w:r>
          </w:p>
        </w:tc>
        <w:tc>
          <w:tcPr>
            <w:tcW w:w="1843" w:type="dxa"/>
          </w:tcPr>
          <w:p w14:paraId="79C05C72"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Costo (dólar)</w:t>
            </w:r>
          </w:p>
        </w:tc>
        <w:tc>
          <w:tcPr>
            <w:tcW w:w="1825" w:type="dxa"/>
          </w:tcPr>
          <w:p w14:paraId="63A770C1"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bCs/>
                <w:position w:val="0"/>
                <w:sz w:val="16"/>
                <w:szCs w:val="16"/>
              </w:rPr>
              <w:t>Porcentaje</w:t>
            </w:r>
          </w:p>
        </w:tc>
      </w:tr>
      <w:tr w:rsidR="00D840DC" w:rsidRPr="00D840DC" w14:paraId="2324B3BD" w14:textId="77777777" w:rsidTr="00DA0BCC">
        <w:trPr>
          <w:trHeight w:val="80"/>
        </w:trPr>
        <w:tc>
          <w:tcPr>
            <w:tcW w:w="3085" w:type="dxa"/>
          </w:tcPr>
          <w:p w14:paraId="1E0FA64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r w:rsidRPr="00D840DC">
              <w:rPr>
                <w:rFonts w:ascii="Arial" w:hAnsi="Arial" w:cs="Arial"/>
                <w:b/>
                <w:position w:val="0"/>
                <w:sz w:val="16"/>
                <w:szCs w:val="16"/>
              </w:rPr>
              <w:t>Tabla  1. Costos fijos anuales</w:t>
            </w:r>
          </w:p>
        </w:tc>
        <w:tc>
          <w:tcPr>
            <w:tcW w:w="2126" w:type="dxa"/>
          </w:tcPr>
          <w:p w14:paraId="596A89D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p>
        </w:tc>
        <w:tc>
          <w:tcPr>
            <w:tcW w:w="1843" w:type="dxa"/>
          </w:tcPr>
          <w:p w14:paraId="67370912"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p>
        </w:tc>
        <w:tc>
          <w:tcPr>
            <w:tcW w:w="1825" w:type="dxa"/>
          </w:tcPr>
          <w:p w14:paraId="4563DD11"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bCs/>
                <w:position w:val="0"/>
                <w:sz w:val="16"/>
                <w:szCs w:val="16"/>
              </w:rPr>
            </w:pPr>
          </w:p>
        </w:tc>
      </w:tr>
      <w:tr w:rsidR="00D840DC" w:rsidRPr="00D840DC" w14:paraId="20BB62F7" w14:textId="77777777" w:rsidTr="00DA0BCC">
        <w:tc>
          <w:tcPr>
            <w:tcW w:w="3085" w:type="dxa"/>
          </w:tcPr>
          <w:p w14:paraId="521015F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Sala limpia (grado B)</w:t>
            </w:r>
          </w:p>
        </w:tc>
        <w:tc>
          <w:tcPr>
            <w:tcW w:w="2126" w:type="dxa"/>
          </w:tcPr>
          <w:p w14:paraId="4E27FA20"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70.</w:t>
            </w:r>
            <w:r w:rsidR="00DA0BCC" w:rsidRPr="00D840DC">
              <w:rPr>
                <w:rFonts w:ascii="Arial" w:hAnsi="Arial" w:cs="Arial"/>
                <w:position w:val="0"/>
                <w:sz w:val="16"/>
                <w:szCs w:val="16"/>
              </w:rPr>
              <w:t>000 €</w:t>
            </w:r>
          </w:p>
        </w:tc>
        <w:tc>
          <w:tcPr>
            <w:tcW w:w="1843" w:type="dxa"/>
          </w:tcPr>
          <w:p w14:paraId="6EB38373"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$ 93</w:t>
            </w:r>
            <w:r w:rsidR="00166C49" w:rsidRPr="00D840DC">
              <w:rPr>
                <w:rFonts w:ascii="Arial" w:hAnsi="Arial" w:cs="Arial"/>
                <w:position w:val="0"/>
                <w:sz w:val="16"/>
                <w:szCs w:val="16"/>
              </w:rPr>
              <w:t>.</w:t>
            </w:r>
            <w:r w:rsidRPr="00D840DC">
              <w:rPr>
                <w:rFonts w:ascii="Arial" w:hAnsi="Arial" w:cs="Arial"/>
                <w:position w:val="0"/>
                <w:sz w:val="16"/>
                <w:szCs w:val="16"/>
              </w:rPr>
              <w:t>333</w:t>
            </w:r>
          </w:p>
        </w:tc>
        <w:tc>
          <w:tcPr>
            <w:tcW w:w="1825" w:type="dxa"/>
          </w:tcPr>
          <w:p w14:paraId="77C6CD35"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16,0%</w:t>
            </w:r>
          </w:p>
        </w:tc>
      </w:tr>
      <w:tr w:rsidR="00D840DC" w:rsidRPr="00D840DC" w14:paraId="1C40240C" w14:textId="77777777" w:rsidTr="00DA0BCC">
        <w:tc>
          <w:tcPr>
            <w:tcW w:w="3085" w:type="dxa"/>
          </w:tcPr>
          <w:p w14:paraId="4FD0692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Dispositivos</w:t>
            </w:r>
          </w:p>
        </w:tc>
        <w:tc>
          <w:tcPr>
            <w:tcW w:w="2126" w:type="dxa"/>
          </w:tcPr>
          <w:p w14:paraId="0960068C"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29.</w:t>
            </w:r>
            <w:r w:rsidR="00DA0BCC" w:rsidRPr="00D840DC">
              <w:rPr>
                <w:rFonts w:ascii="Arial" w:hAnsi="Arial" w:cs="Arial"/>
                <w:position w:val="0"/>
                <w:sz w:val="16"/>
                <w:szCs w:val="16"/>
              </w:rPr>
              <w:t>482 €</w:t>
            </w:r>
          </w:p>
        </w:tc>
        <w:tc>
          <w:tcPr>
            <w:tcW w:w="1843" w:type="dxa"/>
          </w:tcPr>
          <w:p w14:paraId="43E7CD80"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$ 39.</w:t>
            </w:r>
            <w:r w:rsidR="00DA0BCC" w:rsidRPr="00D840DC">
              <w:rPr>
                <w:rFonts w:ascii="Arial" w:hAnsi="Arial" w:cs="Arial"/>
                <w:position w:val="0"/>
                <w:sz w:val="16"/>
                <w:szCs w:val="16"/>
              </w:rPr>
              <w:t>309</w:t>
            </w:r>
          </w:p>
        </w:tc>
        <w:tc>
          <w:tcPr>
            <w:tcW w:w="1825" w:type="dxa"/>
          </w:tcPr>
          <w:p w14:paraId="2EC37A8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6,7%</w:t>
            </w:r>
          </w:p>
        </w:tc>
      </w:tr>
      <w:tr w:rsidR="00D840DC" w:rsidRPr="00D840DC" w14:paraId="5BD40BAF" w14:textId="77777777" w:rsidTr="00DA0BCC">
        <w:tc>
          <w:tcPr>
            <w:tcW w:w="3085" w:type="dxa"/>
          </w:tcPr>
          <w:p w14:paraId="63B3B121"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Consumibles (fijos anualmente)</w:t>
            </w:r>
          </w:p>
        </w:tc>
        <w:tc>
          <w:tcPr>
            <w:tcW w:w="2126" w:type="dxa"/>
          </w:tcPr>
          <w:p w14:paraId="7F9F37D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500 €</w:t>
            </w:r>
          </w:p>
        </w:tc>
        <w:tc>
          <w:tcPr>
            <w:tcW w:w="1843" w:type="dxa"/>
          </w:tcPr>
          <w:p w14:paraId="1A2E592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$ 667</w:t>
            </w:r>
          </w:p>
        </w:tc>
        <w:tc>
          <w:tcPr>
            <w:tcW w:w="1825" w:type="dxa"/>
          </w:tcPr>
          <w:p w14:paraId="7F1ECE0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0,1%</w:t>
            </w:r>
          </w:p>
        </w:tc>
      </w:tr>
      <w:tr w:rsidR="00D840DC" w:rsidRPr="00D840DC" w14:paraId="0BCA6494" w14:textId="77777777" w:rsidTr="00DA0BCC">
        <w:tc>
          <w:tcPr>
            <w:tcW w:w="3085" w:type="dxa"/>
          </w:tcPr>
          <w:p w14:paraId="70D12AB0"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Personal responsable</w:t>
            </w:r>
          </w:p>
        </w:tc>
        <w:tc>
          <w:tcPr>
            <w:tcW w:w="2126" w:type="dxa"/>
          </w:tcPr>
          <w:p w14:paraId="235F944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196</w:t>
            </w:r>
            <w:r w:rsidR="00166C49" w:rsidRPr="00D840DC">
              <w:rPr>
                <w:rFonts w:ascii="Arial" w:hAnsi="Arial" w:cs="Arial"/>
                <w:position w:val="0"/>
                <w:sz w:val="16"/>
                <w:szCs w:val="16"/>
              </w:rPr>
              <w:t>.</w:t>
            </w:r>
            <w:r w:rsidRPr="00D840DC">
              <w:rPr>
                <w:rFonts w:ascii="Arial" w:hAnsi="Arial" w:cs="Arial"/>
                <w:position w:val="0"/>
                <w:sz w:val="16"/>
                <w:szCs w:val="16"/>
              </w:rPr>
              <w:t>390 €</w:t>
            </w:r>
          </w:p>
        </w:tc>
        <w:tc>
          <w:tcPr>
            <w:tcW w:w="1843" w:type="dxa"/>
          </w:tcPr>
          <w:p w14:paraId="24C848D4"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$ 261</w:t>
            </w:r>
            <w:r w:rsidR="00166C49" w:rsidRPr="00D840DC">
              <w:rPr>
                <w:rFonts w:ascii="Arial" w:hAnsi="Arial" w:cs="Arial"/>
                <w:position w:val="0"/>
                <w:sz w:val="16"/>
                <w:szCs w:val="16"/>
              </w:rPr>
              <w:t>.</w:t>
            </w:r>
            <w:r w:rsidRPr="00D840DC">
              <w:rPr>
                <w:rFonts w:ascii="Arial" w:hAnsi="Arial" w:cs="Arial"/>
                <w:position w:val="0"/>
                <w:sz w:val="16"/>
                <w:szCs w:val="16"/>
              </w:rPr>
              <w:t>853</w:t>
            </w:r>
          </w:p>
        </w:tc>
        <w:tc>
          <w:tcPr>
            <w:tcW w:w="1825" w:type="dxa"/>
          </w:tcPr>
          <w:p w14:paraId="329EA91C"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44,8%</w:t>
            </w:r>
          </w:p>
        </w:tc>
      </w:tr>
      <w:tr w:rsidR="00D840DC" w:rsidRPr="00D840DC" w14:paraId="01C8B014" w14:textId="77777777" w:rsidTr="00DA0BCC">
        <w:tc>
          <w:tcPr>
            <w:tcW w:w="3085" w:type="dxa"/>
          </w:tcPr>
          <w:p w14:paraId="6E81273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Técnicos experimentados</w:t>
            </w:r>
          </w:p>
        </w:tc>
        <w:tc>
          <w:tcPr>
            <w:tcW w:w="2126" w:type="dxa"/>
          </w:tcPr>
          <w:p w14:paraId="6BCAD560"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129.</w:t>
            </w:r>
            <w:r w:rsidR="00DA0BCC" w:rsidRPr="00D840DC">
              <w:rPr>
                <w:rFonts w:ascii="Arial" w:hAnsi="Arial" w:cs="Arial"/>
                <w:position w:val="0"/>
                <w:sz w:val="16"/>
                <w:szCs w:val="16"/>
              </w:rPr>
              <w:t>400 €</w:t>
            </w:r>
          </w:p>
        </w:tc>
        <w:tc>
          <w:tcPr>
            <w:tcW w:w="1843" w:type="dxa"/>
          </w:tcPr>
          <w:p w14:paraId="5F68C713"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$ 172</w:t>
            </w:r>
            <w:r w:rsidR="00166C49" w:rsidRPr="00D840DC">
              <w:rPr>
                <w:rFonts w:ascii="Arial" w:hAnsi="Arial" w:cs="Arial"/>
                <w:position w:val="0"/>
                <w:sz w:val="16"/>
                <w:szCs w:val="16"/>
              </w:rPr>
              <w:t>.</w:t>
            </w:r>
            <w:r w:rsidRPr="00D840DC">
              <w:rPr>
                <w:rFonts w:ascii="Arial" w:hAnsi="Arial" w:cs="Arial"/>
                <w:position w:val="0"/>
                <w:sz w:val="16"/>
                <w:szCs w:val="16"/>
              </w:rPr>
              <w:t>533</w:t>
            </w:r>
          </w:p>
        </w:tc>
        <w:tc>
          <w:tcPr>
            <w:tcW w:w="1825" w:type="dxa"/>
          </w:tcPr>
          <w:p w14:paraId="51A9FFD7"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29,5%</w:t>
            </w:r>
          </w:p>
        </w:tc>
      </w:tr>
      <w:tr w:rsidR="00D840DC" w:rsidRPr="00D840DC" w14:paraId="263ABF45" w14:textId="77777777" w:rsidTr="00DA0BCC">
        <w:tc>
          <w:tcPr>
            <w:tcW w:w="3085" w:type="dxa"/>
          </w:tcPr>
          <w:p w14:paraId="0B17A1F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Entrenamiento (anual)</w:t>
            </w:r>
          </w:p>
        </w:tc>
        <w:tc>
          <w:tcPr>
            <w:tcW w:w="2126" w:type="dxa"/>
          </w:tcPr>
          <w:p w14:paraId="24AE65FE"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4</w:t>
            </w:r>
            <w:r w:rsidR="00166C49" w:rsidRPr="00D840DC">
              <w:rPr>
                <w:rFonts w:ascii="Arial" w:hAnsi="Arial" w:cs="Arial"/>
                <w:position w:val="0"/>
                <w:sz w:val="16"/>
                <w:szCs w:val="16"/>
              </w:rPr>
              <w:t>.</w:t>
            </w:r>
            <w:r w:rsidRPr="00D840DC">
              <w:rPr>
                <w:rFonts w:ascii="Arial" w:hAnsi="Arial" w:cs="Arial"/>
                <w:position w:val="0"/>
                <w:sz w:val="16"/>
                <w:szCs w:val="16"/>
              </w:rPr>
              <w:t>000 €</w:t>
            </w:r>
          </w:p>
        </w:tc>
        <w:tc>
          <w:tcPr>
            <w:tcW w:w="1843" w:type="dxa"/>
          </w:tcPr>
          <w:p w14:paraId="518B8E24"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$ 5</w:t>
            </w:r>
            <w:r w:rsidR="00166C49" w:rsidRPr="00D840DC">
              <w:rPr>
                <w:rFonts w:ascii="Arial" w:hAnsi="Arial" w:cs="Arial"/>
                <w:position w:val="0"/>
                <w:sz w:val="16"/>
                <w:szCs w:val="16"/>
              </w:rPr>
              <w:t>.</w:t>
            </w:r>
            <w:r w:rsidRPr="00D840DC">
              <w:rPr>
                <w:rFonts w:ascii="Arial" w:hAnsi="Arial" w:cs="Arial"/>
                <w:position w:val="0"/>
                <w:sz w:val="16"/>
                <w:szCs w:val="16"/>
              </w:rPr>
              <w:t>333</w:t>
            </w:r>
          </w:p>
        </w:tc>
        <w:tc>
          <w:tcPr>
            <w:tcW w:w="1825" w:type="dxa"/>
          </w:tcPr>
          <w:p w14:paraId="71D8D39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0,9%</w:t>
            </w:r>
          </w:p>
        </w:tc>
      </w:tr>
      <w:tr w:rsidR="00D840DC" w:rsidRPr="00D840DC" w14:paraId="58392DC7" w14:textId="77777777" w:rsidTr="00DA0BCC">
        <w:tc>
          <w:tcPr>
            <w:tcW w:w="3085" w:type="dxa"/>
          </w:tcPr>
          <w:p w14:paraId="36C88B84"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Mantenimiento y seguimiento</w:t>
            </w:r>
          </w:p>
        </w:tc>
        <w:tc>
          <w:tcPr>
            <w:tcW w:w="2126" w:type="dxa"/>
          </w:tcPr>
          <w:p w14:paraId="469D0B70"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8</w:t>
            </w:r>
            <w:r w:rsidR="00166C49" w:rsidRPr="00D840DC">
              <w:rPr>
                <w:rFonts w:ascii="Arial" w:hAnsi="Arial" w:cs="Arial"/>
                <w:position w:val="0"/>
                <w:sz w:val="16"/>
                <w:szCs w:val="16"/>
              </w:rPr>
              <w:t>.</w:t>
            </w:r>
            <w:r w:rsidRPr="00D840DC">
              <w:rPr>
                <w:rFonts w:ascii="Arial" w:hAnsi="Arial" w:cs="Arial"/>
                <w:position w:val="0"/>
                <w:sz w:val="16"/>
                <w:szCs w:val="16"/>
              </w:rPr>
              <w:t>326 €</w:t>
            </w:r>
          </w:p>
        </w:tc>
        <w:tc>
          <w:tcPr>
            <w:tcW w:w="1843" w:type="dxa"/>
          </w:tcPr>
          <w:p w14:paraId="11CCA247"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$ 11</w:t>
            </w:r>
            <w:r w:rsidR="00166C49" w:rsidRPr="00D840DC">
              <w:rPr>
                <w:rFonts w:ascii="Arial" w:hAnsi="Arial" w:cs="Arial"/>
                <w:position w:val="0"/>
                <w:sz w:val="16"/>
                <w:szCs w:val="16"/>
              </w:rPr>
              <w:t>.</w:t>
            </w:r>
            <w:r w:rsidRPr="00D840DC">
              <w:rPr>
                <w:rFonts w:ascii="Arial" w:hAnsi="Arial" w:cs="Arial"/>
                <w:position w:val="0"/>
                <w:sz w:val="16"/>
                <w:szCs w:val="16"/>
              </w:rPr>
              <w:t>101</w:t>
            </w:r>
          </w:p>
        </w:tc>
        <w:tc>
          <w:tcPr>
            <w:tcW w:w="1825" w:type="dxa"/>
          </w:tcPr>
          <w:p w14:paraId="727A486B"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1,9%</w:t>
            </w:r>
          </w:p>
        </w:tc>
      </w:tr>
      <w:tr w:rsidR="00D840DC" w:rsidRPr="00D840DC" w14:paraId="4D4FAF14" w14:textId="77777777" w:rsidTr="00DA0BCC">
        <w:tc>
          <w:tcPr>
            <w:tcW w:w="3085" w:type="dxa"/>
          </w:tcPr>
          <w:p w14:paraId="249DFD57"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Suma (a)</w:t>
            </w:r>
          </w:p>
        </w:tc>
        <w:tc>
          <w:tcPr>
            <w:tcW w:w="2126" w:type="dxa"/>
          </w:tcPr>
          <w:p w14:paraId="5C0CC87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438</w:t>
            </w:r>
            <w:r w:rsidR="00166C49" w:rsidRPr="00D840DC">
              <w:rPr>
                <w:rFonts w:ascii="Arial" w:hAnsi="Arial" w:cs="Arial"/>
                <w:position w:val="0"/>
                <w:sz w:val="16"/>
                <w:szCs w:val="16"/>
              </w:rPr>
              <w:t>.</w:t>
            </w:r>
            <w:r w:rsidRPr="00D840DC">
              <w:rPr>
                <w:rFonts w:ascii="Arial" w:hAnsi="Arial" w:cs="Arial"/>
                <w:position w:val="0"/>
                <w:sz w:val="16"/>
                <w:szCs w:val="16"/>
              </w:rPr>
              <w:t>098 €</w:t>
            </w:r>
          </w:p>
        </w:tc>
        <w:tc>
          <w:tcPr>
            <w:tcW w:w="1843" w:type="dxa"/>
          </w:tcPr>
          <w:p w14:paraId="7173A9F0"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$ 584</w:t>
            </w:r>
            <w:r w:rsidR="00166C49" w:rsidRPr="00D840DC">
              <w:rPr>
                <w:rFonts w:ascii="Arial" w:hAnsi="Arial" w:cs="Arial"/>
                <w:position w:val="0"/>
                <w:sz w:val="16"/>
                <w:szCs w:val="16"/>
              </w:rPr>
              <w:t>.</w:t>
            </w:r>
            <w:r w:rsidRPr="00D840DC">
              <w:rPr>
                <w:rFonts w:ascii="Arial" w:hAnsi="Arial" w:cs="Arial"/>
                <w:position w:val="0"/>
                <w:sz w:val="16"/>
                <w:szCs w:val="16"/>
              </w:rPr>
              <w:t>131</w:t>
            </w:r>
          </w:p>
        </w:tc>
        <w:tc>
          <w:tcPr>
            <w:tcW w:w="1825" w:type="dxa"/>
          </w:tcPr>
          <w:p w14:paraId="7D4B502C"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100,0%</w:t>
            </w:r>
          </w:p>
        </w:tc>
      </w:tr>
      <w:tr w:rsidR="00D840DC" w:rsidRPr="00D840DC" w14:paraId="7B9ECC33" w14:textId="77777777" w:rsidTr="00DA0BCC">
        <w:tc>
          <w:tcPr>
            <w:tcW w:w="3085" w:type="dxa"/>
          </w:tcPr>
          <w:p w14:paraId="04FC7F4A"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b/>
                <w:position w:val="0"/>
                <w:sz w:val="16"/>
                <w:szCs w:val="16"/>
              </w:rPr>
            </w:pPr>
            <w:r w:rsidRPr="00D840DC">
              <w:rPr>
                <w:rFonts w:ascii="Arial" w:hAnsi="Arial" w:cs="Arial"/>
                <w:b/>
                <w:position w:val="0"/>
                <w:sz w:val="16"/>
                <w:szCs w:val="16"/>
              </w:rPr>
              <w:t>Tabla 2 Variable co</w:t>
            </w:r>
            <w:r w:rsidR="00166C49" w:rsidRPr="00D840DC">
              <w:rPr>
                <w:rFonts w:ascii="Arial" w:hAnsi="Arial" w:cs="Arial"/>
                <w:b/>
                <w:position w:val="0"/>
                <w:sz w:val="16"/>
                <w:szCs w:val="16"/>
              </w:rPr>
              <w:t>s</w:t>
            </w:r>
            <w:r w:rsidRPr="00D840DC">
              <w:rPr>
                <w:rFonts w:ascii="Arial" w:hAnsi="Arial" w:cs="Arial"/>
                <w:b/>
                <w:position w:val="0"/>
                <w:sz w:val="16"/>
                <w:szCs w:val="16"/>
              </w:rPr>
              <w:t xml:space="preserve">te de producción </w:t>
            </w:r>
          </w:p>
        </w:tc>
        <w:tc>
          <w:tcPr>
            <w:tcW w:w="2126" w:type="dxa"/>
          </w:tcPr>
          <w:p w14:paraId="65ABF85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p>
        </w:tc>
        <w:tc>
          <w:tcPr>
            <w:tcW w:w="1843" w:type="dxa"/>
          </w:tcPr>
          <w:p w14:paraId="11644116"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p>
        </w:tc>
        <w:tc>
          <w:tcPr>
            <w:tcW w:w="1825" w:type="dxa"/>
          </w:tcPr>
          <w:p w14:paraId="4E21A40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p>
        </w:tc>
      </w:tr>
      <w:tr w:rsidR="00D840DC" w:rsidRPr="00D840DC" w14:paraId="1C5D56FA" w14:textId="77777777" w:rsidTr="00DA0BCC">
        <w:tc>
          <w:tcPr>
            <w:tcW w:w="3085" w:type="dxa"/>
          </w:tcPr>
          <w:p w14:paraId="160CC60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Materiales de producción (variable) (b)</w:t>
            </w:r>
          </w:p>
        </w:tc>
        <w:tc>
          <w:tcPr>
            <w:tcW w:w="2126" w:type="dxa"/>
          </w:tcPr>
          <w:p w14:paraId="0316AE94"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32.</w:t>
            </w:r>
            <w:r w:rsidR="00DA0BCC" w:rsidRPr="00D840DC">
              <w:rPr>
                <w:rFonts w:ascii="Arial" w:hAnsi="Arial" w:cs="Arial"/>
                <w:position w:val="0"/>
                <w:sz w:val="16"/>
                <w:szCs w:val="16"/>
              </w:rPr>
              <w:t>300 €</w:t>
            </w:r>
          </w:p>
        </w:tc>
        <w:tc>
          <w:tcPr>
            <w:tcW w:w="1843" w:type="dxa"/>
          </w:tcPr>
          <w:p w14:paraId="18340CAE"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$ 43</w:t>
            </w:r>
            <w:r w:rsidR="00166C49" w:rsidRPr="00D840DC">
              <w:rPr>
                <w:rFonts w:ascii="Arial" w:hAnsi="Arial" w:cs="Arial"/>
                <w:position w:val="0"/>
                <w:sz w:val="16"/>
                <w:szCs w:val="16"/>
              </w:rPr>
              <w:t>.</w:t>
            </w:r>
            <w:r w:rsidRPr="00D840DC">
              <w:rPr>
                <w:rFonts w:ascii="Arial" w:hAnsi="Arial" w:cs="Arial"/>
                <w:position w:val="0"/>
                <w:sz w:val="16"/>
                <w:szCs w:val="16"/>
              </w:rPr>
              <w:t>067</w:t>
            </w:r>
          </w:p>
        </w:tc>
        <w:tc>
          <w:tcPr>
            <w:tcW w:w="1825" w:type="dxa"/>
          </w:tcPr>
          <w:p w14:paraId="1FD7296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92,8%</w:t>
            </w:r>
          </w:p>
        </w:tc>
      </w:tr>
      <w:tr w:rsidR="00D840DC" w:rsidRPr="00D840DC" w14:paraId="7162359C" w14:textId="77777777" w:rsidTr="00DA0BCC">
        <w:tc>
          <w:tcPr>
            <w:tcW w:w="3085" w:type="dxa"/>
          </w:tcPr>
          <w:p w14:paraId="43DE6B85"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Pruebas externas y control estéril</w:t>
            </w:r>
          </w:p>
        </w:tc>
        <w:tc>
          <w:tcPr>
            <w:tcW w:w="2126" w:type="dxa"/>
          </w:tcPr>
          <w:p w14:paraId="46CF97B8"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353 €</w:t>
            </w:r>
          </w:p>
        </w:tc>
        <w:tc>
          <w:tcPr>
            <w:tcW w:w="1843" w:type="dxa"/>
          </w:tcPr>
          <w:p w14:paraId="24FC55D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$ 471</w:t>
            </w:r>
          </w:p>
        </w:tc>
        <w:tc>
          <w:tcPr>
            <w:tcW w:w="1825" w:type="dxa"/>
          </w:tcPr>
          <w:p w14:paraId="7F761DC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1,0%</w:t>
            </w:r>
          </w:p>
        </w:tc>
      </w:tr>
      <w:tr w:rsidR="00D840DC" w:rsidRPr="00D840DC" w14:paraId="166778EA" w14:textId="77777777" w:rsidTr="00DA0BCC">
        <w:tc>
          <w:tcPr>
            <w:tcW w:w="3085" w:type="dxa"/>
          </w:tcPr>
          <w:p w14:paraId="5FAF907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Leucocitaféresis</w:t>
            </w:r>
          </w:p>
        </w:tc>
        <w:tc>
          <w:tcPr>
            <w:tcW w:w="2126" w:type="dxa"/>
          </w:tcPr>
          <w:p w14:paraId="6D46FE1F"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2</w:t>
            </w:r>
            <w:r w:rsidR="00166C49" w:rsidRPr="00D840DC">
              <w:rPr>
                <w:rFonts w:ascii="Arial" w:hAnsi="Arial" w:cs="Arial"/>
                <w:position w:val="0"/>
                <w:sz w:val="16"/>
                <w:szCs w:val="16"/>
              </w:rPr>
              <w:t>.</w:t>
            </w:r>
            <w:r w:rsidRPr="00D840DC">
              <w:rPr>
                <w:rFonts w:ascii="Arial" w:hAnsi="Arial" w:cs="Arial"/>
                <w:position w:val="0"/>
                <w:sz w:val="16"/>
                <w:szCs w:val="16"/>
              </w:rPr>
              <w:t>145 €</w:t>
            </w:r>
          </w:p>
        </w:tc>
        <w:tc>
          <w:tcPr>
            <w:tcW w:w="1843" w:type="dxa"/>
          </w:tcPr>
          <w:p w14:paraId="578FEEFC"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$ 2</w:t>
            </w:r>
            <w:r w:rsidR="00166C49" w:rsidRPr="00D840DC">
              <w:rPr>
                <w:rFonts w:ascii="Arial" w:hAnsi="Arial" w:cs="Arial"/>
                <w:position w:val="0"/>
                <w:sz w:val="16"/>
                <w:szCs w:val="16"/>
              </w:rPr>
              <w:t>.</w:t>
            </w:r>
            <w:r w:rsidRPr="00D840DC">
              <w:rPr>
                <w:rFonts w:ascii="Arial" w:hAnsi="Arial" w:cs="Arial"/>
                <w:position w:val="0"/>
                <w:sz w:val="16"/>
                <w:szCs w:val="16"/>
              </w:rPr>
              <w:t>860</w:t>
            </w:r>
          </w:p>
        </w:tc>
        <w:tc>
          <w:tcPr>
            <w:tcW w:w="1825" w:type="dxa"/>
          </w:tcPr>
          <w:p w14:paraId="47D01FF9"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6,2%</w:t>
            </w:r>
          </w:p>
        </w:tc>
      </w:tr>
      <w:tr w:rsidR="00D840DC" w:rsidRPr="00D840DC" w14:paraId="7AF276DC" w14:textId="77777777" w:rsidTr="00DA0BCC">
        <w:tc>
          <w:tcPr>
            <w:tcW w:w="3085" w:type="dxa"/>
          </w:tcPr>
          <w:p w14:paraId="1A965A3D"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Suma (a)</w:t>
            </w:r>
          </w:p>
        </w:tc>
        <w:tc>
          <w:tcPr>
            <w:tcW w:w="2126" w:type="dxa"/>
          </w:tcPr>
          <w:p w14:paraId="1510969A" w14:textId="77777777" w:rsidR="00DA0BCC" w:rsidRPr="00D840DC" w:rsidRDefault="00166C49"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34.</w:t>
            </w:r>
            <w:r w:rsidR="00DA0BCC" w:rsidRPr="00D840DC">
              <w:rPr>
                <w:rFonts w:ascii="Arial" w:hAnsi="Arial" w:cs="Arial"/>
                <w:position w:val="0"/>
                <w:sz w:val="16"/>
                <w:szCs w:val="16"/>
              </w:rPr>
              <w:t>798 €</w:t>
            </w:r>
          </w:p>
        </w:tc>
        <w:tc>
          <w:tcPr>
            <w:tcW w:w="1843" w:type="dxa"/>
          </w:tcPr>
          <w:p w14:paraId="386E4D84" w14:textId="77777777" w:rsidR="00DA0BCC" w:rsidRPr="00D840DC" w:rsidRDefault="00DA0BCC" w:rsidP="00166C49">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$ 46</w:t>
            </w:r>
            <w:r w:rsidR="00166C49" w:rsidRPr="00D840DC">
              <w:rPr>
                <w:rFonts w:ascii="Arial" w:hAnsi="Arial" w:cs="Arial"/>
                <w:position w:val="0"/>
                <w:sz w:val="16"/>
                <w:szCs w:val="16"/>
              </w:rPr>
              <w:t>.</w:t>
            </w:r>
            <w:r w:rsidRPr="00D840DC">
              <w:rPr>
                <w:rFonts w:ascii="Arial" w:hAnsi="Arial" w:cs="Arial"/>
                <w:position w:val="0"/>
                <w:sz w:val="16"/>
                <w:szCs w:val="16"/>
              </w:rPr>
              <w:t>397</w:t>
            </w:r>
          </w:p>
        </w:tc>
        <w:tc>
          <w:tcPr>
            <w:tcW w:w="1825" w:type="dxa"/>
          </w:tcPr>
          <w:p w14:paraId="7AA083F0" w14:textId="77777777" w:rsidR="00DA0BCC" w:rsidRPr="00D840DC" w:rsidRDefault="00DA0BCC" w:rsidP="00DA0BCC">
            <w:pPr>
              <w:suppressAutoHyphens w:val="0"/>
              <w:spacing w:line="240" w:lineRule="auto"/>
              <w:ind w:leftChars="0" w:left="0" w:firstLineChars="0" w:firstLine="0"/>
              <w:textDirection w:val="lrTb"/>
              <w:textAlignment w:val="auto"/>
              <w:outlineLvl w:val="9"/>
              <w:rPr>
                <w:rFonts w:ascii="Arial" w:hAnsi="Arial" w:cs="Arial"/>
                <w:position w:val="0"/>
                <w:sz w:val="16"/>
                <w:szCs w:val="16"/>
              </w:rPr>
            </w:pPr>
            <w:r w:rsidRPr="00D840DC">
              <w:rPr>
                <w:rFonts w:ascii="Arial" w:hAnsi="Arial" w:cs="Arial"/>
                <w:position w:val="0"/>
                <w:sz w:val="16"/>
                <w:szCs w:val="16"/>
              </w:rPr>
              <w:t>100,0%</w:t>
            </w:r>
          </w:p>
        </w:tc>
      </w:tr>
      <w:tr w:rsidR="00DA0BCC" w:rsidRPr="00D840DC" w14:paraId="2B430DA6" w14:textId="77777777" w:rsidTr="00DA0BCC">
        <w:tc>
          <w:tcPr>
            <w:tcW w:w="8879" w:type="dxa"/>
            <w:gridSpan w:val="4"/>
          </w:tcPr>
          <w:p w14:paraId="42C6CCAF" w14:textId="77777777" w:rsidR="00DA0BCC" w:rsidRPr="00D840DC" w:rsidRDefault="00DA0BCC" w:rsidP="00166C49">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rPr>
            </w:pPr>
            <w:r w:rsidRPr="00D840DC">
              <w:rPr>
                <w:rFonts w:ascii="Arial" w:hAnsi="Arial" w:cs="Arial"/>
                <w:position w:val="0"/>
                <w:sz w:val="16"/>
                <w:szCs w:val="16"/>
              </w:rPr>
              <w:t xml:space="preserve">(a) </w:t>
            </w:r>
            <w:r w:rsidR="00166C49" w:rsidRPr="00D840DC">
              <w:rPr>
                <w:rFonts w:ascii="Arial" w:hAnsi="Arial" w:cs="Arial"/>
                <w:position w:val="0"/>
                <w:sz w:val="16"/>
                <w:szCs w:val="16"/>
              </w:rPr>
              <w:t>Con</w:t>
            </w:r>
            <w:r w:rsidRPr="00D840DC">
              <w:rPr>
                <w:rFonts w:ascii="Arial" w:hAnsi="Arial" w:cs="Arial"/>
                <w:position w:val="0"/>
                <w:sz w:val="16"/>
                <w:szCs w:val="16"/>
              </w:rPr>
              <w:t xml:space="preserve"> producción descentralizada de células T, el coste total por producto se acercaría a los 60 000 € Como se muestra en el análisis de escenarios, si se instalaran tres máquinas en la sala limpia, el costo por producción podría ser tan bajo como € 45</w:t>
            </w:r>
            <w:r w:rsidR="00166C49" w:rsidRPr="00D840DC">
              <w:rPr>
                <w:rFonts w:ascii="Arial" w:hAnsi="Arial" w:cs="Arial"/>
                <w:position w:val="0"/>
                <w:sz w:val="16"/>
                <w:szCs w:val="16"/>
              </w:rPr>
              <w:t>.</w:t>
            </w:r>
            <w:r w:rsidRPr="00D840DC">
              <w:rPr>
                <w:rFonts w:ascii="Arial" w:hAnsi="Arial" w:cs="Arial"/>
                <w:position w:val="0"/>
                <w:sz w:val="16"/>
                <w:szCs w:val="16"/>
              </w:rPr>
              <w:t>000, sumando costes fijos y variables</w:t>
            </w:r>
            <w:r w:rsidR="00166C49" w:rsidRPr="00D840DC">
              <w:rPr>
                <w:rFonts w:ascii="Arial" w:hAnsi="Arial" w:cs="Arial"/>
                <w:position w:val="0"/>
                <w:sz w:val="16"/>
                <w:szCs w:val="16"/>
              </w:rPr>
              <w:t>.</w:t>
            </w:r>
          </w:p>
          <w:p w14:paraId="5FA72BAA" w14:textId="77777777" w:rsidR="00DA0BCC" w:rsidRPr="00D840DC" w:rsidRDefault="00166C49" w:rsidP="00166C49">
            <w:pPr>
              <w:suppressAutoHyphens w:val="0"/>
              <w:spacing w:line="240" w:lineRule="auto"/>
              <w:ind w:leftChars="0" w:left="0" w:firstLineChars="0" w:firstLine="0"/>
              <w:jc w:val="both"/>
              <w:textDirection w:val="lrTb"/>
              <w:textAlignment w:val="auto"/>
              <w:outlineLvl w:val="9"/>
              <w:rPr>
                <w:rFonts w:ascii="Arial" w:hAnsi="Arial" w:cs="Arial"/>
                <w:position w:val="0"/>
                <w:sz w:val="16"/>
                <w:szCs w:val="16"/>
              </w:rPr>
            </w:pPr>
            <w:r w:rsidRPr="00D840DC">
              <w:rPr>
                <w:rFonts w:ascii="Arial" w:hAnsi="Arial" w:cs="Arial"/>
                <w:position w:val="0"/>
                <w:sz w:val="16"/>
                <w:szCs w:val="16"/>
              </w:rPr>
              <w:t xml:space="preserve">(b) </w:t>
            </w:r>
            <w:r w:rsidR="00DA0BCC" w:rsidRPr="00D840DC">
              <w:rPr>
                <w:rFonts w:ascii="Arial" w:eastAsia="Arial" w:hAnsi="Arial" w:cs="Arial"/>
                <w:sz w:val="16"/>
                <w:szCs w:val="16"/>
              </w:rPr>
              <w:t>Los materiales de producción estaban c</w:t>
            </w:r>
            <w:r w:rsidRPr="00D840DC">
              <w:rPr>
                <w:rFonts w:ascii="Arial" w:eastAsia="Arial" w:hAnsi="Arial" w:cs="Arial"/>
                <w:sz w:val="16"/>
                <w:szCs w:val="16"/>
              </w:rPr>
              <w:t>ompuestos por lentivirus ($ 866.666 / lote o $ 28.</w:t>
            </w:r>
            <w:r w:rsidR="00DA0BCC" w:rsidRPr="00D840DC">
              <w:rPr>
                <w:rFonts w:ascii="Arial" w:eastAsia="Arial" w:hAnsi="Arial" w:cs="Arial"/>
                <w:sz w:val="16"/>
                <w:szCs w:val="16"/>
              </w:rPr>
              <w:t>889 / producción), consumibles (medios, citocinas, perlas, tampón y material de plást</w:t>
            </w:r>
            <w:r w:rsidRPr="00D840DC">
              <w:rPr>
                <w:rFonts w:ascii="Arial" w:eastAsia="Arial" w:hAnsi="Arial" w:cs="Arial"/>
                <w:sz w:val="16"/>
                <w:szCs w:val="16"/>
              </w:rPr>
              <w:t>ico, con un costo total de $ 13.</w:t>
            </w:r>
            <w:r w:rsidR="00DA0BCC" w:rsidRPr="00D840DC">
              <w:rPr>
                <w:rFonts w:ascii="Arial" w:eastAsia="Arial" w:hAnsi="Arial" w:cs="Arial"/>
                <w:sz w:val="16"/>
                <w:szCs w:val="16"/>
              </w:rPr>
              <w:t>333 / producción) y albúmina de suero humano ($ 400 / producción.). Los costos de las construcciones de vectores lentivirales de grado GMP son en la actualidad (2020) de alrededor de 866</w:t>
            </w:r>
            <w:r w:rsidRPr="00D840DC">
              <w:rPr>
                <w:rFonts w:ascii="Arial" w:eastAsia="Arial" w:hAnsi="Arial" w:cs="Arial"/>
                <w:sz w:val="16"/>
                <w:szCs w:val="16"/>
              </w:rPr>
              <w:t>.</w:t>
            </w:r>
            <w:r w:rsidR="00DA0BCC" w:rsidRPr="00D840DC">
              <w:rPr>
                <w:rFonts w:ascii="Arial" w:eastAsia="Arial" w:hAnsi="Arial" w:cs="Arial"/>
                <w:sz w:val="16"/>
                <w:szCs w:val="16"/>
              </w:rPr>
              <w:t>666 $, incluida la producción del plásmido de transferencia, los lotes de prueba y GMP del vector lentiviral y el control del producto.</w:t>
            </w:r>
            <w:r w:rsidR="00DA0BCC" w:rsidRPr="00D840DC">
              <w:rPr>
                <w:rStyle w:val="Refdenotaalfinal"/>
                <w:rFonts w:ascii="Arial" w:eastAsia="Arial" w:hAnsi="Arial" w:cs="Arial"/>
                <w:sz w:val="16"/>
                <w:szCs w:val="16"/>
              </w:rPr>
              <w:endnoteReference w:id="15"/>
            </w:r>
          </w:p>
        </w:tc>
      </w:tr>
    </w:tbl>
    <w:p w14:paraId="466F5A91" w14:textId="77777777" w:rsidR="00DA0BCC" w:rsidRPr="00D840DC" w:rsidRDefault="00DA0BCC" w:rsidP="00DA0BCC">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sz w:val="20"/>
        </w:rPr>
      </w:pPr>
    </w:p>
    <w:p w14:paraId="38F24E88" w14:textId="77777777" w:rsidR="00DA0BCC" w:rsidRPr="00D840DC" w:rsidRDefault="00DA0BCC" w:rsidP="00DA0BCC">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sz w:val="20"/>
        </w:rPr>
      </w:pPr>
      <w:r w:rsidRPr="00D840DC">
        <w:rPr>
          <w:rFonts w:ascii="Arial" w:eastAsia="Arial" w:hAnsi="Arial" w:cs="Arial"/>
          <w:sz w:val="20"/>
        </w:rPr>
        <w:t>Sería necesario disponer de datos específicos para Libmeldy</w:t>
      </w:r>
      <w:r w:rsidRPr="00D840DC">
        <w:rPr>
          <w:rFonts w:ascii="Arial" w:hAnsi="Arial" w:cs="Arial"/>
          <w:bCs/>
          <w:sz w:val="20"/>
          <w:szCs w:val="20"/>
          <w:vertAlign w:val="superscript"/>
        </w:rPr>
        <w:t>®</w:t>
      </w:r>
      <w:r w:rsidRPr="00D840DC">
        <w:rPr>
          <w:rFonts w:ascii="Arial" w:eastAsia="Arial" w:hAnsi="Arial" w:cs="Arial"/>
          <w:sz w:val="20"/>
        </w:rPr>
        <w:t xml:space="preserve"> facilitados por la compañía, pero tomamos </w:t>
      </w:r>
      <w:r w:rsidRPr="00D840DC">
        <w:rPr>
          <w:rFonts w:ascii="Arial" w:eastAsia="Arial" w:hAnsi="Arial" w:cs="Arial"/>
          <w:b/>
          <w:sz w:val="20"/>
        </w:rPr>
        <w:t>45.000 € como coste de producción</w:t>
      </w:r>
      <w:r w:rsidRPr="00D840DC">
        <w:rPr>
          <w:rFonts w:ascii="Arial" w:eastAsia="Arial" w:hAnsi="Arial" w:cs="Arial"/>
          <w:sz w:val="20"/>
        </w:rPr>
        <w:t xml:space="preserve"> plausible.</w:t>
      </w:r>
    </w:p>
    <w:p w14:paraId="42BB99CA" w14:textId="77777777" w:rsidR="00EB3556" w:rsidRPr="00D840DC" w:rsidRDefault="00EB3556" w:rsidP="002D754C">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rPr>
      </w:pPr>
    </w:p>
    <w:p w14:paraId="3207A0D1" w14:textId="77777777" w:rsidR="00422146"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Costes de investigación</w:t>
      </w:r>
    </w:p>
    <w:p w14:paraId="69B141DF" w14:textId="77777777" w:rsidR="00422146" w:rsidRPr="00D840DC" w:rsidRDefault="00422146">
      <w:pPr>
        <w:pBdr>
          <w:top w:val="nil"/>
          <w:left w:val="nil"/>
          <w:bottom w:val="nil"/>
          <w:right w:val="nil"/>
          <w:between w:val="nil"/>
        </w:pBdr>
        <w:tabs>
          <w:tab w:val="center" w:pos="4252"/>
          <w:tab w:val="right" w:pos="8504"/>
        </w:tabs>
        <w:spacing w:line="240" w:lineRule="auto"/>
        <w:ind w:left="0" w:hanging="2"/>
        <w:rPr>
          <w:rFonts w:ascii="Arial" w:eastAsia="Arial" w:hAnsi="Arial" w:cs="Arial"/>
        </w:rPr>
      </w:pPr>
    </w:p>
    <w:p w14:paraId="503900F2" w14:textId="77777777" w:rsidR="00DA0BCC" w:rsidRPr="00D840DC" w:rsidRDefault="00DA0BCC" w:rsidP="00DA0BCC">
      <w:pPr>
        <w:pBdr>
          <w:bottom w:val="single" w:sz="4" w:space="1" w:color="auto"/>
        </w:pBdr>
        <w:ind w:left="0" w:hanging="2"/>
        <w:rPr>
          <w:rFonts w:ascii="Arial" w:hAnsi="Arial" w:cs="Arial"/>
          <w:b/>
          <w:sz w:val="20"/>
          <w:szCs w:val="20"/>
        </w:rPr>
      </w:pPr>
      <w:r w:rsidRPr="00D840DC">
        <w:rPr>
          <w:rFonts w:ascii="Arial" w:hAnsi="Arial" w:cs="Arial"/>
          <w:b/>
          <w:sz w:val="20"/>
          <w:szCs w:val="20"/>
        </w:rPr>
        <w:t xml:space="preserve">Coste Investigación básica e inicial </w:t>
      </w:r>
    </w:p>
    <w:p w14:paraId="35E62433" w14:textId="77777777" w:rsidR="00DA0BCC" w:rsidRPr="00D840DC" w:rsidRDefault="00E1001F" w:rsidP="000B40AA">
      <w:pPr>
        <w:ind w:left="0" w:hanging="2"/>
        <w:jc w:val="both"/>
        <w:rPr>
          <w:rFonts w:ascii="Arial" w:hAnsi="Arial" w:cs="Arial"/>
          <w:sz w:val="20"/>
          <w:szCs w:val="20"/>
        </w:rPr>
      </w:pPr>
      <w:r w:rsidRPr="00D840DC">
        <w:rPr>
          <w:rFonts w:ascii="Arial" w:hAnsi="Arial" w:cs="Arial"/>
          <w:sz w:val="20"/>
          <w:szCs w:val="20"/>
        </w:rPr>
        <w:t>Libmeldy</w:t>
      </w:r>
      <w:r w:rsidRPr="00D840DC">
        <w:rPr>
          <w:rFonts w:ascii="Arial" w:hAnsi="Arial" w:cs="Arial"/>
          <w:sz w:val="20"/>
          <w:szCs w:val="20"/>
          <w:vertAlign w:val="superscript"/>
        </w:rPr>
        <w:t>®</w:t>
      </w:r>
      <w:r w:rsidRPr="00D840DC">
        <w:rPr>
          <w:rFonts w:ascii="Arial" w:hAnsi="Arial" w:cs="Arial"/>
          <w:sz w:val="20"/>
          <w:szCs w:val="20"/>
        </w:rPr>
        <w:t xml:space="preserve"> fue adquirido de GSK en abril de 2018 y se originó a partir de una colaboración entre GSK y el Hospital San Raffaele y Fondazione Telethon, actuando a través de su Instituto conjunto San Raffaele-Telethon de Terapia Génica en Milán.</w:t>
      </w:r>
      <w:r w:rsidR="00993FC5" w:rsidRPr="00D840DC">
        <w:rPr>
          <w:rFonts w:ascii="Arial" w:hAnsi="Arial" w:cs="Arial"/>
          <w:sz w:val="20"/>
          <w:szCs w:val="20"/>
        </w:rPr>
        <w:t xml:space="preserve"> Posteriormente, GSK y Orchard Therapeutics anunciaron un acuerdo estratégico, según el cual GSK transf</w:t>
      </w:r>
      <w:r w:rsidR="005637D2" w:rsidRPr="00D840DC">
        <w:rPr>
          <w:rFonts w:ascii="Arial" w:hAnsi="Arial" w:cs="Arial"/>
          <w:sz w:val="20"/>
          <w:szCs w:val="20"/>
        </w:rPr>
        <w:t>irió su cartera de terapias gén</w:t>
      </w:r>
      <w:r w:rsidR="00993FC5" w:rsidRPr="00D840DC">
        <w:rPr>
          <w:rFonts w:ascii="Arial" w:hAnsi="Arial" w:cs="Arial"/>
          <w:sz w:val="20"/>
          <w:szCs w:val="20"/>
        </w:rPr>
        <w:t>icas de enfermedades raras aprobadas e investigadas a Orchard, asegurando el desarrollo continuo de los programas y el acceso para los pacientes</w:t>
      </w:r>
      <w:r w:rsidR="005637D2" w:rsidRPr="00D840DC">
        <w:rPr>
          <w:rFonts w:ascii="Arial" w:hAnsi="Arial" w:cs="Arial"/>
          <w:sz w:val="20"/>
          <w:szCs w:val="20"/>
        </w:rPr>
        <w:t>. Según el acuerdo, GSK se convi</w:t>
      </w:r>
      <w:r w:rsidR="00993FC5" w:rsidRPr="00D840DC">
        <w:rPr>
          <w:rFonts w:ascii="Arial" w:hAnsi="Arial" w:cs="Arial"/>
          <w:sz w:val="20"/>
          <w:szCs w:val="20"/>
        </w:rPr>
        <w:t>rti</w:t>
      </w:r>
      <w:r w:rsidR="006D67D3" w:rsidRPr="00D840DC">
        <w:rPr>
          <w:rFonts w:ascii="Arial" w:hAnsi="Arial" w:cs="Arial"/>
          <w:sz w:val="20"/>
          <w:szCs w:val="20"/>
        </w:rPr>
        <w:t>ó</w:t>
      </w:r>
      <w:r w:rsidR="00993FC5" w:rsidRPr="00D840DC">
        <w:rPr>
          <w:rFonts w:ascii="Arial" w:hAnsi="Arial" w:cs="Arial"/>
          <w:sz w:val="20"/>
          <w:szCs w:val="20"/>
        </w:rPr>
        <w:t xml:space="preserve"> en un inversor en Orchard Therapeutics, recibiendo una participación de capital del 19</w:t>
      </w:r>
      <w:r w:rsidR="006D67D3" w:rsidRPr="00D840DC">
        <w:rPr>
          <w:rFonts w:ascii="Arial" w:hAnsi="Arial" w:cs="Arial"/>
          <w:sz w:val="20"/>
          <w:szCs w:val="20"/>
        </w:rPr>
        <w:t>,</w:t>
      </w:r>
      <w:r w:rsidR="00993FC5" w:rsidRPr="00D840DC">
        <w:rPr>
          <w:rFonts w:ascii="Arial" w:hAnsi="Arial" w:cs="Arial"/>
          <w:sz w:val="20"/>
          <w:szCs w:val="20"/>
        </w:rPr>
        <w:t xml:space="preserve">9% ​​junto con un asiento en </w:t>
      </w:r>
      <w:r w:rsidR="005637D2" w:rsidRPr="00D840DC">
        <w:rPr>
          <w:rFonts w:ascii="Arial" w:hAnsi="Arial" w:cs="Arial"/>
          <w:sz w:val="20"/>
          <w:szCs w:val="20"/>
        </w:rPr>
        <w:t>la dirección</w:t>
      </w:r>
      <w:r w:rsidR="00993FC5" w:rsidRPr="00D840DC">
        <w:rPr>
          <w:rFonts w:ascii="Arial" w:hAnsi="Arial" w:cs="Arial"/>
          <w:sz w:val="20"/>
          <w:szCs w:val="20"/>
        </w:rPr>
        <w:t xml:space="preserve"> de la compañía.</w:t>
      </w:r>
      <w:r w:rsidR="00DA0BCC" w:rsidRPr="00D840DC">
        <w:rPr>
          <w:rFonts w:ascii="Arial" w:hAnsi="Arial" w:cs="Arial"/>
          <w:sz w:val="20"/>
          <w:szCs w:val="20"/>
        </w:rPr>
        <w:t xml:space="preserve"> </w:t>
      </w:r>
    </w:p>
    <w:p w14:paraId="59077BA9" w14:textId="77777777" w:rsidR="00DA0BCC" w:rsidRPr="00D840DC" w:rsidRDefault="00DA0BCC" w:rsidP="00DA0BCC">
      <w:pPr>
        <w:ind w:left="0" w:hanging="2"/>
        <w:jc w:val="both"/>
        <w:rPr>
          <w:rFonts w:ascii="Arial" w:hAnsi="Arial" w:cs="Arial"/>
          <w:sz w:val="20"/>
          <w:szCs w:val="20"/>
        </w:rPr>
      </w:pPr>
      <w:r w:rsidRPr="00D840DC">
        <w:rPr>
          <w:rFonts w:ascii="Arial" w:hAnsi="Arial" w:cs="Arial"/>
          <w:sz w:val="20"/>
          <w:szCs w:val="20"/>
        </w:rPr>
        <w:t>No se ha localizado información sobre el coste de la investigación básica específica para Libmeldy</w:t>
      </w:r>
      <w:r w:rsidRPr="00D840DC">
        <w:rPr>
          <w:rFonts w:ascii="Arial" w:hAnsi="Arial" w:cs="Arial"/>
          <w:sz w:val="20"/>
          <w:szCs w:val="20"/>
          <w:vertAlign w:val="superscript"/>
        </w:rPr>
        <w:t>®</w:t>
      </w:r>
      <w:r w:rsidRPr="00D840DC">
        <w:rPr>
          <w:rFonts w:ascii="Arial" w:hAnsi="Arial" w:cs="Arial"/>
          <w:sz w:val="20"/>
          <w:szCs w:val="20"/>
        </w:rPr>
        <w:t xml:space="preserve">. Tampoco de la cantidad que pagó </w:t>
      </w:r>
      <w:r w:rsidRPr="00D840DC">
        <w:rPr>
          <w:rFonts w:ascii="Arial" w:hAnsi="Arial" w:cs="Arial"/>
          <w:i/>
          <w:sz w:val="20"/>
          <w:szCs w:val="20"/>
        </w:rPr>
        <w:t xml:space="preserve">GSK </w:t>
      </w:r>
      <w:r w:rsidRPr="00D840DC">
        <w:rPr>
          <w:rFonts w:ascii="Arial" w:hAnsi="Arial" w:cs="Arial"/>
          <w:sz w:val="20"/>
          <w:szCs w:val="20"/>
        </w:rPr>
        <w:t xml:space="preserve">al </w:t>
      </w:r>
      <w:r w:rsidRPr="00D840DC">
        <w:rPr>
          <w:rFonts w:ascii="Arial" w:hAnsi="Arial" w:cs="Arial"/>
          <w:i/>
          <w:sz w:val="20"/>
          <w:szCs w:val="20"/>
        </w:rPr>
        <w:t>Hospital San Raffaele y Fondazione Telethon</w:t>
      </w:r>
      <w:r w:rsidRPr="00D840DC">
        <w:rPr>
          <w:rFonts w:ascii="Arial" w:hAnsi="Arial" w:cs="Arial"/>
          <w:sz w:val="20"/>
          <w:szCs w:val="20"/>
        </w:rPr>
        <w:t xml:space="preserve"> por la adquisición de los derechos de exclusividad del producto. En las fases de investigación básica suele haber una alta proporción de financiación pública a los equipos y empresas investigadores. </w:t>
      </w:r>
      <w:r w:rsidR="00F67D1B" w:rsidRPr="00D840DC">
        <w:rPr>
          <w:rFonts w:ascii="Arial" w:hAnsi="Arial" w:cs="Arial"/>
          <w:sz w:val="20"/>
          <w:szCs w:val="20"/>
        </w:rPr>
        <w:t>No conocemos en este caso la cua</w:t>
      </w:r>
      <w:r w:rsidRPr="00D840DC">
        <w:rPr>
          <w:rFonts w:ascii="Arial" w:hAnsi="Arial" w:cs="Arial"/>
          <w:sz w:val="20"/>
          <w:szCs w:val="20"/>
        </w:rPr>
        <w:t>nt</w:t>
      </w:r>
      <w:r w:rsidR="00F67D1B" w:rsidRPr="00D840DC">
        <w:rPr>
          <w:rFonts w:ascii="Arial" w:hAnsi="Arial" w:cs="Arial"/>
          <w:sz w:val="20"/>
          <w:szCs w:val="20"/>
        </w:rPr>
        <w:t>í</w:t>
      </w:r>
      <w:r w:rsidRPr="00D840DC">
        <w:rPr>
          <w:rFonts w:ascii="Arial" w:hAnsi="Arial" w:cs="Arial"/>
          <w:sz w:val="20"/>
          <w:szCs w:val="20"/>
        </w:rPr>
        <w:t xml:space="preserve">a de </w:t>
      </w:r>
      <w:r w:rsidR="00F67D1B" w:rsidRPr="00D840DC">
        <w:rPr>
          <w:rFonts w:ascii="Arial" w:hAnsi="Arial" w:cs="Arial"/>
          <w:sz w:val="20"/>
          <w:szCs w:val="20"/>
        </w:rPr>
        <w:t xml:space="preserve">la </w:t>
      </w:r>
      <w:r w:rsidRPr="00D840DC">
        <w:rPr>
          <w:rFonts w:ascii="Arial" w:hAnsi="Arial" w:cs="Arial"/>
          <w:sz w:val="20"/>
          <w:szCs w:val="20"/>
        </w:rPr>
        <w:t xml:space="preserve">ayuda percibida en subvenciones públicas o de donaciones de organizaciones sin ánimo de lucro, en </w:t>
      </w:r>
      <w:r w:rsidRPr="00D840DC">
        <w:rPr>
          <w:rFonts w:ascii="Arial" w:hAnsi="Arial" w:cs="Arial"/>
          <w:i/>
          <w:sz w:val="20"/>
          <w:szCs w:val="20"/>
        </w:rPr>
        <w:t>bonus</w:t>
      </w:r>
      <w:r w:rsidRPr="00D840DC">
        <w:rPr>
          <w:rFonts w:ascii="Arial" w:hAnsi="Arial" w:cs="Arial"/>
          <w:sz w:val="20"/>
          <w:szCs w:val="20"/>
        </w:rPr>
        <w:t xml:space="preserve"> y desgravaciones fiscales, pero podemos asumir que es una proporción importante. </w:t>
      </w:r>
    </w:p>
    <w:p w14:paraId="0F1FF902" w14:textId="77777777" w:rsidR="00E1001F" w:rsidRPr="00D840DC" w:rsidRDefault="00E1001F" w:rsidP="000B40AA">
      <w:pPr>
        <w:ind w:left="0" w:hanging="2"/>
        <w:jc w:val="both"/>
        <w:rPr>
          <w:rFonts w:ascii="Arial" w:hAnsi="Arial" w:cs="Arial"/>
          <w:sz w:val="20"/>
          <w:szCs w:val="20"/>
        </w:rPr>
      </w:pPr>
    </w:p>
    <w:p w14:paraId="58A089CE" w14:textId="77777777" w:rsidR="00E1001F" w:rsidRPr="00D840DC" w:rsidRDefault="00E1001F" w:rsidP="00E1001F">
      <w:pPr>
        <w:pBdr>
          <w:bottom w:val="single" w:sz="4" w:space="1" w:color="auto"/>
        </w:pBdr>
        <w:ind w:left="0" w:hanging="2"/>
        <w:rPr>
          <w:rFonts w:ascii="Arial" w:hAnsi="Arial" w:cs="Arial"/>
          <w:b/>
          <w:sz w:val="20"/>
          <w:szCs w:val="20"/>
        </w:rPr>
      </w:pPr>
      <w:r w:rsidRPr="00D840DC">
        <w:rPr>
          <w:rFonts w:ascii="Arial" w:hAnsi="Arial" w:cs="Arial"/>
          <w:b/>
          <w:sz w:val="20"/>
          <w:szCs w:val="20"/>
        </w:rPr>
        <w:t>Coste ensayos clínicos.</w:t>
      </w:r>
    </w:p>
    <w:p w14:paraId="21D39A00"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Se han realizado dos ensayos clínicos con dos formulaciones diferentes y tres accesos expandidos con un total de 35 pacientes estudiados (ver tabla).</w:t>
      </w:r>
    </w:p>
    <w:p w14:paraId="4DC7B6A2" w14:textId="77777777" w:rsidR="000B40AA" w:rsidRPr="00D840DC" w:rsidRDefault="000B40AA" w:rsidP="000B40AA">
      <w:pPr>
        <w:ind w:left="0" w:hanging="2"/>
        <w:rPr>
          <w:rFonts w:ascii="Arial" w:hAnsi="Arial" w:cs="Arial"/>
          <w:sz w:val="20"/>
          <w:szCs w:val="20"/>
        </w:rPr>
      </w:pPr>
    </w:p>
    <w:tbl>
      <w:tblPr>
        <w:tblStyle w:val="Tablaconcuadrcula"/>
        <w:tblW w:w="8883" w:type="dxa"/>
        <w:tblInd w:w="108" w:type="dxa"/>
        <w:tblLayout w:type="fixed"/>
        <w:tblLook w:val="04A0" w:firstRow="1" w:lastRow="0" w:firstColumn="1" w:lastColumn="0" w:noHBand="0" w:noVBand="1"/>
      </w:tblPr>
      <w:tblGrid>
        <w:gridCol w:w="1937"/>
        <w:gridCol w:w="5529"/>
        <w:gridCol w:w="1417"/>
      </w:tblGrid>
      <w:tr w:rsidR="00D840DC" w:rsidRPr="00D840DC" w14:paraId="3E073BCE" w14:textId="77777777" w:rsidTr="00A24370">
        <w:tc>
          <w:tcPr>
            <w:tcW w:w="1937" w:type="dxa"/>
            <w:shd w:val="clear" w:color="auto" w:fill="B8CCE4" w:themeFill="accent1" w:themeFillTint="66"/>
          </w:tcPr>
          <w:p w14:paraId="01B64D61" w14:textId="77777777" w:rsidR="000B40AA" w:rsidRPr="00D840DC" w:rsidRDefault="000B40AA" w:rsidP="00A24370">
            <w:pPr>
              <w:ind w:left="0" w:hanging="2"/>
              <w:rPr>
                <w:rFonts w:ascii="Arial" w:hAnsi="Arial" w:cs="Arial"/>
                <w:b/>
                <w:sz w:val="18"/>
                <w:szCs w:val="20"/>
              </w:rPr>
            </w:pPr>
            <w:r w:rsidRPr="00D840DC">
              <w:rPr>
                <w:rFonts w:ascii="Arial" w:hAnsi="Arial" w:cs="Arial"/>
                <w:b/>
                <w:sz w:val="18"/>
                <w:szCs w:val="20"/>
              </w:rPr>
              <w:t>E</w:t>
            </w:r>
            <w:r w:rsidR="00A24370" w:rsidRPr="00D840DC">
              <w:rPr>
                <w:rFonts w:ascii="Arial" w:hAnsi="Arial" w:cs="Arial"/>
                <w:b/>
                <w:sz w:val="18"/>
                <w:szCs w:val="20"/>
              </w:rPr>
              <w:t>studios</w:t>
            </w:r>
            <w:r w:rsidRPr="00D840DC">
              <w:rPr>
                <w:rFonts w:ascii="Arial" w:hAnsi="Arial" w:cs="Arial"/>
                <w:b/>
                <w:sz w:val="18"/>
                <w:szCs w:val="20"/>
              </w:rPr>
              <w:t xml:space="preserve"> realizados </w:t>
            </w:r>
          </w:p>
        </w:tc>
        <w:tc>
          <w:tcPr>
            <w:tcW w:w="5529" w:type="dxa"/>
            <w:shd w:val="clear" w:color="auto" w:fill="B8CCE4" w:themeFill="accent1" w:themeFillTint="66"/>
          </w:tcPr>
          <w:p w14:paraId="49C344A0" w14:textId="77777777" w:rsidR="000B40AA" w:rsidRPr="00D840DC" w:rsidRDefault="000B40AA" w:rsidP="000B40AA">
            <w:pPr>
              <w:ind w:left="0" w:hanging="2"/>
              <w:rPr>
                <w:rFonts w:ascii="Arial" w:hAnsi="Arial" w:cs="Arial"/>
                <w:b/>
                <w:sz w:val="18"/>
                <w:szCs w:val="20"/>
              </w:rPr>
            </w:pPr>
            <w:r w:rsidRPr="00D840DC">
              <w:rPr>
                <w:rFonts w:ascii="Arial" w:hAnsi="Arial" w:cs="Arial"/>
                <w:b/>
                <w:sz w:val="18"/>
                <w:szCs w:val="20"/>
              </w:rPr>
              <w:t>Tipo y fase del ensayo para la indicación evaluada</w:t>
            </w:r>
          </w:p>
        </w:tc>
        <w:tc>
          <w:tcPr>
            <w:tcW w:w="1417" w:type="dxa"/>
            <w:shd w:val="clear" w:color="auto" w:fill="B8CCE4" w:themeFill="accent1" w:themeFillTint="66"/>
          </w:tcPr>
          <w:p w14:paraId="632C856B" w14:textId="77777777" w:rsidR="000B40AA" w:rsidRPr="00D840DC" w:rsidRDefault="000B40AA" w:rsidP="00A24370">
            <w:pPr>
              <w:ind w:left="0" w:hanging="2"/>
              <w:jc w:val="center"/>
              <w:rPr>
                <w:rFonts w:ascii="Arial" w:hAnsi="Arial" w:cs="Arial"/>
                <w:b/>
                <w:sz w:val="18"/>
                <w:szCs w:val="20"/>
              </w:rPr>
            </w:pPr>
            <w:r w:rsidRPr="00D840DC">
              <w:rPr>
                <w:rFonts w:ascii="Arial" w:hAnsi="Arial" w:cs="Arial"/>
                <w:b/>
                <w:sz w:val="18"/>
                <w:szCs w:val="20"/>
              </w:rPr>
              <w:t xml:space="preserve">N º pacientes </w:t>
            </w:r>
          </w:p>
        </w:tc>
      </w:tr>
      <w:tr w:rsidR="00D840DC" w:rsidRPr="00D840DC" w14:paraId="579E9C23" w14:textId="77777777" w:rsidTr="00A24370">
        <w:tc>
          <w:tcPr>
            <w:tcW w:w="1937" w:type="dxa"/>
          </w:tcPr>
          <w:p w14:paraId="368E10D3" w14:textId="77777777" w:rsidR="000B40AA" w:rsidRPr="00D840DC" w:rsidRDefault="000B40AA" w:rsidP="000B40AA">
            <w:pPr>
              <w:ind w:left="0" w:hanging="2"/>
              <w:rPr>
                <w:rFonts w:ascii="Arial" w:hAnsi="Arial" w:cs="Arial"/>
                <w:sz w:val="18"/>
                <w:szCs w:val="20"/>
              </w:rPr>
            </w:pPr>
            <w:r w:rsidRPr="00D840DC">
              <w:rPr>
                <w:rFonts w:ascii="Arial" w:hAnsi="Arial" w:cs="Arial"/>
                <w:sz w:val="18"/>
                <w:szCs w:val="20"/>
              </w:rPr>
              <w:t xml:space="preserve">201222 </w:t>
            </w:r>
          </w:p>
        </w:tc>
        <w:tc>
          <w:tcPr>
            <w:tcW w:w="5529" w:type="dxa"/>
          </w:tcPr>
          <w:p w14:paraId="032830F8"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No comparativo</w:t>
            </w:r>
            <w:r w:rsidR="000B40AA" w:rsidRPr="00D840DC">
              <w:rPr>
                <w:rFonts w:ascii="Arial" w:hAnsi="Arial" w:cs="Arial"/>
                <w:sz w:val="18"/>
                <w:szCs w:val="20"/>
              </w:rPr>
              <w:t xml:space="preserve">, </w:t>
            </w:r>
            <w:r w:rsidRPr="00D840DC">
              <w:rPr>
                <w:rFonts w:ascii="Arial" w:hAnsi="Arial" w:cs="Arial"/>
                <w:sz w:val="18"/>
                <w:szCs w:val="20"/>
              </w:rPr>
              <w:t>unicéntrico (formulación de investigación)</w:t>
            </w:r>
          </w:p>
        </w:tc>
        <w:tc>
          <w:tcPr>
            <w:tcW w:w="1417" w:type="dxa"/>
          </w:tcPr>
          <w:p w14:paraId="37EB440E" w14:textId="77777777" w:rsidR="000B40AA" w:rsidRPr="00D840DC" w:rsidRDefault="000B40AA" w:rsidP="00A24370">
            <w:pPr>
              <w:ind w:left="0" w:hanging="2"/>
              <w:jc w:val="center"/>
              <w:rPr>
                <w:rFonts w:ascii="Arial" w:hAnsi="Arial" w:cs="Arial"/>
                <w:b/>
                <w:sz w:val="18"/>
                <w:szCs w:val="20"/>
              </w:rPr>
            </w:pPr>
            <w:r w:rsidRPr="00D840DC">
              <w:rPr>
                <w:rFonts w:ascii="Arial" w:hAnsi="Arial" w:cs="Arial"/>
                <w:b/>
                <w:sz w:val="18"/>
                <w:szCs w:val="20"/>
              </w:rPr>
              <w:t>2</w:t>
            </w:r>
            <w:r w:rsidR="00A24370" w:rsidRPr="00D840DC">
              <w:rPr>
                <w:rFonts w:ascii="Arial" w:hAnsi="Arial" w:cs="Arial"/>
                <w:b/>
                <w:sz w:val="18"/>
                <w:szCs w:val="20"/>
              </w:rPr>
              <w:t>0</w:t>
            </w:r>
          </w:p>
        </w:tc>
      </w:tr>
      <w:tr w:rsidR="00D840DC" w:rsidRPr="00D840DC" w14:paraId="442EFA4D" w14:textId="77777777" w:rsidTr="00A24370">
        <w:tc>
          <w:tcPr>
            <w:tcW w:w="1937" w:type="dxa"/>
          </w:tcPr>
          <w:p w14:paraId="7AD8CD64"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205656</w:t>
            </w:r>
            <w:r w:rsidR="000B40AA" w:rsidRPr="00D840DC">
              <w:rPr>
                <w:rFonts w:ascii="Arial" w:hAnsi="Arial" w:cs="Arial"/>
                <w:sz w:val="18"/>
                <w:szCs w:val="20"/>
              </w:rPr>
              <w:t xml:space="preserve"> </w:t>
            </w:r>
          </w:p>
        </w:tc>
        <w:tc>
          <w:tcPr>
            <w:tcW w:w="5529" w:type="dxa"/>
          </w:tcPr>
          <w:p w14:paraId="6A4C7DFF"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No comparativo, en curso (formulación comercial, criopreservada)</w:t>
            </w:r>
          </w:p>
        </w:tc>
        <w:tc>
          <w:tcPr>
            <w:tcW w:w="1417" w:type="dxa"/>
          </w:tcPr>
          <w:p w14:paraId="138A8578" w14:textId="77777777" w:rsidR="000B40AA" w:rsidRPr="00D840DC" w:rsidRDefault="00A24370" w:rsidP="000B40AA">
            <w:pPr>
              <w:ind w:left="0" w:hanging="2"/>
              <w:jc w:val="center"/>
              <w:rPr>
                <w:rFonts w:ascii="Arial" w:hAnsi="Arial" w:cs="Arial"/>
                <w:b/>
                <w:sz w:val="18"/>
                <w:szCs w:val="20"/>
              </w:rPr>
            </w:pPr>
            <w:r w:rsidRPr="00D840DC">
              <w:rPr>
                <w:rFonts w:ascii="Arial" w:hAnsi="Arial" w:cs="Arial"/>
                <w:b/>
                <w:sz w:val="18"/>
                <w:szCs w:val="20"/>
              </w:rPr>
              <w:t>6</w:t>
            </w:r>
          </w:p>
        </w:tc>
      </w:tr>
      <w:tr w:rsidR="00D840DC" w:rsidRPr="00D840DC" w14:paraId="7099D3FA" w14:textId="77777777" w:rsidTr="00A24370">
        <w:tc>
          <w:tcPr>
            <w:tcW w:w="1937" w:type="dxa"/>
          </w:tcPr>
          <w:p w14:paraId="59452E2B" w14:textId="77777777" w:rsidR="000B40AA" w:rsidRPr="00D840DC" w:rsidRDefault="00A24370" w:rsidP="000B40AA">
            <w:pPr>
              <w:ind w:left="0" w:hanging="2"/>
              <w:rPr>
                <w:rFonts w:ascii="Arial" w:hAnsi="Arial" w:cs="Arial"/>
                <w:sz w:val="18"/>
                <w:szCs w:val="20"/>
              </w:rPr>
            </w:pPr>
            <w:r w:rsidRPr="00D840DC">
              <w:rPr>
                <w:rFonts w:ascii="Arial" w:hAnsi="Arial" w:cs="Arial"/>
                <w:sz w:val="18"/>
                <w:szCs w:val="20"/>
              </w:rPr>
              <w:t>Accesos expandidos</w:t>
            </w:r>
          </w:p>
        </w:tc>
        <w:tc>
          <w:tcPr>
            <w:tcW w:w="5529" w:type="dxa"/>
          </w:tcPr>
          <w:p w14:paraId="4E090B6D" w14:textId="77777777" w:rsidR="000B40AA" w:rsidRPr="00D840DC" w:rsidRDefault="00A24370" w:rsidP="00A24370">
            <w:pPr>
              <w:ind w:left="0" w:hanging="2"/>
              <w:rPr>
                <w:rFonts w:ascii="Arial" w:hAnsi="Arial" w:cs="Arial"/>
                <w:sz w:val="18"/>
                <w:szCs w:val="20"/>
              </w:rPr>
            </w:pPr>
            <w:r w:rsidRPr="00D840DC">
              <w:rPr>
                <w:rFonts w:ascii="Arial" w:hAnsi="Arial" w:cs="Arial"/>
                <w:sz w:val="18"/>
                <w:szCs w:val="20"/>
              </w:rPr>
              <w:t>Tres estudios</w:t>
            </w:r>
            <w:r w:rsidR="000B40AA" w:rsidRPr="00D840DC">
              <w:rPr>
                <w:rFonts w:ascii="Arial" w:hAnsi="Arial" w:cs="Arial"/>
                <w:sz w:val="18"/>
                <w:szCs w:val="20"/>
              </w:rPr>
              <w:t xml:space="preserve"> </w:t>
            </w:r>
            <w:r w:rsidRPr="00D840DC">
              <w:rPr>
                <w:rFonts w:ascii="Arial" w:hAnsi="Arial" w:cs="Arial"/>
                <w:sz w:val="18"/>
                <w:szCs w:val="20"/>
              </w:rPr>
              <w:t>(formulación de investigación)</w:t>
            </w:r>
          </w:p>
        </w:tc>
        <w:tc>
          <w:tcPr>
            <w:tcW w:w="1417" w:type="dxa"/>
          </w:tcPr>
          <w:p w14:paraId="4C082C57" w14:textId="77777777" w:rsidR="000B40AA" w:rsidRPr="00D840DC" w:rsidRDefault="00A24370" w:rsidP="000B40AA">
            <w:pPr>
              <w:ind w:left="0" w:hanging="2"/>
              <w:jc w:val="center"/>
              <w:rPr>
                <w:rFonts w:ascii="Arial" w:hAnsi="Arial" w:cs="Arial"/>
                <w:b/>
                <w:sz w:val="18"/>
                <w:szCs w:val="20"/>
              </w:rPr>
            </w:pPr>
            <w:r w:rsidRPr="00D840DC">
              <w:rPr>
                <w:rFonts w:ascii="Arial" w:hAnsi="Arial" w:cs="Arial"/>
                <w:b/>
                <w:sz w:val="18"/>
                <w:szCs w:val="20"/>
              </w:rPr>
              <w:t>9</w:t>
            </w:r>
          </w:p>
        </w:tc>
      </w:tr>
      <w:tr w:rsidR="00D840DC" w:rsidRPr="00D840DC" w14:paraId="46404B34" w14:textId="77777777" w:rsidTr="00A24370">
        <w:tc>
          <w:tcPr>
            <w:tcW w:w="1937" w:type="dxa"/>
            <w:shd w:val="clear" w:color="auto" w:fill="B8CCE4" w:themeFill="accent1" w:themeFillTint="66"/>
          </w:tcPr>
          <w:p w14:paraId="58661DDF" w14:textId="77777777" w:rsidR="000B40AA" w:rsidRPr="00D840DC" w:rsidRDefault="000B40AA" w:rsidP="000B40AA">
            <w:pPr>
              <w:ind w:left="0" w:hanging="2"/>
              <w:rPr>
                <w:rFonts w:ascii="Arial" w:hAnsi="Arial" w:cs="Arial"/>
                <w:b/>
                <w:sz w:val="18"/>
                <w:szCs w:val="20"/>
              </w:rPr>
            </w:pPr>
            <w:r w:rsidRPr="00D840DC">
              <w:rPr>
                <w:rFonts w:ascii="Arial" w:hAnsi="Arial" w:cs="Arial"/>
                <w:b/>
                <w:sz w:val="18"/>
                <w:szCs w:val="20"/>
              </w:rPr>
              <w:t>TOTAL</w:t>
            </w:r>
          </w:p>
        </w:tc>
        <w:tc>
          <w:tcPr>
            <w:tcW w:w="5529" w:type="dxa"/>
            <w:shd w:val="clear" w:color="auto" w:fill="B8CCE4" w:themeFill="accent1" w:themeFillTint="66"/>
          </w:tcPr>
          <w:p w14:paraId="6094DE2F" w14:textId="77777777" w:rsidR="000B40AA" w:rsidRPr="00D840DC" w:rsidRDefault="000B40AA" w:rsidP="000B40AA">
            <w:pPr>
              <w:ind w:left="0" w:hanging="2"/>
              <w:rPr>
                <w:rFonts w:ascii="Arial" w:hAnsi="Arial" w:cs="Arial"/>
                <w:b/>
                <w:sz w:val="18"/>
                <w:szCs w:val="20"/>
              </w:rPr>
            </w:pPr>
          </w:p>
        </w:tc>
        <w:tc>
          <w:tcPr>
            <w:tcW w:w="1417" w:type="dxa"/>
            <w:shd w:val="clear" w:color="auto" w:fill="B8CCE4" w:themeFill="accent1" w:themeFillTint="66"/>
          </w:tcPr>
          <w:p w14:paraId="4A1C99AC" w14:textId="77777777" w:rsidR="000B40AA" w:rsidRPr="00D840DC" w:rsidRDefault="00A24370" w:rsidP="00A24370">
            <w:pPr>
              <w:ind w:left="0" w:hanging="2"/>
              <w:jc w:val="center"/>
              <w:rPr>
                <w:rFonts w:ascii="Arial" w:hAnsi="Arial" w:cs="Arial"/>
                <w:b/>
                <w:sz w:val="18"/>
                <w:szCs w:val="20"/>
              </w:rPr>
            </w:pPr>
            <w:r w:rsidRPr="00D840DC">
              <w:rPr>
                <w:rFonts w:ascii="Arial" w:hAnsi="Arial" w:cs="Arial"/>
                <w:b/>
                <w:sz w:val="18"/>
                <w:szCs w:val="20"/>
              </w:rPr>
              <w:t>35</w:t>
            </w:r>
          </w:p>
        </w:tc>
      </w:tr>
    </w:tbl>
    <w:p w14:paraId="2B91DD10" w14:textId="77777777" w:rsidR="000B40AA" w:rsidRPr="00D840DC" w:rsidRDefault="000B40AA" w:rsidP="000B40AA">
      <w:pPr>
        <w:ind w:left="0" w:hanging="2"/>
        <w:rPr>
          <w:rFonts w:ascii="Arial" w:hAnsi="Arial" w:cs="Arial"/>
          <w:sz w:val="20"/>
          <w:szCs w:val="20"/>
        </w:rPr>
      </w:pPr>
    </w:p>
    <w:p w14:paraId="15DA7A1E"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El coste medio por paciente en un ensayo clínico oscila entre $ 38.500 y $ 42.000 por participante, según varios estudios</w:t>
      </w:r>
      <w:r w:rsidRPr="00D840DC">
        <w:rPr>
          <w:rStyle w:val="Refdenotaalfinal"/>
          <w:rFonts w:ascii="Arial" w:hAnsi="Arial" w:cs="Arial"/>
          <w:sz w:val="20"/>
          <w:szCs w:val="20"/>
        </w:rPr>
        <w:endnoteReference w:id="16"/>
      </w:r>
      <w:r w:rsidRPr="00D840DC">
        <w:rPr>
          <w:rFonts w:ascii="Arial" w:hAnsi="Arial" w:cs="Arial"/>
          <w:sz w:val="20"/>
          <w:szCs w:val="20"/>
          <w:vertAlign w:val="superscript"/>
        </w:rPr>
        <w:t>,</w:t>
      </w:r>
      <w:r w:rsidRPr="00D840DC">
        <w:rPr>
          <w:rStyle w:val="Refdenotaalfinal"/>
          <w:rFonts w:ascii="Arial" w:hAnsi="Arial" w:cs="Arial"/>
          <w:sz w:val="20"/>
          <w:szCs w:val="20"/>
        </w:rPr>
        <w:endnoteReference w:id="17"/>
      </w:r>
      <w:r w:rsidRPr="00D840DC">
        <w:rPr>
          <w:rFonts w:ascii="Arial" w:hAnsi="Arial" w:cs="Arial"/>
          <w:sz w:val="20"/>
          <w:szCs w:val="20"/>
          <w:vertAlign w:val="superscript"/>
        </w:rPr>
        <w:t>,</w:t>
      </w:r>
      <w:r w:rsidRPr="00D840DC">
        <w:rPr>
          <w:rStyle w:val="Refdenotaalfinal"/>
          <w:rFonts w:ascii="Arial" w:hAnsi="Arial" w:cs="Arial"/>
          <w:sz w:val="20"/>
          <w:szCs w:val="20"/>
        </w:rPr>
        <w:endnoteReference w:id="18"/>
      </w:r>
      <w:r w:rsidRPr="00D840DC">
        <w:rPr>
          <w:rFonts w:ascii="Arial" w:hAnsi="Arial" w:cs="Arial"/>
          <w:sz w:val="20"/>
          <w:szCs w:val="20"/>
        </w:rPr>
        <w:t>. Los datos de costos por paciente se obtuvieron de Cutting Edge Information (CEI), una consultoría que proporciona información detallada sobre costos para una variedad de actividades de ensayos clínicos, incluidas las siguientes:</w:t>
      </w:r>
    </w:p>
    <w:p w14:paraId="798B996D"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Investigador y sitio:</w:t>
      </w:r>
      <w:r w:rsidRPr="00D840DC">
        <w:rPr>
          <w:rFonts w:ascii="Arial" w:hAnsi="Arial" w:cs="Arial"/>
          <w:sz w:val="20"/>
          <w:szCs w:val="20"/>
        </w:rPr>
        <w:t xml:space="preserve"> gastos generales institucionales, honorarios y honorarios del investigador, revisión ética…</w:t>
      </w:r>
    </w:p>
    <w:p w14:paraId="7B89E434"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Junta de Revisión Institucional</w:t>
      </w:r>
      <w:r w:rsidRPr="00D840DC">
        <w:rPr>
          <w:rFonts w:ascii="Arial" w:hAnsi="Arial" w:cs="Arial"/>
          <w:sz w:val="20"/>
          <w:szCs w:val="20"/>
        </w:rPr>
        <w:t>, reuniones de investigadores (viajes)</w:t>
      </w:r>
    </w:p>
    <w:p w14:paraId="74049799"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Reclutamiento de pacientes:</w:t>
      </w:r>
      <w:r w:rsidRPr="00D840DC">
        <w:rPr>
          <w:rFonts w:ascii="Arial" w:hAnsi="Arial" w:cs="Arial"/>
          <w:sz w:val="20"/>
          <w:szCs w:val="20"/>
        </w:rPr>
        <w:t xml:space="preserve"> costes de contratación (publicidad, estipendio de viaje, etc.), selección, visitas al consultorio (equipos, diagnósticos, etc.)</w:t>
      </w:r>
    </w:p>
    <w:p w14:paraId="6F38BA65"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Procedimientos generales de prueba</w:t>
      </w:r>
      <w:r w:rsidRPr="00D840DC">
        <w:rPr>
          <w:rFonts w:ascii="Arial" w:hAnsi="Arial" w:cs="Arial"/>
          <w:sz w:val="20"/>
          <w:szCs w:val="20"/>
        </w:rPr>
        <w:t>: examen inicial, examen físico, signos vitales, historial médico detallado.</w:t>
      </w:r>
    </w:p>
    <w:p w14:paraId="6E53B198"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Materiales:</w:t>
      </w:r>
      <w:r w:rsidRPr="00D840DC">
        <w:rPr>
          <w:rFonts w:ascii="Arial" w:hAnsi="Arial" w:cs="Arial"/>
          <w:sz w:val="20"/>
          <w:szCs w:val="20"/>
        </w:rPr>
        <w:t xml:space="preserve"> Suministro de medicamentos, medicamento comparador, otros equipos, envío, etc.</w:t>
      </w:r>
    </w:p>
    <w:p w14:paraId="1BD10CA2"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Evaluaciones de eficacia:</w:t>
      </w:r>
      <w:r w:rsidRPr="00D840DC">
        <w:rPr>
          <w:rFonts w:ascii="Arial" w:hAnsi="Arial" w:cs="Arial"/>
          <w:sz w:val="20"/>
          <w:szCs w:val="20"/>
        </w:rPr>
        <w:t xml:space="preserve"> resonancias magnéticas, tomografías computarizadas, otras pruebas de diagnóstico.</w:t>
      </w:r>
    </w:p>
    <w:p w14:paraId="3DDE526E"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 xml:space="preserve">Laboratorio: </w:t>
      </w:r>
      <w:r w:rsidRPr="00D840DC">
        <w:rPr>
          <w:rFonts w:ascii="Arial" w:hAnsi="Arial" w:cs="Arial"/>
          <w:sz w:val="20"/>
          <w:szCs w:val="20"/>
        </w:rPr>
        <w:t>tarifas de laboratorio local, almacenamiento, envío de muestras, etc.</w:t>
      </w:r>
    </w:p>
    <w:p w14:paraId="150D2CEA"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Gestión de datos / TI basada en el sitio:</w:t>
      </w:r>
      <w:r w:rsidRPr="00D840DC">
        <w:rPr>
          <w:rFonts w:ascii="Arial" w:hAnsi="Arial" w:cs="Arial"/>
          <w:sz w:val="20"/>
          <w:szCs w:val="20"/>
        </w:rPr>
        <w:t xml:space="preserve"> archivo maestro de prueba, captura de datos electrónicos, sistema interactivo de respuesta de voz / web </w:t>
      </w:r>
    </w:p>
    <w:p w14:paraId="3580D683" w14:textId="77777777" w:rsidR="000B40AA" w:rsidRPr="00D840DC" w:rsidRDefault="000B40AA" w:rsidP="000B40AA">
      <w:pPr>
        <w:ind w:left="0" w:hanging="2"/>
        <w:jc w:val="both"/>
        <w:rPr>
          <w:rFonts w:ascii="Arial" w:hAnsi="Arial" w:cs="Arial"/>
          <w:sz w:val="20"/>
          <w:szCs w:val="20"/>
        </w:rPr>
      </w:pPr>
      <w:r w:rsidRPr="00D840DC">
        <w:rPr>
          <w:rFonts w:ascii="Arial" w:hAnsi="Arial" w:cs="Arial"/>
          <w:sz w:val="20"/>
          <w:szCs w:val="20"/>
        </w:rPr>
        <w:t xml:space="preserve">- </w:t>
      </w:r>
      <w:r w:rsidRPr="00D840DC">
        <w:rPr>
          <w:rFonts w:ascii="Arial" w:hAnsi="Arial" w:cs="Arial"/>
          <w:b/>
          <w:sz w:val="20"/>
          <w:szCs w:val="20"/>
        </w:rPr>
        <w:t>Gastos de CRO específicos del sitio:</w:t>
      </w:r>
      <w:r w:rsidRPr="00D840DC">
        <w:rPr>
          <w:rFonts w:ascii="Arial" w:hAnsi="Arial" w:cs="Arial"/>
          <w:sz w:val="20"/>
          <w:szCs w:val="20"/>
        </w:rPr>
        <w:t xml:space="preserve"> seguimiento, aleatorización, bioestadística, viajes, reuniones, etc.</w:t>
      </w:r>
    </w:p>
    <w:p w14:paraId="2AB240B3" w14:textId="77777777" w:rsidR="000B40AA" w:rsidRPr="00D840DC" w:rsidRDefault="000B40AA" w:rsidP="000B40AA">
      <w:pPr>
        <w:ind w:left="0" w:hanging="2"/>
        <w:jc w:val="both"/>
        <w:rPr>
          <w:rFonts w:ascii="Arial" w:hAnsi="Arial" w:cs="Arial"/>
          <w:sz w:val="20"/>
          <w:szCs w:val="20"/>
        </w:rPr>
      </w:pPr>
    </w:p>
    <w:p w14:paraId="1368D617" w14:textId="77777777" w:rsidR="002C33D7" w:rsidRPr="00D840DC" w:rsidRDefault="000B40AA" w:rsidP="00A24370">
      <w:pPr>
        <w:ind w:left="0" w:hanging="2"/>
        <w:jc w:val="both"/>
        <w:rPr>
          <w:rFonts w:ascii="Arial" w:eastAsia="Arial" w:hAnsi="Arial" w:cs="Arial"/>
        </w:rPr>
      </w:pPr>
      <w:r w:rsidRPr="00D840DC">
        <w:rPr>
          <w:rFonts w:ascii="Arial" w:hAnsi="Arial" w:cs="Arial"/>
          <w:sz w:val="20"/>
          <w:szCs w:val="20"/>
        </w:rPr>
        <w:t xml:space="preserve">Según esta tarifación, los </w:t>
      </w:r>
      <w:r w:rsidR="00A24370" w:rsidRPr="00D840DC">
        <w:rPr>
          <w:rFonts w:ascii="Arial" w:hAnsi="Arial" w:cs="Arial"/>
          <w:sz w:val="20"/>
          <w:szCs w:val="20"/>
        </w:rPr>
        <w:t>35</w:t>
      </w:r>
      <w:r w:rsidRPr="00D840DC">
        <w:rPr>
          <w:rFonts w:ascii="Arial" w:hAnsi="Arial" w:cs="Arial"/>
          <w:sz w:val="20"/>
          <w:szCs w:val="20"/>
        </w:rPr>
        <w:t xml:space="preserve"> pacientes estudiados en los </w:t>
      </w:r>
      <w:r w:rsidR="00A24370" w:rsidRPr="00D840DC">
        <w:rPr>
          <w:rFonts w:ascii="Arial" w:hAnsi="Arial" w:cs="Arial"/>
          <w:sz w:val="20"/>
          <w:szCs w:val="20"/>
        </w:rPr>
        <w:t>dos</w:t>
      </w:r>
      <w:r w:rsidRPr="00D840DC">
        <w:rPr>
          <w:rFonts w:ascii="Arial" w:hAnsi="Arial" w:cs="Arial"/>
          <w:sz w:val="20"/>
          <w:szCs w:val="20"/>
        </w:rPr>
        <w:t xml:space="preserve"> </w:t>
      </w:r>
      <w:r w:rsidR="00A24370" w:rsidRPr="00D840DC">
        <w:rPr>
          <w:rFonts w:ascii="Arial" w:hAnsi="Arial" w:cs="Arial"/>
          <w:sz w:val="20"/>
          <w:szCs w:val="20"/>
        </w:rPr>
        <w:t>estudios y los tres programas de acceso expandido</w:t>
      </w:r>
      <w:r w:rsidRPr="00D840DC">
        <w:rPr>
          <w:rFonts w:ascii="Arial" w:hAnsi="Arial" w:cs="Arial"/>
          <w:sz w:val="20"/>
          <w:szCs w:val="20"/>
        </w:rPr>
        <w:t xml:space="preserve"> a 35.000 € por paciente, habrían precisado para financiar los ensayos unos </w:t>
      </w:r>
      <w:r w:rsidR="00A24370" w:rsidRPr="00D840DC">
        <w:rPr>
          <w:rFonts w:ascii="Arial" w:hAnsi="Arial" w:cs="Arial"/>
          <w:b/>
          <w:sz w:val="20"/>
          <w:szCs w:val="20"/>
        </w:rPr>
        <w:t>1,22</w:t>
      </w:r>
      <w:r w:rsidRPr="00D840DC">
        <w:rPr>
          <w:rFonts w:ascii="Arial" w:hAnsi="Arial" w:cs="Arial"/>
          <w:b/>
          <w:sz w:val="20"/>
          <w:szCs w:val="20"/>
        </w:rPr>
        <w:t xml:space="preserve"> millones de €</w:t>
      </w:r>
      <w:r w:rsidRPr="00D840DC">
        <w:rPr>
          <w:rFonts w:ascii="Arial" w:hAnsi="Arial" w:cs="Arial"/>
          <w:sz w:val="20"/>
          <w:szCs w:val="20"/>
        </w:rPr>
        <w:t xml:space="preserve">. </w:t>
      </w:r>
    </w:p>
    <w:p w14:paraId="37E9F9A3" w14:textId="77777777" w:rsidR="002C33D7" w:rsidRPr="00D840DC" w:rsidRDefault="002C33D7" w:rsidP="00A24370">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rPr>
      </w:pPr>
    </w:p>
    <w:p w14:paraId="261AAE6B" w14:textId="77777777" w:rsidR="00422146" w:rsidRPr="00D840DC" w:rsidRDefault="00422146" w:rsidP="00422146">
      <w:pPr>
        <w:pStyle w:val="Prrafodelista"/>
        <w:numPr>
          <w:ilvl w:val="1"/>
          <w:numId w:val="7"/>
        </w:numPr>
        <w:pBdr>
          <w:top w:val="single" w:sz="4" w:space="1" w:color="000000"/>
          <w:left w:val="single" w:sz="4" w:space="4" w:color="000000"/>
          <w:bottom w:val="single" w:sz="4" w:space="1" w:color="000000"/>
          <w:right w:val="single" w:sz="4" w:space="4" w:color="000000"/>
        </w:pBdr>
        <w:shd w:val="clear" w:color="auto" w:fill="D9D9D9"/>
        <w:ind w:leftChars="0" w:left="284" w:firstLineChars="0" w:hanging="284"/>
        <w:jc w:val="both"/>
        <w:rPr>
          <w:rFonts w:ascii="Arial" w:eastAsia="Arial" w:hAnsi="Arial" w:cs="Arial"/>
          <w:b/>
          <w:sz w:val="20"/>
          <w:szCs w:val="20"/>
        </w:rPr>
      </w:pPr>
      <w:r w:rsidRPr="00D840DC">
        <w:rPr>
          <w:rFonts w:ascii="Arial" w:eastAsia="Arial" w:hAnsi="Arial" w:cs="Arial"/>
          <w:b/>
          <w:sz w:val="20"/>
          <w:szCs w:val="20"/>
        </w:rPr>
        <w:t>Precio razonable</w:t>
      </w:r>
    </w:p>
    <w:p w14:paraId="68A20E4B" w14:textId="77777777" w:rsidR="00422146" w:rsidRPr="00D840DC" w:rsidRDefault="00422146">
      <w:pPr>
        <w:pBdr>
          <w:top w:val="nil"/>
          <w:left w:val="nil"/>
          <w:bottom w:val="nil"/>
          <w:right w:val="nil"/>
          <w:between w:val="nil"/>
        </w:pBdr>
        <w:tabs>
          <w:tab w:val="center" w:pos="4252"/>
          <w:tab w:val="right" w:pos="8504"/>
        </w:tabs>
        <w:spacing w:line="240" w:lineRule="auto"/>
        <w:ind w:left="0" w:hanging="2"/>
        <w:rPr>
          <w:rFonts w:ascii="Arial" w:eastAsia="Arial" w:hAnsi="Arial" w:cs="Arial"/>
        </w:rPr>
      </w:pPr>
    </w:p>
    <w:p w14:paraId="2C0B41C4" w14:textId="77777777" w:rsidR="00993FC5" w:rsidRPr="00D840DC" w:rsidRDefault="00993FC5" w:rsidP="00993FC5">
      <w:pPr>
        <w:pBdr>
          <w:bottom w:val="single" w:sz="4" w:space="1" w:color="auto"/>
        </w:pBdr>
        <w:ind w:left="0" w:hanging="2"/>
        <w:jc w:val="both"/>
        <w:rPr>
          <w:rFonts w:ascii="Arial" w:hAnsi="Arial" w:cs="Arial"/>
          <w:b/>
          <w:sz w:val="20"/>
          <w:szCs w:val="20"/>
        </w:rPr>
      </w:pPr>
      <w:r w:rsidRPr="00D840DC">
        <w:rPr>
          <w:rFonts w:ascii="Arial" w:hAnsi="Arial" w:cs="Arial"/>
          <w:b/>
          <w:sz w:val="20"/>
          <w:szCs w:val="20"/>
        </w:rPr>
        <w:t>Precio de la compañía.</w:t>
      </w:r>
    </w:p>
    <w:p w14:paraId="46E6D2F8" w14:textId="77777777" w:rsidR="00993FC5" w:rsidRPr="00D840DC" w:rsidRDefault="00993FC5" w:rsidP="00993FC5">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rPr>
      </w:pPr>
      <w:r w:rsidRPr="00D840DC">
        <w:rPr>
          <w:rFonts w:ascii="Arial" w:hAnsi="Arial" w:cs="Arial"/>
          <w:sz w:val="20"/>
          <w:szCs w:val="20"/>
        </w:rPr>
        <w:t xml:space="preserve">Según la compañía farmacéutica, el precio del medicamento estará entre </w:t>
      </w:r>
      <w:r w:rsidRPr="00D840DC">
        <w:rPr>
          <w:rFonts w:ascii="Arial" w:hAnsi="Arial" w:cs="Arial"/>
          <w:b/>
          <w:sz w:val="20"/>
          <w:szCs w:val="20"/>
        </w:rPr>
        <w:t xml:space="preserve">2,5 y 3 millones de € </w:t>
      </w:r>
      <w:r w:rsidRPr="00D840DC">
        <w:rPr>
          <w:rFonts w:ascii="Arial" w:hAnsi="Arial" w:cs="Arial"/>
          <w:sz w:val="20"/>
          <w:szCs w:val="20"/>
        </w:rPr>
        <w:t>por paciente.</w:t>
      </w:r>
      <w:r w:rsidR="00DA0BCC" w:rsidRPr="00D840DC">
        <w:rPr>
          <w:rFonts w:ascii="Arial" w:hAnsi="Arial" w:cs="Arial"/>
          <w:sz w:val="20"/>
          <w:szCs w:val="20"/>
        </w:rPr>
        <w:t xml:space="preserve"> </w:t>
      </w:r>
      <w:r w:rsidR="00DA0BCC" w:rsidRPr="00D840DC">
        <w:rPr>
          <w:rFonts w:ascii="Arial" w:eastAsia="Arial" w:hAnsi="Arial" w:cs="Arial"/>
          <w:sz w:val="20"/>
          <w:szCs w:val="20"/>
        </w:rPr>
        <w:t xml:space="preserve">Indicar como punto de referencia que el preparado comercial CAR T de </w:t>
      </w:r>
      <w:r w:rsidR="00F67D1B" w:rsidRPr="00D840DC">
        <w:rPr>
          <w:rFonts w:ascii="Arial" w:eastAsia="Arial" w:hAnsi="Arial" w:cs="Arial"/>
          <w:sz w:val="20"/>
          <w:szCs w:val="20"/>
        </w:rPr>
        <w:t>tisagenlecleucel (</w:t>
      </w:r>
      <w:r w:rsidR="00DA0BCC" w:rsidRPr="00D840DC">
        <w:rPr>
          <w:rFonts w:ascii="Arial" w:eastAsia="Arial" w:hAnsi="Arial" w:cs="Arial"/>
          <w:sz w:val="20"/>
          <w:szCs w:val="20"/>
        </w:rPr>
        <w:t>Kymriah</w:t>
      </w:r>
      <w:r w:rsidR="00DA0BCC" w:rsidRPr="00D840DC">
        <w:rPr>
          <w:rFonts w:ascii="Arial" w:hAnsi="Arial" w:cs="Arial"/>
          <w:sz w:val="20"/>
          <w:szCs w:val="20"/>
          <w:vertAlign w:val="superscript"/>
        </w:rPr>
        <w:t>®</w:t>
      </w:r>
      <w:r w:rsidR="00DA0BCC" w:rsidRPr="00D840DC">
        <w:rPr>
          <w:rFonts w:ascii="Arial" w:eastAsia="Arial" w:hAnsi="Arial" w:cs="Arial"/>
          <w:sz w:val="20"/>
          <w:szCs w:val="20"/>
        </w:rPr>
        <w:t>) con un procedimiento y fases de fabricación similar</w:t>
      </w:r>
      <w:r w:rsidR="00E84C41" w:rsidRPr="00D840DC">
        <w:rPr>
          <w:rFonts w:ascii="Arial" w:eastAsia="Arial" w:hAnsi="Arial" w:cs="Arial"/>
          <w:sz w:val="20"/>
          <w:szCs w:val="20"/>
        </w:rPr>
        <w:t>es</w:t>
      </w:r>
      <w:r w:rsidR="00DA0BCC" w:rsidRPr="00D840DC">
        <w:rPr>
          <w:rFonts w:ascii="Arial" w:eastAsia="Arial" w:hAnsi="Arial" w:cs="Arial"/>
          <w:sz w:val="20"/>
          <w:szCs w:val="20"/>
        </w:rPr>
        <w:t>, tiene un  precio autorizado en España de 320.000 €, sujeto a un modelo de pago por resultados.</w:t>
      </w:r>
    </w:p>
    <w:p w14:paraId="20385AF9" w14:textId="77777777" w:rsidR="00DA0BCC" w:rsidRPr="00D840DC" w:rsidRDefault="00DA0BCC">
      <w:pPr>
        <w:ind w:left="0" w:hanging="2"/>
        <w:rPr>
          <w:rFonts w:ascii="Arial" w:eastAsia="Arial" w:hAnsi="Arial" w:cs="Arial"/>
          <w:sz w:val="20"/>
          <w:szCs w:val="20"/>
        </w:rPr>
      </w:pPr>
      <w:bookmarkStart w:id="201" w:name="_heading=h.46r0co2" w:colFirst="0" w:colLast="0"/>
      <w:bookmarkEnd w:id="201"/>
    </w:p>
    <w:p w14:paraId="2D06C4FF" w14:textId="77777777" w:rsidR="00DA0BCC" w:rsidRPr="00D840DC" w:rsidRDefault="00DA0BCC" w:rsidP="00DA0BCC">
      <w:pPr>
        <w:pBdr>
          <w:bottom w:val="single" w:sz="4" w:space="1" w:color="auto"/>
        </w:pBdr>
        <w:ind w:left="0" w:hanging="2"/>
        <w:jc w:val="both"/>
        <w:rPr>
          <w:rFonts w:ascii="Arial" w:hAnsi="Arial" w:cs="Arial"/>
          <w:b/>
          <w:sz w:val="20"/>
          <w:szCs w:val="20"/>
        </w:rPr>
      </w:pPr>
      <w:r w:rsidRPr="00D840DC">
        <w:rPr>
          <w:rFonts w:ascii="Arial" w:eastAsia="Arial" w:hAnsi="Arial" w:cs="Arial"/>
          <w:b/>
          <w:sz w:val="20"/>
          <w:szCs w:val="20"/>
        </w:rPr>
        <w:t>Estimación global candidatos a tratamiento</w:t>
      </w:r>
      <w:r w:rsidRPr="00D840DC">
        <w:rPr>
          <w:rFonts w:ascii="Arial" w:hAnsi="Arial" w:cs="Arial"/>
          <w:b/>
          <w:sz w:val="20"/>
          <w:szCs w:val="20"/>
        </w:rPr>
        <w:t>.</w:t>
      </w:r>
    </w:p>
    <w:p w14:paraId="77C02980" w14:textId="77777777" w:rsidR="00DA0BCC" w:rsidRPr="00D840DC" w:rsidRDefault="00DA0BCC" w:rsidP="00F67D1B">
      <w:pPr>
        <w:ind w:left="0" w:hanging="2"/>
        <w:jc w:val="both"/>
        <w:rPr>
          <w:rFonts w:ascii="Arial" w:eastAsia="Arial" w:hAnsi="Arial" w:cs="Arial"/>
          <w:sz w:val="20"/>
          <w:szCs w:val="20"/>
        </w:rPr>
      </w:pPr>
      <w:r w:rsidRPr="00D840DC">
        <w:rPr>
          <w:rFonts w:ascii="Arial" w:eastAsia="Arial" w:hAnsi="Arial" w:cs="Arial"/>
          <w:sz w:val="20"/>
          <w:szCs w:val="20"/>
        </w:rPr>
        <w:t>La incidencia de LDM varía entre 0,5 y 1/50.000 (con un 60% de forma infantil tardía, 20-30% juvenil y un 10-20% adulta).</w:t>
      </w:r>
      <w:r w:rsidRPr="00D840DC">
        <w:t xml:space="preserve"> </w:t>
      </w:r>
      <w:r w:rsidRPr="00D840DC">
        <w:rPr>
          <w:rFonts w:ascii="Arial" w:eastAsia="Arial" w:hAnsi="Arial" w:cs="Arial"/>
          <w:sz w:val="20"/>
          <w:szCs w:val="20"/>
        </w:rPr>
        <w:t xml:space="preserve">La enfermedad es más común en algunos grupos étnicos aislados. La </w:t>
      </w:r>
      <w:r w:rsidRPr="00D840DC">
        <w:rPr>
          <w:rFonts w:ascii="Arial" w:eastAsia="Arial" w:hAnsi="Arial" w:cs="Arial"/>
          <w:i/>
          <w:sz w:val="20"/>
          <w:szCs w:val="20"/>
        </w:rPr>
        <w:t>MLD Fundation</w:t>
      </w:r>
      <w:r w:rsidRPr="00D840DC">
        <w:rPr>
          <w:rFonts w:ascii="Arial" w:eastAsia="Arial" w:hAnsi="Arial" w:cs="Arial"/>
          <w:sz w:val="20"/>
          <w:szCs w:val="20"/>
        </w:rPr>
        <w:t xml:space="preserve"> publica lo</w:t>
      </w:r>
      <w:r w:rsidR="00F67D1B" w:rsidRPr="00D840DC">
        <w:rPr>
          <w:rFonts w:ascii="Arial" w:eastAsia="Arial" w:hAnsi="Arial" w:cs="Arial"/>
          <w:sz w:val="20"/>
          <w:szCs w:val="20"/>
        </w:rPr>
        <w:t>s</w:t>
      </w:r>
      <w:r w:rsidRPr="00D840DC">
        <w:rPr>
          <w:rFonts w:ascii="Arial" w:eastAsia="Arial" w:hAnsi="Arial" w:cs="Arial"/>
          <w:sz w:val="20"/>
          <w:szCs w:val="20"/>
        </w:rPr>
        <w:t xml:space="preserve"> siguientes datos de incidencia y prevalencia (Tabla  A y B).</w:t>
      </w:r>
    </w:p>
    <w:p w14:paraId="2204FC8D" w14:textId="77777777" w:rsidR="00DA0BCC" w:rsidRPr="00D840DC" w:rsidRDefault="00DA0BCC" w:rsidP="00DA0BCC">
      <w:pPr>
        <w:ind w:left="0" w:hanging="2"/>
        <w:rPr>
          <w:rFonts w:ascii="Arial" w:eastAsia="Arial" w:hAnsi="Arial" w:cs="Arial"/>
          <w:sz w:val="20"/>
          <w:szCs w:val="20"/>
        </w:rPr>
      </w:pPr>
    </w:p>
    <w:tbl>
      <w:tblPr>
        <w:tblStyle w:val="Tablaconcuadrcula"/>
        <w:tblW w:w="0" w:type="auto"/>
        <w:tblLayout w:type="fixed"/>
        <w:tblLook w:val="04A0" w:firstRow="1" w:lastRow="0" w:firstColumn="1" w:lastColumn="0" w:noHBand="0" w:noVBand="1"/>
      </w:tblPr>
      <w:tblGrid>
        <w:gridCol w:w="1526"/>
        <w:gridCol w:w="850"/>
        <w:gridCol w:w="1560"/>
        <w:gridCol w:w="992"/>
        <w:gridCol w:w="992"/>
        <w:gridCol w:w="1820"/>
        <w:gridCol w:w="1157"/>
      </w:tblGrid>
      <w:tr w:rsidR="00D840DC" w:rsidRPr="00D840DC" w14:paraId="67B0D8BA" w14:textId="77777777" w:rsidTr="00F67D1B">
        <w:tc>
          <w:tcPr>
            <w:tcW w:w="8897" w:type="dxa"/>
            <w:gridSpan w:val="7"/>
            <w:shd w:val="clear" w:color="auto" w:fill="EAF1DD" w:themeFill="accent3" w:themeFillTint="33"/>
          </w:tcPr>
          <w:p w14:paraId="34597A2D" w14:textId="77777777" w:rsidR="00DA0BCC" w:rsidRPr="00D840DC" w:rsidRDefault="00DA0BCC" w:rsidP="00892D8D">
            <w:pPr>
              <w:ind w:leftChars="0" w:left="0" w:firstLineChars="0" w:firstLine="0"/>
              <w:rPr>
                <w:rFonts w:ascii="Arial" w:eastAsia="Arial" w:hAnsi="Arial" w:cs="Arial"/>
                <w:b/>
                <w:sz w:val="16"/>
                <w:szCs w:val="16"/>
              </w:rPr>
            </w:pPr>
            <w:r w:rsidRPr="00D840DC">
              <w:rPr>
                <w:rFonts w:ascii="Arial" w:eastAsia="Arial" w:hAnsi="Arial" w:cs="Arial"/>
                <w:b/>
                <w:sz w:val="16"/>
                <w:szCs w:val="16"/>
              </w:rPr>
              <w:t xml:space="preserve">Tabla A. Incidencia y prevalencia en EEUU, países desarrollados y mundial. </w:t>
            </w:r>
            <w:r w:rsidRPr="00D840DC">
              <w:rPr>
                <w:rFonts w:ascii="Arial" w:eastAsia="Arial" w:hAnsi="Arial" w:cs="Arial"/>
                <w:sz w:val="16"/>
                <w:szCs w:val="16"/>
              </w:rPr>
              <w:t>Ref: MLD Fundation,</w:t>
            </w:r>
            <w:bookmarkStart w:id="202" w:name="_Ref69893097"/>
            <w:r w:rsidR="00892D8D" w:rsidRPr="00D840DC">
              <w:rPr>
                <w:rStyle w:val="Refdenotaalfinal"/>
                <w:rFonts w:ascii="Arial" w:eastAsia="Arial" w:hAnsi="Arial" w:cs="Arial"/>
                <w:sz w:val="16"/>
                <w:szCs w:val="16"/>
              </w:rPr>
              <w:endnoteReference w:id="19"/>
            </w:r>
            <w:bookmarkEnd w:id="202"/>
          </w:p>
        </w:tc>
      </w:tr>
      <w:tr w:rsidR="00D840DC" w:rsidRPr="00D840DC" w14:paraId="4B98CAE9" w14:textId="77777777" w:rsidTr="00F67D1B">
        <w:tc>
          <w:tcPr>
            <w:tcW w:w="1526" w:type="dxa"/>
          </w:tcPr>
          <w:p w14:paraId="0677433F" w14:textId="77777777" w:rsidR="00DA0BCC" w:rsidRPr="00D840DC" w:rsidRDefault="00DA0BCC" w:rsidP="00DA0BCC">
            <w:pPr>
              <w:ind w:leftChars="0" w:left="0" w:firstLineChars="0" w:firstLine="0"/>
              <w:rPr>
                <w:rFonts w:ascii="Arial" w:eastAsia="Arial" w:hAnsi="Arial" w:cs="Arial"/>
                <w:b/>
                <w:sz w:val="16"/>
                <w:szCs w:val="16"/>
              </w:rPr>
            </w:pPr>
          </w:p>
        </w:tc>
        <w:tc>
          <w:tcPr>
            <w:tcW w:w="3402" w:type="dxa"/>
            <w:gridSpan w:val="3"/>
          </w:tcPr>
          <w:p w14:paraId="285B7C0A" w14:textId="77777777" w:rsidR="00DA0BCC" w:rsidRPr="00D840DC" w:rsidRDefault="00DA0BCC" w:rsidP="00DA0BCC">
            <w:pPr>
              <w:ind w:leftChars="0" w:left="0" w:firstLineChars="0" w:firstLine="0"/>
              <w:rPr>
                <w:rFonts w:ascii="Arial" w:eastAsia="Arial" w:hAnsi="Arial" w:cs="Arial"/>
                <w:b/>
                <w:sz w:val="16"/>
                <w:szCs w:val="16"/>
              </w:rPr>
            </w:pPr>
            <w:r w:rsidRPr="00D840DC">
              <w:rPr>
                <w:rFonts w:ascii="Arial" w:eastAsia="Arial" w:hAnsi="Arial" w:cs="Arial"/>
                <w:b/>
                <w:sz w:val="16"/>
                <w:szCs w:val="16"/>
              </w:rPr>
              <w:t>Incidencia</w:t>
            </w:r>
          </w:p>
        </w:tc>
        <w:tc>
          <w:tcPr>
            <w:tcW w:w="3969" w:type="dxa"/>
            <w:gridSpan w:val="3"/>
          </w:tcPr>
          <w:p w14:paraId="58B24F4B" w14:textId="77777777" w:rsidR="00DA0BCC" w:rsidRPr="00D840DC" w:rsidRDefault="00DA0BCC" w:rsidP="00DA0BCC">
            <w:pPr>
              <w:ind w:leftChars="0" w:left="0" w:firstLineChars="0" w:firstLine="0"/>
              <w:rPr>
                <w:rFonts w:ascii="Arial" w:eastAsia="Arial" w:hAnsi="Arial" w:cs="Arial"/>
                <w:b/>
                <w:sz w:val="16"/>
                <w:szCs w:val="16"/>
              </w:rPr>
            </w:pPr>
            <w:r w:rsidRPr="00D840DC">
              <w:rPr>
                <w:rFonts w:ascii="Arial" w:eastAsia="Arial" w:hAnsi="Arial" w:cs="Arial"/>
                <w:b/>
                <w:sz w:val="16"/>
                <w:szCs w:val="16"/>
              </w:rPr>
              <w:t>Vivos (prevalencia)</w:t>
            </w:r>
          </w:p>
        </w:tc>
      </w:tr>
      <w:tr w:rsidR="00D840DC" w:rsidRPr="00D840DC" w14:paraId="3E75F756" w14:textId="77777777" w:rsidTr="00F67D1B">
        <w:tc>
          <w:tcPr>
            <w:tcW w:w="1526" w:type="dxa"/>
          </w:tcPr>
          <w:p w14:paraId="3FAD1E3E" w14:textId="77777777" w:rsidR="00DA0BCC" w:rsidRPr="00D840DC" w:rsidRDefault="00DA0BCC" w:rsidP="00DA0BCC">
            <w:pPr>
              <w:ind w:leftChars="0" w:left="0" w:firstLineChars="0" w:firstLine="0"/>
              <w:rPr>
                <w:rFonts w:ascii="Arial" w:eastAsia="Arial" w:hAnsi="Arial" w:cs="Arial"/>
                <w:sz w:val="16"/>
                <w:szCs w:val="16"/>
              </w:rPr>
            </w:pPr>
          </w:p>
        </w:tc>
        <w:tc>
          <w:tcPr>
            <w:tcW w:w="850" w:type="dxa"/>
          </w:tcPr>
          <w:p w14:paraId="6F6E02F1"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USA</w:t>
            </w:r>
          </w:p>
        </w:tc>
        <w:tc>
          <w:tcPr>
            <w:tcW w:w="1560" w:type="dxa"/>
          </w:tcPr>
          <w:p w14:paraId="6A73D042"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Resto países desarrollados</w:t>
            </w:r>
          </w:p>
        </w:tc>
        <w:tc>
          <w:tcPr>
            <w:tcW w:w="992" w:type="dxa"/>
          </w:tcPr>
          <w:p w14:paraId="780965CA"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Global</w:t>
            </w:r>
          </w:p>
        </w:tc>
        <w:tc>
          <w:tcPr>
            <w:tcW w:w="992" w:type="dxa"/>
          </w:tcPr>
          <w:p w14:paraId="1B92F337"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USA</w:t>
            </w:r>
          </w:p>
        </w:tc>
        <w:tc>
          <w:tcPr>
            <w:tcW w:w="1820" w:type="dxa"/>
          </w:tcPr>
          <w:p w14:paraId="6F895022"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Resto países desarrollados</w:t>
            </w:r>
          </w:p>
        </w:tc>
        <w:tc>
          <w:tcPr>
            <w:tcW w:w="1157" w:type="dxa"/>
          </w:tcPr>
          <w:p w14:paraId="01D4095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Global</w:t>
            </w:r>
          </w:p>
        </w:tc>
      </w:tr>
      <w:tr w:rsidR="00D840DC" w:rsidRPr="00D840DC" w14:paraId="32F89AC8" w14:textId="77777777" w:rsidTr="00F67D1B">
        <w:tc>
          <w:tcPr>
            <w:tcW w:w="1526" w:type="dxa"/>
          </w:tcPr>
          <w:p w14:paraId="4E9E7DB4"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 xml:space="preserve">Infantil </w:t>
            </w:r>
            <w:r w:rsidR="00847CA3" w:rsidRPr="00D840DC">
              <w:rPr>
                <w:rFonts w:ascii="Arial" w:eastAsia="Arial" w:hAnsi="Arial" w:cs="Arial"/>
                <w:sz w:val="16"/>
                <w:szCs w:val="16"/>
              </w:rPr>
              <w:t>tardí</w:t>
            </w:r>
            <w:r w:rsidRPr="00D840DC">
              <w:rPr>
                <w:rFonts w:ascii="Arial" w:eastAsia="Arial" w:hAnsi="Arial" w:cs="Arial"/>
                <w:sz w:val="16"/>
                <w:szCs w:val="16"/>
              </w:rPr>
              <w:t>a</w:t>
            </w:r>
          </w:p>
        </w:tc>
        <w:tc>
          <w:tcPr>
            <w:tcW w:w="850" w:type="dxa"/>
          </w:tcPr>
          <w:p w14:paraId="31493C9B"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63</w:t>
            </w:r>
          </w:p>
        </w:tc>
        <w:tc>
          <w:tcPr>
            <w:tcW w:w="1560" w:type="dxa"/>
          </w:tcPr>
          <w:p w14:paraId="61A6D475"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191</w:t>
            </w:r>
          </w:p>
        </w:tc>
        <w:tc>
          <w:tcPr>
            <w:tcW w:w="992" w:type="dxa"/>
          </w:tcPr>
          <w:p w14:paraId="583177A6"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996</w:t>
            </w:r>
          </w:p>
        </w:tc>
        <w:tc>
          <w:tcPr>
            <w:tcW w:w="992" w:type="dxa"/>
          </w:tcPr>
          <w:p w14:paraId="7CC811C3"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250</w:t>
            </w:r>
          </w:p>
        </w:tc>
        <w:tc>
          <w:tcPr>
            <w:tcW w:w="1820" w:type="dxa"/>
          </w:tcPr>
          <w:p w14:paraId="225E6CB7"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760</w:t>
            </w:r>
          </w:p>
        </w:tc>
        <w:tc>
          <w:tcPr>
            <w:tcW w:w="1157" w:type="dxa"/>
          </w:tcPr>
          <w:p w14:paraId="1B7D5A2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8</w:t>
            </w:r>
            <w:r w:rsidR="00F67D1B" w:rsidRPr="00D840DC">
              <w:rPr>
                <w:rFonts w:ascii="Arial" w:eastAsia="Arial" w:hAnsi="Arial" w:cs="Arial"/>
                <w:sz w:val="16"/>
                <w:szCs w:val="16"/>
              </w:rPr>
              <w:t>.</w:t>
            </w:r>
            <w:r w:rsidRPr="00D840DC">
              <w:rPr>
                <w:rFonts w:ascii="Arial" w:eastAsia="Arial" w:hAnsi="Arial" w:cs="Arial"/>
                <w:sz w:val="16"/>
                <w:szCs w:val="16"/>
              </w:rPr>
              <w:t>000</w:t>
            </w:r>
          </w:p>
        </w:tc>
      </w:tr>
      <w:tr w:rsidR="00D840DC" w:rsidRPr="00D840DC" w14:paraId="249987F9" w14:textId="77777777" w:rsidTr="00F67D1B">
        <w:tc>
          <w:tcPr>
            <w:tcW w:w="1526" w:type="dxa"/>
          </w:tcPr>
          <w:p w14:paraId="0656B3DD"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Juvenil</w:t>
            </w:r>
          </w:p>
        </w:tc>
        <w:tc>
          <w:tcPr>
            <w:tcW w:w="850" w:type="dxa"/>
          </w:tcPr>
          <w:p w14:paraId="473EEA85"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28</w:t>
            </w:r>
          </w:p>
        </w:tc>
        <w:tc>
          <w:tcPr>
            <w:tcW w:w="1560" w:type="dxa"/>
          </w:tcPr>
          <w:p w14:paraId="53B7C3DC"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87</w:t>
            </w:r>
          </w:p>
        </w:tc>
        <w:tc>
          <w:tcPr>
            <w:tcW w:w="992" w:type="dxa"/>
          </w:tcPr>
          <w:p w14:paraId="4BE1BD11"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907</w:t>
            </w:r>
          </w:p>
        </w:tc>
        <w:tc>
          <w:tcPr>
            <w:tcW w:w="992" w:type="dxa"/>
          </w:tcPr>
          <w:p w14:paraId="2E1F0F77"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540</w:t>
            </w:r>
          </w:p>
        </w:tc>
        <w:tc>
          <w:tcPr>
            <w:tcW w:w="1820" w:type="dxa"/>
          </w:tcPr>
          <w:p w14:paraId="78A11D5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650</w:t>
            </w:r>
          </w:p>
        </w:tc>
        <w:tc>
          <w:tcPr>
            <w:tcW w:w="1157" w:type="dxa"/>
          </w:tcPr>
          <w:p w14:paraId="57EFC65B"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w:t>
            </w:r>
            <w:r w:rsidR="00F67D1B" w:rsidRPr="00D840DC">
              <w:rPr>
                <w:rFonts w:ascii="Arial" w:eastAsia="Arial" w:hAnsi="Arial" w:cs="Arial"/>
                <w:sz w:val="16"/>
                <w:szCs w:val="16"/>
              </w:rPr>
              <w:t>.</w:t>
            </w:r>
            <w:r w:rsidRPr="00D840DC">
              <w:rPr>
                <w:rFonts w:ascii="Arial" w:eastAsia="Arial" w:hAnsi="Arial" w:cs="Arial"/>
                <w:sz w:val="16"/>
                <w:szCs w:val="16"/>
              </w:rPr>
              <w:t>600</w:t>
            </w:r>
          </w:p>
        </w:tc>
      </w:tr>
      <w:tr w:rsidR="00D840DC" w:rsidRPr="00D840DC" w14:paraId="557B58A1" w14:textId="77777777" w:rsidTr="00F67D1B">
        <w:tc>
          <w:tcPr>
            <w:tcW w:w="1526" w:type="dxa"/>
          </w:tcPr>
          <w:p w14:paraId="3102190D"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Adultos</w:t>
            </w:r>
          </w:p>
        </w:tc>
        <w:tc>
          <w:tcPr>
            <w:tcW w:w="850" w:type="dxa"/>
          </w:tcPr>
          <w:p w14:paraId="3887C70A"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23</w:t>
            </w:r>
          </w:p>
        </w:tc>
        <w:tc>
          <w:tcPr>
            <w:tcW w:w="1560" w:type="dxa"/>
          </w:tcPr>
          <w:p w14:paraId="4BEB90C4"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69</w:t>
            </w:r>
          </w:p>
        </w:tc>
        <w:tc>
          <w:tcPr>
            <w:tcW w:w="992" w:type="dxa"/>
          </w:tcPr>
          <w:p w14:paraId="271D89A5"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728</w:t>
            </w:r>
          </w:p>
        </w:tc>
        <w:tc>
          <w:tcPr>
            <w:tcW w:w="992" w:type="dxa"/>
          </w:tcPr>
          <w:p w14:paraId="33363BA2"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120</w:t>
            </w:r>
          </w:p>
        </w:tc>
        <w:tc>
          <w:tcPr>
            <w:tcW w:w="1820" w:type="dxa"/>
          </w:tcPr>
          <w:p w14:paraId="429A94A3"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w:t>
            </w:r>
            <w:r w:rsidR="00F67D1B" w:rsidRPr="00D840DC">
              <w:rPr>
                <w:rFonts w:ascii="Arial" w:eastAsia="Arial" w:hAnsi="Arial" w:cs="Arial"/>
                <w:sz w:val="16"/>
                <w:szCs w:val="16"/>
              </w:rPr>
              <w:t>.</w:t>
            </w:r>
            <w:r w:rsidRPr="00D840DC">
              <w:rPr>
                <w:rFonts w:ascii="Arial" w:eastAsia="Arial" w:hAnsi="Arial" w:cs="Arial"/>
                <w:sz w:val="16"/>
                <w:szCs w:val="16"/>
              </w:rPr>
              <w:t>500</w:t>
            </w:r>
          </w:p>
        </w:tc>
        <w:tc>
          <w:tcPr>
            <w:tcW w:w="1157" w:type="dxa"/>
          </w:tcPr>
          <w:p w14:paraId="3F45027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37</w:t>
            </w:r>
            <w:r w:rsidR="00F67D1B" w:rsidRPr="00D840DC">
              <w:rPr>
                <w:rFonts w:ascii="Arial" w:eastAsia="Arial" w:hAnsi="Arial" w:cs="Arial"/>
                <w:sz w:val="16"/>
                <w:szCs w:val="16"/>
              </w:rPr>
              <w:t>.</w:t>
            </w:r>
            <w:r w:rsidRPr="00D840DC">
              <w:rPr>
                <w:rFonts w:ascii="Arial" w:eastAsia="Arial" w:hAnsi="Arial" w:cs="Arial"/>
                <w:sz w:val="16"/>
                <w:szCs w:val="16"/>
              </w:rPr>
              <w:t>000</w:t>
            </w:r>
          </w:p>
        </w:tc>
      </w:tr>
      <w:tr w:rsidR="00DA0BCC" w:rsidRPr="00D840DC" w14:paraId="202E327D" w14:textId="77777777" w:rsidTr="00F67D1B">
        <w:tc>
          <w:tcPr>
            <w:tcW w:w="1526" w:type="dxa"/>
          </w:tcPr>
          <w:p w14:paraId="7803FF7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Total</w:t>
            </w:r>
          </w:p>
        </w:tc>
        <w:tc>
          <w:tcPr>
            <w:tcW w:w="850" w:type="dxa"/>
          </w:tcPr>
          <w:p w14:paraId="4C6B5B8E"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114</w:t>
            </w:r>
          </w:p>
        </w:tc>
        <w:tc>
          <w:tcPr>
            <w:tcW w:w="1560" w:type="dxa"/>
          </w:tcPr>
          <w:p w14:paraId="4DA437C4"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347</w:t>
            </w:r>
          </w:p>
        </w:tc>
        <w:tc>
          <w:tcPr>
            <w:tcW w:w="992" w:type="dxa"/>
          </w:tcPr>
          <w:p w14:paraId="2FFC4A9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3</w:t>
            </w:r>
            <w:r w:rsidR="00F67D1B" w:rsidRPr="00D840DC">
              <w:rPr>
                <w:rFonts w:ascii="Arial" w:eastAsia="Arial" w:hAnsi="Arial" w:cs="Arial"/>
                <w:sz w:val="16"/>
                <w:szCs w:val="16"/>
              </w:rPr>
              <w:t>.</w:t>
            </w:r>
            <w:r w:rsidRPr="00D840DC">
              <w:rPr>
                <w:rFonts w:ascii="Arial" w:eastAsia="Arial" w:hAnsi="Arial" w:cs="Arial"/>
                <w:sz w:val="16"/>
                <w:szCs w:val="16"/>
              </w:rPr>
              <w:t>630</w:t>
            </w:r>
          </w:p>
        </w:tc>
        <w:tc>
          <w:tcPr>
            <w:tcW w:w="992" w:type="dxa"/>
          </w:tcPr>
          <w:p w14:paraId="7CC694BD"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1</w:t>
            </w:r>
            <w:r w:rsidR="00F67D1B" w:rsidRPr="00D840DC">
              <w:rPr>
                <w:rFonts w:ascii="Arial" w:eastAsia="Arial" w:hAnsi="Arial" w:cs="Arial"/>
                <w:sz w:val="16"/>
                <w:szCs w:val="16"/>
              </w:rPr>
              <w:t>.</w:t>
            </w:r>
            <w:r w:rsidRPr="00D840DC">
              <w:rPr>
                <w:rFonts w:ascii="Arial" w:eastAsia="Arial" w:hAnsi="Arial" w:cs="Arial"/>
                <w:sz w:val="16"/>
                <w:szCs w:val="16"/>
              </w:rPr>
              <w:t>900</w:t>
            </w:r>
          </w:p>
        </w:tc>
        <w:tc>
          <w:tcPr>
            <w:tcW w:w="1820" w:type="dxa"/>
          </w:tcPr>
          <w:p w14:paraId="69450999"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6</w:t>
            </w:r>
            <w:r w:rsidR="00F67D1B" w:rsidRPr="00D840DC">
              <w:rPr>
                <w:rFonts w:ascii="Arial" w:eastAsia="Arial" w:hAnsi="Arial" w:cs="Arial"/>
                <w:sz w:val="16"/>
                <w:szCs w:val="16"/>
              </w:rPr>
              <w:t>.</w:t>
            </w:r>
            <w:r w:rsidRPr="00D840DC">
              <w:rPr>
                <w:rFonts w:ascii="Arial" w:eastAsia="Arial" w:hAnsi="Arial" w:cs="Arial"/>
                <w:sz w:val="16"/>
                <w:szCs w:val="16"/>
              </w:rPr>
              <w:t>000</w:t>
            </w:r>
          </w:p>
        </w:tc>
        <w:tc>
          <w:tcPr>
            <w:tcW w:w="1157" w:type="dxa"/>
          </w:tcPr>
          <w:p w14:paraId="188E2500" w14:textId="77777777" w:rsidR="00DA0BCC" w:rsidRPr="00D840DC" w:rsidRDefault="00DA0BCC" w:rsidP="00DA0BCC">
            <w:pPr>
              <w:ind w:leftChars="0" w:left="0" w:firstLineChars="0" w:firstLine="0"/>
              <w:rPr>
                <w:rFonts w:ascii="Arial" w:eastAsia="Arial" w:hAnsi="Arial" w:cs="Arial"/>
                <w:sz w:val="16"/>
                <w:szCs w:val="16"/>
              </w:rPr>
            </w:pPr>
            <w:r w:rsidRPr="00D840DC">
              <w:rPr>
                <w:rFonts w:ascii="Arial" w:eastAsia="Arial" w:hAnsi="Arial" w:cs="Arial"/>
                <w:sz w:val="16"/>
                <w:szCs w:val="16"/>
              </w:rPr>
              <w:t>48</w:t>
            </w:r>
            <w:r w:rsidR="00F67D1B" w:rsidRPr="00D840DC">
              <w:rPr>
                <w:rFonts w:ascii="Arial" w:eastAsia="Arial" w:hAnsi="Arial" w:cs="Arial"/>
                <w:sz w:val="16"/>
                <w:szCs w:val="16"/>
              </w:rPr>
              <w:t>.</w:t>
            </w:r>
            <w:r w:rsidRPr="00D840DC">
              <w:rPr>
                <w:rFonts w:ascii="Arial" w:eastAsia="Arial" w:hAnsi="Arial" w:cs="Arial"/>
                <w:sz w:val="16"/>
                <w:szCs w:val="16"/>
              </w:rPr>
              <w:t>700</w:t>
            </w:r>
          </w:p>
        </w:tc>
      </w:tr>
    </w:tbl>
    <w:p w14:paraId="2753B5CF" w14:textId="77777777" w:rsidR="00DA0BCC" w:rsidRPr="00D840DC" w:rsidRDefault="00DA0BCC">
      <w:pPr>
        <w:ind w:left="0" w:hanging="2"/>
        <w:rPr>
          <w:rFonts w:ascii="Arial" w:eastAsia="Arial" w:hAnsi="Arial" w:cs="Arial"/>
          <w:sz w:val="20"/>
          <w:szCs w:val="20"/>
        </w:rPr>
      </w:pPr>
    </w:p>
    <w:tbl>
      <w:tblPr>
        <w:tblStyle w:val="Tablaconcuadrcula"/>
        <w:tblW w:w="8897" w:type="dxa"/>
        <w:tblLook w:val="04A0" w:firstRow="1" w:lastRow="0" w:firstColumn="1" w:lastColumn="0" w:noHBand="0" w:noVBand="1"/>
      </w:tblPr>
      <w:tblGrid>
        <w:gridCol w:w="2093"/>
        <w:gridCol w:w="1276"/>
        <w:gridCol w:w="1701"/>
        <w:gridCol w:w="2362"/>
        <w:gridCol w:w="1465"/>
      </w:tblGrid>
      <w:tr w:rsidR="00D840DC" w:rsidRPr="00D840DC" w14:paraId="34DFD7E7" w14:textId="77777777" w:rsidTr="00F67D1B">
        <w:tc>
          <w:tcPr>
            <w:tcW w:w="8897" w:type="dxa"/>
            <w:gridSpan w:val="5"/>
            <w:shd w:val="clear" w:color="auto" w:fill="EAF1DD" w:themeFill="accent3" w:themeFillTint="33"/>
          </w:tcPr>
          <w:p w14:paraId="51729C37" w14:textId="77777777" w:rsidR="00892D8D" w:rsidRPr="00D840DC" w:rsidRDefault="00892D8D" w:rsidP="00892D8D">
            <w:pPr>
              <w:ind w:leftChars="0" w:left="0" w:firstLineChars="0" w:firstLine="0"/>
              <w:rPr>
                <w:rFonts w:ascii="Arial" w:eastAsia="Arial" w:hAnsi="Arial" w:cs="Arial"/>
                <w:b/>
                <w:sz w:val="16"/>
                <w:szCs w:val="16"/>
              </w:rPr>
            </w:pPr>
            <w:r w:rsidRPr="00D840DC">
              <w:rPr>
                <w:rFonts w:ascii="Arial" w:eastAsia="Arial" w:hAnsi="Arial" w:cs="Arial"/>
                <w:b/>
                <w:sz w:val="16"/>
                <w:szCs w:val="16"/>
              </w:rPr>
              <w:t xml:space="preserve">Tabla B. Estimación candidatos a tratamiento EEUU, países desarrollados y mundial. </w:t>
            </w:r>
            <w:r w:rsidRPr="00D840DC">
              <w:rPr>
                <w:rFonts w:ascii="Arial" w:eastAsia="Arial" w:hAnsi="Arial" w:cs="Arial"/>
                <w:sz w:val="16"/>
                <w:szCs w:val="16"/>
              </w:rPr>
              <w:t>Ref:</w:t>
            </w:r>
            <w:r w:rsidRPr="00D840DC">
              <w:rPr>
                <w:rFonts w:ascii="Arial" w:eastAsia="Arial" w:hAnsi="Arial" w:cs="Arial"/>
                <w:b/>
                <w:sz w:val="16"/>
                <w:szCs w:val="16"/>
              </w:rPr>
              <w:t xml:space="preserve"> </w:t>
            </w:r>
            <w:r w:rsidRPr="00D840DC">
              <w:rPr>
                <w:rFonts w:ascii="Arial" w:eastAsia="Arial" w:hAnsi="Arial" w:cs="Arial"/>
                <w:sz w:val="16"/>
                <w:szCs w:val="16"/>
              </w:rPr>
              <w:t xml:space="preserve">MLD Fundation, </w:t>
            </w:r>
            <w:r w:rsidRPr="00D840DC">
              <w:rPr>
                <w:rFonts w:ascii="Arial" w:eastAsia="Arial" w:hAnsi="Arial" w:cs="Arial"/>
                <w:sz w:val="16"/>
                <w:szCs w:val="16"/>
              </w:rPr>
              <w:fldChar w:fldCharType="begin"/>
            </w:r>
            <w:r w:rsidRPr="00D840DC">
              <w:rPr>
                <w:rFonts w:ascii="Arial" w:eastAsia="Arial" w:hAnsi="Arial" w:cs="Arial"/>
                <w:sz w:val="16"/>
                <w:szCs w:val="16"/>
              </w:rPr>
              <w:instrText xml:space="preserve"> NOTEREF _Ref69893097 \h  \* MERGEFORMAT </w:instrText>
            </w:r>
            <w:r w:rsidRPr="00D840DC">
              <w:rPr>
                <w:rFonts w:ascii="Arial" w:eastAsia="Arial" w:hAnsi="Arial" w:cs="Arial"/>
                <w:sz w:val="16"/>
                <w:szCs w:val="16"/>
              </w:rPr>
            </w:r>
            <w:r w:rsidRPr="00D840DC">
              <w:rPr>
                <w:rFonts w:ascii="Arial" w:eastAsia="Arial" w:hAnsi="Arial" w:cs="Arial"/>
                <w:sz w:val="16"/>
                <w:szCs w:val="16"/>
              </w:rPr>
              <w:fldChar w:fldCharType="separate"/>
            </w:r>
            <w:r w:rsidR="00942E63" w:rsidRPr="00D840DC">
              <w:rPr>
                <w:rFonts w:ascii="Arial" w:eastAsia="Arial" w:hAnsi="Arial" w:cs="Arial"/>
                <w:sz w:val="16"/>
                <w:szCs w:val="16"/>
                <w:vertAlign w:val="superscript"/>
              </w:rPr>
              <w:t>19</w:t>
            </w:r>
            <w:r w:rsidRPr="00D840DC">
              <w:rPr>
                <w:rFonts w:ascii="Arial" w:eastAsia="Arial" w:hAnsi="Arial" w:cs="Arial"/>
                <w:sz w:val="16"/>
                <w:szCs w:val="16"/>
              </w:rPr>
              <w:fldChar w:fldCharType="end"/>
            </w:r>
          </w:p>
        </w:tc>
      </w:tr>
      <w:tr w:rsidR="00D840DC" w:rsidRPr="00D840DC" w14:paraId="129AF127" w14:textId="77777777" w:rsidTr="00F67D1B">
        <w:tc>
          <w:tcPr>
            <w:tcW w:w="2093" w:type="dxa"/>
          </w:tcPr>
          <w:p w14:paraId="0A6A7E4E" w14:textId="77777777" w:rsidR="00892D8D" w:rsidRPr="00D840DC" w:rsidRDefault="00892D8D" w:rsidP="005637D2">
            <w:pPr>
              <w:ind w:leftChars="0" w:left="0" w:firstLineChars="0" w:firstLine="0"/>
              <w:rPr>
                <w:rFonts w:ascii="Arial" w:eastAsia="Arial" w:hAnsi="Arial" w:cs="Arial"/>
                <w:sz w:val="16"/>
                <w:szCs w:val="16"/>
              </w:rPr>
            </w:pPr>
          </w:p>
        </w:tc>
        <w:tc>
          <w:tcPr>
            <w:tcW w:w="1276" w:type="dxa"/>
          </w:tcPr>
          <w:p w14:paraId="327C3175"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USA</w:t>
            </w:r>
          </w:p>
        </w:tc>
        <w:tc>
          <w:tcPr>
            <w:tcW w:w="1701" w:type="dxa"/>
          </w:tcPr>
          <w:p w14:paraId="6182150B"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Resto países desarrollados</w:t>
            </w:r>
          </w:p>
        </w:tc>
        <w:tc>
          <w:tcPr>
            <w:tcW w:w="2362" w:type="dxa"/>
          </w:tcPr>
          <w:p w14:paraId="566E2208"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USA + Resto países desarrollados</w:t>
            </w:r>
          </w:p>
        </w:tc>
        <w:tc>
          <w:tcPr>
            <w:tcW w:w="1465" w:type="dxa"/>
          </w:tcPr>
          <w:p w14:paraId="5A1C8158"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Global</w:t>
            </w:r>
          </w:p>
        </w:tc>
      </w:tr>
      <w:tr w:rsidR="00D840DC" w:rsidRPr="00D840DC" w14:paraId="6BC60B6D" w14:textId="77777777" w:rsidTr="00F67D1B">
        <w:trPr>
          <w:trHeight w:val="212"/>
        </w:trPr>
        <w:tc>
          <w:tcPr>
            <w:tcW w:w="2093" w:type="dxa"/>
          </w:tcPr>
          <w:p w14:paraId="5D221306" w14:textId="77777777" w:rsidR="00892D8D" w:rsidRPr="00D840DC" w:rsidRDefault="00847CA3"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Infantil tardí</w:t>
            </w:r>
            <w:r w:rsidR="00892D8D" w:rsidRPr="00D840DC">
              <w:rPr>
                <w:rFonts w:ascii="Arial" w:eastAsia="Arial" w:hAnsi="Arial" w:cs="Arial"/>
                <w:sz w:val="16"/>
                <w:szCs w:val="16"/>
              </w:rPr>
              <w:t>a</w:t>
            </w:r>
          </w:p>
        </w:tc>
        <w:tc>
          <w:tcPr>
            <w:tcW w:w="1276" w:type="dxa"/>
          </w:tcPr>
          <w:p w14:paraId="7F40AD4F"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63</w:t>
            </w:r>
          </w:p>
        </w:tc>
        <w:tc>
          <w:tcPr>
            <w:tcW w:w="1701" w:type="dxa"/>
          </w:tcPr>
          <w:p w14:paraId="6F45B19F"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191</w:t>
            </w:r>
          </w:p>
        </w:tc>
        <w:tc>
          <w:tcPr>
            <w:tcW w:w="2362" w:type="dxa"/>
          </w:tcPr>
          <w:p w14:paraId="5FBC1FC3" w14:textId="77777777" w:rsidR="00892D8D" w:rsidRPr="00D840DC" w:rsidRDefault="00892D8D" w:rsidP="005637D2">
            <w:pPr>
              <w:ind w:left="0" w:hanging="2"/>
              <w:rPr>
                <w:rFonts w:ascii="Arial" w:eastAsia="Arial" w:hAnsi="Arial" w:cs="Arial"/>
                <w:b/>
                <w:sz w:val="16"/>
                <w:szCs w:val="16"/>
              </w:rPr>
            </w:pPr>
            <w:r w:rsidRPr="00D840DC">
              <w:rPr>
                <w:rFonts w:ascii="Arial" w:eastAsia="Arial" w:hAnsi="Arial" w:cs="Arial"/>
                <w:b/>
                <w:sz w:val="16"/>
                <w:szCs w:val="16"/>
              </w:rPr>
              <w:t>254</w:t>
            </w:r>
          </w:p>
        </w:tc>
        <w:tc>
          <w:tcPr>
            <w:tcW w:w="1465" w:type="dxa"/>
          </w:tcPr>
          <w:p w14:paraId="4F1B778C"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1</w:t>
            </w:r>
            <w:r w:rsidR="00F67D1B" w:rsidRPr="00D840DC">
              <w:rPr>
                <w:rFonts w:ascii="Arial" w:eastAsia="Arial" w:hAnsi="Arial" w:cs="Arial"/>
                <w:b/>
                <w:sz w:val="16"/>
                <w:szCs w:val="16"/>
              </w:rPr>
              <w:t>.</w:t>
            </w:r>
            <w:r w:rsidRPr="00D840DC">
              <w:rPr>
                <w:rFonts w:ascii="Arial" w:eastAsia="Arial" w:hAnsi="Arial" w:cs="Arial"/>
                <w:b/>
                <w:sz w:val="16"/>
                <w:szCs w:val="16"/>
              </w:rPr>
              <w:t>996</w:t>
            </w:r>
          </w:p>
        </w:tc>
      </w:tr>
      <w:tr w:rsidR="00D840DC" w:rsidRPr="00D840DC" w14:paraId="09ED0F4B" w14:textId="77777777" w:rsidTr="00F67D1B">
        <w:tc>
          <w:tcPr>
            <w:tcW w:w="2093" w:type="dxa"/>
          </w:tcPr>
          <w:p w14:paraId="27B13F13"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Juvenil</w:t>
            </w:r>
          </w:p>
        </w:tc>
        <w:tc>
          <w:tcPr>
            <w:tcW w:w="1276" w:type="dxa"/>
          </w:tcPr>
          <w:p w14:paraId="55CD73B9"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28</w:t>
            </w:r>
          </w:p>
        </w:tc>
        <w:tc>
          <w:tcPr>
            <w:tcW w:w="1701" w:type="dxa"/>
          </w:tcPr>
          <w:p w14:paraId="45DD6669" w14:textId="77777777" w:rsidR="00892D8D" w:rsidRPr="00D840DC" w:rsidRDefault="00892D8D" w:rsidP="005637D2">
            <w:pPr>
              <w:ind w:left="0" w:hanging="2"/>
              <w:rPr>
                <w:rFonts w:ascii="Arial" w:eastAsia="Arial" w:hAnsi="Arial" w:cs="Arial"/>
                <w:sz w:val="16"/>
                <w:szCs w:val="16"/>
              </w:rPr>
            </w:pPr>
            <w:r w:rsidRPr="00D840DC">
              <w:rPr>
                <w:rFonts w:ascii="Arial" w:eastAsia="Arial" w:hAnsi="Arial" w:cs="Arial"/>
                <w:sz w:val="16"/>
                <w:szCs w:val="16"/>
              </w:rPr>
              <w:t>87</w:t>
            </w:r>
          </w:p>
        </w:tc>
        <w:tc>
          <w:tcPr>
            <w:tcW w:w="2362" w:type="dxa"/>
          </w:tcPr>
          <w:p w14:paraId="59AE9AB1" w14:textId="77777777" w:rsidR="00892D8D" w:rsidRPr="00D840DC" w:rsidRDefault="00892D8D" w:rsidP="005637D2">
            <w:pPr>
              <w:ind w:left="0" w:hanging="2"/>
              <w:rPr>
                <w:rFonts w:ascii="Arial" w:eastAsia="Arial" w:hAnsi="Arial" w:cs="Arial"/>
                <w:b/>
                <w:sz w:val="16"/>
                <w:szCs w:val="16"/>
              </w:rPr>
            </w:pPr>
            <w:r w:rsidRPr="00D840DC">
              <w:rPr>
                <w:rFonts w:ascii="Arial" w:eastAsia="Arial" w:hAnsi="Arial" w:cs="Arial"/>
                <w:b/>
                <w:sz w:val="16"/>
                <w:szCs w:val="16"/>
              </w:rPr>
              <w:t>115</w:t>
            </w:r>
          </w:p>
        </w:tc>
        <w:tc>
          <w:tcPr>
            <w:tcW w:w="1465" w:type="dxa"/>
          </w:tcPr>
          <w:p w14:paraId="1A715C42"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907</w:t>
            </w:r>
          </w:p>
        </w:tc>
      </w:tr>
      <w:tr w:rsidR="00D840DC" w:rsidRPr="00D840DC" w14:paraId="68D936FA" w14:textId="77777777" w:rsidTr="00F67D1B">
        <w:tc>
          <w:tcPr>
            <w:tcW w:w="2093" w:type="dxa"/>
          </w:tcPr>
          <w:p w14:paraId="66707661"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POBLACION DIANA</w:t>
            </w:r>
          </w:p>
        </w:tc>
        <w:tc>
          <w:tcPr>
            <w:tcW w:w="1276" w:type="dxa"/>
          </w:tcPr>
          <w:p w14:paraId="037A41AE"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91</w:t>
            </w:r>
          </w:p>
        </w:tc>
        <w:tc>
          <w:tcPr>
            <w:tcW w:w="1701" w:type="dxa"/>
          </w:tcPr>
          <w:p w14:paraId="04366CE8" w14:textId="77777777" w:rsidR="00892D8D" w:rsidRPr="00D840DC" w:rsidRDefault="00892D8D" w:rsidP="005637D2">
            <w:pPr>
              <w:ind w:leftChars="0" w:left="0" w:firstLineChars="0" w:firstLine="0"/>
              <w:rPr>
                <w:rFonts w:ascii="Arial" w:eastAsia="Arial" w:hAnsi="Arial" w:cs="Arial"/>
                <w:sz w:val="16"/>
                <w:szCs w:val="16"/>
              </w:rPr>
            </w:pPr>
            <w:r w:rsidRPr="00D840DC">
              <w:rPr>
                <w:rFonts w:ascii="Arial" w:eastAsia="Arial" w:hAnsi="Arial" w:cs="Arial"/>
                <w:sz w:val="16"/>
                <w:szCs w:val="16"/>
              </w:rPr>
              <w:t>278</w:t>
            </w:r>
          </w:p>
        </w:tc>
        <w:tc>
          <w:tcPr>
            <w:tcW w:w="2362" w:type="dxa"/>
          </w:tcPr>
          <w:p w14:paraId="36FCB8B4"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369</w:t>
            </w:r>
          </w:p>
        </w:tc>
        <w:tc>
          <w:tcPr>
            <w:tcW w:w="1465" w:type="dxa"/>
          </w:tcPr>
          <w:p w14:paraId="1846A29E" w14:textId="77777777" w:rsidR="00892D8D" w:rsidRPr="00D840DC" w:rsidRDefault="00892D8D" w:rsidP="005637D2">
            <w:pPr>
              <w:ind w:leftChars="0" w:left="0" w:firstLineChars="0" w:firstLine="0"/>
              <w:rPr>
                <w:rFonts w:ascii="Arial" w:eastAsia="Arial" w:hAnsi="Arial" w:cs="Arial"/>
                <w:b/>
                <w:sz w:val="16"/>
                <w:szCs w:val="16"/>
              </w:rPr>
            </w:pPr>
            <w:r w:rsidRPr="00D840DC">
              <w:rPr>
                <w:rFonts w:ascii="Arial" w:eastAsia="Arial" w:hAnsi="Arial" w:cs="Arial"/>
                <w:b/>
                <w:sz w:val="16"/>
                <w:szCs w:val="16"/>
              </w:rPr>
              <w:t>2</w:t>
            </w:r>
            <w:r w:rsidR="00F67D1B" w:rsidRPr="00D840DC">
              <w:rPr>
                <w:rFonts w:ascii="Arial" w:eastAsia="Arial" w:hAnsi="Arial" w:cs="Arial"/>
                <w:b/>
                <w:sz w:val="16"/>
                <w:szCs w:val="16"/>
              </w:rPr>
              <w:t>.</w:t>
            </w:r>
            <w:r w:rsidRPr="00D840DC">
              <w:rPr>
                <w:rFonts w:ascii="Arial" w:eastAsia="Arial" w:hAnsi="Arial" w:cs="Arial"/>
                <w:b/>
                <w:sz w:val="16"/>
                <w:szCs w:val="16"/>
              </w:rPr>
              <w:t>903</w:t>
            </w:r>
          </w:p>
        </w:tc>
      </w:tr>
      <w:tr w:rsidR="00892D8D" w:rsidRPr="00D840DC" w14:paraId="6FADA46F" w14:textId="77777777" w:rsidTr="00F67D1B">
        <w:tc>
          <w:tcPr>
            <w:tcW w:w="8897" w:type="dxa"/>
            <w:gridSpan w:val="5"/>
          </w:tcPr>
          <w:p w14:paraId="701EFBC5" w14:textId="423A78F7" w:rsidR="00892D8D" w:rsidRPr="00D840DC" w:rsidRDefault="00892D8D" w:rsidP="005217D4">
            <w:pPr>
              <w:ind w:leftChars="0" w:left="0" w:firstLineChars="0" w:firstLine="0"/>
              <w:jc w:val="both"/>
              <w:rPr>
                <w:rFonts w:ascii="Arial" w:eastAsia="Arial" w:hAnsi="Arial" w:cs="Arial"/>
                <w:sz w:val="16"/>
                <w:szCs w:val="16"/>
              </w:rPr>
            </w:pPr>
            <w:r w:rsidRPr="00D840DC">
              <w:rPr>
                <w:rFonts w:ascii="Arial" w:eastAsia="Arial" w:hAnsi="Arial" w:cs="Arial"/>
                <w:sz w:val="16"/>
                <w:szCs w:val="16"/>
              </w:rPr>
              <w:t>En</w:t>
            </w:r>
            <w:r w:rsidR="00CD17D1" w:rsidRPr="00D840DC">
              <w:rPr>
                <w:rFonts w:ascii="Arial" w:eastAsia="Arial" w:hAnsi="Arial" w:cs="Arial"/>
                <w:sz w:val="16"/>
                <w:szCs w:val="16"/>
              </w:rPr>
              <w:t>tre</w:t>
            </w:r>
            <w:r w:rsidRPr="00D840DC">
              <w:rPr>
                <w:rFonts w:ascii="Arial" w:eastAsia="Arial" w:hAnsi="Arial" w:cs="Arial"/>
                <w:sz w:val="16"/>
                <w:szCs w:val="16"/>
              </w:rPr>
              <w:t xml:space="preserve"> EEUU </w:t>
            </w:r>
            <w:r w:rsidR="00CD17D1" w:rsidRPr="00D840DC">
              <w:rPr>
                <w:rFonts w:ascii="Arial" w:eastAsia="Arial" w:hAnsi="Arial" w:cs="Arial"/>
                <w:sz w:val="16"/>
                <w:szCs w:val="16"/>
              </w:rPr>
              <w:t>y el resto de p</w:t>
            </w:r>
            <w:r w:rsidRPr="00D840DC">
              <w:rPr>
                <w:rFonts w:ascii="Arial" w:eastAsia="Arial" w:hAnsi="Arial" w:cs="Arial"/>
                <w:sz w:val="16"/>
                <w:szCs w:val="16"/>
              </w:rPr>
              <w:t>aíses desarrollados la estimación es de 254 casos de LDM-IT y de 115 casos de LDM-JT, total 369 casos/año. En el mundo</w:t>
            </w:r>
            <w:r w:rsidR="00CD17D1" w:rsidRPr="00D840DC">
              <w:rPr>
                <w:rFonts w:ascii="Arial" w:eastAsia="Arial" w:hAnsi="Arial" w:cs="Arial"/>
                <w:sz w:val="16"/>
                <w:szCs w:val="16"/>
              </w:rPr>
              <w:t>,</w:t>
            </w:r>
            <w:r w:rsidRPr="00D840DC">
              <w:rPr>
                <w:rFonts w:ascii="Arial" w:eastAsia="Arial" w:hAnsi="Arial" w:cs="Arial"/>
                <w:sz w:val="16"/>
                <w:szCs w:val="16"/>
              </w:rPr>
              <w:t xml:space="preserve"> a nivel global, la incidencia es de 1996 casos de LDM-IT y de 907 casos de LDM-JT, total 2903 casos/año </w:t>
            </w:r>
            <w:r w:rsidR="00CD17D1" w:rsidRPr="00D840DC">
              <w:rPr>
                <w:rFonts w:ascii="Arial" w:eastAsia="Arial" w:hAnsi="Arial" w:cs="Arial"/>
                <w:sz w:val="16"/>
                <w:szCs w:val="16"/>
              </w:rPr>
              <w:t>.</w:t>
            </w:r>
          </w:p>
        </w:tc>
      </w:tr>
    </w:tbl>
    <w:p w14:paraId="738A1781" w14:textId="77777777" w:rsidR="00DA0BCC" w:rsidRPr="00D840DC" w:rsidRDefault="00DA0BCC">
      <w:pPr>
        <w:ind w:left="0" w:hanging="2"/>
        <w:rPr>
          <w:rFonts w:ascii="Arial" w:eastAsia="Arial" w:hAnsi="Arial" w:cs="Arial"/>
          <w:sz w:val="20"/>
          <w:szCs w:val="20"/>
        </w:rPr>
      </w:pPr>
    </w:p>
    <w:p w14:paraId="13B4A055" w14:textId="77777777" w:rsidR="00892D8D" w:rsidRPr="00D840DC" w:rsidRDefault="00892D8D" w:rsidP="00892D8D">
      <w:pPr>
        <w:spacing w:line="240" w:lineRule="auto"/>
        <w:ind w:left="0" w:hanging="2"/>
        <w:jc w:val="both"/>
      </w:pPr>
      <w:r w:rsidRPr="00D840DC">
        <w:rPr>
          <w:rFonts w:ascii="Arial" w:eastAsia="Arial" w:hAnsi="Arial" w:cs="Arial"/>
          <w:sz w:val="20"/>
          <w:szCs w:val="20"/>
        </w:rPr>
        <w:t xml:space="preserve">Según estos datos de incidencia, la estimación del número global de candidatos es de </w:t>
      </w:r>
      <w:r w:rsidRPr="00D840DC">
        <w:rPr>
          <w:rFonts w:ascii="Arial" w:eastAsia="Arial" w:hAnsi="Arial" w:cs="Arial"/>
          <w:b/>
          <w:sz w:val="20"/>
          <w:szCs w:val="20"/>
        </w:rPr>
        <w:t>369 /año</w:t>
      </w:r>
      <w:r w:rsidRPr="00D840DC">
        <w:rPr>
          <w:rFonts w:ascii="Arial" w:eastAsia="Arial" w:hAnsi="Arial" w:cs="Arial"/>
          <w:sz w:val="20"/>
          <w:szCs w:val="20"/>
        </w:rPr>
        <w:t xml:space="preserve"> en países desarrollados (EEUU + otros países desarrollados) y </w:t>
      </w:r>
      <w:r w:rsidRPr="00D840DC">
        <w:rPr>
          <w:rFonts w:ascii="Arial" w:eastAsia="Arial" w:hAnsi="Arial" w:cs="Arial"/>
          <w:b/>
          <w:sz w:val="20"/>
          <w:szCs w:val="20"/>
        </w:rPr>
        <w:t>de 2.903 candidatos/año</w:t>
      </w:r>
      <w:r w:rsidRPr="00D840DC">
        <w:rPr>
          <w:rFonts w:ascii="Arial" w:eastAsia="Arial" w:hAnsi="Arial" w:cs="Arial"/>
          <w:sz w:val="20"/>
          <w:szCs w:val="20"/>
        </w:rPr>
        <w:t xml:space="preserve"> a nivel mundial. (Ver tabla B)</w:t>
      </w:r>
      <w:r w:rsidRPr="00D840DC">
        <w:t xml:space="preserve">. </w:t>
      </w:r>
    </w:p>
    <w:p w14:paraId="1377A916" w14:textId="77777777" w:rsidR="00892D8D" w:rsidRPr="00D840DC" w:rsidRDefault="00892D8D" w:rsidP="00892D8D">
      <w:pPr>
        <w:spacing w:line="240" w:lineRule="auto"/>
        <w:ind w:left="0" w:hanging="2"/>
        <w:jc w:val="both"/>
        <w:rPr>
          <w:rFonts w:ascii="Arial" w:eastAsia="Arial" w:hAnsi="Arial" w:cs="Arial"/>
          <w:sz w:val="20"/>
          <w:szCs w:val="20"/>
        </w:rPr>
      </w:pPr>
      <w:r w:rsidRPr="00D840DC">
        <w:rPr>
          <w:rFonts w:ascii="Arial" w:eastAsia="Arial" w:hAnsi="Arial" w:cs="Arial"/>
          <w:sz w:val="20"/>
          <w:szCs w:val="20"/>
        </w:rPr>
        <w:t xml:space="preserve">Se estima que en </w:t>
      </w:r>
      <w:r w:rsidRPr="00D840DC">
        <w:rPr>
          <w:rFonts w:ascii="Arial" w:eastAsia="Arial" w:hAnsi="Arial" w:cs="Arial"/>
          <w:b/>
          <w:sz w:val="20"/>
          <w:szCs w:val="20"/>
        </w:rPr>
        <w:t>5 años</w:t>
      </w:r>
      <w:r w:rsidRPr="00D840DC">
        <w:rPr>
          <w:rFonts w:ascii="Arial" w:eastAsia="Arial" w:hAnsi="Arial" w:cs="Arial"/>
          <w:sz w:val="20"/>
          <w:szCs w:val="20"/>
        </w:rPr>
        <w:t xml:space="preserve"> el global de candidatos a tratar en países desarrollados será de 369 x 5 = </w:t>
      </w:r>
      <w:r w:rsidRPr="00D840DC">
        <w:rPr>
          <w:rFonts w:ascii="Arial" w:eastAsia="Arial" w:hAnsi="Arial" w:cs="Arial"/>
          <w:b/>
          <w:sz w:val="20"/>
          <w:szCs w:val="20"/>
        </w:rPr>
        <w:t>1.845 pacientes</w:t>
      </w:r>
      <w:r w:rsidRPr="00D840DC">
        <w:rPr>
          <w:rFonts w:ascii="Arial" w:eastAsia="Arial" w:hAnsi="Arial" w:cs="Arial"/>
          <w:sz w:val="20"/>
          <w:szCs w:val="20"/>
        </w:rPr>
        <w:t xml:space="preserve">. Si se trataran todos los pacientes en el mundo el número de pacientes sería de 2903 x 5 = </w:t>
      </w:r>
      <w:r w:rsidR="00F67D1B" w:rsidRPr="00D840DC">
        <w:rPr>
          <w:rFonts w:ascii="Arial" w:eastAsia="Arial" w:hAnsi="Arial" w:cs="Arial"/>
          <w:b/>
          <w:sz w:val="20"/>
          <w:szCs w:val="20"/>
        </w:rPr>
        <w:t xml:space="preserve">14.515 </w:t>
      </w:r>
      <w:r w:rsidRPr="00D840DC">
        <w:rPr>
          <w:rFonts w:ascii="Arial" w:eastAsia="Arial" w:hAnsi="Arial" w:cs="Arial"/>
          <w:b/>
          <w:sz w:val="20"/>
          <w:szCs w:val="20"/>
        </w:rPr>
        <w:t>pacientes</w:t>
      </w:r>
      <w:r w:rsidRPr="00D840DC">
        <w:rPr>
          <w:rFonts w:ascii="Arial" w:eastAsia="Arial" w:hAnsi="Arial" w:cs="Arial"/>
          <w:sz w:val="20"/>
          <w:szCs w:val="20"/>
        </w:rPr>
        <w:t xml:space="preserve">. Si el horizonte temporal fueran </w:t>
      </w:r>
      <w:r w:rsidRPr="00D840DC">
        <w:rPr>
          <w:rFonts w:ascii="Arial" w:eastAsia="Arial" w:hAnsi="Arial" w:cs="Arial"/>
          <w:b/>
          <w:sz w:val="20"/>
          <w:szCs w:val="20"/>
        </w:rPr>
        <w:t>10 años</w:t>
      </w:r>
      <w:r w:rsidRPr="00D840DC">
        <w:rPr>
          <w:rFonts w:ascii="Arial" w:eastAsia="Arial" w:hAnsi="Arial" w:cs="Arial"/>
          <w:sz w:val="20"/>
          <w:szCs w:val="20"/>
        </w:rPr>
        <w:t xml:space="preserve"> el número de pacientes en EEUU + países desarrollados seria de 3.690 y a nivel mundial 29.030. </w:t>
      </w:r>
    </w:p>
    <w:p w14:paraId="709E5A0D" w14:textId="77777777" w:rsidR="00892D8D" w:rsidRPr="00D840DC" w:rsidRDefault="00892D8D" w:rsidP="00892D8D">
      <w:pPr>
        <w:spacing w:line="240" w:lineRule="auto"/>
        <w:ind w:left="0" w:hanging="2"/>
        <w:jc w:val="both"/>
        <w:rPr>
          <w:rFonts w:ascii="Arial" w:eastAsia="Arial" w:hAnsi="Arial" w:cs="Arial"/>
          <w:sz w:val="20"/>
          <w:szCs w:val="20"/>
        </w:rPr>
      </w:pPr>
    </w:p>
    <w:p w14:paraId="05F1933F" w14:textId="77777777" w:rsidR="00892D8D" w:rsidRPr="00D840DC" w:rsidRDefault="00892D8D" w:rsidP="00892D8D">
      <w:pPr>
        <w:spacing w:line="240" w:lineRule="auto"/>
        <w:ind w:left="0" w:hanging="2"/>
        <w:jc w:val="both"/>
        <w:rPr>
          <w:rFonts w:ascii="Arial" w:eastAsia="Arial" w:hAnsi="Arial" w:cs="Arial"/>
          <w:sz w:val="20"/>
          <w:szCs w:val="20"/>
        </w:rPr>
      </w:pPr>
      <w:r w:rsidRPr="00D840DC">
        <w:rPr>
          <w:rFonts w:ascii="Arial" w:eastAsia="Arial" w:hAnsi="Arial" w:cs="Arial"/>
          <w:sz w:val="20"/>
          <w:szCs w:val="20"/>
        </w:rPr>
        <w:t xml:space="preserve">En la medida que se implantara un diagnóstico precoz antes de </w:t>
      </w:r>
      <w:r w:rsidR="00F67D1B" w:rsidRPr="00D840DC">
        <w:rPr>
          <w:rFonts w:ascii="Arial" w:eastAsia="Arial" w:hAnsi="Arial" w:cs="Arial"/>
          <w:sz w:val="20"/>
          <w:szCs w:val="20"/>
        </w:rPr>
        <w:t xml:space="preserve">los </w:t>
      </w:r>
      <w:r w:rsidRPr="00D840DC">
        <w:rPr>
          <w:rFonts w:ascii="Arial" w:eastAsia="Arial" w:hAnsi="Arial" w:cs="Arial"/>
          <w:sz w:val="20"/>
          <w:szCs w:val="20"/>
        </w:rPr>
        <w:t>síntomas</w:t>
      </w:r>
      <w:r w:rsidR="00F67D1B" w:rsidRPr="00D840DC">
        <w:rPr>
          <w:rFonts w:ascii="Arial" w:eastAsia="Arial" w:hAnsi="Arial" w:cs="Arial"/>
          <w:sz w:val="20"/>
          <w:szCs w:val="20"/>
        </w:rPr>
        <w:t>,</w:t>
      </w:r>
      <w:r w:rsidRPr="00D840DC">
        <w:rPr>
          <w:rFonts w:ascii="Arial" w:eastAsia="Arial" w:hAnsi="Arial" w:cs="Arial"/>
          <w:sz w:val="20"/>
          <w:szCs w:val="20"/>
        </w:rPr>
        <w:t xml:space="preserve"> el número de pacientes con LDM infantil podr</w:t>
      </w:r>
      <w:r w:rsidR="00E84C41" w:rsidRPr="00D840DC">
        <w:rPr>
          <w:rFonts w:ascii="Arial" w:eastAsia="Arial" w:hAnsi="Arial" w:cs="Arial"/>
          <w:sz w:val="20"/>
          <w:szCs w:val="20"/>
        </w:rPr>
        <w:t>ía</w:t>
      </w:r>
      <w:r w:rsidRPr="00D840DC">
        <w:rPr>
          <w:rFonts w:ascii="Arial" w:eastAsia="Arial" w:hAnsi="Arial" w:cs="Arial"/>
          <w:sz w:val="20"/>
          <w:szCs w:val="20"/>
        </w:rPr>
        <w:t xml:space="preserve"> ser mayor. También el número inicial de </w:t>
      </w:r>
      <w:r w:rsidR="00E84C41" w:rsidRPr="00D840DC">
        <w:rPr>
          <w:rFonts w:ascii="Arial" w:eastAsia="Arial" w:hAnsi="Arial" w:cs="Arial"/>
          <w:sz w:val="20"/>
          <w:szCs w:val="20"/>
        </w:rPr>
        <w:t xml:space="preserve">pacientes con </w:t>
      </w:r>
      <w:r w:rsidRPr="00D840DC">
        <w:rPr>
          <w:rFonts w:ascii="Arial" w:eastAsia="Arial" w:hAnsi="Arial" w:cs="Arial"/>
          <w:sz w:val="20"/>
          <w:szCs w:val="20"/>
        </w:rPr>
        <w:t xml:space="preserve">LDM juvenil teniendo en cuenta la prevalencia inicial. Por otro lado si el tratamiento fuera eficaz se supone que a medio plazo disminuiría el número de pacientes candidatos con LDM juvenil. </w:t>
      </w:r>
    </w:p>
    <w:p w14:paraId="1FAA885E" w14:textId="77777777" w:rsidR="00892D8D" w:rsidRPr="00D840DC" w:rsidRDefault="00892D8D">
      <w:pPr>
        <w:ind w:left="0" w:hanging="2"/>
        <w:rPr>
          <w:rFonts w:ascii="Arial" w:eastAsia="Arial" w:hAnsi="Arial" w:cs="Arial"/>
          <w:sz w:val="20"/>
          <w:szCs w:val="20"/>
        </w:rPr>
      </w:pPr>
    </w:p>
    <w:p w14:paraId="6C3E45A1" w14:textId="77777777" w:rsidR="00993FC5" w:rsidRPr="00D840DC" w:rsidRDefault="00993FC5" w:rsidP="00993FC5">
      <w:pPr>
        <w:pBdr>
          <w:bottom w:val="single" w:sz="4" w:space="1" w:color="auto"/>
        </w:pBdr>
        <w:ind w:left="0" w:hanging="2"/>
        <w:jc w:val="both"/>
        <w:rPr>
          <w:rFonts w:ascii="Arial" w:hAnsi="Arial" w:cs="Arial"/>
          <w:sz w:val="20"/>
          <w:szCs w:val="20"/>
        </w:rPr>
      </w:pPr>
      <w:r w:rsidRPr="00D840DC">
        <w:rPr>
          <w:rFonts w:ascii="Arial" w:hAnsi="Arial" w:cs="Arial"/>
          <w:b/>
          <w:sz w:val="20"/>
          <w:szCs w:val="20"/>
        </w:rPr>
        <w:t>Estimación de precio según costes</w:t>
      </w:r>
      <w:r w:rsidRPr="00D840DC">
        <w:rPr>
          <w:rFonts w:ascii="Arial" w:hAnsi="Arial" w:cs="Arial"/>
          <w:sz w:val="20"/>
          <w:szCs w:val="20"/>
        </w:rPr>
        <w:t xml:space="preserve">. </w:t>
      </w:r>
    </w:p>
    <w:p w14:paraId="2C021645"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sz w:val="20"/>
          <w:szCs w:val="20"/>
        </w:rPr>
        <w:t xml:space="preserve">Teniendo en cuenta todas las limitaciones e incertidumbre con la información disponible, podemos asumir los siguientes supuestos:  </w:t>
      </w:r>
    </w:p>
    <w:p w14:paraId="671D1461"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b/>
          <w:sz w:val="20"/>
          <w:szCs w:val="20"/>
        </w:rPr>
        <w:t>-</w:t>
      </w:r>
      <w:r w:rsidR="00F67D1B" w:rsidRPr="00D840DC">
        <w:rPr>
          <w:rFonts w:ascii="Arial" w:eastAsia="Arial" w:hAnsi="Arial" w:cs="Arial"/>
          <w:b/>
          <w:sz w:val="20"/>
          <w:szCs w:val="20"/>
        </w:rPr>
        <w:t xml:space="preserve"> </w:t>
      </w:r>
      <w:r w:rsidRPr="00D840DC">
        <w:rPr>
          <w:rFonts w:ascii="Arial" w:eastAsia="Arial" w:hAnsi="Arial" w:cs="Arial"/>
          <w:b/>
          <w:sz w:val="20"/>
          <w:szCs w:val="20"/>
        </w:rPr>
        <w:t xml:space="preserve">Costes de Producción: </w:t>
      </w:r>
      <w:r w:rsidRPr="00D840DC">
        <w:rPr>
          <w:rFonts w:ascii="Arial" w:eastAsia="Arial" w:hAnsi="Arial" w:cs="Arial"/>
          <w:sz w:val="20"/>
          <w:szCs w:val="20"/>
        </w:rPr>
        <w:t>45.000 €</w:t>
      </w:r>
    </w:p>
    <w:p w14:paraId="61A3B9BC"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b/>
          <w:sz w:val="20"/>
          <w:szCs w:val="20"/>
        </w:rPr>
        <w:t>-</w:t>
      </w:r>
      <w:r w:rsidR="00F67D1B" w:rsidRPr="00D840DC">
        <w:rPr>
          <w:rFonts w:ascii="Arial" w:eastAsia="Arial" w:hAnsi="Arial" w:cs="Arial"/>
          <w:b/>
          <w:sz w:val="20"/>
          <w:szCs w:val="20"/>
        </w:rPr>
        <w:t xml:space="preserve"> </w:t>
      </w:r>
      <w:r w:rsidRPr="00D840DC">
        <w:rPr>
          <w:rFonts w:ascii="Arial" w:eastAsia="Arial" w:hAnsi="Arial" w:cs="Arial"/>
          <w:b/>
          <w:sz w:val="20"/>
          <w:szCs w:val="20"/>
        </w:rPr>
        <w:t xml:space="preserve">Costes de Investigación: </w:t>
      </w:r>
      <w:r w:rsidRPr="00D840DC">
        <w:rPr>
          <w:rFonts w:ascii="Arial" w:eastAsia="Arial" w:hAnsi="Arial" w:cs="Arial"/>
          <w:sz w:val="20"/>
          <w:szCs w:val="20"/>
        </w:rPr>
        <w:t>1,22 mill de €</w:t>
      </w:r>
    </w:p>
    <w:p w14:paraId="61193BBC" w14:textId="77777777" w:rsidR="00892D8D" w:rsidRPr="00D840DC" w:rsidRDefault="00892D8D" w:rsidP="00892D8D">
      <w:pPr>
        <w:ind w:left="0" w:hanging="2"/>
        <w:jc w:val="both"/>
        <w:rPr>
          <w:rFonts w:ascii="Arial" w:eastAsia="Arial" w:hAnsi="Arial" w:cs="Arial"/>
          <w:sz w:val="20"/>
          <w:szCs w:val="20"/>
        </w:rPr>
      </w:pPr>
      <w:r w:rsidRPr="00D840DC">
        <w:rPr>
          <w:rFonts w:ascii="Arial" w:eastAsia="Arial" w:hAnsi="Arial" w:cs="Arial"/>
          <w:b/>
          <w:sz w:val="20"/>
          <w:szCs w:val="20"/>
        </w:rPr>
        <w:t>-</w:t>
      </w:r>
      <w:r w:rsidR="00F67D1B" w:rsidRPr="00D840DC">
        <w:rPr>
          <w:rFonts w:ascii="Arial" w:eastAsia="Arial" w:hAnsi="Arial" w:cs="Arial"/>
          <w:b/>
          <w:sz w:val="20"/>
          <w:szCs w:val="20"/>
        </w:rPr>
        <w:t xml:space="preserve"> </w:t>
      </w:r>
      <w:r w:rsidRPr="00D840DC">
        <w:rPr>
          <w:rFonts w:ascii="Arial" w:eastAsia="Arial" w:hAnsi="Arial" w:cs="Arial"/>
          <w:b/>
          <w:sz w:val="20"/>
          <w:szCs w:val="20"/>
        </w:rPr>
        <w:t>Pacientes candidatos en 5 años</w:t>
      </w:r>
      <w:r w:rsidRPr="00D840DC">
        <w:rPr>
          <w:rFonts w:ascii="Arial" w:eastAsia="Arial" w:hAnsi="Arial" w:cs="Arial"/>
          <w:sz w:val="20"/>
          <w:szCs w:val="20"/>
        </w:rPr>
        <w:t xml:space="preserve"> 1.845 pacientes en países desarrollados y 14.515 a nivel mundial.</w:t>
      </w:r>
    </w:p>
    <w:p w14:paraId="20157E5B" w14:textId="77777777" w:rsidR="00892D8D" w:rsidRPr="00D840DC" w:rsidRDefault="00892D8D" w:rsidP="00892D8D">
      <w:pPr>
        <w:ind w:left="0" w:hanging="2"/>
        <w:jc w:val="both"/>
        <w:rPr>
          <w:rFonts w:ascii="Arial" w:hAnsi="Arial" w:cs="Arial"/>
          <w:sz w:val="20"/>
          <w:szCs w:val="20"/>
        </w:rPr>
      </w:pPr>
    </w:p>
    <w:p w14:paraId="739D217A" w14:textId="77777777" w:rsidR="00892D8D" w:rsidRPr="00D840DC" w:rsidRDefault="00892D8D" w:rsidP="00892D8D">
      <w:pPr>
        <w:ind w:left="0" w:hanging="2"/>
        <w:jc w:val="both"/>
        <w:rPr>
          <w:rFonts w:ascii="Arial" w:hAnsi="Arial" w:cs="Arial"/>
          <w:sz w:val="20"/>
          <w:szCs w:val="20"/>
        </w:rPr>
      </w:pPr>
      <w:r w:rsidRPr="00D840DC">
        <w:rPr>
          <w:rFonts w:ascii="Arial" w:hAnsi="Arial" w:cs="Arial"/>
          <w:sz w:val="20"/>
          <w:szCs w:val="20"/>
        </w:rPr>
        <w:t xml:space="preserve">La patente debería permitir recuperar a lo largo de 20 años los costes de I+D, es decir 1,22 mill € más los gastos imputables de investigaciones fallidas. No sabemos cuánta ayuda recibió en subvenciones públicas, </w:t>
      </w:r>
      <w:r w:rsidRPr="00D840DC">
        <w:rPr>
          <w:rFonts w:ascii="Arial" w:hAnsi="Arial" w:cs="Arial"/>
          <w:i/>
          <w:sz w:val="20"/>
          <w:szCs w:val="20"/>
        </w:rPr>
        <w:t>bonus</w:t>
      </w:r>
      <w:r w:rsidRPr="00D840DC">
        <w:rPr>
          <w:rFonts w:ascii="Arial" w:hAnsi="Arial" w:cs="Arial"/>
          <w:sz w:val="20"/>
          <w:szCs w:val="20"/>
        </w:rPr>
        <w:t xml:space="preserve"> y desgravaciones fiscales recibió el H</w:t>
      </w:r>
      <w:r w:rsidRPr="00D840DC">
        <w:rPr>
          <w:rFonts w:ascii="Arial" w:hAnsi="Arial" w:cs="Arial"/>
          <w:i/>
          <w:sz w:val="20"/>
          <w:szCs w:val="20"/>
        </w:rPr>
        <w:t>ospital San Raffaele y Fondazione Teleth</w:t>
      </w:r>
      <w:r w:rsidRPr="00D840DC">
        <w:rPr>
          <w:rFonts w:ascii="Arial" w:hAnsi="Arial" w:cs="Arial"/>
          <w:sz w:val="20"/>
          <w:szCs w:val="20"/>
        </w:rPr>
        <w:t>on</w:t>
      </w:r>
      <w:r w:rsidR="00E84C41" w:rsidRPr="00D840DC">
        <w:rPr>
          <w:rFonts w:ascii="Arial" w:hAnsi="Arial" w:cs="Arial"/>
          <w:sz w:val="20"/>
          <w:szCs w:val="20"/>
        </w:rPr>
        <w:t>. D</w:t>
      </w:r>
      <w:r w:rsidRPr="00D840DC">
        <w:rPr>
          <w:rFonts w:ascii="Arial" w:hAnsi="Arial" w:cs="Arial"/>
          <w:sz w:val="20"/>
          <w:szCs w:val="20"/>
        </w:rPr>
        <w:t xml:space="preserve">ado la alta proporción de inversión pública para la investigación básica no se considera en el cálculo. También se desconoce  si </w:t>
      </w:r>
      <w:r w:rsidRPr="00D840DC">
        <w:rPr>
          <w:rFonts w:ascii="Arial" w:hAnsi="Arial" w:cs="Arial"/>
          <w:i/>
          <w:sz w:val="20"/>
          <w:szCs w:val="20"/>
        </w:rPr>
        <w:t>Orchard Therapeutics</w:t>
      </w:r>
      <w:r w:rsidRPr="00D840DC">
        <w:rPr>
          <w:rFonts w:ascii="Arial" w:hAnsi="Arial" w:cs="Arial"/>
          <w:sz w:val="20"/>
          <w:szCs w:val="20"/>
        </w:rPr>
        <w:t xml:space="preserve"> recibió subvenciones públicas o de entidades sin ánimo de lucro para la fase clínica de la investigación, </w:t>
      </w:r>
    </w:p>
    <w:p w14:paraId="6E1A3CE7" w14:textId="77777777" w:rsidR="00892D8D" w:rsidRPr="00D840DC" w:rsidRDefault="00892D8D" w:rsidP="00892D8D">
      <w:pPr>
        <w:ind w:left="0" w:hanging="2"/>
        <w:jc w:val="both"/>
        <w:rPr>
          <w:rFonts w:ascii="Arial" w:hAnsi="Arial" w:cs="Arial"/>
          <w:sz w:val="20"/>
          <w:szCs w:val="20"/>
        </w:rPr>
      </w:pPr>
    </w:p>
    <w:p w14:paraId="7F9F6638" w14:textId="77777777" w:rsidR="00892D8D" w:rsidRPr="00D840DC" w:rsidRDefault="00892D8D" w:rsidP="00F67D1B">
      <w:pPr>
        <w:ind w:left="0" w:hanging="2"/>
        <w:jc w:val="both"/>
        <w:rPr>
          <w:rFonts w:ascii="Arial" w:hAnsi="Arial" w:cs="Arial"/>
          <w:sz w:val="20"/>
          <w:szCs w:val="20"/>
        </w:rPr>
      </w:pPr>
      <w:r w:rsidRPr="00D840DC">
        <w:rPr>
          <w:rFonts w:ascii="Arial" w:hAnsi="Arial" w:cs="Arial"/>
          <w:sz w:val="20"/>
          <w:szCs w:val="20"/>
        </w:rPr>
        <w:t xml:space="preserve">Para amortizar </w:t>
      </w:r>
      <w:r w:rsidRPr="00D840DC">
        <w:rPr>
          <w:rFonts w:ascii="Arial" w:hAnsi="Arial" w:cs="Arial"/>
          <w:b/>
          <w:sz w:val="20"/>
          <w:szCs w:val="20"/>
        </w:rPr>
        <w:t>1,22 millones</w:t>
      </w:r>
      <w:r w:rsidRPr="00D840DC">
        <w:rPr>
          <w:rFonts w:ascii="Arial" w:hAnsi="Arial" w:cs="Arial"/>
          <w:sz w:val="20"/>
          <w:szCs w:val="20"/>
        </w:rPr>
        <w:t xml:space="preserve"> € de investigación y tratar 1.845 pacientes (horizonte de 5 años a 369 pacientes/año en países desarrollados), el precio por tratamiento se podría estimar en unos </w:t>
      </w:r>
      <w:r w:rsidRPr="00D840DC">
        <w:rPr>
          <w:rFonts w:ascii="Arial" w:hAnsi="Arial" w:cs="Arial"/>
          <w:b/>
          <w:sz w:val="20"/>
          <w:szCs w:val="20"/>
        </w:rPr>
        <w:t>661 €.</w:t>
      </w:r>
      <w:r w:rsidRPr="00D840DC">
        <w:rPr>
          <w:rFonts w:ascii="Arial" w:hAnsi="Arial" w:cs="Arial"/>
          <w:sz w:val="20"/>
          <w:szCs w:val="20"/>
        </w:rPr>
        <w:t xml:space="preserve"> Habría que sumar a esta cifra, el coste de producción </w:t>
      </w:r>
      <w:r w:rsidRPr="00D840DC">
        <w:rPr>
          <w:rFonts w:ascii="Arial" w:hAnsi="Arial" w:cs="Arial"/>
          <w:b/>
          <w:sz w:val="20"/>
          <w:szCs w:val="20"/>
        </w:rPr>
        <w:t xml:space="preserve">45.000 € </w:t>
      </w:r>
      <w:r w:rsidRPr="00D840DC">
        <w:rPr>
          <w:rFonts w:ascii="Arial" w:hAnsi="Arial" w:cs="Arial"/>
          <w:sz w:val="20"/>
          <w:szCs w:val="20"/>
        </w:rPr>
        <w:t xml:space="preserve">más gastos de distribución, tasas, el de la investigación fallida y un beneficio empresarial razonable, con la posibilidad de sumar una prima por innovación. Si tomamos como horizonte temporal de amortización 10 años en vez de 5, y el número global mundial de candidatos en vez de la de “países desarrollados”, el </w:t>
      </w:r>
      <w:r w:rsidRPr="00D840DC">
        <w:rPr>
          <w:rFonts w:ascii="Arial" w:hAnsi="Arial" w:cs="Arial"/>
          <w:b/>
          <w:sz w:val="20"/>
          <w:szCs w:val="20"/>
        </w:rPr>
        <w:t>coste de producción</w:t>
      </w:r>
      <w:r w:rsidRPr="00D840DC">
        <w:rPr>
          <w:rFonts w:ascii="Arial" w:hAnsi="Arial" w:cs="Arial"/>
          <w:sz w:val="20"/>
          <w:szCs w:val="20"/>
        </w:rPr>
        <w:t xml:space="preserve"> es el principal componente para la estimación </w:t>
      </w:r>
      <w:r w:rsidRPr="00D840DC">
        <w:rPr>
          <w:rFonts w:ascii="Arial" w:hAnsi="Arial" w:cs="Arial"/>
          <w:b/>
          <w:sz w:val="20"/>
          <w:szCs w:val="20"/>
        </w:rPr>
        <w:t>de un  precio de adquisición razonable.</w:t>
      </w:r>
      <w:r w:rsidRPr="00D840DC">
        <w:rPr>
          <w:rFonts w:ascii="Arial" w:hAnsi="Arial" w:cs="Arial"/>
          <w:sz w:val="20"/>
          <w:szCs w:val="20"/>
        </w:rPr>
        <w:t xml:space="preserve"> No disponemos de datos para calcular este precio final de forma precisa, pero sería de varios dígitos inferior al precio de venta informado por la compañía.</w:t>
      </w:r>
    </w:p>
    <w:p w14:paraId="21217FBC" w14:textId="77777777" w:rsidR="00892D8D" w:rsidRPr="00D840DC" w:rsidRDefault="00892D8D" w:rsidP="00F67D1B">
      <w:pPr>
        <w:ind w:left="0" w:hanging="2"/>
        <w:jc w:val="both"/>
        <w:rPr>
          <w:rFonts w:ascii="Arial" w:hAnsi="Arial" w:cs="Arial"/>
          <w:sz w:val="20"/>
          <w:szCs w:val="20"/>
        </w:rPr>
      </w:pPr>
    </w:p>
    <w:p w14:paraId="1D2E1FD9" w14:textId="77777777" w:rsidR="00892D8D" w:rsidRPr="00D840DC" w:rsidRDefault="00892D8D" w:rsidP="00F67D1B">
      <w:pPr>
        <w:ind w:left="0" w:hanging="2"/>
        <w:jc w:val="both"/>
        <w:rPr>
          <w:rFonts w:ascii="Arial" w:hAnsi="Arial" w:cs="Arial"/>
          <w:sz w:val="20"/>
          <w:szCs w:val="20"/>
        </w:rPr>
      </w:pPr>
      <w:r w:rsidRPr="00D840DC">
        <w:rPr>
          <w:rFonts w:ascii="Arial" w:hAnsi="Arial" w:cs="Arial"/>
          <w:sz w:val="20"/>
          <w:szCs w:val="20"/>
        </w:rPr>
        <w:t>Para el sist</w:t>
      </w:r>
      <w:r w:rsidR="00F67D1B" w:rsidRPr="00D840DC">
        <w:rPr>
          <w:rFonts w:ascii="Arial" w:hAnsi="Arial" w:cs="Arial"/>
          <w:sz w:val="20"/>
          <w:szCs w:val="20"/>
        </w:rPr>
        <w:t>ema sanitario habrá que sumar a</w:t>
      </w:r>
      <w:r w:rsidRPr="00D840DC">
        <w:rPr>
          <w:rFonts w:ascii="Arial" w:hAnsi="Arial" w:cs="Arial"/>
          <w:sz w:val="20"/>
          <w:szCs w:val="20"/>
        </w:rPr>
        <w:t>l precio de adquisición del medicamento, los costes hospitalarios asociados a la terapia con Libmeldy</w:t>
      </w:r>
      <w:r w:rsidRPr="00D840DC">
        <w:rPr>
          <w:rFonts w:ascii="Arial" w:hAnsi="Arial" w:cs="Arial"/>
          <w:sz w:val="20"/>
          <w:szCs w:val="20"/>
          <w:vertAlign w:val="superscript"/>
        </w:rPr>
        <w:t>®</w:t>
      </w:r>
      <w:r w:rsidRPr="00D840DC">
        <w:rPr>
          <w:rFonts w:ascii="Arial" w:hAnsi="Arial" w:cs="Arial"/>
          <w:sz w:val="20"/>
          <w:szCs w:val="20"/>
        </w:rPr>
        <w:t xml:space="preserve">. Como referencia los </w:t>
      </w:r>
      <w:r w:rsidRPr="00D840DC">
        <w:rPr>
          <w:rFonts w:ascii="Arial" w:eastAsia="Arial" w:hAnsi="Arial" w:cs="Arial"/>
          <w:sz w:val="20"/>
          <w:szCs w:val="20"/>
        </w:rPr>
        <w:t>costes sanitarios directos en España asociados a la administración de Kymriah</w:t>
      </w:r>
      <w:r w:rsidR="00F67D1B" w:rsidRPr="00D840DC">
        <w:rPr>
          <w:rFonts w:ascii="Arial" w:hAnsi="Arial" w:cs="Arial"/>
          <w:sz w:val="20"/>
          <w:szCs w:val="20"/>
          <w:vertAlign w:val="superscript"/>
        </w:rPr>
        <w:t>®</w:t>
      </w:r>
      <w:r w:rsidRPr="00D840DC">
        <w:rPr>
          <w:rFonts w:ascii="Arial" w:eastAsia="Arial" w:hAnsi="Arial" w:cs="Arial"/>
          <w:sz w:val="20"/>
          <w:szCs w:val="20"/>
        </w:rPr>
        <w:t xml:space="preserve">, con unos procedimientos similares se </w:t>
      </w:r>
      <w:r w:rsidR="00E84C41" w:rsidRPr="00D840DC">
        <w:rPr>
          <w:rFonts w:ascii="Arial" w:eastAsia="Arial" w:hAnsi="Arial" w:cs="Arial"/>
          <w:sz w:val="20"/>
          <w:szCs w:val="20"/>
        </w:rPr>
        <w:t xml:space="preserve">ha </w:t>
      </w:r>
      <w:r w:rsidRPr="00D840DC">
        <w:rPr>
          <w:rFonts w:ascii="Arial" w:eastAsia="Arial" w:hAnsi="Arial" w:cs="Arial"/>
          <w:sz w:val="20"/>
          <w:szCs w:val="20"/>
        </w:rPr>
        <w:t xml:space="preserve">estimado en </w:t>
      </w:r>
      <w:r w:rsidRPr="00D840DC">
        <w:rPr>
          <w:rFonts w:ascii="Arial" w:eastAsia="Arial" w:hAnsi="Arial" w:cs="Arial"/>
          <w:b/>
          <w:sz w:val="20"/>
          <w:szCs w:val="20"/>
        </w:rPr>
        <w:t>106.046,24 €</w:t>
      </w:r>
      <w:r w:rsidRPr="00D840DC">
        <w:rPr>
          <w:rFonts w:ascii="Arial" w:eastAsia="Arial" w:hAnsi="Arial" w:cs="Arial"/>
          <w:sz w:val="20"/>
          <w:szCs w:val="20"/>
        </w:rPr>
        <w:t xml:space="preserve"> por paciente (Ribera JM 2020)</w:t>
      </w:r>
      <w:bookmarkStart w:id="203" w:name="_Ref69901505"/>
      <w:r w:rsidRPr="00D840DC">
        <w:rPr>
          <w:rStyle w:val="Refdenotaalfinal"/>
          <w:rFonts w:ascii="Arial" w:eastAsia="Arial" w:hAnsi="Arial" w:cs="Arial"/>
          <w:sz w:val="20"/>
          <w:szCs w:val="20"/>
        </w:rPr>
        <w:endnoteReference w:id="20"/>
      </w:r>
      <w:bookmarkEnd w:id="203"/>
      <w:r w:rsidRPr="00D840DC">
        <w:rPr>
          <w:rFonts w:ascii="Arial" w:eastAsia="Arial" w:hAnsi="Arial" w:cs="Arial"/>
          <w:sz w:val="20"/>
          <w:szCs w:val="20"/>
        </w:rPr>
        <w:t xml:space="preserve">. </w:t>
      </w:r>
    </w:p>
    <w:p w14:paraId="0D88856D" w14:textId="77777777" w:rsidR="00892D8D" w:rsidRPr="00D840DC" w:rsidRDefault="00892D8D" w:rsidP="00892D8D">
      <w:pPr>
        <w:pBdr>
          <w:bottom w:val="single" w:sz="4" w:space="1" w:color="auto"/>
        </w:pBdr>
        <w:ind w:left="0" w:hanging="2"/>
        <w:jc w:val="both"/>
        <w:rPr>
          <w:rFonts w:ascii="Arial" w:hAnsi="Arial" w:cs="Arial"/>
          <w:b/>
          <w:sz w:val="20"/>
          <w:szCs w:val="20"/>
        </w:rPr>
      </w:pPr>
    </w:p>
    <w:p w14:paraId="497365E9" w14:textId="77777777" w:rsidR="00892D8D" w:rsidRPr="00D840DC" w:rsidRDefault="00892D8D" w:rsidP="00892D8D">
      <w:pPr>
        <w:pBdr>
          <w:bottom w:val="single" w:sz="4" w:space="1" w:color="auto"/>
        </w:pBdr>
        <w:ind w:left="0" w:hanging="2"/>
        <w:jc w:val="both"/>
        <w:rPr>
          <w:rFonts w:ascii="Arial" w:hAnsi="Arial" w:cs="Arial"/>
          <w:b/>
          <w:sz w:val="20"/>
          <w:szCs w:val="20"/>
        </w:rPr>
      </w:pPr>
      <w:r w:rsidRPr="00D840DC">
        <w:rPr>
          <w:rFonts w:ascii="Arial" w:hAnsi="Arial" w:cs="Arial"/>
          <w:b/>
          <w:sz w:val="20"/>
          <w:szCs w:val="20"/>
        </w:rPr>
        <w:t xml:space="preserve">Estimación del precio máximo para que el RCEI esté por debajo del umbral  </w:t>
      </w:r>
    </w:p>
    <w:p w14:paraId="6B198823" w14:textId="77777777" w:rsidR="00892D8D" w:rsidRPr="00D840DC" w:rsidRDefault="00892D8D" w:rsidP="00892D8D">
      <w:pPr>
        <w:ind w:left="0" w:hanging="2"/>
        <w:rPr>
          <w:rFonts w:ascii="Arial" w:eastAsia="Arial" w:hAnsi="Arial" w:cs="Arial"/>
          <w:sz w:val="20"/>
          <w:szCs w:val="20"/>
        </w:rPr>
      </w:pPr>
      <w:r w:rsidRPr="00D840DC">
        <w:rPr>
          <w:rFonts w:ascii="Arial" w:eastAsia="Arial" w:hAnsi="Arial" w:cs="Arial"/>
          <w:sz w:val="20"/>
          <w:szCs w:val="20"/>
        </w:rPr>
        <w:t xml:space="preserve">No se dispone de ningún estudio de evaluación económica publicado. La compañía no justifica el precio mediante un estudio farmacoeconómico. La única referencia  indica que el valor total de la forma severa y común de </w:t>
      </w:r>
      <w:r w:rsidR="00F67D1B" w:rsidRPr="00D840DC">
        <w:rPr>
          <w:rFonts w:ascii="Arial" w:eastAsia="Arial" w:hAnsi="Arial" w:cs="Arial"/>
          <w:sz w:val="20"/>
          <w:szCs w:val="20"/>
        </w:rPr>
        <w:t>LDM</w:t>
      </w:r>
      <w:r w:rsidRPr="00D840DC">
        <w:rPr>
          <w:rFonts w:ascii="Arial" w:eastAsia="Arial" w:hAnsi="Arial" w:cs="Arial"/>
          <w:sz w:val="20"/>
          <w:szCs w:val="20"/>
        </w:rPr>
        <w:t xml:space="preserve"> se asocia a 9 Mill de € y el rango de precio anticipado es de 2,5 a 3 Mill de € según un análisis de Orchard. </w:t>
      </w:r>
      <w:r w:rsidRPr="00D840DC">
        <w:rPr>
          <w:rStyle w:val="Refdenotaalfinal"/>
          <w:rFonts w:ascii="Arial" w:eastAsia="Arial" w:hAnsi="Arial" w:cs="Arial"/>
          <w:sz w:val="20"/>
          <w:szCs w:val="20"/>
        </w:rPr>
        <w:endnoteReference w:id="21"/>
      </w:r>
    </w:p>
    <w:p w14:paraId="4D88A784" w14:textId="77777777" w:rsidR="00892D8D" w:rsidRPr="00D840DC" w:rsidRDefault="00892D8D" w:rsidP="00892D8D">
      <w:pPr>
        <w:ind w:left="0" w:hanging="2"/>
        <w:rPr>
          <w:rFonts w:ascii="Arial" w:eastAsia="Arial" w:hAnsi="Arial" w:cs="Arial"/>
          <w:sz w:val="20"/>
          <w:szCs w:val="20"/>
        </w:rPr>
      </w:pPr>
    </w:p>
    <w:p w14:paraId="0E8F5616" w14:textId="77777777" w:rsidR="00892D8D" w:rsidRPr="00D840DC" w:rsidRDefault="00892D8D" w:rsidP="00F67D1B">
      <w:pPr>
        <w:ind w:left="0" w:hanging="2"/>
        <w:jc w:val="both"/>
        <w:rPr>
          <w:rFonts w:ascii="Arial" w:eastAsia="Arial" w:hAnsi="Arial" w:cs="Arial"/>
          <w:sz w:val="20"/>
          <w:szCs w:val="20"/>
        </w:rPr>
      </w:pPr>
      <w:r w:rsidRPr="00D840DC">
        <w:rPr>
          <w:rFonts w:ascii="Arial" w:eastAsia="Arial" w:hAnsi="Arial" w:cs="Arial"/>
          <w:sz w:val="20"/>
          <w:szCs w:val="20"/>
        </w:rPr>
        <w:t>Para una estimación aproximada debería determinarse el número de AVACs ganados, los costes asociados al tratamiento con Libmeldy</w:t>
      </w:r>
      <w:r w:rsidRPr="00D840DC">
        <w:rPr>
          <w:rFonts w:ascii="Arial" w:eastAsia="Arial" w:hAnsi="Arial" w:cs="Arial"/>
          <w:sz w:val="20"/>
          <w:szCs w:val="20"/>
          <w:vertAlign w:val="superscript"/>
        </w:rPr>
        <w:t>®</w:t>
      </w:r>
      <w:r w:rsidRPr="00D840DC">
        <w:rPr>
          <w:rFonts w:ascii="Arial" w:eastAsia="Arial" w:hAnsi="Arial" w:cs="Arial"/>
          <w:sz w:val="20"/>
          <w:szCs w:val="20"/>
        </w:rPr>
        <w:t xml:space="preserve"> y los costes asociados al curso de la enfermedad sin la nueva terapia. Hemos realizado un cálculo meramente aproximativo y pendientes de disponer de información completa, en base a los siguientes supuestos: </w:t>
      </w:r>
    </w:p>
    <w:p w14:paraId="2BE64962" w14:textId="77777777" w:rsidR="00892D8D" w:rsidRPr="00D840DC" w:rsidRDefault="00892D8D" w:rsidP="00892D8D">
      <w:pPr>
        <w:ind w:left="0" w:hanging="2"/>
        <w:rPr>
          <w:rFonts w:ascii="Arial" w:eastAsia="Arial" w:hAnsi="Arial" w:cs="Arial"/>
          <w:sz w:val="20"/>
          <w:szCs w:val="20"/>
        </w:rPr>
      </w:pPr>
    </w:p>
    <w:p w14:paraId="3C9A01B4" w14:textId="77777777" w:rsidR="00892D8D" w:rsidRPr="00D840DC" w:rsidRDefault="00892D8D" w:rsidP="00892D8D">
      <w:pPr>
        <w:ind w:left="0" w:hanging="2"/>
        <w:rPr>
          <w:rFonts w:ascii="Arial" w:eastAsia="Arial" w:hAnsi="Arial" w:cs="Arial"/>
          <w:sz w:val="20"/>
          <w:szCs w:val="20"/>
        </w:rPr>
      </w:pPr>
      <w:r w:rsidRPr="00D840DC">
        <w:rPr>
          <w:rFonts w:ascii="Arial" w:eastAsia="Arial" w:hAnsi="Arial" w:cs="Arial"/>
          <w:sz w:val="20"/>
          <w:szCs w:val="20"/>
        </w:rPr>
        <w:tab/>
      </w:r>
      <w:r w:rsidRPr="00D840DC">
        <w:rPr>
          <w:rFonts w:ascii="Arial" w:eastAsia="Arial" w:hAnsi="Arial" w:cs="Arial"/>
          <w:sz w:val="20"/>
          <w:szCs w:val="20"/>
        </w:rPr>
        <w:tab/>
        <w:t>-</w:t>
      </w:r>
      <w:r w:rsidRPr="00D840DC">
        <w:rPr>
          <w:rFonts w:ascii="Arial" w:eastAsia="Arial" w:hAnsi="Arial" w:cs="Arial"/>
          <w:b/>
          <w:sz w:val="20"/>
          <w:szCs w:val="20"/>
        </w:rPr>
        <w:t xml:space="preserve">Precio </w:t>
      </w:r>
      <w:r w:rsidRPr="00D840DC">
        <w:rPr>
          <w:rFonts w:ascii="Arial" w:hAnsi="Arial" w:cs="Arial"/>
          <w:b/>
          <w:sz w:val="20"/>
          <w:szCs w:val="20"/>
        </w:rPr>
        <w:t>Libmeldy</w:t>
      </w:r>
      <w:r w:rsidRPr="00D840DC">
        <w:rPr>
          <w:rFonts w:ascii="Arial" w:hAnsi="Arial" w:cs="Arial"/>
          <w:b/>
          <w:sz w:val="20"/>
          <w:szCs w:val="20"/>
          <w:vertAlign w:val="superscript"/>
        </w:rPr>
        <w:t>®</w:t>
      </w:r>
      <w:r w:rsidRPr="00D840DC">
        <w:rPr>
          <w:rFonts w:ascii="Arial" w:hAnsi="Arial" w:cs="Arial"/>
          <w:b/>
          <w:sz w:val="20"/>
          <w:szCs w:val="20"/>
        </w:rPr>
        <w:t xml:space="preserve">: </w:t>
      </w:r>
      <w:r w:rsidRPr="00D840DC">
        <w:rPr>
          <w:rFonts w:ascii="Arial" w:eastAsia="Arial" w:hAnsi="Arial" w:cs="Arial"/>
          <w:b/>
          <w:sz w:val="20"/>
          <w:szCs w:val="20"/>
        </w:rPr>
        <w:t xml:space="preserve">2.500.000 € </w:t>
      </w:r>
      <w:r w:rsidRPr="00D840DC">
        <w:rPr>
          <w:rFonts w:ascii="Arial" w:eastAsia="Arial" w:hAnsi="Arial" w:cs="Arial"/>
          <w:sz w:val="20"/>
          <w:szCs w:val="20"/>
        </w:rPr>
        <w:t>dosis única</w:t>
      </w:r>
    </w:p>
    <w:p w14:paraId="7B402CB4" w14:textId="77777777" w:rsidR="00892D8D" w:rsidRPr="00D840DC" w:rsidRDefault="00892D8D" w:rsidP="00892D8D">
      <w:pPr>
        <w:ind w:left="0" w:hanging="2"/>
        <w:rPr>
          <w:rFonts w:ascii="Arial" w:eastAsia="Arial" w:hAnsi="Arial" w:cs="Arial"/>
          <w:sz w:val="20"/>
          <w:szCs w:val="20"/>
        </w:rPr>
      </w:pPr>
      <w:r w:rsidRPr="00D840DC">
        <w:rPr>
          <w:rFonts w:ascii="Arial" w:eastAsia="Arial" w:hAnsi="Arial" w:cs="Arial"/>
          <w:b/>
          <w:sz w:val="20"/>
          <w:szCs w:val="20"/>
        </w:rPr>
        <w:tab/>
      </w:r>
      <w:r w:rsidRPr="00D840DC">
        <w:rPr>
          <w:rFonts w:ascii="Arial" w:eastAsia="Arial" w:hAnsi="Arial" w:cs="Arial"/>
          <w:b/>
          <w:sz w:val="20"/>
          <w:szCs w:val="20"/>
        </w:rPr>
        <w:tab/>
        <w:t>-Ganancia de 10 AVACs</w:t>
      </w:r>
      <w:r w:rsidRPr="00D840DC">
        <w:rPr>
          <w:rFonts w:ascii="Arial" w:eastAsia="Arial" w:hAnsi="Arial" w:cs="Arial"/>
          <w:sz w:val="20"/>
          <w:szCs w:val="20"/>
        </w:rPr>
        <w:t xml:space="preserve"> respecto a no tratamiento (del mismo orden que Zolgensma</w:t>
      </w:r>
      <w:r w:rsidR="00F67D1B" w:rsidRPr="00D840DC">
        <w:rPr>
          <w:rFonts w:ascii="Arial" w:hAnsi="Arial" w:cs="Arial"/>
          <w:sz w:val="20"/>
          <w:szCs w:val="20"/>
          <w:vertAlign w:val="superscript"/>
        </w:rPr>
        <w:t>®</w:t>
      </w:r>
      <w:r w:rsidRPr="00D840DC">
        <w:rPr>
          <w:rFonts w:ascii="Arial" w:eastAsia="Arial" w:hAnsi="Arial" w:cs="Arial"/>
          <w:sz w:val="20"/>
          <w:szCs w:val="20"/>
        </w:rPr>
        <w:t xml:space="preserve"> </w:t>
      </w:r>
      <w:r w:rsidRPr="00D840DC">
        <w:rPr>
          <w:rFonts w:ascii="Arial" w:eastAsia="Arial" w:hAnsi="Arial" w:cs="Arial"/>
          <w:sz w:val="20"/>
          <w:szCs w:val="20"/>
        </w:rPr>
        <w:tab/>
        <w:t xml:space="preserve">(+11,77) y Kymriah® (+7,18) en sus propias indicaciones) (ver informes Genesis).  </w:t>
      </w:r>
    </w:p>
    <w:p w14:paraId="67FFFF2F" w14:textId="77777777" w:rsidR="00892D8D" w:rsidRPr="00D840DC" w:rsidRDefault="00892D8D" w:rsidP="00F67D1B">
      <w:pPr>
        <w:ind w:left="0" w:hanging="2"/>
        <w:jc w:val="both"/>
        <w:rPr>
          <w:rFonts w:ascii="Arial" w:eastAsia="Arial" w:hAnsi="Arial" w:cs="Arial"/>
          <w:sz w:val="20"/>
          <w:szCs w:val="20"/>
        </w:rPr>
      </w:pPr>
      <w:r w:rsidRPr="00D840DC">
        <w:rPr>
          <w:rFonts w:ascii="Arial" w:eastAsia="Arial" w:hAnsi="Arial" w:cs="Arial"/>
          <w:b/>
          <w:sz w:val="20"/>
          <w:szCs w:val="20"/>
        </w:rPr>
        <w:tab/>
      </w:r>
      <w:r w:rsidRPr="00D840DC">
        <w:rPr>
          <w:rFonts w:ascii="Arial" w:eastAsia="Arial" w:hAnsi="Arial" w:cs="Arial"/>
          <w:b/>
          <w:sz w:val="20"/>
          <w:szCs w:val="20"/>
        </w:rPr>
        <w:tab/>
        <w:t>-Coste sanitarios directos asociados</w:t>
      </w:r>
      <w:r w:rsidRPr="00D840DC">
        <w:rPr>
          <w:rFonts w:ascii="Arial" w:eastAsia="Arial" w:hAnsi="Arial" w:cs="Arial"/>
          <w:sz w:val="20"/>
          <w:szCs w:val="20"/>
        </w:rPr>
        <w:t xml:space="preserve"> a la administración de </w:t>
      </w:r>
      <w:r w:rsidRPr="00D840DC">
        <w:rPr>
          <w:rFonts w:ascii="Arial" w:hAnsi="Arial" w:cs="Arial"/>
          <w:sz w:val="20"/>
          <w:szCs w:val="20"/>
        </w:rPr>
        <w:t>Libmeldy</w:t>
      </w:r>
      <w:r w:rsidRPr="00D840DC">
        <w:rPr>
          <w:rFonts w:ascii="Arial" w:hAnsi="Arial" w:cs="Arial"/>
          <w:sz w:val="20"/>
          <w:szCs w:val="20"/>
          <w:vertAlign w:val="superscript"/>
        </w:rPr>
        <w:t>®</w:t>
      </w:r>
      <w:r w:rsidR="00F67D1B" w:rsidRPr="00D840DC">
        <w:rPr>
          <w:rFonts w:ascii="Arial" w:hAnsi="Arial" w:cs="Arial"/>
          <w:sz w:val="20"/>
          <w:szCs w:val="20"/>
        </w:rPr>
        <w:t xml:space="preserve">: </w:t>
      </w:r>
      <w:r w:rsidRPr="00D840DC">
        <w:rPr>
          <w:rFonts w:ascii="Arial" w:eastAsia="Arial" w:hAnsi="Arial" w:cs="Arial"/>
          <w:b/>
          <w:sz w:val="20"/>
          <w:szCs w:val="20"/>
        </w:rPr>
        <w:t>106.046 €</w:t>
      </w:r>
      <w:r w:rsidRPr="00D840DC">
        <w:rPr>
          <w:rFonts w:ascii="Arial" w:eastAsia="Arial" w:hAnsi="Arial" w:cs="Arial"/>
          <w:sz w:val="20"/>
          <w:szCs w:val="20"/>
        </w:rPr>
        <w:t xml:space="preserve">  (Son </w:t>
      </w:r>
      <w:r w:rsidRPr="00D840DC">
        <w:rPr>
          <w:rFonts w:ascii="Arial" w:eastAsia="Arial" w:hAnsi="Arial" w:cs="Arial"/>
          <w:sz w:val="20"/>
          <w:szCs w:val="20"/>
        </w:rPr>
        <w:tab/>
        <w:t>los costes asociados en</w:t>
      </w:r>
      <w:r w:rsidR="00431BA0" w:rsidRPr="00D840DC">
        <w:rPr>
          <w:rFonts w:ascii="Arial" w:eastAsia="Arial" w:hAnsi="Arial" w:cs="Arial"/>
          <w:sz w:val="20"/>
          <w:szCs w:val="20"/>
        </w:rPr>
        <w:t xml:space="preserve"> España a la administración de </w:t>
      </w:r>
      <w:r w:rsidRPr="00D840DC">
        <w:rPr>
          <w:rFonts w:ascii="Arial" w:eastAsia="Arial" w:hAnsi="Arial" w:cs="Arial"/>
          <w:sz w:val="20"/>
          <w:szCs w:val="20"/>
        </w:rPr>
        <w:t>Kymriah</w:t>
      </w:r>
      <w:r w:rsidR="00F67D1B" w:rsidRPr="00D840DC">
        <w:rPr>
          <w:rFonts w:ascii="Arial" w:hAnsi="Arial" w:cs="Arial"/>
          <w:sz w:val="20"/>
          <w:szCs w:val="20"/>
          <w:vertAlign w:val="superscript"/>
        </w:rPr>
        <w:t>®</w:t>
      </w:r>
      <w:r w:rsidRPr="00D840DC">
        <w:rPr>
          <w:rFonts w:ascii="Arial" w:eastAsia="Arial" w:hAnsi="Arial" w:cs="Arial"/>
          <w:sz w:val="20"/>
          <w:szCs w:val="20"/>
        </w:rPr>
        <w:t xml:space="preserve"> con un procedimiento </w:t>
      </w:r>
      <w:r w:rsidRPr="00D840DC">
        <w:rPr>
          <w:rFonts w:ascii="Arial" w:eastAsia="Arial" w:hAnsi="Arial" w:cs="Arial"/>
          <w:sz w:val="20"/>
          <w:szCs w:val="20"/>
        </w:rPr>
        <w:tab/>
        <w:t>similar (Ribera JM 2020))</w:t>
      </w:r>
      <w:r w:rsidR="00CD17D1" w:rsidRPr="00D840DC">
        <w:rPr>
          <w:rFonts w:ascii="Arial" w:eastAsia="Arial" w:hAnsi="Arial" w:cs="Arial"/>
          <w:sz w:val="20"/>
          <w:szCs w:val="20"/>
        </w:rPr>
        <w:t>.</w:t>
      </w:r>
      <w:r w:rsidR="00CD17D1" w:rsidRPr="00D840DC">
        <w:rPr>
          <w:rFonts w:ascii="Arial" w:eastAsia="Arial" w:hAnsi="Arial" w:cs="Arial"/>
          <w:sz w:val="20"/>
          <w:szCs w:val="20"/>
          <w:vertAlign w:val="superscript"/>
        </w:rPr>
        <w:fldChar w:fldCharType="begin"/>
      </w:r>
      <w:r w:rsidR="00CD17D1" w:rsidRPr="00D840DC">
        <w:rPr>
          <w:rFonts w:ascii="Arial" w:eastAsia="Arial" w:hAnsi="Arial" w:cs="Arial"/>
          <w:sz w:val="20"/>
          <w:szCs w:val="20"/>
          <w:vertAlign w:val="superscript"/>
        </w:rPr>
        <w:instrText xml:space="preserve"> NOTEREF _Ref69901505 \h  \* MERGEFORMAT </w:instrText>
      </w:r>
      <w:r w:rsidR="00CD17D1" w:rsidRPr="00D840DC">
        <w:rPr>
          <w:rFonts w:ascii="Arial" w:eastAsia="Arial" w:hAnsi="Arial" w:cs="Arial"/>
          <w:sz w:val="20"/>
          <w:szCs w:val="20"/>
          <w:vertAlign w:val="superscript"/>
        </w:rPr>
      </w:r>
      <w:r w:rsidR="00CD17D1" w:rsidRPr="00D840DC">
        <w:rPr>
          <w:rFonts w:ascii="Arial" w:eastAsia="Arial" w:hAnsi="Arial" w:cs="Arial"/>
          <w:sz w:val="20"/>
          <w:szCs w:val="20"/>
          <w:vertAlign w:val="superscript"/>
        </w:rPr>
        <w:fldChar w:fldCharType="separate"/>
      </w:r>
      <w:r w:rsidR="00942E63" w:rsidRPr="00D840DC">
        <w:rPr>
          <w:rFonts w:ascii="Arial" w:eastAsia="Arial" w:hAnsi="Arial" w:cs="Arial"/>
          <w:sz w:val="20"/>
          <w:szCs w:val="20"/>
          <w:vertAlign w:val="superscript"/>
        </w:rPr>
        <w:t>20</w:t>
      </w:r>
      <w:r w:rsidR="00CD17D1" w:rsidRPr="00D840DC">
        <w:rPr>
          <w:rFonts w:ascii="Arial" w:eastAsia="Arial" w:hAnsi="Arial" w:cs="Arial"/>
          <w:sz w:val="20"/>
          <w:szCs w:val="20"/>
          <w:vertAlign w:val="superscript"/>
        </w:rPr>
        <w:fldChar w:fldCharType="end"/>
      </w:r>
    </w:p>
    <w:p w14:paraId="62ED8969" w14:textId="77777777" w:rsidR="00892D8D" w:rsidRPr="00D840DC" w:rsidRDefault="00892D8D" w:rsidP="00F67D1B">
      <w:pPr>
        <w:ind w:left="0" w:hanging="2"/>
        <w:jc w:val="both"/>
        <w:rPr>
          <w:rFonts w:ascii="Arial" w:eastAsia="Arial" w:hAnsi="Arial" w:cs="Arial"/>
          <w:sz w:val="20"/>
          <w:szCs w:val="20"/>
        </w:rPr>
      </w:pPr>
      <w:r w:rsidRPr="00D840DC">
        <w:rPr>
          <w:rFonts w:ascii="Arial" w:eastAsia="Arial" w:hAnsi="Arial" w:cs="Arial"/>
          <w:sz w:val="20"/>
          <w:szCs w:val="20"/>
        </w:rPr>
        <w:tab/>
      </w:r>
      <w:r w:rsidRPr="00D840DC">
        <w:rPr>
          <w:rFonts w:ascii="Arial" w:eastAsia="Arial" w:hAnsi="Arial" w:cs="Arial"/>
          <w:sz w:val="20"/>
          <w:szCs w:val="20"/>
        </w:rPr>
        <w:tab/>
        <w:t>-</w:t>
      </w:r>
      <w:r w:rsidRPr="00D840DC">
        <w:rPr>
          <w:rFonts w:ascii="Arial" w:eastAsia="Arial" w:hAnsi="Arial" w:cs="Arial"/>
          <w:b/>
          <w:sz w:val="20"/>
          <w:szCs w:val="20"/>
        </w:rPr>
        <w:t>Costes del paciente no tratado</w:t>
      </w:r>
      <w:r w:rsidRPr="00D840DC">
        <w:rPr>
          <w:rFonts w:ascii="Arial" w:eastAsia="Arial" w:hAnsi="Arial" w:cs="Arial"/>
          <w:sz w:val="20"/>
          <w:szCs w:val="20"/>
        </w:rPr>
        <w:t xml:space="preserve"> </w:t>
      </w:r>
      <w:r w:rsidRPr="00D840DC">
        <w:rPr>
          <w:rFonts w:ascii="Arial" w:eastAsia="Arial" w:hAnsi="Arial" w:cs="Arial"/>
          <w:b/>
          <w:sz w:val="20"/>
          <w:szCs w:val="20"/>
        </w:rPr>
        <w:t>170.623 € en 10 años</w:t>
      </w:r>
      <w:r w:rsidRPr="00D840DC">
        <w:rPr>
          <w:rFonts w:ascii="Arial" w:eastAsia="Arial" w:hAnsi="Arial" w:cs="Arial"/>
          <w:sz w:val="20"/>
          <w:szCs w:val="20"/>
        </w:rPr>
        <w:t xml:space="preserve">.  Se dispone de un estudio de </w:t>
      </w:r>
      <w:r w:rsidRPr="00D840DC">
        <w:rPr>
          <w:rFonts w:ascii="Arial" w:eastAsia="Arial" w:hAnsi="Arial" w:cs="Arial"/>
          <w:sz w:val="20"/>
          <w:szCs w:val="20"/>
        </w:rPr>
        <w:tab/>
      </w:r>
      <w:r w:rsidR="005137A6" w:rsidRPr="00D840DC">
        <w:rPr>
          <w:rFonts w:ascii="Arial" w:eastAsia="Arial" w:hAnsi="Arial" w:cs="Arial"/>
          <w:sz w:val="20"/>
          <w:szCs w:val="20"/>
        </w:rPr>
        <w:t>Brimley CJ 2013</w:t>
      </w:r>
      <w:r w:rsidR="005137A6" w:rsidRPr="00D840DC">
        <w:rPr>
          <w:rStyle w:val="Refdenotaalfinal"/>
          <w:rFonts w:ascii="Arial" w:eastAsia="Arial" w:hAnsi="Arial" w:cs="Arial"/>
          <w:sz w:val="20"/>
          <w:szCs w:val="20"/>
        </w:rPr>
        <w:endnoteReference w:id="22"/>
      </w:r>
      <w:r w:rsidRPr="00D840DC">
        <w:rPr>
          <w:rFonts w:ascii="Arial" w:eastAsia="Arial" w:hAnsi="Arial" w:cs="Arial"/>
          <w:sz w:val="20"/>
          <w:szCs w:val="20"/>
        </w:rPr>
        <w:t xml:space="preserve"> que valora los costes de atención médica hospitalaria en USA de </w:t>
      </w:r>
      <w:r w:rsidRPr="00D840DC">
        <w:rPr>
          <w:rFonts w:ascii="Arial" w:eastAsia="Arial" w:hAnsi="Arial" w:cs="Arial"/>
          <w:sz w:val="20"/>
          <w:szCs w:val="20"/>
        </w:rPr>
        <w:tab/>
        <w:t xml:space="preserve">pacientes con leucodistrofia hereditaria durante 7 años con un coste medio por paciente </w:t>
      </w:r>
      <w:r w:rsidRPr="00D840DC">
        <w:rPr>
          <w:rFonts w:ascii="Arial" w:eastAsia="Arial" w:hAnsi="Arial" w:cs="Arial"/>
          <w:sz w:val="20"/>
          <w:szCs w:val="20"/>
        </w:rPr>
        <w:tab/>
        <w:t>de 131,380 $ (60.013–239.872</w:t>
      </w:r>
      <w:r w:rsidR="00F67D1B" w:rsidRPr="00D840DC">
        <w:rPr>
          <w:rFonts w:ascii="Arial" w:eastAsia="Arial" w:hAnsi="Arial" w:cs="Arial"/>
          <w:sz w:val="20"/>
          <w:szCs w:val="20"/>
        </w:rPr>
        <w:t>).</w:t>
      </w:r>
    </w:p>
    <w:p w14:paraId="4DBD6B18" w14:textId="77777777" w:rsidR="00892D8D" w:rsidRPr="00D840DC" w:rsidRDefault="00892D8D" w:rsidP="00892D8D">
      <w:pPr>
        <w:ind w:left="0" w:hanging="2"/>
        <w:rPr>
          <w:rFonts w:ascii="Arial" w:eastAsia="Arial" w:hAnsi="Arial" w:cs="Arial"/>
          <w:sz w:val="20"/>
          <w:szCs w:val="20"/>
        </w:rPr>
      </w:pPr>
    </w:p>
    <w:tbl>
      <w:tblPr>
        <w:tblStyle w:val="Tablaconcuadrcula"/>
        <w:tblW w:w="0" w:type="auto"/>
        <w:tblLayout w:type="fixed"/>
        <w:tblLook w:val="04A0" w:firstRow="1" w:lastRow="0" w:firstColumn="1" w:lastColumn="0" w:noHBand="0" w:noVBand="1"/>
      </w:tblPr>
      <w:tblGrid>
        <w:gridCol w:w="1459"/>
        <w:gridCol w:w="1459"/>
        <w:gridCol w:w="1726"/>
        <w:gridCol w:w="1192"/>
        <w:gridCol w:w="1459"/>
        <w:gridCol w:w="1460"/>
      </w:tblGrid>
      <w:tr w:rsidR="00D840DC" w:rsidRPr="00D840DC" w14:paraId="0DB6A28C" w14:textId="77777777" w:rsidTr="005637D2">
        <w:trPr>
          <w:trHeight w:val="444"/>
        </w:trPr>
        <w:tc>
          <w:tcPr>
            <w:tcW w:w="1459" w:type="dxa"/>
            <w:shd w:val="clear" w:color="auto" w:fill="DBE5F1" w:themeFill="accent1" w:themeFillTint="33"/>
            <w:hideMark/>
          </w:tcPr>
          <w:p w14:paraId="76C24B69" w14:textId="77777777" w:rsidR="00892D8D" w:rsidRPr="00D840DC" w:rsidRDefault="00892D8D" w:rsidP="00847CA3">
            <w:pPr>
              <w:ind w:left="0" w:hanging="2"/>
              <w:jc w:val="center"/>
              <w:rPr>
                <w:rFonts w:ascii="Arial" w:eastAsia="Arial" w:hAnsi="Arial" w:cs="Arial"/>
                <w:b/>
                <w:bCs/>
                <w:sz w:val="16"/>
                <w:szCs w:val="20"/>
              </w:rPr>
            </w:pPr>
            <w:r w:rsidRPr="00D840DC">
              <w:rPr>
                <w:rFonts w:ascii="Arial" w:eastAsia="Arial" w:hAnsi="Arial" w:cs="Arial"/>
                <w:b/>
                <w:bCs/>
                <w:sz w:val="16"/>
                <w:szCs w:val="20"/>
              </w:rPr>
              <w:t xml:space="preserve">Tabla </w:t>
            </w:r>
            <w:r w:rsidR="00847CA3" w:rsidRPr="00D840DC">
              <w:rPr>
                <w:rFonts w:ascii="Arial" w:eastAsia="Arial" w:hAnsi="Arial" w:cs="Arial"/>
                <w:b/>
                <w:bCs/>
                <w:sz w:val="16"/>
                <w:szCs w:val="20"/>
              </w:rPr>
              <w:t>C</w:t>
            </w:r>
          </w:p>
        </w:tc>
        <w:tc>
          <w:tcPr>
            <w:tcW w:w="1459" w:type="dxa"/>
            <w:shd w:val="clear" w:color="auto" w:fill="DBE5F1" w:themeFill="accent1" w:themeFillTint="33"/>
            <w:hideMark/>
          </w:tcPr>
          <w:p w14:paraId="16D3F73B"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 medicamento</w:t>
            </w:r>
          </w:p>
        </w:tc>
        <w:tc>
          <w:tcPr>
            <w:tcW w:w="1726" w:type="dxa"/>
            <w:shd w:val="clear" w:color="auto" w:fill="DBE5F1" w:themeFill="accent1" w:themeFillTint="33"/>
            <w:hideMark/>
          </w:tcPr>
          <w:p w14:paraId="5CC03E1E"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 asociado a la administración</w:t>
            </w:r>
          </w:p>
        </w:tc>
        <w:tc>
          <w:tcPr>
            <w:tcW w:w="1192" w:type="dxa"/>
            <w:shd w:val="clear" w:color="auto" w:fill="DBE5F1" w:themeFill="accent1" w:themeFillTint="33"/>
            <w:hideMark/>
          </w:tcPr>
          <w:p w14:paraId="561BDAC4"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 total</w:t>
            </w:r>
          </w:p>
        </w:tc>
        <w:tc>
          <w:tcPr>
            <w:tcW w:w="1459" w:type="dxa"/>
            <w:shd w:val="clear" w:color="auto" w:fill="DBE5F1" w:themeFill="accent1" w:themeFillTint="33"/>
            <w:hideMark/>
          </w:tcPr>
          <w:p w14:paraId="05A47131"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AVACs</w:t>
            </w:r>
          </w:p>
        </w:tc>
        <w:tc>
          <w:tcPr>
            <w:tcW w:w="1460" w:type="dxa"/>
            <w:shd w:val="clear" w:color="auto" w:fill="DBE5F1" w:themeFill="accent1" w:themeFillTint="33"/>
            <w:hideMark/>
          </w:tcPr>
          <w:p w14:paraId="10970C11"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Coste/AVAC</w:t>
            </w:r>
          </w:p>
        </w:tc>
      </w:tr>
      <w:tr w:rsidR="00D840DC" w:rsidRPr="00D840DC" w14:paraId="6015A007" w14:textId="77777777" w:rsidTr="005637D2">
        <w:trPr>
          <w:trHeight w:val="300"/>
        </w:trPr>
        <w:tc>
          <w:tcPr>
            <w:tcW w:w="1459" w:type="dxa"/>
            <w:noWrap/>
            <w:vAlign w:val="center"/>
            <w:hideMark/>
          </w:tcPr>
          <w:p w14:paraId="32869B71"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Libmeldy</w:t>
            </w:r>
          </w:p>
        </w:tc>
        <w:tc>
          <w:tcPr>
            <w:tcW w:w="1459" w:type="dxa"/>
            <w:noWrap/>
            <w:vAlign w:val="center"/>
            <w:hideMark/>
          </w:tcPr>
          <w:p w14:paraId="71061BEF"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2.500.000</w:t>
            </w:r>
          </w:p>
        </w:tc>
        <w:tc>
          <w:tcPr>
            <w:tcW w:w="1726" w:type="dxa"/>
            <w:noWrap/>
            <w:vAlign w:val="center"/>
            <w:hideMark/>
          </w:tcPr>
          <w:p w14:paraId="126A9085"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106.046</w:t>
            </w:r>
          </w:p>
        </w:tc>
        <w:tc>
          <w:tcPr>
            <w:tcW w:w="1192" w:type="dxa"/>
            <w:noWrap/>
            <w:vAlign w:val="center"/>
            <w:hideMark/>
          </w:tcPr>
          <w:p w14:paraId="1D36F8F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2.606.046</w:t>
            </w:r>
          </w:p>
        </w:tc>
        <w:tc>
          <w:tcPr>
            <w:tcW w:w="1459" w:type="dxa"/>
            <w:noWrap/>
            <w:vAlign w:val="center"/>
            <w:hideMark/>
          </w:tcPr>
          <w:p w14:paraId="60FABE00" w14:textId="77777777" w:rsidR="00892D8D" w:rsidRPr="00D840DC" w:rsidRDefault="00892D8D" w:rsidP="005637D2">
            <w:pPr>
              <w:ind w:left="0" w:hanging="2"/>
              <w:jc w:val="center"/>
              <w:rPr>
                <w:rFonts w:ascii="Arial" w:eastAsia="Arial" w:hAnsi="Arial" w:cs="Arial"/>
                <w:sz w:val="16"/>
                <w:szCs w:val="20"/>
              </w:rPr>
            </w:pPr>
          </w:p>
        </w:tc>
        <w:tc>
          <w:tcPr>
            <w:tcW w:w="1460" w:type="dxa"/>
            <w:noWrap/>
            <w:vAlign w:val="center"/>
            <w:hideMark/>
          </w:tcPr>
          <w:p w14:paraId="0E57F9C4" w14:textId="77777777" w:rsidR="00892D8D" w:rsidRPr="00D840DC" w:rsidRDefault="00892D8D" w:rsidP="005637D2">
            <w:pPr>
              <w:ind w:left="0" w:hanging="2"/>
              <w:jc w:val="center"/>
              <w:rPr>
                <w:rFonts w:ascii="Arial" w:eastAsia="Arial" w:hAnsi="Arial" w:cs="Arial"/>
                <w:sz w:val="16"/>
                <w:szCs w:val="20"/>
              </w:rPr>
            </w:pPr>
          </w:p>
        </w:tc>
      </w:tr>
      <w:tr w:rsidR="00D840DC" w:rsidRPr="00D840DC" w14:paraId="607988D6" w14:textId="77777777" w:rsidTr="005637D2">
        <w:trPr>
          <w:trHeight w:val="300"/>
        </w:trPr>
        <w:tc>
          <w:tcPr>
            <w:tcW w:w="1459" w:type="dxa"/>
            <w:noWrap/>
            <w:vAlign w:val="center"/>
            <w:hideMark/>
          </w:tcPr>
          <w:p w14:paraId="38A925DA"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No tratamiento</w:t>
            </w:r>
          </w:p>
        </w:tc>
        <w:tc>
          <w:tcPr>
            <w:tcW w:w="1459" w:type="dxa"/>
            <w:noWrap/>
            <w:vAlign w:val="center"/>
            <w:hideMark/>
          </w:tcPr>
          <w:p w14:paraId="4C1DF8F5"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w:t>
            </w:r>
          </w:p>
        </w:tc>
        <w:tc>
          <w:tcPr>
            <w:tcW w:w="1726" w:type="dxa"/>
            <w:noWrap/>
            <w:vAlign w:val="center"/>
            <w:hideMark/>
          </w:tcPr>
          <w:p w14:paraId="34E4A3E6"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170.623</w:t>
            </w:r>
          </w:p>
        </w:tc>
        <w:tc>
          <w:tcPr>
            <w:tcW w:w="1192" w:type="dxa"/>
            <w:noWrap/>
            <w:vAlign w:val="center"/>
            <w:hideMark/>
          </w:tcPr>
          <w:p w14:paraId="427080A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170</w:t>
            </w:r>
            <w:r w:rsidR="00F67D1B" w:rsidRPr="00D840DC">
              <w:rPr>
                <w:rFonts w:ascii="Arial" w:eastAsia="Arial" w:hAnsi="Arial" w:cs="Arial"/>
                <w:sz w:val="16"/>
                <w:szCs w:val="20"/>
              </w:rPr>
              <w:t>.</w:t>
            </w:r>
            <w:r w:rsidRPr="00D840DC">
              <w:rPr>
                <w:rFonts w:ascii="Arial" w:eastAsia="Arial" w:hAnsi="Arial" w:cs="Arial"/>
                <w:sz w:val="16"/>
                <w:szCs w:val="20"/>
              </w:rPr>
              <w:t>623</w:t>
            </w:r>
          </w:p>
        </w:tc>
        <w:tc>
          <w:tcPr>
            <w:tcW w:w="1459" w:type="dxa"/>
            <w:noWrap/>
            <w:vAlign w:val="center"/>
            <w:hideMark/>
          </w:tcPr>
          <w:p w14:paraId="710549AE" w14:textId="77777777" w:rsidR="00892D8D" w:rsidRPr="00D840DC" w:rsidRDefault="00892D8D" w:rsidP="005637D2">
            <w:pPr>
              <w:ind w:left="0" w:hanging="2"/>
              <w:jc w:val="center"/>
              <w:rPr>
                <w:rFonts w:ascii="Arial" w:eastAsia="Arial" w:hAnsi="Arial" w:cs="Arial"/>
                <w:sz w:val="16"/>
                <w:szCs w:val="20"/>
              </w:rPr>
            </w:pPr>
          </w:p>
        </w:tc>
        <w:tc>
          <w:tcPr>
            <w:tcW w:w="1460" w:type="dxa"/>
            <w:noWrap/>
            <w:vAlign w:val="center"/>
            <w:hideMark/>
          </w:tcPr>
          <w:p w14:paraId="72E89A6F" w14:textId="77777777" w:rsidR="00892D8D" w:rsidRPr="00D840DC" w:rsidRDefault="00892D8D" w:rsidP="005637D2">
            <w:pPr>
              <w:ind w:left="0" w:hanging="2"/>
              <w:jc w:val="center"/>
              <w:rPr>
                <w:rFonts w:ascii="Arial" w:eastAsia="Arial" w:hAnsi="Arial" w:cs="Arial"/>
                <w:sz w:val="16"/>
                <w:szCs w:val="20"/>
              </w:rPr>
            </w:pPr>
          </w:p>
        </w:tc>
      </w:tr>
      <w:tr w:rsidR="00892D8D" w:rsidRPr="00D840DC" w14:paraId="68C665A1" w14:textId="77777777" w:rsidTr="005637D2">
        <w:trPr>
          <w:trHeight w:val="300"/>
        </w:trPr>
        <w:tc>
          <w:tcPr>
            <w:tcW w:w="1459" w:type="dxa"/>
            <w:noWrap/>
            <w:vAlign w:val="center"/>
            <w:hideMark/>
          </w:tcPr>
          <w:p w14:paraId="318364F7" w14:textId="77777777" w:rsidR="00892D8D" w:rsidRPr="00D840DC" w:rsidRDefault="00892D8D" w:rsidP="005637D2">
            <w:pPr>
              <w:ind w:left="0" w:hanging="2"/>
              <w:jc w:val="center"/>
              <w:rPr>
                <w:rFonts w:ascii="Arial" w:eastAsia="Arial" w:hAnsi="Arial" w:cs="Arial"/>
                <w:b/>
                <w:bCs/>
                <w:sz w:val="16"/>
                <w:szCs w:val="20"/>
              </w:rPr>
            </w:pPr>
            <w:r w:rsidRPr="00D840DC">
              <w:rPr>
                <w:rFonts w:ascii="Arial" w:eastAsia="Arial" w:hAnsi="Arial" w:cs="Arial"/>
                <w:b/>
                <w:bCs/>
                <w:sz w:val="16"/>
                <w:szCs w:val="20"/>
              </w:rPr>
              <w:t>Dif</w:t>
            </w:r>
          </w:p>
        </w:tc>
        <w:tc>
          <w:tcPr>
            <w:tcW w:w="1459" w:type="dxa"/>
            <w:noWrap/>
            <w:vAlign w:val="center"/>
            <w:hideMark/>
          </w:tcPr>
          <w:p w14:paraId="18C52EC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2.500.000</w:t>
            </w:r>
          </w:p>
        </w:tc>
        <w:tc>
          <w:tcPr>
            <w:tcW w:w="1726" w:type="dxa"/>
            <w:noWrap/>
            <w:vAlign w:val="center"/>
            <w:hideMark/>
          </w:tcPr>
          <w:p w14:paraId="5FA1247F"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-64.577</w:t>
            </w:r>
          </w:p>
        </w:tc>
        <w:tc>
          <w:tcPr>
            <w:tcW w:w="1192" w:type="dxa"/>
            <w:noWrap/>
            <w:vAlign w:val="center"/>
            <w:hideMark/>
          </w:tcPr>
          <w:p w14:paraId="4401F48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2.435.423</w:t>
            </w:r>
          </w:p>
        </w:tc>
        <w:tc>
          <w:tcPr>
            <w:tcW w:w="1459" w:type="dxa"/>
            <w:noWrap/>
            <w:vAlign w:val="center"/>
            <w:hideMark/>
          </w:tcPr>
          <w:p w14:paraId="1A0FABF4"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10</w:t>
            </w:r>
          </w:p>
        </w:tc>
        <w:tc>
          <w:tcPr>
            <w:tcW w:w="1460" w:type="dxa"/>
            <w:noWrap/>
            <w:vAlign w:val="center"/>
            <w:hideMark/>
          </w:tcPr>
          <w:p w14:paraId="6644643D" w14:textId="77777777" w:rsidR="00892D8D" w:rsidRPr="00D840DC" w:rsidRDefault="00892D8D" w:rsidP="005637D2">
            <w:pPr>
              <w:ind w:left="0" w:hanging="2"/>
              <w:jc w:val="center"/>
              <w:rPr>
                <w:rFonts w:ascii="Arial" w:eastAsia="Arial" w:hAnsi="Arial" w:cs="Arial"/>
                <w:sz w:val="16"/>
                <w:szCs w:val="20"/>
              </w:rPr>
            </w:pPr>
            <w:r w:rsidRPr="00D840DC">
              <w:rPr>
                <w:rFonts w:ascii="Arial" w:eastAsia="Arial" w:hAnsi="Arial" w:cs="Arial"/>
                <w:sz w:val="16"/>
                <w:szCs w:val="20"/>
              </w:rPr>
              <w:t>243.542</w:t>
            </w:r>
          </w:p>
        </w:tc>
      </w:tr>
    </w:tbl>
    <w:p w14:paraId="1E35B9CA" w14:textId="77777777" w:rsidR="00892D8D" w:rsidRPr="00D840DC" w:rsidRDefault="00892D8D" w:rsidP="00892D8D">
      <w:pPr>
        <w:ind w:left="0" w:hanging="2"/>
        <w:rPr>
          <w:rFonts w:ascii="Arial" w:eastAsia="Arial" w:hAnsi="Arial" w:cs="Arial"/>
          <w:sz w:val="20"/>
          <w:szCs w:val="20"/>
        </w:rPr>
      </w:pPr>
    </w:p>
    <w:p w14:paraId="0E254E3B" w14:textId="77777777" w:rsidR="00892D8D" w:rsidRPr="00D840DC" w:rsidRDefault="00892D8D" w:rsidP="00847CA3">
      <w:pPr>
        <w:ind w:left="0" w:hanging="2"/>
        <w:jc w:val="both"/>
        <w:rPr>
          <w:rFonts w:ascii="Arial" w:eastAsia="Arial" w:hAnsi="Arial" w:cs="Arial"/>
          <w:sz w:val="20"/>
          <w:szCs w:val="20"/>
        </w:rPr>
      </w:pPr>
      <w:r w:rsidRPr="00D840DC">
        <w:rPr>
          <w:rFonts w:ascii="Arial" w:eastAsia="Arial" w:hAnsi="Arial" w:cs="Arial"/>
          <w:sz w:val="20"/>
          <w:szCs w:val="20"/>
        </w:rPr>
        <w:t>El coste por AVAC del tratamiento con Libmeldy</w:t>
      </w:r>
      <w:r w:rsidR="00847CA3" w:rsidRPr="00D840DC">
        <w:rPr>
          <w:rFonts w:ascii="Arial" w:hAnsi="Arial" w:cs="Arial"/>
          <w:sz w:val="20"/>
          <w:szCs w:val="20"/>
          <w:vertAlign w:val="superscript"/>
        </w:rPr>
        <w:t>®</w:t>
      </w:r>
      <w:r w:rsidRPr="00D840DC">
        <w:rPr>
          <w:rFonts w:ascii="Arial" w:eastAsia="Arial" w:hAnsi="Arial" w:cs="Arial"/>
          <w:sz w:val="20"/>
          <w:szCs w:val="20"/>
        </w:rPr>
        <w:t xml:space="preserve"> respecto a no tratamiento en un horizonte temporal de 10 años es de</w:t>
      </w:r>
      <w:r w:rsidRPr="00D840DC">
        <w:rPr>
          <w:rFonts w:ascii="Arial" w:eastAsia="Arial" w:hAnsi="Arial" w:cs="Arial"/>
          <w:b/>
          <w:sz w:val="20"/>
          <w:szCs w:val="20"/>
        </w:rPr>
        <w:t xml:space="preserve"> 243.542 € </w:t>
      </w:r>
      <w:r w:rsidRPr="00D840DC">
        <w:rPr>
          <w:rFonts w:ascii="Arial" w:eastAsia="Arial" w:hAnsi="Arial" w:cs="Arial"/>
          <w:sz w:val="20"/>
          <w:szCs w:val="20"/>
        </w:rPr>
        <w:t>/ AVA</w:t>
      </w:r>
      <w:r w:rsidR="00847CA3" w:rsidRPr="00D840DC">
        <w:rPr>
          <w:rFonts w:ascii="Arial" w:eastAsia="Arial" w:hAnsi="Arial" w:cs="Arial"/>
          <w:sz w:val="20"/>
          <w:szCs w:val="20"/>
        </w:rPr>
        <w:t>C</w:t>
      </w:r>
      <w:r w:rsidRPr="00D840DC">
        <w:rPr>
          <w:rFonts w:ascii="Arial" w:eastAsia="Arial" w:hAnsi="Arial" w:cs="Arial"/>
          <w:sz w:val="20"/>
          <w:szCs w:val="20"/>
        </w:rPr>
        <w:t xml:space="preserve"> (tabla </w:t>
      </w:r>
      <w:r w:rsidR="00847CA3" w:rsidRPr="00D840DC">
        <w:rPr>
          <w:rFonts w:ascii="Arial" w:eastAsia="Arial" w:hAnsi="Arial" w:cs="Arial"/>
          <w:sz w:val="20"/>
          <w:szCs w:val="20"/>
        </w:rPr>
        <w:t>C</w:t>
      </w:r>
      <w:r w:rsidRPr="00D840DC">
        <w:rPr>
          <w:rFonts w:ascii="Arial" w:eastAsia="Arial" w:hAnsi="Arial" w:cs="Arial"/>
          <w:sz w:val="20"/>
          <w:szCs w:val="20"/>
        </w:rPr>
        <w:t xml:space="preserve">) </w:t>
      </w:r>
    </w:p>
    <w:p w14:paraId="4836EABA" w14:textId="77777777" w:rsidR="00892D8D" w:rsidRPr="00D840DC" w:rsidRDefault="00892D8D" w:rsidP="00892D8D">
      <w:pPr>
        <w:ind w:left="0" w:hanging="2"/>
        <w:rPr>
          <w:rFonts w:ascii="Arial" w:eastAsia="Arial" w:hAnsi="Arial" w:cs="Arial"/>
          <w:sz w:val="20"/>
          <w:szCs w:val="20"/>
        </w:rPr>
      </w:pPr>
    </w:p>
    <w:p w14:paraId="7DD7AB5F" w14:textId="77777777" w:rsidR="00892D8D" w:rsidRPr="00D840DC" w:rsidRDefault="00892D8D" w:rsidP="00847CA3">
      <w:pPr>
        <w:ind w:left="0" w:hanging="2"/>
        <w:jc w:val="both"/>
        <w:rPr>
          <w:rFonts w:ascii="Arial" w:eastAsia="Arial" w:hAnsi="Arial" w:cs="Arial"/>
          <w:sz w:val="20"/>
          <w:szCs w:val="20"/>
        </w:rPr>
      </w:pPr>
      <w:r w:rsidRPr="00D840DC">
        <w:rPr>
          <w:rFonts w:ascii="Arial" w:eastAsia="Arial" w:hAnsi="Arial" w:cs="Arial"/>
          <w:sz w:val="20"/>
          <w:szCs w:val="20"/>
        </w:rPr>
        <w:t xml:space="preserve">Aplicamos el método GENESIS para una estimación del precio que debería tener para no superar el umbral de CEI, tomando los supuestos anteriores. En la tabla siguiente se puede observar que si se toma como referencia el umbral de </w:t>
      </w:r>
      <w:r w:rsidRPr="00D840DC">
        <w:rPr>
          <w:rFonts w:ascii="Arial" w:eastAsia="Arial" w:hAnsi="Arial" w:cs="Arial"/>
          <w:b/>
          <w:sz w:val="20"/>
          <w:szCs w:val="20"/>
        </w:rPr>
        <w:t>21.000 €/AVAC</w:t>
      </w:r>
      <w:r w:rsidRPr="00D840DC">
        <w:rPr>
          <w:rFonts w:ascii="Arial" w:eastAsia="Arial" w:hAnsi="Arial" w:cs="Arial"/>
          <w:sz w:val="20"/>
          <w:szCs w:val="20"/>
        </w:rPr>
        <w:t>, el precio de adquisición de Libmeldy</w:t>
      </w:r>
      <w:r w:rsidRPr="00D840DC">
        <w:rPr>
          <w:rFonts w:ascii="Arial" w:eastAsia="Arial" w:hAnsi="Arial" w:cs="Arial"/>
          <w:sz w:val="20"/>
          <w:szCs w:val="20"/>
          <w:vertAlign w:val="superscript"/>
        </w:rPr>
        <w:t>®</w:t>
      </w:r>
      <w:r w:rsidRPr="00D840DC">
        <w:rPr>
          <w:rFonts w:ascii="Arial" w:eastAsia="Arial" w:hAnsi="Arial" w:cs="Arial"/>
          <w:sz w:val="20"/>
          <w:szCs w:val="20"/>
        </w:rPr>
        <w:t xml:space="preserve"> para no superarlo debería ser menor de </w:t>
      </w:r>
      <w:r w:rsidRPr="00D840DC">
        <w:rPr>
          <w:rFonts w:ascii="Arial" w:eastAsia="Arial" w:hAnsi="Arial" w:cs="Arial"/>
          <w:b/>
          <w:sz w:val="20"/>
          <w:szCs w:val="20"/>
        </w:rPr>
        <w:t>263.404 €</w:t>
      </w:r>
      <w:r w:rsidRPr="00D840DC">
        <w:rPr>
          <w:rFonts w:ascii="Arial" w:eastAsia="Arial" w:hAnsi="Arial" w:cs="Arial"/>
          <w:sz w:val="20"/>
          <w:szCs w:val="20"/>
        </w:rPr>
        <w:t xml:space="preserve"> por unidad, ca</w:t>
      </w:r>
      <w:r w:rsidR="00847CA3" w:rsidRPr="00D840DC">
        <w:rPr>
          <w:rFonts w:ascii="Arial" w:eastAsia="Arial" w:hAnsi="Arial" w:cs="Arial"/>
          <w:sz w:val="20"/>
          <w:szCs w:val="20"/>
        </w:rPr>
        <w:t>ntidad muy inferior a 2.500.000</w:t>
      </w:r>
      <w:r w:rsidRPr="00D840DC">
        <w:rPr>
          <w:rFonts w:ascii="Arial" w:eastAsia="Arial" w:hAnsi="Arial" w:cs="Arial"/>
          <w:sz w:val="20"/>
          <w:szCs w:val="20"/>
        </w:rPr>
        <w:t>€.</w:t>
      </w:r>
    </w:p>
    <w:p w14:paraId="55D6587E" w14:textId="77777777" w:rsidR="005137A6" w:rsidRPr="00D840DC" w:rsidRDefault="005137A6" w:rsidP="00892D8D">
      <w:pPr>
        <w:ind w:left="0" w:hanging="2"/>
        <w:rPr>
          <w:rFonts w:ascii="Arial" w:eastAsia="Arial" w:hAnsi="Arial" w:cs="Arial"/>
          <w:sz w:val="20"/>
          <w:szCs w:val="20"/>
        </w:rPr>
      </w:pPr>
    </w:p>
    <w:p w14:paraId="1B0DB2B7" w14:textId="77777777" w:rsidR="005137A6" w:rsidRPr="00D840DC" w:rsidRDefault="005137A6" w:rsidP="00892D8D">
      <w:pPr>
        <w:ind w:left="0" w:hanging="2"/>
        <w:rPr>
          <w:rFonts w:ascii="Arial" w:eastAsia="Arial" w:hAnsi="Arial" w:cs="Arial"/>
          <w:sz w:val="20"/>
          <w:szCs w:val="20"/>
        </w:rPr>
      </w:pPr>
      <w:r w:rsidRPr="00D840DC">
        <w:rPr>
          <w:rFonts w:ascii="Arial" w:eastAsia="Arial" w:hAnsi="Arial" w:cs="Arial"/>
          <w:noProof/>
          <w:sz w:val="20"/>
          <w:szCs w:val="20"/>
        </w:rPr>
        <w:drawing>
          <wp:inline distT="0" distB="0" distL="0" distR="0" wp14:anchorId="2DB44973" wp14:editId="78729C90">
            <wp:extent cx="5546725" cy="35280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725" cy="3528060"/>
                    </a:xfrm>
                    <a:prstGeom prst="rect">
                      <a:avLst/>
                    </a:prstGeom>
                    <a:noFill/>
                    <a:ln>
                      <a:noFill/>
                    </a:ln>
                  </pic:spPr>
                </pic:pic>
              </a:graphicData>
            </a:graphic>
          </wp:inline>
        </w:drawing>
      </w:r>
    </w:p>
    <w:p w14:paraId="778DE141" w14:textId="77777777" w:rsidR="00892D8D" w:rsidRPr="00D840DC" w:rsidRDefault="00892D8D" w:rsidP="00892D8D">
      <w:pPr>
        <w:ind w:left="0" w:hanging="2"/>
        <w:rPr>
          <w:rFonts w:ascii="Arial" w:eastAsia="Arial" w:hAnsi="Arial" w:cs="Arial"/>
          <w:sz w:val="20"/>
          <w:szCs w:val="20"/>
        </w:rPr>
      </w:pPr>
    </w:p>
    <w:tbl>
      <w:tblPr>
        <w:tblStyle w:val="affffc"/>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D840DC" w:rsidRPr="00D840DC" w14:paraId="5097A34F" w14:textId="77777777">
        <w:trPr>
          <w:trHeight w:val="228"/>
        </w:trPr>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19078575" w14:textId="77777777" w:rsidR="009D55C9" w:rsidRPr="00D840DC"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sz w:val="20"/>
                <w:szCs w:val="20"/>
              </w:rPr>
            </w:pPr>
            <w:r w:rsidRPr="00D840DC">
              <w:rPr>
                <w:rFonts w:ascii="Arial" w:eastAsia="Arial" w:hAnsi="Arial" w:cs="Arial"/>
                <w:b/>
                <w:sz w:val="20"/>
                <w:szCs w:val="20"/>
              </w:rPr>
              <w:t xml:space="preserve">8. EVALUACIÓN DE LA CONVENIENCIA. </w:t>
            </w:r>
          </w:p>
        </w:tc>
      </w:tr>
    </w:tbl>
    <w:p w14:paraId="6460E450" w14:textId="77777777" w:rsidR="009D55C9" w:rsidRPr="00D840DC" w:rsidRDefault="009D55C9">
      <w:pPr>
        <w:ind w:left="0" w:hanging="2"/>
        <w:jc w:val="both"/>
        <w:rPr>
          <w:rFonts w:ascii="Arial" w:eastAsia="Arial" w:hAnsi="Arial" w:cs="Arial"/>
          <w:sz w:val="20"/>
          <w:szCs w:val="20"/>
        </w:rPr>
      </w:pPr>
      <w:bookmarkStart w:id="204" w:name="_heading=h.2lwamvv" w:colFirst="0" w:colLast="0"/>
      <w:bookmarkEnd w:id="204"/>
    </w:p>
    <w:p w14:paraId="7423D05D" w14:textId="77777777" w:rsidR="009D55C9" w:rsidRPr="00D840DC"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Cambria" w:hAnsi="Arial" w:cs="Arial"/>
          <w:b/>
          <w:i/>
          <w:sz w:val="20"/>
          <w:szCs w:val="20"/>
        </w:rPr>
      </w:pPr>
      <w:r w:rsidRPr="00D840DC">
        <w:rPr>
          <w:rFonts w:ascii="Arial" w:eastAsia="Cambria" w:hAnsi="Arial" w:cs="Arial"/>
          <w:b/>
          <w:i/>
          <w:sz w:val="20"/>
          <w:szCs w:val="20"/>
        </w:rPr>
        <w:t>8.1 Descripción de la conveniencia</w:t>
      </w:r>
    </w:p>
    <w:p w14:paraId="1CFD70EE" w14:textId="77777777" w:rsidR="009D55C9" w:rsidRPr="00D840DC" w:rsidRDefault="009D55C9">
      <w:pPr>
        <w:shd w:val="clear" w:color="auto" w:fill="FFFFFF"/>
        <w:ind w:left="0" w:hanging="2"/>
        <w:jc w:val="both"/>
        <w:rPr>
          <w:rFonts w:ascii="Arial" w:eastAsia="Arial" w:hAnsi="Arial" w:cs="Arial"/>
          <w:sz w:val="20"/>
          <w:szCs w:val="20"/>
        </w:rPr>
      </w:pPr>
    </w:p>
    <w:p w14:paraId="41E218BA" w14:textId="4169A55E" w:rsidR="00422146" w:rsidRPr="00D840DC" w:rsidRDefault="00D14DFE" w:rsidP="00D14DFE">
      <w:pPr>
        <w:spacing w:line="240" w:lineRule="auto"/>
        <w:ind w:leftChars="0" w:left="0" w:firstLineChars="0" w:hanging="2"/>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 un fármaco de administración intravenosa única, que requiere de un centro hospitalario en el que se disponga del material necesario para poder realizar un trasplante autólogo. </w:t>
      </w:r>
      <w:r w:rsidR="00422146" w:rsidRPr="00D840DC">
        <w:rPr>
          <w:rFonts w:ascii="Arial" w:eastAsia="Arial" w:hAnsi="Arial" w:cs="Arial"/>
          <w:sz w:val="20"/>
          <w:szCs w:val="20"/>
        </w:rPr>
        <w:t>Previ</w:t>
      </w:r>
      <w:r w:rsidRPr="00D840DC">
        <w:rPr>
          <w:rFonts w:ascii="Arial" w:eastAsia="Arial" w:hAnsi="Arial" w:cs="Arial"/>
          <w:sz w:val="20"/>
          <w:szCs w:val="20"/>
        </w:rPr>
        <w:t>o a la administración,</w:t>
      </w:r>
      <w:r w:rsidR="00422146" w:rsidRPr="00D840DC">
        <w:rPr>
          <w:rFonts w:ascii="Arial" w:eastAsia="Arial" w:hAnsi="Arial" w:cs="Arial"/>
          <w:sz w:val="20"/>
          <w:szCs w:val="20"/>
        </w:rPr>
        <w:t xml:space="preserve"> se ha tenido que realizar movilización de sangre periférica, aféresis</w:t>
      </w:r>
      <w:r w:rsidR="003B4958">
        <w:rPr>
          <w:rFonts w:ascii="Arial" w:eastAsia="Arial" w:hAnsi="Arial" w:cs="Arial"/>
          <w:sz w:val="20"/>
          <w:szCs w:val="20"/>
        </w:rPr>
        <w:t xml:space="preserve"> y acondicionamiento con busulfa</w:t>
      </w:r>
      <w:r w:rsidR="00422146" w:rsidRPr="00D840DC">
        <w:rPr>
          <w:rFonts w:ascii="Arial" w:eastAsia="Arial" w:hAnsi="Arial" w:cs="Arial"/>
          <w:sz w:val="20"/>
          <w:szCs w:val="20"/>
        </w:rPr>
        <w:t>n. Actualmente no hay alternativas de tratamiento disponibles para LDM.</w:t>
      </w:r>
    </w:p>
    <w:p w14:paraId="19DB6F3D" w14:textId="77777777" w:rsidR="00AA26D6" w:rsidRPr="00D840DC" w:rsidRDefault="00AA26D6">
      <w:pPr>
        <w:shd w:val="clear" w:color="auto" w:fill="FFFFFF"/>
        <w:ind w:left="0" w:hanging="2"/>
        <w:jc w:val="both"/>
        <w:rPr>
          <w:rFonts w:ascii="Arial" w:eastAsia="Arial" w:hAnsi="Arial" w:cs="Arial"/>
          <w:sz w:val="20"/>
          <w:szCs w:val="20"/>
        </w:rPr>
      </w:pPr>
    </w:p>
    <w:p w14:paraId="12473E92" w14:textId="77777777" w:rsidR="009D55C9" w:rsidRPr="00D840DC"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Cambria" w:hAnsi="Arial" w:cs="Arial"/>
          <w:b/>
          <w:i/>
          <w:sz w:val="20"/>
          <w:szCs w:val="20"/>
        </w:rPr>
      </w:pPr>
      <w:bookmarkStart w:id="205" w:name="_heading=h.111kx3o" w:colFirst="0" w:colLast="0"/>
      <w:bookmarkEnd w:id="205"/>
      <w:r w:rsidRPr="00D840DC">
        <w:rPr>
          <w:rFonts w:ascii="Arial" w:eastAsia="Cambria" w:hAnsi="Arial" w:cs="Arial"/>
          <w:b/>
          <w:i/>
          <w:sz w:val="20"/>
          <w:szCs w:val="20"/>
        </w:rPr>
        <w:t>8.2 Influencia de la conveniencia en la efectividad del tratamiento</w:t>
      </w:r>
    </w:p>
    <w:p w14:paraId="52381E7C" w14:textId="77777777" w:rsidR="009D55C9" w:rsidRPr="00D840DC" w:rsidRDefault="009D55C9">
      <w:pPr>
        <w:shd w:val="clear" w:color="auto" w:fill="FFFFFF"/>
        <w:ind w:left="0" w:hanging="2"/>
        <w:jc w:val="both"/>
        <w:rPr>
          <w:rFonts w:ascii="Arial" w:eastAsia="Arial" w:hAnsi="Arial" w:cs="Arial"/>
          <w:sz w:val="20"/>
          <w:szCs w:val="20"/>
        </w:rPr>
      </w:pPr>
    </w:p>
    <w:p w14:paraId="4DF664C5" w14:textId="77777777" w:rsidR="00422146" w:rsidRPr="00D840DC" w:rsidRDefault="00A955F4">
      <w:pPr>
        <w:ind w:left="0" w:hanging="2"/>
        <w:rPr>
          <w:rFonts w:ascii="Arial" w:eastAsia="Arial" w:hAnsi="Arial" w:cs="Arial"/>
          <w:sz w:val="20"/>
          <w:szCs w:val="20"/>
        </w:rPr>
      </w:pPr>
      <w:bookmarkStart w:id="206" w:name="_heading=h.3l18frh" w:colFirst="0" w:colLast="0"/>
      <w:bookmarkEnd w:id="206"/>
      <w:r w:rsidRPr="00D840DC">
        <w:rPr>
          <w:rFonts w:ascii="Arial" w:eastAsia="Arial" w:hAnsi="Arial" w:cs="Arial"/>
          <w:sz w:val="20"/>
          <w:szCs w:val="20"/>
        </w:rPr>
        <w:t>Al tratarse de un fármaco de administración única, n</w:t>
      </w:r>
      <w:r w:rsidR="00422146" w:rsidRPr="00D840DC">
        <w:rPr>
          <w:rFonts w:ascii="Arial" w:eastAsia="Arial" w:hAnsi="Arial" w:cs="Arial"/>
          <w:sz w:val="20"/>
          <w:szCs w:val="20"/>
        </w:rPr>
        <w:t xml:space="preserve">o se espera que </w:t>
      </w:r>
      <w:r w:rsidRPr="00D840DC">
        <w:rPr>
          <w:rFonts w:ascii="Arial" w:eastAsia="Arial" w:hAnsi="Arial" w:cs="Arial"/>
          <w:sz w:val="20"/>
          <w:szCs w:val="20"/>
        </w:rPr>
        <w:t xml:space="preserve">la conveniencia </w:t>
      </w:r>
      <w:r w:rsidR="00422146" w:rsidRPr="00D840DC">
        <w:rPr>
          <w:rFonts w:ascii="Arial" w:eastAsia="Arial" w:hAnsi="Arial" w:cs="Arial"/>
          <w:sz w:val="20"/>
          <w:szCs w:val="20"/>
        </w:rPr>
        <w:t>influya en la efectividad.</w:t>
      </w:r>
    </w:p>
    <w:p w14:paraId="0084BEB9" w14:textId="77777777" w:rsidR="00A955F4" w:rsidRPr="00D840DC" w:rsidRDefault="00A955F4">
      <w:pPr>
        <w:ind w:left="0" w:hanging="2"/>
        <w:rPr>
          <w:rFonts w:ascii="Arial" w:eastAsia="Arial" w:hAnsi="Arial" w:cs="Arial"/>
          <w:sz w:val="20"/>
          <w:szCs w:val="20"/>
        </w:rPr>
      </w:pPr>
    </w:p>
    <w:tbl>
      <w:tblPr>
        <w:tblStyle w:val="affffd"/>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D840DC" w:rsidRPr="00D840DC" w14:paraId="2499A706"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7F957AEC" w14:textId="77777777" w:rsidR="009D55C9" w:rsidRPr="00D840DC" w:rsidRDefault="005A57E0">
            <w:pPr>
              <w:keepNext/>
              <w:pBdr>
                <w:top w:val="nil"/>
                <w:left w:val="nil"/>
                <w:bottom w:val="nil"/>
                <w:right w:val="nil"/>
                <w:between w:val="nil"/>
              </w:pBdr>
              <w:shd w:val="clear" w:color="auto" w:fill="A6A6A6"/>
              <w:spacing w:line="240" w:lineRule="auto"/>
              <w:ind w:left="0" w:hanging="2"/>
              <w:rPr>
                <w:rFonts w:ascii="Arial" w:eastAsia="Arial" w:hAnsi="Arial" w:cs="Arial"/>
                <w:b/>
                <w:sz w:val="20"/>
                <w:szCs w:val="20"/>
              </w:rPr>
            </w:pPr>
            <w:r w:rsidRPr="00D840DC">
              <w:rPr>
                <w:rFonts w:ascii="Arial" w:eastAsia="Arial" w:hAnsi="Arial" w:cs="Arial"/>
                <w:b/>
                <w:sz w:val="20"/>
                <w:szCs w:val="20"/>
              </w:rPr>
              <w:t>9. AREA DE CONCLUSIONES.</w:t>
            </w:r>
          </w:p>
        </w:tc>
      </w:tr>
    </w:tbl>
    <w:p w14:paraId="35A956CA" w14:textId="77777777" w:rsidR="009D55C9" w:rsidRPr="00D840DC"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sz w:val="20"/>
        </w:rPr>
      </w:pPr>
      <w:bookmarkStart w:id="207" w:name="_heading=h.206ipza" w:colFirst="0" w:colLast="0"/>
      <w:bookmarkEnd w:id="207"/>
    </w:p>
    <w:p w14:paraId="3C735368" w14:textId="77777777" w:rsidR="009D55C9" w:rsidRPr="00D840DC" w:rsidRDefault="00A955F4" w:rsidP="00A955F4">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Cambria" w:hAnsi="Arial" w:cs="Arial"/>
          <w:b/>
          <w:sz w:val="20"/>
          <w:szCs w:val="20"/>
        </w:rPr>
      </w:pPr>
      <w:r w:rsidRPr="00D840DC">
        <w:rPr>
          <w:rFonts w:ascii="Arial" w:eastAsia="Cambria" w:hAnsi="Arial" w:cs="Arial"/>
          <w:b/>
          <w:sz w:val="20"/>
          <w:szCs w:val="20"/>
        </w:rPr>
        <w:t xml:space="preserve">9.1 </w:t>
      </w:r>
      <w:r w:rsidR="005A57E0" w:rsidRPr="00D840DC">
        <w:rPr>
          <w:rFonts w:ascii="Arial" w:eastAsia="Cambria" w:hAnsi="Arial" w:cs="Arial"/>
          <w:b/>
          <w:sz w:val="20"/>
          <w:szCs w:val="20"/>
        </w:rPr>
        <w:t>Resumen de los aspectos más significativos respecto a la alternativa y propuestas</w:t>
      </w:r>
    </w:p>
    <w:p w14:paraId="2F539652" w14:textId="77777777" w:rsidR="009D55C9" w:rsidRPr="00D840DC" w:rsidRDefault="009D55C9">
      <w:pPr>
        <w:ind w:left="0" w:hanging="2"/>
        <w:jc w:val="both"/>
        <w:rPr>
          <w:rFonts w:ascii="Arial" w:eastAsia="Arial" w:hAnsi="Arial" w:cs="Arial"/>
          <w:sz w:val="20"/>
          <w:szCs w:val="20"/>
        </w:rPr>
      </w:pPr>
    </w:p>
    <w:p w14:paraId="34BAA3F4"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eastAsia="Arial" w:hAnsi="Arial" w:cs="Arial"/>
          <w:b/>
          <w:sz w:val="20"/>
          <w:szCs w:val="20"/>
        </w:rPr>
        <w:t>1. Indicación, posología y forma de administración:</w:t>
      </w:r>
    </w:p>
    <w:p w14:paraId="77308B26" w14:textId="77777777" w:rsidR="009D55C9" w:rsidRPr="00D840DC" w:rsidRDefault="009D55C9">
      <w:pPr>
        <w:spacing w:line="240" w:lineRule="auto"/>
        <w:ind w:left="0" w:hanging="2"/>
        <w:rPr>
          <w:rFonts w:ascii="Arial" w:eastAsia="Arial" w:hAnsi="Arial" w:cs="Arial"/>
          <w:sz w:val="20"/>
          <w:szCs w:val="20"/>
        </w:rPr>
      </w:pPr>
    </w:p>
    <w:p w14:paraId="1C5723E6" w14:textId="77777777" w:rsidR="009D55C9" w:rsidRPr="00D840DC" w:rsidRDefault="005A57E0" w:rsidP="00CC6B01">
      <w:pPr>
        <w:pStyle w:val="Prrafodelista"/>
        <w:numPr>
          <w:ilvl w:val="0"/>
          <w:numId w:val="23"/>
        </w:numPr>
        <w:shd w:val="clear" w:color="auto" w:fill="FFFFFF"/>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está indicado en pacientes pediátricos con LDM </w:t>
      </w:r>
      <w:r w:rsidR="0025440E" w:rsidRPr="00D840DC">
        <w:rPr>
          <w:rFonts w:ascii="Arial" w:eastAsia="Arial" w:hAnsi="Arial" w:cs="Arial"/>
          <w:sz w:val="20"/>
          <w:szCs w:val="20"/>
        </w:rPr>
        <w:t>con</w:t>
      </w:r>
      <w:r w:rsidRPr="00D840DC">
        <w:rPr>
          <w:rFonts w:ascii="Arial" w:eastAsia="Arial" w:hAnsi="Arial" w:cs="Arial"/>
          <w:sz w:val="20"/>
          <w:szCs w:val="20"/>
        </w:rPr>
        <w:t xml:space="preserve"> formas </w:t>
      </w:r>
      <w:r w:rsidR="0025440E" w:rsidRPr="00D840DC">
        <w:rPr>
          <w:rFonts w:ascii="Arial" w:eastAsia="Arial" w:hAnsi="Arial" w:cs="Arial"/>
          <w:b/>
          <w:sz w:val="20"/>
          <w:szCs w:val="20"/>
        </w:rPr>
        <w:t>infantiles tardías</w:t>
      </w:r>
      <w:r w:rsidR="0025440E" w:rsidRPr="00D840DC">
        <w:rPr>
          <w:rFonts w:ascii="Arial" w:eastAsia="Arial" w:hAnsi="Arial" w:cs="Arial"/>
          <w:sz w:val="20"/>
          <w:szCs w:val="20"/>
        </w:rPr>
        <w:t xml:space="preserve"> de la enfermedad y en pacientes con formas </w:t>
      </w:r>
      <w:r w:rsidR="0025440E" w:rsidRPr="00D840DC">
        <w:rPr>
          <w:rFonts w:ascii="Arial" w:eastAsia="Arial" w:hAnsi="Arial" w:cs="Arial"/>
          <w:b/>
          <w:sz w:val="20"/>
          <w:szCs w:val="20"/>
        </w:rPr>
        <w:t>juveniles tempranas</w:t>
      </w:r>
      <w:r w:rsidR="0025440E" w:rsidRPr="00D840DC">
        <w:rPr>
          <w:rFonts w:ascii="Arial" w:eastAsia="Arial" w:hAnsi="Arial" w:cs="Arial"/>
          <w:sz w:val="20"/>
          <w:szCs w:val="20"/>
        </w:rPr>
        <w:t xml:space="preserve"> </w:t>
      </w:r>
      <w:r w:rsidRPr="00D840DC">
        <w:rPr>
          <w:rFonts w:ascii="Arial" w:eastAsia="Arial" w:hAnsi="Arial" w:cs="Arial"/>
          <w:sz w:val="20"/>
          <w:szCs w:val="20"/>
        </w:rPr>
        <w:t xml:space="preserve">que aún no han desarrollado ningún síntoma o que presentan síntomas </w:t>
      </w:r>
      <w:r w:rsidR="00CC6B01" w:rsidRPr="00D840DC">
        <w:rPr>
          <w:rFonts w:ascii="Arial" w:eastAsia="Arial" w:hAnsi="Arial" w:cs="Arial"/>
          <w:sz w:val="20"/>
          <w:szCs w:val="20"/>
        </w:rPr>
        <w:t>tempranos</w:t>
      </w:r>
      <w:r w:rsidRPr="00D840DC">
        <w:rPr>
          <w:rFonts w:ascii="Arial" w:eastAsia="Arial" w:hAnsi="Arial" w:cs="Arial"/>
          <w:sz w:val="20"/>
          <w:szCs w:val="20"/>
        </w:rPr>
        <w:t>, pero que aún pueden andar de forma independiente y que no han desarrollado aún deterioro mental.</w:t>
      </w:r>
    </w:p>
    <w:p w14:paraId="5608E208" w14:textId="77777777" w:rsidR="00CC6B01" w:rsidRPr="00D840DC" w:rsidRDefault="00CC6B01" w:rsidP="00CC6B01">
      <w:pPr>
        <w:pStyle w:val="Prrafodelista"/>
        <w:shd w:val="clear" w:color="auto" w:fill="FFFFFF"/>
        <w:spacing w:line="240" w:lineRule="auto"/>
        <w:ind w:leftChars="0" w:left="720" w:firstLineChars="0" w:firstLine="0"/>
        <w:jc w:val="both"/>
        <w:rPr>
          <w:rFonts w:ascii="Arial" w:eastAsia="Arial" w:hAnsi="Arial" w:cs="Arial"/>
          <w:sz w:val="20"/>
          <w:szCs w:val="20"/>
        </w:rPr>
      </w:pPr>
    </w:p>
    <w:p w14:paraId="2DD41E94" w14:textId="77777777" w:rsidR="009D55C9" w:rsidRPr="00D840DC" w:rsidRDefault="005A57E0" w:rsidP="00CC6B01">
      <w:pPr>
        <w:pStyle w:val="Prrafodelista"/>
        <w:numPr>
          <w:ilvl w:val="0"/>
          <w:numId w:val="23"/>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El fármaco</w:t>
      </w:r>
      <w:r w:rsidRPr="00D840DC">
        <w:rPr>
          <w:rFonts w:ascii="Arial" w:eastAsia="Arial" w:hAnsi="Arial" w:cs="Arial"/>
        </w:rPr>
        <w:t xml:space="preserve"> </w:t>
      </w:r>
      <w:r w:rsidRPr="00D840DC">
        <w:rPr>
          <w:rFonts w:ascii="Arial" w:eastAsia="Arial" w:hAnsi="Arial" w:cs="Arial"/>
          <w:sz w:val="20"/>
          <w:szCs w:val="20"/>
        </w:rPr>
        <w:t xml:space="preserve">es una </w:t>
      </w:r>
      <w:r w:rsidR="00BD2296" w:rsidRPr="00D840DC">
        <w:rPr>
          <w:rFonts w:ascii="Arial" w:eastAsia="Arial" w:hAnsi="Arial" w:cs="Arial"/>
          <w:sz w:val="20"/>
          <w:szCs w:val="20"/>
        </w:rPr>
        <w:t>TG</w:t>
      </w:r>
      <w:r w:rsidRPr="00D840DC">
        <w:rPr>
          <w:rFonts w:ascii="Arial" w:eastAsia="Arial" w:hAnsi="Arial" w:cs="Arial"/>
          <w:sz w:val="20"/>
          <w:szCs w:val="20"/>
        </w:rPr>
        <w:t xml:space="preserve"> consistente en células madre CD34+ derivadas de la propia médula ósea o sangre del paciente, a las que se inserta un gen que permite producir ARSA utilizando un vector lentiviral. </w:t>
      </w:r>
    </w:p>
    <w:p w14:paraId="3DA5ED28" w14:textId="77777777" w:rsidR="00CC6B01" w:rsidRPr="00D840DC" w:rsidRDefault="00CC6B01" w:rsidP="00CC6B01">
      <w:pPr>
        <w:pStyle w:val="Prrafodelista"/>
        <w:spacing w:line="240" w:lineRule="auto"/>
        <w:ind w:leftChars="0" w:left="720" w:firstLineChars="0" w:firstLine="0"/>
        <w:jc w:val="both"/>
        <w:rPr>
          <w:rFonts w:ascii="Arial" w:eastAsia="Arial" w:hAnsi="Arial" w:cs="Arial"/>
          <w:sz w:val="20"/>
          <w:szCs w:val="20"/>
        </w:rPr>
      </w:pPr>
    </w:p>
    <w:p w14:paraId="2187E5C2" w14:textId="77777777" w:rsidR="009D55C9" w:rsidRPr="00D840DC" w:rsidRDefault="005A57E0" w:rsidP="00CC6B01">
      <w:pPr>
        <w:pStyle w:val="Prrafodelista"/>
        <w:numPr>
          <w:ilvl w:val="0"/>
          <w:numId w:val="23"/>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La dosis de administración </w:t>
      </w:r>
      <w:r w:rsidR="0025440E" w:rsidRPr="00D840DC">
        <w:rPr>
          <w:rFonts w:ascii="Arial" w:eastAsia="Arial" w:hAnsi="Arial" w:cs="Arial"/>
          <w:sz w:val="20"/>
          <w:szCs w:val="20"/>
        </w:rPr>
        <w:t>se determina</w:t>
      </w:r>
      <w:r w:rsidRPr="00D840DC">
        <w:rPr>
          <w:rFonts w:ascii="Arial" w:eastAsia="Arial" w:hAnsi="Arial" w:cs="Arial"/>
          <w:sz w:val="20"/>
          <w:szCs w:val="20"/>
        </w:rPr>
        <w:t xml:space="preserve"> en función del peso del paciente. La dosis mínima recomendada es de 3 x 10</w:t>
      </w:r>
      <w:r w:rsidRPr="00D840DC">
        <w:rPr>
          <w:rFonts w:ascii="Arial" w:eastAsia="Arial" w:hAnsi="Arial" w:cs="Arial"/>
          <w:sz w:val="20"/>
          <w:szCs w:val="20"/>
          <w:vertAlign w:val="superscript"/>
        </w:rPr>
        <w:t>6</w:t>
      </w:r>
      <w:r w:rsidRPr="00D840DC">
        <w:rPr>
          <w:rFonts w:ascii="Arial" w:eastAsia="Arial" w:hAnsi="Arial" w:cs="Arial"/>
          <w:sz w:val="20"/>
          <w:szCs w:val="20"/>
        </w:rPr>
        <w:t xml:space="preserve"> células CD34+/kg. </w:t>
      </w:r>
    </w:p>
    <w:p w14:paraId="75860F3A" w14:textId="77777777" w:rsidR="009D55C9" w:rsidRPr="00D840DC" w:rsidRDefault="009D55C9">
      <w:pPr>
        <w:spacing w:line="240" w:lineRule="auto"/>
        <w:ind w:left="0" w:hanging="2"/>
        <w:jc w:val="both"/>
        <w:rPr>
          <w:rFonts w:ascii="Arial" w:eastAsia="Arial" w:hAnsi="Arial" w:cs="Arial"/>
          <w:sz w:val="20"/>
          <w:szCs w:val="20"/>
        </w:rPr>
      </w:pPr>
    </w:p>
    <w:p w14:paraId="33031669" w14:textId="77777777" w:rsidR="009D55C9" w:rsidRPr="00D840DC" w:rsidRDefault="005A57E0" w:rsidP="00CC6B01">
      <w:pPr>
        <w:pStyle w:val="Prrafodelista"/>
        <w:numPr>
          <w:ilvl w:val="0"/>
          <w:numId w:val="23"/>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Los pacientes tienen que someterse previamente a movilización de sangre periférica con G-CSF con o sin plerixafor (en caso de utilizar SP en lugar de MO) seguido de una aféresis, posteriormente acondicionamiento con busulf</w:t>
      </w:r>
      <w:r w:rsidR="00AA26D6" w:rsidRPr="00D840DC">
        <w:rPr>
          <w:rFonts w:ascii="Arial" w:eastAsia="Arial" w:hAnsi="Arial" w:cs="Arial"/>
          <w:sz w:val="20"/>
          <w:szCs w:val="20"/>
        </w:rPr>
        <w:t>án y finalmente la infusión de L</w:t>
      </w:r>
      <w:r w:rsidRPr="00D840DC">
        <w:rPr>
          <w:rFonts w:ascii="Arial" w:eastAsia="Arial" w:hAnsi="Arial" w:cs="Arial"/>
          <w:sz w:val="20"/>
          <w:szCs w:val="20"/>
        </w:rPr>
        <w:t>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w:t>
      </w:r>
    </w:p>
    <w:p w14:paraId="187F9B2E" w14:textId="77777777" w:rsidR="009D55C9" w:rsidRPr="00D840DC" w:rsidRDefault="009D55C9">
      <w:pPr>
        <w:pBdr>
          <w:top w:val="nil"/>
          <w:left w:val="nil"/>
          <w:bottom w:val="nil"/>
          <w:right w:val="nil"/>
          <w:between w:val="nil"/>
        </w:pBdr>
        <w:spacing w:line="240" w:lineRule="auto"/>
        <w:ind w:left="0" w:hanging="2"/>
        <w:rPr>
          <w:rFonts w:ascii="Arial" w:eastAsia="Arial" w:hAnsi="Arial" w:cs="Arial"/>
          <w:sz w:val="20"/>
          <w:szCs w:val="20"/>
        </w:rPr>
      </w:pPr>
    </w:p>
    <w:p w14:paraId="7270EFCD"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eastAsia="Arial" w:hAnsi="Arial" w:cs="Arial"/>
          <w:b/>
          <w:sz w:val="20"/>
          <w:szCs w:val="20"/>
        </w:rPr>
        <w:t>2. Eficacia:</w:t>
      </w:r>
    </w:p>
    <w:p w14:paraId="71AC7F3C" w14:textId="77777777" w:rsidR="009D55C9" w:rsidRPr="00D840DC" w:rsidRDefault="009D55C9">
      <w:pPr>
        <w:spacing w:line="240" w:lineRule="auto"/>
        <w:ind w:left="0" w:hanging="2"/>
        <w:jc w:val="both"/>
        <w:rPr>
          <w:rFonts w:ascii="Arial" w:eastAsia="Arial" w:hAnsi="Arial" w:cs="Arial"/>
          <w:b/>
          <w:sz w:val="20"/>
          <w:szCs w:val="20"/>
        </w:rPr>
      </w:pPr>
    </w:p>
    <w:p w14:paraId="019A1311" w14:textId="77777777" w:rsidR="009D55C9" w:rsidRPr="00D840DC" w:rsidRDefault="005A57E0" w:rsidP="0025440E">
      <w:pPr>
        <w:pStyle w:val="Prrafodelista"/>
        <w:numPr>
          <w:ilvl w:val="0"/>
          <w:numId w:val="24"/>
        </w:numPr>
        <w:pBdr>
          <w:top w:val="nil"/>
          <w:left w:val="nil"/>
          <w:bottom w:val="nil"/>
          <w:right w:val="nil"/>
          <w:between w:val="nil"/>
        </w:pBdr>
        <w:spacing w:line="240" w:lineRule="auto"/>
        <w:ind w:leftChars="0" w:left="709" w:firstLineChars="0" w:hanging="283"/>
        <w:jc w:val="both"/>
        <w:rPr>
          <w:rFonts w:ascii="Arial" w:eastAsia="Arial" w:hAnsi="Arial" w:cs="Arial"/>
          <w:sz w:val="20"/>
          <w:szCs w:val="20"/>
        </w:rPr>
      </w:pPr>
      <w:r w:rsidRPr="00D840DC">
        <w:rPr>
          <w:rFonts w:ascii="Arial" w:eastAsia="Arial" w:hAnsi="Arial" w:cs="Arial"/>
          <w:sz w:val="20"/>
          <w:szCs w:val="20"/>
        </w:rPr>
        <w:t xml:space="preserve">La eficacia clínica se </w:t>
      </w:r>
      <w:r w:rsidR="0025440E" w:rsidRPr="00D840DC">
        <w:rPr>
          <w:rFonts w:ascii="Arial" w:eastAsia="Arial" w:hAnsi="Arial" w:cs="Arial"/>
          <w:sz w:val="20"/>
          <w:szCs w:val="20"/>
        </w:rPr>
        <w:t>determinó por</w:t>
      </w:r>
      <w:r w:rsidRPr="00D840DC">
        <w:rPr>
          <w:rFonts w:ascii="Arial" w:eastAsia="Arial" w:hAnsi="Arial" w:cs="Arial"/>
          <w:sz w:val="20"/>
          <w:szCs w:val="20"/>
        </w:rPr>
        <w:t xml:space="preserve"> el </w:t>
      </w:r>
      <w:r w:rsidRPr="00D840DC">
        <w:rPr>
          <w:rFonts w:ascii="Arial" w:eastAsia="Arial" w:hAnsi="Arial" w:cs="Arial"/>
          <w:b/>
          <w:sz w:val="20"/>
          <w:szCs w:val="20"/>
          <w:u w:val="single"/>
        </w:rPr>
        <w:t>análisis de conjunto de los resultados de 29 pacientes con LDM</w:t>
      </w:r>
      <w:r w:rsidRPr="00D840DC">
        <w:rPr>
          <w:rFonts w:ascii="Arial" w:eastAsia="Arial" w:hAnsi="Arial" w:cs="Arial"/>
          <w:sz w:val="20"/>
          <w:szCs w:val="20"/>
        </w:rPr>
        <w:t xml:space="preserve"> de aparición temprana tratados con Libmeldy</w:t>
      </w:r>
      <w:r w:rsidR="0025440E" w:rsidRPr="00D840DC">
        <w:rPr>
          <w:rFonts w:ascii="Arial" w:eastAsia="Arial" w:hAnsi="Arial" w:cs="Arial"/>
          <w:sz w:val="20"/>
          <w:szCs w:val="20"/>
          <w:vertAlign w:val="superscript"/>
        </w:rPr>
        <w:t>®</w:t>
      </w:r>
      <w:r w:rsidRPr="00D840DC">
        <w:rPr>
          <w:rFonts w:ascii="Arial" w:eastAsia="Arial" w:hAnsi="Arial" w:cs="Arial"/>
          <w:sz w:val="20"/>
          <w:szCs w:val="20"/>
        </w:rPr>
        <w:t xml:space="preserve"> como formulación nueva (no criopreservada). Estos resultados se generaron en veinte pacientes tratados en el estudio de registro </w:t>
      </w:r>
      <w:r w:rsidR="0025440E" w:rsidRPr="00D840DC">
        <w:rPr>
          <w:rFonts w:ascii="Arial" w:eastAsia="Arial" w:hAnsi="Arial" w:cs="Arial"/>
          <w:sz w:val="20"/>
          <w:szCs w:val="20"/>
        </w:rPr>
        <w:t xml:space="preserve">no aleatorizado </w:t>
      </w:r>
      <w:r w:rsidRPr="00D840DC">
        <w:rPr>
          <w:rFonts w:ascii="Arial" w:eastAsia="Arial" w:hAnsi="Arial" w:cs="Arial"/>
          <w:sz w:val="20"/>
          <w:szCs w:val="20"/>
        </w:rPr>
        <w:t>(</w:t>
      </w:r>
      <w:r w:rsidRPr="00D840DC">
        <w:rPr>
          <w:rFonts w:ascii="Arial" w:eastAsia="Arial" w:hAnsi="Arial" w:cs="Arial"/>
          <w:b/>
          <w:sz w:val="20"/>
          <w:szCs w:val="20"/>
        </w:rPr>
        <w:t>201222</w:t>
      </w:r>
      <w:r w:rsidRPr="00D840DC">
        <w:rPr>
          <w:rFonts w:ascii="Arial" w:eastAsia="Arial" w:hAnsi="Arial" w:cs="Arial"/>
          <w:sz w:val="20"/>
          <w:szCs w:val="20"/>
        </w:rPr>
        <w:t>) y nueve pacientes tratados en el conte</w:t>
      </w:r>
      <w:r w:rsidR="0025440E" w:rsidRPr="00D840DC">
        <w:rPr>
          <w:rFonts w:ascii="Arial" w:eastAsia="Arial" w:hAnsi="Arial" w:cs="Arial"/>
          <w:sz w:val="20"/>
          <w:szCs w:val="20"/>
        </w:rPr>
        <w:t>xto de tres programas de acceso expandido</w:t>
      </w:r>
      <w:r w:rsidRPr="00D840DC">
        <w:rPr>
          <w:rFonts w:ascii="Arial" w:eastAsia="Arial" w:hAnsi="Arial" w:cs="Arial"/>
          <w:sz w:val="20"/>
          <w:szCs w:val="20"/>
        </w:rPr>
        <w:t xml:space="preserve">. </w:t>
      </w:r>
    </w:p>
    <w:p w14:paraId="0EDA26CE" w14:textId="77777777" w:rsidR="00CC6B01" w:rsidRPr="00D840DC" w:rsidRDefault="00CC6B01">
      <w:pPr>
        <w:ind w:left="0" w:hanging="2"/>
        <w:jc w:val="both"/>
        <w:rPr>
          <w:rFonts w:ascii="Arial" w:eastAsia="Arial" w:hAnsi="Arial" w:cs="Arial"/>
          <w:sz w:val="20"/>
          <w:szCs w:val="20"/>
        </w:rPr>
      </w:pPr>
    </w:p>
    <w:p w14:paraId="620F6615" w14:textId="77777777" w:rsidR="009D55C9" w:rsidRPr="00D840DC" w:rsidRDefault="0025440E" w:rsidP="00CC6B01">
      <w:pPr>
        <w:pStyle w:val="Prrafodelista"/>
        <w:numPr>
          <w:ilvl w:val="0"/>
          <w:numId w:val="24"/>
        </w:numPr>
        <w:pBdr>
          <w:top w:val="nil"/>
          <w:left w:val="nil"/>
          <w:bottom w:val="nil"/>
          <w:right w:val="nil"/>
          <w:between w:val="nil"/>
        </w:pBd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Este estudio </w:t>
      </w:r>
      <w:r w:rsidR="00B479BF" w:rsidRPr="00D840DC">
        <w:rPr>
          <w:rFonts w:ascii="Arial" w:eastAsia="Arial" w:hAnsi="Arial" w:cs="Arial"/>
          <w:sz w:val="20"/>
          <w:szCs w:val="20"/>
        </w:rPr>
        <w:t xml:space="preserve">comparaba los pacientes tratados con el fármaco frente a </w:t>
      </w:r>
      <w:r w:rsidR="005A57E0" w:rsidRPr="00D840DC">
        <w:rPr>
          <w:rFonts w:ascii="Arial" w:eastAsia="Arial" w:hAnsi="Arial" w:cs="Arial"/>
          <w:sz w:val="20"/>
          <w:szCs w:val="20"/>
        </w:rPr>
        <w:t>una cohorte histórica de pacientes con LDM no tratados.</w:t>
      </w:r>
    </w:p>
    <w:p w14:paraId="03CC1048" w14:textId="77777777" w:rsidR="009D55C9" w:rsidRPr="00D840DC" w:rsidRDefault="009D55C9">
      <w:pPr>
        <w:pBdr>
          <w:top w:val="nil"/>
          <w:left w:val="nil"/>
          <w:bottom w:val="nil"/>
          <w:right w:val="nil"/>
          <w:between w:val="nil"/>
        </w:pBdr>
        <w:spacing w:line="240" w:lineRule="auto"/>
        <w:ind w:left="0" w:hanging="2"/>
        <w:jc w:val="both"/>
        <w:rPr>
          <w:rFonts w:ascii="Arial" w:eastAsia="Arial" w:hAnsi="Arial" w:cs="Arial"/>
          <w:sz w:val="20"/>
          <w:szCs w:val="20"/>
        </w:rPr>
      </w:pPr>
    </w:p>
    <w:p w14:paraId="46995174" w14:textId="77777777" w:rsidR="009D55C9" w:rsidRPr="00D840DC" w:rsidRDefault="00B479BF" w:rsidP="00CC6B01">
      <w:pPr>
        <w:pStyle w:val="Prrafodelista"/>
        <w:numPr>
          <w:ilvl w:val="0"/>
          <w:numId w:val="24"/>
        </w:numPr>
        <w:pBdr>
          <w:top w:val="nil"/>
          <w:left w:val="nil"/>
          <w:bottom w:val="nil"/>
          <w:right w:val="nil"/>
          <w:between w:val="nil"/>
        </w:pBd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En este estudio se aprecia </w:t>
      </w:r>
      <w:r w:rsidR="005A57E0" w:rsidRPr="00D840DC">
        <w:rPr>
          <w:rFonts w:ascii="Arial" w:eastAsia="Arial" w:hAnsi="Arial" w:cs="Arial"/>
          <w:sz w:val="20"/>
          <w:szCs w:val="20"/>
        </w:rPr>
        <w:t xml:space="preserve">un </w:t>
      </w:r>
      <w:r w:rsidRPr="00D840DC">
        <w:rPr>
          <w:rFonts w:ascii="Arial" w:eastAsia="Arial" w:hAnsi="Arial" w:cs="Arial"/>
          <w:sz w:val="20"/>
          <w:szCs w:val="20"/>
        </w:rPr>
        <w:t xml:space="preserve">aparente </w:t>
      </w:r>
      <w:r w:rsidR="005A57E0" w:rsidRPr="00D840DC">
        <w:rPr>
          <w:rFonts w:ascii="Arial" w:eastAsia="Arial" w:hAnsi="Arial" w:cs="Arial"/>
          <w:b/>
          <w:sz w:val="20"/>
          <w:szCs w:val="20"/>
        </w:rPr>
        <w:t xml:space="preserve">beneficio </w:t>
      </w:r>
      <w:r w:rsidR="005A57E0" w:rsidRPr="00D840DC">
        <w:rPr>
          <w:rFonts w:ascii="Arial" w:eastAsia="Arial" w:hAnsi="Arial" w:cs="Arial"/>
          <w:sz w:val="20"/>
          <w:szCs w:val="20"/>
        </w:rPr>
        <w:t xml:space="preserve">en </w:t>
      </w:r>
      <w:r w:rsidRPr="00D840DC">
        <w:rPr>
          <w:rFonts w:ascii="Arial" w:eastAsia="Arial" w:hAnsi="Arial" w:cs="Arial"/>
          <w:sz w:val="20"/>
          <w:szCs w:val="20"/>
        </w:rPr>
        <w:t xml:space="preserve">cuanto al deterioro de la función motora gruesa y en cuanto a mejora en la actividad de la ARSA en </w:t>
      </w:r>
      <w:r w:rsidR="005A57E0" w:rsidRPr="00D840DC">
        <w:rPr>
          <w:rFonts w:ascii="Arial" w:eastAsia="Arial" w:hAnsi="Arial" w:cs="Arial"/>
          <w:sz w:val="20"/>
          <w:szCs w:val="20"/>
        </w:rPr>
        <w:t xml:space="preserve">los pacientes </w:t>
      </w:r>
      <w:r w:rsidR="005A57E0" w:rsidRPr="00D840DC">
        <w:rPr>
          <w:rFonts w:ascii="Arial" w:eastAsia="Arial" w:hAnsi="Arial" w:cs="Arial"/>
          <w:b/>
          <w:sz w:val="20"/>
          <w:szCs w:val="20"/>
        </w:rPr>
        <w:t>presintomáticos</w:t>
      </w:r>
      <w:r w:rsidR="005A57E0" w:rsidRPr="00D840DC">
        <w:rPr>
          <w:rFonts w:ascii="Arial" w:eastAsia="Arial" w:hAnsi="Arial" w:cs="Arial"/>
          <w:sz w:val="20"/>
          <w:szCs w:val="20"/>
        </w:rPr>
        <w:t xml:space="preserve"> con LDM-IT y LDM-JT. </w:t>
      </w:r>
      <w:r w:rsidRPr="00D840DC">
        <w:rPr>
          <w:rFonts w:ascii="Arial" w:eastAsia="Arial" w:hAnsi="Arial" w:cs="Arial"/>
          <w:sz w:val="20"/>
          <w:szCs w:val="20"/>
        </w:rPr>
        <w:t>Este beneficio no logra demostrarse en los pacientes con LDT-JT sintomáticos</w:t>
      </w:r>
      <w:r w:rsidR="005A57E0" w:rsidRPr="00D840DC">
        <w:rPr>
          <w:rFonts w:ascii="Arial" w:eastAsia="Arial" w:hAnsi="Arial" w:cs="Arial"/>
          <w:sz w:val="20"/>
          <w:szCs w:val="20"/>
        </w:rPr>
        <w:t>.</w:t>
      </w:r>
    </w:p>
    <w:p w14:paraId="02D6AAEF" w14:textId="77777777" w:rsidR="00B479BF" w:rsidRPr="00D840DC" w:rsidRDefault="00B479BF" w:rsidP="00B479BF">
      <w:pPr>
        <w:pStyle w:val="Prrafodelista"/>
        <w:ind w:left="0" w:hanging="2"/>
        <w:rPr>
          <w:rFonts w:ascii="Arial" w:eastAsia="Arial" w:hAnsi="Arial" w:cs="Arial"/>
          <w:sz w:val="20"/>
          <w:szCs w:val="20"/>
        </w:rPr>
      </w:pPr>
    </w:p>
    <w:p w14:paraId="0068337F" w14:textId="77777777" w:rsidR="00B479BF" w:rsidRPr="00D840DC" w:rsidRDefault="00B479BF" w:rsidP="00CC6B01">
      <w:pPr>
        <w:pStyle w:val="Prrafodelista"/>
        <w:numPr>
          <w:ilvl w:val="0"/>
          <w:numId w:val="24"/>
        </w:numPr>
        <w:pBdr>
          <w:top w:val="nil"/>
          <w:left w:val="nil"/>
          <w:bottom w:val="nil"/>
          <w:right w:val="nil"/>
          <w:between w:val="nil"/>
        </w:pBd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Lo mismo ocurre en la supervivencia medida durante el seguimiento (mediana de 3 años), con un 100% de supervivencia en los pacientes con la forma IT tratados con el fármaco frente al 63,2% de supervivencia en la serie histórica de pacientes no tratados. En </w:t>
      </w:r>
      <w:r w:rsidR="00757B1D" w:rsidRPr="00D840DC">
        <w:rPr>
          <w:rFonts w:ascii="Arial" w:eastAsia="Arial" w:hAnsi="Arial" w:cs="Arial"/>
          <w:sz w:val="20"/>
          <w:szCs w:val="20"/>
        </w:rPr>
        <w:t>esta variable</w:t>
      </w:r>
      <w:r w:rsidRPr="00D840DC">
        <w:rPr>
          <w:rFonts w:ascii="Arial" w:eastAsia="Arial" w:hAnsi="Arial" w:cs="Arial"/>
          <w:sz w:val="20"/>
          <w:szCs w:val="20"/>
        </w:rPr>
        <w:t xml:space="preserve"> no se encontraron diferencias entre los pacientes con la variante JT de la enfermedad tratados y no tratados </w:t>
      </w:r>
      <w:r w:rsidR="00D14DFE" w:rsidRPr="00D840DC">
        <w:rPr>
          <w:rFonts w:ascii="Arial" w:eastAsia="Arial" w:hAnsi="Arial" w:cs="Arial"/>
          <w:sz w:val="20"/>
          <w:szCs w:val="20"/>
        </w:rPr>
        <w:t>con el fármaco, independientemente de si eran o no sintomáticos.</w:t>
      </w:r>
    </w:p>
    <w:p w14:paraId="388C4A1C" w14:textId="77777777" w:rsidR="009D55C9" w:rsidRPr="00D840DC" w:rsidRDefault="009D55C9">
      <w:pPr>
        <w:spacing w:line="240" w:lineRule="auto"/>
        <w:ind w:left="0" w:hanging="2"/>
        <w:jc w:val="both"/>
        <w:rPr>
          <w:rFonts w:ascii="Arial" w:eastAsia="Arial" w:hAnsi="Arial" w:cs="Arial"/>
          <w:sz w:val="20"/>
          <w:szCs w:val="20"/>
        </w:rPr>
      </w:pPr>
    </w:p>
    <w:p w14:paraId="7903DCC5"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eastAsia="Arial" w:hAnsi="Arial" w:cs="Arial"/>
          <w:b/>
          <w:sz w:val="20"/>
          <w:szCs w:val="20"/>
        </w:rPr>
        <w:t>3. Seguridad:</w:t>
      </w:r>
    </w:p>
    <w:p w14:paraId="243961E3" w14:textId="77777777" w:rsidR="009D55C9" w:rsidRPr="00D840DC" w:rsidRDefault="009D55C9">
      <w:pPr>
        <w:spacing w:line="240" w:lineRule="auto"/>
        <w:ind w:left="0" w:hanging="2"/>
        <w:rPr>
          <w:rFonts w:ascii="Arial" w:hAnsi="Arial" w:cs="Arial"/>
          <w:sz w:val="20"/>
        </w:rPr>
      </w:pPr>
    </w:p>
    <w:p w14:paraId="486CFFBB" w14:textId="77777777" w:rsidR="009D55C9" w:rsidRPr="00D840DC" w:rsidRDefault="005A57E0" w:rsidP="00CC6B01">
      <w:pPr>
        <w:pStyle w:val="Prrafodelista"/>
        <w:numPr>
          <w:ilvl w:val="0"/>
          <w:numId w:val="25"/>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Los principales efectos adversos graves estuvieron relacionados con el régimen de acondicionamiento con busulfan previo a la infusión de 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(neutropenia febril, mucositis, inflamación de mucosas).</w:t>
      </w:r>
    </w:p>
    <w:p w14:paraId="189B809A" w14:textId="77777777" w:rsidR="009D55C9" w:rsidRPr="00D840DC" w:rsidRDefault="009D55C9">
      <w:pPr>
        <w:spacing w:line="240" w:lineRule="auto"/>
        <w:ind w:left="0" w:hanging="2"/>
        <w:jc w:val="both"/>
        <w:rPr>
          <w:rFonts w:ascii="Arial" w:eastAsia="Arial" w:hAnsi="Arial" w:cs="Arial"/>
          <w:sz w:val="20"/>
          <w:szCs w:val="20"/>
        </w:rPr>
      </w:pPr>
    </w:p>
    <w:p w14:paraId="20A15B5B" w14:textId="77777777" w:rsidR="009D55C9" w:rsidRPr="00D840DC" w:rsidRDefault="005A57E0" w:rsidP="00CC6B01">
      <w:pPr>
        <w:pStyle w:val="Prrafodelista"/>
        <w:numPr>
          <w:ilvl w:val="0"/>
          <w:numId w:val="25"/>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Debido al escaso tamaño muestral y al corto periodo de seguimiento, hay incertidumbre en cuanto a la posible aparición de efectos adversos tardíos y desconocidos con las terapias génicas.</w:t>
      </w:r>
    </w:p>
    <w:p w14:paraId="693A6981" w14:textId="77777777" w:rsidR="009D55C9" w:rsidRPr="00D840DC" w:rsidRDefault="005A57E0">
      <w:pPr>
        <w:spacing w:line="240" w:lineRule="auto"/>
        <w:ind w:left="0" w:hanging="2"/>
        <w:jc w:val="both"/>
        <w:rPr>
          <w:rFonts w:ascii="Arial" w:eastAsia="Arial" w:hAnsi="Arial" w:cs="Arial"/>
          <w:b/>
          <w:sz w:val="20"/>
          <w:szCs w:val="20"/>
        </w:rPr>
      </w:pPr>
      <w:r w:rsidRPr="00D840DC">
        <w:rPr>
          <w:rFonts w:ascii="Arial" w:hAnsi="Arial" w:cs="Arial"/>
          <w:sz w:val="20"/>
        </w:rPr>
        <w:br/>
      </w:r>
      <w:r w:rsidRPr="00D840DC">
        <w:rPr>
          <w:rFonts w:ascii="Arial" w:eastAsia="Arial" w:hAnsi="Arial" w:cs="Arial"/>
          <w:b/>
          <w:sz w:val="20"/>
          <w:szCs w:val="20"/>
        </w:rPr>
        <w:t>4. Adecuación:</w:t>
      </w:r>
    </w:p>
    <w:p w14:paraId="00EE6397" w14:textId="77777777" w:rsidR="009D55C9" w:rsidRPr="00D840DC" w:rsidRDefault="009D55C9">
      <w:pPr>
        <w:spacing w:line="240" w:lineRule="auto"/>
        <w:ind w:left="0" w:hanging="2"/>
        <w:rPr>
          <w:rFonts w:ascii="Arial" w:hAnsi="Arial" w:cs="Arial"/>
          <w:sz w:val="20"/>
        </w:rPr>
      </w:pPr>
    </w:p>
    <w:p w14:paraId="546F56A5" w14:textId="77777777" w:rsidR="009D55C9" w:rsidRPr="00D840DC" w:rsidRDefault="005A57E0" w:rsidP="00CC6B01">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 un fármaco de administración intravenosa única, que requiere de un centro hospitalario en el que se disponga del material necesario para poder realizar un trasplante autólogo.</w:t>
      </w:r>
    </w:p>
    <w:p w14:paraId="4E5BDA06" w14:textId="77777777" w:rsidR="009D55C9" w:rsidRPr="00D840DC" w:rsidRDefault="005A57E0">
      <w:pPr>
        <w:spacing w:line="240" w:lineRule="auto"/>
        <w:ind w:left="0" w:hanging="2"/>
        <w:rPr>
          <w:rFonts w:ascii="Arial" w:hAnsi="Arial" w:cs="Arial"/>
          <w:sz w:val="20"/>
        </w:rPr>
      </w:pPr>
      <w:r w:rsidRPr="00D840DC">
        <w:rPr>
          <w:rFonts w:ascii="Arial" w:hAnsi="Arial" w:cs="Arial"/>
          <w:sz w:val="20"/>
        </w:rPr>
        <w:br/>
      </w:r>
      <w:r w:rsidRPr="00D840DC">
        <w:rPr>
          <w:rFonts w:ascii="Arial" w:eastAsia="Arial" w:hAnsi="Arial" w:cs="Arial"/>
          <w:b/>
          <w:sz w:val="20"/>
          <w:szCs w:val="20"/>
        </w:rPr>
        <w:t>5. Evaluación económica e impacto presupuestario:</w:t>
      </w:r>
      <w:r w:rsidRPr="00D840DC">
        <w:br/>
      </w:r>
    </w:p>
    <w:p w14:paraId="34C7F491" w14:textId="77777777" w:rsidR="009D55C9" w:rsidRPr="00D840DC" w:rsidRDefault="005A57E0" w:rsidP="00CC6B01">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no dispone de decisión de precio y financiación en España. </w:t>
      </w:r>
    </w:p>
    <w:p w14:paraId="75FE3717" w14:textId="77777777" w:rsidR="00CC6B01" w:rsidRPr="00D840DC" w:rsidRDefault="00CC6B01" w:rsidP="00CC6B01">
      <w:pPr>
        <w:pStyle w:val="Prrafodelista"/>
        <w:spacing w:line="240" w:lineRule="auto"/>
        <w:ind w:leftChars="0" w:left="720" w:firstLineChars="0" w:firstLine="0"/>
        <w:jc w:val="both"/>
        <w:rPr>
          <w:rFonts w:ascii="Arial" w:eastAsia="Arial" w:hAnsi="Arial" w:cs="Arial"/>
          <w:sz w:val="20"/>
          <w:szCs w:val="20"/>
        </w:rPr>
      </w:pPr>
    </w:p>
    <w:p w14:paraId="34945415" w14:textId="77777777" w:rsidR="00D14DFE" w:rsidRPr="00D840DC" w:rsidRDefault="005A57E0" w:rsidP="00D14DFE">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En una nota de prensa el Director General de Orchard Therapeutics, se señala que el precio de Libmeldy</w:t>
      </w:r>
      <w:r w:rsidR="00AA26D6" w:rsidRPr="00D840DC">
        <w:rPr>
          <w:rFonts w:ascii="Arial" w:eastAsia="Arial" w:hAnsi="Arial" w:cs="Arial"/>
          <w:sz w:val="20"/>
          <w:szCs w:val="20"/>
          <w:vertAlign w:val="superscript"/>
        </w:rPr>
        <w:t>®</w:t>
      </w:r>
      <w:r w:rsidRPr="00D840DC">
        <w:rPr>
          <w:rFonts w:ascii="Arial" w:eastAsia="Arial" w:hAnsi="Arial" w:cs="Arial"/>
          <w:sz w:val="20"/>
          <w:szCs w:val="20"/>
        </w:rPr>
        <w:t xml:space="preserve"> estará en un rango de 2,5 a 3 millones de euros.</w:t>
      </w:r>
    </w:p>
    <w:p w14:paraId="396A84AB" w14:textId="77777777" w:rsidR="00D14DFE" w:rsidRPr="00D840DC" w:rsidRDefault="00D14DFE" w:rsidP="00D14DFE">
      <w:pPr>
        <w:pStyle w:val="Prrafodelista"/>
        <w:spacing w:line="240" w:lineRule="auto"/>
        <w:ind w:leftChars="0" w:left="720" w:firstLineChars="0" w:firstLine="0"/>
        <w:jc w:val="both"/>
        <w:rPr>
          <w:rFonts w:ascii="Arial" w:eastAsia="Arial" w:hAnsi="Arial" w:cs="Arial"/>
          <w:sz w:val="20"/>
          <w:szCs w:val="20"/>
        </w:rPr>
      </w:pPr>
    </w:p>
    <w:p w14:paraId="46706232" w14:textId="77777777" w:rsidR="009D55C9" w:rsidRPr="00D840DC" w:rsidRDefault="005A57E0" w:rsidP="00D14DFE">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Se prevé que en España la población diana sea de </w:t>
      </w:r>
      <w:r w:rsidR="00D14DFE" w:rsidRPr="00D840DC">
        <w:rPr>
          <w:rFonts w:ascii="Arial" w:eastAsia="Arial" w:hAnsi="Arial" w:cs="Arial"/>
          <w:sz w:val="20"/>
          <w:szCs w:val="20"/>
        </w:rPr>
        <w:t>3-6</w:t>
      </w:r>
      <w:r w:rsidR="00CC6B01" w:rsidRPr="00D840DC">
        <w:rPr>
          <w:rFonts w:ascii="Arial" w:eastAsia="Arial" w:hAnsi="Arial" w:cs="Arial"/>
          <w:sz w:val="20"/>
          <w:szCs w:val="20"/>
        </w:rPr>
        <w:t xml:space="preserve"> pacientes con LDM-IT o JT presintomáticos o JT con síntomas tempranos</w:t>
      </w:r>
      <w:r w:rsidRPr="00D840DC">
        <w:rPr>
          <w:rFonts w:ascii="Arial" w:eastAsia="Arial" w:hAnsi="Arial" w:cs="Arial"/>
          <w:sz w:val="20"/>
          <w:szCs w:val="20"/>
        </w:rPr>
        <w:t xml:space="preserve"> por año, aproximadamente, lo que generaría un impacto presupuestario entre </w:t>
      </w:r>
      <w:r w:rsidR="00D14DFE" w:rsidRPr="00D840DC">
        <w:rPr>
          <w:rFonts w:ascii="Arial" w:eastAsia="Arial" w:hAnsi="Arial" w:cs="Arial"/>
          <w:sz w:val="20"/>
          <w:szCs w:val="20"/>
        </w:rPr>
        <w:t>7.5</w:t>
      </w:r>
      <w:r w:rsidR="00CC6B01" w:rsidRPr="00D840DC">
        <w:rPr>
          <w:rFonts w:ascii="Arial" w:eastAsia="Arial" w:hAnsi="Arial" w:cs="Arial"/>
          <w:sz w:val="20"/>
          <w:szCs w:val="20"/>
        </w:rPr>
        <w:t>000.000</w:t>
      </w:r>
      <w:r w:rsidRPr="00D840DC">
        <w:rPr>
          <w:rFonts w:ascii="Arial" w:eastAsia="Arial" w:hAnsi="Arial" w:cs="Arial"/>
          <w:sz w:val="20"/>
          <w:szCs w:val="20"/>
        </w:rPr>
        <w:t xml:space="preserve"> € y </w:t>
      </w:r>
      <w:r w:rsidR="00D14DFE" w:rsidRPr="00D840DC">
        <w:rPr>
          <w:rFonts w:ascii="Arial" w:eastAsia="Arial" w:hAnsi="Arial" w:cs="Arial"/>
          <w:sz w:val="20"/>
          <w:szCs w:val="20"/>
        </w:rPr>
        <w:t>15</w:t>
      </w:r>
      <w:r w:rsidR="00CC6B01" w:rsidRPr="00D840DC">
        <w:rPr>
          <w:rFonts w:ascii="Arial" w:eastAsia="Arial" w:hAnsi="Arial" w:cs="Arial"/>
          <w:sz w:val="20"/>
          <w:szCs w:val="20"/>
        </w:rPr>
        <w:t>.000.000</w:t>
      </w:r>
      <w:r w:rsidRPr="00D840DC">
        <w:rPr>
          <w:rFonts w:ascii="Arial" w:eastAsia="Arial" w:hAnsi="Arial" w:cs="Arial"/>
          <w:sz w:val="20"/>
          <w:szCs w:val="20"/>
        </w:rPr>
        <w:t xml:space="preserve"> € (usando el precio</w:t>
      </w:r>
      <w:r w:rsidR="00CC6B01" w:rsidRPr="00D840DC">
        <w:rPr>
          <w:rFonts w:ascii="Arial" w:eastAsia="Arial" w:hAnsi="Arial" w:cs="Arial"/>
          <w:sz w:val="20"/>
          <w:szCs w:val="20"/>
        </w:rPr>
        <w:t xml:space="preserve"> referenciado en nota de prensa</w:t>
      </w:r>
      <w:r w:rsidRPr="00D840DC">
        <w:rPr>
          <w:rFonts w:ascii="Arial" w:eastAsia="Arial" w:hAnsi="Arial" w:cs="Arial"/>
          <w:sz w:val="20"/>
          <w:szCs w:val="20"/>
        </w:rPr>
        <w:t xml:space="preserve">). </w:t>
      </w:r>
    </w:p>
    <w:p w14:paraId="6073FC57" w14:textId="77777777" w:rsidR="005137A6" w:rsidRPr="00D840DC" w:rsidRDefault="005137A6" w:rsidP="005137A6">
      <w:pPr>
        <w:pStyle w:val="Prrafodelista"/>
        <w:ind w:left="0" w:hanging="2"/>
        <w:rPr>
          <w:rFonts w:ascii="Arial" w:eastAsia="Arial" w:hAnsi="Arial" w:cs="Arial"/>
          <w:sz w:val="20"/>
          <w:szCs w:val="20"/>
        </w:rPr>
      </w:pPr>
    </w:p>
    <w:p w14:paraId="5CA49030" w14:textId="77777777" w:rsidR="005137A6" w:rsidRPr="00D840DC" w:rsidRDefault="005137A6" w:rsidP="005137A6">
      <w:pPr>
        <w:pStyle w:val="Prrafodelista"/>
        <w:numPr>
          <w:ilvl w:val="0"/>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Hasta de no disponer de mayor certidumbre e información de costes más precisa y adecuada a nuestro medio, se estima que: </w:t>
      </w:r>
    </w:p>
    <w:p w14:paraId="303C6192" w14:textId="77777777" w:rsidR="005137A6" w:rsidRPr="00D840DC" w:rsidRDefault="005137A6" w:rsidP="005137A6">
      <w:pPr>
        <w:pStyle w:val="Prrafodelista"/>
        <w:ind w:left="0" w:hanging="2"/>
        <w:rPr>
          <w:rFonts w:ascii="Arial" w:eastAsia="Arial" w:hAnsi="Arial" w:cs="Arial"/>
          <w:sz w:val="20"/>
          <w:szCs w:val="20"/>
        </w:rPr>
      </w:pPr>
    </w:p>
    <w:p w14:paraId="1777F99B" w14:textId="77777777" w:rsidR="005137A6" w:rsidRPr="00D840DC" w:rsidRDefault="005137A6" w:rsidP="005137A6">
      <w:pPr>
        <w:pStyle w:val="Prrafodelista"/>
        <w:numPr>
          <w:ilvl w:val="1"/>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El precio razonable de Libmeldy</w:t>
      </w:r>
      <w:r w:rsidRPr="00D840DC">
        <w:rPr>
          <w:rFonts w:ascii="Arial" w:eastAsia="Arial" w:hAnsi="Arial" w:cs="Arial"/>
          <w:sz w:val="20"/>
          <w:szCs w:val="20"/>
          <w:vertAlign w:val="superscript"/>
        </w:rPr>
        <w:t>®</w:t>
      </w:r>
      <w:r w:rsidRPr="00D840DC">
        <w:rPr>
          <w:rFonts w:ascii="Arial" w:eastAsia="Arial" w:hAnsi="Arial" w:cs="Arial"/>
          <w:sz w:val="20"/>
          <w:szCs w:val="20"/>
        </w:rPr>
        <w:t xml:space="preserve">  teniendo en cuenta los costes de producción y los de investigación en un escenario de tratar 369 pacientes/año y un horizonte temporal de 5 años en países desarroll</w:t>
      </w:r>
      <w:r w:rsidR="00431BA0" w:rsidRPr="00D840DC">
        <w:rPr>
          <w:rFonts w:ascii="Arial" w:eastAsia="Arial" w:hAnsi="Arial" w:cs="Arial"/>
          <w:sz w:val="20"/>
          <w:szCs w:val="20"/>
        </w:rPr>
        <w:t>ados</w:t>
      </w:r>
      <w:r w:rsidRPr="00D840DC">
        <w:rPr>
          <w:rFonts w:ascii="Arial" w:eastAsia="Arial" w:hAnsi="Arial" w:cs="Arial"/>
          <w:sz w:val="20"/>
          <w:szCs w:val="20"/>
        </w:rPr>
        <w:t xml:space="preserve">, se podría estimar en </w:t>
      </w:r>
      <w:r w:rsidRPr="00D840DC">
        <w:rPr>
          <w:rFonts w:ascii="Arial" w:eastAsia="Arial" w:hAnsi="Arial" w:cs="Arial"/>
          <w:b/>
          <w:sz w:val="20"/>
          <w:szCs w:val="20"/>
        </w:rPr>
        <w:t>45.661 €,</w:t>
      </w:r>
      <w:r w:rsidRPr="00D840DC">
        <w:rPr>
          <w:rFonts w:ascii="Arial" w:eastAsia="Arial" w:hAnsi="Arial" w:cs="Arial"/>
          <w:sz w:val="20"/>
          <w:szCs w:val="20"/>
        </w:rPr>
        <w:t xml:space="preserve"> más</w:t>
      </w:r>
      <w:r w:rsidRPr="00D840DC">
        <w:rPr>
          <w:rFonts w:ascii="Arial" w:eastAsia="Arial" w:hAnsi="Arial" w:cs="Arial"/>
          <w:b/>
          <w:sz w:val="20"/>
          <w:szCs w:val="20"/>
        </w:rPr>
        <w:t xml:space="preserve"> </w:t>
      </w:r>
      <w:r w:rsidRPr="00D840DC">
        <w:rPr>
          <w:rFonts w:ascii="Arial" w:eastAsia="Arial" w:hAnsi="Arial" w:cs="Arial"/>
          <w:sz w:val="20"/>
          <w:szCs w:val="20"/>
        </w:rPr>
        <w:t>gastos de distribución, tasas, el de la investigación fallida y un beneficio empresarial razonable con la posibilidad de sumar una prima por innovación y la de descontar la inversión pública realizada en investigación.</w:t>
      </w:r>
    </w:p>
    <w:p w14:paraId="70AF616F" w14:textId="77777777" w:rsidR="005137A6" w:rsidRPr="00D840DC" w:rsidRDefault="005137A6" w:rsidP="005137A6">
      <w:pPr>
        <w:pStyle w:val="Prrafodelista"/>
        <w:ind w:left="0" w:hanging="2"/>
        <w:rPr>
          <w:rFonts w:ascii="Arial" w:eastAsia="Arial" w:hAnsi="Arial" w:cs="Arial"/>
          <w:sz w:val="20"/>
          <w:szCs w:val="20"/>
        </w:rPr>
      </w:pPr>
    </w:p>
    <w:p w14:paraId="1339CD06" w14:textId="77777777" w:rsidR="005137A6" w:rsidRPr="00D840DC" w:rsidRDefault="005137A6" w:rsidP="005137A6">
      <w:pPr>
        <w:pStyle w:val="Prrafodelista"/>
        <w:numPr>
          <w:ilvl w:val="1"/>
          <w:numId w:val="26"/>
        </w:numPr>
        <w:spacing w:line="240" w:lineRule="auto"/>
        <w:ind w:leftChars="0" w:firstLineChars="0"/>
        <w:jc w:val="both"/>
        <w:rPr>
          <w:rFonts w:ascii="Arial" w:eastAsia="Arial" w:hAnsi="Arial" w:cs="Arial"/>
          <w:sz w:val="20"/>
          <w:szCs w:val="20"/>
        </w:rPr>
      </w:pPr>
      <w:r w:rsidRPr="00D840DC">
        <w:rPr>
          <w:rFonts w:ascii="Arial" w:eastAsia="Arial" w:hAnsi="Arial" w:cs="Arial"/>
          <w:sz w:val="20"/>
          <w:szCs w:val="20"/>
        </w:rPr>
        <w:t xml:space="preserve">El coste por AVAC del tratamiento con Libmeldy respecto a no tratamiento en un horizonte temporal de 10 años es de </w:t>
      </w:r>
      <w:r w:rsidRPr="00D840DC">
        <w:rPr>
          <w:rFonts w:ascii="Arial" w:eastAsia="Arial" w:hAnsi="Arial" w:cs="Arial"/>
          <w:b/>
          <w:sz w:val="20"/>
          <w:szCs w:val="20"/>
        </w:rPr>
        <w:t>243.542 € / AVAC</w:t>
      </w:r>
      <w:r w:rsidRPr="00D840DC">
        <w:rPr>
          <w:rFonts w:ascii="Arial" w:eastAsia="Arial" w:hAnsi="Arial" w:cs="Arial"/>
          <w:sz w:val="20"/>
          <w:szCs w:val="20"/>
        </w:rPr>
        <w:t xml:space="preserve">. El precio estimado de adquisición para no superar el valor umbral de 21.000€/AVAC es de </w:t>
      </w:r>
      <w:r w:rsidRPr="00D840DC">
        <w:rPr>
          <w:rFonts w:ascii="Arial" w:eastAsia="Arial" w:hAnsi="Arial" w:cs="Arial"/>
          <w:b/>
          <w:sz w:val="20"/>
          <w:szCs w:val="20"/>
        </w:rPr>
        <w:t>263.404 €.</w:t>
      </w:r>
    </w:p>
    <w:p w14:paraId="2B7B0FA9" w14:textId="77777777" w:rsidR="005137A6" w:rsidRPr="00D840DC" w:rsidRDefault="005137A6" w:rsidP="005137A6">
      <w:pPr>
        <w:pStyle w:val="Prrafodelista"/>
        <w:spacing w:line="240" w:lineRule="auto"/>
        <w:ind w:leftChars="0" w:left="720" w:firstLineChars="0" w:firstLine="0"/>
        <w:jc w:val="both"/>
        <w:rPr>
          <w:rFonts w:ascii="Arial" w:eastAsia="Arial" w:hAnsi="Arial" w:cs="Arial"/>
          <w:sz w:val="20"/>
          <w:szCs w:val="20"/>
        </w:rPr>
      </w:pPr>
    </w:p>
    <w:p w14:paraId="2B148DE1" w14:textId="77777777" w:rsidR="009D55C9" w:rsidRPr="00D840DC" w:rsidRDefault="009D55C9">
      <w:pPr>
        <w:pBdr>
          <w:top w:val="nil"/>
          <w:left w:val="nil"/>
          <w:bottom w:val="nil"/>
          <w:right w:val="nil"/>
          <w:between w:val="nil"/>
        </w:pBdr>
        <w:spacing w:line="240" w:lineRule="auto"/>
        <w:ind w:left="0" w:hanging="2"/>
        <w:jc w:val="both"/>
        <w:rPr>
          <w:sz w:val="16"/>
          <w:szCs w:val="16"/>
        </w:rPr>
      </w:pPr>
      <w:bookmarkStart w:id="208" w:name="_heading=h.4k668n3" w:colFirst="0" w:colLast="0"/>
      <w:bookmarkEnd w:id="208"/>
    </w:p>
    <w:p w14:paraId="4E93AF27"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b/>
          <w:i/>
          <w:color w:val="000000"/>
          <w:sz w:val="20"/>
          <w:szCs w:val="20"/>
        </w:rPr>
      </w:pPr>
      <w:r>
        <w:rPr>
          <w:rFonts w:ascii="Arial" w:eastAsia="Arial" w:hAnsi="Arial" w:cs="Arial"/>
          <w:b/>
          <w:i/>
          <w:color w:val="000000"/>
          <w:sz w:val="20"/>
          <w:szCs w:val="20"/>
        </w:rPr>
        <w:t>9.2 Decisión.</w:t>
      </w:r>
    </w:p>
    <w:p w14:paraId="12B350C6" w14:textId="77777777" w:rsidR="009D55C9" w:rsidRDefault="009D55C9">
      <w:pPr>
        <w:ind w:left="0" w:hanging="2"/>
        <w:jc w:val="both"/>
        <w:rPr>
          <w:rFonts w:ascii="Arial" w:eastAsia="Arial" w:hAnsi="Arial" w:cs="Arial"/>
          <w:sz w:val="20"/>
          <w:szCs w:val="20"/>
        </w:rPr>
      </w:pPr>
    </w:p>
    <w:p w14:paraId="042E7B19" w14:textId="77777777" w:rsidR="009D55C9" w:rsidRDefault="009D55C9">
      <w:pPr>
        <w:pBdr>
          <w:top w:val="nil"/>
          <w:left w:val="nil"/>
          <w:bottom w:val="nil"/>
          <w:right w:val="nil"/>
          <w:between w:val="nil"/>
        </w:pBdr>
        <w:spacing w:line="240" w:lineRule="auto"/>
        <w:ind w:left="0" w:hanging="2"/>
        <w:rPr>
          <w:color w:val="000000"/>
          <w:sz w:val="20"/>
          <w:szCs w:val="20"/>
        </w:rPr>
      </w:pPr>
      <w:bookmarkStart w:id="209" w:name="_heading=h.2zbgiuw" w:colFirst="0" w:colLast="0"/>
      <w:bookmarkEnd w:id="209"/>
    </w:p>
    <w:p w14:paraId="06352648" w14:textId="77777777" w:rsidR="00CD17D1" w:rsidRDefault="00CD17D1">
      <w:pPr>
        <w:pBdr>
          <w:top w:val="nil"/>
          <w:left w:val="nil"/>
          <w:bottom w:val="nil"/>
          <w:right w:val="nil"/>
          <w:between w:val="nil"/>
        </w:pBdr>
        <w:spacing w:line="240" w:lineRule="auto"/>
        <w:ind w:left="0" w:hanging="2"/>
        <w:rPr>
          <w:color w:val="000000"/>
          <w:sz w:val="20"/>
          <w:szCs w:val="20"/>
        </w:rPr>
      </w:pPr>
    </w:p>
    <w:p w14:paraId="400A5479" w14:textId="77777777" w:rsidR="009D55C9" w:rsidRDefault="005A57E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i/>
          <w:color w:val="FF0000"/>
          <w:sz w:val="28"/>
          <w:szCs w:val="28"/>
        </w:rPr>
      </w:pPr>
      <w:r>
        <w:rPr>
          <w:rFonts w:ascii="Arial" w:eastAsia="Arial" w:hAnsi="Arial" w:cs="Arial"/>
          <w:b/>
          <w:i/>
          <w:color w:val="000000"/>
          <w:sz w:val="20"/>
          <w:szCs w:val="20"/>
        </w:rPr>
        <w:t xml:space="preserve">9.3 </w:t>
      </w:r>
      <w:r w:rsidR="00C55F60">
        <w:rPr>
          <w:rFonts w:ascii="Arial" w:eastAsia="Arial" w:hAnsi="Arial" w:cs="Arial"/>
          <w:b/>
          <w:i/>
          <w:color w:val="000000"/>
          <w:sz w:val="20"/>
          <w:szCs w:val="20"/>
        </w:rPr>
        <w:t>Condiciones de uso.</w:t>
      </w:r>
    </w:p>
    <w:p w14:paraId="67578843"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14:paraId="2413582B" w14:textId="77777777" w:rsidR="00CD17D1" w:rsidRDefault="00CD17D1" w:rsidP="00CD17D1">
      <w:pPr>
        <w:pBdr>
          <w:top w:val="nil"/>
          <w:left w:val="nil"/>
          <w:bottom w:val="nil"/>
          <w:right w:val="nil"/>
          <w:between w:val="nil"/>
        </w:pBdr>
        <w:tabs>
          <w:tab w:val="left" w:pos="1330"/>
        </w:tabs>
        <w:spacing w:line="240" w:lineRule="auto"/>
        <w:ind w:left="0" w:hanging="2"/>
        <w:rPr>
          <w:rFonts w:ascii="Arial" w:eastAsia="Arial" w:hAnsi="Arial" w:cs="Arial"/>
          <w:color w:val="FF0000"/>
        </w:rPr>
      </w:pPr>
      <w:r>
        <w:rPr>
          <w:rFonts w:ascii="Arial" w:eastAsia="Arial" w:hAnsi="Arial" w:cs="Arial"/>
          <w:color w:val="FF0000"/>
        </w:rPr>
        <w:tab/>
      </w:r>
      <w:r>
        <w:rPr>
          <w:rFonts w:ascii="Arial" w:eastAsia="Arial" w:hAnsi="Arial" w:cs="Arial"/>
          <w:color w:val="FF0000"/>
        </w:rPr>
        <w:tab/>
      </w:r>
    </w:p>
    <w:p w14:paraId="152A3DB2" w14:textId="77777777" w:rsidR="00CD17D1" w:rsidRDefault="00CD17D1" w:rsidP="00CD17D1">
      <w:pPr>
        <w:pBdr>
          <w:top w:val="nil"/>
          <w:left w:val="nil"/>
          <w:bottom w:val="nil"/>
          <w:right w:val="nil"/>
          <w:between w:val="nil"/>
        </w:pBdr>
        <w:tabs>
          <w:tab w:val="left" w:pos="1330"/>
        </w:tabs>
        <w:spacing w:line="240" w:lineRule="auto"/>
        <w:ind w:left="0" w:hanging="2"/>
        <w:rPr>
          <w:rFonts w:ascii="Arial" w:eastAsia="Arial" w:hAnsi="Arial" w:cs="Arial"/>
          <w:color w:val="FF0000"/>
        </w:rPr>
      </w:pPr>
    </w:p>
    <w:p w14:paraId="108D8180" w14:textId="77777777" w:rsidR="00C55F60" w:rsidRDefault="00C55F60" w:rsidP="00C55F60">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Arial" w:eastAsia="Arial" w:hAnsi="Arial" w:cs="Arial"/>
          <w:i/>
          <w:color w:val="FF0000"/>
          <w:sz w:val="28"/>
          <w:szCs w:val="28"/>
        </w:rPr>
      </w:pPr>
      <w:r>
        <w:rPr>
          <w:rFonts w:ascii="Arial" w:eastAsia="Arial" w:hAnsi="Arial" w:cs="Arial"/>
          <w:b/>
          <w:i/>
          <w:color w:val="000000"/>
          <w:sz w:val="20"/>
          <w:szCs w:val="20"/>
        </w:rPr>
        <w:t>9.4 Plan de seguimiento.</w:t>
      </w:r>
    </w:p>
    <w:p w14:paraId="1FADC8F2" w14:textId="77777777" w:rsidR="00C55F60" w:rsidRDefault="00C55F60">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14:paraId="69029D4A" w14:textId="77777777" w:rsidR="009D55C9" w:rsidRDefault="009D55C9">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bookmarkStart w:id="210" w:name="_heading=h.1egqt2p" w:colFirst="0" w:colLast="0"/>
      <w:bookmarkEnd w:id="210"/>
    </w:p>
    <w:p w14:paraId="245914A0" w14:textId="77777777" w:rsidR="009D55C9" w:rsidRDefault="009D55C9">
      <w:pPr>
        <w:ind w:left="0" w:hanging="2"/>
        <w:jc w:val="right"/>
        <w:rPr>
          <w:rFonts w:ascii="Arial" w:eastAsia="Arial" w:hAnsi="Arial" w:cs="Arial"/>
          <w:color w:val="0000FF"/>
          <w:sz w:val="20"/>
          <w:szCs w:val="20"/>
          <w:u w:val="single"/>
        </w:rPr>
      </w:pPr>
      <w:bookmarkStart w:id="211" w:name="_heading=h.3ygebqi" w:colFirst="0" w:colLast="0"/>
      <w:bookmarkEnd w:id="211"/>
    </w:p>
    <w:p w14:paraId="0878F174" w14:textId="6786C7B3" w:rsidR="003B4958" w:rsidRDefault="003B4958">
      <w:pPr>
        <w:suppressAutoHyphens w:val="0"/>
        <w:spacing w:line="240" w:lineRule="auto"/>
        <w:ind w:leftChars="0" w:left="0" w:firstLineChars="0"/>
        <w:textDirection w:val="lrTb"/>
        <w:textAlignment w:val="auto"/>
        <w:outlineLvl w:val="9"/>
        <w:rPr>
          <w:rFonts w:ascii="Arial" w:hAnsi="Arial" w:cs="Arial"/>
          <w:sz w:val="20"/>
          <w:lang w:val="en-US"/>
        </w:rPr>
      </w:pPr>
      <w:r>
        <w:rPr>
          <w:rFonts w:ascii="Arial" w:hAnsi="Arial" w:cs="Arial"/>
          <w:sz w:val="20"/>
          <w:lang w:val="en-US"/>
        </w:rPr>
        <w:br w:type="page"/>
      </w:r>
    </w:p>
    <w:p w14:paraId="38A81F5B" w14:textId="77777777" w:rsidR="00566950" w:rsidRDefault="00566950" w:rsidP="00566950">
      <w:pPr>
        <w:ind w:left="0" w:hanging="2"/>
        <w:jc w:val="both"/>
        <w:rPr>
          <w:rFonts w:ascii="Arial" w:hAnsi="Arial" w:cs="Arial"/>
          <w:sz w:val="20"/>
          <w:lang w:val="en-US"/>
        </w:rPr>
      </w:pPr>
    </w:p>
    <w:p w14:paraId="22D3B2E1" w14:textId="77777777" w:rsidR="00566950" w:rsidRDefault="00566950" w:rsidP="00566950">
      <w:pPr>
        <w:ind w:left="0" w:hanging="2"/>
        <w:jc w:val="both"/>
        <w:rPr>
          <w:rFonts w:ascii="Arial" w:hAnsi="Arial" w:cs="Arial"/>
          <w:sz w:val="20"/>
          <w:lang w:val="en-US"/>
        </w:rPr>
      </w:pPr>
    </w:p>
    <w:p w14:paraId="2E821D02" w14:textId="77777777" w:rsidR="005813F5" w:rsidRPr="005813F5" w:rsidRDefault="005813F5" w:rsidP="005813F5">
      <w:pPr>
        <w:shd w:val="clear" w:color="auto" w:fill="DBE5F1"/>
        <w:ind w:left="0" w:hanging="2"/>
        <w:jc w:val="center"/>
        <w:rPr>
          <w:rFonts w:ascii="Arial" w:eastAsia="Arial" w:hAnsi="Arial" w:cs="Arial"/>
          <w:b/>
          <w:color w:val="000000"/>
          <w:sz w:val="20"/>
          <w:szCs w:val="20"/>
        </w:rPr>
      </w:pPr>
      <w:r w:rsidRPr="005813F5">
        <w:rPr>
          <w:rFonts w:ascii="Arial" w:eastAsia="Arial" w:hAnsi="Arial" w:cs="Arial"/>
          <w:b/>
          <w:color w:val="000000"/>
          <w:sz w:val="20"/>
          <w:szCs w:val="20"/>
        </w:rPr>
        <w:t>A</w:t>
      </w:r>
      <w:r>
        <w:rPr>
          <w:rFonts w:ascii="Arial" w:eastAsia="Arial" w:hAnsi="Arial" w:cs="Arial"/>
          <w:b/>
          <w:color w:val="000000"/>
          <w:sz w:val="20"/>
          <w:szCs w:val="20"/>
        </w:rPr>
        <w:t>nexo</w:t>
      </w:r>
      <w:r w:rsidRPr="005813F5">
        <w:rPr>
          <w:rFonts w:ascii="Arial" w:eastAsia="Arial" w:hAnsi="Arial" w:cs="Arial"/>
          <w:b/>
          <w:color w:val="000000"/>
          <w:sz w:val="20"/>
          <w:szCs w:val="20"/>
        </w:rPr>
        <w:t xml:space="preserve"> 1. Escala MF</w:t>
      </w:r>
      <w:r>
        <w:rPr>
          <w:rFonts w:ascii="Arial" w:eastAsia="Arial" w:hAnsi="Arial" w:cs="Arial"/>
          <w:b/>
          <w:color w:val="000000"/>
          <w:sz w:val="20"/>
          <w:szCs w:val="20"/>
        </w:rPr>
        <w:t>MG</w:t>
      </w:r>
    </w:p>
    <w:p w14:paraId="509FA334" w14:textId="77777777" w:rsidR="005813F5" w:rsidRDefault="005813F5" w:rsidP="00566950">
      <w:pPr>
        <w:ind w:left="0" w:hanging="2"/>
        <w:jc w:val="both"/>
        <w:rPr>
          <w:rFonts w:ascii="Arial" w:hAnsi="Arial" w:cs="Arial"/>
          <w:sz w:val="20"/>
          <w:lang w:val="en-US"/>
        </w:rPr>
      </w:pPr>
    </w:p>
    <w:p w14:paraId="1744D4B0" w14:textId="77777777" w:rsidR="00566950" w:rsidRDefault="00566950" w:rsidP="00566950">
      <w:pPr>
        <w:ind w:left="0" w:hanging="2"/>
        <w:jc w:val="both"/>
        <w:rPr>
          <w:rFonts w:ascii="Arial" w:hAnsi="Arial" w:cs="Arial"/>
          <w:sz w:val="20"/>
          <w:lang w:val="en-US"/>
        </w:rPr>
      </w:pPr>
      <w:r w:rsidRPr="00566950">
        <w:rPr>
          <w:rFonts w:ascii="Arial" w:hAnsi="Arial" w:cs="Arial"/>
          <w:sz w:val="20"/>
          <w:lang w:val="en-US"/>
        </w:rPr>
        <w:t>El MFM</w:t>
      </w:r>
      <w:r w:rsidR="005813F5">
        <w:rPr>
          <w:rFonts w:ascii="Arial" w:hAnsi="Arial" w:cs="Arial"/>
          <w:sz w:val="20"/>
          <w:lang w:val="en-US"/>
        </w:rPr>
        <w:t>G</w:t>
      </w:r>
      <w:r w:rsidRPr="00566950">
        <w:rPr>
          <w:rFonts w:ascii="Arial" w:hAnsi="Arial" w:cs="Arial"/>
          <w:sz w:val="20"/>
          <w:lang w:val="en-US"/>
        </w:rPr>
        <w:t xml:space="preserve"> es un instrumento de observación estandarizado diseñado y validado para medir el cambio en la</w:t>
      </w:r>
      <w:r>
        <w:rPr>
          <w:rFonts w:ascii="Arial" w:hAnsi="Arial" w:cs="Arial"/>
          <w:sz w:val="20"/>
          <w:lang w:val="en-US"/>
        </w:rPr>
        <w:t xml:space="preserve"> </w:t>
      </w:r>
      <w:r w:rsidRPr="00566950">
        <w:rPr>
          <w:rFonts w:ascii="Arial" w:hAnsi="Arial" w:cs="Arial"/>
          <w:sz w:val="20"/>
          <w:lang w:val="en-US"/>
        </w:rPr>
        <w:t xml:space="preserve">función motora gruesa que se produce a lo largo del tiempo en niños. </w:t>
      </w:r>
    </w:p>
    <w:p w14:paraId="46A032C3" w14:textId="77777777" w:rsidR="00566950" w:rsidRDefault="00566950" w:rsidP="00566950">
      <w:pPr>
        <w:ind w:left="0" w:hanging="2"/>
        <w:jc w:val="both"/>
        <w:rPr>
          <w:rFonts w:ascii="Arial" w:hAnsi="Arial" w:cs="Arial"/>
          <w:sz w:val="20"/>
          <w:lang w:val="en-US"/>
        </w:rPr>
      </w:pPr>
    </w:p>
    <w:p w14:paraId="0AC83FFB" w14:textId="77777777" w:rsidR="00566950" w:rsidRPr="00566950" w:rsidRDefault="00566950" w:rsidP="00566950">
      <w:pPr>
        <w:ind w:left="0" w:hanging="2"/>
        <w:jc w:val="both"/>
        <w:rPr>
          <w:rFonts w:ascii="Arial" w:hAnsi="Arial" w:cs="Arial"/>
          <w:b/>
          <w:sz w:val="20"/>
          <w:lang w:val="en-US"/>
        </w:rPr>
      </w:pPr>
      <w:r w:rsidRPr="00566950">
        <w:rPr>
          <w:rFonts w:ascii="Arial" w:hAnsi="Arial" w:cs="Arial"/>
          <w:b/>
          <w:sz w:val="20"/>
          <w:lang w:val="en-US"/>
        </w:rPr>
        <w:t>SISTEMA DE PUNTUACIÓN</w:t>
      </w:r>
    </w:p>
    <w:p w14:paraId="3F4B2B31" w14:textId="77777777" w:rsidR="00566950" w:rsidRP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0 = no inicia</w:t>
      </w:r>
    </w:p>
    <w:p w14:paraId="41C4DAAE" w14:textId="77777777" w:rsidR="00566950" w:rsidRP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1 = inicia</w:t>
      </w:r>
    </w:p>
    <w:p w14:paraId="380623EC" w14:textId="77777777" w:rsidR="00566950" w:rsidRP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2 = alcanza parcialmente</w:t>
      </w:r>
    </w:p>
    <w:p w14:paraId="5E9CDEFD" w14:textId="77777777" w:rsidR="00566950" w:rsidRDefault="00566950" w:rsidP="00566950">
      <w:pPr>
        <w:ind w:left="0" w:hanging="2"/>
        <w:jc w:val="both"/>
        <w:rPr>
          <w:rFonts w:ascii="Arial" w:hAnsi="Arial" w:cs="Arial"/>
          <w:sz w:val="20"/>
          <w:lang w:val="en-US"/>
        </w:rPr>
      </w:pPr>
      <w:r w:rsidRPr="00566950">
        <w:rPr>
          <w:rFonts w:ascii="Arial" w:hAnsi="Arial" w:cs="Arial"/>
          <w:sz w:val="20"/>
          <w:lang w:val="en-US"/>
        </w:rPr>
        <w:t xml:space="preserve"> 3 = </w:t>
      </w:r>
      <w:r>
        <w:rPr>
          <w:rFonts w:ascii="Arial" w:hAnsi="Arial" w:cs="Arial"/>
          <w:sz w:val="20"/>
          <w:lang w:val="en-US"/>
        </w:rPr>
        <w:t>complete</w:t>
      </w:r>
    </w:p>
    <w:p w14:paraId="432369F9" w14:textId="77777777" w:rsidR="009D55C9" w:rsidRDefault="009D55C9" w:rsidP="00566950">
      <w:pPr>
        <w:ind w:left="0" w:hanging="2"/>
        <w:jc w:val="both"/>
        <w:rPr>
          <w:rFonts w:ascii="Arial" w:hAnsi="Arial" w:cs="Arial"/>
          <w:sz w:val="20"/>
          <w:lang w:val="en-US"/>
        </w:rPr>
      </w:pPr>
    </w:p>
    <w:p w14:paraId="40A55C09" w14:textId="77777777" w:rsidR="005813F5" w:rsidRDefault="005813F5" w:rsidP="00566950">
      <w:pPr>
        <w:ind w:left="0" w:hanging="2"/>
        <w:jc w:val="both"/>
        <w:rPr>
          <w:rFonts w:ascii="Arial" w:hAnsi="Arial" w:cs="Arial"/>
          <w:sz w:val="20"/>
          <w:lang w:val="en-US"/>
        </w:rPr>
      </w:pPr>
      <w:r w:rsidRPr="00566950">
        <w:rPr>
          <w:rFonts w:ascii="Arial" w:hAnsi="Arial" w:cs="Arial"/>
          <w:noProof/>
          <w:sz w:val="20"/>
        </w:rPr>
        <w:drawing>
          <wp:inline distT="0" distB="0" distL="0" distR="0" wp14:anchorId="5FED2DB5" wp14:editId="28FF5A16">
            <wp:extent cx="5549265" cy="390483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49265" cy="3904835"/>
                    </a:xfrm>
                    <a:prstGeom prst="rect">
                      <a:avLst/>
                    </a:prstGeom>
                  </pic:spPr>
                </pic:pic>
              </a:graphicData>
            </a:graphic>
          </wp:inline>
        </w:drawing>
      </w:r>
    </w:p>
    <w:p w14:paraId="22C8924C" w14:textId="77777777" w:rsidR="005813F5" w:rsidRDefault="005813F5" w:rsidP="00566950">
      <w:pPr>
        <w:ind w:left="0" w:hanging="2"/>
        <w:jc w:val="both"/>
        <w:rPr>
          <w:rFonts w:ascii="Arial" w:hAnsi="Arial" w:cs="Arial"/>
          <w:sz w:val="20"/>
          <w:lang w:val="en-US"/>
        </w:rPr>
      </w:pPr>
    </w:p>
    <w:p w14:paraId="03A13CF6" w14:textId="77777777" w:rsidR="005813F5" w:rsidRDefault="005813F5" w:rsidP="00566950">
      <w:pPr>
        <w:ind w:left="0" w:hanging="2"/>
        <w:jc w:val="both"/>
        <w:rPr>
          <w:rFonts w:ascii="Arial" w:hAnsi="Arial" w:cs="Arial"/>
          <w:sz w:val="20"/>
          <w:lang w:val="en-US"/>
        </w:rPr>
      </w:pPr>
    </w:p>
    <w:p w14:paraId="5BAC6A8E" w14:textId="77777777" w:rsidR="005813F5" w:rsidRDefault="005813F5" w:rsidP="00566950">
      <w:pPr>
        <w:ind w:left="0" w:hanging="2"/>
        <w:jc w:val="both"/>
        <w:rPr>
          <w:rFonts w:ascii="Arial" w:hAnsi="Arial" w:cs="Arial"/>
          <w:sz w:val="20"/>
          <w:lang w:val="en-US"/>
        </w:rPr>
      </w:pPr>
    </w:p>
    <w:p w14:paraId="0080A47A" w14:textId="77777777" w:rsidR="005813F5" w:rsidRDefault="005813F5" w:rsidP="00566950">
      <w:pPr>
        <w:ind w:left="0" w:hanging="2"/>
        <w:jc w:val="both"/>
        <w:rPr>
          <w:rFonts w:ascii="Arial" w:hAnsi="Arial" w:cs="Arial"/>
          <w:sz w:val="20"/>
          <w:lang w:val="en-US"/>
        </w:rPr>
      </w:pPr>
    </w:p>
    <w:p w14:paraId="62329C75" w14:textId="77777777" w:rsidR="005813F5" w:rsidRDefault="005813F5" w:rsidP="00566950">
      <w:pPr>
        <w:ind w:left="0" w:hanging="2"/>
        <w:jc w:val="both"/>
        <w:rPr>
          <w:rFonts w:ascii="Arial" w:hAnsi="Arial" w:cs="Arial"/>
          <w:sz w:val="20"/>
          <w:lang w:val="en-US"/>
        </w:rPr>
      </w:pPr>
    </w:p>
    <w:p w14:paraId="4AA920ED" w14:textId="77777777" w:rsidR="005813F5" w:rsidRDefault="005813F5" w:rsidP="00566950">
      <w:pPr>
        <w:ind w:left="0" w:hanging="2"/>
        <w:jc w:val="both"/>
        <w:rPr>
          <w:rFonts w:ascii="Arial" w:hAnsi="Arial" w:cs="Arial"/>
          <w:sz w:val="20"/>
          <w:lang w:val="en-US"/>
        </w:rPr>
      </w:pPr>
    </w:p>
    <w:p w14:paraId="55610308" w14:textId="77777777" w:rsidR="005813F5" w:rsidRDefault="005813F5" w:rsidP="00566950">
      <w:pPr>
        <w:ind w:left="0" w:hanging="2"/>
        <w:jc w:val="both"/>
        <w:rPr>
          <w:rFonts w:ascii="Arial" w:eastAsia="Arial" w:hAnsi="Arial" w:cs="Arial"/>
          <w:sz w:val="16"/>
          <w:szCs w:val="20"/>
          <w:lang w:val="en-US"/>
        </w:rPr>
      </w:pPr>
    </w:p>
    <w:p w14:paraId="05BE2912" w14:textId="77777777" w:rsidR="005813F5" w:rsidRDefault="005813F5" w:rsidP="00566950">
      <w:pPr>
        <w:ind w:left="0" w:hanging="2"/>
        <w:jc w:val="both"/>
        <w:rPr>
          <w:rFonts w:ascii="Arial" w:eastAsia="Arial" w:hAnsi="Arial" w:cs="Arial"/>
          <w:sz w:val="16"/>
          <w:szCs w:val="20"/>
          <w:lang w:val="en-US"/>
        </w:rPr>
      </w:pPr>
    </w:p>
    <w:p w14:paraId="6B3A3EE0" w14:textId="77777777" w:rsidR="005813F5" w:rsidRDefault="005813F5" w:rsidP="00566950">
      <w:pPr>
        <w:ind w:left="0" w:hanging="2"/>
        <w:jc w:val="both"/>
        <w:rPr>
          <w:rFonts w:ascii="Arial" w:eastAsia="Arial" w:hAnsi="Arial" w:cs="Arial"/>
          <w:sz w:val="16"/>
          <w:szCs w:val="20"/>
          <w:lang w:val="en-US"/>
        </w:rPr>
      </w:pPr>
    </w:p>
    <w:p w14:paraId="348AFF14" w14:textId="77777777" w:rsidR="005813F5" w:rsidRDefault="005813F5" w:rsidP="00566950">
      <w:pPr>
        <w:ind w:left="0" w:hanging="2"/>
        <w:jc w:val="both"/>
        <w:rPr>
          <w:rFonts w:ascii="Arial" w:eastAsia="Arial" w:hAnsi="Arial" w:cs="Arial"/>
          <w:sz w:val="16"/>
          <w:szCs w:val="20"/>
          <w:lang w:val="en-US"/>
        </w:rPr>
      </w:pPr>
    </w:p>
    <w:p w14:paraId="536864BA" w14:textId="77777777" w:rsidR="005813F5" w:rsidRDefault="005813F5" w:rsidP="00566950">
      <w:pPr>
        <w:ind w:left="0" w:hanging="2"/>
        <w:jc w:val="both"/>
        <w:rPr>
          <w:rFonts w:ascii="Arial" w:eastAsia="Arial" w:hAnsi="Arial" w:cs="Arial"/>
          <w:sz w:val="16"/>
          <w:szCs w:val="20"/>
          <w:lang w:val="en-US"/>
        </w:rPr>
      </w:pPr>
    </w:p>
    <w:p w14:paraId="66ED11D4" w14:textId="77777777" w:rsidR="005813F5" w:rsidRDefault="005813F5" w:rsidP="00566950">
      <w:pPr>
        <w:ind w:left="0" w:hanging="2"/>
        <w:jc w:val="both"/>
        <w:rPr>
          <w:rFonts w:ascii="Arial" w:eastAsia="Arial" w:hAnsi="Arial" w:cs="Arial"/>
          <w:sz w:val="16"/>
          <w:szCs w:val="20"/>
          <w:lang w:val="en-US"/>
        </w:rPr>
      </w:pPr>
    </w:p>
    <w:p w14:paraId="2FD1DF30" w14:textId="77777777" w:rsidR="005813F5" w:rsidRDefault="005813F5" w:rsidP="00566950">
      <w:pPr>
        <w:ind w:left="0" w:hanging="2"/>
        <w:jc w:val="both"/>
        <w:rPr>
          <w:rFonts w:ascii="Arial" w:eastAsia="Arial" w:hAnsi="Arial" w:cs="Arial"/>
          <w:sz w:val="16"/>
          <w:szCs w:val="20"/>
          <w:lang w:val="en-US"/>
        </w:rPr>
      </w:pPr>
    </w:p>
    <w:p w14:paraId="216C00DE" w14:textId="77777777" w:rsidR="005813F5" w:rsidRDefault="005813F5" w:rsidP="00566950">
      <w:pPr>
        <w:ind w:left="0" w:hanging="2"/>
        <w:jc w:val="both"/>
        <w:rPr>
          <w:rFonts w:ascii="Arial" w:eastAsia="Arial" w:hAnsi="Arial" w:cs="Arial"/>
          <w:sz w:val="16"/>
          <w:szCs w:val="20"/>
          <w:lang w:val="en-US"/>
        </w:rPr>
      </w:pPr>
    </w:p>
    <w:p w14:paraId="476A029D" w14:textId="77777777" w:rsidR="005813F5" w:rsidRDefault="005813F5" w:rsidP="00566950">
      <w:pPr>
        <w:ind w:left="0" w:hanging="2"/>
        <w:jc w:val="both"/>
        <w:rPr>
          <w:rFonts w:ascii="Arial" w:eastAsia="Arial" w:hAnsi="Arial" w:cs="Arial"/>
          <w:sz w:val="16"/>
          <w:szCs w:val="20"/>
          <w:lang w:val="en-US"/>
        </w:rPr>
      </w:pPr>
    </w:p>
    <w:p w14:paraId="48F32331" w14:textId="77777777" w:rsidR="005813F5" w:rsidRDefault="005813F5" w:rsidP="00566950">
      <w:pPr>
        <w:ind w:left="0" w:hanging="2"/>
        <w:jc w:val="both"/>
        <w:rPr>
          <w:rFonts w:ascii="Arial" w:eastAsia="Arial" w:hAnsi="Arial" w:cs="Arial"/>
          <w:sz w:val="16"/>
          <w:szCs w:val="20"/>
          <w:lang w:val="en-US"/>
        </w:rPr>
      </w:pPr>
    </w:p>
    <w:p w14:paraId="3299E6B1" w14:textId="77777777" w:rsidR="005813F5" w:rsidRDefault="005813F5" w:rsidP="00566950">
      <w:pPr>
        <w:ind w:left="0" w:hanging="2"/>
        <w:jc w:val="both"/>
        <w:rPr>
          <w:rFonts w:ascii="Arial" w:eastAsia="Arial" w:hAnsi="Arial" w:cs="Arial"/>
          <w:sz w:val="16"/>
          <w:szCs w:val="20"/>
          <w:lang w:val="en-US"/>
        </w:rPr>
      </w:pPr>
    </w:p>
    <w:p w14:paraId="5533F09D" w14:textId="77777777" w:rsidR="005813F5" w:rsidRDefault="005813F5" w:rsidP="00566950">
      <w:pPr>
        <w:ind w:left="0" w:hanging="2"/>
        <w:jc w:val="both"/>
        <w:rPr>
          <w:rFonts w:ascii="Arial" w:eastAsia="Arial" w:hAnsi="Arial" w:cs="Arial"/>
          <w:sz w:val="16"/>
          <w:szCs w:val="20"/>
          <w:lang w:val="en-US"/>
        </w:rPr>
      </w:pPr>
    </w:p>
    <w:p w14:paraId="44A2887B" w14:textId="77777777" w:rsidR="005813F5" w:rsidRDefault="005813F5" w:rsidP="00566950">
      <w:pPr>
        <w:ind w:left="0" w:hanging="2"/>
        <w:jc w:val="both"/>
        <w:rPr>
          <w:rFonts w:ascii="Arial" w:eastAsia="Arial" w:hAnsi="Arial" w:cs="Arial"/>
          <w:sz w:val="16"/>
          <w:szCs w:val="20"/>
          <w:lang w:val="en-US"/>
        </w:rPr>
      </w:pPr>
    </w:p>
    <w:p w14:paraId="2A5AC188" w14:textId="77777777" w:rsidR="005813F5" w:rsidRDefault="005813F5" w:rsidP="00566950">
      <w:pPr>
        <w:ind w:left="0" w:hanging="2"/>
        <w:jc w:val="both"/>
        <w:rPr>
          <w:rFonts w:ascii="Arial" w:eastAsia="Arial" w:hAnsi="Arial" w:cs="Arial"/>
          <w:sz w:val="16"/>
          <w:szCs w:val="20"/>
          <w:lang w:val="en-US"/>
        </w:rPr>
      </w:pPr>
    </w:p>
    <w:p w14:paraId="76BF58FE" w14:textId="77777777" w:rsidR="005813F5" w:rsidRDefault="005813F5" w:rsidP="00566950">
      <w:pPr>
        <w:ind w:left="0" w:hanging="2"/>
        <w:jc w:val="both"/>
        <w:rPr>
          <w:rFonts w:ascii="Arial" w:eastAsia="Arial" w:hAnsi="Arial" w:cs="Arial"/>
          <w:sz w:val="16"/>
          <w:szCs w:val="20"/>
          <w:lang w:val="en-US"/>
        </w:rPr>
      </w:pPr>
    </w:p>
    <w:p w14:paraId="25C5F944" w14:textId="77777777" w:rsidR="005813F5" w:rsidRDefault="005813F5" w:rsidP="00566950">
      <w:pPr>
        <w:ind w:left="0" w:hanging="2"/>
        <w:jc w:val="both"/>
        <w:rPr>
          <w:rFonts w:ascii="Arial" w:eastAsia="Arial" w:hAnsi="Arial" w:cs="Arial"/>
          <w:sz w:val="16"/>
          <w:szCs w:val="20"/>
          <w:lang w:val="en-US"/>
        </w:rPr>
      </w:pPr>
    </w:p>
    <w:p w14:paraId="36F87C3F" w14:textId="77777777" w:rsidR="005813F5" w:rsidRPr="00566950" w:rsidRDefault="005813F5" w:rsidP="00566950">
      <w:pPr>
        <w:ind w:left="0" w:hanging="2"/>
        <w:jc w:val="both"/>
        <w:rPr>
          <w:rFonts w:ascii="Arial" w:eastAsia="Arial" w:hAnsi="Arial" w:cs="Arial"/>
          <w:sz w:val="16"/>
          <w:szCs w:val="20"/>
          <w:lang w:val="en-US"/>
        </w:rPr>
      </w:pPr>
    </w:p>
    <w:p w14:paraId="75C34EDB" w14:textId="77777777" w:rsidR="009D55C9" w:rsidRDefault="005813F5">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Anexo 2. </w:t>
      </w:r>
      <w:r w:rsidR="005A57E0">
        <w:rPr>
          <w:rFonts w:ascii="Arial" w:eastAsia="Arial" w:hAnsi="Arial" w:cs="Arial"/>
          <w:b/>
          <w:color w:val="000000"/>
          <w:sz w:val="20"/>
          <w:szCs w:val="20"/>
        </w:rPr>
        <w:t>Formulario de declaración de conflictos de intereses</w:t>
      </w:r>
    </w:p>
    <w:p w14:paraId="60B51CD2" w14:textId="77777777" w:rsidR="009D55C9" w:rsidRDefault="009D55C9">
      <w:pPr>
        <w:ind w:left="0" w:hanging="2"/>
        <w:rPr>
          <w:rFonts w:ascii="Arial" w:eastAsia="Arial" w:hAnsi="Arial" w:cs="Arial"/>
          <w:color w:val="000000"/>
          <w:sz w:val="20"/>
          <w:szCs w:val="20"/>
        </w:rPr>
      </w:pPr>
    </w:p>
    <w:p w14:paraId="1F1F8878" w14:textId="77777777" w:rsidR="009D55C9" w:rsidRDefault="005A57E0">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14:paraId="17C337D1" w14:textId="77777777" w:rsidR="009D55C9" w:rsidRDefault="009D55C9">
      <w:pPr>
        <w:pBdr>
          <w:top w:val="nil"/>
          <w:left w:val="nil"/>
          <w:bottom w:val="nil"/>
          <w:right w:val="nil"/>
          <w:between w:val="nil"/>
        </w:pBdr>
        <w:spacing w:line="240" w:lineRule="auto"/>
        <w:ind w:left="0" w:hanging="2"/>
        <w:rPr>
          <w:rFonts w:ascii="Arial" w:eastAsia="Arial" w:hAnsi="Arial" w:cs="Arial"/>
          <w:color w:val="000080"/>
          <w:sz w:val="20"/>
          <w:szCs w:val="20"/>
        </w:rPr>
      </w:pPr>
    </w:p>
    <w:p w14:paraId="374106B2" w14:textId="63F55F58"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Nombre y apellidos: </w:t>
      </w:r>
    </w:p>
    <w:p w14:paraId="54AAB63A" w14:textId="77777777" w:rsidR="009D55C9" w:rsidRDefault="009D55C9">
      <w:pPr>
        <w:ind w:left="0" w:hanging="2"/>
        <w:rPr>
          <w:rFonts w:ascii="Arial" w:eastAsia="Arial" w:hAnsi="Arial" w:cs="Arial"/>
          <w:color w:val="000000"/>
          <w:sz w:val="20"/>
          <w:szCs w:val="20"/>
        </w:rPr>
      </w:pPr>
    </w:p>
    <w:p w14:paraId="341DA790" w14:textId="57579E1D"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en la que trabaja: Hospital Universitario </w:t>
      </w:r>
    </w:p>
    <w:p w14:paraId="70B206A4" w14:textId="77777777" w:rsidR="009D55C9" w:rsidRDefault="009D55C9">
      <w:pPr>
        <w:ind w:left="0" w:hanging="2"/>
        <w:rPr>
          <w:rFonts w:ascii="Arial" w:eastAsia="Arial" w:hAnsi="Arial" w:cs="Arial"/>
          <w:color w:val="000000"/>
          <w:sz w:val="20"/>
          <w:szCs w:val="20"/>
        </w:rPr>
      </w:pPr>
    </w:p>
    <w:p w14:paraId="78B5BEC8" w14:textId="77777777"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Sociedad Española de Farmacia Hospitalaria. Grupo de trabajo GENESIS.</w:t>
      </w:r>
    </w:p>
    <w:p w14:paraId="6F64EC93" w14:textId="77777777" w:rsidR="009D55C9" w:rsidRDefault="009D55C9">
      <w:pPr>
        <w:spacing w:after="40"/>
        <w:ind w:left="0" w:hanging="2"/>
        <w:rPr>
          <w:rFonts w:ascii="Arial" w:eastAsia="Arial" w:hAnsi="Arial" w:cs="Arial"/>
          <w:color w:val="000000"/>
          <w:sz w:val="20"/>
          <w:szCs w:val="20"/>
        </w:rPr>
      </w:pPr>
    </w:p>
    <w:p w14:paraId="0DD4AF3A" w14:textId="77777777" w:rsidR="009D55C9" w:rsidRDefault="005A57E0">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14:paraId="3353063C" w14:textId="77777777" w:rsidR="009D55C9" w:rsidRDefault="005A57E0">
      <w:pPr>
        <w:ind w:left="0" w:hanging="2"/>
        <w:rPr>
          <w:rFonts w:ascii="Arial" w:eastAsia="Arial" w:hAnsi="Arial" w:cs="Arial"/>
          <w:color w:val="000000"/>
          <w:sz w:val="20"/>
          <w:szCs w:val="20"/>
        </w:rPr>
      </w:pPr>
      <w:r>
        <w:rPr>
          <w:rFonts w:ascii="Arial" w:eastAsia="Arial" w:hAnsi="Arial" w:cs="Arial"/>
          <w:color w:val="000000"/>
          <w:sz w:val="20"/>
          <w:szCs w:val="20"/>
        </w:rPr>
        <w:t>1-Autor/a</w:t>
      </w:r>
    </w:p>
    <w:p w14:paraId="1322EE30" w14:textId="77777777" w:rsidR="009D55C9" w:rsidRDefault="009D55C9">
      <w:pPr>
        <w:ind w:left="0" w:hanging="2"/>
        <w:jc w:val="both"/>
        <w:rPr>
          <w:rFonts w:ascii="Arial" w:eastAsia="Arial" w:hAnsi="Arial" w:cs="Arial"/>
          <w:color w:val="000000"/>
          <w:sz w:val="20"/>
          <w:szCs w:val="20"/>
        </w:rPr>
      </w:pPr>
    </w:p>
    <w:p w14:paraId="3E18585E" w14:textId="77777777" w:rsidR="009D55C9" w:rsidRDefault="005A57E0">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14:paraId="4702D914" w14:textId="77777777" w:rsidR="009D55C9" w:rsidRDefault="009D55C9">
      <w:pPr>
        <w:spacing w:after="40"/>
        <w:ind w:left="0" w:hanging="2"/>
        <w:rPr>
          <w:rFonts w:ascii="Arial" w:eastAsia="Arial" w:hAnsi="Arial" w:cs="Arial"/>
          <w:color w:val="000000"/>
          <w:sz w:val="20"/>
          <w:szCs w:val="20"/>
        </w:rPr>
      </w:pPr>
    </w:p>
    <w:p w14:paraId="534EA051" w14:textId="77777777" w:rsidR="009D55C9" w:rsidRDefault="00786169">
      <w:pPr>
        <w:ind w:left="0" w:hanging="2"/>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114300" distR="114300" simplePos="0" relativeHeight="251678720" behindDoc="0" locked="0" layoutInCell="1" allowOverlap="1" wp14:anchorId="672FD5F5" wp14:editId="312FFB49">
                <wp:simplePos x="0" y="0"/>
                <wp:positionH relativeFrom="column">
                  <wp:posOffset>5009515</wp:posOffset>
                </wp:positionH>
                <wp:positionV relativeFrom="paragraph">
                  <wp:posOffset>36830</wp:posOffset>
                </wp:positionV>
                <wp:extent cx="88900" cy="107950"/>
                <wp:effectExtent l="0" t="0" r="25400" b="25400"/>
                <wp:wrapNone/>
                <wp:docPr id="5" name="5 Rectángulo"/>
                <wp:cNvGraphicFramePr/>
                <a:graphic xmlns:a="http://schemas.openxmlformats.org/drawingml/2006/main">
                  <a:graphicData uri="http://schemas.microsoft.com/office/word/2010/wordprocessingShape">
                    <wps:wsp>
                      <wps:cNvSpPr/>
                      <wps:spPr>
                        <a:xfrm>
                          <a:off x="0" y="0"/>
                          <a:ext cx="88900" cy="1079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DEAAB" id="5 Rectángulo" o:spid="_x0000_s1026" style="position:absolute;margin-left:394.45pt;margin-top:2.9pt;width:7pt;height: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" fillcolor="black [3213]" strokecolor="black [3200]" strokeweight="2pt"/>
            </w:pict>
          </mc:Fallback>
        </mc:AlternateContent>
      </w:r>
      <w:r>
        <w:rPr>
          <w:rFonts w:ascii="Arial" w:eastAsia="Arial" w:hAnsi="Arial" w:cs="Arial"/>
          <w:b/>
          <w:noProof/>
          <w:color w:val="000000"/>
          <w:sz w:val="20"/>
          <w:szCs w:val="20"/>
        </w:rPr>
        <mc:AlternateContent>
          <mc:Choice Requires="wps">
            <w:drawing>
              <wp:anchor distT="0" distB="0" distL="114300" distR="114300" simplePos="0" relativeHeight="251676672" behindDoc="0" locked="0" layoutInCell="1" allowOverlap="1" wp14:anchorId="18C7ECD9" wp14:editId="48D605B1">
                <wp:simplePos x="0" y="0"/>
                <wp:positionH relativeFrom="column">
                  <wp:posOffset>3993515</wp:posOffset>
                </wp:positionH>
                <wp:positionV relativeFrom="paragraph">
                  <wp:posOffset>36830</wp:posOffset>
                </wp:positionV>
                <wp:extent cx="88900" cy="107950"/>
                <wp:effectExtent l="0" t="0" r="25400" b="25400"/>
                <wp:wrapNone/>
                <wp:docPr id="4" name="4 Rectángulo"/>
                <wp:cNvGraphicFramePr/>
                <a:graphic xmlns:a="http://schemas.openxmlformats.org/drawingml/2006/main">
                  <a:graphicData uri="http://schemas.microsoft.com/office/word/2010/wordprocessingShape">
                    <wps:wsp>
                      <wps:cNvSpPr/>
                      <wps:spPr>
                        <a:xfrm>
                          <a:off x="0" y="0"/>
                          <a:ext cx="88900" cy="107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A20760" id="4 Rectángulo" o:spid="_x0000_s1026" style="position:absolute;margin-left:314.45pt;margin-top:2.9pt;width:7pt;height: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" fillcolor="white [3201]" strokecolor="black [3200]" strokeweight="2pt"/>
            </w:pict>
          </mc:Fallback>
        </mc:AlternateContent>
      </w:r>
      <w:r w:rsidR="005A57E0">
        <w:rPr>
          <w:rFonts w:ascii="Arial" w:eastAsia="Arial" w:hAnsi="Arial" w:cs="Arial"/>
          <w:b/>
          <w:color w:val="000000"/>
          <w:sz w:val="20"/>
          <w:szCs w:val="20"/>
        </w:rPr>
        <w:t>A- Intereses personales (</w:t>
      </w:r>
      <w:r w:rsidR="005A57E0">
        <w:rPr>
          <w:rFonts w:ascii="Arial" w:eastAsia="Arial" w:hAnsi="Arial" w:cs="Arial"/>
          <w:color w:val="000000"/>
          <w:sz w:val="20"/>
          <w:szCs w:val="20"/>
        </w:rPr>
        <w:t>En caso afirmativo especificar</w:t>
      </w:r>
      <w:r w:rsidR="005A57E0">
        <w:rPr>
          <w:rFonts w:ascii="Arial" w:eastAsia="Arial" w:hAnsi="Arial" w:cs="Arial"/>
          <w:b/>
          <w:color w:val="000000"/>
          <w:sz w:val="20"/>
          <w:szCs w:val="20"/>
        </w:rPr>
        <w:t xml:space="preserve">): </w:t>
      </w:r>
      <w:r w:rsidR="005A57E0">
        <w:rPr>
          <w:rFonts w:ascii="Arial" w:eastAsia="Arial" w:hAnsi="Arial" w:cs="Arial"/>
          <w:b/>
          <w:color w:val="000000"/>
          <w:sz w:val="20"/>
          <w:szCs w:val="20"/>
        </w:rPr>
        <w:tab/>
      </w:r>
      <w:r w:rsidR="005A57E0">
        <w:rPr>
          <w:rFonts w:ascii="Arial" w:eastAsia="Arial" w:hAnsi="Arial" w:cs="Arial"/>
          <w:b/>
          <w:color w:val="000000"/>
          <w:sz w:val="20"/>
          <w:szCs w:val="20"/>
        </w:rPr>
        <w:tab/>
        <w:t>SI</w:t>
      </w:r>
      <w:r w:rsidR="005A57E0">
        <w:rPr>
          <w:rFonts w:ascii="Arial" w:eastAsia="Arial" w:hAnsi="Arial" w:cs="Arial"/>
          <w:b/>
          <w:color w:val="000000"/>
          <w:sz w:val="20"/>
          <w:szCs w:val="20"/>
        </w:rPr>
        <w:tab/>
      </w:r>
      <w:r w:rsidR="005A57E0">
        <w:rPr>
          <w:rFonts w:ascii="Arial" w:eastAsia="Arial" w:hAnsi="Arial" w:cs="Arial"/>
          <w:b/>
          <w:color w:val="000000"/>
          <w:sz w:val="20"/>
          <w:szCs w:val="20"/>
        </w:rPr>
        <w:tab/>
      </w:r>
      <w:r w:rsidR="005A57E0">
        <w:rPr>
          <w:rFonts w:ascii="Noto Sans Symbols" w:eastAsia="Noto Sans Symbols" w:hAnsi="Noto Sans Symbols" w:cs="Noto Sans Symbols"/>
          <w:b/>
          <w:color w:val="000000"/>
          <w:sz w:val="20"/>
          <w:szCs w:val="20"/>
        </w:rPr>
        <w:t xml:space="preserve">✠ </w:t>
      </w:r>
      <w:r w:rsidR="005A57E0">
        <w:rPr>
          <w:rFonts w:ascii="Arial" w:eastAsia="Arial" w:hAnsi="Arial" w:cs="Arial"/>
          <w:b/>
          <w:color w:val="000000"/>
          <w:sz w:val="20"/>
          <w:szCs w:val="20"/>
        </w:rPr>
        <w:t xml:space="preserve">NO </w:t>
      </w:r>
    </w:p>
    <w:p w14:paraId="0A692B48" w14:textId="77777777" w:rsidR="009D55C9" w:rsidRDefault="009D55C9">
      <w:pPr>
        <w:ind w:left="0" w:hanging="2"/>
        <w:rPr>
          <w:rFonts w:ascii="Arial" w:eastAsia="Arial" w:hAnsi="Arial" w:cs="Arial"/>
          <w:color w:val="000000"/>
          <w:sz w:val="20"/>
          <w:szCs w:val="20"/>
        </w:rPr>
      </w:pPr>
    </w:p>
    <w:tbl>
      <w:tblPr>
        <w:tblStyle w:val="affffe"/>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9D55C9" w14:paraId="3D14DC76" w14:textId="77777777">
        <w:tc>
          <w:tcPr>
            <w:tcW w:w="5495" w:type="dxa"/>
          </w:tcPr>
          <w:p w14:paraId="7FAE1330" w14:textId="77777777" w:rsidR="009D55C9" w:rsidRDefault="009D55C9">
            <w:pPr>
              <w:ind w:left="0" w:hanging="2"/>
              <w:rPr>
                <w:rFonts w:ascii="Arial" w:eastAsia="Arial" w:hAnsi="Arial" w:cs="Arial"/>
                <w:color w:val="000000"/>
                <w:sz w:val="18"/>
                <w:szCs w:val="18"/>
              </w:rPr>
            </w:pPr>
          </w:p>
        </w:tc>
        <w:tc>
          <w:tcPr>
            <w:tcW w:w="1276" w:type="dxa"/>
          </w:tcPr>
          <w:p w14:paraId="542314D1"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60E283D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6CE8E137"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9D55C9" w14:paraId="0E0D931E" w14:textId="77777777">
        <w:tc>
          <w:tcPr>
            <w:tcW w:w="5495" w:type="dxa"/>
          </w:tcPr>
          <w:p w14:paraId="645A80D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14:paraId="7F0DC079" w14:textId="77777777" w:rsidR="009D55C9" w:rsidRDefault="009D55C9">
            <w:pPr>
              <w:ind w:left="0" w:hanging="2"/>
              <w:rPr>
                <w:rFonts w:ascii="Arial" w:eastAsia="Arial" w:hAnsi="Arial" w:cs="Arial"/>
                <w:color w:val="000000"/>
                <w:sz w:val="18"/>
                <w:szCs w:val="18"/>
              </w:rPr>
            </w:pPr>
          </w:p>
        </w:tc>
        <w:tc>
          <w:tcPr>
            <w:tcW w:w="1275" w:type="dxa"/>
          </w:tcPr>
          <w:p w14:paraId="4D9DD246" w14:textId="77777777" w:rsidR="009D55C9" w:rsidRDefault="009D55C9">
            <w:pPr>
              <w:ind w:left="0" w:hanging="2"/>
              <w:rPr>
                <w:rFonts w:ascii="Arial" w:eastAsia="Arial" w:hAnsi="Arial" w:cs="Arial"/>
                <w:color w:val="000000"/>
                <w:sz w:val="18"/>
                <w:szCs w:val="18"/>
              </w:rPr>
            </w:pPr>
          </w:p>
        </w:tc>
        <w:tc>
          <w:tcPr>
            <w:tcW w:w="833" w:type="dxa"/>
          </w:tcPr>
          <w:p w14:paraId="3A98AC0F" w14:textId="77777777" w:rsidR="009D55C9" w:rsidRDefault="009D55C9">
            <w:pPr>
              <w:ind w:left="0" w:hanging="2"/>
              <w:rPr>
                <w:rFonts w:ascii="Arial" w:eastAsia="Arial" w:hAnsi="Arial" w:cs="Arial"/>
                <w:color w:val="000000"/>
                <w:sz w:val="18"/>
                <w:szCs w:val="18"/>
              </w:rPr>
            </w:pPr>
          </w:p>
        </w:tc>
      </w:tr>
      <w:tr w:rsidR="009D55C9" w14:paraId="6847EE39" w14:textId="77777777">
        <w:tc>
          <w:tcPr>
            <w:tcW w:w="5495" w:type="dxa"/>
          </w:tcPr>
          <w:p w14:paraId="39D1AD4E"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14:paraId="3BF26726" w14:textId="77777777" w:rsidR="009D55C9" w:rsidRDefault="009D55C9">
            <w:pPr>
              <w:ind w:left="0" w:hanging="2"/>
              <w:rPr>
                <w:rFonts w:ascii="Arial" w:eastAsia="Arial" w:hAnsi="Arial" w:cs="Arial"/>
                <w:color w:val="000000"/>
                <w:sz w:val="18"/>
                <w:szCs w:val="18"/>
              </w:rPr>
            </w:pPr>
          </w:p>
        </w:tc>
        <w:tc>
          <w:tcPr>
            <w:tcW w:w="1275" w:type="dxa"/>
          </w:tcPr>
          <w:p w14:paraId="5D6BE02A" w14:textId="77777777" w:rsidR="009D55C9" w:rsidRDefault="009D55C9">
            <w:pPr>
              <w:ind w:left="0" w:hanging="2"/>
              <w:rPr>
                <w:rFonts w:ascii="Arial" w:eastAsia="Arial" w:hAnsi="Arial" w:cs="Arial"/>
                <w:color w:val="000000"/>
                <w:sz w:val="18"/>
                <w:szCs w:val="18"/>
              </w:rPr>
            </w:pPr>
          </w:p>
        </w:tc>
        <w:tc>
          <w:tcPr>
            <w:tcW w:w="833" w:type="dxa"/>
          </w:tcPr>
          <w:p w14:paraId="0E83906A" w14:textId="77777777" w:rsidR="009D55C9" w:rsidRDefault="009D55C9">
            <w:pPr>
              <w:ind w:left="0" w:hanging="2"/>
              <w:rPr>
                <w:rFonts w:ascii="Arial" w:eastAsia="Arial" w:hAnsi="Arial" w:cs="Arial"/>
                <w:color w:val="000000"/>
                <w:sz w:val="18"/>
                <w:szCs w:val="18"/>
              </w:rPr>
            </w:pPr>
          </w:p>
        </w:tc>
      </w:tr>
      <w:tr w:rsidR="009D55C9" w14:paraId="1E09AF03" w14:textId="77777777">
        <w:tc>
          <w:tcPr>
            <w:tcW w:w="5495" w:type="dxa"/>
          </w:tcPr>
          <w:p w14:paraId="2A8AF7FF"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14:paraId="3058ABB5" w14:textId="77777777" w:rsidR="009D55C9" w:rsidRDefault="009D55C9">
            <w:pPr>
              <w:ind w:left="0" w:hanging="2"/>
              <w:rPr>
                <w:rFonts w:ascii="Arial" w:eastAsia="Arial" w:hAnsi="Arial" w:cs="Arial"/>
                <w:color w:val="000000"/>
                <w:sz w:val="18"/>
                <w:szCs w:val="18"/>
              </w:rPr>
            </w:pPr>
          </w:p>
        </w:tc>
        <w:tc>
          <w:tcPr>
            <w:tcW w:w="1275" w:type="dxa"/>
          </w:tcPr>
          <w:p w14:paraId="54C00FD3" w14:textId="77777777" w:rsidR="009D55C9" w:rsidRDefault="009D55C9">
            <w:pPr>
              <w:ind w:left="0" w:hanging="2"/>
              <w:rPr>
                <w:rFonts w:ascii="Arial" w:eastAsia="Arial" w:hAnsi="Arial" w:cs="Arial"/>
                <w:color w:val="000000"/>
                <w:sz w:val="18"/>
                <w:szCs w:val="18"/>
              </w:rPr>
            </w:pPr>
          </w:p>
        </w:tc>
        <w:tc>
          <w:tcPr>
            <w:tcW w:w="833" w:type="dxa"/>
          </w:tcPr>
          <w:p w14:paraId="672C0005" w14:textId="77777777" w:rsidR="009D55C9" w:rsidRDefault="009D55C9">
            <w:pPr>
              <w:ind w:left="0" w:hanging="2"/>
              <w:rPr>
                <w:rFonts w:ascii="Arial" w:eastAsia="Arial" w:hAnsi="Arial" w:cs="Arial"/>
                <w:color w:val="000000"/>
                <w:sz w:val="18"/>
                <w:szCs w:val="18"/>
              </w:rPr>
            </w:pPr>
          </w:p>
        </w:tc>
      </w:tr>
      <w:tr w:rsidR="009D55C9" w14:paraId="47ABE5A7" w14:textId="77777777">
        <w:tc>
          <w:tcPr>
            <w:tcW w:w="5495" w:type="dxa"/>
          </w:tcPr>
          <w:p w14:paraId="748BCED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14:paraId="328B1C9F" w14:textId="77777777" w:rsidR="009D55C9" w:rsidRDefault="009D55C9">
            <w:pPr>
              <w:ind w:left="0" w:hanging="2"/>
              <w:rPr>
                <w:rFonts w:ascii="Arial" w:eastAsia="Arial" w:hAnsi="Arial" w:cs="Arial"/>
                <w:color w:val="000000"/>
                <w:sz w:val="18"/>
                <w:szCs w:val="18"/>
              </w:rPr>
            </w:pPr>
          </w:p>
        </w:tc>
        <w:tc>
          <w:tcPr>
            <w:tcW w:w="1275" w:type="dxa"/>
          </w:tcPr>
          <w:p w14:paraId="1DD5C5D2" w14:textId="77777777" w:rsidR="009D55C9" w:rsidRDefault="009D55C9">
            <w:pPr>
              <w:ind w:left="0" w:hanging="2"/>
              <w:rPr>
                <w:rFonts w:ascii="Arial" w:eastAsia="Arial" w:hAnsi="Arial" w:cs="Arial"/>
                <w:color w:val="000000"/>
                <w:sz w:val="18"/>
                <w:szCs w:val="18"/>
              </w:rPr>
            </w:pPr>
          </w:p>
        </w:tc>
        <w:tc>
          <w:tcPr>
            <w:tcW w:w="833" w:type="dxa"/>
          </w:tcPr>
          <w:p w14:paraId="2D12DCC3" w14:textId="77777777" w:rsidR="009D55C9" w:rsidRDefault="009D55C9">
            <w:pPr>
              <w:ind w:left="0" w:hanging="2"/>
              <w:rPr>
                <w:rFonts w:ascii="Arial" w:eastAsia="Arial" w:hAnsi="Arial" w:cs="Arial"/>
                <w:color w:val="000000"/>
                <w:sz w:val="18"/>
                <w:szCs w:val="18"/>
              </w:rPr>
            </w:pPr>
          </w:p>
        </w:tc>
      </w:tr>
      <w:tr w:rsidR="009D55C9" w14:paraId="59773957" w14:textId="77777777">
        <w:tc>
          <w:tcPr>
            <w:tcW w:w="5495" w:type="dxa"/>
          </w:tcPr>
          <w:p w14:paraId="28961614"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14:paraId="20D9D203" w14:textId="77777777" w:rsidR="009D55C9" w:rsidRDefault="009D55C9">
            <w:pPr>
              <w:ind w:left="0" w:hanging="2"/>
              <w:rPr>
                <w:rFonts w:ascii="Arial" w:eastAsia="Arial" w:hAnsi="Arial" w:cs="Arial"/>
                <w:color w:val="000000"/>
                <w:sz w:val="18"/>
                <w:szCs w:val="18"/>
              </w:rPr>
            </w:pPr>
          </w:p>
        </w:tc>
        <w:tc>
          <w:tcPr>
            <w:tcW w:w="1275" w:type="dxa"/>
          </w:tcPr>
          <w:p w14:paraId="5F5A8146" w14:textId="77777777" w:rsidR="009D55C9" w:rsidRDefault="009D55C9">
            <w:pPr>
              <w:ind w:left="0" w:hanging="2"/>
              <w:rPr>
                <w:rFonts w:ascii="Arial" w:eastAsia="Arial" w:hAnsi="Arial" w:cs="Arial"/>
                <w:color w:val="000000"/>
                <w:sz w:val="18"/>
                <w:szCs w:val="18"/>
              </w:rPr>
            </w:pPr>
          </w:p>
        </w:tc>
        <w:tc>
          <w:tcPr>
            <w:tcW w:w="833" w:type="dxa"/>
          </w:tcPr>
          <w:p w14:paraId="2E1E3F82" w14:textId="77777777" w:rsidR="009D55C9" w:rsidRDefault="009D55C9">
            <w:pPr>
              <w:ind w:left="0" w:hanging="2"/>
              <w:rPr>
                <w:rFonts w:ascii="Arial" w:eastAsia="Arial" w:hAnsi="Arial" w:cs="Arial"/>
                <w:color w:val="000000"/>
                <w:sz w:val="18"/>
                <w:szCs w:val="18"/>
              </w:rPr>
            </w:pPr>
          </w:p>
        </w:tc>
      </w:tr>
      <w:tr w:rsidR="009D55C9" w14:paraId="793FCA26" w14:textId="77777777">
        <w:tc>
          <w:tcPr>
            <w:tcW w:w="5495" w:type="dxa"/>
          </w:tcPr>
          <w:p w14:paraId="4DDF93A6"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14:paraId="1530275E" w14:textId="77777777" w:rsidR="009D55C9" w:rsidRDefault="009D55C9">
            <w:pPr>
              <w:ind w:left="0" w:hanging="2"/>
              <w:rPr>
                <w:rFonts w:ascii="Arial" w:eastAsia="Arial" w:hAnsi="Arial" w:cs="Arial"/>
                <w:color w:val="000000"/>
                <w:sz w:val="18"/>
                <w:szCs w:val="18"/>
              </w:rPr>
            </w:pPr>
          </w:p>
        </w:tc>
        <w:tc>
          <w:tcPr>
            <w:tcW w:w="1275" w:type="dxa"/>
          </w:tcPr>
          <w:p w14:paraId="7362EF60" w14:textId="77777777" w:rsidR="009D55C9" w:rsidRDefault="009D55C9">
            <w:pPr>
              <w:ind w:left="0" w:hanging="2"/>
              <w:rPr>
                <w:rFonts w:ascii="Arial" w:eastAsia="Arial" w:hAnsi="Arial" w:cs="Arial"/>
                <w:color w:val="000000"/>
                <w:sz w:val="18"/>
                <w:szCs w:val="18"/>
              </w:rPr>
            </w:pPr>
          </w:p>
        </w:tc>
        <w:tc>
          <w:tcPr>
            <w:tcW w:w="833" w:type="dxa"/>
          </w:tcPr>
          <w:p w14:paraId="358638DA" w14:textId="77777777" w:rsidR="009D55C9" w:rsidRDefault="009D55C9">
            <w:pPr>
              <w:ind w:left="0" w:hanging="2"/>
              <w:rPr>
                <w:rFonts w:ascii="Arial" w:eastAsia="Arial" w:hAnsi="Arial" w:cs="Arial"/>
                <w:color w:val="000000"/>
                <w:sz w:val="18"/>
                <w:szCs w:val="18"/>
              </w:rPr>
            </w:pPr>
          </w:p>
        </w:tc>
      </w:tr>
      <w:tr w:rsidR="009D55C9" w14:paraId="4ADAF665" w14:textId="77777777">
        <w:tc>
          <w:tcPr>
            <w:tcW w:w="5495" w:type="dxa"/>
          </w:tcPr>
          <w:p w14:paraId="1F3B1489"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388F81A5" w14:textId="77777777" w:rsidR="009D55C9" w:rsidRDefault="009D55C9">
            <w:pPr>
              <w:ind w:left="0" w:hanging="2"/>
              <w:rPr>
                <w:rFonts w:ascii="Arial" w:eastAsia="Arial" w:hAnsi="Arial" w:cs="Arial"/>
                <w:color w:val="000000"/>
                <w:sz w:val="18"/>
                <w:szCs w:val="18"/>
              </w:rPr>
            </w:pPr>
          </w:p>
        </w:tc>
        <w:tc>
          <w:tcPr>
            <w:tcW w:w="1275" w:type="dxa"/>
          </w:tcPr>
          <w:p w14:paraId="746D616B" w14:textId="77777777" w:rsidR="009D55C9" w:rsidRDefault="009D55C9">
            <w:pPr>
              <w:ind w:left="0" w:hanging="2"/>
              <w:rPr>
                <w:rFonts w:ascii="Arial" w:eastAsia="Arial" w:hAnsi="Arial" w:cs="Arial"/>
                <w:color w:val="000000"/>
                <w:sz w:val="18"/>
                <w:szCs w:val="18"/>
              </w:rPr>
            </w:pPr>
          </w:p>
        </w:tc>
        <w:tc>
          <w:tcPr>
            <w:tcW w:w="833" w:type="dxa"/>
          </w:tcPr>
          <w:p w14:paraId="233F34D8" w14:textId="77777777" w:rsidR="009D55C9" w:rsidRDefault="009D55C9">
            <w:pPr>
              <w:ind w:left="0" w:hanging="2"/>
              <w:rPr>
                <w:rFonts w:ascii="Arial" w:eastAsia="Arial" w:hAnsi="Arial" w:cs="Arial"/>
                <w:color w:val="000000"/>
                <w:sz w:val="18"/>
                <w:szCs w:val="18"/>
              </w:rPr>
            </w:pPr>
          </w:p>
        </w:tc>
      </w:tr>
      <w:tr w:rsidR="009D55C9" w14:paraId="4590EF8F" w14:textId="77777777">
        <w:tc>
          <w:tcPr>
            <w:tcW w:w="5495" w:type="dxa"/>
          </w:tcPr>
          <w:p w14:paraId="4D2B55CF"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14:paraId="1287CD3B" w14:textId="77777777" w:rsidR="009D55C9" w:rsidRDefault="009D55C9">
            <w:pPr>
              <w:ind w:left="0" w:hanging="2"/>
              <w:rPr>
                <w:rFonts w:ascii="Arial" w:eastAsia="Arial" w:hAnsi="Arial" w:cs="Arial"/>
                <w:color w:val="000000"/>
                <w:sz w:val="18"/>
                <w:szCs w:val="18"/>
              </w:rPr>
            </w:pPr>
          </w:p>
        </w:tc>
        <w:tc>
          <w:tcPr>
            <w:tcW w:w="1275" w:type="dxa"/>
          </w:tcPr>
          <w:p w14:paraId="7ED8FA8A" w14:textId="77777777" w:rsidR="009D55C9" w:rsidRDefault="009D55C9">
            <w:pPr>
              <w:ind w:left="0" w:hanging="2"/>
              <w:rPr>
                <w:rFonts w:ascii="Arial" w:eastAsia="Arial" w:hAnsi="Arial" w:cs="Arial"/>
                <w:color w:val="000000"/>
                <w:sz w:val="18"/>
                <w:szCs w:val="18"/>
              </w:rPr>
            </w:pPr>
          </w:p>
        </w:tc>
        <w:tc>
          <w:tcPr>
            <w:tcW w:w="833" w:type="dxa"/>
          </w:tcPr>
          <w:p w14:paraId="6510837B" w14:textId="77777777" w:rsidR="009D55C9" w:rsidRDefault="009D55C9">
            <w:pPr>
              <w:ind w:left="0" w:hanging="2"/>
              <w:rPr>
                <w:rFonts w:ascii="Arial" w:eastAsia="Arial" w:hAnsi="Arial" w:cs="Arial"/>
                <w:color w:val="000000"/>
                <w:sz w:val="18"/>
                <w:szCs w:val="18"/>
              </w:rPr>
            </w:pPr>
          </w:p>
        </w:tc>
      </w:tr>
      <w:tr w:rsidR="009D55C9" w14:paraId="7B707FAF" w14:textId="77777777">
        <w:trPr>
          <w:trHeight w:val="226"/>
        </w:trPr>
        <w:tc>
          <w:tcPr>
            <w:tcW w:w="8879" w:type="dxa"/>
            <w:gridSpan w:val="4"/>
          </w:tcPr>
          <w:p w14:paraId="64430DAD" w14:textId="77777777" w:rsidR="009D55C9" w:rsidRDefault="009D55C9">
            <w:pPr>
              <w:ind w:left="0" w:hanging="2"/>
              <w:jc w:val="both"/>
              <w:rPr>
                <w:rFonts w:ascii="Arial" w:eastAsia="Arial" w:hAnsi="Arial" w:cs="Arial"/>
                <w:color w:val="FF0000"/>
                <w:sz w:val="18"/>
                <w:szCs w:val="18"/>
              </w:rPr>
            </w:pPr>
          </w:p>
        </w:tc>
      </w:tr>
    </w:tbl>
    <w:p w14:paraId="25DF549C" w14:textId="77777777" w:rsidR="002C33D7" w:rsidRDefault="002C33D7">
      <w:pPr>
        <w:ind w:left="0" w:hanging="2"/>
        <w:rPr>
          <w:rFonts w:ascii="Arial" w:eastAsia="Arial" w:hAnsi="Arial" w:cs="Arial"/>
          <w:b/>
          <w:color w:val="000000"/>
          <w:sz w:val="20"/>
          <w:szCs w:val="20"/>
        </w:rPr>
      </w:pPr>
    </w:p>
    <w:p w14:paraId="03BDBE37" w14:textId="77777777" w:rsidR="009D55C9" w:rsidRDefault="00786169">
      <w:pPr>
        <w:ind w:left="0" w:hanging="2"/>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114300" distR="114300" simplePos="0" relativeHeight="251682816" behindDoc="0" locked="0" layoutInCell="1" allowOverlap="1" wp14:anchorId="55A52E5E" wp14:editId="3CF0A889">
                <wp:simplePos x="0" y="0"/>
                <wp:positionH relativeFrom="column">
                  <wp:posOffset>5009515</wp:posOffset>
                </wp:positionH>
                <wp:positionV relativeFrom="paragraph">
                  <wp:posOffset>29845</wp:posOffset>
                </wp:positionV>
                <wp:extent cx="88900" cy="107950"/>
                <wp:effectExtent l="0" t="0" r="25400" b="25400"/>
                <wp:wrapNone/>
                <wp:docPr id="8" name="8 Rectángulo"/>
                <wp:cNvGraphicFramePr/>
                <a:graphic xmlns:a="http://schemas.openxmlformats.org/drawingml/2006/main">
                  <a:graphicData uri="http://schemas.microsoft.com/office/word/2010/wordprocessingShape">
                    <wps:wsp>
                      <wps:cNvSpPr/>
                      <wps:spPr>
                        <a:xfrm>
                          <a:off x="0" y="0"/>
                          <a:ext cx="88900" cy="107950"/>
                        </a:xfrm>
                        <a:prstGeom prst="rect">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645E6" id="8 Rectángulo" o:spid="_x0000_s1026" style="position:absolute;margin-left:394.45pt;margin-top:2.35pt;width:7pt;height: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" fillcolor="black [3213]" strokecolor="windowText" strokeweight="2pt"/>
            </w:pict>
          </mc:Fallback>
        </mc:AlternateContent>
      </w:r>
      <w:r>
        <w:rPr>
          <w:rFonts w:ascii="Arial" w:eastAsia="Arial" w:hAnsi="Arial" w:cs="Arial"/>
          <w:b/>
          <w:noProof/>
          <w:color w:val="000000"/>
          <w:sz w:val="20"/>
          <w:szCs w:val="20"/>
        </w:rPr>
        <mc:AlternateContent>
          <mc:Choice Requires="wps">
            <w:drawing>
              <wp:anchor distT="0" distB="0" distL="114300" distR="114300" simplePos="0" relativeHeight="251680768" behindDoc="0" locked="0" layoutInCell="1" allowOverlap="1" wp14:anchorId="777E682F" wp14:editId="476FB9CD">
                <wp:simplePos x="0" y="0"/>
                <wp:positionH relativeFrom="column">
                  <wp:posOffset>4050665</wp:posOffset>
                </wp:positionH>
                <wp:positionV relativeFrom="paragraph">
                  <wp:posOffset>23495</wp:posOffset>
                </wp:positionV>
                <wp:extent cx="88900" cy="107950"/>
                <wp:effectExtent l="0" t="0" r="25400" b="25400"/>
                <wp:wrapNone/>
                <wp:docPr id="7" name="7 Rectángulo"/>
                <wp:cNvGraphicFramePr/>
                <a:graphic xmlns:a="http://schemas.openxmlformats.org/drawingml/2006/main">
                  <a:graphicData uri="http://schemas.microsoft.com/office/word/2010/wordprocessingShape">
                    <wps:wsp>
                      <wps:cNvSpPr/>
                      <wps:spPr>
                        <a:xfrm>
                          <a:off x="0" y="0"/>
                          <a:ext cx="88900" cy="107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69319" id="7 Rectángulo" o:spid="_x0000_s1026" style="position:absolute;margin-left:318.95pt;margin-top:1.85pt;width:7pt;height: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" fillcolor="window" strokecolor="windowText" strokeweight="2pt"/>
            </w:pict>
          </mc:Fallback>
        </mc:AlternateContent>
      </w:r>
      <w:r w:rsidR="005A57E0">
        <w:rPr>
          <w:rFonts w:ascii="Arial" w:eastAsia="Arial" w:hAnsi="Arial" w:cs="Arial"/>
          <w:b/>
          <w:color w:val="000000"/>
          <w:sz w:val="20"/>
          <w:szCs w:val="20"/>
        </w:rPr>
        <w:t>B- Intereses no personales (</w:t>
      </w:r>
      <w:r w:rsidR="005A57E0">
        <w:rPr>
          <w:rFonts w:ascii="Arial" w:eastAsia="Arial" w:hAnsi="Arial" w:cs="Arial"/>
          <w:color w:val="000000"/>
          <w:sz w:val="20"/>
          <w:szCs w:val="20"/>
        </w:rPr>
        <w:t>En caso afirmativo especificar</w:t>
      </w:r>
      <w:r w:rsidR="005A57E0">
        <w:rPr>
          <w:rFonts w:ascii="Arial" w:eastAsia="Arial" w:hAnsi="Arial" w:cs="Arial"/>
          <w:b/>
          <w:color w:val="000000"/>
          <w:sz w:val="20"/>
          <w:szCs w:val="20"/>
        </w:rPr>
        <w:t xml:space="preserve">): </w:t>
      </w:r>
      <w:r w:rsidR="005A57E0">
        <w:rPr>
          <w:rFonts w:ascii="Arial" w:eastAsia="Arial" w:hAnsi="Arial" w:cs="Arial"/>
          <w:b/>
          <w:color w:val="000000"/>
          <w:sz w:val="20"/>
          <w:szCs w:val="20"/>
        </w:rPr>
        <w:tab/>
      </w:r>
      <w:r w:rsidR="005A57E0">
        <w:rPr>
          <w:rFonts w:ascii="Arial" w:eastAsia="Arial" w:hAnsi="Arial" w:cs="Arial"/>
          <w:b/>
          <w:color w:val="000000"/>
          <w:sz w:val="20"/>
          <w:szCs w:val="20"/>
        </w:rPr>
        <w:tab/>
      </w:r>
      <w:r w:rsidR="005A57E0">
        <w:rPr>
          <w:rFonts w:ascii="Noto Sans Symbols" w:eastAsia="Noto Sans Symbols" w:hAnsi="Noto Sans Symbols" w:cs="Noto Sans Symbols"/>
          <w:b/>
          <w:color w:val="000000"/>
          <w:sz w:val="20"/>
          <w:szCs w:val="20"/>
        </w:rPr>
        <w:t>🞐</w:t>
      </w:r>
      <w:r w:rsidR="005A57E0">
        <w:rPr>
          <w:rFonts w:ascii="Arial" w:eastAsia="Arial" w:hAnsi="Arial" w:cs="Arial"/>
          <w:b/>
          <w:color w:val="000000"/>
          <w:sz w:val="20"/>
          <w:szCs w:val="20"/>
        </w:rPr>
        <w:t>SI</w:t>
      </w:r>
      <w:r w:rsidR="005A57E0">
        <w:rPr>
          <w:rFonts w:ascii="Arial" w:eastAsia="Arial" w:hAnsi="Arial" w:cs="Arial"/>
          <w:b/>
          <w:color w:val="000000"/>
          <w:sz w:val="20"/>
          <w:szCs w:val="20"/>
        </w:rPr>
        <w:tab/>
      </w:r>
      <w:r w:rsidR="005A57E0">
        <w:rPr>
          <w:rFonts w:ascii="Arial" w:eastAsia="Arial" w:hAnsi="Arial" w:cs="Arial"/>
          <w:b/>
          <w:color w:val="000000"/>
          <w:sz w:val="20"/>
          <w:szCs w:val="20"/>
        </w:rPr>
        <w:tab/>
      </w:r>
      <w:r w:rsidR="005A57E0">
        <w:rPr>
          <w:rFonts w:ascii="Noto Sans Symbols" w:eastAsia="Noto Sans Symbols" w:hAnsi="Noto Sans Symbols" w:cs="Noto Sans Symbols"/>
          <w:b/>
          <w:color w:val="000000"/>
          <w:sz w:val="20"/>
          <w:szCs w:val="20"/>
        </w:rPr>
        <w:t xml:space="preserve">✠ </w:t>
      </w:r>
      <w:r w:rsidR="005A57E0">
        <w:rPr>
          <w:rFonts w:ascii="Arial" w:eastAsia="Arial" w:hAnsi="Arial" w:cs="Arial"/>
          <w:b/>
          <w:color w:val="000000"/>
          <w:sz w:val="20"/>
          <w:szCs w:val="20"/>
        </w:rPr>
        <w:t>NO</w:t>
      </w:r>
    </w:p>
    <w:p w14:paraId="2136F9C8" w14:textId="77777777" w:rsidR="009D55C9" w:rsidRDefault="005A57E0">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tbl>
      <w:tblPr>
        <w:tblStyle w:val="afffff"/>
        <w:tblW w:w="9039"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039"/>
      </w:tblGrid>
      <w:tr w:rsidR="009D55C9" w14:paraId="159406B4" w14:textId="77777777">
        <w:trPr>
          <w:trHeight w:val="226"/>
        </w:trPr>
        <w:tc>
          <w:tcPr>
            <w:tcW w:w="9039" w:type="dxa"/>
          </w:tcPr>
          <w:p w14:paraId="5519312A" w14:textId="77777777" w:rsidR="009D55C9" w:rsidRDefault="009D55C9">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afffff0"/>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9D55C9" w14:paraId="468C8776" w14:textId="77777777">
              <w:tc>
                <w:tcPr>
                  <w:tcW w:w="5495" w:type="dxa"/>
                </w:tcPr>
                <w:p w14:paraId="42800B59" w14:textId="77777777" w:rsidR="009D55C9" w:rsidRDefault="009D55C9">
                  <w:pPr>
                    <w:ind w:left="0" w:hanging="2"/>
                    <w:rPr>
                      <w:rFonts w:ascii="Arial" w:eastAsia="Arial" w:hAnsi="Arial" w:cs="Arial"/>
                      <w:color w:val="000000"/>
                      <w:sz w:val="18"/>
                      <w:szCs w:val="18"/>
                    </w:rPr>
                  </w:pPr>
                </w:p>
              </w:tc>
              <w:tc>
                <w:tcPr>
                  <w:tcW w:w="1276" w:type="dxa"/>
                </w:tcPr>
                <w:p w14:paraId="45402F2C"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4A5E7CA8"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25E1126C"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9D55C9" w14:paraId="5D818F18" w14:textId="77777777">
              <w:tc>
                <w:tcPr>
                  <w:tcW w:w="5495" w:type="dxa"/>
                </w:tcPr>
                <w:p w14:paraId="1835859F"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14:paraId="5853F0BD" w14:textId="77777777" w:rsidR="009D55C9" w:rsidRDefault="009D55C9">
                  <w:pPr>
                    <w:ind w:left="0" w:hanging="2"/>
                    <w:rPr>
                      <w:rFonts w:ascii="Arial" w:eastAsia="Arial" w:hAnsi="Arial" w:cs="Arial"/>
                      <w:color w:val="000000"/>
                      <w:sz w:val="18"/>
                      <w:szCs w:val="18"/>
                    </w:rPr>
                  </w:pPr>
                </w:p>
              </w:tc>
              <w:tc>
                <w:tcPr>
                  <w:tcW w:w="1275" w:type="dxa"/>
                </w:tcPr>
                <w:p w14:paraId="2747638B" w14:textId="77777777" w:rsidR="009D55C9" w:rsidRDefault="009D55C9">
                  <w:pPr>
                    <w:ind w:left="0" w:hanging="2"/>
                    <w:rPr>
                      <w:rFonts w:ascii="Arial" w:eastAsia="Arial" w:hAnsi="Arial" w:cs="Arial"/>
                      <w:color w:val="000000"/>
                      <w:sz w:val="18"/>
                      <w:szCs w:val="18"/>
                    </w:rPr>
                  </w:pPr>
                </w:p>
              </w:tc>
              <w:tc>
                <w:tcPr>
                  <w:tcW w:w="833" w:type="dxa"/>
                </w:tcPr>
                <w:p w14:paraId="78C2A003" w14:textId="77777777" w:rsidR="009D55C9" w:rsidRDefault="009D55C9">
                  <w:pPr>
                    <w:ind w:left="0" w:hanging="2"/>
                    <w:rPr>
                      <w:rFonts w:ascii="Arial" w:eastAsia="Arial" w:hAnsi="Arial" w:cs="Arial"/>
                      <w:color w:val="000000"/>
                      <w:sz w:val="18"/>
                      <w:szCs w:val="18"/>
                    </w:rPr>
                  </w:pPr>
                </w:p>
              </w:tc>
            </w:tr>
            <w:tr w:rsidR="009D55C9" w14:paraId="6EB89A0B" w14:textId="77777777">
              <w:tc>
                <w:tcPr>
                  <w:tcW w:w="5495" w:type="dxa"/>
                </w:tcPr>
                <w:p w14:paraId="4E5B7D3C"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14:paraId="26E047C2" w14:textId="77777777" w:rsidR="009D55C9" w:rsidRDefault="009D55C9">
                  <w:pPr>
                    <w:ind w:left="0" w:hanging="2"/>
                    <w:rPr>
                      <w:rFonts w:ascii="Arial" w:eastAsia="Arial" w:hAnsi="Arial" w:cs="Arial"/>
                      <w:color w:val="000000"/>
                      <w:sz w:val="18"/>
                      <w:szCs w:val="18"/>
                    </w:rPr>
                  </w:pPr>
                </w:p>
              </w:tc>
              <w:tc>
                <w:tcPr>
                  <w:tcW w:w="1275" w:type="dxa"/>
                </w:tcPr>
                <w:p w14:paraId="052D929B" w14:textId="77777777" w:rsidR="009D55C9" w:rsidRDefault="009D55C9">
                  <w:pPr>
                    <w:ind w:left="0" w:hanging="2"/>
                    <w:rPr>
                      <w:rFonts w:ascii="Arial" w:eastAsia="Arial" w:hAnsi="Arial" w:cs="Arial"/>
                      <w:color w:val="000000"/>
                      <w:sz w:val="18"/>
                      <w:szCs w:val="18"/>
                    </w:rPr>
                  </w:pPr>
                </w:p>
              </w:tc>
              <w:tc>
                <w:tcPr>
                  <w:tcW w:w="833" w:type="dxa"/>
                </w:tcPr>
                <w:p w14:paraId="405DEF78" w14:textId="77777777" w:rsidR="009D55C9" w:rsidRDefault="009D55C9">
                  <w:pPr>
                    <w:ind w:left="0" w:hanging="2"/>
                    <w:rPr>
                      <w:rFonts w:ascii="Arial" w:eastAsia="Arial" w:hAnsi="Arial" w:cs="Arial"/>
                      <w:color w:val="000000"/>
                      <w:sz w:val="18"/>
                      <w:szCs w:val="18"/>
                    </w:rPr>
                  </w:pPr>
                </w:p>
              </w:tc>
            </w:tr>
            <w:tr w:rsidR="009D55C9" w14:paraId="5E59DA22" w14:textId="77777777">
              <w:tc>
                <w:tcPr>
                  <w:tcW w:w="5495" w:type="dxa"/>
                </w:tcPr>
                <w:p w14:paraId="3AFA94D4"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14:paraId="3A2C542B" w14:textId="77777777" w:rsidR="009D55C9" w:rsidRDefault="009D55C9">
                  <w:pPr>
                    <w:ind w:left="0" w:hanging="2"/>
                    <w:rPr>
                      <w:rFonts w:ascii="Arial" w:eastAsia="Arial" w:hAnsi="Arial" w:cs="Arial"/>
                      <w:color w:val="000000"/>
                      <w:sz w:val="18"/>
                      <w:szCs w:val="18"/>
                    </w:rPr>
                  </w:pPr>
                </w:p>
              </w:tc>
              <w:tc>
                <w:tcPr>
                  <w:tcW w:w="1275" w:type="dxa"/>
                </w:tcPr>
                <w:p w14:paraId="51A5D694" w14:textId="77777777" w:rsidR="009D55C9" w:rsidRDefault="009D55C9">
                  <w:pPr>
                    <w:ind w:left="0" w:hanging="2"/>
                    <w:rPr>
                      <w:rFonts w:ascii="Arial" w:eastAsia="Arial" w:hAnsi="Arial" w:cs="Arial"/>
                      <w:color w:val="000000"/>
                      <w:sz w:val="18"/>
                      <w:szCs w:val="18"/>
                    </w:rPr>
                  </w:pPr>
                </w:p>
              </w:tc>
              <w:tc>
                <w:tcPr>
                  <w:tcW w:w="833" w:type="dxa"/>
                </w:tcPr>
                <w:p w14:paraId="6225C740" w14:textId="77777777" w:rsidR="009D55C9" w:rsidRDefault="009D55C9">
                  <w:pPr>
                    <w:ind w:left="0" w:hanging="2"/>
                    <w:rPr>
                      <w:rFonts w:ascii="Arial" w:eastAsia="Arial" w:hAnsi="Arial" w:cs="Arial"/>
                      <w:color w:val="000000"/>
                      <w:sz w:val="18"/>
                      <w:szCs w:val="18"/>
                    </w:rPr>
                  </w:pPr>
                </w:p>
              </w:tc>
            </w:tr>
            <w:tr w:rsidR="009D55C9" w14:paraId="3360C7C8" w14:textId="77777777">
              <w:tc>
                <w:tcPr>
                  <w:tcW w:w="5495" w:type="dxa"/>
                </w:tcPr>
                <w:p w14:paraId="38123C2B"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14:paraId="2E9B1417" w14:textId="77777777" w:rsidR="009D55C9" w:rsidRDefault="009D55C9">
                  <w:pPr>
                    <w:ind w:left="0" w:hanging="2"/>
                    <w:rPr>
                      <w:rFonts w:ascii="Arial" w:eastAsia="Arial" w:hAnsi="Arial" w:cs="Arial"/>
                      <w:color w:val="000000"/>
                      <w:sz w:val="18"/>
                      <w:szCs w:val="18"/>
                    </w:rPr>
                  </w:pPr>
                </w:p>
              </w:tc>
              <w:tc>
                <w:tcPr>
                  <w:tcW w:w="1275" w:type="dxa"/>
                </w:tcPr>
                <w:p w14:paraId="0E5E815D" w14:textId="77777777" w:rsidR="009D55C9" w:rsidRDefault="009D55C9">
                  <w:pPr>
                    <w:ind w:left="0" w:hanging="2"/>
                    <w:rPr>
                      <w:rFonts w:ascii="Arial" w:eastAsia="Arial" w:hAnsi="Arial" w:cs="Arial"/>
                      <w:color w:val="000000"/>
                      <w:sz w:val="18"/>
                      <w:szCs w:val="18"/>
                    </w:rPr>
                  </w:pPr>
                </w:p>
              </w:tc>
              <w:tc>
                <w:tcPr>
                  <w:tcW w:w="833" w:type="dxa"/>
                </w:tcPr>
                <w:p w14:paraId="5A957971" w14:textId="77777777" w:rsidR="009D55C9" w:rsidRDefault="009D55C9">
                  <w:pPr>
                    <w:ind w:left="0" w:hanging="2"/>
                    <w:rPr>
                      <w:rFonts w:ascii="Arial" w:eastAsia="Arial" w:hAnsi="Arial" w:cs="Arial"/>
                      <w:color w:val="000000"/>
                      <w:sz w:val="18"/>
                      <w:szCs w:val="18"/>
                    </w:rPr>
                  </w:pPr>
                </w:p>
              </w:tc>
            </w:tr>
            <w:tr w:rsidR="009D55C9" w14:paraId="4311B0BC" w14:textId="77777777">
              <w:tc>
                <w:tcPr>
                  <w:tcW w:w="5495" w:type="dxa"/>
                </w:tcPr>
                <w:p w14:paraId="22DD146E" w14:textId="77777777" w:rsidR="009D55C9" w:rsidRDefault="005A57E0">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14:paraId="16659276" w14:textId="77777777" w:rsidR="009D55C9" w:rsidRDefault="009D55C9">
                  <w:pPr>
                    <w:ind w:left="0" w:hanging="2"/>
                    <w:rPr>
                      <w:rFonts w:ascii="Arial" w:eastAsia="Arial" w:hAnsi="Arial" w:cs="Arial"/>
                      <w:color w:val="000000"/>
                      <w:sz w:val="18"/>
                      <w:szCs w:val="18"/>
                    </w:rPr>
                  </w:pPr>
                </w:p>
              </w:tc>
              <w:tc>
                <w:tcPr>
                  <w:tcW w:w="1275" w:type="dxa"/>
                </w:tcPr>
                <w:p w14:paraId="51B06BD1" w14:textId="77777777" w:rsidR="009D55C9" w:rsidRDefault="009D55C9">
                  <w:pPr>
                    <w:ind w:left="0" w:hanging="2"/>
                    <w:rPr>
                      <w:rFonts w:ascii="Arial" w:eastAsia="Arial" w:hAnsi="Arial" w:cs="Arial"/>
                      <w:color w:val="000000"/>
                      <w:sz w:val="18"/>
                      <w:szCs w:val="18"/>
                    </w:rPr>
                  </w:pPr>
                </w:p>
              </w:tc>
              <w:tc>
                <w:tcPr>
                  <w:tcW w:w="833" w:type="dxa"/>
                </w:tcPr>
                <w:p w14:paraId="78251E8B" w14:textId="77777777" w:rsidR="009D55C9" w:rsidRDefault="009D55C9">
                  <w:pPr>
                    <w:ind w:left="0" w:hanging="2"/>
                    <w:rPr>
                      <w:rFonts w:ascii="Arial" w:eastAsia="Arial" w:hAnsi="Arial" w:cs="Arial"/>
                      <w:color w:val="000000"/>
                      <w:sz w:val="18"/>
                      <w:szCs w:val="18"/>
                    </w:rPr>
                  </w:pPr>
                </w:p>
              </w:tc>
            </w:tr>
          </w:tbl>
          <w:p w14:paraId="18B5E80D" w14:textId="77777777" w:rsidR="009D55C9" w:rsidRDefault="009D55C9">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6AD1E1E8" w14:textId="77777777" w:rsidR="009D55C9" w:rsidRDefault="009D55C9">
      <w:pPr>
        <w:ind w:left="0" w:hanging="2"/>
        <w:rPr>
          <w:rFonts w:ascii="Arial" w:eastAsia="Arial" w:hAnsi="Arial" w:cs="Arial"/>
          <w:color w:val="000000"/>
          <w:sz w:val="20"/>
          <w:szCs w:val="20"/>
        </w:rPr>
      </w:pPr>
    </w:p>
    <w:p w14:paraId="10D47C2B" w14:textId="77777777" w:rsidR="009D55C9" w:rsidRDefault="005A57E0">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14:paraId="42AC2CE7" w14:textId="77777777" w:rsidR="009D55C9" w:rsidRDefault="009D55C9">
      <w:pPr>
        <w:ind w:left="0" w:hanging="2"/>
        <w:rPr>
          <w:rFonts w:ascii="Arial" w:eastAsia="Arial" w:hAnsi="Arial" w:cs="Arial"/>
          <w:sz w:val="20"/>
          <w:szCs w:val="20"/>
        </w:rPr>
      </w:pPr>
    </w:p>
    <w:p w14:paraId="624364FF" w14:textId="77777777" w:rsidR="009D55C9" w:rsidRDefault="009D55C9">
      <w:pPr>
        <w:ind w:left="0" w:hanging="2"/>
        <w:rPr>
          <w:rFonts w:ascii="Arial" w:eastAsia="Arial" w:hAnsi="Arial" w:cs="Arial"/>
          <w:sz w:val="20"/>
          <w:szCs w:val="20"/>
        </w:rPr>
      </w:pPr>
    </w:p>
    <w:p w14:paraId="4E8664A0" w14:textId="77777777" w:rsidR="009D55C9" w:rsidRDefault="009D55C9">
      <w:pPr>
        <w:ind w:left="0" w:hanging="2"/>
        <w:rPr>
          <w:rFonts w:ascii="Arial" w:eastAsia="Arial" w:hAnsi="Arial" w:cs="Arial"/>
          <w:sz w:val="20"/>
          <w:szCs w:val="20"/>
        </w:rPr>
      </w:pPr>
    </w:p>
    <w:p w14:paraId="14CF2DBD" w14:textId="77777777" w:rsidR="009D55C9" w:rsidRDefault="009D55C9">
      <w:pPr>
        <w:ind w:left="0" w:hanging="2"/>
        <w:rPr>
          <w:rFonts w:ascii="Arial" w:eastAsia="Arial" w:hAnsi="Arial" w:cs="Arial"/>
          <w:sz w:val="20"/>
          <w:szCs w:val="20"/>
        </w:rPr>
      </w:pPr>
    </w:p>
    <w:p w14:paraId="6B1A5671" w14:textId="77777777" w:rsidR="009D55C9" w:rsidRDefault="005A57E0">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p w14:paraId="6C732263" w14:textId="77777777" w:rsidR="002C33D7" w:rsidRDefault="002C33D7">
      <w:pPr>
        <w:ind w:left="0" w:hanging="2"/>
        <w:rPr>
          <w:rFonts w:ascii="Arial" w:eastAsia="Arial" w:hAnsi="Arial" w:cs="Arial"/>
          <w:b/>
          <w:sz w:val="20"/>
          <w:szCs w:val="20"/>
        </w:rPr>
      </w:pPr>
    </w:p>
    <w:p w14:paraId="17FB1B31" w14:textId="77777777" w:rsidR="002C33D7" w:rsidRDefault="002C33D7">
      <w:pPr>
        <w:ind w:left="0" w:hanging="2"/>
        <w:rPr>
          <w:rFonts w:ascii="Arial" w:eastAsia="Arial" w:hAnsi="Arial" w:cs="Arial"/>
          <w:b/>
          <w:sz w:val="20"/>
          <w:szCs w:val="20"/>
        </w:rPr>
      </w:pPr>
    </w:p>
    <w:p w14:paraId="174ED795" w14:textId="77777777" w:rsidR="002C33D7" w:rsidRDefault="002C33D7" w:rsidP="002C33D7">
      <w:pPr>
        <w:keepNext/>
        <w:pBdr>
          <w:top w:val="single" w:sz="4" w:space="1" w:color="000000"/>
          <w:left w:val="single" w:sz="4" w:space="4" w:color="000000"/>
          <w:bottom w:val="single" w:sz="4" w:space="1" w:color="000000"/>
          <w:right w:val="single" w:sz="4" w:space="4" w:color="000000"/>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10. BIBLIOGRAFÍA</w:t>
      </w:r>
    </w:p>
    <w:p w14:paraId="46B12C1F" w14:textId="77777777" w:rsidR="002C33D7" w:rsidRDefault="002C33D7">
      <w:pPr>
        <w:ind w:left="0" w:hanging="2"/>
        <w:rPr>
          <w:rFonts w:ascii="Arial" w:eastAsia="Arial" w:hAnsi="Arial" w:cs="Arial"/>
          <w:color w:val="000080"/>
          <w:sz w:val="20"/>
          <w:szCs w:val="20"/>
        </w:rPr>
      </w:pPr>
    </w:p>
    <w:sectPr w:rsidR="002C33D7">
      <w:headerReference w:type="even" r:id="rId19"/>
      <w:headerReference w:type="default" r:id="rId20"/>
      <w:footerReference w:type="even" r:id="rId21"/>
      <w:footerReference w:type="default" r:id="rId22"/>
      <w:headerReference w:type="first" r:id="rId23"/>
      <w:footerReference w:type="first" r:id="rId24"/>
      <w:footnotePr>
        <w:numFmt w:val="lowerLetter"/>
      </w:footnotePr>
      <w:endnotePr>
        <w:numFmt w:val="decimal"/>
      </w:endnotePr>
      <w:pgSz w:w="11906" w:h="16838"/>
      <w:pgMar w:top="1417" w:right="146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1136B" w14:textId="77777777" w:rsidR="00BC69DA" w:rsidRDefault="00BC69DA">
      <w:pPr>
        <w:spacing w:line="240" w:lineRule="auto"/>
        <w:ind w:left="0" w:hanging="2"/>
      </w:pPr>
      <w:r>
        <w:separator/>
      </w:r>
    </w:p>
  </w:endnote>
  <w:endnote w:type="continuationSeparator" w:id="0">
    <w:p w14:paraId="0D8F6FFE" w14:textId="77777777" w:rsidR="00BC69DA" w:rsidRDefault="00BC69DA">
      <w:pPr>
        <w:spacing w:line="240" w:lineRule="auto"/>
        <w:ind w:left="0" w:hanging="2"/>
      </w:pPr>
      <w:r>
        <w:continuationSeparator/>
      </w:r>
    </w:p>
  </w:endnote>
  <w:endnote w:id="1">
    <w:p w14:paraId="30BC11FB" w14:textId="77777777" w:rsidR="005637D2" w:rsidRPr="00847CA3" w:rsidRDefault="005637D2" w:rsidP="00847CA3">
      <w:pPr>
        <w:pBdr>
          <w:top w:val="nil"/>
          <w:left w:val="nil"/>
          <w:bottom w:val="nil"/>
          <w:right w:val="nil"/>
          <w:between w:val="nil"/>
        </w:pBdr>
        <w:spacing w:line="240" w:lineRule="auto"/>
        <w:ind w:left="0" w:hanging="2"/>
        <w:jc w:val="both"/>
        <w:rPr>
          <w:rFonts w:ascii="Arial" w:eastAsia="Arial" w:hAnsi="Arial" w:cs="Arial"/>
          <w:color w:val="0000FF"/>
          <w:sz w:val="20"/>
          <w:szCs w:val="20"/>
          <w:u w:val="single"/>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color w:val="000000"/>
          <w:sz w:val="20"/>
          <w:szCs w:val="20"/>
        </w:rPr>
        <w:t>EMA. Informe EPAR de Libmeldy</w:t>
      </w:r>
      <w:r w:rsidRPr="00847CA3">
        <w:rPr>
          <w:rFonts w:ascii="Arial" w:eastAsia="Arial" w:hAnsi="Arial" w:cs="Arial"/>
          <w:color w:val="000000"/>
          <w:sz w:val="20"/>
          <w:szCs w:val="20"/>
          <w:vertAlign w:val="superscript"/>
        </w:rPr>
        <w:t>®</w:t>
      </w:r>
      <w:r w:rsidRPr="00847CA3">
        <w:rPr>
          <w:rFonts w:ascii="Arial" w:eastAsia="Arial" w:hAnsi="Arial" w:cs="Arial"/>
          <w:color w:val="000000"/>
          <w:sz w:val="20"/>
          <w:szCs w:val="20"/>
        </w:rPr>
        <w:t xml:space="preserve"> [Internet]. 2020. [Citado 20 de enero de 2021]. Disponible en: </w:t>
      </w:r>
      <w:hyperlink r:id="rId1">
        <w:r w:rsidRPr="00847CA3">
          <w:rPr>
            <w:rFonts w:ascii="Arial" w:eastAsia="Arial" w:hAnsi="Arial" w:cs="Arial"/>
            <w:color w:val="0000FF"/>
            <w:sz w:val="20"/>
            <w:szCs w:val="20"/>
            <w:u w:val="single"/>
          </w:rPr>
          <w:t>https://www.ema.europa.eu/en/documents/assessment-report/libmeldy-epar-public-assessment-report_en.pdf</w:t>
        </w:r>
      </w:hyperlink>
    </w:p>
  </w:endnote>
  <w:endnote w:id="2">
    <w:p w14:paraId="3A0A8DB2" w14:textId="77777777" w:rsidR="005637D2" w:rsidRPr="00847CA3" w:rsidRDefault="005637D2" w:rsidP="00847CA3">
      <w:pPr>
        <w:pBdr>
          <w:top w:val="nil"/>
          <w:left w:val="nil"/>
          <w:bottom w:val="nil"/>
          <w:right w:val="nil"/>
          <w:between w:val="nil"/>
        </w:pBdr>
        <w:spacing w:line="240" w:lineRule="auto"/>
        <w:ind w:left="0" w:hanging="2"/>
        <w:jc w:val="both"/>
        <w:rPr>
          <w:rFonts w:ascii="Arial" w:eastAsia="Arial" w:hAnsi="Arial" w:cs="Arial"/>
          <w:color w:val="000000"/>
          <w:sz w:val="20"/>
          <w:szCs w:val="20"/>
          <w:highlight w:val="white"/>
          <w:lang w:val="en-US"/>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color w:val="000000"/>
          <w:sz w:val="20"/>
          <w:szCs w:val="20"/>
          <w:highlight w:val="white"/>
          <w:lang w:val="en-US"/>
        </w:rPr>
        <w:t>Kumar, V., Abbas, A. K., Fausto, N., Robbins, S. L. 1., &amp; Cotran, R. S. (2015). </w:t>
      </w:r>
      <w:r w:rsidRPr="00847CA3">
        <w:rPr>
          <w:rFonts w:ascii="Arial" w:eastAsia="Arial" w:hAnsi="Arial" w:cs="Arial"/>
          <w:i/>
          <w:color w:val="000000"/>
          <w:sz w:val="20"/>
          <w:szCs w:val="20"/>
          <w:highlight w:val="white"/>
          <w:lang w:val="en-US"/>
        </w:rPr>
        <w:t>Robbins and Cotran pathologic basis of disease</w:t>
      </w:r>
      <w:r w:rsidRPr="00847CA3">
        <w:rPr>
          <w:rFonts w:ascii="Arial" w:eastAsia="Arial" w:hAnsi="Arial" w:cs="Arial"/>
          <w:color w:val="000000"/>
          <w:sz w:val="20"/>
          <w:szCs w:val="20"/>
          <w:highlight w:val="white"/>
          <w:lang w:val="en-US"/>
        </w:rPr>
        <w:t> (9th ed.). Philadelphia: Elsevier Saunders.</w:t>
      </w:r>
    </w:p>
  </w:endnote>
  <w:endnote w:id="3">
    <w:p w14:paraId="41EAB264"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w:t>
      </w:r>
      <w:r w:rsidRPr="00847CA3">
        <w:rPr>
          <w:rFonts w:ascii="Arial" w:eastAsia="Arial" w:hAnsi="Arial" w:cs="Arial"/>
          <w:lang w:val="en-US"/>
        </w:rPr>
        <w:t xml:space="preserve">Schiffmann R. Metachromatic leukodystrophy. In: UpToDate, Post TW (Ed), UpToDate, Waltham, MA. </w:t>
      </w:r>
      <w:r w:rsidRPr="00847CA3">
        <w:rPr>
          <w:rFonts w:ascii="Arial" w:eastAsia="Arial" w:hAnsi="Arial" w:cs="Arial"/>
        </w:rPr>
        <w:t>(Accessed on January 20, 2021)</w:t>
      </w:r>
    </w:p>
  </w:endnote>
  <w:endnote w:id="4">
    <w:p w14:paraId="63CA802A" w14:textId="77777777" w:rsidR="005637D2" w:rsidRPr="00847CA3" w:rsidRDefault="005637D2" w:rsidP="00847CA3">
      <w:pPr>
        <w:shd w:val="clear" w:color="auto" w:fill="F9F9F9"/>
        <w:ind w:left="0" w:hanging="2"/>
        <w:jc w:val="both"/>
        <w:rPr>
          <w:rFonts w:ascii="Arial" w:eastAsia="Arial" w:hAnsi="Arial" w:cs="Arial"/>
          <w:sz w:val="20"/>
          <w:szCs w:val="20"/>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sz w:val="20"/>
          <w:szCs w:val="20"/>
        </w:rPr>
        <w:t xml:space="preserve">Leucodistrofia metacromática [Internet]. Federación Española de Enfermedades Raras (FEDER). 2021 [citado 20 enero 2021]. Disponible en: </w:t>
      </w:r>
    </w:p>
    <w:p w14:paraId="6AA3C34A" w14:textId="77777777" w:rsidR="005637D2" w:rsidRPr="00847CA3" w:rsidRDefault="0024715B" w:rsidP="00847CA3">
      <w:pPr>
        <w:shd w:val="clear" w:color="auto" w:fill="F9F9F9"/>
        <w:ind w:left="0" w:hanging="2"/>
        <w:jc w:val="both"/>
        <w:rPr>
          <w:rFonts w:ascii="Arial" w:hAnsi="Arial" w:cs="Arial"/>
          <w:color w:val="0000FF"/>
          <w:sz w:val="20"/>
          <w:szCs w:val="20"/>
          <w:u w:val="single"/>
        </w:rPr>
      </w:pPr>
      <w:hyperlink r:id="rId2">
        <w:r w:rsidR="005637D2" w:rsidRPr="00847CA3">
          <w:rPr>
            <w:rFonts w:ascii="Arial" w:eastAsia="Arial" w:hAnsi="Arial" w:cs="Arial"/>
            <w:color w:val="0000FF"/>
            <w:sz w:val="20"/>
            <w:szCs w:val="20"/>
            <w:u w:val="single"/>
          </w:rPr>
          <w:t>https://enfermedades-raras.org/index.php/component/content/article?id=892</w:t>
        </w:r>
      </w:hyperlink>
    </w:p>
  </w:endnote>
  <w:endnote w:id="5">
    <w:p w14:paraId="2787EDA3"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w:t>
      </w:r>
      <w:r w:rsidRPr="00847CA3">
        <w:rPr>
          <w:rFonts w:ascii="Arial" w:eastAsia="Arial" w:hAnsi="Arial" w:cs="Arial"/>
          <w:lang w:val="en-US"/>
        </w:rPr>
        <w:t xml:space="preserve">Eichler FS, Cox TM, Crombez E, Dali CÍ, Kohlschütter A. Metachromatic Leukodystrophy: An Assessment of Disease Burden. </w:t>
      </w:r>
      <w:r w:rsidRPr="00847CA3">
        <w:rPr>
          <w:rFonts w:ascii="Arial" w:eastAsia="Arial" w:hAnsi="Arial" w:cs="Arial"/>
        </w:rPr>
        <w:t>J Child Neurol. 2016;31 (13):1457-63</w:t>
      </w:r>
    </w:p>
  </w:endnote>
  <w:endnote w:id="6">
    <w:p w14:paraId="24B45471"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Schiller S, Henneke M, Gärtner J. Opening New Horizons in the Treatment of Childhood Onset Leukodystrophies. Neuropediatrics.2019. </w:t>
      </w:r>
      <w:r w:rsidRPr="00847CA3">
        <w:rPr>
          <w:rFonts w:ascii="Arial" w:eastAsia="Arial" w:hAnsi="Arial" w:cs="Arial"/>
        </w:rPr>
        <w:t>Disponible en:</w:t>
      </w:r>
      <w:r w:rsidRPr="00847CA3">
        <w:rPr>
          <w:rFonts w:ascii="Arial" w:hAnsi="Arial" w:cs="Arial"/>
        </w:rPr>
        <w:t xml:space="preserve"> </w:t>
      </w:r>
      <w:hyperlink r:id="rId3" w:history="1">
        <w:r w:rsidRPr="00847CA3">
          <w:rPr>
            <w:rStyle w:val="Hipervnculo"/>
            <w:rFonts w:ascii="Arial" w:hAnsi="Arial" w:cs="Arial"/>
          </w:rPr>
          <w:t>https://doi.org/10.1055/s-0039-1685529</w:t>
        </w:r>
      </w:hyperlink>
      <w:r w:rsidRPr="00847CA3">
        <w:rPr>
          <w:rFonts w:ascii="Arial" w:hAnsi="Arial" w:cs="Arial"/>
        </w:rPr>
        <w:t xml:space="preserve"> </w:t>
      </w:r>
    </w:p>
  </w:endnote>
  <w:endnote w:id="7">
    <w:p w14:paraId="35183ECE" w14:textId="77777777" w:rsidR="005637D2" w:rsidRPr="00847CA3" w:rsidRDefault="005637D2" w:rsidP="00847CA3">
      <w:pPr>
        <w:pBdr>
          <w:top w:val="nil"/>
          <w:left w:val="nil"/>
          <w:bottom w:val="nil"/>
          <w:right w:val="nil"/>
          <w:between w:val="nil"/>
        </w:pBdr>
        <w:spacing w:line="240" w:lineRule="auto"/>
        <w:ind w:left="0" w:hanging="2"/>
        <w:jc w:val="both"/>
        <w:rPr>
          <w:rFonts w:ascii="Arial" w:eastAsia="Arial" w:hAnsi="Arial" w:cs="Arial"/>
          <w:color w:val="0000FF"/>
          <w:sz w:val="20"/>
          <w:szCs w:val="20"/>
          <w:u w:val="single"/>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eastAsia="Arial" w:hAnsi="Arial" w:cs="Arial"/>
          <w:color w:val="000000"/>
          <w:sz w:val="20"/>
          <w:szCs w:val="20"/>
        </w:rPr>
        <w:t>EMA. Ficha técnica de Libmeldy</w:t>
      </w:r>
      <w:r w:rsidRPr="00847CA3">
        <w:rPr>
          <w:rFonts w:ascii="Arial" w:eastAsia="Arial" w:hAnsi="Arial" w:cs="Arial"/>
          <w:color w:val="000000"/>
          <w:sz w:val="20"/>
          <w:szCs w:val="20"/>
          <w:vertAlign w:val="superscript"/>
        </w:rPr>
        <w:t>®</w:t>
      </w:r>
      <w:r w:rsidRPr="00847CA3">
        <w:rPr>
          <w:rFonts w:ascii="Arial" w:eastAsia="Arial" w:hAnsi="Arial" w:cs="Arial"/>
          <w:color w:val="000000"/>
          <w:sz w:val="20"/>
          <w:szCs w:val="20"/>
        </w:rPr>
        <w:t xml:space="preserve"> [Internet]. 2020 [citado 20 de enero de 2021]. Disponible en: </w:t>
      </w:r>
      <w:hyperlink r:id="rId4">
        <w:r w:rsidRPr="00847CA3">
          <w:rPr>
            <w:rFonts w:ascii="Arial" w:eastAsia="Arial" w:hAnsi="Arial" w:cs="Arial"/>
            <w:color w:val="0000FF"/>
            <w:sz w:val="20"/>
            <w:szCs w:val="20"/>
            <w:u w:val="single"/>
          </w:rPr>
          <w:t>https://www.ema.europa.eu/en/documents/product-information/libmeldy-epar-product-information_es.pdf</w:t>
        </w:r>
      </w:hyperlink>
    </w:p>
  </w:endnote>
  <w:endnote w:id="8">
    <w:p w14:paraId="7E2E30CF"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w:t>
      </w:r>
      <w:r w:rsidRPr="00847CA3">
        <w:rPr>
          <w:rFonts w:ascii="Arial" w:eastAsia="Arial" w:hAnsi="Arial" w:cs="Arial"/>
          <w:color w:val="000000"/>
        </w:rPr>
        <w:t xml:space="preserve">INE Disponible en: </w:t>
      </w:r>
      <w:hyperlink r:id="rId5">
        <w:r w:rsidRPr="00847CA3">
          <w:rPr>
            <w:rFonts w:ascii="Arial" w:eastAsia="Arial" w:hAnsi="Arial" w:cs="Arial"/>
            <w:color w:val="0000FF"/>
            <w:u w:val="single"/>
          </w:rPr>
          <w:t>https://www.ine.es/dyngs/INEbase/es/operacion.htm?c=Estadistica_C&amp;cid=1254736177007&amp;menu=ultiDatos&amp;idp=1254735573002</w:t>
        </w:r>
      </w:hyperlink>
    </w:p>
  </w:endnote>
  <w:endnote w:id="9">
    <w:p w14:paraId="4D137C72" w14:textId="77777777" w:rsidR="005637D2" w:rsidRPr="00847CA3" w:rsidRDefault="005637D2" w:rsidP="00847CA3">
      <w:pPr>
        <w:pStyle w:val="Textonotapie"/>
        <w:ind w:left="0" w:hanging="2"/>
        <w:jc w:val="both"/>
        <w:rPr>
          <w:rFonts w:cs="Arial"/>
          <w:b/>
          <w:bCs/>
          <w:lang w:val="en-US"/>
        </w:rPr>
      </w:pPr>
      <w:r w:rsidRPr="00847CA3">
        <w:rPr>
          <w:rStyle w:val="Refdenotaalfinal"/>
          <w:rFonts w:cs="Arial"/>
        </w:rPr>
        <w:endnoteRef/>
      </w:r>
      <w:r w:rsidRPr="00847CA3">
        <w:rPr>
          <w:rFonts w:cs="Arial"/>
        </w:rPr>
        <w:t xml:space="preserve"> </w:t>
      </w:r>
      <w:r w:rsidRPr="00847CA3">
        <w:rPr>
          <w:rFonts w:cs="Arial"/>
          <w:lang w:val="en-US"/>
        </w:rPr>
        <w:t>Patients for affordable drugs. KYMRIAH MODELING &amp; ASSUMPTIONS</w:t>
      </w:r>
      <w:r w:rsidRPr="00847CA3">
        <w:rPr>
          <w:rFonts w:cs="Arial"/>
          <w:b/>
          <w:bCs/>
          <w:lang w:val="en-US"/>
        </w:rPr>
        <w:t xml:space="preserve"> </w:t>
      </w:r>
      <w:r w:rsidRPr="00847CA3">
        <w:rPr>
          <w:rFonts w:cs="Arial"/>
          <w:lang w:val="en-US"/>
        </w:rPr>
        <w:t xml:space="preserve">Estimates of patient demand for  KYMRIAH January 25, 2018 </w:t>
      </w:r>
      <w:hyperlink r:id="rId6" w:history="1">
        <w:r w:rsidRPr="00847CA3">
          <w:rPr>
            <w:rStyle w:val="Hipervnculo"/>
            <w:rFonts w:cs="Arial"/>
            <w:lang w:val="en-US"/>
          </w:rPr>
          <w:t>https://www.patientsforaffordabledrugs.org/2018/01/25/kymriah-modeling-assumptions/</w:t>
        </w:r>
      </w:hyperlink>
      <w:r w:rsidRPr="00847CA3">
        <w:rPr>
          <w:rFonts w:cs="Arial"/>
          <w:lang w:val="en-US"/>
        </w:rPr>
        <w:t xml:space="preserve"> </w:t>
      </w:r>
    </w:p>
  </w:endnote>
  <w:endnote w:id="10">
    <w:p w14:paraId="7F99F601" w14:textId="77777777" w:rsidR="005637D2" w:rsidRPr="00847CA3" w:rsidRDefault="005637D2" w:rsidP="00847CA3">
      <w:pPr>
        <w:pStyle w:val="Textonotapie"/>
        <w:ind w:left="0" w:hanging="2"/>
        <w:jc w:val="both"/>
        <w:rPr>
          <w:rFonts w:cs="Arial"/>
          <w:lang w:val="en-US"/>
        </w:rPr>
      </w:pPr>
      <w:r w:rsidRPr="00847CA3">
        <w:rPr>
          <w:rStyle w:val="Refdenotaalfinal"/>
          <w:rFonts w:cs="Arial"/>
        </w:rPr>
        <w:endnoteRef/>
      </w:r>
      <w:r w:rsidRPr="00847CA3">
        <w:rPr>
          <w:rFonts w:cs="Arial"/>
        </w:rPr>
        <w:t xml:space="preserve"> </w:t>
      </w:r>
      <w:r w:rsidRPr="00847CA3">
        <w:rPr>
          <w:rFonts w:cs="Arial"/>
          <w:lang w:val="en-US"/>
        </w:rPr>
        <w:t xml:space="preserve">Patients for affordable drugs.  NEW ANALYSIS SHOWS CAR-T DRUG WILDLY OVERPRICED SHARE FEBRUARY 8, 2018 </w:t>
      </w:r>
      <w:hyperlink r:id="rId7" w:history="1">
        <w:r w:rsidRPr="00847CA3">
          <w:rPr>
            <w:rStyle w:val="Hipervnculo"/>
            <w:rFonts w:cs="Arial"/>
            <w:lang w:val="en-US"/>
          </w:rPr>
          <w:t>https://www.patientsforaffordabledrugs.org/2018/02/08/new-analysis-shows-cart-drug-wildly-overpriced/</w:t>
        </w:r>
      </w:hyperlink>
      <w:r w:rsidRPr="00847CA3">
        <w:rPr>
          <w:rFonts w:cs="Arial"/>
          <w:lang w:val="en-US"/>
        </w:rPr>
        <w:t xml:space="preserve"> </w:t>
      </w:r>
    </w:p>
  </w:endnote>
  <w:endnote w:id="11">
    <w:p w14:paraId="507F8756" w14:textId="77777777" w:rsidR="005637D2" w:rsidRPr="00847CA3" w:rsidRDefault="005637D2" w:rsidP="00847CA3">
      <w:pPr>
        <w:ind w:left="0" w:hanging="2"/>
        <w:jc w:val="both"/>
        <w:rPr>
          <w:rFonts w:ascii="Arial" w:hAnsi="Arial" w:cs="Arial"/>
          <w:sz w:val="20"/>
          <w:szCs w:val="20"/>
          <w:lang w:val="en-US"/>
        </w:rPr>
      </w:pPr>
      <w:r w:rsidRPr="00847CA3">
        <w:rPr>
          <w:rStyle w:val="Refdenotaalfinal"/>
          <w:rFonts w:ascii="Arial" w:hAnsi="Arial" w:cs="Arial"/>
          <w:sz w:val="20"/>
          <w:szCs w:val="20"/>
        </w:rPr>
        <w:endnoteRef/>
      </w:r>
      <w:r w:rsidRPr="00847CA3">
        <w:rPr>
          <w:rFonts w:ascii="Arial" w:hAnsi="Arial" w:cs="Arial"/>
          <w:sz w:val="20"/>
          <w:szCs w:val="20"/>
        </w:rPr>
        <w:t xml:space="preserve"> </w:t>
      </w:r>
      <w:r w:rsidRPr="00847CA3">
        <w:rPr>
          <w:rFonts w:ascii="Arial" w:hAnsi="Arial" w:cs="Arial"/>
          <w:sz w:val="20"/>
          <w:szCs w:val="20"/>
          <w:lang w:val="en-US"/>
        </w:rPr>
        <w:t xml:space="preserve">Liz Szabo  New gene therapy treatment could hit $1M per patient because of additional costs. Kaiser Health News Published 7:30 PM EDT Oct 16, 2017 USA TODAY </w:t>
      </w:r>
      <w:hyperlink r:id="rId8" w:history="1">
        <w:r w:rsidRPr="00847CA3">
          <w:rPr>
            <w:rStyle w:val="Hipervnculo"/>
            <w:rFonts w:ascii="Arial" w:hAnsi="Arial" w:cs="Arial"/>
            <w:sz w:val="20"/>
            <w:szCs w:val="20"/>
            <w:lang w:val="en-US"/>
          </w:rPr>
          <w:t>https://eu.usatoday.com/story/news/2017/10/16/new-gene-therapy-treatment/769240001/</w:t>
        </w:r>
      </w:hyperlink>
      <w:r w:rsidRPr="00847CA3">
        <w:rPr>
          <w:rFonts w:ascii="Arial" w:hAnsi="Arial" w:cs="Arial"/>
          <w:sz w:val="20"/>
          <w:szCs w:val="20"/>
          <w:lang w:val="en-US"/>
        </w:rPr>
        <w:t xml:space="preserve"> </w:t>
      </w:r>
    </w:p>
  </w:endnote>
  <w:endnote w:id="12">
    <w:p w14:paraId="4777DB90" w14:textId="77777777" w:rsidR="005637D2" w:rsidRPr="00847CA3" w:rsidRDefault="005637D2" w:rsidP="00847CA3">
      <w:pPr>
        <w:pStyle w:val="Textonotapie"/>
        <w:ind w:left="0" w:hanging="2"/>
        <w:jc w:val="both"/>
        <w:rPr>
          <w:rFonts w:cs="Arial"/>
          <w:lang w:val="en-US"/>
        </w:rPr>
      </w:pPr>
      <w:r w:rsidRPr="00847CA3">
        <w:rPr>
          <w:rStyle w:val="Refdenotaalfinal"/>
          <w:rFonts w:cs="Arial"/>
        </w:rPr>
        <w:endnoteRef/>
      </w:r>
      <w:r w:rsidRPr="00847CA3">
        <w:rPr>
          <w:rFonts w:cs="Arial"/>
        </w:rPr>
        <w:t xml:space="preserve"> </w:t>
      </w:r>
      <w:r w:rsidRPr="00847CA3">
        <w:rPr>
          <w:rFonts w:cs="Arial"/>
          <w:lang w:val="en-US"/>
        </w:rPr>
        <w:t>Paul Kleutghen  David Mitchell  Aaron S. Kesselheim  Mehdi Najafzadeh Ameet Sarpatwari Drugs Don’t Work If People Can’t Afford Them: The High Price Of Tisagenlecleucel. Health affairs blog FEB 8, 2018</w:t>
      </w:r>
    </w:p>
  </w:endnote>
  <w:endnote w:id="13">
    <w:p w14:paraId="5C2EFDAD"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Informe Genesis Sefh. Tisagenlecleucel en leucemia linfoblástica aguda de precursores B en recaída o refractaria en menores de 25 años Fecha Final: 13/3/2019 </w:t>
      </w:r>
      <w:hyperlink r:id="rId9" w:history="1">
        <w:r w:rsidRPr="00847CA3">
          <w:rPr>
            <w:rStyle w:val="Hipervnculo"/>
            <w:rFonts w:ascii="Arial" w:hAnsi="Arial" w:cs="Arial"/>
          </w:rPr>
          <w:t>http://gruposdetrabajo.sefh.es/genesis/genesis/Documents/GENESIS_SEFH/TISAGENLECLEUCEL_LLA_def_GENESIS-SEFH_09_05_2019_ISBN_DL.docx</w:t>
        </w:r>
      </w:hyperlink>
      <w:r w:rsidRPr="00847CA3">
        <w:rPr>
          <w:rFonts w:ascii="Arial" w:hAnsi="Arial" w:cs="Arial"/>
        </w:rPr>
        <w:t xml:space="preserve"> </w:t>
      </w:r>
    </w:p>
  </w:endnote>
  <w:endnote w:id="14">
    <w:p w14:paraId="11C6B1F0"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Ran T, Eichmüller SB, Schmidt P, Schlander M Cost of decentralized CAR T</w:t>
      </w:r>
      <w:r w:rsidRPr="00847CA3">
        <w:rPr>
          <w:rFonts w:ascii="Cambria Math" w:hAnsi="Cambria Math" w:cs="Cambria Math"/>
        </w:rPr>
        <w:t>‐</w:t>
      </w:r>
      <w:r w:rsidRPr="00847CA3">
        <w:rPr>
          <w:rFonts w:ascii="Arial" w:hAnsi="Arial" w:cs="Arial"/>
        </w:rPr>
        <w:t xml:space="preserve">cell production in an academic nonprofit setting Cncer Therapy And Prevention 14 June 2020 https://doi.org/10.1002/ijc.33156   </w:t>
      </w:r>
      <w:hyperlink r:id="rId10" w:history="1">
        <w:r w:rsidRPr="00847CA3">
          <w:rPr>
            <w:rStyle w:val="Hipervnculo"/>
            <w:rFonts w:ascii="Arial" w:hAnsi="Arial" w:cs="Arial"/>
          </w:rPr>
          <w:t>https://onlinelibrary.wiley.com/doi/epdf/10.1002/ijc.33156</w:t>
        </w:r>
      </w:hyperlink>
      <w:r w:rsidRPr="00847CA3">
        <w:rPr>
          <w:rFonts w:ascii="Arial" w:hAnsi="Arial" w:cs="Arial"/>
        </w:rPr>
        <w:t xml:space="preserve"> </w:t>
      </w:r>
    </w:p>
  </w:endnote>
  <w:endnote w:id="15">
    <w:p w14:paraId="0EA500BC"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Ran T, Eichmüller SB, Schmidt P, Schlander M Reply to: Comments on “Cost of decentralized CAR T cell production in an academic non</w:t>
      </w:r>
      <w:r w:rsidRPr="00847CA3">
        <w:rPr>
          <w:rFonts w:ascii="Cambria Math" w:hAnsi="Cambria Math" w:cs="Cambria Math"/>
        </w:rPr>
        <w:t>‐</w:t>
      </w:r>
      <w:r w:rsidRPr="00847CA3">
        <w:rPr>
          <w:rFonts w:ascii="Arial" w:hAnsi="Arial" w:cs="Arial"/>
        </w:rPr>
        <w:t xml:space="preserve">profit setting”First published: 15 August 2020 https://doi.org/10.1002/ijc.33253  </w:t>
      </w:r>
      <w:hyperlink r:id="rId11" w:history="1">
        <w:r w:rsidRPr="00847CA3">
          <w:rPr>
            <w:rStyle w:val="Hipervnculo"/>
            <w:rFonts w:ascii="Arial" w:hAnsi="Arial" w:cs="Arial"/>
          </w:rPr>
          <w:t>https://onlinelibrary.wiley.com/doi/full/10.1002/ijc.33253</w:t>
        </w:r>
      </w:hyperlink>
      <w:r w:rsidRPr="00847CA3">
        <w:rPr>
          <w:rFonts w:ascii="Arial" w:hAnsi="Arial" w:cs="Arial"/>
        </w:rPr>
        <w:t xml:space="preserve"> </w:t>
      </w:r>
    </w:p>
  </w:endnote>
  <w:endnote w:id="16">
    <w:p w14:paraId="6B19D6C7" w14:textId="77777777" w:rsidR="005637D2" w:rsidRPr="00847CA3" w:rsidRDefault="005637D2" w:rsidP="00847CA3">
      <w:pPr>
        <w:pStyle w:val="Textonotaalfinal"/>
        <w:ind w:left="0" w:hanging="2"/>
        <w:jc w:val="both"/>
        <w:rPr>
          <w:rFonts w:ascii="Arial" w:hAnsi="Arial" w:cs="Arial"/>
          <w:lang w:val="en-GB"/>
        </w:rPr>
      </w:pPr>
      <w:r w:rsidRPr="00847CA3">
        <w:rPr>
          <w:rStyle w:val="Refdenotaalfinal"/>
          <w:rFonts w:ascii="Arial" w:hAnsi="Arial" w:cs="Arial"/>
        </w:rPr>
        <w:endnoteRef/>
      </w:r>
      <w:r w:rsidRPr="00847CA3">
        <w:rPr>
          <w:rFonts w:ascii="Arial" w:hAnsi="Arial" w:cs="Arial"/>
          <w:lang w:val="en-GB"/>
        </w:rPr>
        <w:t xml:space="preserve"> Biopharmaceutical Industry-Sponsored Clinical Trials: Impact on State EconomiesPrepared by Battelle Technology Partnership Practice Prepared for Pharmaceutical Research and Manufacturers of America (PhRMA) March 2015 </w:t>
      </w:r>
      <w:hyperlink r:id="rId12" w:history="1">
        <w:r w:rsidRPr="00847CA3">
          <w:rPr>
            <w:rStyle w:val="Hipervnculo"/>
            <w:rFonts w:ascii="Arial" w:hAnsi="Arial" w:cs="Arial"/>
            <w:lang w:val="en-GB"/>
          </w:rPr>
          <w:t>http://phrma-docs.phrma.org/sites/default/files/pdf/biopharmaceutical-industry-sponsored-clinical-trials-impact-on-state-economies.pdf</w:t>
        </w:r>
      </w:hyperlink>
    </w:p>
  </w:endnote>
  <w:endnote w:id="17">
    <w:p w14:paraId="5951901F" w14:textId="77777777" w:rsidR="005637D2" w:rsidRPr="00847CA3" w:rsidRDefault="005637D2" w:rsidP="00847CA3">
      <w:pPr>
        <w:pStyle w:val="Textonotaalfinal"/>
        <w:ind w:left="0" w:hanging="2"/>
        <w:jc w:val="both"/>
        <w:rPr>
          <w:rFonts w:ascii="Arial" w:hAnsi="Arial" w:cs="Arial"/>
          <w:lang w:val="en-GB"/>
        </w:rPr>
      </w:pPr>
      <w:r w:rsidRPr="00847CA3">
        <w:rPr>
          <w:rStyle w:val="Refdenotaalfinal"/>
          <w:rFonts w:ascii="Arial" w:hAnsi="Arial" w:cs="Arial"/>
        </w:rPr>
        <w:endnoteRef/>
      </w:r>
      <w:r w:rsidRPr="00847CA3">
        <w:rPr>
          <w:rFonts w:ascii="Arial" w:hAnsi="Arial" w:cs="Arial"/>
          <w:lang w:val="en-GB"/>
        </w:rPr>
        <w:t xml:space="preserve"> Ledesma P .How much does a clinical trial cost? 2 Jan, 2020 </w:t>
      </w:r>
      <w:hyperlink r:id="rId13" w:history="1">
        <w:r w:rsidRPr="00847CA3">
          <w:rPr>
            <w:rStyle w:val="Hipervnculo"/>
            <w:rFonts w:ascii="Arial" w:hAnsi="Arial" w:cs="Arial"/>
            <w:lang w:val="en-GB"/>
          </w:rPr>
          <w:t>https://www.sofpromed.com/how-much-does-a-clinical-trial-cost/</w:t>
        </w:r>
      </w:hyperlink>
      <w:r w:rsidRPr="00847CA3">
        <w:rPr>
          <w:rFonts w:ascii="Arial" w:hAnsi="Arial" w:cs="Arial"/>
          <w:lang w:val="en-GB"/>
        </w:rPr>
        <w:t xml:space="preserve"> </w:t>
      </w:r>
    </w:p>
  </w:endnote>
  <w:endnote w:id="18">
    <w:p w14:paraId="2912CA9B" w14:textId="77777777" w:rsidR="005637D2" w:rsidRPr="00847CA3" w:rsidRDefault="005637D2" w:rsidP="00847CA3">
      <w:pPr>
        <w:pStyle w:val="Textonotaalfinal"/>
        <w:ind w:left="0" w:hanging="2"/>
        <w:jc w:val="both"/>
        <w:rPr>
          <w:rFonts w:ascii="Arial" w:hAnsi="Arial" w:cs="Arial"/>
          <w:lang w:val="en-GB"/>
        </w:rPr>
      </w:pPr>
      <w:r w:rsidRPr="00847CA3">
        <w:rPr>
          <w:rStyle w:val="Refdenotaalfinal"/>
          <w:rFonts w:ascii="Arial" w:hAnsi="Arial" w:cs="Arial"/>
        </w:rPr>
        <w:endnoteRef/>
      </w:r>
      <w:r w:rsidRPr="00847CA3">
        <w:rPr>
          <w:rFonts w:ascii="Arial" w:hAnsi="Arial" w:cs="Arial"/>
          <w:lang w:val="en-GB"/>
        </w:rPr>
        <w:t xml:space="preserve"> Thomas J Moore Variation in the estimated costs of pivotal clinical benefit trials supporting the US approval of new therapeutic agents, 2015–2017: a cross-sectional study BMJ Open. 2020; 10(6): </w:t>
      </w:r>
      <w:hyperlink r:id="rId14" w:history="1">
        <w:r w:rsidRPr="00847CA3">
          <w:rPr>
            <w:rStyle w:val="Hipervnculo"/>
            <w:rFonts w:ascii="Arial" w:hAnsi="Arial" w:cs="Arial"/>
            <w:lang w:val="en-GB"/>
          </w:rPr>
          <w:t>https://www.ncbi.nlm.nih.gov/pmc/articles/PMC7295430/</w:t>
        </w:r>
      </w:hyperlink>
      <w:r w:rsidRPr="00847CA3">
        <w:rPr>
          <w:rFonts w:ascii="Arial" w:hAnsi="Arial" w:cs="Arial"/>
          <w:lang w:val="en-GB"/>
        </w:rPr>
        <w:t xml:space="preserve"> </w:t>
      </w:r>
    </w:p>
  </w:endnote>
  <w:endnote w:id="19">
    <w:p w14:paraId="50F371E0"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MLD Fundation, </w:t>
      </w:r>
      <w:hyperlink r:id="rId15" w:history="1">
        <w:r w:rsidRPr="00062E6B">
          <w:rPr>
            <w:rStyle w:val="Hipervnculo"/>
            <w:rFonts w:ascii="Arial" w:hAnsi="Arial" w:cs="Arial"/>
          </w:rPr>
          <w:t>https://mldfoundation.org/</w:t>
        </w:r>
      </w:hyperlink>
      <w:r>
        <w:rPr>
          <w:rFonts w:ascii="Arial" w:hAnsi="Arial" w:cs="Arial"/>
        </w:rPr>
        <w:t xml:space="preserve"> </w:t>
      </w:r>
      <w:r w:rsidRPr="00847CA3">
        <w:rPr>
          <w:rFonts w:ascii="Arial" w:hAnsi="Arial" w:cs="Arial"/>
        </w:rPr>
        <w:t xml:space="preserve"> </w:t>
      </w:r>
      <w:r>
        <w:rPr>
          <w:rFonts w:ascii="Arial" w:hAnsi="Arial" w:cs="Arial"/>
        </w:rPr>
        <w:t>A</w:t>
      </w:r>
      <w:r w:rsidRPr="00847CA3">
        <w:rPr>
          <w:rFonts w:ascii="Arial" w:hAnsi="Arial" w:cs="Arial"/>
        </w:rPr>
        <w:t xml:space="preserve">cceso al vídeo: Página Education / MLD 101 / What is MLD?  </w:t>
      </w:r>
    </w:p>
    <w:p w14:paraId="266488DA" w14:textId="77777777" w:rsidR="005637D2" w:rsidRPr="00847CA3" w:rsidRDefault="005637D2" w:rsidP="00847CA3">
      <w:pPr>
        <w:pStyle w:val="Textonotaalfinal"/>
        <w:ind w:left="0" w:hanging="2"/>
        <w:jc w:val="both"/>
        <w:rPr>
          <w:rFonts w:ascii="Arial" w:hAnsi="Arial" w:cs="Arial"/>
        </w:rPr>
      </w:pPr>
      <w:r w:rsidRPr="00847CA3">
        <w:rPr>
          <w:rFonts w:ascii="Arial" w:hAnsi="Arial" w:cs="Arial"/>
        </w:rPr>
        <w:t>https://mldfoundation.org/mld-video-player.php?video=184</w:t>
      </w:r>
    </w:p>
  </w:endnote>
  <w:endnote w:id="20">
    <w:p w14:paraId="79E2CAF0"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Ribera Santasusana JM, de Andrés Saldaña A, García-Muñoz N, Gostkorzewicz J, Martínez Llinàs D, Díaz de Heredia C. Cost-Effectiveness Analysis of Tisagenlecleucel in the Treatment of Relapsed or Refractory B-Cell Acute Lymphoblastic Leukaemia in Children and Young Adults in Spain. Clinicoecon Outcomes Res. 2020;12:253-264. Published 2020 May 15. doi:10.2147/CEOR.S241880 </w:t>
      </w:r>
      <w:hyperlink r:id="rId16" w:history="1">
        <w:r w:rsidRPr="00847CA3">
          <w:rPr>
            <w:rStyle w:val="Hipervnculo"/>
            <w:rFonts w:ascii="Arial" w:hAnsi="Arial" w:cs="Arial"/>
          </w:rPr>
          <w:t>https://www.ncbi.nlm.nih.gov/pmc/articles/PMC7237114/pdf/ceor-12-253.pdf</w:t>
        </w:r>
      </w:hyperlink>
      <w:r w:rsidRPr="00847CA3">
        <w:rPr>
          <w:rStyle w:val="Hipervnculo"/>
          <w:rFonts w:ascii="Arial" w:hAnsi="Arial" w:cs="Arial"/>
        </w:rPr>
        <w:t xml:space="preserve"> </w:t>
      </w:r>
    </w:p>
  </w:endnote>
  <w:endnote w:id="21">
    <w:p w14:paraId="0C905ECA"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LibmeldyTMis an investigational  Estimate based on Orchard cost-effectiveness analysis</w:t>
      </w:r>
    </w:p>
    <w:p w14:paraId="199119C4" w14:textId="77777777" w:rsidR="005637D2" w:rsidRPr="00847CA3" w:rsidRDefault="0024715B" w:rsidP="00847CA3">
      <w:pPr>
        <w:pStyle w:val="Textonotaalfinal"/>
        <w:ind w:left="0" w:hanging="2"/>
        <w:jc w:val="both"/>
        <w:rPr>
          <w:rFonts w:ascii="Arial" w:hAnsi="Arial" w:cs="Arial"/>
        </w:rPr>
      </w:pPr>
      <w:hyperlink r:id="rId17" w:history="1">
        <w:r w:rsidR="005637D2" w:rsidRPr="00847CA3">
          <w:rPr>
            <w:rStyle w:val="Hipervnculo"/>
            <w:rFonts w:ascii="Arial" w:hAnsi="Arial" w:cs="Arial"/>
          </w:rPr>
          <w:t>https://static.seekingalpha.com/uploads/sa_presentations/58/59058/original.pdf</w:t>
        </w:r>
      </w:hyperlink>
      <w:r w:rsidR="005637D2" w:rsidRPr="00847CA3">
        <w:rPr>
          <w:rFonts w:ascii="Arial" w:hAnsi="Arial" w:cs="Arial"/>
        </w:rPr>
        <w:t xml:space="preserve"> </w:t>
      </w:r>
    </w:p>
  </w:endnote>
  <w:endnote w:id="22">
    <w:p w14:paraId="6E963863" w14:textId="77777777" w:rsidR="005637D2" w:rsidRPr="00847CA3" w:rsidRDefault="005637D2" w:rsidP="00847CA3">
      <w:pPr>
        <w:pStyle w:val="Textonotaalfinal"/>
        <w:ind w:left="0" w:hanging="2"/>
        <w:jc w:val="both"/>
        <w:rPr>
          <w:rFonts w:ascii="Arial" w:hAnsi="Arial" w:cs="Arial"/>
        </w:rPr>
      </w:pPr>
      <w:r w:rsidRPr="00847CA3">
        <w:rPr>
          <w:rStyle w:val="Refdenotaalfinal"/>
          <w:rFonts w:ascii="Arial" w:hAnsi="Arial" w:cs="Arial"/>
        </w:rPr>
        <w:endnoteRef/>
      </w:r>
      <w:r w:rsidRPr="00847CA3">
        <w:rPr>
          <w:rFonts w:ascii="Arial" w:hAnsi="Arial" w:cs="Arial"/>
        </w:rPr>
        <w:t xml:space="preserve">   Brimley CJ, Lopez J, van Haren K, et al. National variation in costs and mortality for leukodystrophy patients in US children's hospitals. Pediatr Neurol. 2013;49(3):156-162.e1. doi:10.1016/j.pediatrneurol.2013.06.006</w:t>
      </w:r>
    </w:p>
    <w:p w14:paraId="13FE130C" w14:textId="77777777" w:rsidR="005637D2" w:rsidRPr="00847CA3" w:rsidRDefault="0024715B" w:rsidP="00847CA3">
      <w:pPr>
        <w:pStyle w:val="Textonotaalfinal"/>
        <w:ind w:left="0" w:hanging="2"/>
        <w:jc w:val="both"/>
        <w:rPr>
          <w:rFonts w:ascii="Arial" w:hAnsi="Arial" w:cs="Arial"/>
        </w:rPr>
      </w:pPr>
      <w:hyperlink r:id="rId18" w:history="1">
        <w:r w:rsidR="005637D2" w:rsidRPr="00847CA3">
          <w:rPr>
            <w:rStyle w:val="Hipervnculo"/>
            <w:rFonts w:ascii="Arial" w:hAnsi="Arial" w:cs="Arial"/>
          </w:rPr>
          <w:t>https://www.ncbi.nlm.nih.gov/pmc/articles/PMC3748620/</w:t>
        </w:r>
      </w:hyperlink>
      <w:r w:rsidR="005637D2" w:rsidRPr="00847CA3">
        <w:rPr>
          <w:rFonts w:ascii="Arial" w:hAnsi="Arial"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ZYYKLI+TimesTen-Roman">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NBIQZG+HelveticaNeue-Light">
    <w:panose1 w:val="00000000000000000000"/>
    <w:charset w:val="00"/>
    <w:family w:val="roman"/>
    <w:notTrueType/>
    <w:pitch w:val="default"/>
  </w:font>
  <w:font w:name="GNQAFU+HelveticaNeue-Black">
    <w:panose1 w:val="00000000000000000000"/>
    <w:charset w:val="00"/>
    <w:family w:val="roman"/>
    <w:notTrueType/>
    <w:pitch w:val="default"/>
  </w:font>
  <w:font w:name="DZMIPA+HelveticaNeue-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E4EF" w14:textId="77777777" w:rsidR="005637D2" w:rsidRDefault="005637D2" w:rsidP="000716FA">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D4F90" w14:textId="77777777" w:rsidR="005637D2" w:rsidRDefault="005637D2">
    <w:pPr>
      <w:pBdr>
        <w:top w:val="nil"/>
        <w:left w:val="nil"/>
        <w:bottom w:val="nil"/>
        <w:right w:val="nil"/>
        <w:between w:val="nil"/>
      </w:pBdr>
      <w:tabs>
        <w:tab w:val="center" w:pos="4252"/>
        <w:tab w:val="right" w:pos="8504"/>
      </w:tabs>
      <w:spacing w:line="240" w:lineRule="auto"/>
      <w:ind w:left="0" w:hanging="2"/>
      <w:rPr>
        <w:color w:val="000000"/>
      </w:rPr>
    </w:pPr>
  </w:p>
  <w:p w14:paraId="4FB221D3" w14:textId="77777777" w:rsidR="005637D2" w:rsidRDefault="005637D2">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56299" w14:textId="77777777" w:rsidR="005637D2" w:rsidRDefault="005637D2" w:rsidP="000716FA">
    <w:pPr>
      <w:pStyle w:val="Piedep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2ECE9" w14:textId="77777777" w:rsidR="00BC69DA" w:rsidRDefault="00BC69DA">
      <w:pPr>
        <w:spacing w:line="240" w:lineRule="auto"/>
        <w:ind w:left="0" w:hanging="2"/>
      </w:pPr>
      <w:r>
        <w:separator/>
      </w:r>
    </w:p>
  </w:footnote>
  <w:footnote w:type="continuationSeparator" w:id="0">
    <w:p w14:paraId="3CAA2C18" w14:textId="77777777" w:rsidR="00BC69DA" w:rsidRDefault="00BC69DA">
      <w:pPr>
        <w:spacing w:line="240" w:lineRule="auto"/>
        <w:ind w:left="0" w:hanging="2"/>
      </w:pPr>
      <w:r>
        <w:continuationSeparator/>
      </w:r>
    </w:p>
  </w:footnote>
  <w:footnote w:id="1">
    <w:p w14:paraId="5F199185" w14:textId="77777777" w:rsidR="005637D2" w:rsidRPr="000716FA" w:rsidRDefault="005637D2" w:rsidP="000716FA">
      <w:pPr>
        <w:widowControl w:val="0"/>
        <w:ind w:left="0" w:hanging="2"/>
        <w:jc w:val="both"/>
        <w:rPr>
          <w:rFonts w:ascii="Arial" w:eastAsia="Arial" w:hAnsi="Arial" w:cs="Arial"/>
          <w:sz w:val="16"/>
          <w:szCs w:val="16"/>
        </w:rPr>
      </w:pPr>
      <w:r w:rsidRPr="000716FA">
        <w:rPr>
          <w:rFonts w:ascii="Arial" w:hAnsi="Arial" w:cs="Arial"/>
          <w:sz w:val="16"/>
          <w:szCs w:val="16"/>
          <w:vertAlign w:val="superscript"/>
        </w:rPr>
        <w:footnoteRef/>
      </w:r>
      <w:r w:rsidRPr="000716FA">
        <w:rPr>
          <w:rFonts w:ascii="Arial" w:eastAsia="Arial" w:hAnsi="Arial" w:cs="Arial"/>
          <w:sz w:val="16"/>
          <w:szCs w:val="16"/>
        </w:rPr>
        <w:t xml:space="preserve"> </w:t>
      </w:r>
      <w:r w:rsidRPr="000716FA">
        <w:rPr>
          <w:rFonts w:ascii="Arial" w:eastAsia="Arial" w:hAnsi="Arial" w:cs="Arial"/>
          <w:b/>
          <w:i/>
          <w:sz w:val="16"/>
          <w:szCs w:val="16"/>
        </w:rPr>
        <w:t>Marín R, Puigventós F, Fraga MD, Ortega A, López-Briz E, Arocas V, Santos B.</w:t>
      </w:r>
      <w:r w:rsidRPr="000716FA">
        <w:rPr>
          <w:rFonts w:ascii="Arial" w:eastAsia="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r w:rsidRPr="000716FA">
          <w:rPr>
            <w:rFonts w:ascii="Arial" w:eastAsia="Arial" w:hAnsi="Arial" w:cs="Arial"/>
            <w:color w:val="0000FF"/>
            <w:sz w:val="16"/>
            <w:szCs w:val="16"/>
            <w:u w:val="single"/>
          </w:rPr>
          <w:t>http://gruposdetrabajo.sefh.es/genesis/genesis/basesmetodologicas/programamadre/index.html</w:t>
        </w:r>
      </w:hyperlink>
    </w:p>
    <w:p w14:paraId="72F089D5" w14:textId="77777777" w:rsidR="005637D2" w:rsidRPr="000716FA" w:rsidRDefault="005637D2" w:rsidP="000716FA">
      <w:pPr>
        <w:pBdr>
          <w:top w:val="nil"/>
          <w:left w:val="nil"/>
          <w:bottom w:val="nil"/>
          <w:right w:val="nil"/>
          <w:between w:val="nil"/>
        </w:pBdr>
        <w:spacing w:line="240" w:lineRule="auto"/>
        <w:ind w:left="0" w:hanging="2"/>
        <w:rPr>
          <w:rFonts w:ascii="Arial" w:eastAsia="Arial" w:hAnsi="Arial" w:cs="Arial"/>
          <w:color w:val="000000"/>
          <w:sz w:val="16"/>
          <w:szCs w:val="16"/>
        </w:rPr>
      </w:pPr>
    </w:p>
  </w:footnote>
  <w:footnote w:id="2">
    <w:p w14:paraId="10E4AD83" w14:textId="77777777" w:rsidR="005637D2" w:rsidRPr="000716FA" w:rsidRDefault="005637D2" w:rsidP="000716FA">
      <w:pPr>
        <w:ind w:left="0" w:hanging="2"/>
        <w:jc w:val="both"/>
        <w:rPr>
          <w:rFonts w:ascii="Arial" w:hAnsi="Arial" w:cs="Arial"/>
          <w:sz w:val="16"/>
          <w:szCs w:val="16"/>
        </w:rPr>
      </w:pPr>
      <w:r w:rsidRPr="000716FA">
        <w:rPr>
          <w:rFonts w:ascii="Arial" w:hAnsi="Arial" w:cs="Arial"/>
          <w:sz w:val="16"/>
          <w:szCs w:val="16"/>
          <w:vertAlign w:val="superscript"/>
        </w:rPr>
        <w:footnoteRef/>
      </w:r>
      <w:r w:rsidRPr="000716FA">
        <w:rPr>
          <w:rFonts w:ascii="Arial" w:hAnsi="Arial" w:cs="Arial"/>
          <w:sz w:val="16"/>
          <w:szCs w:val="16"/>
        </w:rPr>
        <w:t xml:space="preserve"> </w:t>
      </w:r>
      <w:r w:rsidRPr="000716FA">
        <w:rPr>
          <w:rFonts w:ascii="Arial" w:eastAsia="Arial" w:hAnsi="Arial" w:cs="Arial"/>
          <w:b/>
          <w:i/>
          <w:sz w:val="16"/>
          <w:szCs w:val="16"/>
        </w:rPr>
        <w:t>Ortega Eslava A, Marín Gil R, Fraga Fuentes MD, López-Briz E, Puigventós Latorre F (GENESIS-SEFH</w:t>
      </w:r>
      <w:r w:rsidRPr="000716FA">
        <w:rPr>
          <w:rFonts w:ascii="Arial" w:eastAsia="Arial" w:hAnsi="Arial" w:cs="Arial"/>
          <w:sz w:val="16"/>
          <w:szCs w:val="16"/>
        </w:rPr>
        <w:t xml:space="preserve">). Guía de evaluación económica e impacto presupuestario en los informes de evaluación de medicamentos. Guía práctica asociada al programa MADRE v4.0. Madrid: SEFH (e.), 2016 ISBN: 978-84-617-6757-1. Disponible en: </w:t>
      </w:r>
      <w:hyperlink r:id="rId2" w:history="1">
        <w:r w:rsidRPr="005304E1">
          <w:rPr>
            <w:rStyle w:val="Hipervnculo"/>
            <w:rFonts w:ascii="Arial" w:eastAsia="Arial" w:hAnsi="Arial" w:cs="Arial"/>
            <w:sz w:val="16"/>
            <w:szCs w:val="16"/>
          </w:rPr>
          <w:t>http://gruposdetrabajo.sefh.es/genesis</w:t>
        </w:r>
      </w:hyperlink>
      <w:r>
        <w:rPr>
          <w:rFonts w:ascii="Arial" w:hAnsi="Arial" w:cs="Arial"/>
          <w:sz w:val="16"/>
          <w:szCs w:val="16"/>
        </w:rPr>
        <w:t xml:space="preserve"> </w:t>
      </w:r>
    </w:p>
    <w:p w14:paraId="2FE13B41" w14:textId="77777777" w:rsidR="005637D2" w:rsidRDefault="005637D2">
      <w:pPr>
        <w:pBdr>
          <w:top w:val="nil"/>
          <w:left w:val="nil"/>
          <w:bottom w:val="nil"/>
          <w:right w:val="nil"/>
          <w:between w:val="nil"/>
        </w:pBdr>
        <w:spacing w:line="240" w:lineRule="auto"/>
        <w:ind w:left="0" w:hanging="2"/>
        <w:rPr>
          <w:rFonts w:ascii="Arial" w:eastAsia="Arial" w:hAnsi="Arial" w:cs="Arial"/>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FA81" w14:textId="77777777" w:rsidR="005637D2" w:rsidRDefault="005637D2" w:rsidP="000716FA">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8AC0" w14:textId="77777777" w:rsidR="005637D2" w:rsidRDefault="005637D2">
    <w:pPr>
      <w:widowControl w:val="0"/>
      <w:pBdr>
        <w:top w:val="nil"/>
        <w:left w:val="nil"/>
        <w:bottom w:val="nil"/>
        <w:right w:val="nil"/>
        <w:between w:val="nil"/>
      </w:pBdr>
      <w:spacing w:line="276" w:lineRule="auto"/>
      <w:ind w:left="0" w:hanging="2"/>
      <w:rPr>
        <w:rFonts w:ascii="Arial" w:eastAsia="Arial" w:hAnsi="Arial" w:cs="Arial"/>
        <w:color w:val="000000"/>
        <w:sz w:val="20"/>
        <w:szCs w:val="20"/>
      </w:rPr>
    </w:pPr>
  </w:p>
  <w:tbl>
    <w:tblPr>
      <w:tblStyle w:val="afffff1"/>
      <w:tblW w:w="8820" w:type="dxa"/>
      <w:tblInd w:w="0" w:type="dxa"/>
      <w:tblLayout w:type="fixed"/>
      <w:tblLook w:val="0000" w:firstRow="0" w:lastRow="0" w:firstColumn="0" w:lastColumn="0" w:noHBand="0" w:noVBand="0"/>
    </w:tblPr>
    <w:tblGrid>
      <w:gridCol w:w="6300"/>
      <w:gridCol w:w="1080"/>
      <w:gridCol w:w="1440"/>
    </w:tblGrid>
    <w:tr w:rsidR="005637D2" w14:paraId="4E724A03" w14:textId="77777777">
      <w:trPr>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14:paraId="2659A6FE" w14:textId="77777777" w:rsidR="005637D2" w:rsidRDefault="005637D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14:paraId="58681D70" w14:textId="77777777" w:rsidR="005637D2" w:rsidRDefault="005637D2">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14:paraId="2D3E3040" w14:textId="77777777" w:rsidR="005637D2" w:rsidRDefault="005637D2">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2020 </w:t>
          </w:r>
          <w:r>
            <w:rPr>
              <w:rFonts w:ascii="Arial" w:eastAsia="Arial" w:hAnsi="Arial" w:cs="Arial"/>
              <w:b/>
              <w:color w:val="FFFFFF"/>
              <w:sz w:val="22"/>
              <w:szCs w:val="22"/>
            </w:rPr>
            <w:t xml:space="preserve">  </w:t>
          </w:r>
        </w:p>
      </w:tc>
      <w:tc>
        <w:tcPr>
          <w:tcW w:w="1080" w:type="dxa"/>
          <w:tcBorders>
            <w:top w:val="single" w:sz="4" w:space="0" w:color="000000"/>
            <w:left w:val="nil"/>
          </w:tcBorders>
          <w:shd w:val="clear" w:color="auto" w:fill="000080"/>
        </w:tcPr>
        <w:p w14:paraId="45CDC391" w14:textId="77777777" w:rsidR="005637D2" w:rsidRDefault="005637D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1440" w:type="dxa"/>
          <w:tcBorders>
            <w:top w:val="single" w:sz="4" w:space="0" w:color="000000"/>
            <w:right w:val="single" w:sz="4" w:space="0" w:color="000000"/>
          </w:tcBorders>
          <w:shd w:val="clear" w:color="auto" w:fill="000080"/>
        </w:tcPr>
        <w:p w14:paraId="01D473FC" w14:textId="77777777" w:rsidR="005637D2" w:rsidRDefault="005637D2">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5637D2" w14:paraId="5944F311" w14:textId="77777777">
      <w:trPr>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14:paraId="118E292A" w14:textId="77777777" w:rsidR="005637D2" w:rsidRDefault="005637D2">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14:paraId="15CDF319" w14:textId="77777777" w:rsidR="005637D2" w:rsidRDefault="005637D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1440" w:type="dxa"/>
          <w:tcBorders>
            <w:right w:val="single" w:sz="4" w:space="0" w:color="000000"/>
          </w:tcBorders>
          <w:shd w:val="clear" w:color="auto" w:fill="000080"/>
        </w:tcPr>
        <w:p w14:paraId="18F3BA76" w14:textId="77777777" w:rsidR="005637D2" w:rsidRDefault="005637D2">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19-12-2020</w:t>
          </w:r>
        </w:p>
      </w:tc>
    </w:tr>
    <w:tr w:rsidR="005637D2" w14:paraId="4640E545" w14:textId="77777777">
      <w:trPr>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14:paraId="452DC7D7" w14:textId="77777777" w:rsidR="005637D2" w:rsidRDefault="005637D2">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14:paraId="085855D4" w14:textId="77777777" w:rsidR="005637D2" w:rsidRDefault="005637D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1440" w:type="dxa"/>
          <w:tcBorders>
            <w:bottom w:val="single" w:sz="4" w:space="0" w:color="000000"/>
            <w:right w:val="single" w:sz="4" w:space="0" w:color="000000"/>
          </w:tcBorders>
          <w:shd w:val="clear" w:color="auto" w:fill="000080"/>
        </w:tcPr>
        <w:p w14:paraId="3FE16DDF" w14:textId="3EE0B490" w:rsidR="005637D2" w:rsidRDefault="005637D2">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24715B">
            <w:rPr>
              <w:rFonts w:ascii="Arial" w:eastAsia="Arial" w:hAnsi="Arial" w:cs="Arial"/>
              <w:noProof/>
              <w:color w:val="FFFFFF"/>
              <w:sz w:val="18"/>
              <w:szCs w:val="18"/>
            </w:rPr>
            <w:t>2</w:t>
          </w:r>
          <w:r>
            <w:rPr>
              <w:rFonts w:ascii="Arial" w:eastAsia="Arial" w:hAnsi="Arial" w:cs="Arial"/>
              <w:color w:val="FFFFFF"/>
              <w:sz w:val="18"/>
              <w:szCs w:val="18"/>
            </w:rPr>
            <w:fldChar w:fldCharType="end"/>
          </w:r>
        </w:p>
      </w:tc>
    </w:tr>
  </w:tbl>
  <w:p w14:paraId="42A85910" w14:textId="77777777" w:rsidR="005637D2" w:rsidRDefault="005637D2">
    <w:pPr>
      <w:pBdr>
        <w:top w:val="nil"/>
        <w:left w:val="nil"/>
        <w:bottom w:val="nil"/>
        <w:right w:val="nil"/>
        <w:between w:val="nil"/>
      </w:pBdr>
      <w:tabs>
        <w:tab w:val="center" w:pos="4252"/>
        <w:tab w:val="right" w:pos="8504"/>
      </w:tabs>
      <w:spacing w:line="240" w:lineRule="auto"/>
      <w:ind w:left="0" w:hanging="2"/>
      <w:rPr>
        <w:color w:val="FFFFF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1883" w14:textId="77777777" w:rsidR="005637D2" w:rsidRDefault="005637D2" w:rsidP="000716FA">
    <w:pPr>
      <w:pStyle w:val="Encabezad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1E6D"/>
    <w:multiLevelType w:val="multilevel"/>
    <w:tmpl w:val="DCF08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lvl>
    <w:lvl w:ilvl="2">
      <w:start w:val="3"/>
      <w:numFmt w:val="decimal"/>
      <w:lvlText w:val="%3"/>
      <w:lvlJc w:val="left"/>
      <w:pPr>
        <w:ind w:left="2160" w:hanging="360"/>
      </w:pPr>
      <w:rPr>
        <w:b/>
        <w:color w:val="00000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613953"/>
    <w:multiLevelType w:val="multilevel"/>
    <w:tmpl w:val="BACA9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5E3E6A"/>
    <w:multiLevelType w:val="multilevel"/>
    <w:tmpl w:val="4C221C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4B47490"/>
    <w:multiLevelType w:val="hybridMultilevel"/>
    <w:tmpl w:val="B9824E04"/>
    <w:lvl w:ilvl="0" w:tplc="0C0A0001">
      <w:start w:val="1"/>
      <w:numFmt w:val="bullet"/>
      <w:lvlText w:val=""/>
      <w:lvlJc w:val="left"/>
      <w:pPr>
        <w:ind w:left="718" w:hanging="360"/>
      </w:pPr>
      <w:rPr>
        <w:rFonts w:ascii="Symbol" w:hAnsi="Symbol" w:hint="default"/>
      </w:rPr>
    </w:lvl>
    <w:lvl w:ilvl="1" w:tplc="0C0A0003">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4" w15:restartNumberingAfterBreak="0">
    <w:nsid w:val="17001AE7"/>
    <w:multiLevelType w:val="multilevel"/>
    <w:tmpl w:val="A9A0F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D087469"/>
    <w:multiLevelType w:val="multilevel"/>
    <w:tmpl w:val="81A4E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801FD9"/>
    <w:multiLevelType w:val="multilevel"/>
    <w:tmpl w:val="1758031C"/>
    <w:lvl w:ilvl="0">
      <w:start w:val="1"/>
      <w:numFmt w:val="upperLetter"/>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2B24F8"/>
    <w:multiLevelType w:val="multilevel"/>
    <w:tmpl w:val="0E24BD5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69279C2"/>
    <w:multiLevelType w:val="multilevel"/>
    <w:tmpl w:val="C5C82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D83FC7"/>
    <w:multiLevelType w:val="multilevel"/>
    <w:tmpl w:val="FBCC492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15:restartNumberingAfterBreak="0">
    <w:nsid w:val="2B016E25"/>
    <w:multiLevelType w:val="multilevel"/>
    <w:tmpl w:val="9C0602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EC3829"/>
    <w:multiLevelType w:val="hybridMultilevel"/>
    <w:tmpl w:val="9F9A6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964C8D"/>
    <w:multiLevelType w:val="hybridMultilevel"/>
    <w:tmpl w:val="D21C0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1220A7"/>
    <w:multiLevelType w:val="multilevel"/>
    <w:tmpl w:val="A754E9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56D1EAE"/>
    <w:multiLevelType w:val="hybridMultilevel"/>
    <w:tmpl w:val="873EE7B6"/>
    <w:lvl w:ilvl="0" w:tplc="0C0A0011">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F541723"/>
    <w:multiLevelType w:val="multilevel"/>
    <w:tmpl w:val="ADC28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FFF3600"/>
    <w:multiLevelType w:val="multilevel"/>
    <w:tmpl w:val="323EE0AA"/>
    <w:lvl w:ilvl="0">
      <w:start w:val="1"/>
      <w:numFmt w:val="decimal"/>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6A25B86"/>
    <w:multiLevelType w:val="multilevel"/>
    <w:tmpl w:val="DD72F17E"/>
    <w:lvl w:ilvl="0">
      <w:start w:val="9"/>
      <w:numFmt w:val="decimal"/>
      <w:lvlText w:val="%1"/>
      <w:lvlJc w:val="left"/>
      <w:pPr>
        <w:ind w:left="360" w:hanging="360"/>
      </w:pPr>
    </w:lvl>
    <w:lvl w:ilvl="1">
      <w:start w:val="1"/>
      <w:numFmt w:val="decimal"/>
      <w:lvlText w:val="%1.%2"/>
      <w:lvlJc w:val="left"/>
      <w:pPr>
        <w:ind w:left="358" w:hanging="360"/>
      </w:pPr>
    </w:lvl>
    <w:lvl w:ilvl="2">
      <w:start w:val="1"/>
      <w:numFmt w:val="lowerLetter"/>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18" w15:restartNumberingAfterBreak="0">
    <w:nsid w:val="5D3B633F"/>
    <w:multiLevelType w:val="multilevel"/>
    <w:tmpl w:val="83B07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438151E"/>
    <w:multiLevelType w:val="hybridMultilevel"/>
    <w:tmpl w:val="274868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CD751E5"/>
    <w:multiLevelType w:val="multilevel"/>
    <w:tmpl w:val="2BFCEEEC"/>
    <w:lvl w:ilvl="0">
      <w:start w:val="2"/>
      <w:numFmt w:val="bullet"/>
      <w:lvlText w:val="-"/>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6DEC39DE"/>
    <w:multiLevelType w:val="multilevel"/>
    <w:tmpl w:val="955A29D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2" w15:restartNumberingAfterBreak="0">
    <w:nsid w:val="6FD62B89"/>
    <w:multiLevelType w:val="hybridMultilevel"/>
    <w:tmpl w:val="A21CA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380FBC"/>
    <w:multiLevelType w:val="hybridMultilevel"/>
    <w:tmpl w:val="A91050C6"/>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24" w15:restartNumberingAfterBreak="0">
    <w:nsid w:val="7420373D"/>
    <w:multiLevelType w:val="hybridMultilevel"/>
    <w:tmpl w:val="E4529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58B30C8"/>
    <w:multiLevelType w:val="multilevel"/>
    <w:tmpl w:val="51CC7C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AF849B4"/>
    <w:multiLevelType w:val="hybridMultilevel"/>
    <w:tmpl w:val="191C8FB8"/>
    <w:lvl w:ilvl="0" w:tplc="0EDC5E4E">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E69541C"/>
    <w:multiLevelType w:val="multilevel"/>
    <w:tmpl w:val="F5B4A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5"/>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E7E771C"/>
    <w:multiLevelType w:val="hybridMultilevel"/>
    <w:tmpl w:val="60E6F5AC"/>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num w:numId="1">
    <w:abstractNumId w:val="21"/>
  </w:num>
  <w:num w:numId="2">
    <w:abstractNumId w:val="27"/>
  </w:num>
  <w:num w:numId="3">
    <w:abstractNumId w:val="7"/>
  </w:num>
  <w:num w:numId="4">
    <w:abstractNumId w:val="17"/>
  </w:num>
  <w:num w:numId="5">
    <w:abstractNumId w:val="2"/>
  </w:num>
  <w:num w:numId="6">
    <w:abstractNumId w:val="4"/>
  </w:num>
  <w:num w:numId="7">
    <w:abstractNumId w:val="16"/>
  </w:num>
  <w:num w:numId="8">
    <w:abstractNumId w:val="9"/>
  </w:num>
  <w:num w:numId="9">
    <w:abstractNumId w:val="5"/>
  </w:num>
  <w:num w:numId="10">
    <w:abstractNumId w:val="6"/>
  </w:num>
  <w:num w:numId="11">
    <w:abstractNumId w:val="15"/>
  </w:num>
  <w:num w:numId="12">
    <w:abstractNumId w:val="20"/>
  </w:num>
  <w:num w:numId="13">
    <w:abstractNumId w:val="10"/>
  </w:num>
  <w:num w:numId="14">
    <w:abstractNumId w:val="13"/>
  </w:num>
  <w:num w:numId="15">
    <w:abstractNumId w:val="1"/>
  </w:num>
  <w:num w:numId="16">
    <w:abstractNumId w:val="8"/>
  </w:num>
  <w:num w:numId="17">
    <w:abstractNumId w:val="25"/>
  </w:num>
  <w:num w:numId="18">
    <w:abstractNumId w:val="18"/>
  </w:num>
  <w:num w:numId="19">
    <w:abstractNumId w:val="0"/>
  </w:num>
  <w:num w:numId="20">
    <w:abstractNumId w:val="22"/>
  </w:num>
  <w:num w:numId="21">
    <w:abstractNumId w:val="14"/>
  </w:num>
  <w:num w:numId="22">
    <w:abstractNumId w:val="26"/>
  </w:num>
  <w:num w:numId="23">
    <w:abstractNumId w:val="12"/>
  </w:num>
  <w:num w:numId="24">
    <w:abstractNumId w:val="11"/>
  </w:num>
  <w:num w:numId="25">
    <w:abstractNumId w:val="24"/>
  </w:num>
  <w:num w:numId="26">
    <w:abstractNumId w:val="19"/>
  </w:num>
  <w:num w:numId="27">
    <w:abstractNumId w:val="3"/>
  </w:num>
  <w:num w:numId="28">
    <w:abstractNumId w:val="23"/>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C9"/>
    <w:rsid w:val="00001385"/>
    <w:rsid w:val="000252CF"/>
    <w:rsid w:val="00036243"/>
    <w:rsid w:val="00045888"/>
    <w:rsid w:val="000716FA"/>
    <w:rsid w:val="000A457F"/>
    <w:rsid w:val="000B40AA"/>
    <w:rsid w:val="000C45BD"/>
    <w:rsid w:val="000D12F9"/>
    <w:rsid w:val="000D5A86"/>
    <w:rsid w:val="000E19BC"/>
    <w:rsid w:val="000E3CF2"/>
    <w:rsid w:val="001100A3"/>
    <w:rsid w:val="00130028"/>
    <w:rsid w:val="0013057D"/>
    <w:rsid w:val="00166C49"/>
    <w:rsid w:val="00196703"/>
    <w:rsid w:val="001969A3"/>
    <w:rsid w:val="001A44AD"/>
    <w:rsid w:val="001B39A8"/>
    <w:rsid w:val="001D7EFF"/>
    <w:rsid w:val="001E3FEE"/>
    <w:rsid w:val="001F38BA"/>
    <w:rsid w:val="00205C33"/>
    <w:rsid w:val="00211C8F"/>
    <w:rsid w:val="00211DBF"/>
    <w:rsid w:val="00230B26"/>
    <w:rsid w:val="0024715B"/>
    <w:rsid w:val="00250202"/>
    <w:rsid w:val="00250434"/>
    <w:rsid w:val="0025440E"/>
    <w:rsid w:val="00272799"/>
    <w:rsid w:val="002779F2"/>
    <w:rsid w:val="00291956"/>
    <w:rsid w:val="00292232"/>
    <w:rsid w:val="00296E32"/>
    <w:rsid w:val="00297CE6"/>
    <w:rsid w:val="002A5264"/>
    <w:rsid w:val="002C33D7"/>
    <w:rsid w:val="002C6A96"/>
    <w:rsid w:val="002D3BD6"/>
    <w:rsid w:val="002D754C"/>
    <w:rsid w:val="002E180F"/>
    <w:rsid w:val="002E1DF3"/>
    <w:rsid w:val="00301F50"/>
    <w:rsid w:val="003244B0"/>
    <w:rsid w:val="003345D4"/>
    <w:rsid w:val="003520E1"/>
    <w:rsid w:val="00394288"/>
    <w:rsid w:val="003B4958"/>
    <w:rsid w:val="003D1ECE"/>
    <w:rsid w:val="003E61F7"/>
    <w:rsid w:val="003E7B75"/>
    <w:rsid w:val="003F43C4"/>
    <w:rsid w:val="00422146"/>
    <w:rsid w:val="00427633"/>
    <w:rsid w:val="00431BA0"/>
    <w:rsid w:val="00471227"/>
    <w:rsid w:val="004A3EC4"/>
    <w:rsid w:val="004A49AC"/>
    <w:rsid w:val="004E570A"/>
    <w:rsid w:val="004E5719"/>
    <w:rsid w:val="00500871"/>
    <w:rsid w:val="005137A6"/>
    <w:rsid w:val="00517A18"/>
    <w:rsid w:val="005217D4"/>
    <w:rsid w:val="00522B4F"/>
    <w:rsid w:val="00542295"/>
    <w:rsid w:val="00544E9B"/>
    <w:rsid w:val="00551BFD"/>
    <w:rsid w:val="005623EE"/>
    <w:rsid w:val="005637D2"/>
    <w:rsid w:val="00566950"/>
    <w:rsid w:val="005748DD"/>
    <w:rsid w:val="00580B83"/>
    <w:rsid w:val="005813F5"/>
    <w:rsid w:val="0058336D"/>
    <w:rsid w:val="005874F6"/>
    <w:rsid w:val="00591C74"/>
    <w:rsid w:val="005A35DB"/>
    <w:rsid w:val="005A57E0"/>
    <w:rsid w:val="005D2D7B"/>
    <w:rsid w:val="005D404C"/>
    <w:rsid w:val="005D66DB"/>
    <w:rsid w:val="006315B0"/>
    <w:rsid w:val="00635A5D"/>
    <w:rsid w:val="00641E88"/>
    <w:rsid w:val="006639FA"/>
    <w:rsid w:val="006A6E85"/>
    <w:rsid w:val="006D67D3"/>
    <w:rsid w:val="006F270A"/>
    <w:rsid w:val="00711F7C"/>
    <w:rsid w:val="00731CF0"/>
    <w:rsid w:val="00732C71"/>
    <w:rsid w:val="00750093"/>
    <w:rsid w:val="00757B1D"/>
    <w:rsid w:val="00774B7A"/>
    <w:rsid w:val="00786169"/>
    <w:rsid w:val="007A3560"/>
    <w:rsid w:val="007B4CE4"/>
    <w:rsid w:val="008260D9"/>
    <w:rsid w:val="008321EA"/>
    <w:rsid w:val="00847CA3"/>
    <w:rsid w:val="00870B54"/>
    <w:rsid w:val="008723D4"/>
    <w:rsid w:val="00881543"/>
    <w:rsid w:val="00892D8D"/>
    <w:rsid w:val="008A0A6E"/>
    <w:rsid w:val="00901569"/>
    <w:rsid w:val="009033F0"/>
    <w:rsid w:val="00904F7B"/>
    <w:rsid w:val="00921408"/>
    <w:rsid w:val="00925D7B"/>
    <w:rsid w:val="00942E63"/>
    <w:rsid w:val="009430A9"/>
    <w:rsid w:val="00944AEA"/>
    <w:rsid w:val="00981E0E"/>
    <w:rsid w:val="009842F1"/>
    <w:rsid w:val="009852B7"/>
    <w:rsid w:val="0099190B"/>
    <w:rsid w:val="00993FC5"/>
    <w:rsid w:val="009A2386"/>
    <w:rsid w:val="009A4EFB"/>
    <w:rsid w:val="009D55C9"/>
    <w:rsid w:val="009D603D"/>
    <w:rsid w:val="009E0203"/>
    <w:rsid w:val="009F57B2"/>
    <w:rsid w:val="00A11F73"/>
    <w:rsid w:val="00A1417E"/>
    <w:rsid w:val="00A16486"/>
    <w:rsid w:val="00A24370"/>
    <w:rsid w:val="00A307FF"/>
    <w:rsid w:val="00A407F4"/>
    <w:rsid w:val="00A507CB"/>
    <w:rsid w:val="00A81967"/>
    <w:rsid w:val="00A955F4"/>
    <w:rsid w:val="00AA26D6"/>
    <w:rsid w:val="00AA37C1"/>
    <w:rsid w:val="00AA478D"/>
    <w:rsid w:val="00AE4A78"/>
    <w:rsid w:val="00B00248"/>
    <w:rsid w:val="00B217B1"/>
    <w:rsid w:val="00B3555C"/>
    <w:rsid w:val="00B479BF"/>
    <w:rsid w:val="00B622A5"/>
    <w:rsid w:val="00B66C67"/>
    <w:rsid w:val="00B72728"/>
    <w:rsid w:val="00B727DA"/>
    <w:rsid w:val="00B732D2"/>
    <w:rsid w:val="00B73C03"/>
    <w:rsid w:val="00B86FCB"/>
    <w:rsid w:val="00BB2983"/>
    <w:rsid w:val="00BB4B0A"/>
    <w:rsid w:val="00BC69DA"/>
    <w:rsid w:val="00BD2296"/>
    <w:rsid w:val="00C26758"/>
    <w:rsid w:val="00C30843"/>
    <w:rsid w:val="00C359C5"/>
    <w:rsid w:val="00C4548E"/>
    <w:rsid w:val="00C55F60"/>
    <w:rsid w:val="00C65D33"/>
    <w:rsid w:val="00C80D6F"/>
    <w:rsid w:val="00C9010C"/>
    <w:rsid w:val="00CA672F"/>
    <w:rsid w:val="00CC6B01"/>
    <w:rsid w:val="00CD17D1"/>
    <w:rsid w:val="00D0027E"/>
    <w:rsid w:val="00D14DFE"/>
    <w:rsid w:val="00D169D6"/>
    <w:rsid w:val="00D577D6"/>
    <w:rsid w:val="00D840DC"/>
    <w:rsid w:val="00D856C0"/>
    <w:rsid w:val="00D90FEC"/>
    <w:rsid w:val="00DA0BCC"/>
    <w:rsid w:val="00DD2231"/>
    <w:rsid w:val="00DD6ECF"/>
    <w:rsid w:val="00DE498C"/>
    <w:rsid w:val="00DF4FD0"/>
    <w:rsid w:val="00E1001F"/>
    <w:rsid w:val="00E11066"/>
    <w:rsid w:val="00E22070"/>
    <w:rsid w:val="00E31767"/>
    <w:rsid w:val="00E36C97"/>
    <w:rsid w:val="00E55FC0"/>
    <w:rsid w:val="00E630CD"/>
    <w:rsid w:val="00E8074A"/>
    <w:rsid w:val="00E84C41"/>
    <w:rsid w:val="00EB3556"/>
    <w:rsid w:val="00EC0E1E"/>
    <w:rsid w:val="00EC561F"/>
    <w:rsid w:val="00EC6575"/>
    <w:rsid w:val="00ED6F50"/>
    <w:rsid w:val="00ED76F3"/>
    <w:rsid w:val="00EE1710"/>
    <w:rsid w:val="00F24358"/>
    <w:rsid w:val="00F27589"/>
    <w:rsid w:val="00F33D08"/>
    <w:rsid w:val="00F6426D"/>
    <w:rsid w:val="00F67D1B"/>
    <w:rsid w:val="00F8494C"/>
    <w:rsid w:val="00FA7248"/>
    <w:rsid w:val="00FC4BD1"/>
    <w:rsid w:val="00FD4677"/>
    <w:rsid w:val="00FD4A30"/>
    <w:rsid w:val="00FE0B23"/>
    <w:rsid w:val="00FF4D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BAEE"/>
  <w15:docId w15:val="{44B2F389-A2FF-409B-B65B-A5380610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autoSpaceDE w:val="0"/>
      <w:autoSpaceDN w:val="0"/>
      <w:adjustRightInd w:val="0"/>
    </w:pPr>
    <w:rPr>
      <w:rFonts w:ascii="Cambria" w:hAnsi="Cambria"/>
      <w:b/>
      <w:bCs/>
      <w:kern w:val="32"/>
      <w:sz w:val="32"/>
      <w:szCs w:val="32"/>
    </w:rPr>
  </w:style>
  <w:style w:type="paragraph" w:styleId="Ttulo2">
    <w:name w:val="heading 2"/>
    <w:basedOn w:val="Normal"/>
    <w:next w:val="Normal"/>
    <w:uiPriority w:val="9"/>
    <w:semiHidden/>
    <w:unhideWhenUsed/>
    <w:qFormat/>
    <w:pPr>
      <w:keepNext/>
      <w:shd w:val="clear" w:color="auto" w:fill="FFFFFF"/>
      <w:jc w:val="both"/>
      <w:outlineLvl w:val="1"/>
    </w:pPr>
    <w:rPr>
      <w:rFonts w:ascii="Cambria" w:hAnsi="Cambria"/>
      <w:b/>
      <w:bCs/>
      <w:i/>
      <w:iCs/>
      <w:sz w:val="28"/>
      <w:szCs w:val="28"/>
    </w:rPr>
  </w:style>
  <w:style w:type="paragraph" w:styleId="Ttulo3">
    <w:name w:val="heading 3"/>
    <w:basedOn w:val="Normal"/>
    <w:next w:val="Normal"/>
    <w:uiPriority w:val="9"/>
    <w:semiHidden/>
    <w:unhideWhenUsed/>
    <w:qFormat/>
    <w:pPr>
      <w:keepNext/>
      <w:jc w:val="center"/>
      <w:outlineLvl w:val="2"/>
    </w:pPr>
    <w:rPr>
      <w:rFonts w:ascii="Cambria" w:hAnsi="Cambria"/>
      <w:b/>
      <w:bCs/>
      <w:sz w:val="26"/>
      <w:szCs w:val="26"/>
    </w:rPr>
  </w:style>
  <w:style w:type="paragraph" w:styleId="Ttulo4">
    <w:name w:val="heading 4"/>
    <w:basedOn w:val="Normal"/>
    <w:next w:val="Normal"/>
    <w:uiPriority w:val="9"/>
    <w:semiHidden/>
    <w:unhideWhenUsed/>
    <w:qFormat/>
    <w:pPr>
      <w:keepNext/>
      <w:jc w:val="both"/>
      <w:outlineLvl w:val="3"/>
    </w:pPr>
    <w:rPr>
      <w:rFonts w:ascii="Calibri" w:hAnsi="Calibri"/>
      <w:b/>
      <w:bCs/>
      <w:sz w:val="28"/>
      <w:szCs w:val="28"/>
    </w:rPr>
  </w:style>
  <w:style w:type="paragraph" w:styleId="Ttulo5">
    <w:name w:val="heading 5"/>
    <w:basedOn w:val="Normal"/>
    <w:next w:val="Normal"/>
    <w:uiPriority w:val="9"/>
    <w:semiHidden/>
    <w:unhideWhenUsed/>
    <w:qFormat/>
    <w:pPr>
      <w:keepNext/>
      <w:shd w:val="clear" w:color="auto" w:fill="FFCC99"/>
      <w:outlineLvl w:val="4"/>
    </w:pPr>
    <w:rPr>
      <w:rFonts w:ascii="Calibri" w:hAnsi="Calibri"/>
      <w:b/>
      <w:bCs/>
      <w:i/>
      <w:iCs/>
      <w:sz w:val="26"/>
      <w:szCs w:val="26"/>
    </w:rPr>
  </w:style>
  <w:style w:type="paragraph" w:styleId="Ttulo6">
    <w:name w:val="heading 6"/>
    <w:basedOn w:val="Normal"/>
    <w:next w:val="Normal"/>
    <w:uiPriority w:val="9"/>
    <w:semiHidden/>
    <w:unhideWhenUsed/>
    <w:qFormat/>
    <w:pPr>
      <w:keepNext/>
      <w:autoSpaceDE w:val="0"/>
      <w:autoSpaceDN w:val="0"/>
      <w:adjustRightInd w:val="0"/>
      <w:outlineLvl w:val="5"/>
    </w:pPr>
    <w:rPr>
      <w:rFonts w:ascii="Calibri" w:hAnsi="Calibri"/>
      <w:b/>
      <w:bCs/>
      <w:sz w:val="22"/>
      <w:szCs w:val="22"/>
    </w:rPr>
  </w:style>
  <w:style w:type="paragraph" w:styleId="Ttulo7">
    <w:name w:val="heading 7"/>
    <w:basedOn w:val="Normal"/>
    <w:next w:val="Normal"/>
    <w:pPr>
      <w:keepNext/>
      <w:tabs>
        <w:tab w:val="left" w:pos="1673"/>
      </w:tabs>
      <w:jc w:val="center"/>
      <w:outlineLvl w:val="6"/>
    </w:pPr>
    <w:rPr>
      <w:rFonts w:ascii="Calibri" w:hAnsi="Calibri"/>
    </w:rPr>
  </w:style>
  <w:style w:type="paragraph" w:styleId="Ttulo8">
    <w:name w:val="heading 8"/>
    <w:basedOn w:val="Normal"/>
    <w:next w:val="Normal"/>
    <w:pPr>
      <w:keepNext/>
      <w:jc w:val="both"/>
      <w:outlineLvl w:val="7"/>
    </w:pPr>
    <w:rPr>
      <w:rFonts w:ascii="Calibri" w:hAnsi="Calibri"/>
      <w:i/>
      <w:iCs/>
    </w:rPr>
  </w:style>
  <w:style w:type="paragraph" w:styleId="Ttulo9">
    <w:name w:val="heading 9"/>
    <w:basedOn w:val="Normal"/>
    <w:next w:val="Normal"/>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autoSpaceDE w:val="0"/>
      <w:autoSpaceDN w:val="0"/>
      <w:adjustRightInd w:val="0"/>
      <w:jc w:val="center"/>
    </w:pPr>
    <w:rPr>
      <w:rFonts w:ascii="Cambria" w:hAnsi="Cambria"/>
      <w:b/>
      <w:bCs/>
      <w:kern w:val="28"/>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rPr>
      <w:rFonts w:ascii="Cambria" w:hAnsi="Cambria" w:cs="Times New Roman"/>
      <w:b/>
      <w:bCs/>
      <w:w w:val="100"/>
      <w:kern w:val="32"/>
      <w:position w:val="-1"/>
      <w:sz w:val="32"/>
      <w:szCs w:val="32"/>
      <w:effect w:val="none"/>
      <w:vertAlign w:val="baseline"/>
      <w:cs w:val="0"/>
      <w:em w:val="none"/>
    </w:rPr>
  </w:style>
  <w:style w:type="character" w:customStyle="1" w:styleId="Ttulo2Car">
    <w:name w:val="Título 2 Car"/>
    <w:rPr>
      <w:rFonts w:ascii="Cambria" w:hAnsi="Cambria" w:cs="Times New Roman"/>
      <w:b/>
      <w:bCs/>
      <w:i/>
      <w:iCs/>
      <w:w w:val="100"/>
      <w:position w:val="-1"/>
      <w:sz w:val="28"/>
      <w:szCs w:val="28"/>
      <w:effect w:val="none"/>
      <w:vertAlign w:val="baseline"/>
      <w:cs w:val="0"/>
      <w:em w:val="none"/>
    </w:rPr>
  </w:style>
  <w:style w:type="character" w:customStyle="1" w:styleId="Ttulo3Car">
    <w:name w:val="Título 3 Car"/>
    <w:rPr>
      <w:rFonts w:ascii="Cambria" w:hAnsi="Cambria" w:cs="Times New Roman"/>
      <w:b/>
      <w:bCs/>
      <w:w w:val="100"/>
      <w:position w:val="-1"/>
      <w:sz w:val="26"/>
      <w:szCs w:val="26"/>
      <w:effect w:val="none"/>
      <w:vertAlign w:val="baseline"/>
      <w:cs w:val="0"/>
      <w:em w:val="none"/>
    </w:rPr>
  </w:style>
  <w:style w:type="character" w:customStyle="1" w:styleId="Ttulo4Car">
    <w:name w:val="Título 4 Car"/>
    <w:rPr>
      <w:rFonts w:ascii="Calibri" w:hAnsi="Calibri" w:cs="Times New Roman"/>
      <w:b/>
      <w:bCs/>
      <w:w w:val="100"/>
      <w:position w:val="-1"/>
      <w:sz w:val="28"/>
      <w:szCs w:val="28"/>
      <w:effect w:val="none"/>
      <w:vertAlign w:val="baseline"/>
      <w:cs w:val="0"/>
      <w:em w:val="none"/>
    </w:rPr>
  </w:style>
  <w:style w:type="character" w:customStyle="1" w:styleId="Ttulo5Car">
    <w:name w:val="Título 5 Car"/>
    <w:rPr>
      <w:rFonts w:ascii="Calibri" w:hAnsi="Calibri" w:cs="Times New Roman"/>
      <w:b/>
      <w:bCs/>
      <w:i/>
      <w:iCs/>
      <w:w w:val="100"/>
      <w:position w:val="-1"/>
      <w:sz w:val="26"/>
      <w:szCs w:val="26"/>
      <w:effect w:val="none"/>
      <w:vertAlign w:val="baseline"/>
      <w:cs w:val="0"/>
      <w:em w:val="none"/>
    </w:rPr>
  </w:style>
  <w:style w:type="character" w:customStyle="1" w:styleId="Ttulo6Car">
    <w:name w:val="Título 6 Car"/>
    <w:rPr>
      <w:rFonts w:ascii="Calibri" w:hAnsi="Calibri" w:cs="Times New Roman"/>
      <w:b/>
      <w:bCs/>
      <w:w w:val="100"/>
      <w:position w:val="-1"/>
      <w:sz w:val="22"/>
      <w:szCs w:val="22"/>
      <w:effect w:val="none"/>
      <w:vertAlign w:val="baseline"/>
      <w:cs w:val="0"/>
      <w:em w:val="none"/>
    </w:rPr>
  </w:style>
  <w:style w:type="character" w:customStyle="1" w:styleId="Ttulo7Car">
    <w:name w:val="Título 7 Car"/>
    <w:rPr>
      <w:rFonts w:ascii="Calibri" w:hAnsi="Calibri" w:cs="Times New Roman"/>
      <w:w w:val="100"/>
      <w:position w:val="-1"/>
      <w:sz w:val="24"/>
      <w:szCs w:val="24"/>
      <w:effect w:val="none"/>
      <w:vertAlign w:val="baseline"/>
      <w:cs w:val="0"/>
      <w:em w:val="none"/>
    </w:rPr>
  </w:style>
  <w:style w:type="character" w:customStyle="1" w:styleId="Ttulo8Car">
    <w:name w:val="Título 8 Car"/>
    <w:rPr>
      <w:rFonts w:ascii="Calibri" w:hAnsi="Calibri" w:cs="Times New Roman"/>
      <w:i/>
      <w:iCs/>
      <w:w w:val="100"/>
      <w:position w:val="-1"/>
      <w:sz w:val="24"/>
      <w:szCs w:val="24"/>
      <w:effect w:val="none"/>
      <w:vertAlign w:val="baseline"/>
      <w:cs w:val="0"/>
      <w:em w:val="none"/>
    </w:rPr>
  </w:style>
  <w:style w:type="character" w:customStyle="1" w:styleId="Ttulo9Car">
    <w:name w:val="Título 9 Car"/>
    <w:rPr>
      <w:rFonts w:ascii="Cambria" w:hAnsi="Cambria" w:cs="Times New Roman"/>
      <w:w w:val="100"/>
      <w:position w:val="-1"/>
      <w:sz w:val="22"/>
      <w:szCs w:val="22"/>
      <w:effect w:val="none"/>
      <w:vertAlign w:val="baseline"/>
      <w:cs w:val="0"/>
      <w:em w:val="none"/>
    </w:rPr>
  </w:style>
  <w:style w:type="paragraph" w:styleId="Textodeglobo">
    <w:name w:val="Balloon Text"/>
    <w:basedOn w:val="Normal"/>
    <w:rPr>
      <w:sz w:val="2"/>
      <w:szCs w:val="20"/>
    </w:rPr>
  </w:style>
  <w:style w:type="character" w:customStyle="1" w:styleId="TextodegloboCar">
    <w:name w:val="Texto de globo Car"/>
    <w:rPr>
      <w:w w:val="100"/>
      <w:position w:val="-1"/>
      <w:sz w:val="2"/>
      <w:effect w:val="none"/>
      <w:vertAlign w:val="baseline"/>
      <w:cs w:val="0"/>
      <w:em w:val="none"/>
    </w:rPr>
  </w:style>
  <w:style w:type="character" w:styleId="Hipervnculo">
    <w:name w:val="Hyperlink"/>
    <w:uiPriority w:val="99"/>
    <w:rPr>
      <w:color w:val="0000FF"/>
      <w:w w:val="100"/>
      <w:position w:val="-1"/>
      <w:u w:val="single"/>
      <w:effect w:val="none"/>
      <w:vertAlign w:val="baseline"/>
      <w:cs w:val="0"/>
      <w:em w:val="none"/>
    </w:rPr>
  </w:style>
  <w:style w:type="character" w:customStyle="1" w:styleId="TtuloCar">
    <w:name w:val="Título Car"/>
    <w:rPr>
      <w:rFonts w:ascii="Cambria" w:hAnsi="Cambria" w:cs="Times New Roman"/>
      <w:b/>
      <w:bCs/>
      <w:w w:val="100"/>
      <w:kern w:val="28"/>
      <w:position w:val="-1"/>
      <w:sz w:val="32"/>
      <w:szCs w:val="32"/>
      <w:effect w:val="none"/>
      <w:vertAlign w:val="baseline"/>
      <w:cs w:val="0"/>
      <w:em w:val="none"/>
    </w:rPr>
  </w:style>
  <w:style w:type="paragraph" w:styleId="Sangradetextonormal">
    <w:name w:val="Body Text Indent"/>
    <w:basedOn w:val="Normal"/>
    <w:pPr>
      <w:shd w:val="clear" w:color="auto" w:fill="FFFFFF"/>
      <w:ind w:left="708"/>
      <w:jc w:val="both"/>
    </w:pPr>
  </w:style>
  <w:style w:type="character" w:customStyle="1" w:styleId="SangradetextonormalCar">
    <w:name w:val="Sangría de texto normal Car"/>
    <w:rPr>
      <w:w w:val="100"/>
      <w:position w:val="-1"/>
      <w:sz w:val="24"/>
      <w:szCs w:val="24"/>
      <w:effect w:val="none"/>
      <w:vertAlign w:val="baseline"/>
      <w:cs w:val="0"/>
      <w:em w:val="none"/>
    </w:rPr>
  </w:style>
  <w:style w:type="paragraph" w:styleId="Textoindependiente">
    <w:name w:val="Body Text"/>
    <w:basedOn w:val="Normal"/>
  </w:style>
  <w:style w:type="character" w:customStyle="1" w:styleId="TextoindependienteCar">
    <w:name w:val="Texto independiente Car"/>
    <w:rPr>
      <w:w w:val="100"/>
      <w:position w:val="-1"/>
      <w:sz w:val="24"/>
      <w:szCs w:val="24"/>
      <w:effect w:val="none"/>
      <w:vertAlign w:val="baseline"/>
      <w:cs w:val="0"/>
      <w:em w:val="none"/>
    </w:rPr>
  </w:style>
  <w:style w:type="paragraph" w:styleId="Encabezado">
    <w:name w:val="header"/>
    <w:basedOn w:val="Normal"/>
    <w:pPr>
      <w:tabs>
        <w:tab w:val="center" w:pos="4252"/>
        <w:tab w:val="right" w:pos="8504"/>
      </w:tabs>
    </w:pPr>
  </w:style>
  <w:style w:type="character" w:customStyle="1" w:styleId="EncabezadoCar">
    <w:name w:val="Encabezado Car"/>
    <w:rPr>
      <w:w w:val="100"/>
      <w:position w:val="-1"/>
      <w:sz w:val="24"/>
      <w:szCs w:val="24"/>
      <w:effect w:val="none"/>
      <w:vertAlign w:val="baseline"/>
      <w:cs w:val="0"/>
      <w:em w:val="none"/>
    </w:rPr>
  </w:style>
  <w:style w:type="paragraph" w:styleId="Piedepgina">
    <w:name w:val="footer"/>
    <w:basedOn w:val="Normal"/>
    <w:pPr>
      <w:tabs>
        <w:tab w:val="center" w:pos="4252"/>
        <w:tab w:val="right" w:pos="8504"/>
      </w:tabs>
    </w:pPr>
  </w:style>
  <w:style w:type="character" w:customStyle="1" w:styleId="PiedepginaCar">
    <w:name w:val="Pie de página Car"/>
    <w:rPr>
      <w:w w:val="100"/>
      <w:position w:val="-1"/>
      <w:sz w:val="24"/>
      <w:szCs w:val="24"/>
      <w:effect w:val="none"/>
      <w:vertAlign w:val="baseline"/>
      <w:cs w:val="0"/>
      <w:em w:val="none"/>
    </w:rPr>
  </w:style>
  <w:style w:type="character" w:styleId="Nmerodepgina">
    <w:name w:val="page number"/>
    <w:rPr>
      <w:w w:val="100"/>
      <w:position w:val="-1"/>
      <w:effect w:val="none"/>
      <w:vertAlign w:val="baseline"/>
      <w:cs w:val="0"/>
      <w:em w:val="none"/>
    </w:rPr>
  </w:style>
  <w:style w:type="paragraph" w:styleId="Textoindependiente2">
    <w:name w:val="Body Text 2"/>
    <w:basedOn w:val="Normal"/>
    <w:pPr>
      <w:autoSpaceDE w:val="0"/>
      <w:autoSpaceDN w:val="0"/>
      <w:adjustRightInd w:val="0"/>
      <w:jc w:val="center"/>
    </w:pPr>
  </w:style>
  <w:style w:type="character" w:customStyle="1" w:styleId="Textoindependiente2Car">
    <w:name w:val="Texto independiente 2 Car"/>
    <w:rPr>
      <w:w w:val="100"/>
      <w:position w:val="-1"/>
      <w:sz w:val="24"/>
      <w:szCs w:val="24"/>
      <w:effect w:val="none"/>
      <w:vertAlign w:val="baseline"/>
      <w:cs w:val="0"/>
      <w:em w:val="none"/>
    </w:rPr>
  </w:style>
  <w:style w:type="paragraph" w:customStyle="1" w:styleId="Authors">
    <w:name w:val="Authors"/>
    <w:basedOn w:val="Normal"/>
    <w:pPr>
      <w:keepNext/>
      <w:spacing w:before="240"/>
    </w:pPr>
    <w:rPr>
      <w:rFonts w:ascii="Arial" w:hAnsi="Arial"/>
      <w:color w:val="000000"/>
      <w:sz w:val="22"/>
      <w:szCs w:val="20"/>
      <w:lang w:val="en-US" w:eastAsia="en-US"/>
    </w:rPr>
  </w:style>
  <w:style w:type="paragraph" w:customStyle="1" w:styleId="Encabezadobase">
    <w:name w:val="Encabezado base"/>
    <w:basedOn w:val="Normal"/>
    <w:pPr>
      <w:keepLines/>
      <w:tabs>
        <w:tab w:val="center" w:pos="4320"/>
        <w:tab w:val="right" w:pos="8640"/>
      </w:tabs>
      <w:spacing w:after="240"/>
      <w:ind w:firstLine="709"/>
      <w:jc w:val="both"/>
    </w:pPr>
    <w:rPr>
      <w:rFonts w:ascii="Arial" w:hAnsi="Arial"/>
      <w:spacing w:val="-4"/>
      <w:szCs w:val="20"/>
    </w:rPr>
  </w:style>
  <w:style w:type="character" w:styleId="Hipervnculovisitado">
    <w:name w:val="FollowedHyperlink"/>
    <w:rPr>
      <w:color w:val="800080"/>
      <w:w w:val="100"/>
      <w:position w:val="-1"/>
      <w:u w:val="single"/>
      <w:effect w:val="none"/>
      <w:vertAlign w:val="baseline"/>
      <w:cs w:val="0"/>
      <w:em w:val="none"/>
    </w:rPr>
  </w:style>
  <w:style w:type="paragraph" w:styleId="NormalWeb">
    <w:name w:val="Normal (Web)"/>
    <w:basedOn w:val="Normal"/>
    <w:uiPriority w:val="99"/>
    <w:pPr>
      <w:spacing w:before="100" w:beforeAutospacing="1" w:after="100" w:afterAutospacing="1"/>
    </w:pPr>
  </w:style>
  <w:style w:type="paragraph" w:styleId="Textoindependiente3">
    <w:name w:val="Body Text 3"/>
    <w:basedOn w:val="Normal"/>
    <w:rPr>
      <w:sz w:val="16"/>
      <w:szCs w:val="16"/>
    </w:rPr>
  </w:style>
  <w:style w:type="character" w:customStyle="1" w:styleId="Textoindependiente3Car">
    <w:name w:val="Texto independiente 3 Car"/>
    <w:rPr>
      <w:w w:val="100"/>
      <w:position w:val="-1"/>
      <w:sz w:val="16"/>
      <w:szCs w:val="16"/>
      <w:effect w:val="none"/>
      <w:vertAlign w:val="baseline"/>
      <w:cs w:val="0"/>
      <w:em w:val="none"/>
    </w:rPr>
  </w:style>
  <w:style w:type="character" w:customStyle="1" w:styleId="t101">
    <w:name w:val="t101"/>
    <w:rPr>
      <w:rFonts w:ascii="Arial" w:hAnsi="Arial" w:cs="Arial"/>
      <w:w w:val="100"/>
      <w:position w:val="-1"/>
      <w:sz w:val="24"/>
      <w:szCs w:val="24"/>
      <w:effect w:val="none"/>
      <w:vertAlign w:val="baseline"/>
      <w:cs w:val="0"/>
      <w:em w:val="none"/>
    </w:rPr>
  </w:style>
  <w:style w:type="character" w:styleId="Textoennegrita">
    <w:name w:val="Strong"/>
    <w:rPr>
      <w:b/>
      <w:bCs/>
      <w:w w:val="100"/>
      <w:position w:val="-1"/>
      <w:effect w:val="none"/>
      <w:vertAlign w:val="baseline"/>
      <w:cs w:val="0"/>
      <w:em w:val="none"/>
    </w:rPr>
  </w:style>
  <w:style w:type="character" w:customStyle="1" w:styleId="para1">
    <w:name w:val="para1"/>
    <w:rPr>
      <w:rFonts w:ascii="Arial" w:hAnsi="Arial" w:cs="Arial"/>
      <w:w w:val="100"/>
      <w:position w:val="-1"/>
      <w:sz w:val="19"/>
      <w:szCs w:val="19"/>
      <w:effect w:val="none"/>
      <w:vertAlign w:val="baseline"/>
      <w:cs w:val="0"/>
      <w:em w:val="none"/>
    </w:rPr>
  </w:style>
  <w:style w:type="paragraph" w:styleId="z-Principiodelformulario">
    <w:name w:val="HTML Top of Form"/>
    <w:basedOn w:val="Normal"/>
    <w:next w:val="Normal"/>
    <w:pPr>
      <w:pBdr>
        <w:bottom w:val="single" w:sz="6" w:space="1" w:color="auto"/>
      </w:pBdr>
      <w:jc w:val="center"/>
    </w:pPr>
    <w:rPr>
      <w:rFonts w:ascii="Arial" w:hAnsi="Arial"/>
      <w:vanish/>
      <w:sz w:val="16"/>
      <w:szCs w:val="16"/>
    </w:rPr>
  </w:style>
  <w:style w:type="character" w:customStyle="1" w:styleId="z-PrincipiodelformularioCar">
    <w:name w:val="z-Principio del formulario Car"/>
    <w:rPr>
      <w:rFonts w:ascii="Arial" w:hAnsi="Arial" w:cs="Arial"/>
      <w:vanish/>
      <w:w w:val="100"/>
      <w:position w:val="-1"/>
      <w:sz w:val="16"/>
      <w:szCs w:val="16"/>
      <w:effect w:val="none"/>
      <w:vertAlign w:val="baseline"/>
      <w:cs w:val="0"/>
      <w:em w:val="none"/>
    </w:rPr>
  </w:style>
  <w:style w:type="paragraph" w:styleId="Sangra3detindependiente">
    <w:name w:val="Body Text Indent 3"/>
    <w:basedOn w:val="Normal"/>
    <w:pPr>
      <w:ind w:left="708"/>
      <w:jc w:val="both"/>
    </w:pPr>
    <w:rPr>
      <w:sz w:val="16"/>
      <w:szCs w:val="16"/>
    </w:rPr>
  </w:style>
  <w:style w:type="character" w:customStyle="1" w:styleId="Sangra3detindependienteCar">
    <w:name w:val="Sangría 3 de t. independiente Car"/>
    <w:rPr>
      <w:w w:val="100"/>
      <w:position w:val="-1"/>
      <w:sz w:val="16"/>
      <w:szCs w:val="16"/>
      <w:effect w:val="none"/>
      <w:vertAlign w:val="baseline"/>
      <w:cs w:val="0"/>
      <w:em w:val="none"/>
    </w:rPr>
  </w:style>
  <w:style w:type="paragraph" w:styleId="Textosinformato">
    <w:name w:val="Plain Text"/>
    <w:basedOn w:val="Normal"/>
    <w:rPr>
      <w:rFonts w:ascii="Courier New" w:hAnsi="Courier New"/>
      <w:sz w:val="20"/>
      <w:szCs w:val="20"/>
    </w:rPr>
  </w:style>
  <w:style w:type="character" w:customStyle="1" w:styleId="TextosinformatoCar">
    <w:name w:val="Texto sin formato Car"/>
    <w:rPr>
      <w:rFonts w:ascii="Courier New" w:hAnsi="Courier New" w:cs="Courier New"/>
      <w:w w:val="100"/>
      <w:position w:val="-1"/>
      <w:effect w:val="none"/>
      <w:vertAlign w:val="baseline"/>
      <w:cs w:val="0"/>
      <w:em w:val="none"/>
    </w:rPr>
  </w:style>
  <w:style w:type="paragraph" w:customStyle="1" w:styleId="Textoindependiente31">
    <w:name w:val="Texto independiente 31"/>
    <w:basedOn w:val="Normal"/>
    <w:pPr>
      <w:widowControl w:val="0"/>
      <w:suppressAutoHyphens w:val="0"/>
    </w:pPr>
    <w:rPr>
      <w:color w:val="0000FF"/>
      <w:kern w:val="1"/>
      <w:sz w:val="48"/>
    </w:rPr>
  </w:style>
  <w:style w:type="table" w:styleId="Tablaconcuadrcula">
    <w:name w:val="Table Grid"/>
    <w:basedOn w:val="Tablanormal"/>
    <w:uiPriority w:val="9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uiPriority w:val="99"/>
    <w:rPr>
      <w:rFonts w:ascii="Arial" w:hAnsi="Arial"/>
      <w:snapToGrid w:val="0"/>
      <w:sz w:val="20"/>
      <w:szCs w:val="20"/>
    </w:rPr>
  </w:style>
  <w:style w:type="paragraph" w:styleId="Textocomentario">
    <w:name w:val="annotation text"/>
    <w:basedOn w:val="Normal"/>
    <w:rPr>
      <w:sz w:val="20"/>
      <w:szCs w:val="20"/>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pPr>
      <w:spacing w:line="240" w:lineRule="atLeast"/>
    </w:pPr>
    <w:rPr>
      <w:rFonts w:cs="Times New Roman"/>
      <w:color w:val="auto"/>
    </w:rPr>
  </w:style>
  <w:style w:type="paragraph" w:customStyle="1" w:styleId="Pa50">
    <w:name w:val="Pa50"/>
    <w:basedOn w:val="Default"/>
    <w:next w:val="Default"/>
    <w:pPr>
      <w:spacing w:line="240" w:lineRule="atLeast"/>
    </w:pPr>
    <w:rPr>
      <w:rFonts w:cs="Times New Roman"/>
      <w:color w:val="auto"/>
    </w:rPr>
  </w:style>
  <w:style w:type="paragraph" w:customStyle="1" w:styleId="Pa51">
    <w:name w:val="Pa51"/>
    <w:basedOn w:val="Default"/>
    <w:next w:val="Default"/>
    <w:pPr>
      <w:spacing w:line="240" w:lineRule="atLeast"/>
    </w:pPr>
    <w:rPr>
      <w:rFonts w:cs="Times New Roman"/>
      <w:color w:val="auto"/>
    </w:rPr>
  </w:style>
  <w:style w:type="paragraph" w:customStyle="1" w:styleId="Pa53">
    <w:name w:val="Pa53"/>
    <w:basedOn w:val="Default"/>
    <w:next w:val="Default"/>
    <w:pPr>
      <w:spacing w:line="240" w:lineRule="atLeast"/>
    </w:pPr>
    <w:rPr>
      <w:rFonts w:cs="Times New Roman"/>
      <w:color w:val="auto"/>
    </w:rPr>
  </w:style>
  <w:style w:type="paragraph" w:customStyle="1" w:styleId="Pa14">
    <w:name w:val="Pa14"/>
    <w:basedOn w:val="Default"/>
    <w:next w:val="Default"/>
    <w:pPr>
      <w:spacing w:line="240" w:lineRule="atLeast"/>
    </w:pPr>
    <w:rPr>
      <w:rFonts w:cs="Times New Roman"/>
      <w:color w:val="auto"/>
    </w:rPr>
  </w:style>
  <w:style w:type="character" w:styleId="nfasis">
    <w:name w:val="Emphasis"/>
    <w:rPr>
      <w:i/>
      <w:iCs/>
      <w:w w:val="100"/>
      <w:position w:val="-1"/>
      <w:effect w:val="none"/>
      <w:vertAlign w:val="baseline"/>
      <w:cs w:val="0"/>
      <w:em w:val="none"/>
    </w:rPr>
  </w:style>
  <w:style w:type="paragraph" w:styleId="Citadestacada">
    <w:name w:val="Intense Quote"/>
    <w:basedOn w:val="Normal"/>
    <w:next w:val="Normal"/>
    <w:pPr>
      <w:pBdr>
        <w:bottom w:val="single" w:sz="4" w:space="4" w:color="4F81BD"/>
      </w:pBdr>
      <w:spacing w:before="200" w:after="280"/>
      <w:ind w:left="936" w:right="936"/>
    </w:pPr>
    <w:rPr>
      <w:b/>
      <w:bCs/>
      <w:i/>
      <w:iCs/>
      <w:color w:val="4F81BD"/>
    </w:rPr>
  </w:style>
  <w:style w:type="character" w:customStyle="1" w:styleId="CitadestacadaCar">
    <w:name w:val="Cita destacada Car"/>
    <w:rPr>
      <w:b/>
      <w:bCs/>
      <w:i/>
      <w:iCs/>
      <w:color w:val="4F81BD"/>
      <w:w w:val="100"/>
      <w:position w:val="-1"/>
      <w:sz w:val="24"/>
      <w:szCs w:val="24"/>
      <w:effect w:val="none"/>
      <w:vertAlign w:val="baseline"/>
      <w:cs w:val="0"/>
      <w:em w:val="none"/>
      <w:lang w:val="es-ES" w:eastAsia="es-ES" w:bidi="ar-SA"/>
    </w:rPr>
  </w:style>
  <w:style w:type="character" w:customStyle="1" w:styleId="st1">
    <w:name w:val="st1"/>
    <w:basedOn w:val="Fuentedeprrafopredeter"/>
    <w:rPr>
      <w:w w:val="100"/>
      <w:position w:val="-1"/>
      <w:effect w:val="none"/>
      <w:vertAlign w:val="baseline"/>
      <w:cs w:val="0"/>
      <w:em w:val="none"/>
    </w:r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pPr>
      <w:autoSpaceDE w:val="0"/>
      <w:autoSpaceDN w:val="0"/>
      <w:adjustRightInd w:val="0"/>
      <w:spacing w:line="240" w:lineRule="atLeast"/>
    </w:pPr>
    <w:rPr>
      <w:rFonts w:ascii="NBIQZG+HelveticaNeue-Light" w:hAnsi="NBIQZG+HelveticaNeue-Light"/>
    </w:rPr>
  </w:style>
  <w:style w:type="character" w:customStyle="1" w:styleId="A6">
    <w:name w:val="A6"/>
    <w:rPr>
      <w:color w:val="000000"/>
      <w:w w:val="100"/>
      <w:position w:val="-1"/>
      <w:sz w:val="18"/>
      <w:szCs w:val="18"/>
      <w:effect w:val="none"/>
      <w:vertAlign w:val="baseline"/>
      <w:cs w:val="0"/>
      <w:em w:val="none"/>
    </w:rPr>
  </w:style>
  <w:style w:type="paragraph" w:styleId="Sangra2detindependiente">
    <w:name w:val="Body Text Indent 2"/>
    <w:basedOn w:val="Normal"/>
    <w:pPr>
      <w:spacing w:after="120" w:line="480" w:lineRule="auto"/>
      <w:ind w:left="283"/>
    </w:pPr>
    <w:rPr>
      <w:sz w:val="20"/>
      <w:szCs w:val="20"/>
    </w:rPr>
  </w:style>
  <w:style w:type="paragraph" w:styleId="Textonotaalfinal">
    <w:name w:val="endnote text"/>
    <w:basedOn w:val="Normal"/>
    <w:uiPriority w:val="99"/>
    <w:rPr>
      <w:sz w:val="20"/>
      <w:szCs w:val="20"/>
    </w:rPr>
  </w:style>
  <w:style w:type="character" w:styleId="Refdenotaalfinal">
    <w:name w:val="endnote reference"/>
    <w:uiPriority w:val="99"/>
    <w:rPr>
      <w:w w:val="100"/>
      <w:position w:val="-1"/>
      <w:effect w:val="none"/>
      <w:vertAlign w:val="superscript"/>
      <w:cs w:val="0"/>
      <w:em w:val="none"/>
    </w:rPr>
  </w:style>
  <w:style w:type="character" w:customStyle="1" w:styleId="sel1348427992542">
    <w:name w:val="sel_1348427992542"/>
    <w:basedOn w:val="Fuentedeprrafopredeter"/>
    <w:rPr>
      <w:w w:val="100"/>
      <w:position w:val="-1"/>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Asuntodelcomentario">
    <w:name w:val="annotation subject"/>
    <w:basedOn w:val="Textocomentario"/>
    <w:next w:val="Textocomentario"/>
    <w:rPr>
      <w:b/>
      <w:bCs/>
    </w:rPr>
  </w:style>
  <w:style w:type="character" w:customStyle="1" w:styleId="HeaderChar">
    <w:name w:val="Header Char"/>
    <w:rPr>
      <w:w w:val="100"/>
      <w:position w:val="-1"/>
      <w:sz w:val="24"/>
      <w:szCs w:val="24"/>
      <w:effect w:val="none"/>
      <w:vertAlign w:val="baseline"/>
      <w:cs w:val="0"/>
      <w:em w:val="none"/>
    </w:rPr>
  </w:style>
  <w:style w:type="character" w:styleId="CitaHTML">
    <w:name w:val="HTML Cite"/>
    <w:rPr>
      <w:color w:val="009933"/>
      <w:w w:val="100"/>
      <w:position w:val="-1"/>
      <w:effect w:val="none"/>
      <w:vertAlign w:val="baseline"/>
      <w:cs w:val="0"/>
      <w:em w:val="none"/>
    </w:rPr>
  </w:style>
  <w:style w:type="character" w:customStyle="1" w:styleId="yiv1702884738149114909-15062012">
    <w:name w:val="yiv1702884738149114909-15062012"/>
    <w:basedOn w:val="Fuentedeprrafopredeter"/>
    <w:rPr>
      <w:w w:val="100"/>
      <w:position w:val="-1"/>
      <w:effect w:val="none"/>
      <w:vertAlign w:val="baseline"/>
      <w:cs w:val="0"/>
      <w:em w:val="none"/>
    </w:rPr>
  </w:style>
  <w:style w:type="paragraph" w:customStyle="1" w:styleId="yiv1702884738msonormal">
    <w:name w:val="yiv1702884738msonormal"/>
    <w:basedOn w:val="Normal"/>
    <w:pPr>
      <w:spacing w:before="100" w:beforeAutospacing="1" w:after="100" w:afterAutospacing="1"/>
    </w:pPr>
  </w:style>
  <w:style w:type="paragraph" w:styleId="Prrafodelista">
    <w:name w:val="List Paragraph"/>
    <w:basedOn w:val="Normal"/>
    <w:uiPriority w:val="99"/>
    <w:qFormat/>
    <w:pPr>
      <w:ind w:left="708"/>
    </w:pPr>
  </w:style>
  <w:style w:type="character" w:customStyle="1" w:styleId="highlight">
    <w:name w:val="highlight"/>
    <w:basedOn w:val="Fuentedeprrafopredeter"/>
    <w:rPr>
      <w:w w:val="100"/>
      <w:position w:val="-1"/>
      <w:effect w:val="none"/>
      <w:vertAlign w:val="baseline"/>
      <w:cs w:val="0"/>
      <w:em w:val="none"/>
    </w:rPr>
  </w:style>
  <w:style w:type="paragraph" w:styleId="TDC1">
    <w:name w:val="toc 1"/>
    <w:basedOn w:val="Normal"/>
    <w:next w:val="Normal"/>
    <w:uiPriority w:val="39"/>
  </w:style>
  <w:style w:type="paragraph" w:styleId="TDC2">
    <w:name w:val="toc 2"/>
    <w:basedOn w:val="Normal"/>
    <w:next w:val="Normal"/>
    <w:uiPriority w:val="39"/>
    <w:pPr>
      <w:ind w:left="240"/>
    </w:pPr>
  </w:style>
  <w:style w:type="paragraph" w:styleId="TDC3">
    <w:name w:val="toc 3"/>
    <w:basedOn w:val="Normal"/>
    <w:next w:val="Normal"/>
    <w:uiPriority w:val="39"/>
    <w:pPr>
      <w:ind w:left="480"/>
    </w:pPr>
  </w:style>
  <w:style w:type="paragraph" w:customStyle="1" w:styleId="Pa7">
    <w:name w:val="Pa7"/>
    <w:basedOn w:val="Default"/>
    <w:next w:val="Default"/>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pPr>
      <w:spacing w:line="240" w:lineRule="atLeast"/>
    </w:pPr>
    <w:rPr>
      <w:rFonts w:ascii="GNQAFU+HelveticaNeue-Black" w:eastAsia="Times New Roman" w:hAnsi="GNQAFU+HelveticaNeue-Black" w:cs="Times New Roman"/>
      <w:color w:val="auto"/>
    </w:rPr>
  </w:style>
  <w:style w:type="character" w:customStyle="1" w:styleId="CarCar22">
    <w:name w:val="Car Car22"/>
    <w:rPr>
      <w:rFonts w:ascii="Cambria" w:hAnsi="Cambria" w:cs="Times New Roman"/>
      <w:b/>
      <w:bCs/>
      <w:w w:val="100"/>
      <w:kern w:val="32"/>
      <w:position w:val="-1"/>
      <w:sz w:val="32"/>
      <w:szCs w:val="32"/>
      <w:effect w:val="none"/>
      <w:vertAlign w:val="baseline"/>
      <w:cs w:val="0"/>
      <w:em w:val="none"/>
    </w:rPr>
  </w:style>
  <w:style w:type="character" w:customStyle="1" w:styleId="A2">
    <w:name w:val="A2"/>
    <w:rPr>
      <w:rFonts w:ascii="DZMIPA+HelveticaNeue-Medium" w:hAnsi="DZMIPA+HelveticaNeue-Medium" w:cs="DZMIPA+HelveticaNeue-Medium"/>
      <w:color w:val="000000"/>
      <w:w w:val="100"/>
      <w:position w:val="-1"/>
      <w:sz w:val="16"/>
      <w:szCs w:val="16"/>
      <w:effect w:val="none"/>
      <w:vertAlign w:val="baseline"/>
      <w:cs w:val="0"/>
      <w:em w:val="none"/>
    </w:rPr>
  </w:style>
  <w:style w:type="character" w:customStyle="1" w:styleId="longtext">
    <w:name w:val="long_text"/>
    <w:basedOn w:val="Fuentedeprrafopredeter"/>
    <w:rPr>
      <w:w w:val="100"/>
      <w:position w:val="-1"/>
      <w:effect w:val="none"/>
      <w:vertAlign w:val="baseline"/>
      <w:cs w:val="0"/>
      <w:em w:val="none"/>
    </w:rPr>
  </w:style>
  <w:style w:type="character" w:customStyle="1" w:styleId="hps">
    <w:name w:val="hps"/>
    <w:basedOn w:val="Fuentedeprrafopredeter"/>
    <w:rPr>
      <w:w w:val="100"/>
      <w:position w:val="-1"/>
      <w:effect w:val="none"/>
      <w:vertAlign w:val="baseline"/>
      <w:cs w:val="0"/>
      <w:em w:val="none"/>
    </w:rPr>
  </w:style>
  <w:style w:type="character" w:customStyle="1" w:styleId="hpsatn">
    <w:name w:val="hps atn"/>
    <w:basedOn w:val="Fuentedeprrafopredeter"/>
    <w:rPr>
      <w:w w:val="100"/>
      <w:position w:val="-1"/>
      <w:effect w:val="none"/>
      <w:vertAlign w:val="baseline"/>
      <w:cs w:val="0"/>
      <w:em w:val="none"/>
    </w:rPr>
  </w:style>
  <w:style w:type="character" w:styleId="Refdenotaalpie">
    <w:name w:val="footnote reference"/>
    <w:uiPriority w:val="99"/>
    <w:qFormat/>
    <w:rPr>
      <w:w w:val="100"/>
      <w:position w:val="-1"/>
      <w:effect w:val="none"/>
      <w:vertAlign w:val="superscript"/>
      <w:cs w:val="0"/>
      <w:em w:val="none"/>
    </w:rPr>
  </w:style>
  <w:style w:type="character" w:customStyle="1" w:styleId="A7">
    <w:name w:val="A7"/>
    <w:rPr>
      <w:color w:val="211D1E"/>
      <w:w w:val="100"/>
      <w:position w:val="-1"/>
      <w:sz w:val="16"/>
      <w:szCs w:val="16"/>
      <w:effect w:val="none"/>
      <w:vertAlign w:val="baseline"/>
      <w:cs w:val="0"/>
      <w:em w:val="none"/>
    </w:rPr>
  </w:style>
  <w:style w:type="character" w:customStyle="1" w:styleId="Refdecomentario1">
    <w:name w:val="Ref. de comentario1"/>
    <w:rPr>
      <w:w w:val="100"/>
      <w:position w:val="-1"/>
      <w:sz w:val="16"/>
      <w:szCs w:val="16"/>
      <w:effect w:val="none"/>
      <w:vertAlign w:val="baseline"/>
      <w:cs w:val="0"/>
      <w:em w:val="none"/>
    </w:rPr>
  </w:style>
  <w:style w:type="character" w:customStyle="1" w:styleId="Ninguno">
    <w:name w:val="Ninguno"/>
    <w:rPr>
      <w:w w:val="100"/>
      <w:position w:val="-1"/>
      <w:effect w:val="none"/>
      <w:vertAlign w:val="baseline"/>
      <w:cs w:val="0"/>
      <w:em w:val="none"/>
      <w:lang w:val="es-ES"/>
    </w:rPr>
  </w:style>
  <w:style w:type="character" w:customStyle="1" w:styleId="TextonotaalfinalCar">
    <w:name w:val="Texto nota al final Car"/>
    <w:uiPriority w:val="99"/>
    <w:rPr>
      <w:w w:val="100"/>
      <w:position w:val="-1"/>
      <w:effect w:val="none"/>
      <w:vertAlign w:val="baseline"/>
      <w:cs w:val="0"/>
      <w:em w:val="none"/>
    </w:rPr>
  </w:style>
  <w:style w:type="character" w:customStyle="1" w:styleId="Mencinsinresolver1">
    <w:name w:val="Mención sin resolver1"/>
    <w:qFormat/>
    <w:rPr>
      <w:color w:val="605E5C"/>
      <w:w w:val="100"/>
      <w:position w:val="-1"/>
      <w:effect w:val="none"/>
      <w:shd w:val="clear" w:color="auto" w:fill="E1DFDD"/>
      <w:vertAlign w:val="baseline"/>
      <w:cs w:val="0"/>
      <w:em w:val="none"/>
    </w:rPr>
  </w:style>
  <w:style w:type="character" w:customStyle="1" w:styleId="HTMLconformatoprevioCar">
    <w:name w:val="HTML con formato previo Car"/>
    <w:rPr>
      <w:rFonts w:ascii="Courier New" w:hAnsi="Courier New" w:cs="Courier New"/>
      <w:w w:val="100"/>
      <w:position w:val="-1"/>
      <w:effect w:val="none"/>
      <w:vertAlign w:val="baseline"/>
      <w:cs w:val="0"/>
      <w:em w:val="none"/>
    </w:rPr>
  </w:style>
  <w:style w:type="character" w:customStyle="1" w:styleId="TextonotapieCar">
    <w:name w:val="Texto nota pie Car"/>
    <w:uiPriority w:val="99"/>
    <w:rPr>
      <w:rFonts w:ascii="Arial" w:hAnsi="Arial"/>
      <w:snapToGrid/>
      <w:w w:val="100"/>
      <w:position w:val="-1"/>
      <w:effect w:val="none"/>
      <w:vertAlign w:val="baseline"/>
      <w:cs w:val="0"/>
      <w:em w:val="none"/>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70" w:type="dxa"/>
        <w:right w:w="7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70" w:type="dxa"/>
        <w:right w:w="70"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tblPr>
      <w:tblStyleRowBandSize w:val="1"/>
      <w:tblStyleColBandSize w:val="1"/>
      <w:tblCellMar>
        <w:left w:w="70" w:type="dxa"/>
        <w:right w:w="70"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tblPr>
      <w:tblStyleRowBandSize w:val="1"/>
      <w:tblStyleColBandSize w:val="1"/>
      <w:tblCellMar>
        <w:left w:w="70" w:type="dxa"/>
        <w:right w:w="70"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70" w:type="dxa"/>
        <w:right w:w="70" w:type="dxa"/>
      </w:tblCellMar>
    </w:tblPr>
  </w:style>
  <w:style w:type="table" w:customStyle="1" w:styleId="afff1">
    <w:basedOn w:val="TableNormal0"/>
    <w:tblPr>
      <w:tblStyleRowBandSize w:val="1"/>
      <w:tblStyleColBandSize w:val="1"/>
      <w:tblCellMar>
        <w:left w:w="70" w:type="dxa"/>
        <w:right w:w="70" w:type="dxa"/>
      </w:tblCellMar>
    </w:tblPr>
  </w:style>
  <w:style w:type="table" w:customStyle="1" w:styleId="afff2">
    <w:basedOn w:val="TableNormal0"/>
    <w:tblPr>
      <w:tblStyleRowBandSize w:val="1"/>
      <w:tblStyleColBandSize w:val="1"/>
      <w:tblCellMar>
        <w:left w:w="70" w:type="dxa"/>
        <w:right w:w="70" w:type="dxa"/>
      </w:tblCellMar>
    </w:tblPr>
  </w:style>
  <w:style w:type="table" w:customStyle="1" w:styleId="afff3">
    <w:basedOn w:val="TableNormal0"/>
    <w:tblPr>
      <w:tblStyleRowBandSize w:val="1"/>
      <w:tblStyleColBandSize w:val="1"/>
      <w:tblCellMar>
        <w:left w:w="70" w:type="dxa"/>
        <w:right w:w="70" w:type="dxa"/>
      </w:tblCellMar>
    </w:tblPr>
  </w:style>
  <w:style w:type="table" w:customStyle="1" w:styleId="afff4">
    <w:basedOn w:val="TableNormal0"/>
    <w:tblPr>
      <w:tblStyleRowBandSize w:val="1"/>
      <w:tblStyleColBandSize w:val="1"/>
      <w:tblCellMar>
        <w:left w:w="70" w:type="dxa"/>
        <w:right w:w="70" w:type="dxa"/>
      </w:tblCellMar>
    </w:tblPr>
  </w:style>
  <w:style w:type="table" w:customStyle="1" w:styleId="afff5">
    <w:basedOn w:val="TableNormal0"/>
    <w:tblPr>
      <w:tblStyleRowBandSize w:val="1"/>
      <w:tblStyleColBandSize w:val="1"/>
      <w:tblCellMar>
        <w:left w:w="70" w:type="dxa"/>
        <w:right w:w="70" w:type="dxa"/>
      </w:tblCellMar>
    </w:tblPr>
  </w:style>
  <w:style w:type="table" w:customStyle="1" w:styleId="afff6">
    <w:basedOn w:val="TableNormal0"/>
    <w:tblPr>
      <w:tblStyleRowBandSize w:val="1"/>
      <w:tblStyleColBandSize w:val="1"/>
      <w:tblCellMar>
        <w:left w:w="70" w:type="dxa"/>
        <w:right w:w="70" w:type="dxa"/>
      </w:tblCellMar>
    </w:tblPr>
  </w:style>
  <w:style w:type="table" w:customStyle="1" w:styleId="afff7">
    <w:basedOn w:val="TableNormal0"/>
    <w:tblPr>
      <w:tblStyleRowBandSize w:val="1"/>
      <w:tblStyleColBandSize w:val="1"/>
      <w:tblCellMar>
        <w:left w:w="70" w:type="dxa"/>
        <w:right w:w="70" w:type="dxa"/>
      </w:tblCellMar>
    </w:tblPr>
  </w:style>
  <w:style w:type="table" w:customStyle="1" w:styleId="afff8">
    <w:basedOn w:val="TableNormal0"/>
    <w:tblPr>
      <w:tblStyleRowBandSize w:val="1"/>
      <w:tblStyleColBandSize w:val="1"/>
      <w:tblCellMar>
        <w:left w:w="70" w:type="dxa"/>
        <w:right w:w="70" w:type="dxa"/>
      </w:tblCellMar>
    </w:tblPr>
  </w:style>
  <w:style w:type="table" w:customStyle="1" w:styleId="afff9">
    <w:basedOn w:val="TableNormal0"/>
    <w:tblPr>
      <w:tblStyleRowBandSize w:val="1"/>
      <w:tblStyleColBandSize w:val="1"/>
      <w:tblCellMar>
        <w:left w:w="70" w:type="dxa"/>
        <w:right w:w="70" w:type="dxa"/>
      </w:tblCellMar>
    </w:tblPr>
  </w:style>
  <w:style w:type="table" w:customStyle="1" w:styleId="afffa">
    <w:basedOn w:val="TableNormal0"/>
    <w:tblPr>
      <w:tblStyleRowBandSize w:val="1"/>
      <w:tblStyleColBandSize w:val="1"/>
      <w:tblCellMar>
        <w:left w:w="70" w:type="dxa"/>
        <w:right w:w="70" w:type="dxa"/>
      </w:tblCellMar>
    </w:tblPr>
  </w:style>
  <w:style w:type="table" w:customStyle="1" w:styleId="afffb">
    <w:basedOn w:val="TableNormal0"/>
    <w:tblPr>
      <w:tblStyleRowBandSize w:val="1"/>
      <w:tblStyleColBandSize w:val="1"/>
      <w:tblCellMar>
        <w:left w:w="70" w:type="dxa"/>
        <w:right w:w="70" w:type="dxa"/>
      </w:tblCellMar>
    </w:tblPr>
  </w:style>
  <w:style w:type="table" w:customStyle="1" w:styleId="afffc">
    <w:basedOn w:val="TableNormal0"/>
    <w:tblPr>
      <w:tblStyleRowBandSize w:val="1"/>
      <w:tblStyleColBandSize w:val="1"/>
      <w:tblCellMar>
        <w:left w:w="70" w:type="dxa"/>
        <w:right w:w="70" w:type="dxa"/>
      </w:tblCellMar>
    </w:tblPr>
  </w:style>
  <w:style w:type="table" w:customStyle="1" w:styleId="afffd">
    <w:basedOn w:val="TableNormal0"/>
    <w:tblPr>
      <w:tblStyleRowBandSize w:val="1"/>
      <w:tblStyleColBandSize w:val="1"/>
      <w:tblCellMar>
        <w:left w:w="70" w:type="dxa"/>
        <w:right w:w="70" w:type="dxa"/>
      </w:tblCellMar>
    </w:tblPr>
  </w:style>
  <w:style w:type="table" w:customStyle="1" w:styleId="afffe">
    <w:basedOn w:val="TableNormal0"/>
    <w:tblPr>
      <w:tblStyleRowBandSize w:val="1"/>
      <w:tblStyleColBandSize w:val="1"/>
      <w:tblCellMar>
        <w:left w:w="70" w:type="dxa"/>
        <w:right w:w="70" w:type="dxa"/>
      </w:tblCellMar>
    </w:tblPr>
  </w:style>
  <w:style w:type="table" w:customStyle="1" w:styleId="affff">
    <w:basedOn w:val="TableNormal0"/>
    <w:tblPr>
      <w:tblStyleRowBandSize w:val="1"/>
      <w:tblStyleColBandSize w:val="1"/>
      <w:tblCellMar>
        <w:left w:w="70" w:type="dxa"/>
        <w:right w:w="70" w:type="dxa"/>
      </w:tblCellMar>
    </w:tblPr>
  </w:style>
  <w:style w:type="table" w:customStyle="1" w:styleId="affff0">
    <w:basedOn w:val="TableNormal0"/>
    <w:tblPr>
      <w:tblStyleRowBandSize w:val="1"/>
      <w:tblStyleColBandSize w:val="1"/>
      <w:tblCellMar>
        <w:left w:w="70" w:type="dxa"/>
        <w:right w:w="70" w:type="dxa"/>
      </w:tblCellMar>
    </w:tblPr>
  </w:style>
  <w:style w:type="table" w:customStyle="1" w:styleId="affff1">
    <w:basedOn w:val="TableNormal0"/>
    <w:tblPr>
      <w:tblStyleRowBandSize w:val="1"/>
      <w:tblStyleColBandSize w:val="1"/>
      <w:tblCellMar>
        <w:left w:w="70" w:type="dxa"/>
        <w:right w:w="70" w:type="dxa"/>
      </w:tblCellMar>
    </w:tblPr>
  </w:style>
  <w:style w:type="table" w:customStyle="1" w:styleId="affff2">
    <w:basedOn w:val="TableNormal0"/>
    <w:tblPr>
      <w:tblStyleRowBandSize w:val="1"/>
      <w:tblStyleColBandSize w:val="1"/>
      <w:tblCellMar>
        <w:left w:w="70" w:type="dxa"/>
        <w:right w:w="70" w:type="dxa"/>
      </w:tblCellMar>
    </w:tblPr>
  </w:style>
  <w:style w:type="table" w:customStyle="1" w:styleId="affff3">
    <w:basedOn w:val="TableNormal0"/>
    <w:tblPr>
      <w:tblStyleRowBandSize w:val="1"/>
      <w:tblStyleColBandSize w:val="1"/>
      <w:tblCellMar>
        <w:left w:w="70" w:type="dxa"/>
        <w:right w:w="70" w:type="dxa"/>
      </w:tblCellMar>
    </w:tblPr>
  </w:style>
  <w:style w:type="table" w:customStyle="1" w:styleId="affff4">
    <w:basedOn w:val="TableNormal0"/>
    <w:tblPr>
      <w:tblStyleRowBandSize w:val="1"/>
      <w:tblStyleColBandSize w:val="1"/>
      <w:tblCellMar>
        <w:left w:w="70" w:type="dxa"/>
        <w:right w:w="70" w:type="dxa"/>
      </w:tblCellMar>
    </w:tblPr>
  </w:style>
  <w:style w:type="table" w:customStyle="1" w:styleId="affff5">
    <w:basedOn w:val="TableNormal0"/>
    <w:tblPr>
      <w:tblStyleRowBandSize w:val="1"/>
      <w:tblStyleColBandSize w:val="1"/>
      <w:tblCellMar>
        <w:left w:w="70" w:type="dxa"/>
        <w:right w:w="70"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left w:w="70" w:type="dxa"/>
        <w:right w:w="70"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tblPr>
      <w:tblStyleRowBandSize w:val="1"/>
      <w:tblStyleColBandSize w:val="1"/>
      <w:tblCellMar>
        <w:left w:w="70" w:type="dxa"/>
        <w:right w:w="70" w:type="dxa"/>
      </w:tblCellMar>
    </w:tblPr>
  </w:style>
  <w:style w:type="table" w:customStyle="1" w:styleId="affffb">
    <w:basedOn w:val="TableNormal0"/>
    <w:tblPr>
      <w:tblStyleRowBandSize w:val="1"/>
      <w:tblStyleColBandSize w:val="1"/>
      <w:tblCellMar>
        <w:left w:w="70" w:type="dxa"/>
        <w:right w:w="70" w:type="dxa"/>
      </w:tblCellMar>
    </w:tblPr>
  </w:style>
  <w:style w:type="table" w:customStyle="1" w:styleId="affffc">
    <w:basedOn w:val="TableNormal0"/>
    <w:tblPr>
      <w:tblStyleRowBandSize w:val="1"/>
      <w:tblStyleColBandSize w:val="1"/>
      <w:tblCellMar>
        <w:left w:w="70" w:type="dxa"/>
        <w:right w:w="70" w:type="dxa"/>
      </w:tblCellMar>
    </w:tblPr>
  </w:style>
  <w:style w:type="table" w:customStyle="1" w:styleId="affffd">
    <w:basedOn w:val="TableNormal0"/>
    <w:tblPr>
      <w:tblStyleRowBandSize w:val="1"/>
      <w:tblStyleColBandSize w:val="1"/>
      <w:tblCellMar>
        <w:left w:w="70" w:type="dxa"/>
        <w:right w:w="70" w:type="dxa"/>
      </w:tblCellMar>
    </w:tblPr>
  </w:style>
  <w:style w:type="table" w:customStyle="1" w:styleId="affffe">
    <w:basedOn w:val="TableNormal0"/>
    <w:tblPr>
      <w:tblStyleRowBandSize w:val="1"/>
      <w:tblStyleColBandSize w:val="1"/>
      <w:tblCellMar>
        <w:left w:w="70" w:type="dxa"/>
        <w:right w:w="70" w:type="dxa"/>
      </w:tblCellMar>
    </w:tblPr>
  </w:style>
  <w:style w:type="table" w:customStyle="1" w:styleId="afffff">
    <w:basedOn w:val="TableNormal0"/>
    <w:tblPr>
      <w:tblStyleRowBandSize w:val="1"/>
      <w:tblStyleColBandSize w:val="1"/>
      <w:tblCellMar>
        <w:left w:w="70" w:type="dxa"/>
        <w:right w:w="70" w:type="dxa"/>
      </w:tblCellMar>
    </w:tblPr>
  </w:style>
  <w:style w:type="table" w:customStyle="1" w:styleId="afffff0">
    <w:basedOn w:val="TableNormal0"/>
    <w:tblPr>
      <w:tblStyleRowBandSize w:val="1"/>
      <w:tblStyleColBandSize w:val="1"/>
      <w:tblCellMar>
        <w:left w:w="70" w:type="dxa"/>
        <w:right w:w="70" w:type="dxa"/>
      </w:tblCellMar>
    </w:tblPr>
  </w:style>
  <w:style w:type="table" w:customStyle="1" w:styleId="afffff1">
    <w:basedOn w:val="TableNormal0"/>
    <w:tblPr>
      <w:tblStyleRowBandSize w:val="1"/>
      <w:tblStyleColBandSize w:val="1"/>
      <w:tblCellMar>
        <w:left w:w="70" w:type="dxa"/>
        <w:right w:w="70" w:type="dxa"/>
      </w:tblCellMar>
    </w:tblPr>
  </w:style>
  <w:style w:type="character" w:styleId="Ttulodellibro">
    <w:name w:val="Book Title"/>
    <w:basedOn w:val="Fuentedeprrafopredeter"/>
    <w:uiPriority w:val="33"/>
    <w:qFormat/>
    <w:rsid w:val="00750093"/>
    <w:rPr>
      <w:b/>
      <w:bCs/>
      <w:smallCaps/>
      <w:spacing w:val="5"/>
    </w:rPr>
  </w:style>
  <w:style w:type="paragraph" w:styleId="TtuloTDC">
    <w:name w:val="TOC Heading"/>
    <w:basedOn w:val="Ttulo1"/>
    <w:next w:val="Normal"/>
    <w:uiPriority w:val="39"/>
    <w:semiHidden/>
    <w:unhideWhenUsed/>
    <w:qFormat/>
    <w:rsid w:val="00750093"/>
    <w:pPr>
      <w:keepLines/>
      <w:suppressAutoHyphens w:val="0"/>
      <w:autoSpaceDE/>
      <w:autoSpaceDN/>
      <w:adjustRightInd/>
      <w:spacing w:before="480" w:line="276" w:lineRule="auto"/>
      <w:ind w:leftChars="0" w:left="0" w:firstLineChars="0" w:firstLine="0"/>
      <w:textDirection w:val="lrTb"/>
      <w:textAlignment w:val="auto"/>
      <w:outlineLvl w:val="9"/>
    </w:pPr>
    <w:rPr>
      <w:rFonts w:asciiTheme="majorHAnsi" w:eastAsiaTheme="majorEastAsia" w:hAnsiTheme="majorHAnsi" w:cstheme="majorBidi"/>
      <w:color w:val="365F91" w:themeColor="accent1" w:themeShade="BF"/>
      <w:kern w:val="0"/>
      <w:positio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eu.usatoday.com/story/news/2017/10/16/new-gene-therapy-treatment/769240001/" TargetMode="External"/><Relationship Id="rId13" Type="http://schemas.openxmlformats.org/officeDocument/2006/relationships/hyperlink" Target="https://www.sofpromed.com/how-much-does-a-clinical-trial-cost/" TargetMode="External"/><Relationship Id="rId18" Type="http://schemas.openxmlformats.org/officeDocument/2006/relationships/hyperlink" Target="https://www.ncbi.nlm.nih.gov/pmc/articles/PMC3748620/" TargetMode="External"/><Relationship Id="rId3" Type="http://schemas.openxmlformats.org/officeDocument/2006/relationships/hyperlink" Target="https://doi.org/10.1055/s-0039-1685529" TargetMode="External"/><Relationship Id="rId7" Type="http://schemas.openxmlformats.org/officeDocument/2006/relationships/hyperlink" Target="https://www.patientsforaffordabledrugs.org/2018/02/08/new-analysis-shows-cart-drug-wildly-overpriced/" TargetMode="External"/><Relationship Id="rId12" Type="http://schemas.openxmlformats.org/officeDocument/2006/relationships/hyperlink" Target="http://phrma-docs.phrma.org/sites/default/files/pdf/biopharmaceutical-industry-sponsored-clinical-trials-impact-on-state-economies.pdf" TargetMode="External"/><Relationship Id="rId17" Type="http://schemas.openxmlformats.org/officeDocument/2006/relationships/hyperlink" Target="https://static.seekingalpha.com/uploads/sa_presentations/58/59058/original.pdf" TargetMode="External"/><Relationship Id="rId2" Type="http://schemas.openxmlformats.org/officeDocument/2006/relationships/hyperlink" Target="https://enfermedades-raras.org/index.php/component/content/article?id=892" TargetMode="External"/><Relationship Id="rId16" Type="http://schemas.openxmlformats.org/officeDocument/2006/relationships/hyperlink" Target="https://www.ncbi.nlm.nih.gov/pmc/articles/PMC7237114/pdf/ceor-12-253.pdf" TargetMode="External"/><Relationship Id="rId1" Type="http://schemas.openxmlformats.org/officeDocument/2006/relationships/hyperlink" Target="https://www.ema.europa.eu/en/documents/assessment-report/libmeldy-epar-public-assessment-report_en.pdf" TargetMode="External"/><Relationship Id="rId6" Type="http://schemas.openxmlformats.org/officeDocument/2006/relationships/hyperlink" Target="https://www.patientsforaffordabledrugs.org/2018/01/25/kymriah-modeling-assumptions/" TargetMode="External"/><Relationship Id="rId11" Type="http://schemas.openxmlformats.org/officeDocument/2006/relationships/hyperlink" Target="https://onlinelibrary.wiley.com/doi/full/10.1002/ijc.33253" TargetMode="External"/><Relationship Id="rId5" Type="http://schemas.openxmlformats.org/officeDocument/2006/relationships/hyperlink" Target="https://www.ine.es/dyngs/INEbase/es/operacion.htm?c=Estadistica_C&amp;cid=1254736177007&amp;menu=ultiDatos&amp;idp=1254735573002" TargetMode="External"/><Relationship Id="rId15" Type="http://schemas.openxmlformats.org/officeDocument/2006/relationships/hyperlink" Target="https://mldfoundation.org/" TargetMode="External"/><Relationship Id="rId10" Type="http://schemas.openxmlformats.org/officeDocument/2006/relationships/hyperlink" Target="https://onlinelibrary.wiley.com/doi/epdf/10.1002/ijc.33156" TargetMode="External"/><Relationship Id="rId4" Type="http://schemas.openxmlformats.org/officeDocument/2006/relationships/hyperlink" Target="https://www.ema.europa.eu/en/documents/product-information/libmeldy-epar-product-information_es.pdf" TargetMode="External"/><Relationship Id="rId9" Type="http://schemas.openxmlformats.org/officeDocument/2006/relationships/hyperlink" Target="http://gruposdetrabajo.sefh.es/genesis/genesis/Documents/GENESIS_SEFH/TISAGENLECLEUCEL_LLA_def_GENESIS-SEFH_09_05_2019_ISBN_DL.docx" TargetMode="External"/><Relationship Id="rId14" Type="http://schemas.openxmlformats.org/officeDocument/2006/relationships/hyperlink" Target="https://www.ncbi.nlm.nih.gov/pmc/articles/PMC729543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gruposdetrabajo.sefh.es/genesis" TargetMode="External"/><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Hg37bKCey9K/y6GdMnZTmTCxRA==">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A650DA1-21BE-45C9-A565-EBD3DC945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15148</Words>
  <Characters>83316</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DFF</dc:creator>
  <cp:lastModifiedBy>Fraga Fuentes. María Dolores</cp:lastModifiedBy>
  <cp:revision>2</cp:revision>
  <cp:lastPrinted>2021-04-21T10:53:00Z</cp:lastPrinted>
  <dcterms:created xsi:type="dcterms:W3CDTF">2021-06-26T21:01:00Z</dcterms:created>
  <dcterms:modified xsi:type="dcterms:W3CDTF">2021-06-26T21:01:00Z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ef4677e5-ee8b-3129-9b1f-2f35d08c04e3</vt:lpwstr>
  </property>
  <property fmtid="{D5CDD505-2E9C-101B-9397-08002B2CF9AE}" pid="24" name="Mendeley Citation Style_1">
    <vt:lpwstr>http://www.zotero.org/styles/apa</vt:lpwstr>
  </property>
</Properties>
</file>