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comments.xml" ContentType="application/vnd.openxmlformats-officedocument.wordprocessingml.comment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people.xml" ContentType="application/vnd.openxmlformats-officedocument.wordprocessingml.peop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8890" w:type="dxa"/>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8890"/>
      </w:tblGrid>
      <w:tr w:rsidR="007D48BC" w:rsidRPr="006F6ABB">
        <w:trPr>
          <w:trHeight w:val="2701"/>
        </w:trPr>
        <w:tc>
          <w:tcPr>
            <w:tcW w:w="8890" w:type="dxa"/>
            <w:shd w:val="clear" w:color="auto" w:fill="FFCC99"/>
          </w:tcPr>
          <w:p w:rsidR="007D48BC" w:rsidRPr="006F6ABB" w:rsidRDefault="007D48BC" w:rsidP="00BC3E8E">
            <w:pPr>
              <w:rPr>
                <w:rFonts w:ascii="Arial" w:hAnsi="Arial" w:cs="Arial"/>
                <w:b/>
                <w:bCs/>
                <w:sz w:val="40"/>
                <w:szCs w:val="40"/>
              </w:rPr>
            </w:pPr>
          </w:p>
          <w:p w:rsidR="007D48BC" w:rsidRPr="006F6ABB" w:rsidRDefault="007D48BC" w:rsidP="00BC3E8E">
            <w:pPr>
              <w:jc w:val="center"/>
              <w:rPr>
                <w:rFonts w:ascii="Arial" w:hAnsi="Arial" w:cs="Arial"/>
                <w:b/>
                <w:bCs/>
                <w:sz w:val="40"/>
                <w:szCs w:val="40"/>
              </w:rPr>
            </w:pPr>
            <w:r>
              <w:rPr>
                <w:rFonts w:ascii="Arial" w:hAnsi="Arial" w:cs="Arial"/>
                <w:b/>
                <w:bCs/>
                <w:sz w:val="40"/>
                <w:szCs w:val="40"/>
              </w:rPr>
              <w:t>AXICABTAGEN CILOLEUCEL</w:t>
            </w:r>
          </w:p>
          <w:p w:rsidR="007D48BC" w:rsidRDefault="002E1B32" w:rsidP="00BC3E8E">
            <w:pPr>
              <w:jc w:val="center"/>
              <w:rPr>
                <w:rFonts w:ascii="Arial" w:hAnsi="Arial" w:cs="Arial"/>
                <w:b/>
                <w:bCs/>
                <w:sz w:val="40"/>
                <w:szCs w:val="40"/>
              </w:rPr>
            </w:pPr>
            <w:bookmarkStart w:id="0" w:name="_Hlk533097287"/>
            <w:r>
              <w:rPr>
                <w:rFonts w:ascii="Arial" w:hAnsi="Arial" w:cs="Arial"/>
                <w:b/>
                <w:bCs/>
                <w:sz w:val="40"/>
                <w:szCs w:val="40"/>
              </w:rPr>
              <w:t>en linfoma difuso de c</w:t>
            </w:r>
            <w:r w:rsidR="007D48BC">
              <w:rPr>
                <w:rFonts w:ascii="Arial" w:hAnsi="Arial" w:cs="Arial"/>
                <w:b/>
                <w:bCs/>
                <w:sz w:val="40"/>
                <w:szCs w:val="40"/>
              </w:rPr>
              <w:t>élulas B grandes refractario o en recaída</w:t>
            </w:r>
          </w:p>
          <w:p w:rsidR="007D48BC" w:rsidRDefault="007D48BC" w:rsidP="00BC3E8E">
            <w:pPr>
              <w:jc w:val="center"/>
              <w:rPr>
                <w:rFonts w:ascii="Arial" w:hAnsi="Arial" w:cs="Arial"/>
                <w:b/>
                <w:bCs/>
                <w:sz w:val="40"/>
                <w:szCs w:val="40"/>
              </w:rPr>
            </w:pPr>
          </w:p>
          <w:p w:rsidR="007D48BC" w:rsidRPr="006D19F1" w:rsidRDefault="007D48BC" w:rsidP="00BC3E8E">
            <w:pPr>
              <w:jc w:val="center"/>
              <w:rPr>
                <w:rFonts w:ascii="Arial" w:hAnsi="Arial" w:cs="Arial"/>
                <w:b/>
                <w:bCs/>
                <w:sz w:val="28"/>
                <w:szCs w:val="28"/>
              </w:rPr>
            </w:pPr>
            <w:r w:rsidRPr="006D19F1">
              <w:rPr>
                <w:rFonts w:ascii="Arial" w:hAnsi="Arial" w:cs="Arial"/>
                <w:b/>
                <w:bCs/>
                <w:sz w:val="28"/>
                <w:szCs w:val="28"/>
              </w:rPr>
              <w:t xml:space="preserve">BORRADOR </w:t>
            </w:r>
          </w:p>
          <w:p w:rsidR="007D48BC" w:rsidRPr="006D19F1" w:rsidRDefault="007D48BC" w:rsidP="00BC3E8E">
            <w:pPr>
              <w:jc w:val="center"/>
              <w:rPr>
                <w:rFonts w:ascii="Arial" w:hAnsi="Arial" w:cs="Arial"/>
                <w:b/>
                <w:bCs/>
                <w:sz w:val="32"/>
                <w:szCs w:val="32"/>
              </w:rPr>
            </w:pPr>
          </w:p>
          <w:bookmarkEnd w:id="0"/>
          <w:p w:rsidR="007D48BC" w:rsidRDefault="007D48BC" w:rsidP="00F97C94">
            <w:pPr>
              <w:jc w:val="center"/>
              <w:rPr>
                <w:rFonts w:ascii="Arial" w:hAnsi="Arial" w:cs="Arial"/>
                <w:b/>
                <w:bCs/>
              </w:rPr>
            </w:pPr>
            <w:r>
              <w:rPr>
                <w:rFonts w:ascii="Arial" w:hAnsi="Arial" w:cs="Arial"/>
                <w:b/>
                <w:bCs/>
              </w:rPr>
              <w:t>Informe GENESIS-SEFH</w:t>
            </w:r>
          </w:p>
          <w:p w:rsidR="007A3DBC" w:rsidRDefault="007A3DBC" w:rsidP="00F97C94">
            <w:pPr>
              <w:jc w:val="center"/>
              <w:rPr>
                <w:rFonts w:ascii="Arial" w:hAnsi="Arial" w:cs="Arial"/>
              </w:rPr>
            </w:pPr>
            <w:r w:rsidRPr="007A3DBC">
              <w:rPr>
                <w:rFonts w:ascii="Arial" w:hAnsi="Arial" w:cs="Arial"/>
              </w:rPr>
              <w:t>Fecha redacción 25 de marzo de 2019</w:t>
            </w:r>
          </w:p>
          <w:p w:rsidR="007F523B" w:rsidRPr="007A3DBC" w:rsidRDefault="007F523B" w:rsidP="00F97C94">
            <w:pPr>
              <w:jc w:val="center"/>
              <w:rPr>
                <w:rFonts w:ascii="Arial" w:hAnsi="Arial" w:cs="Arial"/>
              </w:rPr>
            </w:pPr>
            <w:r>
              <w:rPr>
                <w:rFonts w:ascii="Arial" w:hAnsi="Arial" w:cs="Arial"/>
              </w:rPr>
              <w:t>Fecha fin de alegaciones: 3 de junio de 2019</w:t>
            </w:r>
          </w:p>
          <w:p w:rsidR="007A3DBC" w:rsidRDefault="007A3DBC" w:rsidP="00F97C94">
            <w:pPr>
              <w:jc w:val="center"/>
            </w:pPr>
          </w:p>
          <w:p w:rsidR="007D48BC" w:rsidRDefault="007D48BC" w:rsidP="00F97C94">
            <w:pPr>
              <w:jc w:val="center"/>
              <w:rPr>
                <w:rFonts w:ascii="Arial" w:hAnsi="Arial" w:cs="Arial"/>
                <w:b/>
                <w:bCs/>
                <w:sz w:val="22"/>
                <w:szCs w:val="22"/>
              </w:rPr>
            </w:pPr>
          </w:p>
          <w:p w:rsidR="007D48BC" w:rsidRDefault="007D48BC" w:rsidP="00F97C94">
            <w:pPr>
              <w:keepNext/>
              <w:tabs>
                <w:tab w:val="left" w:pos="1673"/>
              </w:tabs>
              <w:jc w:val="center"/>
            </w:pPr>
            <w:r>
              <w:rPr>
                <w:rFonts w:ascii="Arial" w:hAnsi="Arial" w:cs="Arial"/>
                <w:sz w:val="22"/>
                <w:szCs w:val="22"/>
                <w:lang w:eastAsia="en-US"/>
              </w:rPr>
              <w:t>Informe para el grupo GENESIS elaborado según el método y procedimientos de evaluación compartida establecidos por este grupo de trabajo de la SEFH</w:t>
            </w:r>
          </w:p>
          <w:p w:rsidR="007D48BC" w:rsidRPr="006F6ABB" w:rsidRDefault="007D48BC" w:rsidP="00BC3E8E">
            <w:pPr>
              <w:rPr>
                <w:rFonts w:ascii="Arial" w:hAnsi="Arial" w:cs="Arial"/>
                <w:color w:val="0000FF"/>
              </w:rPr>
            </w:pPr>
          </w:p>
        </w:tc>
      </w:tr>
    </w:tbl>
    <w:p w:rsidR="007D48BC" w:rsidRDefault="007D48BC" w:rsidP="00BC3E8E">
      <w:pPr>
        <w:rPr>
          <w:rFonts w:ascii="Arial" w:hAnsi="Arial" w:cs="Arial"/>
          <w:color w:val="0000FF"/>
          <w:u w:val="single"/>
        </w:rPr>
      </w:pPr>
    </w:p>
    <w:p w:rsidR="00BB6945" w:rsidRPr="00BB6945" w:rsidRDefault="007D48BC" w:rsidP="00BC3E8E">
      <w:pPr>
        <w:rPr>
          <w:rFonts w:ascii="Arial" w:hAnsi="Arial" w:cs="Arial"/>
          <w:noProof/>
        </w:rPr>
      </w:pPr>
      <w:r>
        <w:rPr>
          <w:rFonts w:ascii="Arial" w:hAnsi="Arial" w:cs="Arial"/>
          <w:b/>
          <w:bCs/>
        </w:rPr>
        <w:t>Í</w:t>
      </w:r>
      <w:r w:rsidRPr="00D678E5">
        <w:rPr>
          <w:rFonts w:ascii="Arial" w:hAnsi="Arial" w:cs="Arial"/>
          <w:b/>
          <w:bCs/>
        </w:rPr>
        <w:t>NDICE</w:t>
      </w:r>
      <w:r>
        <w:rPr>
          <w:rFonts w:ascii="Arial" w:hAnsi="Arial" w:cs="Arial"/>
          <w:b/>
          <w:bCs/>
        </w:rPr>
        <w:t>:</w:t>
      </w:r>
      <w:bookmarkStart w:id="1" w:name="_GoBack"/>
      <w:bookmarkEnd w:id="1"/>
      <w:r w:rsidR="00FE59AC" w:rsidRPr="00BB6945">
        <w:rPr>
          <w:rFonts w:ascii="Arial" w:hAnsi="Arial" w:cs="Arial"/>
          <w:bCs/>
        </w:rPr>
        <w:fldChar w:fldCharType="begin"/>
      </w:r>
      <w:r w:rsidRPr="00BB6945">
        <w:rPr>
          <w:rFonts w:ascii="Arial" w:hAnsi="Arial" w:cs="Arial"/>
          <w:bCs/>
        </w:rPr>
        <w:instrText xml:space="preserve"> INDEX \z "3082" </w:instrText>
      </w:r>
      <w:r w:rsidR="00FE59AC" w:rsidRPr="00BB6945">
        <w:rPr>
          <w:rFonts w:ascii="Arial" w:hAnsi="Arial" w:cs="Arial"/>
          <w:bCs/>
        </w:rPr>
        <w:fldChar w:fldCharType="separate"/>
      </w:r>
    </w:p>
    <w:p w:rsidR="00BB6945" w:rsidRPr="00BB6945" w:rsidRDefault="00BB6945">
      <w:pPr>
        <w:pStyle w:val="ndice1"/>
        <w:tabs>
          <w:tab w:val="right" w:leader="dot" w:pos="8729"/>
        </w:tabs>
        <w:rPr>
          <w:rFonts w:ascii="Arial" w:hAnsi="Arial" w:cs="Arial"/>
          <w:noProof/>
        </w:rPr>
      </w:pPr>
      <w:r w:rsidRPr="00BB6945">
        <w:rPr>
          <w:rFonts w:ascii="Arial" w:hAnsi="Arial" w:cs="Arial"/>
          <w:noProof/>
        </w:rPr>
        <w:t>1.- IDENTIFICACIÓN DEL FÁRMACO Y AUTORES DEL INFORME</w:t>
      </w:r>
      <w:r>
        <w:rPr>
          <w:rFonts w:ascii="Arial" w:hAnsi="Arial" w:cs="Arial"/>
          <w:noProof/>
        </w:rPr>
        <w:tab/>
      </w:r>
      <w:r w:rsidRPr="00BB6945">
        <w:rPr>
          <w:rFonts w:ascii="Arial" w:hAnsi="Arial" w:cs="Arial"/>
          <w:noProof/>
        </w:rPr>
        <w:t xml:space="preserve"> 3</w:t>
      </w:r>
    </w:p>
    <w:p w:rsidR="00BB6945" w:rsidRPr="00BB6945" w:rsidRDefault="00BB6945">
      <w:pPr>
        <w:pStyle w:val="ndice1"/>
        <w:tabs>
          <w:tab w:val="right" w:leader="dot" w:pos="8729"/>
        </w:tabs>
        <w:rPr>
          <w:rFonts w:ascii="Arial" w:hAnsi="Arial" w:cs="Arial"/>
          <w:noProof/>
        </w:rPr>
      </w:pPr>
      <w:r w:rsidRPr="00BB6945">
        <w:rPr>
          <w:rFonts w:ascii="Arial" w:hAnsi="Arial" w:cs="Arial"/>
          <w:noProof/>
        </w:rPr>
        <w:t>2.- SOLICITUD Y DATOS DEL PROCESO DE EVALUACIÓN</w:t>
      </w:r>
      <w:r>
        <w:rPr>
          <w:rFonts w:ascii="Arial" w:hAnsi="Arial" w:cs="Arial"/>
          <w:noProof/>
        </w:rPr>
        <w:tab/>
      </w:r>
      <w:r w:rsidRPr="00BB6945">
        <w:rPr>
          <w:rFonts w:ascii="Arial" w:hAnsi="Arial" w:cs="Arial"/>
          <w:noProof/>
        </w:rPr>
        <w:t xml:space="preserve"> 3</w:t>
      </w:r>
    </w:p>
    <w:p w:rsidR="00BB6945" w:rsidRPr="00BB6945" w:rsidRDefault="00BB6945">
      <w:pPr>
        <w:pStyle w:val="ndice1"/>
        <w:tabs>
          <w:tab w:val="right" w:leader="dot" w:pos="8729"/>
        </w:tabs>
        <w:rPr>
          <w:rFonts w:ascii="Arial" w:hAnsi="Arial" w:cs="Arial"/>
          <w:noProof/>
        </w:rPr>
      </w:pPr>
      <w:r w:rsidRPr="00BB6945">
        <w:rPr>
          <w:rFonts w:ascii="Arial" w:hAnsi="Arial" w:cs="Arial"/>
          <w:noProof/>
        </w:rPr>
        <w:t>3.- AREA DESCRIPTIVA DEL MEDICAMENTO Y DEL PROBLEMA DE SALUD</w:t>
      </w:r>
      <w:r>
        <w:rPr>
          <w:rFonts w:ascii="Arial" w:hAnsi="Arial" w:cs="Arial"/>
          <w:noProof/>
        </w:rPr>
        <w:tab/>
      </w:r>
      <w:r w:rsidRPr="00BB6945">
        <w:rPr>
          <w:rFonts w:ascii="Arial" w:hAnsi="Arial" w:cs="Arial"/>
          <w:noProof/>
        </w:rPr>
        <w:t xml:space="preserve"> 3</w:t>
      </w:r>
    </w:p>
    <w:p w:rsidR="00BB6945" w:rsidRPr="00BB6945" w:rsidRDefault="00BB6945">
      <w:pPr>
        <w:pStyle w:val="ndice1"/>
        <w:tabs>
          <w:tab w:val="right" w:leader="dot" w:pos="8729"/>
        </w:tabs>
        <w:rPr>
          <w:rFonts w:ascii="Arial" w:hAnsi="Arial" w:cs="Arial"/>
          <w:noProof/>
        </w:rPr>
      </w:pPr>
      <w:r w:rsidRPr="00BB6945">
        <w:rPr>
          <w:rFonts w:ascii="Arial" w:hAnsi="Arial" w:cs="Arial"/>
          <w:noProof/>
        </w:rPr>
        <w:t>3.1 Área descriptiva del medicamento</w:t>
      </w:r>
      <w:r>
        <w:rPr>
          <w:rFonts w:ascii="Arial" w:hAnsi="Arial" w:cs="Arial"/>
          <w:noProof/>
        </w:rPr>
        <w:tab/>
      </w:r>
      <w:r w:rsidRPr="00BB6945">
        <w:rPr>
          <w:rFonts w:ascii="Arial" w:hAnsi="Arial" w:cs="Arial"/>
          <w:noProof/>
        </w:rPr>
        <w:t xml:space="preserve"> 3</w:t>
      </w:r>
    </w:p>
    <w:p w:rsidR="00BB6945" w:rsidRPr="00BB6945" w:rsidRDefault="00BB6945">
      <w:pPr>
        <w:pStyle w:val="ndice1"/>
        <w:tabs>
          <w:tab w:val="right" w:leader="dot" w:pos="8729"/>
        </w:tabs>
        <w:rPr>
          <w:rFonts w:ascii="Arial" w:hAnsi="Arial" w:cs="Arial"/>
          <w:noProof/>
        </w:rPr>
      </w:pPr>
      <w:r w:rsidRPr="00BB6945">
        <w:rPr>
          <w:rFonts w:ascii="Arial" w:hAnsi="Arial" w:cs="Arial"/>
          <w:noProof/>
        </w:rPr>
        <w:t>3.2 Área descriptiva del problema de salud</w:t>
      </w:r>
      <w:r>
        <w:rPr>
          <w:rFonts w:ascii="Arial" w:hAnsi="Arial" w:cs="Arial"/>
          <w:noProof/>
        </w:rPr>
        <w:tab/>
      </w:r>
      <w:r w:rsidRPr="00BB6945">
        <w:rPr>
          <w:rFonts w:ascii="Arial" w:hAnsi="Arial" w:cs="Arial"/>
          <w:noProof/>
        </w:rPr>
        <w:t xml:space="preserve"> 4</w:t>
      </w:r>
    </w:p>
    <w:p w:rsidR="00BB6945" w:rsidRPr="00BB6945" w:rsidRDefault="00BB6945">
      <w:pPr>
        <w:pStyle w:val="ndice1"/>
        <w:tabs>
          <w:tab w:val="right" w:leader="dot" w:pos="8729"/>
        </w:tabs>
        <w:rPr>
          <w:rFonts w:ascii="Arial" w:hAnsi="Arial" w:cs="Arial"/>
          <w:noProof/>
        </w:rPr>
      </w:pPr>
      <w:r w:rsidRPr="00BB6945">
        <w:rPr>
          <w:rFonts w:ascii="Arial" w:hAnsi="Arial" w:cs="Arial"/>
          <w:noProof/>
        </w:rPr>
        <w:t>3.2.a Descripción estructurada del problema de salud</w:t>
      </w:r>
      <w:r>
        <w:rPr>
          <w:rFonts w:ascii="Arial" w:hAnsi="Arial" w:cs="Arial"/>
          <w:noProof/>
        </w:rPr>
        <w:tab/>
      </w:r>
      <w:r w:rsidRPr="00BB6945">
        <w:rPr>
          <w:rFonts w:ascii="Arial" w:hAnsi="Arial" w:cs="Arial"/>
          <w:noProof/>
        </w:rPr>
        <w:t>4</w:t>
      </w:r>
    </w:p>
    <w:p w:rsidR="00BB6945" w:rsidRPr="00BB6945" w:rsidRDefault="00BB6945">
      <w:pPr>
        <w:pStyle w:val="ndice1"/>
        <w:tabs>
          <w:tab w:val="right" w:leader="dot" w:pos="8729"/>
        </w:tabs>
        <w:rPr>
          <w:rFonts w:ascii="Arial" w:hAnsi="Arial" w:cs="Arial"/>
          <w:noProof/>
        </w:rPr>
      </w:pPr>
      <w:r w:rsidRPr="00BB6945">
        <w:rPr>
          <w:rFonts w:ascii="Arial" w:hAnsi="Arial" w:cs="Arial"/>
          <w:noProof/>
        </w:rPr>
        <w:t>3.2.b Tratamiento actual de la enfermedad: evidencias</w:t>
      </w:r>
      <w:r>
        <w:rPr>
          <w:rFonts w:ascii="Arial" w:hAnsi="Arial" w:cs="Arial"/>
          <w:noProof/>
        </w:rPr>
        <w:tab/>
      </w:r>
      <w:r w:rsidRPr="00BB6945">
        <w:rPr>
          <w:rFonts w:ascii="Arial" w:hAnsi="Arial" w:cs="Arial"/>
          <w:noProof/>
        </w:rPr>
        <w:t xml:space="preserve"> 5</w:t>
      </w:r>
    </w:p>
    <w:p w:rsidR="00BB6945" w:rsidRPr="00BB6945" w:rsidRDefault="00BB6945">
      <w:pPr>
        <w:pStyle w:val="ndice1"/>
        <w:tabs>
          <w:tab w:val="right" w:leader="dot" w:pos="8729"/>
        </w:tabs>
        <w:rPr>
          <w:rFonts w:ascii="Arial" w:hAnsi="Arial" w:cs="Arial"/>
          <w:noProof/>
        </w:rPr>
      </w:pPr>
      <w:r w:rsidRPr="00BB6945">
        <w:rPr>
          <w:rFonts w:ascii="Arial" w:hAnsi="Arial" w:cs="Arial"/>
          <w:noProof/>
        </w:rPr>
        <w:t>3.3 Características comparadas con otras alternativas similares</w:t>
      </w:r>
      <w:r>
        <w:rPr>
          <w:rFonts w:ascii="Arial" w:hAnsi="Arial" w:cs="Arial"/>
          <w:noProof/>
        </w:rPr>
        <w:tab/>
      </w:r>
      <w:r w:rsidRPr="00BB6945">
        <w:rPr>
          <w:rFonts w:ascii="Arial" w:hAnsi="Arial" w:cs="Arial"/>
          <w:noProof/>
        </w:rPr>
        <w:t xml:space="preserve"> 7</w:t>
      </w:r>
    </w:p>
    <w:p w:rsidR="00BB6945" w:rsidRPr="00BB6945" w:rsidRDefault="00BB6945">
      <w:pPr>
        <w:pStyle w:val="ndice1"/>
        <w:tabs>
          <w:tab w:val="right" w:leader="dot" w:pos="8729"/>
        </w:tabs>
        <w:rPr>
          <w:rFonts w:ascii="Arial" w:hAnsi="Arial" w:cs="Arial"/>
          <w:noProof/>
        </w:rPr>
      </w:pPr>
      <w:r w:rsidRPr="00BB6945">
        <w:rPr>
          <w:rFonts w:ascii="Arial" w:hAnsi="Arial" w:cs="Arial"/>
          <w:noProof/>
        </w:rPr>
        <w:t>4.- AREA DE ACCIÓN FARMACOLÓGICA.</w:t>
      </w:r>
      <w:r>
        <w:rPr>
          <w:rFonts w:ascii="Arial" w:hAnsi="Arial" w:cs="Arial"/>
          <w:noProof/>
        </w:rPr>
        <w:tab/>
      </w:r>
      <w:r w:rsidRPr="00BB6945">
        <w:rPr>
          <w:rFonts w:ascii="Arial" w:hAnsi="Arial" w:cs="Arial"/>
          <w:noProof/>
        </w:rPr>
        <w:t xml:space="preserve"> 8</w:t>
      </w:r>
    </w:p>
    <w:p w:rsidR="00BB6945" w:rsidRPr="00BB6945" w:rsidRDefault="00BB6945">
      <w:pPr>
        <w:pStyle w:val="ndice1"/>
        <w:tabs>
          <w:tab w:val="right" w:leader="dot" w:pos="8729"/>
        </w:tabs>
        <w:rPr>
          <w:rFonts w:ascii="Arial" w:hAnsi="Arial" w:cs="Arial"/>
          <w:noProof/>
        </w:rPr>
      </w:pPr>
      <w:r w:rsidRPr="00BB6945">
        <w:rPr>
          <w:rFonts w:ascii="Arial" w:hAnsi="Arial" w:cs="Arial"/>
          <w:noProof/>
        </w:rPr>
        <w:t>4.1 Mecanismo de acción.</w:t>
      </w:r>
      <w:r>
        <w:rPr>
          <w:rFonts w:ascii="Arial" w:hAnsi="Arial" w:cs="Arial"/>
          <w:noProof/>
        </w:rPr>
        <w:tab/>
      </w:r>
      <w:r w:rsidRPr="00BB6945">
        <w:rPr>
          <w:rFonts w:ascii="Arial" w:hAnsi="Arial" w:cs="Arial"/>
          <w:noProof/>
        </w:rPr>
        <w:t xml:space="preserve"> 8</w:t>
      </w:r>
    </w:p>
    <w:p w:rsidR="00BB6945" w:rsidRPr="00BB6945" w:rsidRDefault="00BB6945">
      <w:pPr>
        <w:pStyle w:val="ndice1"/>
        <w:tabs>
          <w:tab w:val="right" w:leader="dot" w:pos="8729"/>
        </w:tabs>
        <w:rPr>
          <w:rFonts w:ascii="Arial" w:hAnsi="Arial" w:cs="Arial"/>
          <w:noProof/>
        </w:rPr>
      </w:pPr>
      <w:r w:rsidRPr="00BB6945">
        <w:rPr>
          <w:rFonts w:ascii="Arial" w:hAnsi="Arial" w:cs="Arial"/>
          <w:noProof/>
        </w:rPr>
        <w:t>4.2 Indicaciones clínicas formalmente aprobadas y fecha de aprobación</w:t>
      </w:r>
      <w:r>
        <w:rPr>
          <w:rFonts w:ascii="Arial" w:hAnsi="Arial" w:cs="Arial"/>
          <w:noProof/>
        </w:rPr>
        <w:tab/>
      </w:r>
      <w:r w:rsidRPr="00BB6945">
        <w:rPr>
          <w:rFonts w:ascii="Arial" w:hAnsi="Arial" w:cs="Arial"/>
          <w:noProof/>
        </w:rPr>
        <w:t xml:space="preserve"> 8</w:t>
      </w:r>
    </w:p>
    <w:p w:rsidR="00BB6945" w:rsidRPr="00BB6945" w:rsidRDefault="00BB6945">
      <w:pPr>
        <w:pStyle w:val="ndice1"/>
        <w:tabs>
          <w:tab w:val="right" w:leader="dot" w:pos="8729"/>
        </w:tabs>
        <w:rPr>
          <w:rFonts w:ascii="Arial" w:hAnsi="Arial" w:cs="Arial"/>
          <w:noProof/>
        </w:rPr>
      </w:pPr>
      <w:r w:rsidRPr="00BB6945">
        <w:rPr>
          <w:rFonts w:ascii="Arial" w:hAnsi="Arial" w:cs="Arial"/>
          <w:noProof/>
        </w:rPr>
        <w:t>4.3 Posología, forma de preparación y administración.</w:t>
      </w:r>
      <w:r>
        <w:rPr>
          <w:rFonts w:ascii="Arial" w:hAnsi="Arial" w:cs="Arial"/>
          <w:noProof/>
        </w:rPr>
        <w:tab/>
      </w:r>
      <w:r w:rsidRPr="00BB6945">
        <w:rPr>
          <w:rFonts w:ascii="Arial" w:hAnsi="Arial" w:cs="Arial"/>
          <w:noProof/>
        </w:rPr>
        <w:t xml:space="preserve"> 8</w:t>
      </w:r>
    </w:p>
    <w:p w:rsidR="00BB6945" w:rsidRPr="00BB6945" w:rsidRDefault="00BB6945">
      <w:pPr>
        <w:pStyle w:val="ndice1"/>
        <w:tabs>
          <w:tab w:val="right" w:leader="dot" w:pos="8729"/>
        </w:tabs>
        <w:rPr>
          <w:rFonts w:ascii="Arial" w:hAnsi="Arial" w:cs="Arial"/>
          <w:noProof/>
        </w:rPr>
      </w:pPr>
      <w:r w:rsidRPr="00BB6945">
        <w:rPr>
          <w:rFonts w:ascii="Arial" w:hAnsi="Arial" w:cs="Arial"/>
          <w:noProof/>
        </w:rPr>
        <w:t>4.4 Utilización en poblaciones especiales.</w:t>
      </w:r>
      <w:r>
        <w:rPr>
          <w:rFonts w:ascii="Arial" w:hAnsi="Arial" w:cs="Arial"/>
          <w:noProof/>
        </w:rPr>
        <w:tab/>
      </w:r>
      <w:r w:rsidRPr="00BB6945">
        <w:rPr>
          <w:rFonts w:ascii="Arial" w:hAnsi="Arial" w:cs="Arial"/>
          <w:noProof/>
        </w:rPr>
        <w:t xml:space="preserve"> 9</w:t>
      </w:r>
    </w:p>
    <w:p w:rsidR="00BB6945" w:rsidRPr="00BB6945" w:rsidRDefault="00BB6945">
      <w:pPr>
        <w:pStyle w:val="ndice1"/>
        <w:tabs>
          <w:tab w:val="right" w:leader="dot" w:pos="8729"/>
        </w:tabs>
        <w:rPr>
          <w:rFonts w:ascii="Arial" w:hAnsi="Arial" w:cs="Arial"/>
          <w:noProof/>
        </w:rPr>
      </w:pPr>
      <w:r w:rsidRPr="00BB6945">
        <w:rPr>
          <w:rFonts w:ascii="Arial" w:hAnsi="Arial" w:cs="Arial"/>
          <w:noProof/>
        </w:rPr>
        <w:t>4.5 Farmacocinética.</w:t>
      </w:r>
      <w:r>
        <w:rPr>
          <w:rFonts w:ascii="Arial" w:hAnsi="Arial" w:cs="Arial"/>
          <w:noProof/>
        </w:rPr>
        <w:tab/>
      </w:r>
      <w:r w:rsidRPr="00BB6945">
        <w:rPr>
          <w:rFonts w:ascii="Arial" w:hAnsi="Arial" w:cs="Arial"/>
          <w:noProof/>
        </w:rPr>
        <w:t xml:space="preserve"> 9</w:t>
      </w:r>
    </w:p>
    <w:p w:rsidR="00BB6945" w:rsidRPr="00BB6945" w:rsidRDefault="00BB6945">
      <w:pPr>
        <w:pStyle w:val="ndice1"/>
        <w:tabs>
          <w:tab w:val="right" w:leader="dot" w:pos="8729"/>
        </w:tabs>
        <w:rPr>
          <w:rFonts w:ascii="Arial" w:hAnsi="Arial" w:cs="Arial"/>
          <w:noProof/>
        </w:rPr>
      </w:pPr>
      <w:r w:rsidRPr="00BB6945">
        <w:rPr>
          <w:rFonts w:ascii="Arial" w:hAnsi="Arial" w:cs="Arial"/>
          <w:noProof/>
        </w:rPr>
        <w:t>5.- EVALUACIÓN DE LA EFICACIA.</w:t>
      </w:r>
      <w:r>
        <w:rPr>
          <w:rFonts w:ascii="Arial" w:hAnsi="Arial" w:cs="Arial"/>
          <w:noProof/>
        </w:rPr>
        <w:tab/>
      </w:r>
      <w:r w:rsidRPr="00BB6945">
        <w:rPr>
          <w:rFonts w:ascii="Arial" w:hAnsi="Arial" w:cs="Arial"/>
          <w:noProof/>
        </w:rPr>
        <w:t xml:space="preserve"> 10</w:t>
      </w:r>
    </w:p>
    <w:p w:rsidR="00BB6945" w:rsidRPr="00BB6945" w:rsidRDefault="00BB6945">
      <w:pPr>
        <w:pStyle w:val="ndice1"/>
        <w:tabs>
          <w:tab w:val="right" w:leader="dot" w:pos="8729"/>
        </w:tabs>
        <w:rPr>
          <w:rFonts w:ascii="Arial" w:hAnsi="Arial" w:cs="Arial"/>
          <w:noProof/>
        </w:rPr>
      </w:pPr>
      <w:r w:rsidRPr="00BB6945">
        <w:rPr>
          <w:rFonts w:ascii="Arial" w:hAnsi="Arial" w:cs="Arial"/>
          <w:noProof/>
        </w:rPr>
        <w:t>5.1. c Definiciones utilizadas en los ensayos</w:t>
      </w:r>
      <w:r>
        <w:rPr>
          <w:rFonts w:ascii="Arial" w:hAnsi="Arial" w:cs="Arial"/>
          <w:noProof/>
        </w:rPr>
        <w:tab/>
      </w:r>
      <w:r w:rsidRPr="00BB6945">
        <w:rPr>
          <w:rFonts w:ascii="Arial" w:hAnsi="Arial" w:cs="Arial"/>
          <w:noProof/>
        </w:rPr>
        <w:t xml:space="preserve"> 10</w:t>
      </w:r>
    </w:p>
    <w:p w:rsidR="00BB6945" w:rsidRPr="00BB6945" w:rsidRDefault="00BB6945">
      <w:pPr>
        <w:pStyle w:val="ndice1"/>
        <w:tabs>
          <w:tab w:val="right" w:leader="dot" w:pos="8729"/>
        </w:tabs>
        <w:rPr>
          <w:rFonts w:ascii="Arial" w:hAnsi="Arial" w:cs="Arial"/>
          <w:noProof/>
        </w:rPr>
      </w:pPr>
      <w:r w:rsidRPr="00BB6945">
        <w:rPr>
          <w:rFonts w:ascii="Arial" w:hAnsi="Arial" w:cs="Arial"/>
          <w:noProof/>
        </w:rPr>
        <w:t>5.1.a Ensayos clínicos disponibles para la indicación clínica evaluada</w:t>
      </w:r>
      <w:r>
        <w:rPr>
          <w:rFonts w:ascii="Arial" w:hAnsi="Arial" w:cs="Arial"/>
          <w:noProof/>
        </w:rPr>
        <w:tab/>
      </w:r>
      <w:r w:rsidRPr="00BB6945">
        <w:rPr>
          <w:rFonts w:ascii="Arial" w:hAnsi="Arial" w:cs="Arial"/>
          <w:noProof/>
        </w:rPr>
        <w:t xml:space="preserve"> 10</w:t>
      </w:r>
    </w:p>
    <w:p w:rsidR="00BB6945" w:rsidRPr="00BB6945" w:rsidRDefault="00BB6945">
      <w:pPr>
        <w:pStyle w:val="ndice1"/>
        <w:tabs>
          <w:tab w:val="right" w:leader="dot" w:pos="8729"/>
        </w:tabs>
        <w:rPr>
          <w:rFonts w:ascii="Arial" w:hAnsi="Arial" w:cs="Arial"/>
          <w:noProof/>
        </w:rPr>
      </w:pPr>
      <w:r w:rsidRPr="00BB6945">
        <w:rPr>
          <w:rFonts w:ascii="Arial" w:hAnsi="Arial" w:cs="Arial"/>
          <w:noProof/>
        </w:rPr>
        <w:t>5.1.b Variables utilizadas en los ensayos</w:t>
      </w:r>
      <w:r>
        <w:rPr>
          <w:rFonts w:ascii="Arial" w:hAnsi="Arial" w:cs="Arial"/>
          <w:noProof/>
        </w:rPr>
        <w:tab/>
      </w:r>
      <w:r w:rsidRPr="00BB6945">
        <w:rPr>
          <w:rFonts w:ascii="Arial" w:hAnsi="Arial" w:cs="Arial"/>
          <w:noProof/>
        </w:rPr>
        <w:t xml:space="preserve"> 10</w:t>
      </w:r>
    </w:p>
    <w:p w:rsidR="00BB6945" w:rsidRPr="00BB6945" w:rsidRDefault="00BB6945">
      <w:pPr>
        <w:pStyle w:val="ndice1"/>
        <w:tabs>
          <w:tab w:val="right" w:leader="dot" w:pos="8729"/>
        </w:tabs>
        <w:rPr>
          <w:rFonts w:ascii="Arial" w:hAnsi="Arial" w:cs="Arial"/>
          <w:noProof/>
        </w:rPr>
      </w:pPr>
      <w:r w:rsidRPr="00BB6945">
        <w:rPr>
          <w:rFonts w:ascii="Arial" w:hAnsi="Arial" w:cs="Arial"/>
          <w:noProof/>
        </w:rPr>
        <w:t>5.2.a Resultados de los ensayos clínicos</w:t>
      </w:r>
      <w:r>
        <w:rPr>
          <w:rFonts w:ascii="Arial" w:hAnsi="Arial" w:cs="Arial"/>
          <w:noProof/>
        </w:rPr>
        <w:tab/>
      </w:r>
      <w:r w:rsidRPr="00BB6945">
        <w:rPr>
          <w:rFonts w:ascii="Arial" w:hAnsi="Arial" w:cs="Arial"/>
          <w:noProof/>
        </w:rPr>
        <w:t xml:space="preserve"> 11</w:t>
      </w:r>
    </w:p>
    <w:p w:rsidR="00BB6945" w:rsidRPr="00BB6945" w:rsidRDefault="00BB6945">
      <w:pPr>
        <w:pStyle w:val="ndice1"/>
        <w:tabs>
          <w:tab w:val="right" w:leader="dot" w:pos="8729"/>
        </w:tabs>
        <w:rPr>
          <w:rFonts w:ascii="Arial" w:hAnsi="Arial" w:cs="Arial"/>
          <w:noProof/>
        </w:rPr>
      </w:pPr>
      <w:r w:rsidRPr="00BB6945">
        <w:rPr>
          <w:rFonts w:ascii="Arial" w:hAnsi="Arial" w:cs="Arial"/>
          <w:noProof/>
        </w:rPr>
        <w:t>5.2.b Evaluación de la validez y de la utilidad práctica de los resultados</w:t>
      </w:r>
      <w:r>
        <w:rPr>
          <w:rFonts w:ascii="Arial" w:hAnsi="Arial" w:cs="Arial"/>
          <w:noProof/>
        </w:rPr>
        <w:tab/>
      </w:r>
      <w:r w:rsidRPr="00BB6945">
        <w:rPr>
          <w:rFonts w:ascii="Arial" w:hAnsi="Arial" w:cs="Arial"/>
          <w:noProof/>
        </w:rPr>
        <w:t>13</w:t>
      </w:r>
    </w:p>
    <w:p w:rsidR="00BB6945" w:rsidRPr="00BB6945" w:rsidRDefault="00BB6945">
      <w:pPr>
        <w:pStyle w:val="ndice1"/>
        <w:tabs>
          <w:tab w:val="right" w:leader="dot" w:pos="8729"/>
        </w:tabs>
        <w:rPr>
          <w:rFonts w:ascii="Arial" w:hAnsi="Arial" w:cs="Arial"/>
          <w:noProof/>
        </w:rPr>
      </w:pPr>
      <w:r w:rsidRPr="00BB6945">
        <w:rPr>
          <w:rFonts w:ascii="Arial" w:hAnsi="Arial" w:cs="Arial"/>
          <w:noProof/>
        </w:rPr>
        <w:t>5.3 Revisiones sistemáticas publicadas, comparaciones indirectas y sus conclusiones</w:t>
      </w:r>
      <w:r>
        <w:rPr>
          <w:rFonts w:ascii="Arial" w:hAnsi="Arial" w:cs="Arial"/>
          <w:noProof/>
        </w:rPr>
        <w:tab/>
      </w:r>
      <w:r w:rsidRPr="00BB6945">
        <w:rPr>
          <w:rFonts w:ascii="Arial" w:hAnsi="Arial" w:cs="Arial"/>
          <w:noProof/>
        </w:rPr>
        <w:t xml:space="preserve"> 17</w:t>
      </w:r>
    </w:p>
    <w:p w:rsidR="00BB6945" w:rsidRPr="00BB6945" w:rsidRDefault="00BB6945">
      <w:pPr>
        <w:pStyle w:val="ndice1"/>
        <w:tabs>
          <w:tab w:val="right" w:leader="dot" w:pos="8729"/>
        </w:tabs>
        <w:rPr>
          <w:rFonts w:ascii="Arial" w:hAnsi="Arial" w:cs="Arial"/>
          <w:noProof/>
        </w:rPr>
      </w:pPr>
      <w:r w:rsidRPr="00BB6945">
        <w:rPr>
          <w:rFonts w:ascii="Arial" w:hAnsi="Arial" w:cs="Arial"/>
          <w:noProof/>
        </w:rPr>
        <w:t>5.4 Evaluación de fuentes secundarias</w:t>
      </w:r>
      <w:r>
        <w:rPr>
          <w:rFonts w:ascii="Arial" w:hAnsi="Arial" w:cs="Arial"/>
          <w:noProof/>
        </w:rPr>
        <w:tab/>
      </w:r>
      <w:r w:rsidRPr="00BB6945">
        <w:rPr>
          <w:rFonts w:ascii="Arial" w:hAnsi="Arial" w:cs="Arial"/>
          <w:noProof/>
        </w:rPr>
        <w:t xml:space="preserve"> 18</w:t>
      </w:r>
    </w:p>
    <w:p w:rsidR="00BB6945" w:rsidRPr="00BB6945" w:rsidRDefault="00BB6945">
      <w:pPr>
        <w:pStyle w:val="ndice1"/>
        <w:tabs>
          <w:tab w:val="right" w:leader="dot" w:pos="8729"/>
        </w:tabs>
        <w:rPr>
          <w:rFonts w:ascii="Arial" w:hAnsi="Arial" w:cs="Arial"/>
          <w:noProof/>
        </w:rPr>
      </w:pPr>
      <w:r w:rsidRPr="00BB6945">
        <w:rPr>
          <w:rFonts w:ascii="Arial" w:hAnsi="Arial" w:cs="Arial"/>
          <w:noProof/>
        </w:rPr>
        <w:t>5.4.1 Guías de Práctica clínica</w:t>
      </w:r>
      <w:r>
        <w:rPr>
          <w:rFonts w:ascii="Arial" w:hAnsi="Arial" w:cs="Arial"/>
          <w:noProof/>
        </w:rPr>
        <w:tab/>
      </w:r>
      <w:r w:rsidRPr="00BB6945">
        <w:rPr>
          <w:rFonts w:ascii="Arial" w:hAnsi="Arial" w:cs="Arial"/>
          <w:noProof/>
        </w:rPr>
        <w:t xml:space="preserve"> 18</w:t>
      </w:r>
    </w:p>
    <w:p w:rsidR="00BB6945" w:rsidRPr="00BB6945" w:rsidRDefault="00BB6945">
      <w:pPr>
        <w:pStyle w:val="ndice1"/>
        <w:tabs>
          <w:tab w:val="right" w:leader="dot" w:pos="8729"/>
        </w:tabs>
        <w:rPr>
          <w:rFonts w:ascii="Arial" w:hAnsi="Arial" w:cs="Arial"/>
          <w:noProof/>
        </w:rPr>
      </w:pPr>
      <w:r w:rsidRPr="00BB6945">
        <w:rPr>
          <w:rFonts w:ascii="Arial" w:hAnsi="Arial" w:cs="Arial"/>
          <w:noProof/>
        </w:rPr>
        <w:t>5.4.2 Evaluaciones previas por organismos independientes</w:t>
      </w:r>
      <w:r>
        <w:rPr>
          <w:rFonts w:ascii="Arial" w:hAnsi="Arial" w:cs="Arial"/>
          <w:noProof/>
        </w:rPr>
        <w:tab/>
      </w:r>
      <w:r w:rsidRPr="00BB6945">
        <w:rPr>
          <w:rFonts w:ascii="Arial" w:hAnsi="Arial" w:cs="Arial"/>
          <w:noProof/>
        </w:rPr>
        <w:t xml:space="preserve"> 19</w:t>
      </w:r>
    </w:p>
    <w:p w:rsidR="00BB6945" w:rsidRPr="00BB6945" w:rsidRDefault="00BB6945">
      <w:pPr>
        <w:pStyle w:val="ndice1"/>
        <w:tabs>
          <w:tab w:val="right" w:leader="dot" w:pos="8729"/>
        </w:tabs>
        <w:rPr>
          <w:rFonts w:ascii="Arial" w:hAnsi="Arial" w:cs="Arial"/>
          <w:noProof/>
        </w:rPr>
      </w:pPr>
      <w:r w:rsidRPr="00BB6945">
        <w:rPr>
          <w:rFonts w:ascii="Arial" w:hAnsi="Arial" w:cs="Arial"/>
          <w:noProof/>
        </w:rPr>
        <w:t>5.4.3 Opiniones de expertos</w:t>
      </w:r>
      <w:r>
        <w:rPr>
          <w:rFonts w:ascii="Arial" w:hAnsi="Arial" w:cs="Arial"/>
          <w:noProof/>
        </w:rPr>
        <w:tab/>
      </w:r>
      <w:r w:rsidRPr="00BB6945">
        <w:rPr>
          <w:rFonts w:ascii="Arial" w:hAnsi="Arial" w:cs="Arial"/>
          <w:noProof/>
        </w:rPr>
        <w:t xml:space="preserve"> 21</w:t>
      </w:r>
    </w:p>
    <w:p w:rsidR="00BB6945" w:rsidRPr="00BB6945" w:rsidRDefault="00BB6945">
      <w:pPr>
        <w:pStyle w:val="ndice1"/>
        <w:tabs>
          <w:tab w:val="right" w:leader="dot" w:pos="8729"/>
        </w:tabs>
        <w:rPr>
          <w:rFonts w:ascii="Arial" w:hAnsi="Arial" w:cs="Arial"/>
          <w:noProof/>
        </w:rPr>
      </w:pPr>
      <w:r w:rsidRPr="00BB6945">
        <w:rPr>
          <w:rFonts w:ascii="Arial" w:hAnsi="Arial" w:cs="Arial"/>
          <w:noProof/>
        </w:rPr>
        <w:t>5.4.4 Otras fuentes.</w:t>
      </w:r>
      <w:r>
        <w:rPr>
          <w:rFonts w:ascii="Arial" w:hAnsi="Arial" w:cs="Arial"/>
          <w:noProof/>
        </w:rPr>
        <w:tab/>
      </w:r>
      <w:r w:rsidRPr="00BB6945">
        <w:rPr>
          <w:rFonts w:ascii="Arial" w:hAnsi="Arial" w:cs="Arial"/>
          <w:noProof/>
        </w:rPr>
        <w:t xml:space="preserve"> 21</w:t>
      </w:r>
    </w:p>
    <w:p w:rsidR="00BB6945" w:rsidRPr="00BB6945" w:rsidRDefault="00BB6945">
      <w:pPr>
        <w:pStyle w:val="ndice1"/>
        <w:tabs>
          <w:tab w:val="right" w:leader="dot" w:pos="8729"/>
        </w:tabs>
        <w:rPr>
          <w:rFonts w:ascii="Arial" w:hAnsi="Arial" w:cs="Arial"/>
          <w:noProof/>
        </w:rPr>
      </w:pPr>
      <w:r w:rsidRPr="00BB6945">
        <w:rPr>
          <w:rFonts w:ascii="Arial" w:hAnsi="Arial" w:cs="Arial"/>
          <w:noProof/>
        </w:rPr>
        <w:t>6. EVALUACIÓN DE LA SEGURIDAD</w:t>
      </w:r>
      <w:r>
        <w:rPr>
          <w:rFonts w:ascii="Arial" w:hAnsi="Arial" w:cs="Arial"/>
          <w:noProof/>
        </w:rPr>
        <w:tab/>
      </w:r>
      <w:r w:rsidRPr="00BB6945">
        <w:rPr>
          <w:rFonts w:ascii="Arial" w:hAnsi="Arial" w:cs="Arial"/>
          <w:noProof/>
        </w:rPr>
        <w:t>21</w:t>
      </w:r>
    </w:p>
    <w:p w:rsidR="00BB6945" w:rsidRPr="00BB6945" w:rsidRDefault="00BB6945">
      <w:pPr>
        <w:pStyle w:val="ndice1"/>
        <w:tabs>
          <w:tab w:val="right" w:leader="dot" w:pos="8729"/>
        </w:tabs>
        <w:rPr>
          <w:rFonts w:ascii="Arial" w:hAnsi="Arial" w:cs="Arial"/>
          <w:noProof/>
        </w:rPr>
      </w:pPr>
      <w:r w:rsidRPr="00BB6945">
        <w:rPr>
          <w:rFonts w:ascii="Arial" w:hAnsi="Arial" w:cs="Arial"/>
          <w:noProof/>
        </w:rPr>
        <w:t>6.1.a Descripción de la búsqueda bibliográfica</w:t>
      </w:r>
      <w:r>
        <w:rPr>
          <w:rFonts w:ascii="Arial" w:hAnsi="Arial" w:cs="Arial"/>
          <w:noProof/>
        </w:rPr>
        <w:tab/>
      </w:r>
      <w:r w:rsidRPr="00BB6945">
        <w:rPr>
          <w:rFonts w:ascii="Arial" w:hAnsi="Arial" w:cs="Arial"/>
          <w:noProof/>
        </w:rPr>
        <w:t xml:space="preserve"> 21</w:t>
      </w:r>
    </w:p>
    <w:p w:rsidR="00BB6945" w:rsidRPr="00BB6945" w:rsidRDefault="00BB6945">
      <w:pPr>
        <w:pStyle w:val="ndice1"/>
        <w:tabs>
          <w:tab w:val="right" w:leader="dot" w:pos="8729"/>
        </w:tabs>
        <w:rPr>
          <w:rFonts w:ascii="Arial" w:hAnsi="Arial" w:cs="Arial"/>
          <w:noProof/>
        </w:rPr>
      </w:pPr>
      <w:r w:rsidRPr="00BB6945">
        <w:rPr>
          <w:rFonts w:ascii="Arial" w:hAnsi="Arial" w:cs="Arial"/>
          <w:noProof/>
        </w:rPr>
        <w:t>6.3. Fuentes secundarias de seguridad</w:t>
      </w:r>
      <w:r>
        <w:rPr>
          <w:rFonts w:ascii="Arial" w:hAnsi="Arial" w:cs="Arial"/>
          <w:noProof/>
        </w:rPr>
        <w:tab/>
      </w:r>
      <w:r w:rsidRPr="00BB6945">
        <w:rPr>
          <w:rFonts w:ascii="Arial" w:hAnsi="Arial" w:cs="Arial"/>
          <w:noProof/>
        </w:rPr>
        <w:t>23</w:t>
      </w:r>
    </w:p>
    <w:p w:rsidR="00BB6945" w:rsidRPr="00BB6945" w:rsidRDefault="00BB6945">
      <w:pPr>
        <w:pStyle w:val="ndice1"/>
        <w:tabs>
          <w:tab w:val="right" w:leader="dot" w:pos="8729"/>
        </w:tabs>
        <w:rPr>
          <w:rFonts w:ascii="Arial" w:hAnsi="Arial" w:cs="Arial"/>
          <w:noProof/>
        </w:rPr>
      </w:pPr>
      <w:r w:rsidRPr="00BB6945">
        <w:rPr>
          <w:rFonts w:ascii="Arial" w:hAnsi="Arial" w:cs="Arial"/>
          <w:noProof/>
        </w:rPr>
        <w:t>6.4 Precauciones de empleo en casos especiales</w:t>
      </w:r>
      <w:r>
        <w:rPr>
          <w:rFonts w:ascii="Arial" w:hAnsi="Arial" w:cs="Arial"/>
          <w:noProof/>
        </w:rPr>
        <w:tab/>
      </w:r>
      <w:r w:rsidRPr="00BB6945">
        <w:rPr>
          <w:rFonts w:ascii="Arial" w:hAnsi="Arial" w:cs="Arial"/>
          <w:noProof/>
        </w:rPr>
        <w:t xml:space="preserve"> 24</w:t>
      </w:r>
    </w:p>
    <w:p w:rsidR="00BB6945" w:rsidRPr="00BB6945" w:rsidRDefault="00BB6945">
      <w:pPr>
        <w:pStyle w:val="ndice1"/>
        <w:tabs>
          <w:tab w:val="right" w:leader="dot" w:pos="8729"/>
        </w:tabs>
        <w:rPr>
          <w:rFonts w:ascii="Arial" w:hAnsi="Arial" w:cs="Arial"/>
          <w:noProof/>
        </w:rPr>
      </w:pPr>
      <w:r w:rsidRPr="00BB6945">
        <w:rPr>
          <w:rFonts w:ascii="Arial" w:hAnsi="Arial" w:cs="Arial"/>
          <w:noProof/>
        </w:rPr>
        <w:t>7. ÁREA ECONÓMICA</w:t>
      </w:r>
      <w:r>
        <w:rPr>
          <w:rFonts w:ascii="Arial" w:hAnsi="Arial" w:cs="Arial"/>
          <w:noProof/>
        </w:rPr>
        <w:tab/>
      </w:r>
      <w:r w:rsidRPr="00BB6945">
        <w:rPr>
          <w:rFonts w:ascii="Arial" w:hAnsi="Arial" w:cs="Arial"/>
          <w:noProof/>
        </w:rPr>
        <w:t xml:space="preserve"> 31</w:t>
      </w:r>
    </w:p>
    <w:p w:rsidR="00BB6945" w:rsidRPr="00BB6945" w:rsidRDefault="00BB6945">
      <w:pPr>
        <w:pStyle w:val="ndice1"/>
        <w:tabs>
          <w:tab w:val="right" w:leader="dot" w:pos="8729"/>
        </w:tabs>
        <w:rPr>
          <w:rFonts w:ascii="Arial" w:hAnsi="Arial" w:cs="Arial"/>
          <w:noProof/>
        </w:rPr>
      </w:pPr>
      <w:r w:rsidRPr="00BB6945">
        <w:rPr>
          <w:rFonts w:ascii="Arial" w:hAnsi="Arial" w:cs="Arial"/>
          <w:noProof/>
        </w:rPr>
        <w:t>7.1 Costes. Coste incremental</w:t>
      </w:r>
      <w:r>
        <w:rPr>
          <w:rFonts w:ascii="Arial" w:hAnsi="Arial" w:cs="Arial"/>
          <w:noProof/>
        </w:rPr>
        <w:tab/>
      </w:r>
      <w:r w:rsidRPr="00BB6945">
        <w:rPr>
          <w:rFonts w:ascii="Arial" w:hAnsi="Arial" w:cs="Arial"/>
          <w:noProof/>
        </w:rPr>
        <w:t xml:space="preserve"> 31</w:t>
      </w:r>
    </w:p>
    <w:p w:rsidR="00BB6945" w:rsidRPr="00BB6945" w:rsidRDefault="00BB6945">
      <w:pPr>
        <w:pStyle w:val="ndice1"/>
        <w:tabs>
          <w:tab w:val="right" w:leader="dot" w:pos="8729"/>
        </w:tabs>
        <w:rPr>
          <w:rFonts w:ascii="Arial" w:hAnsi="Arial" w:cs="Arial"/>
          <w:noProof/>
        </w:rPr>
      </w:pPr>
      <w:r w:rsidRPr="00BB6945">
        <w:rPr>
          <w:rFonts w:ascii="Arial" w:hAnsi="Arial" w:cs="Arial"/>
          <w:noProof/>
        </w:rPr>
        <w:t>7.2 Evaluaciones económicas publicadas</w:t>
      </w:r>
      <w:r>
        <w:rPr>
          <w:rFonts w:ascii="Arial" w:hAnsi="Arial" w:cs="Arial"/>
          <w:noProof/>
        </w:rPr>
        <w:tab/>
      </w:r>
      <w:r w:rsidRPr="00BB6945">
        <w:rPr>
          <w:rFonts w:ascii="Arial" w:hAnsi="Arial" w:cs="Arial"/>
          <w:noProof/>
        </w:rPr>
        <w:t xml:space="preserve"> 32</w:t>
      </w:r>
    </w:p>
    <w:p w:rsidR="00BB6945" w:rsidRPr="00BB6945" w:rsidRDefault="00BB6945">
      <w:pPr>
        <w:pStyle w:val="ndice1"/>
        <w:tabs>
          <w:tab w:val="right" w:leader="dot" w:pos="8729"/>
        </w:tabs>
        <w:rPr>
          <w:rFonts w:ascii="Arial" w:hAnsi="Arial" w:cs="Arial"/>
          <w:noProof/>
        </w:rPr>
      </w:pPr>
      <w:r w:rsidRPr="00BB6945">
        <w:rPr>
          <w:rFonts w:ascii="Arial" w:hAnsi="Arial" w:cs="Arial"/>
          <w:bCs/>
          <w:noProof/>
        </w:rPr>
        <w:t>7.2.a Búsqueda de evaluaciones económicas publicadas</w:t>
      </w:r>
      <w:r>
        <w:rPr>
          <w:rFonts w:ascii="Arial" w:hAnsi="Arial" w:cs="Arial"/>
          <w:noProof/>
        </w:rPr>
        <w:tab/>
      </w:r>
      <w:r w:rsidRPr="00BB6945">
        <w:rPr>
          <w:rFonts w:ascii="Arial" w:hAnsi="Arial" w:cs="Arial"/>
          <w:noProof/>
        </w:rPr>
        <w:t>32</w:t>
      </w:r>
    </w:p>
    <w:p w:rsidR="00BB6945" w:rsidRPr="00BB6945" w:rsidRDefault="00BB6945">
      <w:pPr>
        <w:pStyle w:val="ndice1"/>
        <w:tabs>
          <w:tab w:val="right" w:leader="dot" w:pos="8729"/>
        </w:tabs>
        <w:rPr>
          <w:rFonts w:ascii="Arial" w:hAnsi="Arial" w:cs="Arial"/>
          <w:noProof/>
        </w:rPr>
      </w:pPr>
      <w:r w:rsidRPr="00BB6945">
        <w:rPr>
          <w:rFonts w:ascii="Arial" w:hAnsi="Arial" w:cs="Arial"/>
          <w:bCs/>
          <w:noProof/>
        </w:rPr>
        <w:t>7.2.b Extracción de datos de las evaluaciones económicas publicadas</w:t>
      </w:r>
      <w:r>
        <w:rPr>
          <w:rFonts w:ascii="Arial" w:hAnsi="Arial" w:cs="Arial"/>
          <w:noProof/>
        </w:rPr>
        <w:tab/>
      </w:r>
      <w:r w:rsidRPr="00BB6945">
        <w:rPr>
          <w:rFonts w:ascii="Arial" w:hAnsi="Arial" w:cs="Arial"/>
          <w:noProof/>
        </w:rPr>
        <w:t>32</w:t>
      </w:r>
    </w:p>
    <w:p w:rsidR="00BB6945" w:rsidRPr="00BB6945" w:rsidRDefault="00BB6945">
      <w:pPr>
        <w:pStyle w:val="ndice1"/>
        <w:tabs>
          <w:tab w:val="right" w:leader="dot" w:pos="8729"/>
        </w:tabs>
        <w:rPr>
          <w:rFonts w:ascii="Arial" w:hAnsi="Arial" w:cs="Arial"/>
          <w:noProof/>
        </w:rPr>
      </w:pPr>
      <w:r w:rsidRPr="00BB6945">
        <w:rPr>
          <w:rFonts w:ascii="Arial" w:hAnsi="Arial" w:cs="Arial"/>
          <w:noProof/>
        </w:rPr>
        <w:t>7.3 Evaluación económica de elaboración propia</w:t>
      </w:r>
      <w:r>
        <w:rPr>
          <w:rFonts w:ascii="Arial" w:hAnsi="Arial" w:cs="Arial"/>
          <w:noProof/>
        </w:rPr>
        <w:tab/>
      </w:r>
      <w:r w:rsidRPr="00BB6945">
        <w:rPr>
          <w:rFonts w:ascii="Arial" w:hAnsi="Arial" w:cs="Arial"/>
          <w:noProof/>
        </w:rPr>
        <w:t>36</w:t>
      </w:r>
    </w:p>
    <w:p w:rsidR="00BB6945" w:rsidRPr="00BB6945" w:rsidRDefault="00BB6945">
      <w:pPr>
        <w:pStyle w:val="ndice1"/>
        <w:tabs>
          <w:tab w:val="right" w:leader="dot" w:pos="8729"/>
        </w:tabs>
        <w:rPr>
          <w:rFonts w:ascii="Arial" w:hAnsi="Arial" w:cs="Arial"/>
          <w:noProof/>
        </w:rPr>
      </w:pPr>
      <w:r w:rsidRPr="00BB6945">
        <w:rPr>
          <w:rFonts w:ascii="Arial" w:hAnsi="Arial" w:cs="Arial"/>
          <w:bCs/>
          <w:noProof/>
        </w:rPr>
        <w:t>7.3.1. Análisis de minimización de costes. Estudios propios</w:t>
      </w:r>
      <w:r>
        <w:rPr>
          <w:rFonts w:ascii="Arial" w:hAnsi="Arial" w:cs="Arial"/>
          <w:noProof/>
        </w:rPr>
        <w:tab/>
      </w:r>
      <w:r w:rsidRPr="00BB6945">
        <w:rPr>
          <w:rFonts w:ascii="Arial" w:hAnsi="Arial" w:cs="Arial"/>
          <w:noProof/>
        </w:rPr>
        <w:t>37</w:t>
      </w:r>
    </w:p>
    <w:p w:rsidR="00BB6945" w:rsidRPr="00BB6945" w:rsidRDefault="00BB6945">
      <w:pPr>
        <w:pStyle w:val="ndice1"/>
        <w:tabs>
          <w:tab w:val="right" w:leader="dot" w:pos="8729"/>
        </w:tabs>
        <w:rPr>
          <w:rFonts w:ascii="Arial" w:hAnsi="Arial" w:cs="Arial"/>
          <w:noProof/>
        </w:rPr>
      </w:pPr>
      <w:r w:rsidRPr="00BB6945">
        <w:rPr>
          <w:rFonts w:ascii="Arial" w:hAnsi="Arial" w:cs="Arial"/>
          <w:bCs/>
          <w:noProof/>
        </w:rPr>
        <w:lastRenderedPageBreak/>
        <w:t>7.3.2. Coste-efectividad. Estudios propios</w:t>
      </w:r>
      <w:r>
        <w:rPr>
          <w:rFonts w:ascii="Arial" w:hAnsi="Arial" w:cs="Arial"/>
          <w:noProof/>
        </w:rPr>
        <w:tab/>
      </w:r>
      <w:r w:rsidRPr="00BB6945">
        <w:rPr>
          <w:rFonts w:ascii="Arial" w:hAnsi="Arial" w:cs="Arial"/>
          <w:noProof/>
        </w:rPr>
        <w:t>38</w:t>
      </w:r>
    </w:p>
    <w:p w:rsidR="00BB6945" w:rsidRPr="00BB6945" w:rsidRDefault="00BB6945">
      <w:pPr>
        <w:pStyle w:val="ndice1"/>
        <w:tabs>
          <w:tab w:val="right" w:leader="dot" w:pos="8729"/>
        </w:tabs>
        <w:rPr>
          <w:rFonts w:ascii="Arial" w:hAnsi="Arial" w:cs="Arial"/>
          <w:noProof/>
        </w:rPr>
      </w:pPr>
      <w:r w:rsidRPr="00BB6945">
        <w:rPr>
          <w:rFonts w:ascii="Arial" w:hAnsi="Arial" w:cs="Arial"/>
          <w:noProof/>
        </w:rPr>
        <w:t>7.3.3 Coste-utilidad. Estudios propios</w:t>
      </w:r>
      <w:r>
        <w:rPr>
          <w:rFonts w:ascii="Arial" w:hAnsi="Arial" w:cs="Arial"/>
          <w:noProof/>
        </w:rPr>
        <w:tab/>
      </w:r>
      <w:r w:rsidRPr="00BB6945">
        <w:rPr>
          <w:rFonts w:ascii="Arial" w:hAnsi="Arial" w:cs="Arial"/>
          <w:noProof/>
        </w:rPr>
        <w:t>38</w:t>
      </w:r>
    </w:p>
    <w:p w:rsidR="00BB6945" w:rsidRPr="00BB6945" w:rsidRDefault="00BB6945">
      <w:pPr>
        <w:pStyle w:val="ndice1"/>
        <w:tabs>
          <w:tab w:val="right" w:leader="dot" w:pos="8729"/>
        </w:tabs>
        <w:rPr>
          <w:rFonts w:ascii="Arial" w:hAnsi="Arial" w:cs="Arial"/>
          <w:noProof/>
        </w:rPr>
      </w:pPr>
      <w:r w:rsidRPr="00BB6945">
        <w:rPr>
          <w:rFonts w:ascii="Arial" w:hAnsi="Arial" w:cs="Arial"/>
          <w:noProof/>
        </w:rPr>
        <w:t>7.3.4. Análisis de sensibilidad</w:t>
      </w:r>
      <w:r>
        <w:rPr>
          <w:rFonts w:ascii="Arial" w:hAnsi="Arial" w:cs="Arial"/>
          <w:noProof/>
        </w:rPr>
        <w:tab/>
      </w:r>
      <w:r w:rsidRPr="00BB6945">
        <w:rPr>
          <w:rFonts w:ascii="Arial" w:hAnsi="Arial" w:cs="Arial"/>
          <w:noProof/>
        </w:rPr>
        <w:t>38</w:t>
      </w:r>
    </w:p>
    <w:p w:rsidR="00BB6945" w:rsidRPr="00BB6945" w:rsidRDefault="00BB6945">
      <w:pPr>
        <w:pStyle w:val="ndice1"/>
        <w:tabs>
          <w:tab w:val="right" w:leader="dot" w:pos="8729"/>
        </w:tabs>
        <w:rPr>
          <w:rFonts w:ascii="Arial" w:hAnsi="Arial" w:cs="Arial"/>
          <w:noProof/>
        </w:rPr>
      </w:pPr>
      <w:r w:rsidRPr="00BB6945">
        <w:rPr>
          <w:rFonts w:ascii="Arial" w:hAnsi="Arial" w:cs="Arial"/>
          <w:bCs/>
          <w:noProof/>
        </w:rPr>
        <w:t>7.4. Estimación del impacto presupuestario y de los beneficios esperados en salud</w:t>
      </w:r>
      <w:r>
        <w:rPr>
          <w:rFonts w:ascii="Arial" w:hAnsi="Arial" w:cs="Arial"/>
          <w:noProof/>
        </w:rPr>
        <w:tab/>
      </w:r>
      <w:r w:rsidRPr="00BB6945">
        <w:rPr>
          <w:rFonts w:ascii="Arial" w:hAnsi="Arial" w:cs="Arial"/>
          <w:noProof/>
        </w:rPr>
        <w:t>38</w:t>
      </w:r>
    </w:p>
    <w:p w:rsidR="00BB6945" w:rsidRPr="00BB6945" w:rsidRDefault="00BB6945">
      <w:pPr>
        <w:pStyle w:val="ndice1"/>
        <w:tabs>
          <w:tab w:val="right" w:leader="dot" w:pos="8729"/>
        </w:tabs>
        <w:rPr>
          <w:rFonts w:ascii="Arial" w:hAnsi="Arial" w:cs="Arial"/>
          <w:noProof/>
        </w:rPr>
      </w:pPr>
      <w:r w:rsidRPr="00BB6945">
        <w:rPr>
          <w:rFonts w:ascii="Arial" w:hAnsi="Arial" w:cs="Arial"/>
          <w:bCs/>
          <w:noProof/>
        </w:rPr>
        <w:t>7.4.1. Estimación de la población diana</w:t>
      </w:r>
      <w:r>
        <w:rPr>
          <w:rFonts w:ascii="Arial" w:hAnsi="Arial" w:cs="Arial"/>
          <w:noProof/>
        </w:rPr>
        <w:tab/>
      </w:r>
      <w:r w:rsidRPr="00BB6945">
        <w:rPr>
          <w:rFonts w:ascii="Arial" w:hAnsi="Arial" w:cs="Arial"/>
          <w:noProof/>
        </w:rPr>
        <w:t>38</w:t>
      </w:r>
    </w:p>
    <w:p w:rsidR="00BB6945" w:rsidRPr="00BB6945" w:rsidRDefault="00BB6945">
      <w:pPr>
        <w:pStyle w:val="ndice1"/>
        <w:tabs>
          <w:tab w:val="right" w:leader="dot" w:pos="8729"/>
        </w:tabs>
        <w:rPr>
          <w:rFonts w:ascii="Arial" w:hAnsi="Arial" w:cs="Arial"/>
          <w:noProof/>
        </w:rPr>
      </w:pPr>
      <w:r w:rsidRPr="00BB6945">
        <w:rPr>
          <w:rFonts w:ascii="Arial" w:hAnsi="Arial" w:cs="Arial"/>
          <w:bCs/>
          <w:noProof/>
        </w:rPr>
        <w:t>7.4.3. Estimación propia de impacto presupuestario y beneficios en salud</w:t>
      </w:r>
      <w:r>
        <w:rPr>
          <w:rFonts w:ascii="Arial" w:hAnsi="Arial" w:cs="Arial"/>
          <w:noProof/>
        </w:rPr>
        <w:tab/>
      </w:r>
      <w:r w:rsidRPr="00BB6945">
        <w:rPr>
          <w:rFonts w:ascii="Arial" w:hAnsi="Arial" w:cs="Arial"/>
          <w:noProof/>
        </w:rPr>
        <w:t>39</w:t>
      </w:r>
    </w:p>
    <w:p w:rsidR="00BB6945" w:rsidRPr="00BB6945" w:rsidRDefault="00BB6945">
      <w:pPr>
        <w:pStyle w:val="ndice1"/>
        <w:tabs>
          <w:tab w:val="right" w:leader="dot" w:pos="8729"/>
        </w:tabs>
        <w:rPr>
          <w:rFonts w:ascii="Arial" w:hAnsi="Arial" w:cs="Arial"/>
          <w:noProof/>
        </w:rPr>
      </w:pPr>
      <w:r w:rsidRPr="00BB6945">
        <w:rPr>
          <w:rFonts w:ascii="Arial" w:hAnsi="Arial" w:cs="Arial"/>
          <w:bCs/>
          <w:noProof/>
        </w:rPr>
        <w:t>7.4.3.1. Estimación propia de impacto presupuestario y beneficios en salud en el hospital</w:t>
      </w:r>
      <w:r>
        <w:rPr>
          <w:rFonts w:ascii="Arial" w:hAnsi="Arial" w:cs="Arial"/>
          <w:noProof/>
        </w:rPr>
        <w:tab/>
      </w:r>
      <w:r w:rsidRPr="00BB6945">
        <w:rPr>
          <w:rFonts w:ascii="Arial" w:hAnsi="Arial" w:cs="Arial"/>
          <w:noProof/>
        </w:rPr>
        <w:t>39</w:t>
      </w:r>
    </w:p>
    <w:p w:rsidR="00BB6945" w:rsidRPr="00BB6945" w:rsidRDefault="00BB6945">
      <w:pPr>
        <w:pStyle w:val="ndice1"/>
        <w:tabs>
          <w:tab w:val="right" w:leader="dot" w:pos="8729"/>
        </w:tabs>
        <w:rPr>
          <w:rFonts w:ascii="Arial" w:hAnsi="Arial" w:cs="Arial"/>
          <w:noProof/>
        </w:rPr>
      </w:pPr>
      <w:r w:rsidRPr="00BB6945">
        <w:rPr>
          <w:rFonts w:ascii="Arial" w:hAnsi="Arial" w:cs="Arial"/>
          <w:bCs/>
          <w:noProof/>
        </w:rPr>
        <w:t>7.5. Propuesta de posicionamiento</w:t>
      </w:r>
      <w:r>
        <w:rPr>
          <w:rFonts w:ascii="Arial" w:hAnsi="Arial" w:cs="Arial"/>
          <w:noProof/>
        </w:rPr>
        <w:tab/>
      </w:r>
      <w:r w:rsidRPr="00BB6945">
        <w:rPr>
          <w:rFonts w:ascii="Arial" w:hAnsi="Arial" w:cs="Arial"/>
          <w:noProof/>
        </w:rPr>
        <w:t>40</w:t>
      </w:r>
    </w:p>
    <w:p w:rsidR="00BB6945" w:rsidRPr="00BB6945" w:rsidRDefault="00BB6945">
      <w:pPr>
        <w:pStyle w:val="ndice1"/>
        <w:tabs>
          <w:tab w:val="right" w:leader="dot" w:pos="8729"/>
        </w:tabs>
        <w:rPr>
          <w:rFonts w:ascii="Arial" w:hAnsi="Arial" w:cs="Arial"/>
          <w:noProof/>
        </w:rPr>
      </w:pPr>
      <w:r w:rsidRPr="00BB6945">
        <w:rPr>
          <w:rFonts w:ascii="Arial" w:hAnsi="Arial" w:cs="Arial"/>
          <w:bCs/>
          <w:noProof/>
        </w:rPr>
        <w:t>7.5.1 Criterios de precio y financiación: Medicamento que presenta un valor terapéutico añadido respecto a la terapia de referencia.</w:t>
      </w:r>
      <w:r w:rsidR="00C95418">
        <w:rPr>
          <w:rFonts w:ascii="Arial" w:hAnsi="Arial" w:cs="Arial"/>
          <w:noProof/>
        </w:rPr>
        <w:tab/>
      </w:r>
      <w:r w:rsidRPr="00BB6945">
        <w:rPr>
          <w:rFonts w:ascii="Arial" w:hAnsi="Arial" w:cs="Arial"/>
          <w:noProof/>
        </w:rPr>
        <w:t>42</w:t>
      </w:r>
    </w:p>
    <w:p w:rsidR="00BB6945" w:rsidRPr="00BB6945" w:rsidRDefault="00BB6945">
      <w:pPr>
        <w:pStyle w:val="ndice1"/>
        <w:tabs>
          <w:tab w:val="right" w:leader="dot" w:pos="8729"/>
        </w:tabs>
        <w:rPr>
          <w:rFonts w:ascii="Arial" w:hAnsi="Arial" w:cs="Arial"/>
          <w:noProof/>
        </w:rPr>
      </w:pPr>
      <w:r w:rsidRPr="00BB6945">
        <w:rPr>
          <w:rFonts w:ascii="Arial" w:hAnsi="Arial" w:cs="Arial"/>
          <w:noProof/>
        </w:rPr>
        <w:t>8. EVALUACIÓN DE LA CONVENIENCIA.</w:t>
      </w:r>
      <w:r w:rsidR="00C95418">
        <w:rPr>
          <w:rFonts w:ascii="Arial" w:hAnsi="Arial" w:cs="Arial"/>
          <w:noProof/>
        </w:rPr>
        <w:tab/>
      </w:r>
      <w:r w:rsidRPr="00BB6945">
        <w:rPr>
          <w:rFonts w:ascii="Arial" w:hAnsi="Arial" w:cs="Arial"/>
          <w:noProof/>
        </w:rPr>
        <w:t>43</w:t>
      </w:r>
    </w:p>
    <w:p w:rsidR="00BB6945" w:rsidRPr="00BB6945" w:rsidRDefault="00BB6945">
      <w:pPr>
        <w:pStyle w:val="ndice1"/>
        <w:tabs>
          <w:tab w:val="right" w:leader="dot" w:pos="8729"/>
        </w:tabs>
        <w:rPr>
          <w:rFonts w:ascii="Arial" w:hAnsi="Arial" w:cs="Arial"/>
          <w:noProof/>
        </w:rPr>
      </w:pPr>
      <w:r w:rsidRPr="00BB6945">
        <w:rPr>
          <w:rFonts w:ascii="Arial" w:hAnsi="Arial" w:cs="Arial"/>
          <w:noProof/>
        </w:rPr>
        <w:t>9. AREA DE CONCLUSIONES.</w:t>
      </w:r>
      <w:r w:rsidR="00C95418">
        <w:rPr>
          <w:rFonts w:ascii="Arial" w:hAnsi="Arial" w:cs="Arial"/>
          <w:noProof/>
        </w:rPr>
        <w:tab/>
      </w:r>
      <w:r w:rsidRPr="00BB6945">
        <w:rPr>
          <w:rFonts w:ascii="Arial" w:hAnsi="Arial" w:cs="Arial"/>
          <w:noProof/>
        </w:rPr>
        <w:t>44</w:t>
      </w:r>
    </w:p>
    <w:p w:rsidR="00BB6945" w:rsidRPr="00BB6945" w:rsidRDefault="00BB6945">
      <w:pPr>
        <w:pStyle w:val="ndice1"/>
        <w:tabs>
          <w:tab w:val="right" w:leader="dot" w:pos="8729"/>
        </w:tabs>
        <w:rPr>
          <w:rFonts w:ascii="Arial" w:hAnsi="Arial" w:cs="Arial"/>
          <w:noProof/>
        </w:rPr>
      </w:pPr>
      <w:r w:rsidRPr="00BB6945">
        <w:rPr>
          <w:rFonts w:ascii="Arial" w:hAnsi="Arial" w:cs="Arial"/>
          <w:bCs/>
          <w:noProof/>
          <w:color w:val="000000"/>
        </w:rPr>
        <w:t>ANEXO I</w:t>
      </w:r>
      <w:r w:rsidR="00C95418">
        <w:rPr>
          <w:rFonts w:ascii="Arial" w:hAnsi="Arial" w:cs="Arial"/>
          <w:bCs/>
          <w:noProof/>
          <w:color w:val="000000"/>
        </w:rPr>
        <w:tab/>
      </w:r>
      <w:r w:rsidRPr="00BB6945">
        <w:rPr>
          <w:rFonts w:ascii="Arial" w:hAnsi="Arial" w:cs="Arial"/>
          <w:noProof/>
        </w:rPr>
        <w:t xml:space="preserve"> 50</w:t>
      </w:r>
    </w:p>
    <w:p w:rsidR="00BB6945" w:rsidRPr="00BB6945" w:rsidRDefault="00BB6945">
      <w:pPr>
        <w:pStyle w:val="ndice1"/>
        <w:tabs>
          <w:tab w:val="right" w:leader="dot" w:pos="8729"/>
        </w:tabs>
        <w:rPr>
          <w:rFonts w:ascii="Arial" w:hAnsi="Arial" w:cs="Arial"/>
          <w:noProof/>
        </w:rPr>
      </w:pPr>
      <w:r w:rsidRPr="00BB6945">
        <w:rPr>
          <w:rFonts w:ascii="Arial" w:hAnsi="Arial" w:cs="Arial"/>
          <w:bCs/>
          <w:noProof/>
        </w:rPr>
        <w:t>ANEXO II</w:t>
      </w:r>
      <w:r w:rsidR="00C95418">
        <w:rPr>
          <w:rFonts w:ascii="Arial" w:hAnsi="Arial" w:cs="Arial"/>
          <w:noProof/>
        </w:rPr>
        <w:tab/>
      </w:r>
      <w:r w:rsidRPr="00BB6945">
        <w:rPr>
          <w:rFonts w:ascii="Arial" w:hAnsi="Arial" w:cs="Arial"/>
          <w:noProof/>
        </w:rPr>
        <w:t>51</w:t>
      </w:r>
    </w:p>
    <w:p w:rsidR="007D48BC" w:rsidRDefault="00FE59AC" w:rsidP="00BC3E8E">
      <w:pPr>
        <w:rPr>
          <w:rFonts w:ascii="Arial" w:hAnsi="Arial" w:cs="Arial"/>
          <w:b/>
          <w:bCs/>
        </w:rPr>
      </w:pPr>
      <w:r w:rsidRPr="00BB6945">
        <w:rPr>
          <w:rFonts w:ascii="Arial" w:hAnsi="Arial" w:cs="Arial"/>
          <w:bCs/>
        </w:rPr>
        <w:fldChar w:fldCharType="end"/>
      </w:r>
    </w:p>
    <w:p w:rsidR="007D48BC" w:rsidRPr="009F714F" w:rsidRDefault="007D48BC" w:rsidP="00BC3E8E">
      <w:pPr>
        <w:pBdr>
          <w:top w:val="single" w:sz="4" w:space="1" w:color="auto"/>
          <w:left w:val="single" w:sz="4" w:space="4" w:color="auto"/>
          <w:bottom w:val="single" w:sz="4" w:space="1" w:color="auto"/>
          <w:right w:val="single" w:sz="4" w:space="4" w:color="auto"/>
        </w:pBdr>
        <w:rPr>
          <w:rFonts w:ascii="Arial" w:hAnsi="Arial" w:cs="Arial"/>
          <w:b/>
          <w:bCs/>
        </w:rPr>
      </w:pPr>
      <w:r w:rsidRPr="009F714F">
        <w:rPr>
          <w:rFonts w:ascii="Arial" w:hAnsi="Arial" w:cs="Arial"/>
          <w:b/>
          <w:bCs/>
        </w:rPr>
        <w:t xml:space="preserve">Glosario: </w:t>
      </w:r>
    </w:p>
    <w:p w:rsidR="007D48BC" w:rsidRPr="009F714F" w:rsidRDefault="007D48BC" w:rsidP="00BC3E8E">
      <w:pPr>
        <w:pBdr>
          <w:top w:val="single" w:sz="4" w:space="1" w:color="auto"/>
          <w:left w:val="single" w:sz="4" w:space="4" w:color="auto"/>
          <w:bottom w:val="single" w:sz="4" w:space="1" w:color="auto"/>
          <w:right w:val="single" w:sz="4" w:space="4" w:color="auto"/>
        </w:pBdr>
        <w:rPr>
          <w:rFonts w:ascii="Arial" w:hAnsi="Arial" w:cs="Arial"/>
          <w:b/>
          <w:bCs/>
        </w:rPr>
      </w:pPr>
      <w:r w:rsidRPr="009F714F">
        <w:rPr>
          <w:rFonts w:ascii="Arial" w:hAnsi="Arial" w:cs="Arial"/>
          <w:b/>
          <w:bCs/>
        </w:rPr>
        <w:t xml:space="preserve">AEMPS: </w:t>
      </w:r>
      <w:r w:rsidRPr="009F714F">
        <w:rPr>
          <w:rFonts w:ascii="Arial" w:hAnsi="Arial" w:cs="Arial"/>
        </w:rPr>
        <w:t xml:space="preserve">Agencia </w:t>
      </w:r>
      <w:r w:rsidR="002E1B32">
        <w:rPr>
          <w:rFonts w:ascii="Arial" w:hAnsi="Arial" w:cs="Arial"/>
        </w:rPr>
        <w:t>E</w:t>
      </w:r>
      <w:r w:rsidRPr="009F714F">
        <w:rPr>
          <w:rFonts w:ascii="Arial" w:hAnsi="Arial" w:cs="Arial"/>
        </w:rPr>
        <w:t xml:space="preserve">spañola de </w:t>
      </w:r>
      <w:r w:rsidR="002E1B32">
        <w:rPr>
          <w:rFonts w:ascii="Arial" w:hAnsi="Arial" w:cs="Arial"/>
        </w:rPr>
        <w:t>M</w:t>
      </w:r>
      <w:r w:rsidRPr="009F714F">
        <w:rPr>
          <w:rFonts w:ascii="Arial" w:hAnsi="Arial" w:cs="Arial"/>
        </w:rPr>
        <w:t xml:space="preserve">edicamentos y </w:t>
      </w:r>
      <w:r w:rsidR="002E1B32">
        <w:rPr>
          <w:rFonts w:ascii="Arial" w:hAnsi="Arial" w:cs="Arial"/>
        </w:rPr>
        <w:t>P</w:t>
      </w:r>
      <w:r w:rsidRPr="009F714F">
        <w:rPr>
          <w:rFonts w:ascii="Arial" w:hAnsi="Arial" w:cs="Arial"/>
        </w:rPr>
        <w:t xml:space="preserve">roductos </w:t>
      </w:r>
      <w:r w:rsidR="002E1B32">
        <w:rPr>
          <w:rFonts w:ascii="Arial" w:hAnsi="Arial" w:cs="Arial"/>
        </w:rPr>
        <w:t>S</w:t>
      </w:r>
      <w:r w:rsidRPr="009F714F">
        <w:rPr>
          <w:rFonts w:ascii="Arial" w:hAnsi="Arial" w:cs="Arial"/>
        </w:rPr>
        <w:t>anitarios</w:t>
      </w:r>
    </w:p>
    <w:p w:rsidR="007D48BC" w:rsidRPr="009F714F" w:rsidRDefault="007D48BC" w:rsidP="00BC3E8E">
      <w:pPr>
        <w:pBdr>
          <w:top w:val="single" w:sz="4" w:space="1" w:color="auto"/>
          <w:left w:val="single" w:sz="4" w:space="4" w:color="auto"/>
          <w:bottom w:val="single" w:sz="4" w:space="1" w:color="auto"/>
          <w:right w:val="single" w:sz="4" w:space="4" w:color="auto"/>
        </w:pBdr>
        <w:rPr>
          <w:rFonts w:ascii="Arial" w:hAnsi="Arial" w:cs="Arial"/>
        </w:rPr>
      </w:pPr>
      <w:r w:rsidRPr="009F714F">
        <w:rPr>
          <w:rFonts w:ascii="Arial" w:hAnsi="Arial" w:cs="Arial"/>
          <w:b/>
          <w:bCs/>
        </w:rPr>
        <w:t xml:space="preserve">AUC: </w:t>
      </w:r>
      <w:r w:rsidRPr="009F714F">
        <w:rPr>
          <w:rFonts w:ascii="Arial" w:hAnsi="Arial" w:cs="Arial"/>
        </w:rPr>
        <w:t>Área bajo la curva</w:t>
      </w:r>
    </w:p>
    <w:p w:rsidR="007D48BC" w:rsidRDefault="007D48BC" w:rsidP="00BC3E8E">
      <w:pPr>
        <w:pBdr>
          <w:top w:val="single" w:sz="4" w:space="1" w:color="auto"/>
          <w:left w:val="single" w:sz="4" w:space="4" w:color="auto"/>
          <w:bottom w:val="single" w:sz="4" w:space="1" w:color="auto"/>
          <w:right w:val="single" w:sz="4" w:space="4" w:color="auto"/>
        </w:pBdr>
        <w:rPr>
          <w:rFonts w:ascii="Arial" w:hAnsi="Arial" w:cs="Arial"/>
        </w:rPr>
      </w:pPr>
      <w:r w:rsidRPr="008A48C1">
        <w:rPr>
          <w:rFonts w:ascii="Arial" w:hAnsi="Arial" w:cs="Arial"/>
          <w:b/>
          <w:bCs/>
        </w:rPr>
        <w:t>AV</w:t>
      </w:r>
      <w:r>
        <w:rPr>
          <w:rFonts w:ascii="Arial" w:hAnsi="Arial" w:cs="Arial"/>
          <w:b/>
          <w:bCs/>
        </w:rPr>
        <w:t>G</w:t>
      </w:r>
      <w:r w:rsidRPr="008A48C1">
        <w:rPr>
          <w:rFonts w:ascii="Arial" w:hAnsi="Arial" w:cs="Arial"/>
          <w:b/>
          <w:bCs/>
        </w:rPr>
        <w:t>:</w:t>
      </w:r>
      <w:r>
        <w:rPr>
          <w:rFonts w:ascii="Arial" w:hAnsi="Arial" w:cs="Arial"/>
        </w:rPr>
        <w:t xml:space="preserve"> Años de vida ganados</w:t>
      </w:r>
    </w:p>
    <w:p w:rsidR="007D48BC" w:rsidRDefault="007D48BC" w:rsidP="00BC3E8E">
      <w:pPr>
        <w:pBdr>
          <w:top w:val="single" w:sz="4" w:space="1" w:color="auto"/>
          <w:left w:val="single" w:sz="4" w:space="4" w:color="auto"/>
          <w:bottom w:val="single" w:sz="4" w:space="1" w:color="auto"/>
          <w:right w:val="single" w:sz="4" w:space="4" w:color="auto"/>
        </w:pBdr>
        <w:rPr>
          <w:rFonts w:ascii="Arial" w:hAnsi="Arial" w:cs="Arial"/>
        </w:rPr>
      </w:pPr>
      <w:r w:rsidRPr="008A48C1">
        <w:rPr>
          <w:rFonts w:ascii="Arial" w:hAnsi="Arial" w:cs="Arial"/>
          <w:b/>
          <w:bCs/>
        </w:rPr>
        <w:t>AVAC:</w:t>
      </w:r>
      <w:r>
        <w:rPr>
          <w:rFonts w:ascii="Arial" w:hAnsi="Arial" w:cs="Arial"/>
        </w:rPr>
        <w:t xml:space="preserve"> Años de vida ajustados por calidad de vida</w:t>
      </w:r>
    </w:p>
    <w:p w:rsidR="007D48BC" w:rsidRPr="009F714F" w:rsidRDefault="007D48BC" w:rsidP="00BC3E8E">
      <w:pPr>
        <w:pBdr>
          <w:top w:val="single" w:sz="4" w:space="1" w:color="auto"/>
          <w:left w:val="single" w:sz="4" w:space="4" w:color="auto"/>
          <w:bottom w:val="single" w:sz="4" w:space="1" w:color="auto"/>
          <w:right w:val="single" w:sz="4" w:space="4" w:color="auto"/>
        </w:pBdr>
        <w:rPr>
          <w:rFonts w:ascii="Arial" w:hAnsi="Arial" w:cs="Arial"/>
          <w:b/>
          <w:bCs/>
        </w:rPr>
      </w:pPr>
      <w:r w:rsidRPr="008A48C1">
        <w:rPr>
          <w:rFonts w:ascii="Arial" w:hAnsi="Arial" w:cs="Arial"/>
          <w:b/>
          <w:bCs/>
        </w:rPr>
        <w:t>CAR T</w:t>
      </w:r>
      <w:r w:rsidRPr="009F714F">
        <w:rPr>
          <w:rFonts w:ascii="Arial" w:hAnsi="Arial" w:cs="Arial"/>
        </w:rPr>
        <w:t>: Células que expresan el receptor del antígeno quimérico</w:t>
      </w:r>
    </w:p>
    <w:p w:rsidR="007D48BC" w:rsidRPr="009F714F" w:rsidRDefault="007D48BC" w:rsidP="00BC3E8E">
      <w:pPr>
        <w:pBdr>
          <w:top w:val="single" w:sz="4" w:space="1" w:color="auto"/>
          <w:left w:val="single" w:sz="4" w:space="4" w:color="auto"/>
          <w:bottom w:val="single" w:sz="4" w:space="1" w:color="auto"/>
          <w:right w:val="single" w:sz="4" w:space="4" w:color="auto"/>
        </w:pBdr>
        <w:rPr>
          <w:rFonts w:ascii="Arial" w:hAnsi="Arial" w:cs="Arial"/>
          <w:lang w:val="en-US"/>
        </w:rPr>
      </w:pPr>
      <w:r w:rsidRPr="009F714F">
        <w:rPr>
          <w:rFonts w:ascii="Arial" w:hAnsi="Arial" w:cs="Arial"/>
          <w:b/>
          <w:bCs/>
          <w:lang w:val="en-US"/>
        </w:rPr>
        <w:t xml:space="preserve">CADTH: </w:t>
      </w:r>
      <w:r w:rsidRPr="008A48C1">
        <w:rPr>
          <w:rFonts w:ascii="Arial" w:hAnsi="Arial" w:cs="Arial"/>
          <w:i/>
          <w:iCs/>
          <w:lang w:val="en-US"/>
        </w:rPr>
        <w:t xml:space="preserve">Canadian </w:t>
      </w:r>
      <w:r w:rsidR="005951D5">
        <w:rPr>
          <w:rFonts w:ascii="Arial" w:hAnsi="Arial" w:cs="Arial"/>
          <w:i/>
          <w:iCs/>
          <w:lang w:val="en-US"/>
        </w:rPr>
        <w:t>A</w:t>
      </w:r>
      <w:r w:rsidRPr="008A48C1">
        <w:rPr>
          <w:rFonts w:ascii="Arial" w:hAnsi="Arial" w:cs="Arial"/>
          <w:i/>
          <w:iCs/>
          <w:lang w:val="en-US"/>
        </w:rPr>
        <w:t xml:space="preserve">gency for </w:t>
      </w:r>
      <w:r w:rsidR="005951D5">
        <w:rPr>
          <w:rFonts w:ascii="Arial" w:hAnsi="Arial" w:cs="Arial"/>
          <w:i/>
          <w:iCs/>
          <w:lang w:val="en-US"/>
        </w:rPr>
        <w:t>D</w:t>
      </w:r>
      <w:r w:rsidRPr="008A48C1">
        <w:rPr>
          <w:rFonts w:ascii="Arial" w:hAnsi="Arial" w:cs="Arial"/>
          <w:i/>
          <w:iCs/>
          <w:lang w:val="en-US"/>
        </w:rPr>
        <w:t xml:space="preserve">rugs and </w:t>
      </w:r>
      <w:r w:rsidR="005951D5">
        <w:rPr>
          <w:rFonts w:ascii="Arial" w:hAnsi="Arial" w:cs="Arial"/>
          <w:i/>
          <w:iCs/>
          <w:lang w:val="en-US"/>
        </w:rPr>
        <w:t>T</w:t>
      </w:r>
      <w:r w:rsidRPr="008A48C1">
        <w:rPr>
          <w:rFonts w:ascii="Arial" w:hAnsi="Arial" w:cs="Arial"/>
          <w:i/>
          <w:iCs/>
          <w:lang w:val="en-US"/>
        </w:rPr>
        <w:t xml:space="preserve">echnologies in </w:t>
      </w:r>
      <w:r w:rsidR="005951D5">
        <w:rPr>
          <w:rFonts w:ascii="Arial" w:hAnsi="Arial" w:cs="Arial"/>
          <w:i/>
          <w:iCs/>
          <w:lang w:val="en-US"/>
        </w:rPr>
        <w:t>H</w:t>
      </w:r>
      <w:r w:rsidRPr="008A48C1">
        <w:rPr>
          <w:rFonts w:ascii="Arial" w:hAnsi="Arial" w:cs="Arial"/>
          <w:i/>
          <w:iCs/>
          <w:lang w:val="en-US"/>
        </w:rPr>
        <w:t>ealth</w:t>
      </w:r>
    </w:p>
    <w:p w:rsidR="007D48BC" w:rsidRPr="009F714F" w:rsidRDefault="007D48BC" w:rsidP="00BC3E8E">
      <w:pPr>
        <w:pBdr>
          <w:top w:val="single" w:sz="4" w:space="1" w:color="auto"/>
          <w:left w:val="single" w:sz="4" w:space="4" w:color="auto"/>
          <w:bottom w:val="single" w:sz="4" w:space="1" w:color="auto"/>
          <w:right w:val="single" w:sz="4" w:space="4" w:color="auto"/>
        </w:pBdr>
        <w:rPr>
          <w:rFonts w:ascii="Arial" w:hAnsi="Arial" w:cs="Arial"/>
          <w:b/>
          <w:bCs/>
        </w:rPr>
      </w:pPr>
      <w:r w:rsidRPr="009F714F">
        <w:rPr>
          <w:rFonts w:ascii="Arial" w:hAnsi="Arial" w:cs="Arial"/>
          <w:b/>
          <w:bCs/>
        </w:rPr>
        <w:t xml:space="preserve">Cmax: </w:t>
      </w:r>
      <w:r w:rsidRPr="009F714F">
        <w:rPr>
          <w:rFonts w:ascii="Arial" w:hAnsi="Arial" w:cs="Arial"/>
        </w:rPr>
        <w:t>Concentración plasmática máxima</w:t>
      </w:r>
    </w:p>
    <w:p w:rsidR="007D48BC" w:rsidRPr="009F714F" w:rsidRDefault="007D48BC" w:rsidP="00BC3E8E">
      <w:pPr>
        <w:pBdr>
          <w:top w:val="single" w:sz="4" w:space="1" w:color="auto"/>
          <w:left w:val="single" w:sz="4" w:space="4" w:color="auto"/>
          <w:bottom w:val="single" w:sz="4" w:space="1" w:color="auto"/>
          <w:right w:val="single" w:sz="4" w:space="4" w:color="auto"/>
        </w:pBdr>
        <w:rPr>
          <w:rFonts w:ascii="Arial" w:hAnsi="Arial" w:cs="Arial"/>
          <w:b/>
          <w:bCs/>
        </w:rPr>
      </w:pPr>
      <w:r w:rsidRPr="009F714F">
        <w:rPr>
          <w:rFonts w:ascii="Arial" w:hAnsi="Arial" w:cs="Arial"/>
          <w:b/>
          <w:bCs/>
        </w:rPr>
        <w:t xml:space="preserve">CRI: </w:t>
      </w:r>
      <w:r w:rsidRPr="009F714F">
        <w:rPr>
          <w:rFonts w:ascii="Arial" w:hAnsi="Arial" w:cs="Arial"/>
        </w:rPr>
        <w:t xml:space="preserve">Comité </w:t>
      </w:r>
      <w:r>
        <w:rPr>
          <w:rFonts w:ascii="Arial" w:hAnsi="Arial" w:cs="Arial"/>
        </w:rPr>
        <w:t>r</w:t>
      </w:r>
      <w:r w:rsidRPr="009F714F">
        <w:rPr>
          <w:rFonts w:ascii="Arial" w:hAnsi="Arial" w:cs="Arial"/>
        </w:rPr>
        <w:t xml:space="preserve">evisor </w:t>
      </w:r>
      <w:r>
        <w:rPr>
          <w:rFonts w:ascii="Arial" w:hAnsi="Arial" w:cs="Arial"/>
        </w:rPr>
        <w:t>i</w:t>
      </w:r>
      <w:r w:rsidRPr="009F714F">
        <w:rPr>
          <w:rFonts w:ascii="Arial" w:hAnsi="Arial" w:cs="Arial"/>
        </w:rPr>
        <w:t>ndependiente</w:t>
      </w:r>
    </w:p>
    <w:p w:rsidR="007D48BC" w:rsidRPr="009F714F" w:rsidRDefault="007D48BC" w:rsidP="00BC3E8E">
      <w:pPr>
        <w:pBdr>
          <w:top w:val="single" w:sz="4" w:space="1" w:color="auto"/>
          <w:left w:val="single" w:sz="4" w:space="4" w:color="auto"/>
          <w:bottom w:val="single" w:sz="4" w:space="1" w:color="auto"/>
          <w:right w:val="single" w:sz="4" w:space="4" w:color="auto"/>
        </w:pBdr>
        <w:rPr>
          <w:rFonts w:ascii="Arial" w:hAnsi="Arial" w:cs="Arial"/>
          <w:b/>
          <w:bCs/>
        </w:rPr>
      </w:pPr>
      <w:r w:rsidRPr="009F714F">
        <w:rPr>
          <w:rFonts w:ascii="Arial" w:hAnsi="Arial" w:cs="Arial"/>
          <w:b/>
          <w:bCs/>
        </w:rPr>
        <w:t xml:space="preserve">DMSO: </w:t>
      </w:r>
      <w:r w:rsidRPr="009F714F">
        <w:rPr>
          <w:rFonts w:ascii="Arial" w:hAnsi="Arial" w:cs="Arial"/>
        </w:rPr>
        <w:t>Dimetilsulfóxido</w:t>
      </w:r>
    </w:p>
    <w:p w:rsidR="007D48BC" w:rsidRPr="009F714F" w:rsidRDefault="007D48BC" w:rsidP="00BC3E8E">
      <w:pPr>
        <w:pBdr>
          <w:top w:val="single" w:sz="4" w:space="1" w:color="auto"/>
          <w:left w:val="single" w:sz="4" w:space="4" w:color="auto"/>
          <w:bottom w:val="single" w:sz="4" w:space="1" w:color="auto"/>
          <w:right w:val="single" w:sz="4" w:space="4" w:color="auto"/>
        </w:pBdr>
        <w:rPr>
          <w:rFonts w:ascii="Arial" w:hAnsi="Arial" w:cs="Arial"/>
          <w:b/>
          <w:bCs/>
        </w:rPr>
      </w:pPr>
      <w:r w:rsidRPr="009F714F">
        <w:rPr>
          <w:rFonts w:ascii="Arial" w:hAnsi="Arial" w:cs="Arial"/>
          <w:b/>
          <w:bCs/>
        </w:rPr>
        <w:t xml:space="preserve">DRO: </w:t>
      </w:r>
      <w:r w:rsidRPr="009F714F">
        <w:rPr>
          <w:rFonts w:ascii="Arial" w:hAnsi="Arial" w:cs="Arial"/>
        </w:rPr>
        <w:t>Duración de la respuesta objetiva</w:t>
      </w:r>
    </w:p>
    <w:p w:rsidR="007D48BC" w:rsidRPr="009F714F" w:rsidRDefault="007D48BC" w:rsidP="00BC3E8E">
      <w:pPr>
        <w:pBdr>
          <w:top w:val="single" w:sz="4" w:space="1" w:color="auto"/>
          <w:left w:val="single" w:sz="4" w:space="4" w:color="auto"/>
          <w:bottom w:val="single" w:sz="4" w:space="1" w:color="auto"/>
          <w:right w:val="single" w:sz="4" w:space="4" w:color="auto"/>
        </w:pBdr>
        <w:rPr>
          <w:rFonts w:ascii="Arial" w:hAnsi="Arial" w:cs="Arial"/>
          <w:lang w:val="en-US"/>
        </w:rPr>
      </w:pPr>
      <w:r w:rsidRPr="009F714F">
        <w:rPr>
          <w:rFonts w:ascii="Arial" w:hAnsi="Arial" w:cs="Arial"/>
          <w:b/>
          <w:bCs/>
          <w:lang w:val="en-US"/>
        </w:rPr>
        <w:t xml:space="preserve">ECOG: </w:t>
      </w:r>
      <w:r w:rsidRPr="008A48C1">
        <w:rPr>
          <w:rFonts w:ascii="Arial" w:hAnsi="Arial" w:cs="Arial"/>
          <w:i/>
          <w:iCs/>
          <w:lang w:val="en-US"/>
        </w:rPr>
        <w:t>Eastern cooperative oncology group</w:t>
      </w:r>
    </w:p>
    <w:p w:rsidR="007D48BC" w:rsidRPr="00174EB6" w:rsidRDefault="007D48BC" w:rsidP="00BC3E8E">
      <w:pPr>
        <w:pBdr>
          <w:top w:val="single" w:sz="4" w:space="1" w:color="auto"/>
          <w:left w:val="single" w:sz="4" w:space="4" w:color="auto"/>
          <w:bottom w:val="single" w:sz="4" w:space="1" w:color="auto"/>
          <w:right w:val="single" w:sz="4" w:space="4" w:color="auto"/>
        </w:pBdr>
        <w:rPr>
          <w:rFonts w:ascii="Arial" w:hAnsi="Arial" w:cs="Arial"/>
          <w:b/>
          <w:bCs/>
          <w:lang w:val="en-US"/>
        </w:rPr>
      </w:pPr>
      <w:r w:rsidRPr="00174EB6">
        <w:rPr>
          <w:rFonts w:ascii="Arial" w:hAnsi="Arial" w:cs="Arial"/>
          <w:b/>
          <w:bCs/>
          <w:lang w:val="en-US"/>
        </w:rPr>
        <w:t xml:space="preserve">EICH: </w:t>
      </w:r>
      <w:r w:rsidRPr="00174EB6">
        <w:rPr>
          <w:rFonts w:ascii="Arial" w:hAnsi="Arial" w:cs="Arial"/>
          <w:lang w:val="en-US"/>
        </w:rPr>
        <w:t>Enfermedad de injerto contra hu</w:t>
      </w:r>
      <w:r w:rsidR="005951D5" w:rsidRPr="00174EB6">
        <w:rPr>
          <w:rFonts w:ascii="Arial" w:hAnsi="Arial" w:cs="Arial"/>
          <w:lang w:val="en-US"/>
        </w:rPr>
        <w:t>és</w:t>
      </w:r>
      <w:r w:rsidRPr="00174EB6">
        <w:rPr>
          <w:rFonts w:ascii="Arial" w:hAnsi="Arial" w:cs="Arial"/>
          <w:lang w:val="en-US"/>
        </w:rPr>
        <w:t>ped</w:t>
      </w:r>
    </w:p>
    <w:p w:rsidR="007D48BC" w:rsidRPr="009F714F" w:rsidRDefault="007D48BC" w:rsidP="00BC3E8E">
      <w:pPr>
        <w:pBdr>
          <w:top w:val="single" w:sz="4" w:space="1" w:color="auto"/>
          <w:left w:val="single" w:sz="4" w:space="4" w:color="auto"/>
          <w:bottom w:val="single" w:sz="4" w:space="1" w:color="auto"/>
          <w:right w:val="single" w:sz="4" w:space="4" w:color="auto"/>
        </w:pBdr>
        <w:rPr>
          <w:rFonts w:ascii="Arial" w:hAnsi="Arial" w:cs="Arial"/>
          <w:b/>
          <w:bCs/>
          <w:lang w:val="en-GB"/>
        </w:rPr>
      </w:pPr>
      <w:r w:rsidRPr="009F714F">
        <w:rPr>
          <w:rFonts w:ascii="Arial" w:hAnsi="Arial" w:cs="Arial"/>
          <w:b/>
          <w:bCs/>
          <w:lang w:val="en-GB"/>
        </w:rPr>
        <w:t xml:space="preserve">EMA: </w:t>
      </w:r>
      <w:r w:rsidR="005951D5">
        <w:rPr>
          <w:rFonts w:ascii="Arial" w:hAnsi="Arial" w:cs="Arial"/>
          <w:i/>
          <w:iCs/>
          <w:lang w:val="en-GB"/>
        </w:rPr>
        <w:t>European Medicines A</w:t>
      </w:r>
      <w:r w:rsidRPr="008A48C1">
        <w:rPr>
          <w:rFonts w:ascii="Arial" w:hAnsi="Arial" w:cs="Arial"/>
          <w:i/>
          <w:iCs/>
          <w:lang w:val="en-GB"/>
        </w:rPr>
        <w:t>gency</w:t>
      </w:r>
    </w:p>
    <w:p w:rsidR="007D48BC" w:rsidRPr="009F714F" w:rsidRDefault="007D48BC" w:rsidP="00BC3E8E">
      <w:pPr>
        <w:pBdr>
          <w:top w:val="single" w:sz="4" w:space="1" w:color="auto"/>
          <w:left w:val="single" w:sz="4" w:space="4" w:color="auto"/>
          <w:bottom w:val="single" w:sz="4" w:space="1" w:color="auto"/>
          <w:right w:val="single" w:sz="4" w:space="4" w:color="auto"/>
        </w:pBdr>
        <w:rPr>
          <w:rFonts w:ascii="Arial" w:hAnsi="Arial" w:cs="Arial"/>
          <w:b/>
          <w:bCs/>
          <w:lang w:val="en-US"/>
        </w:rPr>
      </w:pPr>
      <w:r w:rsidRPr="009F714F">
        <w:rPr>
          <w:rFonts w:ascii="Arial" w:hAnsi="Arial" w:cs="Arial"/>
          <w:b/>
          <w:bCs/>
          <w:lang w:val="en-US"/>
        </w:rPr>
        <w:t xml:space="preserve">EPAR: </w:t>
      </w:r>
      <w:r w:rsidRPr="008A48C1">
        <w:rPr>
          <w:rFonts w:ascii="Arial" w:hAnsi="Arial" w:cs="Arial"/>
          <w:i/>
          <w:iCs/>
          <w:lang w:val="en-US"/>
        </w:rPr>
        <w:t xml:space="preserve">European </w:t>
      </w:r>
      <w:r w:rsidR="005951D5">
        <w:rPr>
          <w:rFonts w:ascii="Arial" w:hAnsi="Arial" w:cs="Arial"/>
          <w:i/>
          <w:iCs/>
          <w:lang w:val="en-US"/>
        </w:rPr>
        <w:t>P</w:t>
      </w:r>
      <w:r w:rsidRPr="008A48C1">
        <w:rPr>
          <w:rFonts w:ascii="Arial" w:hAnsi="Arial" w:cs="Arial"/>
          <w:i/>
          <w:iCs/>
          <w:lang w:val="en-US"/>
        </w:rPr>
        <w:t xml:space="preserve">ublic </w:t>
      </w:r>
      <w:r w:rsidR="005951D5">
        <w:rPr>
          <w:rFonts w:ascii="Arial" w:hAnsi="Arial" w:cs="Arial"/>
          <w:i/>
          <w:iCs/>
          <w:lang w:val="en-US"/>
        </w:rPr>
        <w:t>A</w:t>
      </w:r>
      <w:r w:rsidRPr="008A48C1">
        <w:rPr>
          <w:rFonts w:ascii="Arial" w:hAnsi="Arial" w:cs="Arial"/>
          <w:i/>
          <w:iCs/>
          <w:lang w:val="en-US"/>
        </w:rPr>
        <w:t xml:space="preserve">ssessment </w:t>
      </w:r>
      <w:r w:rsidR="005951D5">
        <w:rPr>
          <w:rFonts w:ascii="Arial" w:hAnsi="Arial" w:cs="Arial"/>
          <w:i/>
          <w:iCs/>
          <w:lang w:val="en-US"/>
        </w:rPr>
        <w:t>R</w:t>
      </w:r>
      <w:r w:rsidRPr="008A48C1">
        <w:rPr>
          <w:rFonts w:ascii="Arial" w:hAnsi="Arial" w:cs="Arial"/>
          <w:i/>
          <w:iCs/>
          <w:lang w:val="en-US"/>
        </w:rPr>
        <w:t>eport</w:t>
      </w:r>
    </w:p>
    <w:p w:rsidR="007D48BC" w:rsidRPr="009F714F" w:rsidRDefault="007D48BC" w:rsidP="00BC3E8E">
      <w:pPr>
        <w:pBdr>
          <w:top w:val="single" w:sz="4" w:space="1" w:color="auto"/>
          <w:left w:val="single" w:sz="4" w:space="4" w:color="auto"/>
          <w:bottom w:val="single" w:sz="4" w:space="1" w:color="auto"/>
          <w:right w:val="single" w:sz="4" w:space="4" w:color="auto"/>
        </w:pBdr>
        <w:rPr>
          <w:rFonts w:ascii="Arial" w:hAnsi="Arial" w:cs="Arial"/>
          <w:b/>
          <w:bCs/>
          <w:lang w:val="en-US"/>
        </w:rPr>
      </w:pPr>
      <w:r w:rsidRPr="009F714F">
        <w:rPr>
          <w:rFonts w:ascii="Arial" w:hAnsi="Arial" w:cs="Arial"/>
          <w:b/>
          <w:bCs/>
          <w:lang w:val="en-US"/>
        </w:rPr>
        <w:t>ESMO:</w:t>
      </w:r>
      <w:r w:rsidRPr="009F714F">
        <w:rPr>
          <w:lang w:val="en-US"/>
        </w:rPr>
        <w:t xml:space="preserve"> </w:t>
      </w:r>
      <w:r w:rsidRPr="008A48C1">
        <w:rPr>
          <w:rFonts w:ascii="Arial" w:hAnsi="Arial" w:cs="Arial"/>
          <w:i/>
          <w:iCs/>
          <w:lang w:val="en-US"/>
        </w:rPr>
        <w:t xml:space="preserve">European </w:t>
      </w:r>
      <w:r w:rsidR="005951D5">
        <w:rPr>
          <w:rFonts w:ascii="Arial" w:hAnsi="Arial" w:cs="Arial"/>
          <w:i/>
          <w:iCs/>
          <w:lang w:val="en-US"/>
        </w:rPr>
        <w:t>S</w:t>
      </w:r>
      <w:r w:rsidRPr="008A48C1">
        <w:rPr>
          <w:rFonts w:ascii="Arial" w:hAnsi="Arial" w:cs="Arial"/>
          <w:i/>
          <w:iCs/>
          <w:lang w:val="en-US"/>
        </w:rPr>
        <w:t xml:space="preserve">ociety for </w:t>
      </w:r>
      <w:r w:rsidR="005951D5">
        <w:rPr>
          <w:rFonts w:ascii="Arial" w:hAnsi="Arial" w:cs="Arial"/>
          <w:i/>
          <w:iCs/>
          <w:lang w:val="en-US"/>
        </w:rPr>
        <w:t>M</w:t>
      </w:r>
      <w:r w:rsidRPr="008A48C1">
        <w:rPr>
          <w:rFonts w:ascii="Arial" w:hAnsi="Arial" w:cs="Arial"/>
          <w:i/>
          <w:iCs/>
          <w:lang w:val="en-US"/>
        </w:rPr>
        <w:t xml:space="preserve">edical </w:t>
      </w:r>
      <w:r w:rsidR="005951D5">
        <w:rPr>
          <w:rFonts w:ascii="Arial" w:hAnsi="Arial" w:cs="Arial"/>
          <w:i/>
          <w:iCs/>
          <w:lang w:val="en-US"/>
        </w:rPr>
        <w:t>O</w:t>
      </w:r>
      <w:r w:rsidRPr="008A48C1">
        <w:rPr>
          <w:rFonts w:ascii="Arial" w:hAnsi="Arial" w:cs="Arial"/>
          <w:i/>
          <w:iCs/>
          <w:lang w:val="en-US"/>
        </w:rPr>
        <w:t>ncology</w:t>
      </w:r>
    </w:p>
    <w:p w:rsidR="007D48BC" w:rsidRPr="009F714F" w:rsidRDefault="007D48BC" w:rsidP="00BC3E8E">
      <w:pPr>
        <w:pBdr>
          <w:top w:val="single" w:sz="4" w:space="1" w:color="auto"/>
          <w:left w:val="single" w:sz="4" w:space="4" w:color="auto"/>
          <w:bottom w:val="single" w:sz="4" w:space="1" w:color="auto"/>
          <w:right w:val="single" w:sz="4" w:space="4" w:color="auto"/>
        </w:pBdr>
        <w:rPr>
          <w:rFonts w:ascii="Arial" w:hAnsi="Arial" w:cs="Arial"/>
          <w:b/>
          <w:bCs/>
          <w:lang w:val="en-US"/>
        </w:rPr>
      </w:pPr>
      <w:r w:rsidRPr="009F714F">
        <w:rPr>
          <w:rFonts w:ascii="Arial" w:hAnsi="Arial" w:cs="Arial"/>
          <w:b/>
          <w:bCs/>
          <w:lang w:val="en-US"/>
        </w:rPr>
        <w:t>FAS:</w:t>
      </w:r>
      <w:r w:rsidRPr="009F714F">
        <w:rPr>
          <w:rFonts w:ascii="Arial" w:hAnsi="Arial" w:cs="Arial"/>
          <w:lang w:val="en-US"/>
        </w:rPr>
        <w:t xml:space="preserve"> </w:t>
      </w:r>
      <w:r w:rsidRPr="008A48C1">
        <w:rPr>
          <w:rFonts w:ascii="Arial" w:hAnsi="Arial" w:cs="Arial"/>
          <w:i/>
          <w:iCs/>
          <w:lang w:val="en-US"/>
        </w:rPr>
        <w:t>Full analysis set</w:t>
      </w:r>
    </w:p>
    <w:p w:rsidR="007D48BC" w:rsidRPr="009F714F" w:rsidRDefault="007D48BC" w:rsidP="00BC3E8E">
      <w:pPr>
        <w:pBdr>
          <w:top w:val="single" w:sz="4" w:space="1" w:color="auto"/>
          <w:left w:val="single" w:sz="4" w:space="4" w:color="auto"/>
          <w:bottom w:val="single" w:sz="4" w:space="1" w:color="auto"/>
          <w:right w:val="single" w:sz="4" w:space="4" w:color="auto"/>
        </w:pBdr>
        <w:rPr>
          <w:rFonts w:ascii="Arial" w:hAnsi="Arial" w:cs="Arial"/>
          <w:b/>
          <w:bCs/>
          <w:lang w:val="en-US"/>
        </w:rPr>
      </w:pPr>
      <w:r w:rsidRPr="009F714F">
        <w:rPr>
          <w:rFonts w:ascii="Arial" w:hAnsi="Arial" w:cs="Arial"/>
          <w:b/>
          <w:bCs/>
          <w:lang w:val="en-US"/>
        </w:rPr>
        <w:t>FDA:</w:t>
      </w:r>
      <w:r w:rsidRPr="009F714F">
        <w:rPr>
          <w:lang w:val="en-US"/>
        </w:rPr>
        <w:t xml:space="preserve"> </w:t>
      </w:r>
      <w:r w:rsidRPr="008A48C1">
        <w:rPr>
          <w:rFonts w:ascii="Arial" w:hAnsi="Arial" w:cs="Arial"/>
          <w:i/>
          <w:iCs/>
          <w:lang w:val="en-US"/>
        </w:rPr>
        <w:t xml:space="preserve">Food and </w:t>
      </w:r>
      <w:r w:rsidR="005951D5">
        <w:rPr>
          <w:rFonts w:ascii="Arial" w:hAnsi="Arial" w:cs="Arial"/>
          <w:i/>
          <w:iCs/>
          <w:lang w:val="en-US"/>
        </w:rPr>
        <w:t>D</w:t>
      </w:r>
      <w:r w:rsidRPr="008A48C1">
        <w:rPr>
          <w:rFonts w:ascii="Arial" w:hAnsi="Arial" w:cs="Arial"/>
          <w:i/>
          <w:iCs/>
          <w:lang w:val="en-US"/>
        </w:rPr>
        <w:t xml:space="preserve">rug </w:t>
      </w:r>
      <w:r w:rsidR="005951D5">
        <w:rPr>
          <w:rFonts w:ascii="Arial" w:hAnsi="Arial" w:cs="Arial"/>
          <w:i/>
          <w:iCs/>
          <w:lang w:val="en-US"/>
        </w:rPr>
        <w:t>A</w:t>
      </w:r>
      <w:r w:rsidRPr="008A48C1">
        <w:rPr>
          <w:rFonts w:ascii="Arial" w:hAnsi="Arial" w:cs="Arial"/>
          <w:i/>
          <w:iCs/>
          <w:lang w:val="en-US"/>
        </w:rPr>
        <w:t>dministration</w:t>
      </w:r>
    </w:p>
    <w:p w:rsidR="007D48BC" w:rsidRPr="001626D4" w:rsidRDefault="007D48BC" w:rsidP="00BC3E8E">
      <w:pPr>
        <w:pBdr>
          <w:top w:val="single" w:sz="4" w:space="1" w:color="auto"/>
          <w:left w:val="single" w:sz="4" w:space="4" w:color="auto"/>
          <w:bottom w:val="single" w:sz="4" w:space="1" w:color="auto"/>
          <w:right w:val="single" w:sz="4" w:space="4" w:color="auto"/>
        </w:pBdr>
        <w:rPr>
          <w:rFonts w:ascii="Arial" w:hAnsi="Arial" w:cs="Arial"/>
          <w:b/>
          <w:bCs/>
          <w:lang w:val="pt-BR"/>
        </w:rPr>
      </w:pPr>
      <w:r w:rsidRPr="001626D4">
        <w:rPr>
          <w:rFonts w:ascii="Arial" w:hAnsi="Arial" w:cs="Arial"/>
          <w:b/>
          <w:bCs/>
          <w:lang w:val="pt-BR"/>
        </w:rPr>
        <w:t xml:space="preserve">FNT: </w:t>
      </w:r>
      <w:r w:rsidRPr="001626D4">
        <w:rPr>
          <w:rFonts w:ascii="Arial" w:hAnsi="Arial" w:cs="Arial"/>
          <w:lang w:val="pt-BR"/>
        </w:rPr>
        <w:t xml:space="preserve">Factor </w:t>
      </w:r>
      <w:r w:rsidR="005951D5">
        <w:rPr>
          <w:rFonts w:ascii="Arial" w:hAnsi="Arial" w:cs="Arial"/>
          <w:lang w:val="pt-BR"/>
        </w:rPr>
        <w:t xml:space="preserve">de </w:t>
      </w:r>
      <w:r w:rsidRPr="001626D4">
        <w:rPr>
          <w:rFonts w:ascii="Arial" w:hAnsi="Arial" w:cs="Arial"/>
          <w:lang w:val="pt-BR"/>
        </w:rPr>
        <w:t>necrosis tumoral</w:t>
      </w:r>
    </w:p>
    <w:p w:rsidR="007D48BC" w:rsidRPr="001626D4" w:rsidRDefault="007D48BC" w:rsidP="00BC3E8E">
      <w:pPr>
        <w:pBdr>
          <w:top w:val="single" w:sz="4" w:space="1" w:color="auto"/>
          <w:left w:val="single" w:sz="4" w:space="4" w:color="auto"/>
          <w:bottom w:val="single" w:sz="4" w:space="1" w:color="auto"/>
          <w:right w:val="single" w:sz="4" w:space="4" w:color="auto"/>
        </w:pBdr>
        <w:rPr>
          <w:rFonts w:ascii="Arial" w:hAnsi="Arial" w:cs="Arial"/>
          <w:b/>
          <w:bCs/>
          <w:lang w:val="pt-BR"/>
        </w:rPr>
      </w:pPr>
      <w:r w:rsidRPr="001626D4">
        <w:rPr>
          <w:rFonts w:ascii="Arial" w:hAnsi="Arial" w:cs="Arial"/>
          <w:b/>
          <w:bCs/>
          <w:lang w:val="pt-BR"/>
        </w:rPr>
        <w:t xml:space="preserve">FT: </w:t>
      </w:r>
      <w:r w:rsidRPr="001626D4">
        <w:rPr>
          <w:rFonts w:ascii="Arial" w:hAnsi="Arial" w:cs="Arial"/>
          <w:lang w:val="pt-BR"/>
        </w:rPr>
        <w:t>Ficha técnica</w:t>
      </w:r>
    </w:p>
    <w:p w:rsidR="007D48BC" w:rsidRPr="00600383" w:rsidRDefault="007D48BC" w:rsidP="00BC3E8E">
      <w:pPr>
        <w:pBdr>
          <w:top w:val="single" w:sz="4" w:space="1" w:color="auto"/>
          <w:left w:val="single" w:sz="4" w:space="4" w:color="auto"/>
          <w:bottom w:val="single" w:sz="4" w:space="1" w:color="auto"/>
          <w:right w:val="single" w:sz="4" w:space="4" w:color="auto"/>
        </w:pBdr>
        <w:rPr>
          <w:rFonts w:ascii="Arial" w:hAnsi="Arial" w:cs="Arial"/>
          <w:b/>
          <w:bCs/>
        </w:rPr>
      </w:pPr>
      <w:r w:rsidRPr="00600383">
        <w:rPr>
          <w:rFonts w:ascii="Arial" w:hAnsi="Arial" w:cs="Arial"/>
          <w:b/>
          <w:bCs/>
        </w:rPr>
        <w:t xml:space="preserve">GELTAMO: </w:t>
      </w:r>
      <w:r w:rsidRPr="00600383">
        <w:rPr>
          <w:rFonts w:ascii="Arial" w:hAnsi="Arial" w:cs="Arial"/>
        </w:rPr>
        <w:t>Grupo español de linfomas y trasplantes de médula ósea</w:t>
      </w:r>
    </w:p>
    <w:p w:rsidR="007D48BC" w:rsidRPr="00600383" w:rsidRDefault="007D48BC" w:rsidP="00BC3E8E">
      <w:pPr>
        <w:pBdr>
          <w:top w:val="single" w:sz="4" w:space="1" w:color="auto"/>
          <w:left w:val="single" w:sz="4" w:space="4" w:color="auto"/>
          <w:bottom w:val="single" w:sz="4" w:space="1" w:color="auto"/>
          <w:right w:val="single" w:sz="4" w:space="4" w:color="auto"/>
        </w:pBdr>
        <w:rPr>
          <w:rFonts w:ascii="Arial" w:hAnsi="Arial" w:cs="Arial"/>
          <w:b/>
          <w:bCs/>
        </w:rPr>
      </w:pPr>
      <w:r w:rsidRPr="00600383">
        <w:rPr>
          <w:rFonts w:ascii="Arial" w:hAnsi="Arial" w:cs="Arial"/>
          <w:b/>
          <w:bCs/>
        </w:rPr>
        <w:t xml:space="preserve">HDVVC: </w:t>
      </w:r>
      <w:r w:rsidRPr="00600383">
        <w:rPr>
          <w:rFonts w:ascii="Arial" w:hAnsi="Arial" w:cs="Arial"/>
        </w:rPr>
        <w:t>Hemodiálisis veno-venosa continua</w:t>
      </w:r>
    </w:p>
    <w:p w:rsidR="007D48BC" w:rsidRPr="00600383" w:rsidRDefault="007D48BC" w:rsidP="00BC3E8E">
      <w:pPr>
        <w:pBdr>
          <w:top w:val="single" w:sz="4" w:space="1" w:color="auto"/>
          <w:left w:val="single" w:sz="4" w:space="4" w:color="auto"/>
          <w:bottom w:val="single" w:sz="4" w:space="1" w:color="auto"/>
          <w:right w:val="single" w:sz="4" w:space="4" w:color="auto"/>
        </w:pBdr>
        <w:rPr>
          <w:rFonts w:ascii="Arial" w:hAnsi="Arial" w:cs="Arial"/>
          <w:b/>
          <w:bCs/>
        </w:rPr>
      </w:pPr>
      <w:r w:rsidRPr="00600383">
        <w:rPr>
          <w:rFonts w:ascii="Arial" w:hAnsi="Arial" w:cs="Arial"/>
          <w:b/>
          <w:bCs/>
        </w:rPr>
        <w:t xml:space="preserve">IC: </w:t>
      </w:r>
      <w:r w:rsidRPr="00600383">
        <w:rPr>
          <w:rFonts w:ascii="Arial" w:hAnsi="Arial" w:cs="Arial"/>
        </w:rPr>
        <w:t>Intervalo de confianza</w:t>
      </w:r>
    </w:p>
    <w:p w:rsidR="007D48BC" w:rsidRPr="003D2521" w:rsidRDefault="007D48BC" w:rsidP="00BC3E8E">
      <w:pPr>
        <w:pBdr>
          <w:top w:val="single" w:sz="4" w:space="1" w:color="auto"/>
          <w:left w:val="single" w:sz="4" w:space="4" w:color="auto"/>
          <w:bottom w:val="single" w:sz="4" w:space="1" w:color="auto"/>
          <w:right w:val="single" w:sz="4" w:space="4" w:color="auto"/>
        </w:pBdr>
        <w:rPr>
          <w:rFonts w:ascii="Arial" w:hAnsi="Arial" w:cs="Arial"/>
          <w:b/>
          <w:bCs/>
          <w:lang w:val="en-GB"/>
        </w:rPr>
      </w:pPr>
      <w:r w:rsidRPr="003D2521">
        <w:rPr>
          <w:rFonts w:ascii="Arial" w:hAnsi="Arial" w:cs="Arial"/>
          <w:b/>
          <w:bCs/>
          <w:lang w:val="en-GB"/>
        </w:rPr>
        <w:t>ICER:</w:t>
      </w:r>
      <w:r w:rsidRPr="003D2521">
        <w:rPr>
          <w:rFonts w:ascii="Arial" w:hAnsi="Arial" w:cs="Arial"/>
          <w:lang w:val="en-GB"/>
        </w:rPr>
        <w:t xml:space="preserve"> </w:t>
      </w:r>
      <w:r w:rsidRPr="003D2521">
        <w:rPr>
          <w:rFonts w:ascii="Arial" w:hAnsi="Arial" w:cs="Arial"/>
          <w:i/>
          <w:iCs/>
          <w:lang w:val="en-GB"/>
        </w:rPr>
        <w:t>Institute for clinical and economic review</w:t>
      </w:r>
    </w:p>
    <w:p w:rsidR="007D48BC" w:rsidRPr="00600383" w:rsidRDefault="007D48BC" w:rsidP="00BC3E8E">
      <w:pPr>
        <w:pBdr>
          <w:top w:val="single" w:sz="4" w:space="1" w:color="auto"/>
          <w:left w:val="single" w:sz="4" w:space="4" w:color="auto"/>
          <w:bottom w:val="single" w:sz="4" w:space="1" w:color="auto"/>
          <w:right w:val="single" w:sz="4" w:space="4" w:color="auto"/>
        </w:pBdr>
        <w:rPr>
          <w:rFonts w:ascii="Arial" w:hAnsi="Arial" w:cs="Arial"/>
          <w:b/>
          <w:bCs/>
        </w:rPr>
      </w:pPr>
      <w:r w:rsidRPr="00600383">
        <w:rPr>
          <w:rFonts w:ascii="Arial" w:hAnsi="Arial" w:cs="Arial"/>
          <w:b/>
          <w:bCs/>
        </w:rPr>
        <w:t xml:space="preserve">IL-6: </w:t>
      </w:r>
      <w:r w:rsidRPr="00600383">
        <w:rPr>
          <w:rFonts w:ascii="Arial" w:hAnsi="Arial" w:cs="Arial"/>
        </w:rPr>
        <w:t>Interleucina 6</w:t>
      </w:r>
    </w:p>
    <w:p w:rsidR="007D48BC" w:rsidRPr="00600383" w:rsidRDefault="007D48BC" w:rsidP="00BC3E8E">
      <w:pPr>
        <w:pBdr>
          <w:top w:val="single" w:sz="4" w:space="1" w:color="auto"/>
          <w:left w:val="single" w:sz="4" w:space="4" w:color="auto"/>
          <w:bottom w:val="single" w:sz="4" w:space="1" w:color="auto"/>
          <w:right w:val="single" w:sz="4" w:space="4" w:color="auto"/>
        </w:pBdr>
        <w:rPr>
          <w:rFonts w:ascii="Arial" w:hAnsi="Arial" w:cs="Arial"/>
          <w:b/>
          <w:bCs/>
        </w:rPr>
      </w:pPr>
      <w:r w:rsidRPr="00600383">
        <w:rPr>
          <w:rFonts w:ascii="Arial" w:hAnsi="Arial" w:cs="Arial"/>
          <w:b/>
          <w:bCs/>
        </w:rPr>
        <w:t xml:space="preserve">ITT: </w:t>
      </w:r>
      <w:r w:rsidRPr="00600383">
        <w:rPr>
          <w:rFonts w:ascii="Arial" w:hAnsi="Arial" w:cs="Arial"/>
        </w:rPr>
        <w:t>Intención de tratar</w:t>
      </w:r>
    </w:p>
    <w:p w:rsidR="007D48BC" w:rsidRPr="00AC7E13" w:rsidRDefault="007D48BC" w:rsidP="00BC3E8E">
      <w:pPr>
        <w:pBdr>
          <w:top w:val="single" w:sz="4" w:space="1" w:color="auto"/>
          <w:left w:val="single" w:sz="4" w:space="4" w:color="auto"/>
          <w:bottom w:val="single" w:sz="4" w:space="1" w:color="auto"/>
          <w:right w:val="single" w:sz="4" w:space="4" w:color="auto"/>
        </w:pBdr>
        <w:rPr>
          <w:rFonts w:ascii="Arial" w:hAnsi="Arial" w:cs="Arial"/>
          <w:b/>
          <w:bCs/>
          <w:lang w:val="en-US"/>
        </w:rPr>
      </w:pPr>
      <w:r w:rsidRPr="00AC7E13">
        <w:rPr>
          <w:rFonts w:ascii="Arial" w:hAnsi="Arial" w:cs="Arial"/>
          <w:b/>
          <w:bCs/>
          <w:lang w:val="en-US"/>
        </w:rPr>
        <w:t xml:space="preserve">IV: </w:t>
      </w:r>
      <w:r w:rsidRPr="00AC7E13">
        <w:rPr>
          <w:rFonts w:ascii="Arial" w:hAnsi="Arial" w:cs="Arial"/>
          <w:lang w:val="en-US"/>
        </w:rPr>
        <w:t>Intravenoso</w:t>
      </w:r>
    </w:p>
    <w:p w:rsidR="007D48BC" w:rsidRPr="00AC7E13" w:rsidRDefault="007D48BC" w:rsidP="00BC3E8E">
      <w:pPr>
        <w:pBdr>
          <w:top w:val="single" w:sz="4" w:space="1" w:color="auto"/>
          <w:left w:val="single" w:sz="4" w:space="4" w:color="auto"/>
          <w:bottom w:val="single" w:sz="4" w:space="1" w:color="auto"/>
          <w:right w:val="single" w:sz="4" w:space="4" w:color="auto"/>
        </w:pBdr>
        <w:rPr>
          <w:rFonts w:ascii="Arial" w:hAnsi="Arial" w:cs="Arial"/>
          <w:b/>
          <w:bCs/>
          <w:lang w:val="en-US"/>
        </w:rPr>
      </w:pPr>
      <w:r w:rsidRPr="00AC7E13">
        <w:rPr>
          <w:rFonts w:ascii="Arial" w:hAnsi="Arial" w:cs="Arial"/>
          <w:b/>
          <w:bCs/>
          <w:lang w:val="en-US"/>
        </w:rPr>
        <w:t xml:space="preserve">IWG: </w:t>
      </w:r>
      <w:r w:rsidRPr="008A48C1">
        <w:rPr>
          <w:rFonts w:ascii="Arial" w:hAnsi="Arial" w:cs="Arial"/>
          <w:i/>
          <w:iCs/>
          <w:lang w:val="en-US"/>
        </w:rPr>
        <w:t>International working group</w:t>
      </w:r>
    </w:p>
    <w:p w:rsidR="007D48BC" w:rsidRPr="006D19F1" w:rsidRDefault="007D48BC" w:rsidP="00BC3E8E">
      <w:pPr>
        <w:pBdr>
          <w:top w:val="single" w:sz="4" w:space="1" w:color="auto"/>
          <w:left w:val="single" w:sz="4" w:space="4" w:color="auto"/>
          <w:bottom w:val="single" w:sz="4" w:space="1" w:color="auto"/>
          <w:right w:val="single" w:sz="4" w:space="4" w:color="auto"/>
        </w:pBdr>
        <w:rPr>
          <w:rFonts w:ascii="Arial" w:hAnsi="Arial" w:cs="Arial"/>
          <w:b/>
          <w:bCs/>
          <w:lang w:val="pt-BR"/>
        </w:rPr>
      </w:pPr>
      <w:r w:rsidRPr="006D19F1">
        <w:rPr>
          <w:rFonts w:ascii="Arial" w:hAnsi="Arial" w:cs="Arial"/>
          <w:b/>
          <w:bCs/>
          <w:lang w:val="pt-BR"/>
        </w:rPr>
        <w:t xml:space="preserve">LBPM: </w:t>
      </w:r>
      <w:r w:rsidRPr="006D19F1">
        <w:rPr>
          <w:rFonts w:ascii="Arial" w:hAnsi="Arial" w:cs="Arial"/>
          <w:lang w:val="pt-BR"/>
        </w:rPr>
        <w:t>L</w:t>
      </w:r>
      <w:r w:rsidR="005951D5">
        <w:rPr>
          <w:rFonts w:ascii="Arial" w:hAnsi="Arial" w:cs="Arial"/>
          <w:lang w:val="pt-BR"/>
        </w:rPr>
        <w:t>DB</w:t>
      </w:r>
      <w:r w:rsidRPr="006D19F1">
        <w:rPr>
          <w:rFonts w:ascii="Arial" w:hAnsi="Arial" w:cs="Arial"/>
          <w:lang w:val="pt-BR"/>
        </w:rPr>
        <w:t>CG primario de mediastino</w:t>
      </w:r>
    </w:p>
    <w:p w:rsidR="007D48BC" w:rsidRPr="006D19F1" w:rsidRDefault="007D48BC" w:rsidP="00BC3E8E">
      <w:pPr>
        <w:pBdr>
          <w:top w:val="single" w:sz="4" w:space="1" w:color="auto"/>
          <w:left w:val="single" w:sz="4" w:space="4" w:color="auto"/>
          <w:bottom w:val="single" w:sz="4" w:space="1" w:color="auto"/>
          <w:right w:val="single" w:sz="4" w:space="4" w:color="auto"/>
        </w:pBdr>
        <w:rPr>
          <w:rFonts w:ascii="Arial" w:hAnsi="Arial" w:cs="Arial"/>
          <w:lang w:val="pt-BR"/>
        </w:rPr>
      </w:pPr>
      <w:r w:rsidRPr="006D19F1">
        <w:rPr>
          <w:rFonts w:ascii="Arial" w:hAnsi="Arial" w:cs="Arial"/>
          <w:b/>
          <w:bCs/>
          <w:lang w:val="pt-BR"/>
        </w:rPr>
        <w:t xml:space="preserve">LDCBG: </w:t>
      </w:r>
      <w:r w:rsidRPr="006D19F1">
        <w:rPr>
          <w:rFonts w:ascii="Arial" w:hAnsi="Arial" w:cs="Arial"/>
          <w:lang w:val="pt-BR"/>
        </w:rPr>
        <w:t>Linfoma difuso de células grandes</w:t>
      </w:r>
      <w:r w:rsidR="005951D5">
        <w:rPr>
          <w:rFonts w:ascii="Arial" w:hAnsi="Arial" w:cs="Arial"/>
          <w:lang w:val="pt-BR"/>
        </w:rPr>
        <w:t xml:space="preserve"> B</w:t>
      </w:r>
    </w:p>
    <w:p w:rsidR="007D48BC" w:rsidRPr="006D19F1" w:rsidRDefault="007D48BC" w:rsidP="00BC3E8E">
      <w:pPr>
        <w:pBdr>
          <w:top w:val="single" w:sz="4" w:space="1" w:color="auto"/>
          <w:left w:val="single" w:sz="4" w:space="4" w:color="auto"/>
          <w:bottom w:val="single" w:sz="4" w:space="1" w:color="auto"/>
          <w:right w:val="single" w:sz="4" w:space="4" w:color="auto"/>
        </w:pBdr>
        <w:rPr>
          <w:rFonts w:ascii="Arial" w:hAnsi="Arial" w:cs="Arial"/>
          <w:lang w:val="pt-BR"/>
        </w:rPr>
      </w:pPr>
      <w:r w:rsidRPr="006D19F1">
        <w:rPr>
          <w:rFonts w:ascii="Arial" w:hAnsi="Arial" w:cs="Arial"/>
          <w:b/>
          <w:bCs/>
          <w:lang w:val="pt-BR"/>
        </w:rPr>
        <w:t>LLA</w:t>
      </w:r>
      <w:r w:rsidRPr="006D19F1">
        <w:rPr>
          <w:rFonts w:ascii="Arial" w:hAnsi="Arial" w:cs="Arial"/>
          <w:lang w:val="pt-BR"/>
        </w:rPr>
        <w:t>: Leucemia linfoide aguda</w:t>
      </w:r>
    </w:p>
    <w:p w:rsidR="007D48BC" w:rsidRPr="006D19F1" w:rsidRDefault="007D48BC" w:rsidP="00BC3E8E">
      <w:pPr>
        <w:pBdr>
          <w:top w:val="single" w:sz="4" w:space="1" w:color="auto"/>
          <w:left w:val="single" w:sz="4" w:space="4" w:color="auto"/>
          <w:bottom w:val="single" w:sz="4" w:space="1" w:color="auto"/>
          <w:right w:val="single" w:sz="4" w:space="4" w:color="auto"/>
        </w:pBdr>
        <w:rPr>
          <w:rFonts w:ascii="Arial" w:hAnsi="Arial" w:cs="Arial"/>
          <w:lang w:val="pt-BR"/>
        </w:rPr>
      </w:pPr>
      <w:r w:rsidRPr="006D19F1">
        <w:rPr>
          <w:rFonts w:ascii="Arial" w:hAnsi="Arial" w:cs="Arial"/>
          <w:b/>
          <w:bCs/>
          <w:lang w:val="pt-BR"/>
        </w:rPr>
        <w:t>LLC</w:t>
      </w:r>
      <w:r w:rsidRPr="006D19F1">
        <w:rPr>
          <w:rFonts w:ascii="Arial" w:hAnsi="Arial" w:cs="Arial"/>
          <w:lang w:val="pt-BR"/>
        </w:rPr>
        <w:t>: Leucemia linfocítica crónica</w:t>
      </w:r>
    </w:p>
    <w:p w:rsidR="007D48BC" w:rsidRPr="006D19F1" w:rsidRDefault="007D48BC" w:rsidP="00BC3E8E">
      <w:pPr>
        <w:pBdr>
          <w:top w:val="single" w:sz="4" w:space="1" w:color="auto"/>
          <w:left w:val="single" w:sz="4" w:space="4" w:color="auto"/>
          <w:bottom w:val="single" w:sz="4" w:space="1" w:color="auto"/>
          <w:right w:val="single" w:sz="4" w:space="4" w:color="auto"/>
        </w:pBdr>
        <w:rPr>
          <w:rFonts w:ascii="Arial" w:hAnsi="Arial" w:cs="Arial"/>
          <w:lang w:val="pt-BR"/>
        </w:rPr>
      </w:pPr>
      <w:r w:rsidRPr="006D19F1">
        <w:rPr>
          <w:rFonts w:ascii="Arial" w:hAnsi="Arial" w:cs="Arial"/>
          <w:b/>
          <w:bCs/>
          <w:lang w:val="pt-BR"/>
        </w:rPr>
        <w:t>LNH:</w:t>
      </w:r>
      <w:r w:rsidR="005951D5">
        <w:rPr>
          <w:rFonts w:ascii="Arial" w:hAnsi="Arial" w:cs="Arial"/>
          <w:lang w:val="pt-BR"/>
        </w:rPr>
        <w:t xml:space="preserve"> Linfoma no Hodgkin</w:t>
      </w:r>
      <w:r w:rsidRPr="006D19F1">
        <w:rPr>
          <w:rFonts w:ascii="Arial" w:hAnsi="Arial" w:cs="Arial"/>
          <w:lang w:val="pt-BR"/>
        </w:rPr>
        <w:t>.</w:t>
      </w:r>
    </w:p>
    <w:p w:rsidR="007D48BC" w:rsidRPr="006D19F1" w:rsidRDefault="007D48BC" w:rsidP="00BC3E8E">
      <w:pPr>
        <w:pBdr>
          <w:top w:val="single" w:sz="4" w:space="1" w:color="auto"/>
          <w:left w:val="single" w:sz="4" w:space="4" w:color="auto"/>
          <w:bottom w:val="single" w:sz="4" w:space="1" w:color="auto"/>
          <w:right w:val="single" w:sz="4" w:space="4" w:color="auto"/>
        </w:pBdr>
        <w:rPr>
          <w:rFonts w:ascii="Arial" w:hAnsi="Arial" w:cs="Arial"/>
          <w:b/>
          <w:bCs/>
          <w:lang w:val="pt-BR"/>
        </w:rPr>
      </w:pPr>
      <w:r w:rsidRPr="006D19F1">
        <w:rPr>
          <w:rFonts w:ascii="Arial" w:hAnsi="Arial" w:cs="Arial"/>
          <w:b/>
          <w:bCs/>
          <w:lang w:val="pt-BR"/>
        </w:rPr>
        <w:t xml:space="preserve">mITT: </w:t>
      </w:r>
      <w:r w:rsidRPr="006D19F1">
        <w:rPr>
          <w:rFonts w:ascii="Arial" w:hAnsi="Arial" w:cs="Arial"/>
          <w:lang w:val="pt-BR"/>
        </w:rPr>
        <w:t>Intención de tratar modificado</w:t>
      </w:r>
    </w:p>
    <w:p w:rsidR="007D48BC" w:rsidRPr="006D19F1" w:rsidRDefault="007D48BC" w:rsidP="00BC3E8E">
      <w:pPr>
        <w:pBdr>
          <w:top w:val="single" w:sz="4" w:space="1" w:color="auto"/>
          <w:left w:val="single" w:sz="4" w:space="4" w:color="auto"/>
          <w:bottom w:val="single" w:sz="4" w:space="1" w:color="auto"/>
          <w:right w:val="single" w:sz="4" w:space="4" w:color="auto"/>
        </w:pBdr>
        <w:rPr>
          <w:rFonts w:ascii="Arial" w:hAnsi="Arial" w:cs="Arial"/>
          <w:b/>
          <w:bCs/>
          <w:lang w:val="pt-BR"/>
        </w:rPr>
      </w:pPr>
      <w:r w:rsidRPr="006D19F1">
        <w:rPr>
          <w:rFonts w:ascii="Arial" w:hAnsi="Arial" w:cs="Arial"/>
          <w:b/>
          <w:bCs/>
          <w:lang w:val="pt-BR"/>
        </w:rPr>
        <w:t>N.A.:</w:t>
      </w:r>
      <w:r w:rsidRPr="006D19F1">
        <w:rPr>
          <w:rFonts w:ascii="Arial" w:hAnsi="Arial" w:cs="Arial"/>
          <w:lang w:val="pt-BR"/>
        </w:rPr>
        <w:t xml:space="preserve"> Not available (no disponible)</w:t>
      </w:r>
    </w:p>
    <w:p w:rsidR="007D48BC" w:rsidRPr="006D19F1" w:rsidRDefault="007D48BC" w:rsidP="00BC3E8E">
      <w:pPr>
        <w:pBdr>
          <w:top w:val="single" w:sz="4" w:space="1" w:color="auto"/>
          <w:left w:val="single" w:sz="4" w:space="4" w:color="auto"/>
          <w:bottom w:val="single" w:sz="4" w:space="1" w:color="auto"/>
          <w:right w:val="single" w:sz="4" w:space="4" w:color="auto"/>
        </w:pBdr>
        <w:rPr>
          <w:rFonts w:ascii="Arial" w:hAnsi="Arial" w:cs="Arial"/>
          <w:b/>
          <w:bCs/>
          <w:lang w:val="pt-BR"/>
        </w:rPr>
      </w:pPr>
      <w:r w:rsidRPr="006D19F1">
        <w:rPr>
          <w:rFonts w:ascii="Arial" w:hAnsi="Arial" w:cs="Arial"/>
          <w:b/>
          <w:bCs/>
          <w:lang w:val="pt-BR"/>
        </w:rPr>
        <w:t xml:space="preserve">NCCN: </w:t>
      </w:r>
      <w:r w:rsidR="005951D5">
        <w:rPr>
          <w:rFonts w:ascii="Arial" w:hAnsi="Arial" w:cs="Arial"/>
          <w:i/>
          <w:iCs/>
          <w:lang w:val="pt-BR"/>
        </w:rPr>
        <w:t>National C</w:t>
      </w:r>
      <w:r w:rsidRPr="006D19F1">
        <w:rPr>
          <w:rFonts w:ascii="Arial" w:hAnsi="Arial" w:cs="Arial"/>
          <w:i/>
          <w:iCs/>
          <w:lang w:val="pt-BR"/>
        </w:rPr>
        <w:t xml:space="preserve">omprehensive </w:t>
      </w:r>
      <w:r w:rsidR="005951D5">
        <w:rPr>
          <w:rFonts w:ascii="Arial" w:hAnsi="Arial" w:cs="Arial"/>
          <w:i/>
          <w:iCs/>
          <w:lang w:val="pt-BR"/>
        </w:rPr>
        <w:t>C</w:t>
      </w:r>
      <w:r w:rsidRPr="006D19F1">
        <w:rPr>
          <w:rFonts w:ascii="Arial" w:hAnsi="Arial" w:cs="Arial"/>
          <w:i/>
          <w:iCs/>
          <w:lang w:val="pt-BR"/>
        </w:rPr>
        <w:t xml:space="preserve">ancer </w:t>
      </w:r>
      <w:r w:rsidR="005951D5">
        <w:rPr>
          <w:rFonts w:ascii="Arial" w:hAnsi="Arial" w:cs="Arial"/>
          <w:i/>
          <w:iCs/>
          <w:lang w:val="pt-BR"/>
        </w:rPr>
        <w:t>N</w:t>
      </w:r>
      <w:r w:rsidRPr="006D19F1">
        <w:rPr>
          <w:rFonts w:ascii="Arial" w:hAnsi="Arial" w:cs="Arial"/>
          <w:i/>
          <w:iCs/>
          <w:lang w:val="pt-BR"/>
        </w:rPr>
        <w:t>etwork</w:t>
      </w:r>
    </w:p>
    <w:p w:rsidR="007D48BC" w:rsidRPr="006D19F1" w:rsidRDefault="007D48BC" w:rsidP="00BC3E8E">
      <w:pPr>
        <w:pBdr>
          <w:top w:val="single" w:sz="4" w:space="1" w:color="auto"/>
          <w:left w:val="single" w:sz="4" w:space="4" w:color="auto"/>
          <w:bottom w:val="single" w:sz="4" w:space="1" w:color="auto"/>
          <w:right w:val="single" w:sz="4" w:space="4" w:color="auto"/>
        </w:pBdr>
        <w:rPr>
          <w:rFonts w:ascii="Arial" w:hAnsi="Arial" w:cs="Arial"/>
          <w:lang w:val="pt-BR"/>
        </w:rPr>
      </w:pPr>
      <w:r w:rsidRPr="006D19F1">
        <w:rPr>
          <w:rFonts w:ascii="Arial" w:hAnsi="Arial" w:cs="Arial"/>
          <w:b/>
          <w:bCs/>
          <w:lang w:val="pt-BR"/>
        </w:rPr>
        <w:t>QT:</w:t>
      </w:r>
      <w:r w:rsidRPr="006D19F1">
        <w:rPr>
          <w:rFonts w:ascii="Arial" w:hAnsi="Arial" w:cs="Arial"/>
          <w:lang w:val="pt-BR"/>
        </w:rPr>
        <w:t xml:space="preserve"> Quimioterapia</w:t>
      </w:r>
    </w:p>
    <w:p w:rsidR="007D48BC" w:rsidRPr="006D19F1" w:rsidRDefault="007D48BC" w:rsidP="00BC3E8E">
      <w:pPr>
        <w:pBdr>
          <w:top w:val="single" w:sz="4" w:space="1" w:color="auto"/>
          <w:left w:val="single" w:sz="4" w:space="4" w:color="auto"/>
          <w:bottom w:val="single" w:sz="4" w:space="1" w:color="auto"/>
          <w:right w:val="single" w:sz="4" w:space="4" w:color="auto"/>
        </w:pBdr>
        <w:rPr>
          <w:rFonts w:ascii="Arial" w:hAnsi="Arial" w:cs="Arial"/>
          <w:b/>
          <w:bCs/>
          <w:lang w:val="pt-BR"/>
        </w:rPr>
      </w:pPr>
      <w:r w:rsidRPr="006D19F1">
        <w:rPr>
          <w:rFonts w:ascii="Arial" w:hAnsi="Arial" w:cs="Arial"/>
          <w:b/>
          <w:bCs/>
          <w:lang w:val="pt-BR"/>
        </w:rPr>
        <w:t xml:space="preserve">RC: </w:t>
      </w:r>
      <w:r w:rsidRPr="006D19F1">
        <w:rPr>
          <w:rFonts w:ascii="Arial" w:hAnsi="Arial" w:cs="Arial"/>
          <w:lang w:val="pt-BR"/>
        </w:rPr>
        <w:t>Respuesta completa</w:t>
      </w:r>
    </w:p>
    <w:p w:rsidR="007D48BC" w:rsidRPr="006D19F1" w:rsidRDefault="007D48BC" w:rsidP="00D52F63">
      <w:pPr>
        <w:pBdr>
          <w:top w:val="single" w:sz="4" w:space="1" w:color="auto"/>
          <w:left w:val="single" w:sz="4" w:space="4" w:color="auto"/>
          <w:bottom w:val="single" w:sz="4" w:space="1" w:color="auto"/>
          <w:right w:val="single" w:sz="4" w:space="4" w:color="auto"/>
        </w:pBdr>
        <w:rPr>
          <w:rFonts w:ascii="Arial" w:hAnsi="Arial" w:cs="Arial"/>
          <w:b/>
          <w:bCs/>
          <w:lang w:val="pt-BR"/>
        </w:rPr>
      </w:pPr>
      <w:r w:rsidRPr="006D19F1">
        <w:rPr>
          <w:rFonts w:ascii="Arial" w:hAnsi="Arial" w:cs="Arial"/>
          <w:b/>
          <w:bCs/>
          <w:lang w:val="pt-BR"/>
        </w:rPr>
        <w:t xml:space="preserve">R-CEPP: </w:t>
      </w:r>
      <w:r w:rsidR="005951D5">
        <w:rPr>
          <w:rFonts w:ascii="Arial" w:hAnsi="Arial" w:cs="Arial"/>
          <w:lang w:val="pt-BR"/>
        </w:rPr>
        <w:t>Rituximab ± (c</w:t>
      </w:r>
      <w:r w:rsidRPr="006D19F1">
        <w:rPr>
          <w:rFonts w:ascii="Arial" w:hAnsi="Arial" w:cs="Arial"/>
          <w:lang w:val="pt-BR"/>
        </w:rPr>
        <w:t>iclofosfamida, etopósido, prednisona, procarbazina)</w:t>
      </w:r>
    </w:p>
    <w:p w:rsidR="007D48BC" w:rsidRPr="006D19F1" w:rsidRDefault="007D48BC" w:rsidP="00D52F63">
      <w:pPr>
        <w:pBdr>
          <w:top w:val="single" w:sz="4" w:space="1" w:color="auto"/>
          <w:left w:val="single" w:sz="4" w:space="4" w:color="auto"/>
          <w:bottom w:val="single" w:sz="4" w:space="1" w:color="auto"/>
          <w:right w:val="single" w:sz="4" w:space="4" w:color="auto"/>
        </w:pBdr>
        <w:rPr>
          <w:rFonts w:ascii="Arial" w:hAnsi="Arial" w:cs="Arial"/>
          <w:b/>
          <w:bCs/>
          <w:lang w:val="pt-BR"/>
        </w:rPr>
      </w:pPr>
      <w:r w:rsidRPr="006D19F1">
        <w:rPr>
          <w:rFonts w:ascii="Arial" w:hAnsi="Arial" w:cs="Arial"/>
          <w:b/>
          <w:bCs/>
          <w:lang w:val="pt-BR"/>
        </w:rPr>
        <w:t xml:space="preserve">R-CEOP: </w:t>
      </w:r>
      <w:r w:rsidR="005951D5">
        <w:rPr>
          <w:rFonts w:ascii="Arial" w:hAnsi="Arial" w:cs="Arial"/>
          <w:lang w:val="pt-BR"/>
        </w:rPr>
        <w:t>Rituximab ± (c</w:t>
      </w:r>
      <w:r w:rsidRPr="006D19F1">
        <w:rPr>
          <w:rFonts w:ascii="Arial" w:hAnsi="Arial" w:cs="Arial"/>
          <w:lang w:val="pt-BR"/>
        </w:rPr>
        <w:t>iclofosfamida, etopósido, prednisona, vincristina)</w:t>
      </w:r>
    </w:p>
    <w:p w:rsidR="007D48BC" w:rsidRPr="009F714F" w:rsidRDefault="007D48BC" w:rsidP="00166602">
      <w:pPr>
        <w:pBdr>
          <w:top w:val="single" w:sz="4" w:space="1" w:color="auto"/>
          <w:left w:val="single" w:sz="4" w:space="4" w:color="auto"/>
          <w:bottom w:val="single" w:sz="4" w:space="1" w:color="auto"/>
          <w:right w:val="single" w:sz="4" w:space="4" w:color="auto"/>
        </w:pBdr>
        <w:rPr>
          <w:rFonts w:ascii="Arial" w:hAnsi="Arial" w:cs="Arial"/>
          <w:lang w:val="pt-BR"/>
        </w:rPr>
      </w:pPr>
      <w:r w:rsidRPr="009F714F">
        <w:rPr>
          <w:rFonts w:ascii="Arial" w:hAnsi="Arial" w:cs="Arial"/>
          <w:b/>
          <w:bCs/>
          <w:lang w:val="pt-BR"/>
        </w:rPr>
        <w:t xml:space="preserve">R-CHOP: </w:t>
      </w:r>
      <w:r w:rsidRPr="00670283">
        <w:rPr>
          <w:rFonts w:ascii="Arial" w:hAnsi="Arial" w:cs="Arial"/>
          <w:lang w:val="pt-BR"/>
        </w:rPr>
        <w:t>R</w:t>
      </w:r>
      <w:r>
        <w:rPr>
          <w:rFonts w:ascii="Arial" w:hAnsi="Arial" w:cs="Arial"/>
          <w:lang w:val="pt-BR"/>
        </w:rPr>
        <w:t>ituximab</w:t>
      </w:r>
      <w:r w:rsidRPr="009F714F">
        <w:rPr>
          <w:rFonts w:ascii="Arial" w:hAnsi="Arial" w:cs="Arial"/>
          <w:lang w:val="pt-BR"/>
        </w:rPr>
        <w:t xml:space="preserve"> ± (ciclofosfamida, doxorrubicina, vincristina, prednisona)</w:t>
      </w:r>
    </w:p>
    <w:p w:rsidR="007D48BC" w:rsidRPr="008A48C1" w:rsidRDefault="007D48BC" w:rsidP="00166602">
      <w:pPr>
        <w:pBdr>
          <w:top w:val="single" w:sz="4" w:space="1" w:color="auto"/>
          <w:left w:val="single" w:sz="4" w:space="4" w:color="auto"/>
          <w:bottom w:val="single" w:sz="4" w:space="1" w:color="auto"/>
          <w:right w:val="single" w:sz="4" w:space="4" w:color="auto"/>
        </w:pBdr>
        <w:rPr>
          <w:rFonts w:ascii="Arial" w:hAnsi="Arial" w:cs="Arial"/>
          <w:b/>
          <w:bCs/>
          <w:i/>
          <w:iCs/>
          <w:lang w:val="pt-BR"/>
        </w:rPr>
      </w:pPr>
      <w:r w:rsidRPr="009F714F">
        <w:rPr>
          <w:rFonts w:ascii="Arial" w:hAnsi="Arial" w:cs="Arial"/>
          <w:b/>
          <w:bCs/>
          <w:lang w:val="pt-BR"/>
        </w:rPr>
        <w:t xml:space="preserve">RCR: </w:t>
      </w:r>
      <w:r w:rsidRPr="008A48C1">
        <w:rPr>
          <w:rFonts w:ascii="Arial" w:hAnsi="Arial" w:cs="Arial"/>
          <w:i/>
          <w:iCs/>
          <w:lang w:val="pt-BR"/>
        </w:rPr>
        <w:t>Rep</w:t>
      </w:r>
      <w:r>
        <w:rPr>
          <w:rFonts w:ascii="Arial" w:hAnsi="Arial" w:cs="Arial"/>
          <w:i/>
          <w:iCs/>
          <w:lang w:val="pt-BR"/>
        </w:rPr>
        <w:t>l</w:t>
      </w:r>
      <w:r w:rsidRPr="008A48C1">
        <w:rPr>
          <w:rFonts w:ascii="Arial" w:hAnsi="Arial" w:cs="Arial"/>
          <w:i/>
          <w:iCs/>
          <w:lang w:val="pt-BR"/>
        </w:rPr>
        <w:t>ication competent retrovirus</w:t>
      </w:r>
    </w:p>
    <w:p w:rsidR="007D48BC" w:rsidRPr="009F714F" w:rsidRDefault="007D48BC" w:rsidP="00166602">
      <w:pPr>
        <w:pBdr>
          <w:top w:val="single" w:sz="4" w:space="1" w:color="auto"/>
          <w:left w:val="single" w:sz="4" w:space="4" w:color="auto"/>
          <w:bottom w:val="single" w:sz="4" w:space="1" w:color="auto"/>
          <w:right w:val="single" w:sz="4" w:space="4" w:color="auto"/>
        </w:pBdr>
        <w:rPr>
          <w:rFonts w:ascii="Arial" w:hAnsi="Arial" w:cs="Arial"/>
          <w:b/>
          <w:bCs/>
          <w:lang w:val="pt-BR"/>
        </w:rPr>
      </w:pPr>
      <w:r w:rsidRPr="009F714F">
        <w:rPr>
          <w:rFonts w:ascii="Arial" w:hAnsi="Arial" w:cs="Arial"/>
          <w:b/>
          <w:bCs/>
          <w:lang w:val="pt-BR"/>
        </w:rPr>
        <w:t>R-DA-EPOCH</w:t>
      </w:r>
      <w:r w:rsidRPr="009F714F">
        <w:rPr>
          <w:rFonts w:ascii="Arial" w:hAnsi="Arial" w:cs="Arial"/>
          <w:b/>
          <w:bCs/>
          <w:lang w:val="pt-BR"/>
        </w:rPr>
        <w:tab/>
      </w:r>
      <w:r w:rsidRPr="009F714F">
        <w:rPr>
          <w:rFonts w:ascii="Arial" w:hAnsi="Arial" w:cs="Arial"/>
          <w:lang w:val="pt-BR"/>
        </w:rPr>
        <w:t>Rituximab ± (</w:t>
      </w:r>
      <w:r w:rsidR="00480033">
        <w:rPr>
          <w:rFonts w:ascii="Arial" w:hAnsi="Arial" w:cs="Arial"/>
          <w:lang w:val="pt-BR"/>
        </w:rPr>
        <w:t>e</w:t>
      </w:r>
      <w:r w:rsidRPr="009F714F">
        <w:rPr>
          <w:rFonts w:ascii="Arial" w:hAnsi="Arial" w:cs="Arial"/>
          <w:lang w:val="pt-BR"/>
        </w:rPr>
        <w:t>toposido, prednisona, vincristina, ciclofosfamida, doxorrubicina)</w:t>
      </w:r>
    </w:p>
    <w:p w:rsidR="007D48BC" w:rsidRPr="009F714F" w:rsidRDefault="007D48BC" w:rsidP="00D52F63">
      <w:pPr>
        <w:pBdr>
          <w:top w:val="single" w:sz="4" w:space="1" w:color="auto"/>
          <w:left w:val="single" w:sz="4" w:space="4" w:color="auto"/>
          <w:bottom w:val="single" w:sz="4" w:space="1" w:color="auto"/>
          <w:right w:val="single" w:sz="4" w:space="4" w:color="auto"/>
        </w:pBdr>
        <w:rPr>
          <w:rFonts w:ascii="Arial" w:hAnsi="Arial" w:cs="Arial"/>
          <w:b/>
          <w:bCs/>
          <w:lang w:val="pt-BR"/>
        </w:rPr>
      </w:pPr>
      <w:r w:rsidRPr="009F714F">
        <w:rPr>
          <w:rFonts w:ascii="Arial" w:hAnsi="Arial" w:cs="Arial"/>
          <w:b/>
          <w:bCs/>
          <w:lang w:val="pt-BR"/>
        </w:rPr>
        <w:t xml:space="preserve">R-DHAP: </w:t>
      </w:r>
      <w:r w:rsidR="00480033">
        <w:rPr>
          <w:rFonts w:ascii="Arial" w:hAnsi="Arial" w:cs="Arial"/>
          <w:lang w:val="pt-BR"/>
        </w:rPr>
        <w:t>Rituximab ± (d</w:t>
      </w:r>
      <w:r w:rsidRPr="009F714F">
        <w:rPr>
          <w:rFonts w:ascii="Arial" w:hAnsi="Arial" w:cs="Arial"/>
          <w:lang w:val="pt-BR"/>
        </w:rPr>
        <w:t>exametasona, cisplatino, citarabina)</w:t>
      </w:r>
    </w:p>
    <w:p w:rsidR="007D48BC" w:rsidRPr="009F714F" w:rsidRDefault="007D48BC" w:rsidP="00D52F63">
      <w:pPr>
        <w:pBdr>
          <w:top w:val="single" w:sz="4" w:space="1" w:color="auto"/>
          <w:left w:val="single" w:sz="4" w:space="4" w:color="auto"/>
          <w:bottom w:val="single" w:sz="4" w:space="1" w:color="auto"/>
          <w:right w:val="single" w:sz="4" w:space="4" w:color="auto"/>
        </w:pBdr>
        <w:rPr>
          <w:rFonts w:ascii="Arial" w:hAnsi="Arial" w:cs="Arial"/>
          <w:b/>
          <w:bCs/>
          <w:lang w:val="pt-BR"/>
        </w:rPr>
      </w:pPr>
      <w:r w:rsidRPr="009F714F">
        <w:rPr>
          <w:rFonts w:ascii="Arial" w:hAnsi="Arial" w:cs="Arial"/>
          <w:b/>
          <w:bCs/>
          <w:lang w:val="pt-BR"/>
        </w:rPr>
        <w:lastRenderedPageBreak/>
        <w:t xml:space="preserve">R-ESHAP: </w:t>
      </w:r>
      <w:r w:rsidRPr="009F714F">
        <w:rPr>
          <w:rFonts w:ascii="Arial" w:hAnsi="Arial" w:cs="Arial"/>
          <w:lang w:val="pt-BR"/>
        </w:rPr>
        <w:t>Rituximab ± (</w:t>
      </w:r>
      <w:r w:rsidR="00480033">
        <w:rPr>
          <w:rFonts w:ascii="Arial" w:hAnsi="Arial" w:cs="Arial"/>
          <w:lang w:val="pt-BR"/>
        </w:rPr>
        <w:t>e</w:t>
      </w:r>
      <w:r w:rsidRPr="009F714F">
        <w:rPr>
          <w:rFonts w:ascii="Arial" w:hAnsi="Arial" w:cs="Arial"/>
          <w:lang w:val="pt-BR"/>
        </w:rPr>
        <w:t>toposido, metilprednisolona, citarabina, cisplatino)</w:t>
      </w:r>
    </w:p>
    <w:p w:rsidR="007D48BC" w:rsidRPr="009F714F" w:rsidRDefault="007D48BC" w:rsidP="00D52F63">
      <w:pPr>
        <w:pBdr>
          <w:top w:val="single" w:sz="4" w:space="1" w:color="auto"/>
          <w:left w:val="single" w:sz="4" w:space="4" w:color="auto"/>
          <w:bottom w:val="single" w:sz="4" w:space="1" w:color="auto"/>
          <w:right w:val="single" w:sz="4" w:space="4" w:color="auto"/>
        </w:pBdr>
        <w:rPr>
          <w:rFonts w:ascii="Arial" w:hAnsi="Arial" w:cs="Arial"/>
          <w:b/>
          <w:bCs/>
          <w:lang w:val="pt-BR"/>
        </w:rPr>
      </w:pPr>
      <w:r w:rsidRPr="009F714F">
        <w:rPr>
          <w:rFonts w:ascii="Arial" w:hAnsi="Arial" w:cs="Arial"/>
          <w:b/>
          <w:bCs/>
          <w:lang w:val="pt-BR"/>
        </w:rPr>
        <w:t xml:space="preserve">R-GDP: </w:t>
      </w:r>
      <w:r w:rsidRPr="009F714F">
        <w:rPr>
          <w:rFonts w:ascii="Arial" w:hAnsi="Arial" w:cs="Arial"/>
          <w:lang w:val="pt-BR"/>
        </w:rPr>
        <w:t>Rituximab ± (</w:t>
      </w:r>
      <w:r w:rsidR="00480033">
        <w:rPr>
          <w:rFonts w:ascii="Arial" w:hAnsi="Arial" w:cs="Arial"/>
          <w:lang w:val="pt-BR"/>
        </w:rPr>
        <w:t>g</w:t>
      </w:r>
      <w:r w:rsidRPr="009F714F">
        <w:rPr>
          <w:rFonts w:ascii="Arial" w:hAnsi="Arial" w:cs="Arial"/>
          <w:lang w:val="pt-BR"/>
        </w:rPr>
        <w:t>emcitabina, dexametasona, cisplatino)</w:t>
      </w:r>
    </w:p>
    <w:p w:rsidR="007D48BC" w:rsidRPr="009F714F" w:rsidRDefault="007D48BC" w:rsidP="00D52F63">
      <w:pPr>
        <w:pBdr>
          <w:top w:val="single" w:sz="4" w:space="1" w:color="auto"/>
          <w:left w:val="single" w:sz="4" w:space="4" w:color="auto"/>
          <w:bottom w:val="single" w:sz="4" w:space="1" w:color="auto"/>
          <w:right w:val="single" w:sz="4" w:space="4" w:color="auto"/>
        </w:pBdr>
        <w:rPr>
          <w:rFonts w:ascii="Arial" w:hAnsi="Arial" w:cs="Arial"/>
          <w:lang w:val="pt-BR"/>
        </w:rPr>
      </w:pPr>
      <w:r w:rsidRPr="009F714F">
        <w:rPr>
          <w:rFonts w:ascii="Arial" w:hAnsi="Arial" w:cs="Arial"/>
          <w:b/>
          <w:bCs/>
          <w:lang w:val="pt-BR"/>
        </w:rPr>
        <w:t xml:space="preserve">R-GemOX: </w:t>
      </w:r>
      <w:r w:rsidRPr="009F714F">
        <w:rPr>
          <w:rFonts w:ascii="Arial" w:hAnsi="Arial" w:cs="Arial"/>
          <w:lang w:val="pt-BR"/>
        </w:rPr>
        <w:t>Rituximab ± (</w:t>
      </w:r>
      <w:r w:rsidR="00480033">
        <w:rPr>
          <w:rFonts w:ascii="Arial" w:hAnsi="Arial" w:cs="Arial"/>
          <w:lang w:val="pt-BR"/>
        </w:rPr>
        <w:t>g</w:t>
      </w:r>
      <w:r w:rsidRPr="009F714F">
        <w:rPr>
          <w:rFonts w:ascii="Arial" w:hAnsi="Arial" w:cs="Arial"/>
          <w:lang w:val="pt-BR"/>
        </w:rPr>
        <w:t>emcitabina, oxaliplatino)</w:t>
      </w:r>
    </w:p>
    <w:p w:rsidR="007D48BC" w:rsidRPr="009F714F" w:rsidRDefault="007D48BC" w:rsidP="00D52F63">
      <w:pPr>
        <w:pBdr>
          <w:top w:val="single" w:sz="4" w:space="1" w:color="auto"/>
          <w:left w:val="single" w:sz="4" w:space="4" w:color="auto"/>
          <w:bottom w:val="single" w:sz="4" w:space="1" w:color="auto"/>
          <w:right w:val="single" w:sz="4" w:space="4" w:color="auto"/>
        </w:pBdr>
        <w:rPr>
          <w:rFonts w:ascii="Arial" w:hAnsi="Arial" w:cs="Arial"/>
          <w:b/>
          <w:bCs/>
          <w:lang w:val="pt-BR"/>
        </w:rPr>
      </w:pPr>
      <w:r w:rsidRPr="009F714F">
        <w:rPr>
          <w:rFonts w:ascii="Arial" w:hAnsi="Arial" w:cs="Arial"/>
          <w:b/>
          <w:bCs/>
          <w:lang w:val="pt-BR"/>
        </w:rPr>
        <w:t xml:space="preserve">R-ICE: </w:t>
      </w:r>
      <w:r w:rsidRPr="009F714F">
        <w:rPr>
          <w:rFonts w:ascii="Arial" w:hAnsi="Arial" w:cs="Arial"/>
          <w:lang w:val="pt-BR"/>
        </w:rPr>
        <w:t>Rituximab ± (ifosfamida, carboplatino, etopósido)</w:t>
      </w:r>
    </w:p>
    <w:p w:rsidR="007D48BC" w:rsidRPr="009F714F" w:rsidRDefault="007D48BC" w:rsidP="00D52F63">
      <w:pPr>
        <w:pBdr>
          <w:top w:val="single" w:sz="4" w:space="1" w:color="auto"/>
          <w:left w:val="single" w:sz="4" w:space="4" w:color="auto"/>
          <w:bottom w:val="single" w:sz="4" w:space="1" w:color="auto"/>
          <w:right w:val="single" w:sz="4" w:space="4" w:color="auto"/>
        </w:pBdr>
        <w:rPr>
          <w:rFonts w:ascii="Arial" w:hAnsi="Arial" w:cs="Arial"/>
          <w:b/>
          <w:bCs/>
          <w:lang w:val="pt-BR"/>
        </w:rPr>
      </w:pPr>
      <w:r w:rsidRPr="009F714F">
        <w:rPr>
          <w:rFonts w:ascii="Arial" w:hAnsi="Arial" w:cs="Arial"/>
          <w:b/>
          <w:bCs/>
          <w:lang w:val="pt-BR"/>
        </w:rPr>
        <w:t xml:space="preserve">R-MINE: </w:t>
      </w:r>
      <w:r w:rsidRPr="009F714F">
        <w:rPr>
          <w:rFonts w:ascii="Arial" w:hAnsi="Arial" w:cs="Arial"/>
          <w:lang w:val="pt-BR"/>
        </w:rPr>
        <w:t>Rituximab ± (mesna, ifosfamida, mitoxantrona, etopósido)</w:t>
      </w:r>
      <w:r w:rsidRPr="009F714F">
        <w:rPr>
          <w:rFonts w:ascii="Arial" w:hAnsi="Arial" w:cs="Arial"/>
          <w:b/>
          <w:bCs/>
          <w:lang w:val="pt-BR"/>
        </w:rPr>
        <w:t xml:space="preserve">  </w:t>
      </w:r>
    </w:p>
    <w:p w:rsidR="007D48BC" w:rsidRPr="009F714F" w:rsidRDefault="007D48BC" w:rsidP="00D52F63">
      <w:pPr>
        <w:pBdr>
          <w:top w:val="single" w:sz="4" w:space="1" w:color="auto"/>
          <w:left w:val="single" w:sz="4" w:space="4" w:color="auto"/>
          <w:bottom w:val="single" w:sz="4" w:space="1" w:color="auto"/>
          <w:right w:val="single" w:sz="4" w:space="4" w:color="auto"/>
        </w:pBdr>
        <w:rPr>
          <w:rFonts w:ascii="Arial" w:hAnsi="Arial" w:cs="Arial"/>
          <w:b/>
          <w:bCs/>
        </w:rPr>
      </w:pPr>
      <w:r w:rsidRPr="009F714F">
        <w:rPr>
          <w:rFonts w:ascii="Arial" w:hAnsi="Arial" w:cs="Arial"/>
          <w:b/>
          <w:bCs/>
        </w:rPr>
        <w:t xml:space="preserve">RP: </w:t>
      </w:r>
      <w:r w:rsidRPr="009F714F">
        <w:rPr>
          <w:rFonts w:ascii="Arial" w:hAnsi="Arial" w:cs="Arial"/>
        </w:rPr>
        <w:t xml:space="preserve">Respuesta </w:t>
      </w:r>
      <w:r>
        <w:rPr>
          <w:rFonts w:ascii="Arial" w:hAnsi="Arial" w:cs="Arial"/>
        </w:rPr>
        <w:t>p</w:t>
      </w:r>
      <w:r w:rsidRPr="009F714F">
        <w:rPr>
          <w:rFonts w:ascii="Arial" w:hAnsi="Arial" w:cs="Arial"/>
        </w:rPr>
        <w:t>arcial</w:t>
      </w:r>
    </w:p>
    <w:p w:rsidR="007D48BC" w:rsidRPr="009F714F" w:rsidRDefault="007D48BC" w:rsidP="00BC3E8E">
      <w:pPr>
        <w:pBdr>
          <w:top w:val="single" w:sz="4" w:space="1" w:color="auto"/>
          <w:left w:val="single" w:sz="4" w:space="4" w:color="auto"/>
          <w:bottom w:val="single" w:sz="4" w:space="1" w:color="auto"/>
          <w:right w:val="single" w:sz="4" w:space="4" w:color="auto"/>
        </w:pBdr>
        <w:rPr>
          <w:rFonts w:ascii="Arial" w:hAnsi="Arial" w:cs="Arial"/>
          <w:b/>
          <w:bCs/>
        </w:rPr>
      </w:pPr>
      <w:r w:rsidRPr="009F714F">
        <w:rPr>
          <w:rFonts w:ascii="Arial" w:hAnsi="Arial" w:cs="Arial"/>
          <w:b/>
          <w:bCs/>
        </w:rPr>
        <w:t xml:space="preserve">SG: </w:t>
      </w:r>
      <w:r w:rsidRPr="009F714F">
        <w:rPr>
          <w:rFonts w:ascii="Arial" w:hAnsi="Arial" w:cs="Arial"/>
        </w:rPr>
        <w:t>Supervivencia global</w:t>
      </w:r>
    </w:p>
    <w:p w:rsidR="007D48BC" w:rsidRPr="009F714F" w:rsidRDefault="007D48BC" w:rsidP="00BC3E8E">
      <w:pPr>
        <w:pBdr>
          <w:top w:val="single" w:sz="4" w:space="1" w:color="auto"/>
          <w:left w:val="single" w:sz="4" w:space="4" w:color="auto"/>
          <w:bottom w:val="single" w:sz="4" w:space="1" w:color="auto"/>
          <w:right w:val="single" w:sz="4" w:space="4" w:color="auto"/>
        </w:pBdr>
        <w:rPr>
          <w:rFonts w:ascii="Arial" w:hAnsi="Arial" w:cs="Arial"/>
          <w:b/>
          <w:bCs/>
        </w:rPr>
      </w:pPr>
      <w:r w:rsidRPr="009F714F">
        <w:rPr>
          <w:rFonts w:ascii="Arial" w:hAnsi="Arial" w:cs="Arial"/>
          <w:b/>
          <w:bCs/>
        </w:rPr>
        <w:t xml:space="preserve">SLC: </w:t>
      </w:r>
      <w:r w:rsidRPr="009F714F">
        <w:rPr>
          <w:rFonts w:ascii="Arial" w:hAnsi="Arial" w:cs="Arial"/>
        </w:rPr>
        <w:t>Síndrome de liberación de citoquinas</w:t>
      </w:r>
    </w:p>
    <w:p w:rsidR="007D48BC" w:rsidRPr="00F97C94" w:rsidRDefault="007D48BC" w:rsidP="00BC3E8E">
      <w:pPr>
        <w:pBdr>
          <w:top w:val="single" w:sz="4" w:space="1" w:color="auto"/>
          <w:left w:val="single" w:sz="4" w:space="4" w:color="auto"/>
          <w:bottom w:val="single" w:sz="4" w:space="1" w:color="auto"/>
          <w:right w:val="single" w:sz="4" w:space="4" w:color="auto"/>
        </w:pBdr>
        <w:rPr>
          <w:rFonts w:ascii="Arial" w:hAnsi="Arial" w:cs="Arial"/>
        </w:rPr>
      </w:pPr>
      <w:r>
        <w:rPr>
          <w:rFonts w:ascii="Arial" w:hAnsi="Arial" w:cs="Arial"/>
          <w:b/>
          <w:bCs/>
        </w:rPr>
        <w:t xml:space="preserve">SLP: </w:t>
      </w:r>
      <w:r>
        <w:rPr>
          <w:rFonts w:ascii="Arial" w:hAnsi="Arial" w:cs="Arial"/>
        </w:rPr>
        <w:t>S</w:t>
      </w:r>
      <w:r w:rsidRPr="008A48C1">
        <w:rPr>
          <w:rFonts w:ascii="Arial" w:hAnsi="Arial" w:cs="Arial"/>
        </w:rPr>
        <w:t>upervivencia libre de progresión</w:t>
      </w:r>
    </w:p>
    <w:p w:rsidR="007D48BC" w:rsidRPr="006D19F1" w:rsidRDefault="007D48BC" w:rsidP="00BC3E8E">
      <w:pPr>
        <w:pBdr>
          <w:top w:val="single" w:sz="4" w:space="1" w:color="auto"/>
          <w:left w:val="single" w:sz="4" w:space="4" w:color="auto"/>
          <w:bottom w:val="single" w:sz="4" w:space="1" w:color="auto"/>
          <w:right w:val="single" w:sz="4" w:space="4" w:color="auto"/>
        </w:pBdr>
        <w:rPr>
          <w:rFonts w:ascii="Arial" w:hAnsi="Arial" w:cs="Arial"/>
          <w:b/>
          <w:bCs/>
        </w:rPr>
      </w:pPr>
      <w:r w:rsidRPr="006D19F1">
        <w:rPr>
          <w:rFonts w:ascii="Arial" w:hAnsi="Arial" w:cs="Arial"/>
          <w:b/>
          <w:bCs/>
        </w:rPr>
        <w:t xml:space="preserve">SLT: </w:t>
      </w:r>
      <w:r w:rsidRPr="006D19F1">
        <w:rPr>
          <w:rFonts w:ascii="Arial" w:hAnsi="Arial" w:cs="Arial"/>
        </w:rPr>
        <w:t>Síndrome de lisis tumoral</w:t>
      </w:r>
    </w:p>
    <w:p w:rsidR="007D48BC" w:rsidRPr="006D19F1" w:rsidRDefault="007D48BC" w:rsidP="00BC3E8E">
      <w:pPr>
        <w:pBdr>
          <w:top w:val="single" w:sz="4" w:space="1" w:color="auto"/>
          <w:left w:val="single" w:sz="4" w:space="4" w:color="auto"/>
          <w:bottom w:val="single" w:sz="4" w:space="1" w:color="auto"/>
          <w:right w:val="single" w:sz="4" w:space="4" w:color="auto"/>
        </w:pBdr>
        <w:rPr>
          <w:rFonts w:ascii="Arial" w:hAnsi="Arial" w:cs="Arial"/>
        </w:rPr>
      </w:pPr>
      <w:r w:rsidRPr="006D19F1">
        <w:rPr>
          <w:rFonts w:ascii="Arial" w:hAnsi="Arial" w:cs="Arial"/>
          <w:b/>
          <w:bCs/>
        </w:rPr>
        <w:t xml:space="preserve">SNC: </w:t>
      </w:r>
      <w:r w:rsidRPr="006D19F1">
        <w:rPr>
          <w:rFonts w:ascii="Arial" w:hAnsi="Arial" w:cs="Arial"/>
        </w:rPr>
        <w:t>Sistema nervioso central</w:t>
      </w:r>
    </w:p>
    <w:p w:rsidR="007D48BC" w:rsidRPr="006D19F1" w:rsidRDefault="007D48BC" w:rsidP="00BC3E8E">
      <w:pPr>
        <w:pBdr>
          <w:top w:val="single" w:sz="4" w:space="1" w:color="auto"/>
          <w:left w:val="single" w:sz="4" w:space="4" w:color="auto"/>
          <w:bottom w:val="single" w:sz="4" w:space="1" w:color="auto"/>
          <w:right w:val="single" w:sz="4" w:space="4" w:color="auto"/>
        </w:pBdr>
        <w:rPr>
          <w:rFonts w:ascii="Arial" w:hAnsi="Arial" w:cs="Arial"/>
        </w:rPr>
      </w:pPr>
      <w:r w:rsidRPr="006D19F1">
        <w:rPr>
          <w:rFonts w:ascii="Arial" w:hAnsi="Arial" w:cs="Arial"/>
          <w:b/>
          <w:bCs/>
        </w:rPr>
        <w:t xml:space="preserve">TAPH: </w:t>
      </w:r>
      <w:r w:rsidRPr="006D19F1">
        <w:rPr>
          <w:rFonts w:ascii="Arial" w:hAnsi="Arial" w:cs="Arial"/>
        </w:rPr>
        <w:t>Trasplante autólogo de progenitores hematopoyéticos</w:t>
      </w:r>
    </w:p>
    <w:p w:rsidR="007D48BC" w:rsidRPr="006D19F1" w:rsidRDefault="007D48BC" w:rsidP="00BC3E8E">
      <w:pPr>
        <w:pBdr>
          <w:top w:val="single" w:sz="4" w:space="1" w:color="auto"/>
          <w:left w:val="single" w:sz="4" w:space="4" w:color="auto"/>
          <w:bottom w:val="single" w:sz="4" w:space="1" w:color="auto"/>
          <w:right w:val="single" w:sz="4" w:space="4" w:color="auto"/>
        </w:pBdr>
        <w:rPr>
          <w:rFonts w:ascii="Arial" w:hAnsi="Arial" w:cs="Arial"/>
          <w:b/>
          <w:bCs/>
        </w:rPr>
      </w:pPr>
      <w:r w:rsidRPr="006D19F1">
        <w:rPr>
          <w:rFonts w:ascii="Arial" w:hAnsi="Arial" w:cs="Arial"/>
          <w:b/>
          <w:bCs/>
        </w:rPr>
        <w:t xml:space="preserve">TRO: </w:t>
      </w:r>
      <w:r w:rsidRPr="006D19F1">
        <w:rPr>
          <w:rFonts w:ascii="Arial" w:hAnsi="Arial" w:cs="Arial"/>
        </w:rPr>
        <w:t>Tasa de respuesta objetiva</w:t>
      </w:r>
    </w:p>
    <w:p w:rsidR="007D48BC" w:rsidRPr="006D19F1" w:rsidRDefault="007D48BC" w:rsidP="00BC3E8E">
      <w:pPr>
        <w:pBdr>
          <w:top w:val="single" w:sz="4" w:space="1" w:color="auto"/>
          <w:left w:val="single" w:sz="4" w:space="4" w:color="auto"/>
          <w:bottom w:val="single" w:sz="4" w:space="1" w:color="auto"/>
          <w:right w:val="single" w:sz="4" w:space="4" w:color="auto"/>
        </w:pBdr>
        <w:rPr>
          <w:rFonts w:ascii="Arial" w:hAnsi="Arial" w:cs="Arial"/>
          <w:b/>
          <w:bCs/>
        </w:rPr>
      </w:pPr>
      <w:r w:rsidRPr="006D19F1">
        <w:rPr>
          <w:rFonts w:ascii="Arial" w:hAnsi="Arial" w:cs="Arial"/>
          <w:b/>
          <w:bCs/>
        </w:rPr>
        <w:t>VHB</w:t>
      </w:r>
      <w:r w:rsidRPr="006D19F1">
        <w:rPr>
          <w:rFonts w:ascii="Arial" w:hAnsi="Arial" w:cs="Arial"/>
        </w:rPr>
        <w:t>: Virus de la hepatitis B</w:t>
      </w:r>
    </w:p>
    <w:p w:rsidR="007D48BC" w:rsidRPr="006D19F1" w:rsidRDefault="007D48BC" w:rsidP="00BC3E8E">
      <w:pPr>
        <w:pBdr>
          <w:top w:val="single" w:sz="4" w:space="1" w:color="auto"/>
          <w:left w:val="single" w:sz="4" w:space="4" w:color="auto"/>
          <w:bottom w:val="single" w:sz="4" w:space="1" w:color="auto"/>
          <w:right w:val="single" w:sz="4" w:space="4" w:color="auto"/>
        </w:pBdr>
        <w:rPr>
          <w:rFonts w:ascii="Arial" w:hAnsi="Arial" w:cs="Arial"/>
          <w:b/>
          <w:bCs/>
        </w:rPr>
      </w:pPr>
      <w:r w:rsidRPr="006D19F1">
        <w:rPr>
          <w:rFonts w:ascii="Arial" w:hAnsi="Arial" w:cs="Arial"/>
          <w:b/>
          <w:bCs/>
        </w:rPr>
        <w:t xml:space="preserve">VHC: </w:t>
      </w:r>
      <w:r w:rsidRPr="006D19F1">
        <w:rPr>
          <w:rFonts w:ascii="Arial" w:hAnsi="Arial" w:cs="Arial"/>
        </w:rPr>
        <w:t>Virus de la hepatitis C</w:t>
      </w:r>
    </w:p>
    <w:p w:rsidR="007D48BC" w:rsidRDefault="007D48BC" w:rsidP="00BC3E8E">
      <w:pPr>
        <w:pBdr>
          <w:top w:val="single" w:sz="4" w:space="1" w:color="auto"/>
          <w:left w:val="single" w:sz="4" w:space="4" w:color="auto"/>
          <w:bottom w:val="single" w:sz="4" w:space="1" w:color="auto"/>
          <w:right w:val="single" w:sz="4" w:space="4" w:color="auto"/>
        </w:pBdr>
        <w:rPr>
          <w:rFonts w:ascii="Arial" w:hAnsi="Arial" w:cs="Arial"/>
          <w:b/>
          <w:bCs/>
        </w:rPr>
      </w:pPr>
      <w:r>
        <w:rPr>
          <w:rFonts w:ascii="Arial" w:hAnsi="Arial" w:cs="Arial"/>
          <w:b/>
          <w:bCs/>
        </w:rPr>
        <w:t xml:space="preserve">VIH: </w:t>
      </w:r>
      <w:r w:rsidRPr="00881F72">
        <w:rPr>
          <w:rFonts w:ascii="Arial" w:hAnsi="Arial" w:cs="Arial"/>
        </w:rPr>
        <w:t xml:space="preserve">Virus de la inmunodeficiencia </w:t>
      </w:r>
      <w:r w:rsidR="00480033">
        <w:rPr>
          <w:rFonts w:ascii="Arial" w:hAnsi="Arial" w:cs="Arial"/>
        </w:rPr>
        <w:t>h</w:t>
      </w:r>
      <w:r w:rsidRPr="00881F72">
        <w:rPr>
          <w:rFonts w:ascii="Arial" w:hAnsi="Arial" w:cs="Arial"/>
        </w:rPr>
        <w:t>umana</w:t>
      </w:r>
    </w:p>
    <w:p w:rsidR="007D48BC" w:rsidRDefault="007D48BC" w:rsidP="00BC3E8E">
      <w:pPr>
        <w:pBdr>
          <w:top w:val="single" w:sz="4" w:space="1" w:color="auto"/>
          <w:left w:val="single" w:sz="4" w:space="4" w:color="auto"/>
          <w:bottom w:val="single" w:sz="4" w:space="1" w:color="auto"/>
          <w:right w:val="single" w:sz="4" w:space="4" w:color="auto"/>
        </w:pBdr>
        <w:rPr>
          <w:rFonts w:ascii="Arial" w:hAnsi="Arial" w:cs="Arial"/>
          <w:b/>
          <w:bCs/>
        </w:rPr>
      </w:pPr>
      <w:r>
        <w:rPr>
          <w:rFonts w:ascii="Arial" w:hAnsi="Arial" w:cs="Arial"/>
          <w:b/>
          <w:bCs/>
        </w:rPr>
        <w:t xml:space="preserve">VO: </w:t>
      </w:r>
      <w:r w:rsidRPr="00D52F63">
        <w:rPr>
          <w:rFonts w:ascii="Arial" w:hAnsi="Arial" w:cs="Arial"/>
        </w:rPr>
        <w:t>Vía oral</w:t>
      </w:r>
    </w:p>
    <w:p w:rsidR="007D48BC" w:rsidRDefault="007D48BC" w:rsidP="00BC3E8E">
      <w:pPr>
        <w:rPr>
          <w:rFonts w:ascii="Arial" w:hAnsi="Arial" w:cs="Arial"/>
          <w:b/>
          <w:bCs/>
        </w:rPr>
      </w:pPr>
    </w:p>
    <w:p w:rsidR="0053054D" w:rsidRDefault="0053054D" w:rsidP="00BC3E8E">
      <w:pPr>
        <w:rPr>
          <w:rFonts w:ascii="Arial" w:hAnsi="Arial" w:cs="Arial"/>
          <w:b/>
          <w:bCs/>
        </w:rPr>
      </w:pPr>
    </w:p>
    <w:p w:rsidR="007D48BC" w:rsidRPr="0053054D" w:rsidRDefault="007D48BC" w:rsidP="00BC3E8E">
      <w:pPr>
        <w:rPr>
          <w:rFonts w:ascii="Arial" w:hAnsi="Arial" w:cs="Arial"/>
          <w:bCs/>
        </w:rPr>
      </w:pPr>
      <w:r>
        <w:rPr>
          <w:rFonts w:ascii="Arial" w:hAnsi="Arial" w:cs="Arial"/>
          <w:b/>
          <w:bCs/>
        </w:rPr>
        <w:t>Citar este informe como:</w:t>
      </w:r>
      <w:r w:rsidR="0053054D">
        <w:rPr>
          <w:rFonts w:ascii="Arial" w:hAnsi="Arial" w:cs="Arial"/>
          <w:b/>
          <w:bCs/>
        </w:rPr>
        <w:t xml:space="preserve"> </w:t>
      </w:r>
      <w:r w:rsidR="0053054D" w:rsidRPr="0053054D">
        <w:rPr>
          <w:rFonts w:ascii="Arial" w:hAnsi="Arial" w:cs="Arial"/>
          <w:bCs/>
        </w:rPr>
        <w:t>A</w:t>
      </w:r>
      <w:r w:rsidR="0053054D">
        <w:rPr>
          <w:rFonts w:ascii="Arial" w:hAnsi="Arial" w:cs="Arial"/>
          <w:bCs/>
        </w:rPr>
        <w:t xml:space="preserve">xicabtagen ciloleucel </w:t>
      </w:r>
      <w:r w:rsidR="0053054D" w:rsidRPr="0053054D">
        <w:rPr>
          <w:rFonts w:ascii="Arial" w:hAnsi="Arial" w:cs="Arial"/>
          <w:bCs/>
        </w:rPr>
        <w:t>en linfoma difuso de células B grandes refractario o en recaída</w:t>
      </w:r>
      <w:r w:rsidR="0053054D">
        <w:rPr>
          <w:rFonts w:ascii="Arial" w:hAnsi="Arial" w:cs="Arial"/>
          <w:bCs/>
        </w:rPr>
        <w:t>. Febrero 2019. Informe compartido del Grupo GENESIS- SEFH (revisor). Madrid: SEFH (ed.), [2019]. ISBNDepósito legal</w:t>
      </w:r>
    </w:p>
    <w:p w:rsidR="007D48BC" w:rsidRPr="006F6ABB" w:rsidRDefault="007D48BC" w:rsidP="00BC3E8E">
      <w:pPr>
        <w:rPr>
          <w:rFonts w:ascii="Arial" w:hAnsi="Arial" w:cs="Arial"/>
        </w:rPr>
      </w:pPr>
    </w:p>
    <w:tbl>
      <w:tblPr>
        <w:tblW w:w="8890" w:type="dxa"/>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8890"/>
      </w:tblGrid>
      <w:tr w:rsidR="007D48BC" w:rsidRPr="006F6ABB">
        <w:trPr>
          <w:trHeight w:val="131"/>
        </w:trPr>
        <w:tc>
          <w:tcPr>
            <w:tcW w:w="8890" w:type="dxa"/>
            <w:shd w:val="clear" w:color="auto" w:fill="BFBFBF"/>
          </w:tcPr>
          <w:p w:rsidR="007D48BC" w:rsidRPr="00B746E8" w:rsidRDefault="007D48BC" w:rsidP="00BC3E8E">
            <w:pPr>
              <w:pStyle w:val="Ttulo1"/>
              <w:shd w:val="clear" w:color="auto" w:fill="A6A6A6"/>
              <w:rPr>
                <w:rFonts w:ascii="Arial" w:hAnsi="Arial" w:cs="Arial"/>
                <w:kern w:val="0"/>
                <w:sz w:val="20"/>
                <w:szCs w:val="20"/>
              </w:rPr>
            </w:pPr>
            <w:bookmarkStart w:id="2" w:name="_Toc344399618"/>
            <w:bookmarkStart w:id="3" w:name="_Toc348931345"/>
            <w:r w:rsidRPr="00B746E8">
              <w:rPr>
                <w:rFonts w:ascii="Arial" w:hAnsi="Arial" w:cs="Arial"/>
                <w:kern w:val="0"/>
                <w:sz w:val="20"/>
                <w:szCs w:val="20"/>
              </w:rPr>
              <w:t>1.- IDENTIFICACIÓN DEL FÁRMACO Y AUTORES DEL INFORME</w:t>
            </w:r>
            <w:bookmarkEnd w:id="2"/>
            <w:bookmarkEnd w:id="3"/>
            <w:r w:rsidR="00FE59AC">
              <w:rPr>
                <w:rFonts w:ascii="Arial" w:hAnsi="Arial" w:cs="Arial"/>
                <w:kern w:val="0"/>
                <w:sz w:val="20"/>
                <w:szCs w:val="20"/>
              </w:rPr>
              <w:fldChar w:fldCharType="begin"/>
            </w:r>
            <w:r>
              <w:instrText>xe "</w:instrText>
            </w:r>
            <w:r w:rsidRPr="006B4B5A">
              <w:rPr>
                <w:rFonts w:ascii="Arial" w:hAnsi="Arial" w:cs="Arial"/>
                <w:kern w:val="0"/>
                <w:sz w:val="20"/>
                <w:szCs w:val="20"/>
              </w:rPr>
              <w:instrText>1.- IDENTIFICACIÓN DEL FÁRMACO Y AUTORES DEL INFORME</w:instrText>
            </w:r>
            <w:r>
              <w:instrText>"</w:instrText>
            </w:r>
            <w:r w:rsidR="00FE59AC">
              <w:rPr>
                <w:rFonts w:ascii="Arial" w:hAnsi="Arial" w:cs="Arial"/>
                <w:kern w:val="0"/>
                <w:sz w:val="20"/>
                <w:szCs w:val="20"/>
              </w:rPr>
              <w:fldChar w:fldCharType="end"/>
            </w:r>
          </w:p>
        </w:tc>
      </w:tr>
    </w:tbl>
    <w:p w:rsidR="007D48BC" w:rsidRPr="006F6ABB" w:rsidRDefault="007D48BC" w:rsidP="00BC3E8E">
      <w:pPr>
        <w:jc w:val="both"/>
        <w:rPr>
          <w:rFonts w:ascii="Arial" w:hAnsi="Arial" w:cs="Arial"/>
        </w:rPr>
      </w:pPr>
    </w:p>
    <w:p w:rsidR="007D48BC" w:rsidRPr="006F6ABB" w:rsidRDefault="007D48BC" w:rsidP="00BC3E8E">
      <w:pPr>
        <w:jc w:val="both"/>
        <w:rPr>
          <w:rFonts w:ascii="Arial" w:hAnsi="Arial" w:cs="Arial"/>
        </w:rPr>
      </w:pPr>
      <w:r w:rsidRPr="006F6ABB">
        <w:rPr>
          <w:rFonts w:ascii="Arial" w:hAnsi="Arial" w:cs="Arial"/>
          <w:b/>
          <w:bCs/>
        </w:rPr>
        <w:t>Fármaco</w:t>
      </w:r>
      <w:r w:rsidRPr="006F6ABB">
        <w:rPr>
          <w:rFonts w:ascii="Arial" w:hAnsi="Arial" w:cs="Arial"/>
        </w:rPr>
        <w:t xml:space="preserve">: </w:t>
      </w:r>
      <w:r>
        <w:rPr>
          <w:rFonts w:ascii="Arial" w:hAnsi="Arial" w:cs="Arial"/>
        </w:rPr>
        <w:t>Axicabtagen ciloleucel</w:t>
      </w:r>
    </w:p>
    <w:p w:rsidR="007D48BC" w:rsidRDefault="007D48BC" w:rsidP="00BC3E8E">
      <w:pPr>
        <w:jc w:val="both"/>
        <w:rPr>
          <w:rFonts w:ascii="Arial" w:hAnsi="Arial" w:cs="Arial"/>
        </w:rPr>
      </w:pPr>
      <w:r w:rsidRPr="006F6ABB">
        <w:rPr>
          <w:rFonts w:ascii="Arial" w:hAnsi="Arial" w:cs="Arial"/>
          <w:b/>
          <w:bCs/>
        </w:rPr>
        <w:t>Indicación clínica solicitada:</w:t>
      </w:r>
      <w:r w:rsidRPr="006F6ABB">
        <w:rPr>
          <w:rFonts w:ascii="Arial" w:hAnsi="Arial" w:cs="Arial"/>
        </w:rPr>
        <w:t xml:space="preserve"> </w:t>
      </w:r>
      <w:bookmarkStart w:id="4" w:name="_Hlk536399470"/>
      <w:r>
        <w:rPr>
          <w:rFonts w:ascii="Arial" w:hAnsi="Arial" w:cs="Arial"/>
        </w:rPr>
        <w:t>Linfoma difuso de Células B grandes refractario o en recaída</w:t>
      </w:r>
      <w:bookmarkEnd w:id="4"/>
      <w:r>
        <w:rPr>
          <w:rFonts w:ascii="Arial" w:hAnsi="Arial" w:cs="Arial"/>
        </w:rPr>
        <w:t>.</w:t>
      </w:r>
    </w:p>
    <w:p w:rsidR="007D48BC" w:rsidRPr="006B3422" w:rsidRDefault="007D48BC" w:rsidP="00BC3E8E">
      <w:pPr>
        <w:jc w:val="both"/>
        <w:rPr>
          <w:rFonts w:ascii="Arial" w:hAnsi="Arial" w:cs="Arial"/>
        </w:rPr>
      </w:pPr>
      <w:r w:rsidRPr="006F6ABB">
        <w:rPr>
          <w:rFonts w:ascii="Arial" w:hAnsi="Arial" w:cs="Arial"/>
          <w:b/>
          <w:bCs/>
        </w:rPr>
        <w:t xml:space="preserve">Autores / Revisores: </w:t>
      </w:r>
    </w:p>
    <w:p w:rsidR="007D48BC" w:rsidRPr="006577E6" w:rsidRDefault="007D48BC" w:rsidP="00BC3E8E">
      <w:pPr>
        <w:jc w:val="both"/>
        <w:rPr>
          <w:rFonts w:ascii="Arial" w:hAnsi="Arial" w:cs="Arial"/>
          <w:color w:val="C00000"/>
        </w:rPr>
      </w:pPr>
      <w:r w:rsidRPr="006F6ABB">
        <w:rPr>
          <w:rFonts w:ascii="Arial" w:hAnsi="Arial" w:cs="Arial"/>
          <w:b/>
          <w:bCs/>
        </w:rPr>
        <w:t>Tipo de informe</w:t>
      </w:r>
      <w:r>
        <w:rPr>
          <w:rFonts w:ascii="Arial" w:hAnsi="Arial" w:cs="Arial"/>
          <w:b/>
          <w:bCs/>
        </w:rPr>
        <w:t xml:space="preserve">: </w:t>
      </w:r>
      <w:r>
        <w:rPr>
          <w:rFonts w:ascii="Arial" w:hAnsi="Arial" w:cs="Arial"/>
        </w:rPr>
        <w:t>Borrador</w:t>
      </w:r>
    </w:p>
    <w:p w:rsidR="007D48BC" w:rsidRDefault="007D48BC" w:rsidP="00BC3E8E">
      <w:pPr>
        <w:jc w:val="both"/>
        <w:rPr>
          <w:rFonts w:ascii="Arial" w:hAnsi="Arial" w:cs="Arial"/>
        </w:rPr>
      </w:pPr>
      <w:r w:rsidRPr="006F6ABB">
        <w:rPr>
          <w:rFonts w:ascii="Arial" w:hAnsi="Arial" w:cs="Arial"/>
          <w:b/>
          <w:bCs/>
        </w:rPr>
        <w:t>Declaración de conflicto de Intereses de los autores</w:t>
      </w:r>
      <w:r>
        <w:rPr>
          <w:rFonts w:ascii="Arial" w:hAnsi="Arial" w:cs="Arial"/>
          <w:b/>
          <w:bCs/>
        </w:rPr>
        <w:t xml:space="preserve">: </w:t>
      </w:r>
      <w:r w:rsidRPr="006F6ABB">
        <w:rPr>
          <w:rFonts w:ascii="Arial" w:hAnsi="Arial" w:cs="Arial"/>
        </w:rPr>
        <w:t>Ver declaración en anexo al final del informe</w:t>
      </w:r>
      <w:r>
        <w:rPr>
          <w:rFonts w:ascii="Arial" w:hAnsi="Arial" w:cs="Arial"/>
        </w:rPr>
        <w:t>.</w:t>
      </w:r>
    </w:p>
    <w:p w:rsidR="007D48BC" w:rsidRDefault="007D48BC" w:rsidP="00A93E29">
      <w:pPr>
        <w:tabs>
          <w:tab w:val="left" w:pos="3343"/>
        </w:tabs>
        <w:jc w:val="both"/>
        <w:rPr>
          <w:rFonts w:ascii="Arial" w:hAnsi="Arial" w:cs="Arial"/>
        </w:rPr>
      </w:pPr>
    </w:p>
    <w:p w:rsidR="007D48BC" w:rsidRDefault="007D48BC" w:rsidP="00A93E29">
      <w:pPr>
        <w:tabs>
          <w:tab w:val="left" w:pos="3343"/>
        </w:tabs>
        <w:jc w:val="both"/>
        <w:rPr>
          <w:rFonts w:ascii="Arial" w:hAnsi="Arial" w:cs="Arial"/>
        </w:rPr>
      </w:pPr>
      <w:r>
        <w:rPr>
          <w:rFonts w:ascii="Arial" w:hAnsi="Arial" w:cs="Arial"/>
        </w:rPr>
        <w:t>Para la elaboración del informe se ha utilizado el Programa MADRE versión 4.0</w:t>
      </w:r>
      <w:r>
        <w:rPr>
          <w:rStyle w:val="Refdenotaalpie"/>
          <w:rFonts w:ascii="Arial" w:hAnsi="Arial" w:cs="Arial"/>
        </w:rPr>
        <w:footnoteReference w:id="1"/>
      </w:r>
      <w:r>
        <w:rPr>
          <w:rFonts w:ascii="Arial" w:hAnsi="Arial" w:cs="Arial"/>
        </w:rPr>
        <w:t xml:space="preserve"> y Guía EE e IP</w:t>
      </w:r>
      <w:r>
        <w:rPr>
          <w:rStyle w:val="Refdenotaalpie"/>
          <w:rFonts w:ascii="Arial" w:hAnsi="Arial" w:cs="Arial"/>
        </w:rPr>
        <w:footnoteReference w:id="2"/>
      </w:r>
    </w:p>
    <w:p w:rsidR="007D48BC" w:rsidRPr="006F6ABB" w:rsidRDefault="007D48BC" w:rsidP="00BC3E8E">
      <w:pPr>
        <w:jc w:val="both"/>
        <w:rPr>
          <w:rFonts w:ascii="Arial" w:hAnsi="Arial" w:cs="Arial"/>
          <w:color w:val="0000FF"/>
        </w:rPr>
      </w:pPr>
    </w:p>
    <w:tbl>
      <w:tblPr>
        <w:tblW w:w="8890" w:type="dxa"/>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8890"/>
      </w:tblGrid>
      <w:tr w:rsidR="007D48BC" w:rsidRPr="00DA38F3">
        <w:trPr>
          <w:trHeight w:val="90"/>
        </w:trPr>
        <w:tc>
          <w:tcPr>
            <w:tcW w:w="8890" w:type="dxa"/>
            <w:shd w:val="clear" w:color="auto" w:fill="B3B3B3"/>
          </w:tcPr>
          <w:p w:rsidR="007D48BC" w:rsidRPr="00B746E8" w:rsidRDefault="007D48BC" w:rsidP="00BC3E8E">
            <w:pPr>
              <w:pStyle w:val="Ttulo1"/>
              <w:shd w:val="clear" w:color="auto" w:fill="A6A6A6"/>
              <w:rPr>
                <w:rFonts w:ascii="Arial" w:hAnsi="Arial" w:cs="Arial"/>
                <w:kern w:val="0"/>
                <w:sz w:val="20"/>
                <w:szCs w:val="20"/>
              </w:rPr>
            </w:pPr>
            <w:bookmarkStart w:id="5" w:name="_Toc344399619"/>
            <w:bookmarkStart w:id="6" w:name="_Toc348931346"/>
            <w:r w:rsidRPr="00B746E8">
              <w:rPr>
                <w:rFonts w:ascii="Arial" w:hAnsi="Arial" w:cs="Arial"/>
                <w:kern w:val="0"/>
                <w:sz w:val="20"/>
                <w:szCs w:val="20"/>
              </w:rPr>
              <w:t>2.- SOLICITUD Y DATOS DEL PROCESO DE EVALUACIÓN</w:t>
            </w:r>
            <w:bookmarkEnd w:id="5"/>
            <w:bookmarkEnd w:id="6"/>
            <w:r w:rsidR="00FE59AC">
              <w:rPr>
                <w:rFonts w:ascii="Arial" w:hAnsi="Arial" w:cs="Arial"/>
                <w:kern w:val="0"/>
                <w:sz w:val="20"/>
                <w:szCs w:val="20"/>
              </w:rPr>
              <w:fldChar w:fldCharType="begin"/>
            </w:r>
            <w:r>
              <w:instrText>xe "</w:instrText>
            </w:r>
            <w:r w:rsidRPr="005131C1">
              <w:rPr>
                <w:rFonts w:ascii="Arial" w:hAnsi="Arial" w:cs="Arial"/>
                <w:kern w:val="0"/>
                <w:sz w:val="20"/>
                <w:szCs w:val="20"/>
              </w:rPr>
              <w:instrText>2.- SOLICITUD Y DATOS DEL PROCESO DE EVALUACIÓN</w:instrText>
            </w:r>
            <w:r>
              <w:instrText>"</w:instrText>
            </w:r>
            <w:r w:rsidR="00FE59AC">
              <w:rPr>
                <w:rFonts w:ascii="Arial" w:hAnsi="Arial" w:cs="Arial"/>
                <w:kern w:val="0"/>
                <w:sz w:val="20"/>
                <w:szCs w:val="20"/>
              </w:rPr>
              <w:fldChar w:fldCharType="end"/>
            </w:r>
          </w:p>
        </w:tc>
      </w:tr>
    </w:tbl>
    <w:p w:rsidR="007D48BC" w:rsidRPr="006F6ABB" w:rsidRDefault="007D48BC" w:rsidP="00BC3E8E">
      <w:pPr>
        <w:jc w:val="both"/>
        <w:rPr>
          <w:rFonts w:ascii="Arial" w:hAnsi="Arial" w:cs="Arial"/>
          <w:b/>
          <w:bCs/>
        </w:rPr>
      </w:pPr>
    </w:p>
    <w:p w:rsidR="007D48BC" w:rsidRDefault="007D48BC" w:rsidP="00BC3E8E">
      <w:pPr>
        <w:jc w:val="both"/>
        <w:rPr>
          <w:rFonts w:ascii="Arial" w:hAnsi="Arial" w:cs="Arial"/>
        </w:rPr>
      </w:pPr>
      <w:r w:rsidRPr="006F6ABB">
        <w:rPr>
          <w:rFonts w:ascii="Arial" w:hAnsi="Arial" w:cs="Arial"/>
          <w:b/>
          <w:bCs/>
        </w:rPr>
        <w:t>Justificación de la solicitud:</w:t>
      </w:r>
      <w:r>
        <w:rPr>
          <w:rFonts w:ascii="Arial" w:hAnsi="Arial" w:cs="Arial"/>
          <w:b/>
          <w:bCs/>
        </w:rPr>
        <w:t xml:space="preserve"> </w:t>
      </w:r>
      <w:r>
        <w:rPr>
          <w:rFonts w:ascii="Arial" w:hAnsi="Arial" w:cs="Arial"/>
        </w:rPr>
        <w:t>Revisión a demanda del Grupo GENESIS, por tratarse de un fármaco novedoso, cuyo lugar en terapéutica precisa evaluación en el entorno hospitalario</w:t>
      </w:r>
    </w:p>
    <w:p w:rsidR="007D48BC" w:rsidRPr="006F6ABB" w:rsidRDefault="007D48BC" w:rsidP="00BC3E8E">
      <w:pPr>
        <w:jc w:val="both"/>
        <w:rPr>
          <w:rFonts w:ascii="Arial" w:hAnsi="Arial" w:cs="Arial"/>
        </w:rPr>
      </w:pPr>
    </w:p>
    <w:tbl>
      <w:tblPr>
        <w:tblW w:w="0" w:type="auto"/>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8859"/>
      </w:tblGrid>
      <w:tr w:rsidR="007D48BC" w:rsidRPr="00DA38F3">
        <w:tc>
          <w:tcPr>
            <w:tcW w:w="8859" w:type="dxa"/>
            <w:shd w:val="clear" w:color="auto" w:fill="B3B3B3"/>
          </w:tcPr>
          <w:p w:rsidR="007D48BC" w:rsidRPr="00B746E8" w:rsidRDefault="007D48BC" w:rsidP="00BC3E8E">
            <w:pPr>
              <w:pStyle w:val="Ttulo1"/>
              <w:shd w:val="clear" w:color="auto" w:fill="A6A6A6"/>
              <w:rPr>
                <w:rFonts w:ascii="Arial" w:hAnsi="Arial" w:cs="Arial"/>
                <w:kern w:val="0"/>
                <w:sz w:val="20"/>
                <w:szCs w:val="20"/>
              </w:rPr>
            </w:pPr>
            <w:bookmarkStart w:id="7" w:name="_Toc344399620"/>
            <w:bookmarkStart w:id="8" w:name="_Toc348931347"/>
            <w:r w:rsidRPr="00B746E8">
              <w:rPr>
                <w:rFonts w:ascii="Arial" w:hAnsi="Arial" w:cs="Arial"/>
                <w:kern w:val="0"/>
                <w:sz w:val="20"/>
                <w:szCs w:val="20"/>
              </w:rPr>
              <w:t>3.- AREA DESCRIPTIVA DEL MEDICAMENTO Y DEL PROBLEMA DE SALUD</w:t>
            </w:r>
            <w:bookmarkEnd w:id="7"/>
            <w:bookmarkEnd w:id="8"/>
            <w:r w:rsidR="00FE59AC">
              <w:rPr>
                <w:rFonts w:ascii="Arial" w:hAnsi="Arial" w:cs="Arial"/>
                <w:kern w:val="0"/>
                <w:sz w:val="20"/>
                <w:szCs w:val="20"/>
              </w:rPr>
              <w:fldChar w:fldCharType="begin"/>
            </w:r>
            <w:r>
              <w:instrText>xe "</w:instrText>
            </w:r>
            <w:r w:rsidRPr="00C654D8">
              <w:rPr>
                <w:rFonts w:ascii="Arial" w:hAnsi="Arial" w:cs="Arial"/>
                <w:kern w:val="0"/>
                <w:sz w:val="20"/>
                <w:szCs w:val="20"/>
              </w:rPr>
              <w:instrText>3.- AREA DESCRIPTIVA DEL MEDICAMENTO Y DEL PROBLEMA DE SALUD</w:instrText>
            </w:r>
            <w:r>
              <w:instrText>"</w:instrText>
            </w:r>
            <w:r w:rsidR="00FE59AC">
              <w:rPr>
                <w:rFonts w:ascii="Arial" w:hAnsi="Arial" w:cs="Arial"/>
                <w:kern w:val="0"/>
                <w:sz w:val="20"/>
                <w:szCs w:val="20"/>
              </w:rPr>
              <w:fldChar w:fldCharType="end"/>
            </w:r>
          </w:p>
        </w:tc>
      </w:tr>
    </w:tbl>
    <w:p w:rsidR="007D48BC" w:rsidRPr="006F6ABB" w:rsidRDefault="007D48BC" w:rsidP="00BC3E8E">
      <w:pPr>
        <w:rPr>
          <w:rFonts w:ascii="Arial" w:hAnsi="Arial" w:cs="Arial"/>
          <w:b/>
          <w:bCs/>
        </w:rPr>
      </w:pPr>
    </w:p>
    <w:p w:rsidR="007D48BC" w:rsidRPr="00E3472F" w:rsidRDefault="007D48BC" w:rsidP="00BC3E8E">
      <w:pPr>
        <w:pStyle w:val="Ttulo2"/>
        <w:pBdr>
          <w:top w:val="single" w:sz="4" w:space="1" w:color="auto"/>
          <w:left w:val="single" w:sz="4" w:space="4" w:color="auto"/>
          <w:bottom w:val="single" w:sz="4" w:space="1" w:color="auto"/>
          <w:right w:val="single" w:sz="4" w:space="2" w:color="auto"/>
        </w:pBdr>
        <w:shd w:val="clear" w:color="auto" w:fill="D9D9D9"/>
        <w:rPr>
          <w:sz w:val="20"/>
          <w:szCs w:val="20"/>
        </w:rPr>
      </w:pPr>
      <w:bookmarkStart w:id="9" w:name="_Toc344399621"/>
      <w:bookmarkStart w:id="10" w:name="_Toc348931348"/>
      <w:r w:rsidRPr="00E3472F">
        <w:rPr>
          <w:sz w:val="20"/>
          <w:szCs w:val="20"/>
        </w:rPr>
        <w:t>3.1 Área descriptiva del medicamento</w:t>
      </w:r>
      <w:bookmarkEnd w:id="9"/>
      <w:bookmarkEnd w:id="10"/>
      <w:r w:rsidR="00FE59AC">
        <w:rPr>
          <w:sz w:val="20"/>
          <w:szCs w:val="20"/>
        </w:rPr>
        <w:fldChar w:fldCharType="begin"/>
      </w:r>
      <w:r>
        <w:instrText>xe "</w:instrText>
      </w:r>
      <w:r w:rsidRPr="00546591">
        <w:rPr>
          <w:sz w:val="20"/>
          <w:szCs w:val="20"/>
        </w:rPr>
        <w:instrText>3.1 Área descriptiva del medicamento</w:instrText>
      </w:r>
      <w:r>
        <w:instrText>"</w:instrText>
      </w:r>
      <w:r w:rsidR="00FE59AC">
        <w:rPr>
          <w:sz w:val="20"/>
          <w:szCs w:val="20"/>
        </w:rPr>
        <w:fldChar w:fldCharType="end"/>
      </w:r>
    </w:p>
    <w:p w:rsidR="007D48BC" w:rsidRPr="006F6ABB" w:rsidRDefault="007D48BC" w:rsidP="00BC3E8E">
      <w:pPr>
        <w:rPr>
          <w:rFonts w:ascii="Arial" w:hAnsi="Arial" w:cs="Arial"/>
          <w:b/>
          <w:bCs/>
        </w:rPr>
      </w:pPr>
    </w:p>
    <w:p w:rsidR="007D48BC" w:rsidRPr="006F6ABB" w:rsidRDefault="007D48BC" w:rsidP="00BC3E8E">
      <w:pPr>
        <w:rPr>
          <w:rFonts w:ascii="Arial" w:hAnsi="Arial" w:cs="Arial"/>
        </w:rPr>
      </w:pPr>
      <w:r w:rsidRPr="006F6ABB">
        <w:rPr>
          <w:rFonts w:ascii="Arial" w:hAnsi="Arial" w:cs="Arial"/>
          <w:b/>
          <w:bCs/>
        </w:rPr>
        <w:t>Nombre genérico</w:t>
      </w:r>
      <w:r w:rsidRPr="006F6ABB">
        <w:rPr>
          <w:rFonts w:ascii="Arial" w:hAnsi="Arial" w:cs="Arial"/>
        </w:rPr>
        <w:t>:</w:t>
      </w:r>
      <w:r>
        <w:rPr>
          <w:rFonts w:ascii="Arial" w:hAnsi="Arial" w:cs="Arial"/>
        </w:rPr>
        <w:t xml:space="preserve"> Axicabtagen ciloleucel</w:t>
      </w:r>
    </w:p>
    <w:p w:rsidR="007D48BC" w:rsidRPr="006F6ABB" w:rsidRDefault="007D48BC" w:rsidP="00BC3E8E">
      <w:pPr>
        <w:rPr>
          <w:rFonts w:ascii="Arial" w:hAnsi="Arial" w:cs="Arial"/>
        </w:rPr>
      </w:pPr>
      <w:r w:rsidRPr="006F6ABB">
        <w:rPr>
          <w:rFonts w:ascii="Arial" w:hAnsi="Arial" w:cs="Arial"/>
          <w:b/>
          <w:bCs/>
        </w:rPr>
        <w:t>Nombre comercial</w:t>
      </w:r>
      <w:r w:rsidRPr="006F6ABB">
        <w:rPr>
          <w:rFonts w:ascii="Arial" w:hAnsi="Arial" w:cs="Arial"/>
        </w:rPr>
        <w:t xml:space="preserve">: </w:t>
      </w:r>
      <w:r w:rsidRPr="006B3422">
        <w:rPr>
          <w:rFonts w:ascii="Arial" w:hAnsi="Arial" w:cs="Arial"/>
        </w:rPr>
        <w:t>Yescarta</w:t>
      </w:r>
      <w:r>
        <w:rPr>
          <w:rFonts w:ascii="Arial" w:hAnsi="Arial" w:cs="Arial"/>
        </w:rPr>
        <w:t>®</w:t>
      </w:r>
    </w:p>
    <w:p w:rsidR="007D48BC" w:rsidRPr="006F6ABB" w:rsidRDefault="007D48BC" w:rsidP="00BC3E8E">
      <w:pPr>
        <w:rPr>
          <w:rFonts w:ascii="Arial" w:hAnsi="Arial" w:cs="Arial"/>
        </w:rPr>
      </w:pPr>
      <w:r w:rsidRPr="006F6ABB">
        <w:rPr>
          <w:rFonts w:ascii="Arial" w:hAnsi="Arial" w:cs="Arial"/>
          <w:b/>
          <w:bCs/>
        </w:rPr>
        <w:t>Laboratorio</w:t>
      </w:r>
      <w:r w:rsidRPr="006F6ABB">
        <w:rPr>
          <w:rFonts w:ascii="Arial" w:hAnsi="Arial" w:cs="Arial"/>
        </w:rPr>
        <w:t>:</w:t>
      </w:r>
      <w:r>
        <w:rPr>
          <w:rFonts w:ascii="Arial" w:hAnsi="Arial" w:cs="Arial"/>
        </w:rPr>
        <w:t xml:space="preserve"> Kite Pharma EU B.V.</w:t>
      </w:r>
    </w:p>
    <w:p w:rsidR="007D48BC" w:rsidRPr="006F6ABB" w:rsidRDefault="007D48BC" w:rsidP="00BC3E8E">
      <w:pPr>
        <w:rPr>
          <w:rFonts w:ascii="Arial" w:hAnsi="Arial" w:cs="Arial"/>
        </w:rPr>
      </w:pPr>
      <w:r w:rsidRPr="006F6ABB">
        <w:rPr>
          <w:rFonts w:ascii="Arial" w:hAnsi="Arial" w:cs="Arial"/>
          <w:b/>
          <w:bCs/>
        </w:rPr>
        <w:t>Grupo terapéutico</w:t>
      </w:r>
      <w:r>
        <w:rPr>
          <w:rFonts w:ascii="Arial" w:hAnsi="Arial" w:cs="Arial"/>
        </w:rPr>
        <w:t>. Denominación: Otros agentes antineoplásicos</w:t>
      </w:r>
      <w:r w:rsidRPr="006F6ABB">
        <w:rPr>
          <w:rFonts w:ascii="Arial" w:hAnsi="Arial" w:cs="Arial"/>
        </w:rPr>
        <w:t xml:space="preserve">             Código ATC:</w:t>
      </w:r>
      <w:r>
        <w:rPr>
          <w:rFonts w:ascii="Arial" w:hAnsi="Arial" w:cs="Arial"/>
        </w:rPr>
        <w:t xml:space="preserve"> L01X</w:t>
      </w:r>
    </w:p>
    <w:p w:rsidR="007D48BC" w:rsidRPr="006F6ABB" w:rsidRDefault="007D48BC" w:rsidP="00BC3E8E">
      <w:pPr>
        <w:rPr>
          <w:rFonts w:ascii="Arial" w:hAnsi="Arial" w:cs="Arial"/>
        </w:rPr>
      </w:pPr>
      <w:r w:rsidRPr="006F6ABB">
        <w:rPr>
          <w:rFonts w:ascii="Arial" w:hAnsi="Arial" w:cs="Arial"/>
          <w:b/>
          <w:bCs/>
        </w:rPr>
        <w:t>Vía de administración</w:t>
      </w:r>
      <w:r w:rsidRPr="006F6ABB">
        <w:rPr>
          <w:rFonts w:ascii="Arial" w:hAnsi="Arial" w:cs="Arial"/>
        </w:rPr>
        <w:t xml:space="preserve">: </w:t>
      </w:r>
      <w:r>
        <w:rPr>
          <w:rFonts w:ascii="Arial" w:hAnsi="Arial" w:cs="Arial"/>
        </w:rPr>
        <w:t>Intravenosa</w:t>
      </w:r>
    </w:p>
    <w:p w:rsidR="007D48BC" w:rsidRPr="006F6ABB" w:rsidRDefault="007D48BC" w:rsidP="00BC3E8E">
      <w:pPr>
        <w:jc w:val="both"/>
        <w:rPr>
          <w:rFonts w:ascii="Arial" w:hAnsi="Arial" w:cs="Arial"/>
        </w:rPr>
      </w:pPr>
      <w:r w:rsidRPr="006F6ABB">
        <w:rPr>
          <w:rFonts w:ascii="Arial" w:hAnsi="Arial" w:cs="Arial"/>
          <w:b/>
          <w:bCs/>
        </w:rPr>
        <w:t>Tipo de dispensación</w:t>
      </w:r>
      <w:r w:rsidRPr="006F6ABB">
        <w:rPr>
          <w:rFonts w:ascii="Arial" w:hAnsi="Arial" w:cs="Arial"/>
        </w:rPr>
        <w:t xml:space="preserve">: </w:t>
      </w:r>
      <w:r>
        <w:rPr>
          <w:rFonts w:ascii="Arial" w:hAnsi="Arial" w:cs="Arial"/>
        </w:rPr>
        <w:t>Uso Hospitalario</w:t>
      </w:r>
    </w:p>
    <w:p w:rsidR="007D48BC" w:rsidRPr="00D851E3" w:rsidRDefault="007D48BC" w:rsidP="00FE3B41">
      <w:pPr>
        <w:pStyle w:val="Encabezado"/>
        <w:tabs>
          <w:tab w:val="clear" w:pos="4252"/>
          <w:tab w:val="clear" w:pos="8504"/>
        </w:tabs>
        <w:jc w:val="both"/>
        <w:rPr>
          <w:rFonts w:ascii="Arial" w:hAnsi="Arial" w:cs="Arial"/>
          <w:sz w:val="20"/>
          <w:szCs w:val="20"/>
        </w:rPr>
      </w:pPr>
      <w:r w:rsidRPr="00D851E3">
        <w:rPr>
          <w:rFonts w:ascii="Arial" w:hAnsi="Arial" w:cs="Arial"/>
          <w:b/>
          <w:bCs/>
          <w:sz w:val="20"/>
          <w:szCs w:val="20"/>
        </w:rPr>
        <w:t>Información de registro</w:t>
      </w:r>
      <w:r w:rsidRPr="00D851E3">
        <w:rPr>
          <w:rFonts w:ascii="Arial" w:hAnsi="Arial" w:cs="Arial"/>
          <w:sz w:val="20"/>
          <w:szCs w:val="20"/>
        </w:rPr>
        <w:t>:</w:t>
      </w:r>
      <w:r>
        <w:rPr>
          <w:rFonts w:ascii="Arial" w:hAnsi="Arial" w:cs="Arial"/>
          <w:sz w:val="20"/>
          <w:szCs w:val="20"/>
        </w:rPr>
        <w:t xml:space="preserve"> Registro cen</w:t>
      </w:r>
      <w:r w:rsidRPr="00D851E3">
        <w:rPr>
          <w:rFonts w:ascii="Arial" w:hAnsi="Arial" w:cs="Arial"/>
          <w:sz w:val="20"/>
          <w:szCs w:val="20"/>
        </w:rPr>
        <w:t>tralizado</w:t>
      </w:r>
      <w:r>
        <w:rPr>
          <w:rFonts w:ascii="Arial" w:hAnsi="Arial" w:cs="Arial"/>
          <w:sz w:val="20"/>
          <w:szCs w:val="20"/>
        </w:rPr>
        <w:t xml:space="preserve"> en la EMA</w:t>
      </w:r>
      <w:r w:rsidRPr="00D851E3">
        <w:rPr>
          <w:rFonts w:ascii="Arial" w:hAnsi="Arial" w:cs="Arial"/>
          <w:sz w:val="20"/>
          <w:szCs w:val="20"/>
        </w:rPr>
        <w:t>, medicamento huérfano</w:t>
      </w:r>
    </w:p>
    <w:tbl>
      <w:tblPr>
        <w:tblW w:w="8962" w:type="dxa"/>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3403"/>
        <w:gridCol w:w="1701"/>
        <w:gridCol w:w="992"/>
        <w:gridCol w:w="2866"/>
      </w:tblGrid>
      <w:tr w:rsidR="007D48BC" w:rsidRPr="006F6ABB">
        <w:trPr>
          <w:cantSplit/>
        </w:trPr>
        <w:tc>
          <w:tcPr>
            <w:tcW w:w="8962" w:type="dxa"/>
            <w:gridSpan w:val="4"/>
            <w:shd w:val="clear" w:color="auto" w:fill="CCFFCC"/>
          </w:tcPr>
          <w:p w:rsidR="007D48BC" w:rsidRPr="006F6ABB" w:rsidRDefault="007D48BC" w:rsidP="00BC3E8E">
            <w:pPr>
              <w:jc w:val="both"/>
              <w:rPr>
                <w:rFonts w:ascii="Arial" w:hAnsi="Arial" w:cs="Arial"/>
                <w:b/>
                <w:bCs/>
                <w:sz w:val="16"/>
                <w:szCs w:val="16"/>
              </w:rPr>
            </w:pPr>
            <w:r w:rsidRPr="00117945">
              <w:rPr>
                <w:rFonts w:ascii="Arial" w:hAnsi="Arial" w:cs="Arial"/>
                <w:b/>
                <w:bCs/>
                <w:sz w:val="18"/>
                <w:szCs w:val="18"/>
              </w:rPr>
              <w:t xml:space="preserve">Presentaciones y precio </w:t>
            </w:r>
            <w:r w:rsidRPr="00117945">
              <w:rPr>
                <w:rFonts w:ascii="Arial" w:hAnsi="Arial" w:cs="Arial"/>
                <w:sz w:val="18"/>
                <w:szCs w:val="18"/>
              </w:rPr>
              <w:t xml:space="preserve"> </w:t>
            </w:r>
          </w:p>
        </w:tc>
      </w:tr>
      <w:tr w:rsidR="007D48BC" w:rsidRPr="006F6ABB">
        <w:trPr>
          <w:cantSplit/>
        </w:trPr>
        <w:tc>
          <w:tcPr>
            <w:tcW w:w="3403" w:type="dxa"/>
            <w:vAlign w:val="center"/>
          </w:tcPr>
          <w:p w:rsidR="007D48BC" w:rsidRPr="006F6ABB" w:rsidRDefault="007D48BC" w:rsidP="00D851E3">
            <w:pPr>
              <w:jc w:val="center"/>
              <w:rPr>
                <w:rFonts w:ascii="Arial" w:hAnsi="Arial" w:cs="Arial"/>
                <w:sz w:val="16"/>
                <w:szCs w:val="16"/>
              </w:rPr>
            </w:pPr>
            <w:r w:rsidRPr="006F6ABB">
              <w:rPr>
                <w:rFonts w:ascii="Arial" w:hAnsi="Arial" w:cs="Arial"/>
                <w:sz w:val="16"/>
                <w:szCs w:val="16"/>
              </w:rPr>
              <w:t>Forma farmacéutica y dosis</w:t>
            </w:r>
          </w:p>
        </w:tc>
        <w:tc>
          <w:tcPr>
            <w:tcW w:w="1701" w:type="dxa"/>
            <w:vAlign w:val="center"/>
          </w:tcPr>
          <w:p w:rsidR="007D48BC" w:rsidRPr="006F6ABB" w:rsidRDefault="007D48BC" w:rsidP="00D851E3">
            <w:pPr>
              <w:jc w:val="center"/>
              <w:rPr>
                <w:rFonts w:ascii="Arial" w:hAnsi="Arial" w:cs="Arial"/>
                <w:sz w:val="16"/>
                <w:szCs w:val="16"/>
                <w:lang w:val="pt-BR"/>
              </w:rPr>
            </w:pPr>
            <w:r w:rsidRPr="006F6ABB">
              <w:rPr>
                <w:rFonts w:ascii="Arial" w:hAnsi="Arial" w:cs="Arial"/>
                <w:sz w:val="16"/>
                <w:szCs w:val="16"/>
                <w:lang w:val="pt-BR"/>
              </w:rPr>
              <w:t>Nº de unidades por envase</w:t>
            </w:r>
          </w:p>
        </w:tc>
        <w:tc>
          <w:tcPr>
            <w:tcW w:w="992" w:type="dxa"/>
            <w:vAlign w:val="center"/>
          </w:tcPr>
          <w:p w:rsidR="007D48BC" w:rsidRPr="006F6ABB" w:rsidRDefault="007D48BC" w:rsidP="00D851E3">
            <w:pPr>
              <w:jc w:val="center"/>
              <w:rPr>
                <w:rFonts w:ascii="Arial" w:hAnsi="Arial" w:cs="Arial"/>
                <w:sz w:val="16"/>
                <w:szCs w:val="16"/>
              </w:rPr>
            </w:pPr>
            <w:r w:rsidRPr="006F6ABB">
              <w:rPr>
                <w:rFonts w:ascii="Arial" w:hAnsi="Arial" w:cs="Arial"/>
                <w:sz w:val="16"/>
                <w:szCs w:val="16"/>
              </w:rPr>
              <w:t>Código</w:t>
            </w:r>
          </w:p>
        </w:tc>
        <w:tc>
          <w:tcPr>
            <w:tcW w:w="2866" w:type="dxa"/>
            <w:vAlign w:val="center"/>
          </w:tcPr>
          <w:p w:rsidR="007D48BC" w:rsidRPr="006F6ABB" w:rsidRDefault="007D48BC" w:rsidP="00D851E3">
            <w:pPr>
              <w:jc w:val="center"/>
              <w:rPr>
                <w:rFonts w:ascii="Arial" w:hAnsi="Arial" w:cs="Arial"/>
                <w:sz w:val="16"/>
                <w:szCs w:val="16"/>
              </w:rPr>
            </w:pPr>
            <w:r w:rsidRPr="006F6ABB">
              <w:rPr>
                <w:rFonts w:ascii="Arial" w:hAnsi="Arial" w:cs="Arial"/>
                <w:sz w:val="16"/>
                <w:szCs w:val="16"/>
              </w:rPr>
              <w:t>Coste por unidad PVL + IVA</w:t>
            </w:r>
            <w:r>
              <w:rPr>
                <w:rFonts w:ascii="Arial" w:hAnsi="Arial" w:cs="Arial"/>
                <w:sz w:val="16"/>
                <w:szCs w:val="16"/>
              </w:rPr>
              <w:t xml:space="preserve"> (1)</w:t>
            </w:r>
          </w:p>
        </w:tc>
      </w:tr>
      <w:tr w:rsidR="007D48BC" w:rsidRPr="006F6ABB">
        <w:trPr>
          <w:cantSplit/>
        </w:trPr>
        <w:tc>
          <w:tcPr>
            <w:tcW w:w="3403" w:type="dxa"/>
            <w:vAlign w:val="center"/>
          </w:tcPr>
          <w:p w:rsidR="007D48BC" w:rsidRPr="006F6ABB" w:rsidRDefault="007D48BC" w:rsidP="00D851E3">
            <w:pPr>
              <w:jc w:val="center"/>
              <w:rPr>
                <w:rFonts w:ascii="Arial" w:hAnsi="Arial" w:cs="Arial"/>
                <w:sz w:val="16"/>
                <w:szCs w:val="16"/>
              </w:rPr>
            </w:pPr>
            <w:r>
              <w:rPr>
                <w:rFonts w:ascii="Arial" w:hAnsi="Arial" w:cs="Arial"/>
                <w:sz w:val="16"/>
                <w:szCs w:val="16"/>
              </w:rPr>
              <w:t>Yescarta 0.4 - 2x10E8 celulas dispersión para perfusión, bolsa 68 ml</w:t>
            </w:r>
          </w:p>
        </w:tc>
        <w:tc>
          <w:tcPr>
            <w:tcW w:w="1701" w:type="dxa"/>
            <w:vAlign w:val="center"/>
          </w:tcPr>
          <w:p w:rsidR="007D48BC" w:rsidRPr="006F6ABB" w:rsidRDefault="007D48BC" w:rsidP="00D851E3">
            <w:pPr>
              <w:jc w:val="center"/>
              <w:rPr>
                <w:rFonts w:ascii="Arial" w:hAnsi="Arial" w:cs="Arial"/>
                <w:sz w:val="16"/>
                <w:szCs w:val="16"/>
              </w:rPr>
            </w:pPr>
            <w:r>
              <w:rPr>
                <w:rFonts w:ascii="Arial" w:hAnsi="Arial" w:cs="Arial"/>
                <w:sz w:val="16"/>
                <w:szCs w:val="16"/>
              </w:rPr>
              <w:t>1 bolsa</w:t>
            </w:r>
          </w:p>
        </w:tc>
        <w:tc>
          <w:tcPr>
            <w:tcW w:w="992" w:type="dxa"/>
            <w:vAlign w:val="center"/>
          </w:tcPr>
          <w:p w:rsidR="007D48BC" w:rsidRPr="006F6ABB" w:rsidRDefault="007D48BC" w:rsidP="00D851E3">
            <w:pPr>
              <w:jc w:val="center"/>
              <w:rPr>
                <w:rFonts w:ascii="Arial" w:hAnsi="Arial" w:cs="Arial"/>
                <w:sz w:val="16"/>
                <w:szCs w:val="16"/>
              </w:rPr>
            </w:pPr>
            <w:r>
              <w:rPr>
                <w:rFonts w:ascii="Arial" w:hAnsi="Arial" w:cs="Arial"/>
                <w:sz w:val="16"/>
                <w:szCs w:val="16"/>
              </w:rPr>
              <w:t>723562</w:t>
            </w:r>
          </w:p>
        </w:tc>
        <w:tc>
          <w:tcPr>
            <w:tcW w:w="2866" w:type="dxa"/>
            <w:vAlign w:val="center"/>
          </w:tcPr>
          <w:p w:rsidR="007D48BC" w:rsidRPr="006F6ABB" w:rsidRDefault="007D48BC" w:rsidP="00D851E3">
            <w:pPr>
              <w:jc w:val="center"/>
              <w:rPr>
                <w:rFonts w:ascii="Arial" w:hAnsi="Arial" w:cs="Arial"/>
                <w:sz w:val="16"/>
                <w:szCs w:val="16"/>
              </w:rPr>
            </w:pPr>
            <w:r>
              <w:rPr>
                <w:rFonts w:ascii="Arial" w:hAnsi="Arial" w:cs="Arial"/>
                <w:sz w:val="16"/>
                <w:szCs w:val="16"/>
              </w:rPr>
              <w:t xml:space="preserve">418.214 </w:t>
            </w:r>
            <w:r w:rsidRPr="001F344E">
              <w:rPr>
                <w:rFonts w:ascii="Arial" w:hAnsi="Arial" w:cs="Arial"/>
                <w:sz w:val="16"/>
                <w:szCs w:val="16"/>
              </w:rPr>
              <w:t>€</w:t>
            </w:r>
          </w:p>
        </w:tc>
      </w:tr>
    </w:tbl>
    <w:p w:rsidR="007D48BC" w:rsidRPr="00AC3D7B" w:rsidRDefault="007D48BC" w:rsidP="00AC3D7B">
      <w:pPr>
        <w:rPr>
          <w:rFonts w:ascii="Arial" w:hAnsi="Arial" w:cs="Arial"/>
          <w:color w:val="333399"/>
          <w:sz w:val="16"/>
          <w:szCs w:val="16"/>
        </w:rPr>
      </w:pPr>
      <w:r w:rsidRPr="00453324">
        <w:rPr>
          <w:rFonts w:ascii="Arial" w:hAnsi="Arial" w:cs="Arial"/>
          <w:color w:val="333399"/>
          <w:sz w:val="16"/>
          <w:szCs w:val="16"/>
        </w:rPr>
        <w:t xml:space="preserve">(1) Precio de </w:t>
      </w:r>
      <w:r w:rsidR="003D2521" w:rsidRPr="00453324">
        <w:rPr>
          <w:rFonts w:ascii="Arial" w:hAnsi="Arial" w:cs="Arial"/>
          <w:color w:val="333399"/>
          <w:sz w:val="16"/>
          <w:szCs w:val="16"/>
        </w:rPr>
        <w:t>EEUU</w:t>
      </w:r>
      <w:r w:rsidR="00174EB6" w:rsidRPr="00453324">
        <w:rPr>
          <w:rFonts w:ascii="Arial" w:hAnsi="Arial" w:cs="Arial"/>
          <w:color w:val="333399"/>
          <w:sz w:val="16"/>
          <w:szCs w:val="16"/>
        </w:rPr>
        <w:t>: 47</w:t>
      </w:r>
      <w:r w:rsidR="00735AF7" w:rsidRPr="00453324">
        <w:rPr>
          <w:rFonts w:ascii="Arial" w:hAnsi="Arial" w:cs="Arial"/>
          <w:color w:val="333399"/>
          <w:sz w:val="16"/>
          <w:szCs w:val="16"/>
        </w:rPr>
        <w:t>5</w:t>
      </w:r>
      <w:r w:rsidR="00174EB6" w:rsidRPr="00453324">
        <w:rPr>
          <w:rFonts w:ascii="Arial" w:hAnsi="Arial" w:cs="Arial"/>
          <w:color w:val="333399"/>
          <w:sz w:val="16"/>
          <w:szCs w:val="16"/>
        </w:rPr>
        <w:t>.000</w:t>
      </w:r>
      <w:r w:rsidR="00735AF7" w:rsidRPr="00453324">
        <w:rPr>
          <w:rFonts w:ascii="Arial" w:hAnsi="Arial" w:cs="Arial"/>
          <w:color w:val="333399"/>
          <w:sz w:val="16"/>
          <w:szCs w:val="16"/>
        </w:rPr>
        <w:t xml:space="preserve"> dólares, conversión a euros en enero de 2019</w:t>
      </w:r>
      <w:r w:rsidR="00174EB6">
        <w:rPr>
          <w:rFonts w:ascii="Arial" w:hAnsi="Arial" w:cs="Arial"/>
          <w:color w:val="333399"/>
          <w:sz w:val="16"/>
          <w:szCs w:val="16"/>
        </w:rPr>
        <w:t xml:space="preserve"> </w:t>
      </w:r>
    </w:p>
    <w:p w:rsidR="007D48BC" w:rsidRPr="00E3472F" w:rsidRDefault="007D48BC" w:rsidP="00BC3E8E">
      <w:pPr>
        <w:pStyle w:val="Ttulo2"/>
        <w:pBdr>
          <w:top w:val="single" w:sz="4" w:space="1" w:color="auto"/>
          <w:left w:val="single" w:sz="4" w:space="4" w:color="auto"/>
          <w:bottom w:val="single" w:sz="4" w:space="1" w:color="auto"/>
          <w:right w:val="single" w:sz="4" w:space="4" w:color="auto"/>
        </w:pBdr>
        <w:shd w:val="clear" w:color="auto" w:fill="D9D9D9"/>
        <w:rPr>
          <w:sz w:val="20"/>
          <w:szCs w:val="20"/>
        </w:rPr>
      </w:pPr>
      <w:bookmarkStart w:id="11" w:name="_Toc344399622"/>
      <w:bookmarkStart w:id="12" w:name="_Toc348931349"/>
      <w:r w:rsidRPr="00E3472F">
        <w:rPr>
          <w:sz w:val="20"/>
          <w:szCs w:val="20"/>
        </w:rPr>
        <w:t>3.2 Área descriptiva del problema de salud</w:t>
      </w:r>
      <w:bookmarkEnd w:id="11"/>
      <w:bookmarkEnd w:id="12"/>
      <w:r w:rsidR="00FE59AC">
        <w:rPr>
          <w:sz w:val="20"/>
          <w:szCs w:val="20"/>
        </w:rPr>
        <w:fldChar w:fldCharType="begin"/>
      </w:r>
      <w:r>
        <w:instrText>xe "</w:instrText>
      </w:r>
      <w:r w:rsidRPr="001E702B">
        <w:rPr>
          <w:sz w:val="20"/>
          <w:szCs w:val="20"/>
        </w:rPr>
        <w:instrText>3.2 Área descriptiva del problema de salud</w:instrText>
      </w:r>
      <w:r>
        <w:instrText>"</w:instrText>
      </w:r>
      <w:r w:rsidR="00FE59AC">
        <w:rPr>
          <w:sz w:val="20"/>
          <w:szCs w:val="20"/>
        </w:rPr>
        <w:fldChar w:fldCharType="end"/>
      </w:r>
    </w:p>
    <w:p w:rsidR="007D48BC" w:rsidRPr="006F6ABB" w:rsidRDefault="007D48BC" w:rsidP="00BC3E8E">
      <w:pPr>
        <w:jc w:val="both"/>
        <w:rPr>
          <w:rFonts w:ascii="Arial" w:hAnsi="Arial" w:cs="Arial"/>
          <w:color w:val="000080"/>
        </w:rPr>
      </w:pPr>
    </w:p>
    <w:p w:rsidR="007D48BC" w:rsidRPr="00E3472F" w:rsidRDefault="007D48BC" w:rsidP="00BC3E8E">
      <w:pPr>
        <w:pStyle w:val="Ttulo2"/>
        <w:pBdr>
          <w:top w:val="single" w:sz="4" w:space="1" w:color="auto"/>
          <w:left w:val="single" w:sz="4" w:space="4" w:color="auto"/>
          <w:bottom w:val="single" w:sz="4" w:space="1" w:color="auto"/>
          <w:right w:val="single" w:sz="4" w:space="4" w:color="auto"/>
        </w:pBdr>
        <w:shd w:val="clear" w:color="auto" w:fill="D9D9D9"/>
        <w:rPr>
          <w:sz w:val="20"/>
          <w:szCs w:val="20"/>
        </w:rPr>
      </w:pPr>
      <w:bookmarkStart w:id="13" w:name="_Toc344399623"/>
      <w:bookmarkStart w:id="14" w:name="_Toc348931350"/>
      <w:r w:rsidRPr="00E3472F">
        <w:rPr>
          <w:sz w:val="20"/>
          <w:szCs w:val="20"/>
        </w:rPr>
        <w:t>3.2.a Descripción estructurada del problema de salud</w:t>
      </w:r>
      <w:bookmarkEnd w:id="13"/>
      <w:bookmarkEnd w:id="14"/>
      <w:r w:rsidR="00FE59AC">
        <w:rPr>
          <w:sz w:val="20"/>
          <w:szCs w:val="20"/>
        </w:rPr>
        <w:fldChar w:fldCharType="begin"/>
      </w:r>
      <w:r>
        <w:instrText>xe "</w:instrText>
      </w:r>
      <w:r w:rsidRPr="00C60747">
        <w:rPr>
          <w:sz w:val="20"/>
          <w:szCs w:val="20"/>
        </w:rPr>
        <w:instrText>3.2.a Descripción estructurada del problema de salud</w:instrText>
      </w:r>
      <w:r>
        <w:instrText>"</w:instrText>
      </w:r>
      <w:r w:rsidR="00FE59AC">
        <w:rPr>
          <w:sz w:val="20"/>
          <w:szCs w:val="20"/>
        </w:rPr>
        <w:fldChar w:fldCharType="end"/>
      </w:r>
    </w:p>
    <w:p w:rsidR="007D48BC" w:rsidRPr="006F6ABB" w:rsidRDefault="007D48BC" w:rsidP="00BC3E8E">
      <w:pPr>
        <w:jc w:val="both"/>
        <w:rPr>
          <w:rFonts w:ascii="Arial" w:hAnsi="Arial" w:cs="Arial"/>
          <w:b/>
          <w:bCs/>
          <w:color w:val="FF0000"/>
        </w:rPr>
      </w:pPr>
    </w:p>
    <w:tbl>
      <w:tblPr>
        <w:tblW w:w="8931" w:type="dxa"/>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3403"/>
        <w:gridCol w:w="5528"/>
      </w:tblGrid>
      <w:tr w:rsidR="007D48BC" w:rsidRPr="006F6ABB">
        <w:trPr>
          <w:cantSplit/>
        </w:trPr>
        <w:tc>
          <w:tcPr>
            <w:tcW w:w="8931" w:type="dxa"/>
            <w:gridSpan w:val="2"/>
            <w:shd w:val="clear" w:color="auto" w:fill="CCFFCC"/>
          </w:tcPr>
          <w:p w:rsidR="007D48BC" w:rsidRPr="00117945" w:rsidRDefault="007D48BC" w:rsidP="00BC3E8E">
            <w:pPr>
              <w:rPr>
                <w:rFonts w:ascii="Arial" w:hAnsi="Arial" w:cs="Arial"/>
                <w:b/>
                <w:bCs/>
                <w:sz w:val="18"/>
                <w:szCs w:val="18"/>
              </w:rPr>
            </w:pPr>
            <w:r w:rsidRPr="00117945">
              <w:rPr>
                <w:rFonts w:ascii="Arial" w:hAnsi="Arial" w:cs="Arial"/>
                <w:b/>
                <w:bCs/>
                <w:sz w:val="18"/>
                <w:szCs w:val="18"/>
              </w:rPr>
              <w:t>Descripción del problema de salud</w:t>
            </w:r>
          </w:p>
        </w:tc>
      </w:tr>
      <w:tr w:rsidR="007D48BC" w:rsidRPr="006F6ABB">
        <w:trPr>
          <w:cantSplit/>
        </w:trPr>
        <w:tc>
          <w:tcPr>
            <w:tcW w:w="3403" w:type="dxa"/>
            <w:shd w:val="clear" w:color="auto" w:fill="E6E6E6"/>
          </w:tcPr>
          <w:p w:rsidR="007D48BC" w:rsidRPr="00117945" w:rsidRDefault="007D48BC" w:rsidP="00BC3E8E">
            <w:pPr>
              <w:rPr>
                <w:rFonts w:ascii="Arial" w:hAnsi="Arial" w:cs="Arial"/>
                <w:sz w:val="16"/>
                <w:szCs w:val="16"/>
              </w:rPr>
            </w:pPr>
            <w:r w:rsidRPr="00117945">
              <w:rPr>
                <w:rFonts w:ascii="Arial" w:hAnsi="Arial" w:cs="Arial"/>
                <w:sz w:val="16"/>
                <w:szCs w:val="16"/>
              </w:rPr>
              <w:t>Definición</w:t>
            </w:r>
          </w:p>
        </w:tc>
        <w:tc>
          <w:tcPr>
            <w:tcW w:w="5528" w:type="dxa"/>
          </w:tcPr>
          <w:p w:rsidR="007D48BC" w:rsidRPr="006F6ABB" w:rsidRDefault="007D48BC" w:rsidP="00AD36D9">
            <w:pPr>
              <w:rPr>
                <w:rFonts w:ascii="Arial" w:hAnsi="Arial" w:cs="Arial"/>
              </w:rPr>
            </w:pPr>
            <w:r>
              <w:rPr>
                <w:rFonts w:ascii="Arial" w:hAnsi="Arial" w:cs="Arial"/>
                <w:sz w:val="16"/>
                <w:szCs w:val="16"/>
              </w:rPr>
              <w:t>El LDCBG es una n</w:t>
            </w:r>
            <w:r w:rsidRPr="002131A3">
              <w:rPr>
                <w:rFonts w:ascii="Arial" w:hAnsi="Arial" w:cs="Arial"/>
                <w:sz w:val="16"/>
                <w:szCs w:val="16"/>
              </w:rPr>
              <w:t>eoplasia linfoide de fenotipo B compuesta por células de tamaño grande (</w:t>
            </w:r>
            <w:r>
              <w:rPr>
                <w:rFonts w:ascii="Arial" w:hAnsi="Arial" w:cs="Arial"/>
                <w:sz w:val="16"/>
                <w:szCs w:val="16"/>
              </w:rPr>
              <w:t xml:space="preserve">el </w:t>
            </w:r>
            <w:r w:rsidRPr="002131A3">
              <w:rPr>
                <w:rFonts w:ascii="Arial" w:hAnsi="Arial" w:cs="Arial"/>
                <w:sz w:val="16"/>
                <w:szCs w:val="16"/>
              </w:rPr>
              <w:t>núcleo de una única célula neoplásica es al menos dos veces el de un linfocito normal o mayor que el núcleo de un macrófago), que infiltra de forma difusa el tejido. Puede presentarse tanto en los ganglios como en localizaciones extraganglionares.</w:t>
            </w:r>
          </w:p>
        </w:tc>
      </w:tr>
      <w:tr w:rsidR="007D48BC" w:rsidRPr="006F6ABB">
        <w:trPr>
          <w:cantSplit/>
        </w:trPr>
        <w:tc>
          <w:tcPr>
            <w:tcW w:w="3403" w:type="dxa"/>
            <w:shd w:val="clear" w:color="auto" w:fill="E6E6E6"/>
          </w:tcPr>
          <w:p w:rsidR="007D48BC" w:rsidRPr="00117945" w:rsidRDefault="007D48BC" w:rsidP="00BC3E8E">
            <w:pPr>
              <w:rPr>
                <w:rFonts w:ascii="Arial" w:hAnsi="Arial" w:cs="Arial"/>
                <w:sz w:val="16"/>
                <w:szCs w:val="16"/>
              </w:rPr>
            </w:pPr>
            <w:r w:rsidRPr="00117945">
              <w:rPr>
                <w:rFonts w:ascii="Arial" w:hAnsi="Arial" w:cs="Arial"/>
                <w:sz w:val="16"/>
                <w:szCs w:val="16"/>
              </w:rPr>
              <w:t>Principales manifestaciones clínicas</w:t>
            </w:r>
          </w:p>
        </w:tc>
        <w:tc>
          <w:tcPr>
            <w:tcW w:w="5528" w:type="dxa"/>
          </w:tcPr>
          <w:p w:rsidR="007D48BC" w:rsidRPr="006F6ABB" w:rsidRDefault="007D48BC" w:rsidP="00BC3E8E">
            <w:pPr>
              <w:rPr>
                <w:rFonts w:ascii="Arial" w:hAnsi="Arial" w:cs="Arial"/>
              </w:rPr>
            </w:pPr>
            <w:bookmarkStart w:id="15" w:name="_Hlk530587659"/>
            <w:r>
              <w:rPr>
                <w:rFonts w:ascii="Arial" w:hAnsi="Arial" w:cs="Arial"/>
                <w:sz w:val="16"/>
                <w:szCs w:val="16"/>
              </w:rPr>
              <w:t>LDCBG</w:t>
            </w:r>
            <w:bookmarkEnd w:id="15"/>
            <w:r>
              <w:rPr>
                <w:rFonts w:ascii="Arial" w:hAnsi="Arial" w:cs="Arial"/>
                <w:sz w:val="16"/>
                <w:szCs w:val="16"/>
              </w:rPr>
              <w:t xml:space="preserve"> c</w:t>
            </w:r>
            <w:r w:rsidRPr="009C6F02">
              <w:rPr>
                <w:rFonts w:ascii="Arial" w:hAnsi="Arial" w:cs="Arial"/>
                <w:sz w:val="16"/>
                <w:szCs w:val="16"/>
              </w:rPr>
              <w:t>rece rápidamente en los ganglios linfáticos y es frecuente que afecte el bazo, el hígado, la médula ósea u otros órganos</w:t>
            </w:r>
            <w:r>
              <w:rPr>
                <w:rFonts w:ascii="Arial" w:hAnsi="Arial" w:cs="Arial"/>
                <w:sz w:val="16"/>
                <w:szCs w:val="16"/>
              </w:rPr>
              <w:t xml:space="preserve">. La mayoría de los pacientes con enfermedad avanzada presentan linfoadenopatías. </w:t>
            </w:r>
            <w:r w:rsidRPr="00853EFF">
              <w:rPr>
                <w:rFonts w:ascii="Arial" w:hAnsi="Arial" w:cs="Arial"/>
                <w:sz w:val="16"/>
                <w:szCs w:val="16"/>
              </w:rPr>
              <w:t>Los signos y síntomas son</w:t>
            </w:r>
            <w:r>
              <w:rPr>
                <w:rFonts w:ascii="Arial" w:hAnsi="Arial" w:cs="Arial"/>
                <w:sz w:val="16"/>
                <w:szCs w:val="16"/>
              </w:rPr>
              <w:t xml:space="preserve"> fiebre, </w:t>
            </w:r>
            <w:r w:rsidRPr="00853EFF">
              <w:rPr>
                <w:rFonts w:ascii="Arial" w:hAnsi="Arial" w:cs="Arial"/>
                <w:sz w:val="16"/>
                <w:szCs w:val="16"/>
              </w:rPr>
              <w:t>sudores nocturnos</w:t>
            </w:r>
            <w:r>
              <w:rPr>
                <w:rFonts w:ascii="Arial" w:hAnsi="Arial" w:cs="Arial"/>
                <w:sz w:val="16"/>
                <w:szCs w:val="16"/>
              </w:rPr>
              <w:t xml:space="preserve"> recidivantes</w:t>
            </w:r>
            <w:r w:rsidRPr="00853EFF">
              <w:rPr>
                <w:rFonts w:ascii="Arial" w:hAnsi="Arial" w:cs="Arial"/>
                <w:sz w:val="16"/>
                <w:szCs w:val="16"/>
              </w:rPr>
              <w:t> y pérdida de peso. Estos síntomas también se llaman síntomas B</w:t>
            </w:r>
            <w:r>
              <w:rPr>
                <w:rFonts w:ascii="Arial" w:hAnsi="Arial" w:cs="Arial"/>
                <w:sz w:val="16"/>
                <w:szCs w:val="16"/>
              </w:rPr>
              <w:t>.</w:t>
            </w:r>
          </w:p>
        </w:tc>
      </w:tr>
      <w:tr w:rsidR="007D48BC" w:rsidRPr="006F6ABB">
        <w:trPr>
          <w:cantSplit/>
        </w:trPr>
        <w:tc>
          <w:tcPr>
            <w:tcW w:w="3403" w:type="dxa"/>
            <w:shd w:val="clear" w:color="auto" w:fill="E6E6E6"/>
          </w:tcPr>
          <w:p w:rsidR="007D48BC" w:rsidRPr="00117945" w:rsidRDefault="007D48BC" w:rsidP="00BC3E8E">
            <w:pPr>
              <w:rPr>
                <w:rFonts w:ascii="Arial" w:hAnsi="Arial" w:cs="Arial"/>
                <w:sz w:val="16"/>
                <w:szCs w:val="16"/>
              </w:rPr>
            </w:pPr>
            <w:r w:rsidRPr="00117945">
              <w:rPr>
                <w:rFonts w:ascii="Arial" w:hAnsi="Arial" w:cs="Arial"/>
                <w:sz w:val="16"/>
                <w:szCs w:val="16"/>
              </w:rPr>
              <w:t>Incidencia y prevalencia</w:t>
            </w:r>
          </w:p>
        </w:tc>
        <w:tc>
          <w:tcPr>
            <w:tcW w:w="5528" w:type="dxa"/>
          </w:tcPr>
          <w:p w:rsidR="007D48BC" w:rsidRPr="000F4CE4" w:rsidRDefault="007D48BC" w:rsidP="00F47A30">
            <w:pPr>
              <w:rPr>
                <w:rFonts w:ascii="Arial" w:hAnsi="Arial" w:cs="Arial"/>
                <w:sz w:val="16"/>
                <w:szCs w:val="16"/>
              </w:rPr>
            </w:pPr>
            <w:r>
              <w:rPr>
                <w:rFonts w:ascii="Arial" w:hAnsi="Arial" w:cs="Arial"/>
                <w:sz w:val="16"/>
                <w:szCs w:val="16"/>
              </w:rPr>
              <w:t>LDCBG</w:t>
            </w:r>
            <w:r w:rsidRPr="009C6F02">
              <w:rPr>
                <w:rFonts w:ascii="Arial" w:hAnsi="Arial" w:cs="Arial"/>
                <w:sz w:val="16"/>
                <w:szCs w:val="16"/>
              </w:rPr>
              <w:t xml:space="preserve"> es el tipo más común de linfoma no Hodgkin</w:t>
            </w:r>
            <w:r>
              <w:rPr>
                <w:rFonts w:ascii="Arial" w:hAnsi="Arial" w:cs="Arial"/>
                <w:sz w:val="16"/>
                <w:szCs w:val="16"/>
              </w:rPr>
              <w:t>, representa entre el 30-40% de los casos</w:t>
            </w:r>
            <w:bookmarkStart w:id="16" w:name="_Hlk530587675"/>
            <w:r>
              <w:rPr>
                <w:rFonts w:ascii="Arial" w:hAnsi="Arial" w:cs="Arial"/>
                <w:sz w:val="16"/>
                <w:szCs w:val="16"/>
                <w:vertAlign w:val="superscript"/>
              </w:rPr>
              <w:t>3</w:t>
            </w:r>
            <w:r>
              <w:rPr>
                <w:rFonts w:ascii="Arial" w:hAnsi="Arial" w:cs="Arial"/>
                <w:sz w:val="16"/>
                <w:szCs w:val="16"/>
              </w:rPr>
              <w:t xml:space="preserve">. </w:t>
            </w:r>
            <w:bookmarkEnd w:id="16"/>
            <w:r w:rsidRPr="000F4CE4">
              <w:rPr>
                <w:rFonts w:ascii="Arial" w:hAnsi="Arial" w:cs="Arial"/>
                <w:sz w:val="16"/>
                <w:szCs w:val="16"/>
              </w:rPr>
              <w:t xml:space="preserve">Aunque la mayoría de los pacientes se curan con 6-8 ciclos de </w:t>
            </w:r>
            <w:r>
              <w:rPr>
                <w:rFonts w:ascii="Arial" w:hAnsi="Arial" w:cs="Arial"/>
                <w:sz w:val="16"/>
                <w:szCs w:val="16"/>
              </w:rPr>
              <w:t>quimioterapia</w:t>
            </w:r>
            <w:r w:rsidRPr="000F4CE4">
              <w:rPr>
                <w:rFonts w:ascii="Arial" w:hAnsi="Arial" w:cs="Arial"/>
                <w:sz w:val="16"/>
                <w:szCs w:val="16"/>
              </w:rPr>
              <w:t xml:space="preserve">, aproximadamente el 10-15% tienen enfermedad refractaria primaria y </w:t>
            </w:r>
            <w:r>
              <w:rPr>
                <w:rFonts w:ascii="Arial" w:hAnsi="Arial" w:cs="Arial"/>
                <w:sz w:val="16"/>
                <w:szCs w:val="16"/>
              </w:rPr>
              <w:t xml:space="preserve">más de </w:t>
            </w:r>
            <w:r w:rsidRPr="000F4CE4">
              <w:rPr>
                <w:rFonts w:ascii="Arial" w:hAnsi="Arial" w:cs="Arial"/>
                <w:sz w:val="16"/>
                <w:szCs w:val="16"/>
              </w:rPr>
              <w:t>un 20-30%</w:t>
            </w:r>
            <w:r>
              <w:rPr>
                <w:rFonts w:ascii="Arial" w:hAnsi="Arial" w:cs="Arial"/>
                <w:sz w:val="16"/>
                <w:szCs w:val="16"/>
              </w:rPr>
              <w:t xml:space="preserve"> r</w:t>
            </w:r>
            <w:r w:rsidRPr="000F4CE4">
              <w:rPr>
                <w:rFonts w:ascii="Arial" w:hAnsi="Arial" w:cs="Arial"/>
                <w:sz w:val="16"/>
                <w:szCs w:val="16"/>
              </w:rPr>
              <w:t>ecaída.</w:t>
            </w:r>
            <w:r>
              <w:rPr>
                <w:rFonts w:ascii="Arial" w:hAnsi="Arial" w:cs="Arial"/>
                <w:sz w:val="16"/>
                <w:szCs w:val="16"/>
              </w:rPr>
              <w:t xml:space="preserve"> </w:t>
            </w:r>
            <w:r w:rsidRPr="000F4CE4">
              <w:rPr>
                <w:rFonts w:ascii="Arial" w:hAnsi="Arial" w:cs="Arial"/>
                <w:sz w:val="16"/>
                <w:szCs w:val="16"/>
              </w:rPr>
              <w:t>La edad mediana de presentación es de 70 años; sin embargo, puede ocurrir a cualquier edad, con una incidencia ligeramente mayor en los hombre</w:t>
            </w:r>
            <w:r>
              <w:rPr>
                <w:rFonts w:ascii="Arial" w:hAnsi="Arial" w:cs="Arial"/>
                <w:sz w:val="16"/>
                <w:szCs w:val="16"/>
              </w:rPr>
              <w:t xml:space="preserve">s. La tasa de incidencia de </w:t>
            </w:r>
            <w:r w:rsidRPr="000F4CE4">
              <w:rPr>
                <w:rFonts w:ascii="Arial" w:hAnsi="Arial" w:cs="Arial"/>
                <w:sz w:val="16"/>
                <w:szCs w:val="16"/>
              </w:rPr>
              <w:t>L</w:t>
            </w:r>
            <w:r>
              <w:rPr>
                <w:rFonts w:ascii="Arial" w:hAnsi="Arial" w:cs="Arial"/>
                <w:sz w:val="16"/>
                <w:szCs w:val="16"/>
              </w:rPr>
              <w:t xml:space="preserve">DCBG </w:t>
            </w:r>
            <w:r w:rsidRPr="000F4CE4">
              <w:rPr>
                <w:rFonts w:ascii="Arial" w:hAnsi="Arial" w:cs="Arial"/>
                <w:sz w:val="16"/>
                <w:szCs w:val="16"/>
              </w:rPr>
              <w:t>fue de 3,44 / 100</w:t>
            </w:r>
            <w:r>
              <w:rPr>
                <w:rFonts w:ascii="Arial" w:hAnsi="Arial" w:cs="Arial"/>
                <w:sz w:val="16"/>
                <w:szCs w:val="16"/>
              </w:rPr>
              <w:t>.</w:t>
            </w:r>
            <w:r w:rsidRPr="000F4CE4">
              <w:rPr>
                <w:rFonts w:ascii="Arial" w:hAnsi="Arial" w:cs="Arial"/>
                <w:sz w:val="16"/>
                <w:szCs w:val="16"/>
              </w:rPr>
              <w:t>000 en la Unión Europea (UE) en 2014</w:t>
            </w:r>
            <w:r>
              <w:rPr>
                <w:rFonts w:ascii="Arial" w:hAnsi="Arial" w:cs="Arial"/>
                <w:sz w:val="16"/>
                <w:szCs w:val="16"/>
                <w:vertAlign w:val="superscript"/>
              </w:rPr>
              <w:t>4</w:t>
            </w:r>
            <w:r w:rsidRPr="000F4CE4">
              <w:rPr>
                <w:rFonts w:ascii="Arial" w:hAnsi="Arial" w:cs="Arial"/>
                <w:sz w:val="16"/>
                <w:szCs w:val="16"/>
              </w:rPr>
              <w:t xml:space="preserve">. La probabilidad de tener </w:t>
            </w:r>
            <w:r>
              <w:rPr>
                <w:rFonts w:ascii="Arial" w:hAnsi="Arial" w:cs="Arial"/>
                <w:sz w:val="16"/>
                <w:szCs w:val="16"/>
              </w:rPr>
              <w:t>LDCBG</w:t>
            </w:r>
            <w:r w:rsidRPr="000F4CE4">
              <w:rPr>
                <w:rFonts w:ascii="Arial" w:hAnsi="Arial" w:cs="Arial"/>
                <w:sz w:val="16"/>
                <w:szCs w:val="16"/>
              </w:rPr>
              <w:t xml:space="preserve"> aumenta con la edad, de 0</w:t>
            </w:r>
            <w:r>
              <w:rPr>
                <w:rFonts w:ascii="Arial" w:hAnsi="Arial" w:cs="Arial"/>
                <w:sz w:val="16"/>
                <w:szCs w:val="16"/>
              </w:rPr>
              <w:t>,</w:t>
            </w:r>
            <w:r w:rsidRPr="000F4CE4">
              <w:rPr>
                <w:rFonts w:ascii="Arial" w:hAnsi="Arial" w:cs="Arial"/>
                <w:sz w:val="16"/>
                <w:szCs w:val="16"/>
              </w:rPr>
              <w:t>13% y 0</w:t>
            </w:r>
            <w:r>
              <w:rPr>
                <w:rFonts w:ascii="Arial" w:hAnsi="Arial" w:cs="Arial"/>
                <w:sz w:val="16"/>
                <w:szCs w:val="16"/>
              </w:rPr>
              <w:t>,</w:t>
            </w:r>
            <w:r w:rsidRPr="000F4CE4">
              <w:rPr>
                <w:rFonts w:ascii="Arial" w:hAnsi="Arial" w:cs="Arial"/>
                <w:sz w:val="16"/>
                <w:szCs w:val="16"/>
              </w:rPr>
              <w:t>09% antes de la edad de 29 a</w:t>
            </w:r>
            <w:r>
              <w:rPr>
                <w:rFonts w:ascii="Arial" w:hAnsi="Arial" w:cs="Arial"/>
                <w:sz w:val="16"/>
                <w:szCs w:val="16"/>
              </w:rPr>
              <w:t>ños y</w:t>
            </w:r>
            <w:r w:rsidRPr="000F4CE4">
              <w:rPr>
                <w:rFonts w:ascii="Arial" w:hAnsi="Arial" w:cs="Arial"/>
                <w:sz w:val="16"/>
                <w:szCs w:val="16"/>
              </w:rPr>
              <w:t xml:space="preserve"> 1</w:t>
            </w:r>
            <w:r>
              <w:rPr>
                <w:rFonts w:ascii="Arial" w:hAnsi="Arial" w:cs="Arial"/>
                <w:sz w:val="16"/>
                <w:szCs w:val="16"/>
              </w:rPr>
              <w:t>,</w:t>
            </w:r>
            <w:r w:rsidRPr="000F4CE4">
              <w:rPr>
                <w:rFonts w:ascii="Arial" w:hAnsi="Arial" w:cs="Arial"/>
                <w:sz w:val="16"/>
                <w:szCs w:val="16"/>
              </w:rPr>
              <w:t>77% y 1</w:t>
            </w:r>
            <w:r>
              <w:rPr>
                <w:rFonts w:ascii="Arial" w:hAnsi="Arial" w:cs="Arial"/>
                <w:sz w:val="16"/>
                <w:szCs w:val="16"/>
              </w:rPr>
              <w:t>,</w:t>
            </w:r>
            <w:r w:rsidRPr="000F4CE4">
              <w:rPr>
                <w:rFonts w:ascii="Arial" w:hAnsi="Arial" w:cs="Arial"/>
                <w:sz w:val="16"/>
                <w:szCs w:val="16"/>
              </w:rPr>
              <w:t>4% después de la edad de 70 en hombres y mujeres, respectivamente.</w:t>
            </w:r>
            <w:r>
              <w:rPr>
                <w:rFonts w:ascii="Arial" w:hAnsi="Arial" w:cs="Arial"/>
                <w:sz w:val="16"/>
                <w:szCs w:val="16"/>
              </w:rPr>
              <w:t xml:space="preserve"> </w:t>
            </w:r>
          </w:p>
        </w:tc>
      </w:tr>
      <w:tr w:rsidR="007D48BC" w:rsidRPr="006F6ABB">
        <w:trPr>
          <w:cantSplit/>
        </w:trPr>
        <w:tc>
          <w:tcPr>
            <w:tcW w:w="3403" w:type="dxa"/>
            <w:shd w:val="clear" w:color="auto" w:fill="E6E6E6"/>
          </w:tcPr>
          <w:p w:rsidR="007D48BC" w:rsidRPr="00117945" w:rsidRDefault="007D48BC" w:rsidP="00BC3E8E">
            <w:pPr>
              <w:rPr>
                <w:rFonts w:ascii="Arial" w:hAnsi="Arial" w:cs="Arial"/>
                <w:sz w:val="16"/>
                <w:szCs w:val="16"/>
              </w:rPr>
            </w:pPr>
            <w:r w:rsidRPr="00117945">
              <w:rPr>
                <w:rFonts w:ascii="Arial" w:hAnsi="Arial" w:cs="Arial"/>
                <w:sz w:val="16"/>
                <w:szCs w:val="16"/>
              </w:rPr>
              <w:t>Evolución / Pronóstico</w:t>
            </w:r>
          </w:p>
        </w:tc>
        <w:tc>
          <w:tcPr>
            <w:tcW w:w="5528" w:type="dxa"/>
          </w:tcPr>
          <w:p w:rsidR="007D48BC" w:rsidRPr="006F6ABB" w:rsidRDefault="007D48BC" w:rsidP="00BC3E8E">
            <w:pPr>
              <w:rPr>
                <w:rFonts w:ascii="Arial" w:hAnsi="Arial" w:cs="Arial"/>
              </w:rPr>
            </w:pPr>
            <w:r w:rsidRPr="002131A3">
              <w:rPr>
                <w:rFonts w:ascii="Arial" w:hAnsi="Arial" w:cs="Arial"/>
                <w:sz w:val="16"/>
                <w:szCs w:val="16"/>
              </w:rPr>
              <w:t>Numerosos</w:t>
            </w:r>
            <w:r>
              <w:rPr>
                <w:rFonts w:ascii="Arial" w:hAnsi="Arial" w:cs="Arial"/>
                <w:sz w:val="16"/>
                <w:szCs w:val="16"/>
              </w:rPr>
              <w:t xml:space="preserve"> factores relacionados con el estado del paciente y las características del tumor intervienen en el pronóstico. Existen distintos índices pronósticos que combinan factores clínicos con influencia pronóstica independiente, entre ellos el IPI, NCCN-IPI y GELTALMO-IP</w:t>
            </w:r>
            <w:r>
              <w:rPr>
                <w:rFonts w:ascii="Arial" w:hAnsi="Arial" w:cs="Arial"/>
                <w:sz w:val="16"/>
                <w:szCs w:val="16"/>
                <w:vertAlign w:val="superscript"/>
              </w:rPr>
              <w:t>5</w:t>
            </w:r>
            <w:r>
              <w:rPr>
                <w:rFonts w:ascii="Arial" w:hAnsi="Arial" w:cs="Arial"/>
                <w:sz w:val="16"/>
                <w:szCs w:val="16"/>
              </w:rPr>
              <w:t>.</w:t>
            </w:r>
          </w:p>
        </w:tc>
      </w:tr>
      <w:tr w:rsidR="007D48BC" w:rsidRPr="006F6ABB">
        <w:trPr>
          <w:cantSplit/>
        </w:trPr>
        <w:tc>
          <w:tcPr>
            <w:tcW w:w="3403" w:type="dxa"/>
            <w:shd w:val="clear" w:color="auto" w:fill="E6E6E6"/>
          </w:tcPr>
          <w:p w:rsidR="007D48BC" w:rsidRPr="00117945" w:rsidRDefault="007D48BC" w:rsidP="00BC3E8E">
            <w:pPr>
              <w:rPr>
                <w:rFonts w:ascii="Arial" w:hAnsi="Arial" w:cs="Arial"/>
                <w:sz w:val="16"/>
                <w:szCs w:val="16"/>
              </w:rPr>
            </w:pPr>
            <w:r w:rsidRPr="00117945">
              <w:rPr>
                <w:rFonts w:ascii="Arial" w:hAnsi="Arial" w:cs="Arial"/>
                <w:sz w:val="16"/>
                <w:szCs w:val="16"/>
              </w:rPr>
              <w:t>Grados de gravedad / Estadiaje</w:t>
            </w:r>
          </w:p>
        </w:tc>
        <w:tc>
          <w:tcPr>
            <w:tcW w:w="5528" w:type="dxa"/>
          </w:tcPr>
          <w:p w:rsidR="007D48BC" w:rsidRPr="006F6ABB" w:rsidRDefault="007D48BC" w:rsidP="00AC3D7B">
            <w:pPr>
              <w:rPr>
                <w:rFonts w:ascii="Arial" w:hAnsi="Arial" w:cs="Arial"/>
              </w:rPr>
            </w:pPr>
          </w:p>
          <w:tbl>
            <w:tblPr>
              <w:tblW w:w="0" w:type="auto"/>
              <w:tblInd w:w="3"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ook w:val="00A0"/>
            </w:tblPr>
            <w:tblGrid>
              <w:gridCol w:w="944"/>
              <w:gridCol w:w="2316"/>
              <w:gridCol w:w="2109"/>
              <w:gridCol w:w="6"/>
            </w:tblGrid>
            <w:tr w:rsidR="007D48BC" w:rsidRPr="00AC3D7B">
              <w:trPr>
                <w:gridAfter w:val="1"/>
                <w:wAfter w:w="6" w:type="dxa"/>
              </w:trPr>
              <w:tc>
                <w:tcPr>
                  <w:tcW w:w="944" w:type="dxa"/>
                  <w:tcBorders>
                    <w:top w:val="single" w:sz="4" w:space="0" w:color="9BBB59"/>
                    <w:left w:val="single" w:sz="4" w:space="0" w:color="9BBB59"/>
                    <w:bottom w:val="single" w:sz="4" w:space="0" w:color="9BBB59"/>
                    <w:right w:val="single" w:sz="4" w:space="0" w:color="C2D69B"/>
                  </w:tcBorders>
                  <w:shd w:val="clear" w:color="auto" w:fill="9BBB59"/>
                  <w:vAlign w:val="center"/>
                </w:tcPr>
                <w:p w:rsidR="007D48BC" w:rsidRPr="006E5761" w:rsidRDefault="007D48BC" w:rsidP="006E5761">
                  <w:pPr>
                    <w:jc w:val="center"/>
                    <w:rPr>
                      <w:rFonts w:ascii="Calibri" w:hAnsi="Calibri" w:cs="Calibri"/>
                      <w:b/>
                      <w:bCs/>
                      <w:color w:val="FFFFFF"/>
                    </w:rPr>
                  </w:pPr>
                  <w:r w:rsidRPr="006E5761">
                    <w:rPr>
                      <w:rFonts w:ascii="Calibri" w:hAnsi="Calibri" w:cs="Calibri"/>
                      <w:b/>
                      <w:bCs/>
                      <w:color w:val="FFFFFF"/>
                    </w:rPr>
                    <w:t>Estadio</w:t>
                  </w:r>
                </w:p>
              </w:tc>
              <w:tc>
                <w:tcPr>
                  <w:tcW w:w="2317" w:type="dxa"/>
                  <w:tcBorders>
                    <w:top w:val="single" w:sz="4" w:space="0" w:color="9BBB59"/>
                    <w:left w:val="single" w:sz="4" w:space="0" w:color="C2D69B"/>
                    <w:bottom w:val="single" w:sz="4" w:space="0" w:color="9BBB59"/>
                    <w:right w:val="single" w:sz="4" w:space="0" w:color="C2D69B"/>
                  </w:tcBorders>
                  <w:shd w:val="clear" w:color="auto" w:fill="9BBB59"/>
                  <w:vAlign w:val="center"/>
                </w:tcPr>
                <w:p w:rsidR="007D48BC" w:rsidRPr="006E5761" w:rsidRDefault="007D48BC" w:rsidP="006E5761">
                  <w:pPr>
                    <w:jc w:val="center"/>
                    <w:rPr>
                      <w:rFonts w:ascii="Calibri" w:hAnsi="Calibri" w:cs="Calibri"/>
                      <w:b/>
                      <w:bCs/>
                      <w:color w:val="FFFFFF"/>
                    </w:rPr>
                  </w:pPr>
                  <w:r w:rsidRPr="006E5761">
                    <w:rPr>
                      <w:rFonts w:ascii="Calibri" w:hAnsi="Calibri" w:cs="Calibri"/>
                      <w:b/>
                      <w:bCs/>
                      <w:color w:val="FFFFFF"/>
                    </w:rPr>
                    <w:t>Afectación</w:t>
                  </w:r>
                </w:p>
              </w:tc>
              <w:tc>
                <w:tcPr>
                  <w:tcW w:w="2111" w:type="dxa"/>
                  <w:tcBorders>
                    <w:top w:val="single" w:sz="4" w:space="0" w:color="9BBB59"/>
                    <w:left w:val="single" w:sz="4" w:space="0" w:color="C2D69B"/>
                    <w:bottom w:val="single" w:sz="4" w:space="0" w:color="9BBB59"/>
                    <w:right w:val="single" w:sz="4" w:space="0" w:color="9BBB59"/>
                  </w:tcBorders>
                  <w:shd w:val="clear" w:color="auto" w:fill="9BBB59"/>
                  <w:vAlign w:val="center"/>
                </w:tcPr>
                <w:p w:rsidR="007D48BC" w:rsidRPr="006E5761" w:rsidRDefault="007D48BC" w:rsidP="006E5761">
                  <w:pPr>
                    <w:jc w:val="center"/>
                    <w:rPr>
                      <w:rFonts w:ascii="Calibri" w:hAnsi="Calibri" w:cs="Calibri"/>
                      <w:b/>
                      <w:bCs/>
                      <w:color w:val="FFFFFF"/>
                    </w:rPr>
                  </w:pPr>
                  <w:r w:rsidRPr="006E5761">
                    <w:rPr>
                      <w:rFonts w:ascii="Calibri" w:hAnsi="Calibri" w:cs="Calibri"/>
                      <w:b/>
                      <w:bCs/>
                      <w:color w:val="FFFFFF"/>
                    </w:rPr>
                    <w:t>Afectación extranodal</w:t>
                  </w:r>
                </w:p>
              </w:tc>
            </w:tr>
            <w:tr w:rsidR="007D48BC" w:rsidRPr="00AC3D7B">
              <w:tc>
                <w:tcPr>
                  <w:tcW w:w="5378" w:type="dxa"/>
                  <w:gridSpan w:val="4"/>
                  <w:tcBorders>
                    <w:top w:val="single" w:sz="4" w:space="0" w:color="C2D69B"/>
                    <w:left w:val="single" w:sz="4" w:space="0" w:color="C2D69B"/>
                    <w:bottom w:val="single" w:sz="4" w:space="0" w:color="C2D69B"/>
                    <w:right w:val="single" w:sz="4" w:space="0" w:color="C2D69B"/>
                  </w:tcBorders>
                  <w:shd w:val="clear" w:color="auto" w:fill="EAF1DD"/>
                  <w:vAlign w:val="center"/>
                </w:tcPr>
                <w:p w:rsidR="007D48BC" w:rsidRPr="006E5761" w:rsidRDefault="007D48BC" w:rsidP="00AC3D7B">
                  <w:pPr>
                    <w:rPr>
                      <w:rFonts w:ascii="Calibri" w:hAnsi="Calibri" w:cs="Calibri"/>
                      <w:b/>
                      <w:bCs/>
                    </w:rPr>
                  </w:pPr>
                  <w:r w:rsidRPr="006E5761">
                    <w:rPr>
                      <w:rFonts w:ascii="Calibri" w:hAnsi="Calibri" w:cs="Calibri"/>
                      <w:b/>
                      <w:bCs/>
                    </w:rPr>
                    <w:t>Limitado</w:t>
                  </w:r>
                </w:p>
              </w:tc>
            </w:tr>
            <w:tr w:rsidR="007D48BC" w:rsidRPr="00AC3D7B">
              <w:trPr>
                <w:gridAfter w:val="1"/>
                <w:wAfter w:w="6" w:type="dxa"/>
              </w:trPr>
              <w:tc>
                <w:tcPr>
                  <w:tcW w:w="944" w:type="dxa"/>
                  <w:tcBorders>
                    <w:top w:val="single" w:sz="4" w:space="0" w:color="C2D69B"/>
                    <w:left w:val="single" w:sz="4" w:space="0" w:color="C2D69B"/>
                    <w:bottom w:val="single" w:sz="4" w:space="0" w:color="C2D69B"/>
                    <w:right w:val="single" w:sz="4" w:space="0" w:color="C2D69B"/>
                  </w:tcBorders>
                  <w:vAlign w:val="center"/>
                </w:tcPr>
                <w:p w:rsidR="007D48BC" w:rsidRPr="006E5761" w:rsidRDefault="007D48BC" w:rsidP="006E5761">
                  <w:pPr>
                    <w:jc w:val="center"/>
                    <w:rPr>
                      <w:rFonts w:ascii="Calibri" w:hAnsi="Calibri" w:cs="Calibri"/>
                      <w:b/>
                      <w:bCs/>
                    </w:rPr>
                  </w:pPr>
                  <w:r w:rsidRPr="006E5761">
                    <w:rPr>
                      <w:rFonts w:ascii="Calibri" w:hAnsi="Calibri" w:cs="Calibri"/>
                      <w:b/>
                      <w:bCs/>
                    </w:rPr>
                    <w:t>I</w:t>
                  </w:r>
                </w:p>
              </w:tc>
              <w:tc>
                <w:tcPr>
                  <w:tcW w:w="2317" w:type="dxa"/>
                  <w:tcBorders>
                    <w:top w:val="single" w:sz="4" w:space="0" w:color="C2D69B"/>
                    <w:left w:val="single" w:sz="4" w:space="0" w:color="C2D69B"/>
                    <w:bottom w:val="single" w:sz="4" w:space="0" w:color="C2D69B"/>
                    <w:right w:val="single" w:sz="4" w:space="0" w:color="C2D69B"/>
                  </w:tcBorders>
                  <w:vAlign w:val="center"/>
                </w:tcPr>
                <w:p w:rsidR="007D48BC" w:rsidRPr="006E5761" w:rsidRDefault="007D48BC" w:rsidP="006E5761">
                  <w:pPr>
                    <w:jc w:val="center"/>
                    <w:rPr>
                      <w:rFonts w:ascii="Calibri" w:hAnsi="Calibri" w:cs="Calibri"/>
                    </w:rPr>
                  </w:pPr>
                  <w:r w:rsidRPr="006E5761">
                    <w:rPr>
                      <w:rFonts w:ascii="Calibri" w:hAnsi="Calibri" w:cs="Calibri"/>
                    </w:rPr>
                    <w:t>Un ganglio o grupo ganglionar</w:t>
                  </w:r>
                </w:p>
              </w:tc>
              <w:tc>
                <w:tcPr>
                  <w:tcW w:w="2111" w:type="dxa"/>
                  <w:tcBorders>
                    <w:top w:val="single" w:sz="4" w:space="0" w:color="C2D69B"/>
                    <w:left w:val="single" w:sz="4" w:space="0" w:color="C2D69B"/>
                    <w:bottom w:val="single" w:sz="4" w:space="0" w:color="C2D69B"/>
                    <w:right w:val="single" w:sz="4" w:space="0" w:color="C2D69B"/>
                  </w:tcBorders>
                  <w:vAlign w:val="center"/>
                </w:tcPr>
                <w:p w:rsidR="007D48BC" w:rsidRPr="006E5761" w:rsidRDefault="007D48BC" w:rsidP="006E5761">
                  <w:pPr>
                    <w:jc w:val="center"/>
                    <w:rPr>
                      <w:rFonts w:ascii="Calibri" w:hAnsi="Calibri" w:cs="Calibri"/>
                    </w:rPr>
                  </w:pPr>
                  <w:r w:rsidRPr="006E5761">
                    <w:rPr>
                      <w:rFonts w:ascii="Calibri" w:hAnsi="Calibri" w:cs="Calibri"/>
                    </w:rPr>
                    <w:t>Afectación extraganglionar única sin afectación ganglionar</w:t>
                  </w:r>
                </w:p>
              </w:tc>
            </w:tr>
            <w:tr w:rsidR="007D48BC" w:rsidRPr="00AC3D7B">
              <w:trPr>
                <w:gridAfter w:val="1"/>
                <w:wAfter w:w="6" w:type="dxa"/>
              </w:trPr>
              <w:tc>
                <w:tcPr>
                  <w:tcW w:w="944" w:type="dxa"/>
                  <w:tcBorders>
                    <w:top w:val="single" w:sz="4" w:space="0" w:color="C2D69B"/>
                    <w:left w:val="single" w:sz="4" w:space="0" w:color="C2D69B"/>
                    <w:bottom w:val="single" w:sz="4" w:space="0" w:color="C2D69B"/>
                    <w:right w:val="single" w:sz="4" w:space="0" w:color="C2D69B"/>
                  </w:tcBorders>
                  <w:shd w:val="clear" w:color="auto" w:fill="EAF1DD"/>
                  <w:vAlign w:val="center"/>
                </w:tcPr>
                <w:p w:rsidR="007D48BC" w:rsidRPr="006E5761" w:rsidRDefault="007D48BC" w:rsidP="006E5761">
                  <w:pPr>
                    <w:jc w:val="center"/>
                    <w:rPr>
                      <w:rFonts w:ascii="Calibri" w:hAnsi="Calibri" w:cs="Calibri"/>
                      <w:b/>
                      <w:bCs/>
                    </w:rPr>
                  </w:pPr>
                  <w:r w:rsidRPr="006E5761">
                    <w:rPr>
                      <w:rFonts w:ascii="Calibri" w:hAnsi="Calibri" w:cs="Calibri"/>
                      <w:b/>
                      <w:bCs/>
                    </w:rPr>
                    <w:t>II</w:t>
                  </w:r>
                </w:p>
              </w:tc>
              <w:tc>
                <w:tcPr>
                  <w:tcW w:w="2317" w:type="dxa"/>
                  <w:tcBorders>
                    <w:top w:val="single" w:sz="4" w:space="0" w:color="C2D69B"/>
                    <w:left w:val="single" w:sz="4" w:space="0" w:color="C2D69B"/>
                    <w:bottom w:val="single" w:sz="4" w:space="0" w:color="C2D69B"/>
                    <w:right w:val="single" w:sz="4" w:space="0" w:color="C2D69B"/>
                  </w:tcBorders>
                  <w:shd w:val="clear" w:color="auto" w:fill="EAF1DD"/>
                  <w:vAlign w:val="center"/>
                </w:tcPr>
                <w:p w:rsidR="007D48BC" w:rsidRPr="006E5761" w:rsidRDefault="007D48BC" w:rsidP="006E5761">
                  <w:pPr>
                    <w:jc w:val="center"/>
                    <w:rPr>
                      <w:rFonts w:ascii="Calibri" w:hAnsi="Calibri" w:cs="Calibri"/>
                    </w:rPr>
                  </w:pPr>
                  <w:r w:rsidRPr="006E5761">
                    <w:rPr>
                      <w:rFonts w:ascii="Calibri" w:hAnsi="Calibri" w:cs="Calibri"/>
                    </w:rPr>
                    <w:t>Dos o más grupos ganglionares a un lado del diafragma</w:t>
                  </w:r>
                </w:p>
              </w:tc>
              <w:tc>
                <w:tcPr>
                  <w:tcW w:w="2111" w:type="dxa"/>
                  <w:tcBorders>
                    <w:top w:val="single" w:sz="4" w:space="0" w:color="C2D69B"/>
                    <w:left w:val="single" w:sz="4" w:space="0" w:color="C2D69B"/>
                    <w:bottom w:val="single" w:sz="4" w:space="0" w:color="C2D69B"/>
                    <w:right w:val="single" w:sz="4" w:space="0" w:color="C2D69B"/>
                  </w:tcBorders>
                  <w:shd w:val="clear" w:color="auto" w:fill="EAF1DD"/>
                  <w:vAlign w:val="center"/>
                </w:tcPr>
                <w:p w:rsidR="007D48BC" w:rsidRPr="006E5761" w:rsidRDefault="007D48BC" w:rsidP="006E5761">
                  <w:pPr>
                    <w:jc w:val="center"/>
                    <w:rPr>
                      <w:rFonts w:ascii="Calibri" w:hAnsi="Calibri" w:cs="Calibri"/>
                    </w:rPr>
                  </w:pPr>
                  <w:r w:rsidRPr="006E5761">
                    <w:rPr>
                      <w:rFonts w:ascii="Calibri" w:hAnsi="Calibri" w:cs="Calibri"/>
                    </w:rPr>
                    <w:t>Estadio I o II por afectación ganglionar con afectación extraganglionar contigua</w:t>
                  </w:r>
                </w:p>
              </w:tc>
            </w:tr>
            <w:tr w:rsidR="007D48BC" w:rsidRPr="00AC3D7B">
              <w:tc>
                <w:tcPr>
                  <w:tcW w:w="5378" w:type="dxa"/>
                  <w:gridSpan w:val="4"/>
                  <w:tcBorders>
                    <w:top w:val="single" w:sz="4" w:space="0" w:color="C2D69B"/>
                    <w:left w:val="single" w:sz="4" w:space="0" w:color="C2D69B"/>
                    <w:bottom w:val="single" w:sz="4" w:space="0" w:color="C2D69B"/>
                    <w:right w:val="single" w:sz="4" w:space="0" w:color="C2D69B"/>
                  </w:tcBorders>
                  <w:shd w:val="clear" w:color="auto" w:fill="EAF1DD"/>
                  <w:vAlign w:val="center"/>
                </w:tcPr>
                <w:p w:rsidR="007D48BC" w:rsidRPr="006E5761" w:rsidRDefault="007D48BC" w:rsidP="00AC3D7B">
                  <w:pPr>
                    <w:rPr>
                      <w:rFonts w:ascii="Calibri" w:hAnsi="Calibri" w:cs="Calibri"/>
                      <w:b/>
                      <w:bCs/>
                    </w:rPr>
                  </w:pPr>
                  <w:r w:rsidRPr="006E5761">
                    <w:rPr>
                      <w:rFonts w:ascii="Calibri" w:hAnsi="Calibri" w:cs="Calibri"/>
                      <w:b/>
                      <w:bCs/>
                    </w:rPr>
                    <w:t>Avanzado</w:t>
                  </w:r>
                </w:p>
              </w:tc>
            </w:tr>
            <w:tr w:rsidR="007D48BC" w:rsidRPr="00AC3D7B">
              <w:trPr>
                <w:gridAfter w:val="1"/>
                <w:wAfter w:w="6" w:type="dxa"/>
              </w:trPr>
              <w:tc>
                <w:tcPr>
                  <w:tcW w:w="944" w:type="dxa"/>
                  <w:tcBorders>
                    <w:top w:val="single" w:sz="4" w:space="0" w:color="C2D69B"/>
                    <w:left w:val="single" w:sz="4" w:space="0" w:color="C2D69B"/>
                    <w:bottom w:val="single" w:sz="4" w:space="0" w:color="C2D69B"/>
                    <w:right w:val="single" w:sz="4" w:space="0" w:color="C2D69B"/>
                  </w:tcBorders>
                  <w:vAlign w:val="center"/>
                </w:tcPr>
                <w:p w:rsidR="007D48BC" w:rsidRPr="006E5761" w:rsidRDefault="007D48BC" w:rsidP="006E5761">
                  <w:pPr>
                    <w:jc w:val="center"/>
                    <w:rPr>
                      <w:rFonts w:ascii="Calibri" w:hAnsi="Calibri" w:cs="Calibri"/>
                      <w:b/>
                      <w:bCs/>
                    </w:rPr>
                  </w:pPr>
                  <w:r w:rsidRPr="006E5761">
                    <w:rPr>
                      <w:rFonts w:ascii="Calibri" w:hAnsi="Calibri" w:cs="Calibri"/>
                      <w:b/>
                      <w:bCs/>
                    </w:rPr>
                    <w:t>III</w:t>
                  </w:r>
                </w:p>
              </w:tc>
              <w:tc>
                <w:tcPr>
                  <w:tcW w:w="2317" w:type="dxa"/>
                  <w:tcBorders>
                    <w:top w:val="single" w:sz="4" w:space="0" w:color="C2D69B"/>
                    <w:left w:val="single" w:sz="4" w:space="0" w:color="C2D69B"/>
                    <w:bottom w:val="single" w:sz="4" w:space="0" w:color="C2D69B"/>
                    <w:right w:val="single" w:sz="4" w:space="0" w:color="C2D69B"/>
                  </w:tcBorders>
                  <w:vAlign w:val="center"/>
                </w:tcPr>
                <w:p w:rsidR="007D48BC" w:rsidRPr="006E5761" w:rsidRDefault="007D48BC" w:rsidP="006E5761">
                  <w:pPr>
                    <w:jc w:val="center"/>
                    <w:rPr>
                      <w:rFonts w:ascii="Calibri" w:hAnsi="Calibri" w:cs="Calibri"/>
                    </w:rPr>
                  </w:pPr>
                  <w:r w:rsidRPr="006E5761">
                    <w:rPr>
                      <w:rFonts w:ascii="Calibri" w:hAnsi="Calibri" w:cs="Calibri"/>
                    </w:rPr>
                    <w:t>Ganglios a ambos lados del diafragma o ganglios supradiafragmáticos y afectación esplénica</w:t>
                  </w:r>
                </w:p>
              </w:tc>
              <w:tc>
                <w:tcPr>
                  <w:tcW w:w="2111" w:type="dxa"/>
                  <w:tcBorders>
                    <w:top w:val="single" w:sz="4" w:space="0" w:color="C2D69B"/>
                    <w:left w:val="single" w:sz="4" w:space="0" w:color="C2D69B"/>
                    <w:bottom w:val="single" w:sz="4" w:space="0" w:color="C2D69B"/>
                    <w:right w:val="single" w:sz="4" w:space="0" w:color="C2D69B"/>
                  </w:tcBorders>
                  <w:vAlign w:val="center"/>
                </w:tcPr>
                <w:p w:rsidR="007D48BC" w:rsidRPr="006E5761" w:rsidRDefault="007D48BC" w:rsidP="006E5761">
                  <w:pPr>
                    <w:jc w:val="center"/>
                    <w:rPr>
                      <w:rFonts w:ascii="Calibri" w:hAnsi="Calibri" w:cs="Calibri"/>
                    </w:rPr>
                  </w:pPr>
                  <w:r w:rsidRPr="006E5761">
                    <w:rPr>
                      <w:rFonts w:ascii="Calibri" w:hAnsi="Calibri" w:cs="Calibri"/>
                    </w:rPr>
                    <w:t>N.A</w:t>
                  </w:r>
                </w:p>
              </w:tc>
            </w:tr>
            <w:tr w:rsidR="007D48BC" w:rsidRPr="00AC3D7B">
              <w:trPr>
                <w:gridAfter w:val="1"/>
                <w:wAfter w:w="6" w:type="dxa"/>
              </w:trPr>
              <w:tc>
                <w:tcPr>
                  <w:tcW w:w="944" w:type="dxa"/>
                  <w:tcBorders>
                    <w:top w:val="single" w:sz="4" w:space="0" w:color="C2D69B"/>
                    <w:left w:val="single" w:sz="4" w:space="0" w:color="C2D69B"/>
                    <w:bottom w:val="single" w:sz="4" w:space="0" w:color="C2D69B"/>
                    <w:right w:val="single" w:sz="4" w:space="0" w:color="C2D69B"/>
                  </w:tcBorders>
                  <w:shd w:val="clear" w:color="auto" w:fill="EAF1DD"/>
                  <w:vAlign w:val="center"/>
                </w:tcPr>
                <w:p w:rsidR="007D48BC" w:rsidRPr="006E5761" w:rsidRDefault="007D48BC" w:rsidP="006E5761">
                  <w:pPr>
                    <w:jc w:val="center"/>
                    <w:rPr>
                      <w:rFonts w:ascii="Calibri" w:hAnsi="Calibri" w:cs="Calibri"/>
                      <w:b/>
                      <w:bCs/>
                    </w:rPr>
                  </w:pPr>
                  <w:r w:rsidRPr="006E5761">
                    <w:rPr>
                      <w:rFonts w:ascii="Calibri" w:hAnsi="Calibri" w:cs="Calibri"/>
                      <w:b/>
                      <w:bCs/>
                    </w:rPr>
                    <w:t>IV</w:t>
                  </w:r>
                </w:p>
              </w:tc>
              <w:tc>
                <w:tcPr>
                  <w:tcW w:w="2317" w:type="dxa"/>
                  <w:tcBorders>
                    <w:top w:val="single" w:sz="4" w:space="0" w:color="C2D69B"/>
                    <w:left w:val="single" w:sz="4" w:space="0" w:color="C2D69B"/>
                    <w:bottom w:val="single" w:sz="4" w:space="0" w:color="C2D69B"/>
                    <w:right w:val="single" w:sz="4" w:space="0" w:color="C2D69B"/>
                  </w:tcBorders>
                  <w:shd w:val="clear" w:color="auto" w:fill="EAF1DD"/>
                  <w:vAlign w:val="center"/>
                </w:tcPr>
                <w:p w:rsidR="007D48BC" w:rsidRPr="006E5761" w:rsidRDefault="007D48BC" w:rsidP="006E5761">
                  <w:pPr>
                    <w:jc w:val="center"/>
                    <w:rPr>
                      <w:rFonts w:ascii="Calibri" w:hAnsi="Calibri" w:cs="Calibri"/>
                    </w:rPr>
                  </w:pPr>
                  <w:r w:rsidRPr="006E5761">
                    <w:rPr>
                      <w:rFonts w:ascii="Calibri" w:hAnsi="Calibri" w:cs="Calibri"/>
                    </w:rPr>
                    <w:t>Afectación extraganglionar no contigua</w:t>
                  </w:r>
                </w:p>
              </w:tc>
              <w:tc>
                <w:tcPr>
                  <w:tcW w:w="2111" w:type="dxa"/>
                  <w:tcBorders>
                    <w:top w:val="single" w:sz="4" w:space="0" w:color="C2D69B"/>
                    <w:left w:val="single" w:sz="4" w:space="0" w:color="C2D69B"/>
                    <w:bottom w:val="single" w:sz="4" w:space="0" w:color="C2D69B"/>
                    <w:right w:val="single" w:sz="4" w:space="0" w:color="C2D69B"/>
                  </w:tcBorders>
                  <w:shd w:val="clear" w:color="auto" w:fill="EAF1DD"/>
                  <w:vAlign w:val="center"/>
                </w:tcPr>
                <w:p w:rsidR="007D48BC" w:rsidRPr="006E5761" w:rsidRDefault="007D48BC" w:rsidP="006E5761">
                  <w:pPr>
                    <w:jc w:val="center"/>
                    <w:rPr>
                      <w:rFonts w:ascii="Calibri" w:hAnsi="Calibri" w:cs="Calibri"/>
                    </w:rPr>
                  </w:pPr>
                  <w:r w:rsidRPr="006E5761">
                    <w:rPr>
                      <w:rFonts w:ascii="Calibri" w:hAnsi="Calibri" w:cs="Calibri"/>
                    </w:rPr>
                    <w:t>N.A</w:t>
                  </w:r>
                </w:p>
              </w:tc>
            </w:tr>
          </w:tbl>
          <w:p w:rsidR="007D48BC" w:rsidRPr="00AC3D7B" w:rsidRDefault="007D48BC" w:rsidP="00AC3D7B">
            <w:pPr>
              <w:rPr>
                <w:rFonts w:ascii="Calibri" w:hAnsi="Calibri" w:cs="Calibri"/>
                <w:sz w:val="16"/>
                <w:szCs w:val="16"/>
              </w:rPr>
            </w:pPr>
          </w:p>
        </w:tc>
      </w:tr>
      <w:tr w:rsidR="007D48BC" w:rsidRPr="006F6ABB">
        <w:trPr>
          <w:cantSplit/>
          <w:trHeight w:val="1156"/>
        </w:trPr>
        <w:tc>
          <w:tcPr>
            <w:tcW w:w="3403" w:type="dxa"/>
            <w:shd w:val="clear" w:color="auto" w:fill="E6E6E6"/>
          </w:tcPr>
          <w:p w:rsidR="007D48BC" w:rsidRPr="00117945" w:rsidRDefault="007D48BC" w:rsidP="00BC3E8E">
            <w:pPr>
              <w:rPr>
                <w:rFonts w:ascii="Arial" w:hAnsi="Arial" w:cs="Arial"/>
                <w:sz w:val="16"/>
                <w:szCs w:val="16"/>
              </w:rPr>
            </w:pPr>
            <w:r w:rsidRPr="00117945">
              <w:rPr>
                <w:rFonts w:ascii="Arial" w:hAnsi="Arial" w:cs="Arial"/>
                <w:sz w:val="16"/>
                <w:szCs w:val="16"/>
              </w:rPr>
              <w:t>Carga de la enfermedad*</w:t>
            </w:r>
          </w:p>
        </w:tc>
        <w:tc>
          <w:tcPr>
            <w:tcW w:w="5528" w:type="dxa"/>
          </w:tcPr>
          <w:p w:rsidR="007D48BC" w:rsidRPr="006F6ABB" w:rsidRDefault="007D48BC" w:rsidP="00AB16D1">
            <w:pPr>
              <w:jc w:val="both"/>
              <w:rPr>
                <w:rFonts w:ascii="Arial" w:hAnsi="Arial" w:cs="Arial"/>
              </w:rPr>
            </w:pPr>
            <w:r w:rsidRPr="00AB16D1">
              <w:rPr>
                <w:rFonts w:ascii="Arial" w:hAnsi="Arial" w:cs="Arial"/>
              </w:rPr>
              <w:t>No se han encontrado estudios epidemiológicos centrados en este grupo de población que analicen la carga de la enfermedad específica, pero se supone alta pues en estadios avanzados el paciente suele tener muchas necesidades.</w:t>
            </w:r>
          </w:p>
        </w:tc>
      </w:tr>
    </w:tbl>
    <w:p w:rsidR="007D48BC" w:rsidRPr="00A6517E" w:rsidRDefault="007D48BC" w:rsidP="00BC3E8E">
      <w:pPr>
        <w:jc w:val="both"/>
        <w:rPr>
          <w:rFonts w:ascii="Arial" w:hAnsi="Arial" w:cs="Arial"/>
          <w:sz w:val="16"/>
          <w:szCs w:val="16"/>
        </w:rPr>
      </w:pPr>
      <w:r w:rsidRPr="00A6517E">
        <w:rPr>
          <w:rFonts w:ascii="Arial" w:hAnsi="Arial" w:cs="Arial"/>
          <w:sz w:val="16"/>
          <w:szCs w:val="16"/>
        </w:rPr>
        <w:t>* datos de ingresos hospitalarios, visitas a urgencias, discapacidad, necesidad de cuidador</w:t>
      </w:r>
    </w:p>
    <w:p w:rsidR="007D48BC" w:rsidRDefault="007D48BC" w:rsidP="00BC3E8E">
      <w:pPr>
        <w:jc w:val="both"/>
        <w:rPr>
          <w:rFonts w:ascii="Arial" w:hAnsi="Arial" w:cs="Arial"/>
          <w:b/>
          <w:bCs/>
          <w:color w:val="FF0000"/>
        </w:rPr>
      </w:pPr>
    </w:p>
    <w:p w:rsidR="007D48BC" w:rsidRDefault="007D48BC" w:rsidP="00BC3E8E">
      <w:pPr>
        <w:jc w:val="both"/>
        <w:rPr>
          <w:rFonts w:ascii="Arial" w:hAnsi="Arial" w:cs="Arial"/>
          <w:b/>
          <w:bCs/>
          <w:color w:val="FF0000"/>
        </w:rPr>
      </w:pPr>
    </w:p>
    <w:p w:rsidR="007D48BC" w:rsidRDefault="007D48BC" w:rsidP="00BC3E8E">
      <w:pPr>
        <w:jc w:val="both"/>
        <w:rPr>
          <w:rFonts w:ascii="Arial" w:hAnsi="Arial" w:cs="Arial"/>
          <w:b/>
          <w:bCs/>
          <w:color w:val="FF0000"/>
        </w:rPr>
      </w:pPr>
    </w:p>
    <w:p w:rsidR="007D48BC" w:rsidRDefault="007D48BC" w:rsidP="00BC3E8E">
      <w:pPr>
        <w:jc w:val="both"/>
        <w:rPr>
          <w:rFonts w:ascii="Arial" w:hAnsi="Arial" w:cs="Arial"/>
          <w:b/>
          <w:bCs/>
          <w:color w:val="FF0000"/>
        </w:rPr>
      </w:pPr>
    </w:p>
    <w:p w:rsidR="007D48BC" w:rsidRDefault="007D48BC" w:rsidP="00BC3E8E">
      <w:pPr>
        <w:jc w:val="both"/>
        <w:rPr>
          <w:rFonts w:ascii="Arial" w:hAnsi="Arial" w:cs="Arial"/>
          <w:b/>
          <w:bCs/>
          <w:color w:val="FF0000"/>
        </w:rPr>
      </w:pPr>
    </w:p>
    <w:p w:rsidR="007D48BC" w:rsidRDefault="007D48BC" w:rsidP="00BC3E8E">
      <w:pPr>
        <w:jc w:val="both"/>
        <w:rPr>
          <w:rFonts w:ascii="Arial" w:hAnsi="Arial" w:cs="Arial"/>
          <w:b/>
          <w:bCs/>
          <w:color w:val="FF0000"/>
        </w:rPr>
      </w:pPr>
    </w:p>
    <w:p w:rsidR="007D48BC" w:rsidRPr="00EC69B7" w:rsidRDefault="007D48BC" w:rsidP="00BC3E8E">
      <w:pPr>
        <w:pStyle w:val="Ttulo2"/>
        <w:pBdr>
          <w:top w:val="single" w:sz="4" w:space="1" w:color="auto"/>
          <w:left w:val="single" w:sz="4" w:space="4" w:color="auto"/>
          <w:bottom w:val="single" w:sz="4" w:space="1" w:color="auto"/>
          <w:right w:val="single" w:sz="4" w:space="4" w:color="auto"/>
        </w:pBdr>
        <w:shd w:val="clear" w:color="auto" w:fill="D9D9D9"/>
        <w:rPr>
          <w:sz w:val="20"/>
          <w:szCs w:val="20"/>
        </w:rPr>
      </w:pPr>
      <w:bookmarkStart w:id="17" w:name="_Toc344399624"/>
      <w:bookmarkStart w:id="18" w:name="_Toc348931351"/>
      <w:r w:rsidRPr="00F0616F">
        <w:rPr>
          <w:sz w:val="20"/>
          <w:szCs w:val="20"/>
        </w:rPr>
        <w:t>3.2.b Tratamiento actual de la enfermedad: evidencias</w:t>
      </w:r>
      <w:bookmarkEnd w:id="17"/>
      <w:bookmarkEnd w:id="18"/>
      <w:r w:rsidR="00FE59AC">
        <w:rPr>
          <w:sz w:val="20"/>
          <w:szCs w:val="20"/>
        </w:rPr>
        <w:fldChar w:fldCharType="begin"/>
      </w:r>
      <w:r>
        <w:instrText>xe "</w:instrText>
      </w:r>
      <w:r w:rsidRPr="001A159A">
        <w:rPr>
          <w:sz w:val="20"/>
          <w:szCs w:val="20"/>
        </w:rPr>
        <w:instrText>3.2.b Tratamiento actual de la enfermedad\: evidencias</w:instrText>
      </w:r>
      <w:r>
        <w:instrText>"</w:instrText>
      </w:r>
      <w:r w:rsidR="00FE59AC">
        <w:rPr>
          <w:sz w:val="20"/>
          <w:szCs w:val="20"/>
        </w:rPr>
        <w:fldChar w:fldCharType="end"/>
      </w:r>
      <w:r w:rsidRPr="00EC69B7">
        <w:rPr>
          <w:sz w:val="20"/>
          <w:szCs w:val="20"/>
        </w:rPr>
        <w:t xml:space="preserve"> </w:t>
      </w:r>
    </w:p>
    <w:p w:rsidR="007D48BC" w:rsidRDefault="007D48BC" w:rsidP="00BC3E8E">
      <w:pPr>
        <w:rPr>
          <w:rFonts w:ascii="Arial" w:hAnsi="Arial" w:cs="Arial"/>
          <w:color w:val="FF0000"/>
        </w:rPr>
      </w:pPr>
    </w:p>
    <w:p w:rsidR="007D48BC" w:rsidRPr="00CF5633" w:rsidRDefault="007D48BC" w:rsidP="00174508">
      <w:pPr>
        <w:spacing w:line="360" w:lineRule="auto"/>
        <w:jc w:val="both"/>
        <w:rPr>
          <w:rFonts w:ascii="Arial" w:hAnsi="Arial" w:cs="Arial"/>
          <w:b/>
          <w:bCs/>
          <w:lang w:val="pt-BR"/>
        </w:rPr>
      </w:pPr>
      <w:r w:rsidRPr="00CF5633">
        <w:rPr>
          <w:rFonts w:ascii="Arial" w:hAnsi="Arial" w:cs="Arial"/>
          <w:b/>
          <w:bCs/>
          <w:lang w:val="pt-BR"/>
        </w:rPr>
        <w:t>LINFOMA B DIFUSO DE CÉLULAS GRANDES</w:t>
      </w:r>
    </w:p>
    <w:p w:rsidR="007D48BC" w:rsidRDefault="007D48BC" w:rsidP="00174508">
      <w:pPr>
        <w:spacing w:line="360" w:lineRule="auto"/>
        <w:jc w:val="both"/>
        <w:rPr>
          <w:rFonts w:ascii="Arial" w:hAnsi="Arial" w:cs="Arial"/>
        </w:rPr>
      </w:pPr>
      <w:r w:rsidRPr="00174508">
        <w:rPr>
          <w:rFonts w:ascii="Arial" w:hAnsi="Arial" w:cs="Arial"/>
        </w:rPr>
        <w:t>El tratamiento estándar de los pacientes con</w:t>
      </w:r>
      <w:r>
        <w:rPr>
          <w:rFonts w:ascii="Arial" w:hAnsi="Arial" w:cs="Arial"/>
        </w:rPr>
        <w:t xml:space="preserve"> </w:t>
      </w:r>
      <w:r w:rsidRPr="00174508">
        <w:rPr>
          <w:rFonts w:ascii="Arial" w:hAnsi="Arial" w:cs="Arial"/>
        </w:rPr>
        <w:t>L</w:t>
      </w:r>
      <w:r w:rsidR="008258E3">
        <w:rPr>
          <w:rFonts w:ascii="Arial" w:hAnsi="Arial" w:cs="Arial"/>
        </w:rPr>
        <w:t>DCBG</w:t>
      </w:r>
      <w:r w:rsidRPr="00174508">
        <w:rPr>
          <w:rFonts w:ascii="Arial" w:hAnsi="Arial" w:cs="Arial"/>
        </w:rPr>
        <w:t xml:space="preserve"> ha sido la poliquimioterapia tipo</w:t>
      </w:r>
      <w:r>
        <w:rPr>
          <w:rFonts w:ascii="Arial" w:hAnsi="Arial" w:cs="Arial"/>
        </w:rPr>
        <w:t xml:space="preserve"> </w:t>
      </w:r>
      <w:r w:rsidRPr="00174508">
        <w:rPr>
          <w:rFonts w:ascii="Arial" w:hAnsi="Arial" w:cs="Arial"/>
        </w:rPr>
        <w:t>CHOP durante muchos años</w:t>
      </w:r>
      <w:r>
        <w:rPr>
          <w:rFonts w:ascii="Arial" w:hAnsi="Arial" w:cs="Arial"/>
        </w:rPr>
        <w:t>. La aparición de rituximab ha aumentado considerablemente la supervivencia a largo plazo. Los pacientes se estratifican según la diseminación de la</w:t>
      </w:r>
      <w:r w:rsidRPr="00407ED8">
        <w:rPr>
          <w:rFonts w:ascii="Arial" w:hAnsi="Arial" w:cs="Arial"/>
        </w:rPr>
        <w:t xml:space="preserve"> enfermedad, la edad del paciente y los factores</w:t>
      </w:r>
      <w:r>
        <w:rPr>
          <w:rFonts w:ascii="Arial" w:hAnsi="Arial" w:cs="Arial"/>
        </w:rPr>
        <w:t xml:space="preserve"> </w:t>
      </w:r>
      <w:r w:rsidRPr="00407ED8">
        <w:rPr>
          <w:rFonts w:ascii="Arial" w:hAnsi="Arial" w:cs="Arial"/>
        </w:rPr>
        <w:t>pronósticos al diagnóstico</w:t>
      </w:r>
      <w:r>
        <w:rPr>
          <w:rFonts w:ascii="Arial" w:hAnsi="Arial" w:cs="Arial"/>
        </w:rPr>
        <w:t xml:space="preserve">. </w:t>
      </w:r>
      <w:r w:rsidRPr="00407ED8">
        <w:rPr>
          <w:rFonts w:ascii="Arial" w:hAnsi="Arial" w:cs="Arial"/>
        </w:rPr>
        <w:t xml:space="preserve">La combinación del </w:t>
      </w:r>
      <w:r>
        <w:rPr>
          <w:rFonts w:ascii="Arial" w:hAnsi="Arial" w:cs="Arial"/>
        </w:rPr>
        <w:t>R-</w:t>
      </w:r>
      <w:r w:rsidRPr="00407ED8">
        <w:rPr>
          <w:rFonts w:ascii="Arial" w:hAnsi="Arial" w:cs="Arial"/>
        </w:rPr>
        <w:t>CHOP se considera actualmente el tratamiento estándar del</w:t>
      </w:r>
      <w:r>
        <w:rPr>
          <w:rFonts w:ascii="Arial" w:hAnsi="Arial" w:cs="Arial"/>
        </w:rPr>
        <w:t xml:space="preserve"> </w:t>
      </w:r>
      <w:r w:rsidRPr="00407ED8">
        <w:rPr>
          <w:rFonts w:ascii="Arial" w:hAnsi="Arial" w:cs="Arial"/>
        </w:rPr>
        <w:t>L</w:t>
      </w:r>
      <w:r w:rsidR="008258E3">
        <w:rPr>
          <w:rFonts w:ascii="Arial" w:hAnsi="Arial" w:cs="Arial"/>
        </w:rPr>
        <w:t>DCBG</w:t>
      </w:r>
      <w:r>
        <w:rPr>
          <w:rFonts w:ascii="Arial" w:hAnsi="Arial" w:cs="Arial"/>
        </w:rPr>
        <w:t xml:space="preserve"> en primera línea</w:t>
      </w:r>
      <w:r w:rsidRPr="00407ED8">
        <w:rPr>
          <w:rFonts w:ascii="Arial" w:hAnsi="Arial" w:cs="Arial"/>
        </w:rPr>
        <w:t>, con el que se consigue globalmente una supervivencia a largo plazo del 60-70%</w:t>
      </w:r>
      <w:r>
        <w:rPr>
          <w:rFonts w:ascii="Arial" w:hAnsi="Arial" w:cs="Arial"/>
        </w:rPr>
        <w:t>. L</w:t>
      </w:r>
      <w:r w:rsidRPr="00174508">
        <w:rPr>
          <w:rFonts w:ascii="Arial" w:hAnsi="Arial" w:cs="Arial"/>
        </w:rPr>
        <w:t>a adición de radioterapia podría reservarse para los pacientes</w:t>
      </w:r>
      <w:r>
        <w:rPr>
          <w:rFonts w:ascii="Arial" w:hAnsi="Arial" w:cs="Arial"/>
        </w:rPr>
        <w:t xml:space="preserve"> </w:t>
      </w:r>
      <w:r w:rsidRPr="00174508">
        <w:rPr>
          <w:rFonts w:ascii="Arial" w:hAnsi="Arial" w:cs="Arial"/>
        </w:rPr>
        <w:t>que no alcanzan la remisión completa</w:t>
      </w:r>
      <w:r>
        <w:rPr>
          <w:rFonts w:ascii="Arial" w:hAnsi="Arial" w:cs="Arial"/>
        </w:rPr>
        <w:t xml:space="preserve"> o aquellos con masas voluminosas</w:t>
      </w:r>
      <w:r>
        <w:rPr>
          <w:rFonts w:ascii="Arial" w:hAnsi="Arial" w:cs="Arial"/>
          <w:vertAlign w:val="superscript"/>
        </w:rPr>
        <w:t>4</w:t>
      </w:r>
      <w:r>
        <w:rPr>
          <w:rFonts w:ascii="Arial" w:hAnsi="Arial" w:cs="Arial"/>
        </w:rPr>
        <w:t xml:space="preserve">. </w:t>
      </w:r>
    </w:p>
    <w:p w:rsidR="007D48BC" w:rsidRDefault="007D48BC" w:rsidP="00C85053">
      <w:pPr>
        <w:spacing w:line="360" w:lineRule="auto"/>
        <w:jc w:val="both"/>
        <w:rPr>
          <w:rFonts w:ascii="Arial" w:hAnsi="Arial" w:cs="Arial"/>
        </w:rPr>
      </w:pPr>
      <w:r>
        <w:rPr>
          <w:rFonts w:ascii="Arial" w:hAnsi="Arial" w:cs="Arial"/>
        </w:rPr>
        <w:t>Los pacientes que no responden a estos tratamientos de elevada eficacia son más difíciles de rescatar</w:t>
      </w:r>
      <w:r>
        <w:rPr>
          <w:rFonts w:ascii="Arial" w:hAnsi="Arial" w:cs="Arial"/>
          <w:vertAlign w:val="superscript"/>
        </w:rPr>
        <w:t>5</w:t>
      </w:r>
      <w:r>
        <w:rPr>
          <w:rFonts w:ascii="Arial" w:hAnsi="Arial" w:cs="Arial"/>
        </w:rPr>
        <w:t xml:space="preserve">. El tratamiento de rescate está determinado por la capacidad del paciente de recibir dosis altas de QT convencional y someterse a un </w:t>
      </w:r>
      <w:r w:rsidRPr="00C85053">
        <w:rPr>
          <w:rFonts w:ascii="Arial" w:hAnsi="Arial" w:cs="Arial"/>
        </w:rPr>
        <w:t>trasplante autólogo de progenitores hematopoyéticos</w:t>
      </w:r>
      <w:r>
        <w:rPr>
          <w:rFonts w:ascii="Arial" w:hAnsi="Arial" w:cs="Arial"/>
        </w:rPr>
        <w:t xml:space="preserve"> (TAPH). </w:t>
      </w:r>
    </w:p>
    <w:p w:rsidR="007D48BC" w:rsidRPr="009A6B97" w:rsidRDefault="007D48BC" w:rsidP="00C85053">
      <w:pPr>
        <w:spacing w:line="360" w:lineRule="auto"/>
        <w:jc w:val="both"/>
        <w:rPr>
          <w:rFonts w:ascii="Arial" w:hAnsi="Arial" w:cs="Arial"/>
          <w:b/>
          <w:bCs/>
        </w:rPr>
      </w:pPr>
      <w:r w:rsidRPr="009A6B97">
        <w:rPr>
          <w:rFonts w:ascii="Arial" w:hAnsi="Arial" w:cs="Arial"/>
          <w:b/>
          <w:bCs/>
        </w:rPr>
        <w:t>-Pacientes candidatos a quimioterapia a altas dosis seguido de TAPH</w:t>
      </w:r>
    </w:p>
    <w:p w:rsidR="007D48BC" w:rsidRDefault="007D48BC" w:rsidP="00216ABC">
      <w:pPr>
        <w:spacing w:line="360" w:lineRule="auto"/>
        <w:jc w:val="both"/>
        <w:rPr>
          <w:rFonts w:ascii="Arial" w:hAnsi="Arial" w:cs="Arial"/>
        </w:rPr>
      </w:pPr>
      <w:r>
        <w:rPr>
          <w:rFonts w:ascii="Arial" w:hAnsi="Arial" w:cs="Arial"/>
        </w:rPr>
        <w:t>En este grupo de pacientes n</w:t>
      </w:r>
      <w:r w:rsidRPr="00C85053">
        <w:rPr>
          <w:rFonts w:ascii="Arial" w:hAnsi="Arial" w:cs="Arial"/>
        </w:rPr>
        <w:t>o existe ningún régimen de rescate que haya demostrado superioridad sobre los demás</w:t>
      </w:r>
      <w:r>
        <w:rPr>
          <w:rFonts w:ascii="Arial" w:hAnsi="Arial" w:cs="Arial"/>
        </w:rPr>
        <w:t xml:space="preserve"> </w:t>
      </w:r>
      <w:r w:rsidRPr="00C85053">
        <w:rPr>
          <w:rFonts w:ascii="Arial" w:hAnsi="Arial" w:cs="Arial"/>
        </w:rPr>
        <w:t>y todos ellos han mostrado pobres resultados en pacientes pretratados con rituximab</w:t>
      </w:r>
      <w:r>
        <w:rPr>
          <w:rFonts w:ascii="Arial" w:hAnsi="Arial" w:cs="Arial"/>
        </w:rPr>
        <w:t xml:space="preserve">. </w:t>
      </w:r>
      <w:r w:rsidRPr="00C85053">
        <w:rPr>
          <w:rFonts w:ascii="Arial" w:hAnsi="Arial" w:cs="Arial"/>
        </w:rPr>
        <w:t>La elección de uno u otro dependerá de la experiencia clínica del centro</w:t>
      </w:r>
      <w:r>
        <w:rPr>
          <w:rFonts w:ascii="Arial" w:hAnsi="Arial" w:cs="Arial"/>
        </w:rPr>
        <w:t xml:space="preserve"> </w:t>
      </w:r>
      <w:r w:rsidRPr="00C85053">
        <w:rPr>
          <w:rFonts w:ascii="Arial" w:hAnsi="Arial" w:cs="Arial"/>
        </w:rPr>
        <w:t>y el perfil de toxicidad de cada régimen.</w:t>
      </w:r>
      <w:r>
        <w:rPr>
          <w:rFonts w:ascii="Arial" w:hAnsi="Arial" w:cs="Arial"/>
        </w:rPr>
        <w:t xml:space="preserve"> </w:t>
      </w:r>
      <w:r w:rsidRPr="008C4BFB">
        <w:rPr>
          <w:rFonts w:ascii="Arial" w:hAnsi="Arial" w:cs="Arial"/>
        </w:rPr>
        <w:t>El régimen de rescate con un perfil de toxicidad más adecuado es R-GDP,</w:t>
      </w:r>
      <w:r>
        <w:rPr>
          <w:rFonts w:ascii="Arial" w:hAnsi="Arial" w:cs="Arial"/>
        </w:rPr>
        <w:t xml:space="preserve"> </w:t>
      </w:r>
      <w:r w:rsidRPr="008C4BFB">
        <w:rPr>
          <w:rFonts w:ascii="Arial" w:hAnsi="Arial" w:cs="Arial"/>
        </w:rPr>
        <w:t>aunque otros regímenes como R-ESHAP, R-DHAP o R-ICE presentan una</w:t>
      </w:r>
      <w:r>
        <w:rPr>
          <w:rFonts w:ascii="Arial" w:hAnsi="Arial" w:cs="Arial"/>
        </w:rPr>
        <w:t xml:space="preserve"> </w:t>
      </w:r>
      <w:r w:rsidRPr="008C4BFB">
        <w:rPr>
          <w:rFonts w:ascii="Arial" w:hAnsi="Arial" w:cs="Arial"/>
        </w:rPr>
        <w:t>eficacia similar y pueden también emplearse</w:t>
      </w:r>
      <w:r>
        <w:rPr>
          <w:rFonts w:ascii="Arial" w:hAnsi="Arial" w:cs="Arial"/>
        </w:rPr>
        <w:t xml:space="preserve"> (tabla 3)</w:t>
      </w:r>
      <w:r>
        <w:rPr>
          <w:rFonts w:ascii="Arial" w:hAnsi="Arial" w:cs="Arial"/>
          <w:vertAlign w:val="superscript"/>
        </w:rPr>
        <w:t>4</w:t>
      </w:r>
      <w:r w:rsidRPr="00EB7D57">
        <w:rPr>
          <w:rFonts w:ascii="Arial" w:hAnsi="Arial" w:cs="Arial"/>
          <w:vertAlign w:val="superscript"/>
        </w:rPr>
        <w:t>,</w:t>
      </w:r>
      <w:r>
        <w:rPr>
          <w:rFonts w:ascii="Arial" w:hAnsi="Arial" w:cs="Arial"/>
          <w:vertAlign w:val="superscript"/>
        </w:rPr>
        <w:t>6</w:t>
      </w:r>
      <w:r>
        <w:rPr>
          <w:rFonts w:ascii="Arial" w:hAnsi="Arial" w:cs="Arial"/>
        </w:rPr>
        <w:t xml:space="preserve">. </w:t>
      </w:r>
      <w:r w:rsidRPr="00216ABC">
        <w:rPr>
          <w:rFonts w:ascii="Arial" w:hAnsi="Arial" w:cs="Arial"/>
        </w:rPr>
        <w:t xml:space="preserve">En los pacientes con </w:t>
      </w:r>
      <w:r>
        <w:rPr>
          <w:rFonts w:ascii="Arial" w:hAnsi="Arial" w:cs="Arial"/>
        </w:rPr>
        <w:t>respuesta completa</w:t>
      </w:r>
      <w:r w:rsidRPr="00216ABC">
        <w:rPr>
          <w:rFonts w:ascii="Arial" w:hAnsi="Arial" w:cs="Arial"/>
        </w:rPr>
        <w:t xml:space="preserve"> se procederá posteriormente a</w:t>
      </w:r>
      <w:r>
        <w:rPr>
          <w:rFonts w:ascii="Arial" w:hAnsi="Arial" w:cs="Arial"/>
        </w:rPr>
        <w:t xml:space="preserve"> </w:t>
      </w:r>
      <w:r w:rsidRPr="00216ABC">
        <w:rPr>
          <w:rFonts w:ascii="Arial" w:hAnsi="Arial" w:cs="Arial"/>
        </w:rPr>
        <w:t>intensificación con TAP</w:t>
      </w:r>
      <w:r>
        <w:rPr>
          <w:rFonts w:ascii="Arial" w:hAnsi="Arial" w:cs="Arial"/>
        </w:rPr>
        <w:t>H</w:t>
      </w:r>
      <w:r w:rsidRPr="00216ABC">
        <w:rPr>
          <w:rFonts w:ascii="Arial" w:hAnsi="Arial" w:cs="Arial"/>
        </w:rPr>
        <w:t>. Si se obtiene una buena respuesta parcial con poca</w:t>
      </w:r>
      <w:r>
        <w:rPr>
          <w:rFonts w:ascii="Arial" w:hAnsi="Arial" w:cs="Arial"/>
        </w:rPr>
        <w:t xml:space="preserve"> </w:t>
      </w:r>
      <w:r w:rsidRPr="00216ABC">
        <w:rPr>
          <w:rFonts w:ascii="Arial" w:hAnsi="Arial" w:cs="Arial"/>
        </w:rPr>
        <w:t>enfermedad residual, se podría valorar radioterapia pretrasplante y posterior TA</w:t>
      </w:r>
      <w:r>
        <w:rPr>
          <w:rFonts w:ascii="Arial" w:hAnsi="Arial" w:cs="Arial"/>
        </w:rPr>
        <w:t>PH</w:t>
      </w:r>
      <w:r w:rsidRPr="00216ABC">
        <w:rPr>
          <w:rFonts w:ascii="Arial" w:hAnsi="Arial" w:cs="Arial"/>
        </w:rPr>
        <w:t>.</w:t>
      </w:r>
      <w:r>
        <w:rPr>
          <w:rFonts w:ascii="Arial" w:hAnsi="Arial" w:cs="Arial"/>
        </w:rPr>
        <w:t xml:space="preserve"> </w:t>
      </w:r>
      <w:r w:rsidRPr="00216ABC">
        <w:rPr>
          <w:rFonts w:ascii="Arial" w:hAnsi="Arial" w:cs="Arial"/>
        </w:rPr>
        <w:t>En los pacientes</w:t>
      </w:r>
      <w:r>
        <w:rPr>
          <w:rFonts w:ascii="Arial" w:hAnsi="Arial" w:cs="Arial"/>
        </w:rPr>
        <w:t xml:space="preserve"> con</w:t>
      </w:r>
      <w:r w:rsidRPr="00216ABC">
        <w:rPr>
          <w:rFonts w:ascii="Arial" w:hAnsi="Arial" w:cs="Arial"/>
        </w:rPr>
        <w:t xml:space="preserve"> respuesta parcial</w:t>
      </w:r>
      <w:r>
        <w:rPr>
          <w:rFonts w:ascii="Arial" w:hAnsi="Arial" w:cs="Arial"/>
        </w:rPr>
        <w:t xml:space="preserve"> se puede</w:t>
      </w:r>
      <w:r w:rsidRPr="00216ABC">
        <w:rPr>
          <w:rFonts w:ascii="Arial" w:hAnsi="Arial" w:cs="Arial"/>
        </w:rPr>
        <w:t xml:space="preserve"> valorar</w:t>
      </w:r>
      <w:r>
        <w:rPr>
          <w:rFonts w:ascii="Arial" w:hAnsi="Arial" w:cs="Arial"/>
        </w:rPr>
        <w:t xml:space="preserve"> el</w:t>
      </w:r>
      <w:r w:rsidRPr="00216ABC">
        <w:rPr>
          <w:rFonts w:ascii="Arial" w:hAnsi="Arial" w:cs="Arial"/>
        </w:rPr>
        <w:t xml:space="preserve"> trasplante alogénico</w:t>
      </w:r>
      <w:r>
        <w:rPr>
          <w:rFonts w:ascii="Arial" w:hAnsi="Arial" w:cs="Arial"/>
          <w:vertAlign w:val="superscript"/>
        </w:rPr>
        <w:t>7</w:t>
      </w:r>
      <w:r>
        <w:rPr>
          <w:rFonts w:ascii="Arial" w:hAnsi="Arial" w:cs="Arial"/>
        </w:rPr>
        <w:t xml:space="preserve">. </w:t>
      </w:r>
    </w:p>
    <w:p w:rsidR="007D48BC" w:rsidRDefault="007D48BC" w:rsidP="00216ABC">
      <w:pPr>
        <w:spacing w:line="360" w:lineRule="auto"/>
        <w:jc w:val="both"/>
        <w:rPr>
          <w:rFonts w:ascii="Arial" w:hAnsi="Arial" w:cs="Arial"/>
        </w:rPr>
      </w:pPr>
    </w:p>
    <w:tbl>
      <w:tblPr>
        <w:tblW w:w="5000" w:type="pct"/>
        <w:tblInd w:w="-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5" w:type="dxa"/>
          <w:left w:w="55" w:type="dxa"/>
          <w:bottom w:w="55" w:type="dxa"/>
          <w:right w:w="55" w:type="dxa"/>
        </w:tblCellMar>
        <w:tblLook w:val="0000"/>
      </w:tblPr>
      <w:tblGrid>
        <w:gridCol w:w="2265"/>
        <w:gridCol w:w="6584"/>
      </w:tblGrid>
      <w:tr w:rsidR="007D48BC">
        <w:trPr>
          <w:trHeight w:val="35"/>
        </w:trPr>
        <w:tc>
          <w:tcPr>
            <w:tcW w:w="5000" w:type="pct"/>
            <w:gridSpan w:val="2"/>
            <w:shd w:val="clear" w:color="auto" w:fill="CCFFCC"/>
            <w:vAlign w:val="center"/>
          </w:tcPr>
          <w:p w:rsidR="007D48BC" w:rsidRDefault="007D48BC" w:rsidP="00072351">
            <w:pPr>
              <w:pStyle w:val="Contenidodelatabla"/>
              <w:jc w:val="center"/>
            </w:pPr>
            <w:r>
              <w:rPr>
                <w:rFonts w:ascii="Arial" w:hAnsi="Arial" w:cs="Arial"/>
                <w:b/>
                <w:bCs/>
                <w:sz w:val="16"/>
                <w:szCs w:val="16"/>
              </w:rPr>
              <w:t xml:space="preserve">Tabla 3 . Esquemas de rescate en pacientes </w:t>
            </w:r>
            <w:r w:rsidRPr="00DF0E20">
              <w:rPr>
                <w:rFonts w:ascii="Arial" w:hAnsi="Arial" w:cs="Arial"/>
                <w:b/>
                <w:bCs/>
                <w:sz w:val="16"/>
                <w:szCs w:val="16"/>
              </w:rPr>
              <w:t>candidatos a quimioterapia a altas dosis seguido de TAPH</w:t>
            </w:r>
            <w:r w:rsidRPr="00E01935">
              <w:rPr>
                <w:rFonts w:ascii="Arial" w:hAnsi="Arial" w:cs="Arial"/>
                <w:b/>
                <w:bCs/>
                <w:sz w:val="16"/>
                <w:szCs w:val="16"/>
                <w:vertAlign w:val="superscript"/>
              </w:rPr>
              <w:t>6</w:t>
            </w:r>
            <w:r>
              <w:rPr>
                <w:rFonts w:ascii="Arial" w:hAnsi="Arial" w:cs="Arial"/>
                <w:b/>
                <w:bCs/>
                <w:sz w:val="16"/>
                <w:szCs w:val="16"/>
              </w:rPr>
              <w:t>.</w:t>
            </w:r>
          </w:p>
        </w:tc>
      </w:tr>
      <w:tr w:rsidR="007D48BC">
        <w:tc>
          <w:tcPr>
            <w:tcW w:w="1280" w:type="pct"/>
            <w:shd w:val="clear" w:color="auto" w:fill="D9D9D9"/>
            <w:vAlign w:val="center"/>
          </w:tcPr>
          <w:p w:rsidR="007D48BC" w:rsidRPr="009A6B97" w:rsidRDefault="007D48BC" w:rsidP="00072351">
            <w:pPr>
              <w:pStyle w:val="Contenidodelatabla"/>
              <w:jc w:val="center"/>
              <w:rPr>
                <w:sz w:val="16"/>
                <w:szCs w:val="16"/>
              </w:rPr>
            </w:pPr>
            <w:r w:rsidRPr="009A6B97">
              <w:rPr>
                <w:rFonts w:ascii="Arial" w:hAnsi="Arial" w:cs="Arial"/>
                <w:b/>
                <w:bCs/>
                <w:sz w:val="16"/>
                <w:szCs w:val="16"/>
              </w:rPr>
              <w:t>Nombre</w:t>
            </w:r>
          </w:p>
        </w:tc>
        <w:tc>
          <w:tcPr>
            <w:tcW w:w="3720" w:type="pct"/>
            <w:shd w:val="clear" w:color="auto" w:fill="D9D9D9"/>
            <w:vAlign w:val="center"/>
          </w:tcPr>
          <w:p w:rsidR="007D48BC" w:rsidRPr="009A6B97" w:rsidRDefault="007D48BC" w:rsidP="00072351">
            <w:pPr>
              <w:pStyle w:val="Contenidodelatabla"/>
              <w:jc w:val="center"/>
              <w:rPr>
                <w:sz w:val="16"/>
                <w:szCs w:val="16"/>
              </w:rPr>
            </w:pPr>
            <w:r w:rsidRPr="009A6B97">
              <w:rPr>
                <w:rFonts w:ascii="Arial" w:hAnsi="Arial" w:cs="Arial"/>
                <w:b/>
                <w:bCs/>
                <w:sz w:val="16"/>
                <w:szCs w:val="16"/>
              </w:rPr>
              <w:t>Componentes</w:t>
            </w:r>
          </w:p>
        </w:tc>
      </w:tr>
      <w:tr w:rsidR="007D48BC">
        <w:tc>
          <w:tcPr>
            <w:tcW w:w="1280" w:type="pct"/>
            <w:vAlign w:val="center"/>
          </w:tcPr>
          <w:p w:rsidR="007D48BC" w:rsidRPr="009A6B97" w:rsidRDefault="007D48BC" w:rsidP="00072351">
            <w:pPr>
              <w:pStyle w:val="Contenidodelatabla"/>
              <w:jc w:val="center"/>
              <w:rPr>
                <w:rFonts w:ascii="Arial" w:hAnsi="Arial" w:cs="Arial"/>
                <w:b/>
                <w:bCs/>
                <w:sz w:val="16"/>
                <w:szCs w:val="16"/>
              </w:rPr>
            </w:pPr>
            <w:bookmarkStart w:id="19" w:name="_Hlk530587944"/>
            <w:r w:rsidRPr="009A6B97">
              <w:rPr>
                <w:rFonts w:ascii="Arial" w:hAnsi="Arial" w:cs="Arial"/>
                <w:b/>
                <w:bCs/>
                <w:sz w:val="16"/>
                <w:szCs w:val="16"/>
              </w:rPr>
              <w:t>R-DHAP</w:t>
            </w:r>
          </w:p>
        </w:tc>
        <w:tc>
          <w:tcPr>
            <w:tcW w:w="3720" w:type="pct"/>
            <w:vAlign w:val="center"/>
          </w:tcPr>
          <w:p w:rsidR="007D48BC" w:rsidRPr="009A6B97" w:rsidRDefault="00480033" w:rsidP="00072351">
            <w:pPr>
              <w:pStyle w:val="Contenidodelatabla"/>
              <w:jc w:val="center"/>
              <w:rPr>
                <w:rFonts w:ascii="Arial" w:hAnsi="Arial" w:cs="Arial"/>
                <w:sz w:val="16"/>
                <w:szCs w:val="16"/>
              </w:rPr>
            </w:pPr>
            <w:r>
              <w:rPr>
                <w:rFonts w:ascii="Arial" w:hAnsi="Arial" w:cs="Arial"/>
                <w:sz w:val="16"/>
                <w:szCs w:val="16"/>
              </w:rPr>
              <w:t>Rituximab ± (d</w:t>
            </w:r>
            <w:r w:rsidR="007D48BC" w:rsidRPr="009A6B97">
              <w:rPr>
                <w:rFonts w:ascii="Arial" w:hAnsi="Arial" w:cs="Arial"/>
                <w:sz w:val="16"/>
                <w:szCs w:val="16"/>
              </w:rPr>
              <w:t>exametasona, cisplatino, citarabina)</w:t>
            </w:r>
          </w:p>
        </w:tc>
      </w:tr>
      <w:tr w:rsidR="007D48BC">
        <w:tc>
          <w:tcPr>
            <w:tcW w:w="1280" w:type="pct"/>
            <w:vAlign w:val="center"/>
          </w:tcPr>
          <w:p w:rsidR="007D48BC" w:rsidRPr="009A6B97" w:rsidRDefault="007D48BC" w:rsidP="00072351">
            <w:pPr>
              <w:pStyle w:val="Contenidodelatabla"/>
              <w:jc w:val="center"/>
              <w:rPr>
                <w:rFonts w:ascii="Arial" w:hAnsi="Arial" w:cs="Arial"/>
                <w:b/>
                <w:bCs/>
                <w:sz w:val="16"/>
                <w:szCs w:val="16"/>
              </w:rPr>
            </w:pPr>
            <w:r w:rsidRPr="009A6B97">
              <w:rPr>
                <w:rFonts w:ascii="Arial" w:hAnsi="Arial" w:cs="Arial"/>
                <w:b/>
                <w:bCs/>
                <w:sz w:val="16"/>
                <w:szCs w:val="16"/>
              </w:rPr>
              <w:t>R-ESHAP</w:t>
            </w:r>
          </w:p>
        </w:tc>
        <w:tc>
          <w:tcPr>
            <w:tcW w:w="3720" w:type="pct"/>
            <w:vAlign w:val="center"/>
          </w:tcPr>
          <w:p w:rsidR="007D48BC" w:rsidRPr="009A6B97" w:rsidRDefault="00480033" w:rsidP="00072351">
            <w:pPr>
              <w:pStyle w:val="Contenidodelatabla"/>
              <w:jc w:val="center"/>
              <w:rPr>
                <w:rFonts w:ascii="Arial" w:hAnsi="Arial" w:cs="Arial"/>
                <w:sz w:val="16"/>
                <w:szCs w:val="16"/>
              </w:rPr>
            </w:pPr>
            <w:r>
              <w:rPr>
                <w:rFonts w:ascii="Arial" w:hAnsi="Arial" w:cs="Arial"/>
                <w:sz w:val="16"/>
                <w:szCs w:val="16"/>
              </w:rPr>
              <w:t>Rituximab ± (e</w:t>
            </w:r>
            <w:r w:rsidR="007D48BC" w:rsidRPr="009A6B97">
              <w:rPr>
                <w:rFonts w:ascii="Arial" w:hAnsi="Arial" w:cs="Arial"/>
                <w:sz w:val="16"/>
                <w:szCs w:val="16"/>
              </w:rPr>
              <w:t>toposido, metilprednisolona, citarabina, cisplatino)</w:t>
            </w:r>
          </w:p>
        </w:tc>
      </w:tr>
      <w:tr w:rsidR="007D48BC">
        <w:trPr>
          <w:trHeight w:val="207"/>
        </w:trPr>
        <w:tc>
          <w:tcPr>
            <w:tcW w:w="1280" w:type="pct"/>
            <w:vAlign w:val="center"/>
          </w:tcPr>
          <w:p w:rsidR="007D48BC" w:rsidRPr="009A6B97" w:rsidRDefault="007D48BC" w:rsidP="00072351">
            <w:pPr>
              <w:pStyle w:val="Contenidodelatabla"/>
              <w:jc w:val="center"/>
              <w:rPr>
                <w:rFonts w:ascii="Arial" w:hAnsi="Arial" w:cs="Arial"/>
                <w:b/>
                <w:bCs/>
                <w:sz w:val="16"/>
                <w:szCs w:val="16"/>
              </w:rPr>
            </w:pPr>
            <w:r w:rsidRPr="009A6B97">
              <w:rPr>
                <w:rFonts w:ascii="Arial" w:hAnsi="Arial" w:cs="Arial"/>
                <w:b/>
                <w:bCs/>
                <w:sz w:val="16"/>
                <w:szCs w:val="16"/>
              </w:rPr>
              <w:t>R-GDP</w:t>
            </w:r>
          </w:p>
        </w:tc>
        <w:tc>
          <w:tcPr>
            <w:tcW w:w="3720" w:type="pct"/>
            <w:vAlign w:val="center"/>
          </w:tcPr>
          <w:p w:rsidR="007D48BC" w:rsidRPr="009A6B97" w:rsidRDefault="007D48BC" w:rsidP="00480033">
            <w:pPr>
              <w:pStyle w:val="Contenidodelatabla"/>
              <w:jc w:val="center"/>
              <w:rPr>
                <w:rFonts w:ascii="Arial" w:hAnsi="Arial" w:cs="Arial"/>
                <w:sz w:val="16"/>
                <w:szCs w:val="16"/>
              </w:rPr>
            </w:pPr>
            <w:r w:rsidRPr="009A6B97">
              <w:rPr>
                <w:rFonts w:ascii="Arial" w:hAnsi="Arial" w:cs="Arial"/>
                <w:sz w:val="16"/>
                <w:szCs w:val="16"/>
              </w:rPr>
              <w:t>Rituximab ± (</w:t>
            </w:r>
            <w:r w:rsidR="00480033">
              <w:rPr>
                <w:rFonts w:ascii="Arial" w:hAnsi="Arial" w:cs="Arial"/>
                <w:sz w:val="16"/>
                <w:szCs w:val="16"/>
              </w:rPr>
              <w:t>g</w:t>
            </w:r>
            <w:r w:rsidRPr="009A6B97">
              <w:rPr>
                <w:rFonts w:ascii="Arial" w:hAnsi="Arial" w:cs="Arial"/>
                <w:sz w:val="16"/>
                <w:szCs w:val="16"/>
              </w:rPr>
              <w:t>emcitabina, dexametasona, cisplatino)</w:t>
            </w:r>
          </w:p>
        </w:tc>
      </w:tr>
      <w:tr w:rsidR="007D48BC">
        <w:trPr>
          <w:trHeight w:val="169"/>
        </w:trPr>
        <w:tc>
          <w:tcPr>
            <w:tcW w:w="1280" w:type="pct"/>
            <w:vAlign w:val="center"/>
          </w:tcPr>
          <w:p w:rsidR="007D48BC" w:rsidRPr="009A6B97" w:rsidRDefault="007D48BC" w:rsidP="00072351">
            <w:pPr>
              <w:pStyle w:val="Contenidodelatabla"/>
              <w:jc w:val="center"/>
              <w:rPr>
                <w:rFonts w:ascii="Arial" w:hAnsi="Arial" w:cs="Arial"/>
                <w:b/>
                <w:bCs/>
                <w:sz w:val="16"/>
                <w:szCs w:val="16"/>
              </w:rPr>
            </w:pPr>
            <w:r w:rsidRPr="009A6B97">
              <w:rPr>
                <w:rFonts w:ascii="Arial" w:hAnsi="Arial" w:cs="Arial"/>
                <w:b/>
                <w:bCs/>
                <w:sz w:val="16"/>
                <w:szCs w:val="16"/>
              </w:rPr>
              <w:t>R-GemOX</w:t>
            </w:r>
          </w:p>
        </w:tc>
        <w:tc>
          <w:tcPr>
            <w:tcW w:w="3720" w:type="pct"/>
            <w:vAlign w:val="center"/>
          </w:tcPr>
          <w:p w:rsidR="007D48BC" w:rsidRPr="009A6B97" w:rsidRDefault="007D48BC" w:rsidP="00480033">
            <w:pPr>
              <w:pStyle w:val="Contenidodelatabla"/>
              <w:jc w:val="center"/>
              <w:rPr>
                <w:rFonts w:ascii="Arial" w:hAnsi="Arial" w:cs="Arial"/>
                <w:sz w:val="16"/>
                <w:szCs w:val="16"/>
              </w:rPr>
            </w:pPr>
            <w:r w:rsidRPr="009A6B97">
              <w:rPr>
                <w:rFonts w:ascii="Arial" w:hAnsi="Arial" w:cs="Arial"/>
                <w:sz w:val="16"/>
                <w:szCs w:val="16"/>
              </w:rPr>
              <w:t>Rituximab ± (</w:t>
            </w:r>
            <w:r w:rsidR="00480033">
              <w:rPr>
                <w:rFonts w:ascii="Arial" w:hAnsi="Arial" w:cs="Arial"/>
                <w:sz w:val="16"/>
                <w:szCs w:val="16"/>
              </w:rPr>
              <w:t>g</w:t>
            </w:r>
            <w:r w:rsidRPr="009A6B97">
              <w:rPr>
                <w:rFonts w:ascii="Arial" w:hAnsi="Arial" w:cs="Arial"/>
                <w:sz w:val="16"/>
                <w:szCs w:val="16"/>
              </w:rPr>
              <w:t>emcitabina, oxaliplatino)</w:t>
            </w:r>
          </w:p>
        </w:tc>
      </w:tr>
      <w:tr w:rsidR="007D48BC">
        <w:trPr>
          <w:trHeight w:val="259"/>
        </w:trPr>
        <w:tc>
          <w:tcPr>
            <w:tcW w:w="1280" w:type="pct"/>
            <w:vAlign w:val="center"/>
          </w:tcPr>
          <w:p w:rsidR="007D48BC" w:rsidRPr="009A6B97" w:rsidRDefault="007D48BC" w:rsidP="00072351">
            <w:pPr>
              <w:pStyle w:val="Contenidodelatabla"/>
              <w:jc w:val="center"/>
              <w:rPr>
                <w:rFonts w:ascii="Arial" w:hAnsi="Arial" w:cs="Arial"/>
                <w:b/>
                <w:bCs/>
                <w:sz w:val="16"/>
                <w:szCs w:val="16"/>
              </w:rPr>
            </w:pPr>
            <w:r w:rsidRPr="009A6B97">
              <w:rPr>
                <w:rFonts w:ascii="Arial" w:hAnsi="Arial" w:cs="Arial"/>
                <w:b/>
                <w:bCs/>
                <w:sz w:val="16"/>
                <w:szCs w:val="16"/>
              </w:rPr>
              <w:t>R-ICE</w:t>
            </w:r>
          </w:p>
        </w:tc>
        <w:tc>
          <w:tcPr>
            <w:tcW w:w="3720" w:type="pct"/>
            <w:vAlign w:val="center"/>
          </w:tcPr>
          <w:p w:rsidR="007D48BC" w:rsidRPr="009A6B97" w:rsidRDefault="007D48BC" w:rsidP="00072351">
            <w:pPr>
              <w:pStyle w:val="Contenidodelatabla"/>
              <w:jc w:val="center"/>
              <w:rPr>
                <w:rFonts w:ascii="Arial" w:hAnsi="Arial" w:cs="Arial"/>
                <w:sz w:val="16"/>
                <w:szCs w:val="16"/>
              </w:rPr>
            </w:pPr>
            <w:r w:rsidRPr="009A6B97">
              <w:rPr>
                <w:rFonts w:ascii="Arial" w:hAnsi="Arial" w:cs="Arial"/>
                <w:sz w:val="16"/>
                <w:szCs w:val="16"/>
              </w:rPr>
              <w:t>Rituximab ± (ifosfamida, carboplatino, etopósido)</w:t>
            </w:r>
          </w:p>
        </w:tc>
      </w:tr>
      <w:tr w:rsidR="007D48BC">
        <w:trPr>
          <w:trHeight w:val="165"/>
        </w:trPr>
        <w:tc>
          <w:tcPr>
            <w:tcW w:w="1280" w:type="pct"/>
            <w:vAlign w:val="center"/>
          </w:tcPr>
          <w:p w:rsidR="007D48BC" w:rsidRPr="009A6B97" w:rsidRDefault="007D48BC" w:rsidP="00072351">
            <w:pPr>
              <w:pStyle w:val="Contenidodelatabla"/>
              <w:jc w:val="center"/>
              <w:rPr>
                <w:rFonts w:ascii="Arial" w:hAnsi="Arial" w:cs="Arial"/>
                <w:b/>
                <w:bCs/>
                <w:sz w:val="16"/>
                <w:szCs w:val="16"/>
              </w:rPr>
            </w:pPr>
            <w:r w:rsidRPr="009A6B97">
              <w:rPr>
                <w:rFonts w:ascii="Arial" w:hAnsi="Arial" w:cs="Arial"/>
                <w:b/>
                <w:bCs/>
                <w:sz w:val="16"/>
                <w:szCs w:val="16"/>
              </w:rPr>
              <w:t>R-MINE</w:t>
            </w:r>
          </w:p>
        </w:tc>
        <w:tc>
          <w:tcPr>
            <w:tcW w:w="3720" w:type="pct"/>
            <w:vAlign w:val="center"/>
          </w:tcPr>
          <w:p w:rsidR="007D48BC" w:rsidRPr="009A6B97" w:rsidRDefault="007D48BC" w:rsidP="00072351">
            <w:pPr>
              <w:pStyle w:val="Contenidodelatabla"/>
              <w:jc w:val="center"/>
              <w:rPr>
                <w:rFonts w:ascii="Arial" w:hAnsi="Arial" w:cs="Arial"/>
                <w:sz w:val="16"/>
                <w:szCs w:val="16"/>
              </w:rPr>
            </w:pPr>
            <w:r w:rsidRPr="009A6B97">
              <w:rPr>
                <w:rFonts w:ascii="Arial" w:hAnsi="Arial" w:cs="Arial"/>
                <w:sz w:val="16"/>
                <w:szCs w:val="16"/>
              </w:rPr>
              <w:t xml:space="preserve">Rituximab ± (mesna, ifosfamida, mitoxantrona, etopósido)  </w:t>
            </w:r>
          </w:p>
        </w:tc>
      </w:tr>
      <w:bookmarkEnd w:id="19"/>
    </w:tbl>
    <w:p w:rsidR="007D48BC" w:rsidRDefault="007D48BC" w:rsidP="008C4BFB">
      <w:pPr>
        <w:spacing w:line="360" w:lineRule="auto"/>
        <w:jc w:val="both"/>
        <w:rPr>
          <w:rFonts w:ascii="Arial" w:hAnsi="Arial" w:cs="Arial"/>
        </w:rPr>
      </w:pPr>
    </w:p>
    <w:p w:rsidR="007D48BC" w:rsidRPr="009A6B97" w:rsidRDefault="007D48BC" w:rsidP="008C4BFB">
      <w:pPr>
        <w:spacing w:line="360" w:lineRule="auto"/>
        <w:jc w:val="both"/>
        <w:rPr>
          <w:rFonts w:ascii="Arial" w:hAnsi="Arial" w:cs="Arial"/>
          <w:b/>
          <w:bCs/>
        </w:rPr>
      </w:pPr>
      <w:r w:rsidRPr="009A6B97">
        <w:rPr>
          <w:rFonts w:ascii="Arial" w:hAnsi="Arial" w:cs="Arial"/>
          <w:b/>
          <w:bCs/>
        </w:rPr>
        <w:t>-Pacientes NO candidatos a quimioterapia a altas dosis seguido de TAPH</w:t>
      </w:r>
    </w:p>
    <w:p w:rsidR="007D48BC" w:rsidRDefault="007D48BC" w:rsidP="008C4BFB">
      <w:pPr>
        <w:spacing w:line="360" w:lineRule="auto"/>
        <w:jc w:val="both"/>
        <w:rPr>
          <w:rFonts w:ascii="Arial" w:hAnsi="Arial" w:cs="Arial"/>
        </w:rPr>
      </w:pPr>
      <w:r>
        <w:rPr>
          <w:rFonts w:ascii="Arial" w:hAnsi="Arial" w:cs="Arial"/>
        </w:rPr>
        <w:t xml:space="preserve">Hay un porcentaje importante de pacientes que no son candidatos al tratamiento a altas dosis de QT convencional seguido de TAPH. Entre las principales causas se encuentra la edad del paciente y las comorbilidades presentes, aunque no todas son contraindicación expresa para el tratamiento. La evidencia es escasa, especialmente en pacientes frágiles, de edad avanzada o con comorbilidades importantes ya que no se incluyen en los ensayos clínicos. Los esquemas más empleados son el R-GemOX o el R-Bendamustina. La pixantrona también puede emplearse y es el único fármaco en monoterapia </w:t>
      </w:r>
      <w:r w:rsidRPr="00853D2B">
        <w:rPr>
          <w:rFonts w:ascii="Arial" w:hAnsi="Arial" w:cs="Arial"/>
        </w:rPr>
        <w:t>con indicación en tercera y cuarta</w:t>
      </w:r>
      <w:r>
        <w:rPr>
          <w:rFonts w:ascii="Arial" w:hAnsi="Arial" w:cs="Arial"/>
        </w:rPr>
        <w:t xml:space="preserve"> </w:t>
      </w:r>
      <w:r w:rsidRPr="00853D2B">
        <w:rPr>
          <w:rFonts w:ascii="Arial" w:hAnsi="Arial" w:cs="Arial"/>
        </w:rPr>
        <w:t>línea</w:t>
      </w:r>
      <w:r>
        <w:rPr>
          <w:rFonts w:ascii="Arial" w:hAnsi="Arial" w:cs="Arial"/>
        </w:rPr>
        <w:t xml:space="preserve"> (Tabla 4)</w:t>
      </w:r>
      <w:r w:rsidRPr="00853D2B">
        <w:rPr>
          <w:rFonts w:ascii="Arial" w:hAnsi="Arial" w:cs="Arial"/>
        </w:rPr>
        <w:t>.</w:t>
      </w:r>
    </w:p>
    <w:p w:rsidR="007D48BC" w:rsidRDefault="007D48BC" w:rsidP="00C85053">
      <w:pPr>
        <w:spacing w:line="360" w:lineRule="auto"/>
        <w:jc w:val="both"/>
        <w:rPr>
          <w:rFonts w:ascii="Arial" w:hAnsi="Arial" w:cs="Arial"/>
        </w:rPr>
      </w:pPr>
      <w:r w:rsidRPr="00321C12">
        <w:rPr>
          <w:rFonts w:ascii="Arial" w:hAnsi="Arial" w:cs="Arial"/>
        </w:rPr>
        <w:t xml:space="preserve">A partir de </w:t>
      </w:r>
      <w:r>
        <w:rPr>
          <w:rFonts w:ascii="Arial" w:hAnsi="Arial" w:cs="Arial"/>
        </w:rPr>
        <w:t>la segunda recaída, l</w:t>
      </w:r>
      <w:r w:rsidRPr="00321C12">
        <w:rPr>
          <w:rFonts w:ascii="Arial" w:hAnsi="Arial" w:cs="Arial"/>
        </w:rPr>
        <w:t>a evidencia científica es inferior a la disponible en líneas</w:t>
      </w:r>
      <w:r>
        <w:rPr>
          <w:rFonts w:ascii="Arial" w:hAnsi="Arial" w:cs="Arial"/>
        </w:rPr>
        <w:t xml:space="preserve"> </w:t>
      </w:r>
      <w:r w:rsidRPr="00321C12">
        <w:rPr>
          <w:rFonts w:ascii="Arial" w:hAnsi="Arial" w:cs="Arial"/>
        </w:rPr>
        <w:t>previas.</w:t>
      </w:r>
      <w:r>
        <w:rPr>
          <w:rFonts w:ascii="Arial" w:hAnsi="Arial" w:cs="Arial"/>
        </w:rPr>
        <w:t xml:space="preserve"> Entre las opciones disponibles, se encuentran los</w:t>
      </w:r>
      <w:r w:rsidRPr="002C320E">
        <w:rPr>
          <w:rFonts w:ascii="Arial" w:hAnsi="Arial" w:cs="Arial"/>
        </w:rPr>
        <w:t xml:space="preserve"> esquemas de tratamiento con poliquimioterapia </w:t>
      </w:r>
      <w:r>
        <w:rPr>
          <w:rFonts w:ascii="Arial" w:hAnsi="Arial" w:cs="Arial"/>
        </w:rPr>
        <w:t xml:space="preserve">anteriormente incluidos en segunda línea que no presenten resistencias cruzadas con los esquemas previos administrados o </w:t>
      </w:r>
      <w:r w:rsidRPr="002C320E">
        <w:rPr>
          <w:rFonts w:ascii="Arial" w:hAnsi="Arial" w:cs="Arial"/>
        </w:rPr>
        <w:t>esquemas de</w:t>
      </w:r>
      <w:r>
        <w:rPr>
          <w:rFonts w:ascii="Arial" w:hAnsi="Arial" w:cs="Arial"/>
        </w:rPr>
        <w:t xml:space="preserve"> </w:t>
      </w:r>
      <w:r w:rsidRPr="002C320E">
        <w:rPr>
          <w:rFonts w:ascii="Arial" w:hAnsi="Arial" w:cs="Arial"/>
        </w:rPr>
        <w:t>monoterapia,</w:t>
      </w:r>
      <w:r>
        <w:rPr>
          <w:rFonts w:ascii="Arial" w:hAnsi="Arial" w:cs="Arial"/>
        </w:rPr>
        <w:t xml:space="preserve"> como pixantrona o lenalidomida (uso fuera de ficha técnica). Otras opciones son la inclusión en un ensayo clínico, la radioterapia o las medidas de soporte paliativo. </w:t>
      </w:r>
    </w:p>
    <w:p w:rsidR="007D48BC" w:rsidRDefault="007D48BC" w:rsidP="00C85053">
      <w:pPr>
        <w:spacing w:line="360" w:lineRule="auto"/>
        <w:jc w:val="both"/>
        <w:rPr>
          <w:rFonts w:ascii="Arial" w:hAnsi="Arial" w:cs="Arial"/>
        </w:rPr>
      </w:pPr>
      <w:r>
        <w:rPr>
          <w:rFonts w:ascii="Arial" w:hAnsi="Arial" w:cs="Arial"/>
        </w:rPr>
        <w:t xml:space="preserve">El </w:t>
      </w:r>
      <w:r w:rsidRPr="00174508">
        <w:rPr>
          <w:rFonts w:ascii="Arial" w:hAnsi="Arial" w:cs="Arial"/>
        </w:rPr>
        <w:t>L</w:t>
      </w:r>
      <w:r w:rsidR="008258E3">
        <w:rPr>
          <w:rFonts w:ascii="Arial" w:hAnsi="Arial" w:cs="Arial"/>
        </w:rPr>
        <w:t>DCBG</w:t>
      </w:r>
      <w:r>
        <w:rPr>
          <w:rFonts w:ascii="Arial" w:hAnsi="Arial" w:cs="Arial"/>
        </w:rPr>
        <w:t xml:space="preserve"> es una enfermedad grave. Los pacientes refractarios o en recaída presentan una supervivencia limitada, con pobres respuestas a los sucesivos esquemas de QT</w:t>
      </w:r>
      <w:r>
        <w:rPr>
          <w:rFonts w:ascii="Arial" w:hAnsi="Arial" w:cs="Arial"/>
          <w:vertAlign w:val="superscript"/>
        </w:rPr>
        <w:t>8</w:t>
      </w:r>
      <w:r w:rsidRPr="009B7133">
        <w:rPr>
          <w:rFonts w:ascii="Arial" w:hAnsi="Arial" w:cs="Arial"/>
          <w:vertAlign w:val="superscript"/>
        </w:rPr>
        <w:t>,</w:t>
      </w:r>
      <w:r>
        <w:rPr>
          <w:rFonts w:ascii="Arial" w:hAnsi="Arial" w:cs="Arial"/>
          <w:vertAlign w:val="superscript"/>
        </w:rPr>
        <w:t>9</w:t>
      </w:r>
      <w:r w:rsidR="00480033">
        <w:rPr>
          <w:rFonts w:ascii="Arial" w:hAnsi="Arial" w:cs="Arial"/>
        </w:rPr>
        <w:t>. Los nuevos fármacos</w:t>
      </w:r>
      <w:r w:rsidRPr="00B9700B">
        <w:rPr>
          <w:rFonts w:ascii="Arial" w:hAnsi="Arial" w:cs="Arial"/>
        </w:rPr>
        <w:t xml:space="preserve"> CAR </w:t>
      </w:r>
      <w:r w:rsidR="00480033">
        <w:rPr>
          <w:rFonts w:ascii="Arial" w:hAnsi="Arial" w:cs="Arial"/>
        </w:rPr>
        <w:t xml:space="preserve">T </w:t>
      </w:r>
      <w:r w:rsidRPr="00B9700B">
        <w:rPr>
          <w:rFonts w:ascii="Arial" w:hAnsi="Arial" w:cs="Arial"/>
        </w:rPr>
        <w:t>anti-CD19</w:t>
      </w:r>
      <w:r>
        <w:rPr>
          <w:rFonts w:ascii="Arial" w:hAnsi="Arial" w:cs="Arial"/>
        </w:rPr>
        <w:t xml:space="preserve"> suponen una alternativa a los tratamientos descritos en pacientes refractarios o en recaída tras dos o más líneas de tratamiento.  </w:t>
      </w:r>
    </w:p>
    <w:p w:rsidR="007D48BC" w:rsidRDefault="007D48BC" w:rsidP="00C85053">
      <w:pPr>
        <w:spacing w:line="360" w:lineRule="auto"/>
        <w:jc w:val="both"/>
        <w:rPr>
          <w:rFonts w:ascii="Arial" w:hAnsi="Arial" w:cs="Arial"/>
        </w:rPr>
      </w:pPr>
    </w:p>
    <w:tbl>
      <w:tblPr>
        <w:tblW w:w="5000" w:type="pct"/>
        <w:tblInd w:w="-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5" w:type="dxa"/>
          <w:left w:w="55" w:type="dxa"/>
          <w:bottom w:w="55" w:type="dxa"/>
          <w:right w:w="55" w:type="dxa"/>
        </w:tblCellMar>
        <w:tblLook w:val="0000"/>
      </w:tblPr>
      <w:tblGrid>
        <w:gridCol w:w="2265"/>
        <w:gridCol w:w="6584"/>
      </w:tblGrid>
      <w:tr w:rsidR="007D48BC" w:rsidRPr="009A6B97">
        <w:trPr>
          <w:trHeight w:val="35"/>
        </w:trPr>
        <w:tc>
          <w:tcPr>
            <w:tcW w:w="5000" w:type="pct"/>
            <w:gridSpan w:val="2"/>
            <w:shd w:val="clear" w:color="auto" w:fill="CCFFCC"/>
            <w:vAlign w:val="center"/>
          </w:tcPr>
          <w:p w:rsidR="007D48BC" w:rsidRPr="009A6B97" w:rsidRDefault="007D48BC" w:rsidP="00C2586B">
            <w:pPr>
              <w:pStyle w:val="Contenidodelatabla"/>
              <w:jc w:val="center"/>
              <w:rPr>
                <w:rFonts w:ascii="Arial" w:hAnsi="Arial" w:cs="Arial"/>
                <w:b/>
                <w:bCs/>
                <w:sz w:val="16"/>
                <w:szCs w:val="16"/>
              </w:rPr>
            </w:pPr>
            <w:r w:rsidRPr="009A6B97">
              <w:rPr>
                <w:rFonts w:ascii="Arial" w:hAnsi="Arial" w:cs="Arial"/>
                <w:b/>
                <w:bCs/>
                <w:sz w:val="16"/>
                <w:szCs w:val="16"/>
              </w:rPr>
              <w:t>Tabla 4 . Esquemas de rescate en pacientes NO candidatos a quimioterapia a altas dosis seguido de TAPH</w:t>
            </w:r>
            <w:r w:rsidRPr="00E01935">
              <w:rPr>
                <w:rFonts w:ascii="Arial" w:hAnsi="Arial" w:cs="Arial"/>
                <w:b/>
                <w:bCs/>
                <w:sz w:val="16"/>
                <w:szCs w:val="16"/>
                <w:vertAlign w:val="superscript"/>
              </w:rPr>
              <w:t>6</w:t>
            </w:r>
            <w:r w:rsidRPr="009A6B97">
              <w:rPr>
                <w:rFonts w:ascii="Arial" w:hAnsi="Arial" w:cs="Arial"/>
                <w:b/>
                <w:bCs/>
                <w:sz w:val="16"/>
                <w:szCs w:val="16"/>
              </w:rPr>
              <w:t>.</w:t>
            </w:r>
          </w:p>
        </w:tc>
      </w:tr>
      <w:tr w:rsidR="007D48BC" w:rsidRPr="009A6B97">
        <w:tc>
          <w:tcPr>
            <w:tcW w:w="1280" w:type="pct"/>
            <w:shd w:val="clear" w:color="auto" w:fill="D9D9D9"/>
            <w:vAlign w:val="center"/>
          </w:tcPr>
          <w:p w:rsidR="007D48BC" w:rsidRPr="009A6B97" w:rsidRDefault="007D48BC" w:rsidP="00C2586B">
            <w:pPr>
              <w:pStyle w:val="Contenidodelatabla"/>
              <w:jc w:val="center"/>
              <w:rPr>
                <w:sz w:val="16"/>
                <w:szCs w:val="16"/>
              </w:rPr>
            </w:pPr>
            <w:r w:rsidRPr="009A6B97">
              <w:rPr>
                <w:rFonts w:ascii="Arial" w:hAnsi="Arial" w:cs="Arial"/>
                <w:b/>
                <w:bCs/>
                <w:sz w:val="16"/>
                <w:szCs w:val="16"/>
              </w:rPr>
              <w:t>Nombre</w:t>
            </w:r>
          </w:p>
        </w:tc>
        <w:tc>
          <w:tcPr>
            <w:tcW w:w="3720" w:type="pct"/>
            <w:shd w:val="clear" w:color="auto" w:fill="D9D9D9"/>
            <w:vAlign w:val="center"/>
          </w:tcPr>
          <w:p w:rsidR="007D48BC" w:rsidRPr="009A6B97" w:rsidRDefault="007D48BC" w:rsidP="00C2586B">
            <w:pPr>
              <w:pStyle w:val="Contenidodelatabla"/>
              <w:jc w:val="center"/>
              <w:rPr>
                <w:sz w:val="16"/>
                <w:szCs w:val="16"/>
              </w:rPr>
            </w:pPr>
            <w:r w:rsidRPr="009A6B97">
              <w:rPr>
                <w:rFonts w:ascii="Arial" w:hAnsi="Arial" w:cs="Arial"/>
                <w:b/>
                <w:bCs/>
                <w:sz w:val="16"/>
                <w:szCs w:val="16"/>
              </w:rPr>
              <w:t>Componentes</w:t>
            </w:r>
          </w:p>
        </w:tc>
      </w:tr>
      <w:tr w:rsidR="007D48BC" w:rsidRPr="009A6B97">
        <w:tc>
          <w:tcPr>
            <w:tcW w:w="1280" w:type="pct"/>
            <w:vAlign w:val="center"/>
          </w:tcPr>
          <w:p w:rsidR="007D48BC" w:rsidRPr="009A6B97" w:rsidRDefault="007D48BC" w:rsidP="00C2586B">
            <w:pPr>
              <w:pStyle w:val="Contenidodelatabla"/>
              <w:jc w:val="center"/>
              <w:rPr>
                <w:rFonts w:ascii="Arial" w:hAnsi="Arial" w:cs="Arial"/>
                <w:b/>
                <w:bCs/>
                <w:sz w:val="16"/>
                <w:szCs w:val="16"/>
              </w:rPr>
            </w:pPr>
            <w:r w:rsidRPr="009A6B97">
              <w:rPr>
                <w:rFonts w:ascii="Arial" w:hAnsi="Arial" w:cs="Arial"/>
                <w:b/>
                <w:bCs/>
                <w:sz w:val="16"/>
                <w:szCs w:val="16"/>
              </w:rPr>
              <w:t>R-Bendamustina</w:t>
            </w:r>
          </w:p>
        </w:tc>
        <w:tc>
          <w:tcPr>
            <w:tcW w:w="3720" w:type="pct"/>
            <w:vAlign w:val="center"/>
          </w:tcPr>
          <w:p w:rsidR="007D48BC" w:rsidRPr="009A6B97" w:rsidRDefault="007D48BC" w:rsidP="00480033">
            <w:pPr>
              <w:pStyle w:val="Contenidodelatabla"/>
              <w:jc w:val="center"/>
              <w:rPr>
                <w:rFonts w:ascii="Arial" w:hAnsi="Arial" w:cs="Arial"/>
                <w:sz w:val="16"/>
                <w:szCs w:val="16"/>
              </w:rPr>
            </w:pPr>
            <w:r w:rsidRPr="009A6B97">
              <w:rPr>
                <w:rFonts w:ascii="Arial" w:hAnsi="Arial" w:cs="Arial"/>
                <w:sz w:val="16"/>
                <w:szCs w:val="16"/>
              </w:rPr>
              <w:t xml:space="preserve">Rituximab + </w:t>
            </w:r>
            <w:r w:rsidR="00480033">
              <w:rPr>
                <w:rFonts w:ascii="Arial" w:hAnsi="Arial" w:cs="Arial"/>
                <w:sz w:val="16"/>
                <w:szCs w:val="16"/>
              </w:rPr>
              <w:t>b</w:t>
            </w:r>
            <w:r w:rsidRPr="009A6B97">
              <w:rPr>
                <w:rFonts w:ascii="Arial" w:hAnsi="Arial" w:cs="Arial"/>
                <w:sz w:val="16"/>
                <w:szCs w:val="16"/>
              </w:rPr>
              <w:t>endamustina</w:t>
            </w:r>
          </w:p>
        </w:tc>
      </w:tr>
      <w:tr w:rsidR="007D48BC" w:rsidRPr="009A6B97">
        <w:tc>
          <w:tcPr>
            <w:tcW w:w="1280" w:type="pct"/>
            <w:vAlign w:val="center"/>
          </w:tcPr>
          <w:p w:rsidR="007D48BC" w:rsidRPr="009A6B97" w:rsidRDefault="007D48BC" w:rsidP="00C2586B">
            <w:pPr>
              <w:pStyle w:val="Contenidodelatabla"/>
              <w:jc w:val="center"/>
              <w:rPr>
                <w:rFonts w:ascii="Arial" w:hAnsi="Arial" w:cs="Arial"/>
                <w:b/>
                <w:bCs/>
                <w:sz w:val="16"/>
                <w:szCs w:val="16"/>
              </w:rPr>
            </w:pPr>
            <w:r w:rsidRPr="009A6B97">
              <w:rPr>
                <w:rFonts w:ascii="Arial" w:hAnsi="Arial" w:cs="Arial"/>
                <w:b/>
                <w:bCs/>
                <w:sz w:val="16"/>
                <w:szCs w:val="16"/>
              </w:rPr>
              <w:t>Brentuximab</w:t>
            </w:r>
          </w:p>
        </w:tc>
        <w:tc>
          <w:tcPr>
            <w:tcW w:w="3720" w:type="pct"/>
            <w:vAlign w:val="center"/>
          </w:tcPr>
          <w:p w:rsidR="007D48BC" w:rsidRPr="009A6B97" w:rsidRDefault="007D48BC" w:rsidP="00C2586B">
            <w:pPr>
              <w:pStyle w:val="Contenidodelatabla"/>
              <w:jc w:val="center"/>
              <w:rPr>
                <w:rFonts w:ascii="Arial" w:hAnsi="Arial" w:cs="Arial"/>
                <w:sz w:val="16"/>
                <w:szCs w:val="16"/>
              </w:rPr>
            </w:pPr>
            <w:r w:rsidRPr="009A6B97">
              <w:rPr>
                <w:rFonts w:ascii="Arial" w:hAnsi="Arial" w:cs="Arial"/>
                <w:sz w:val="16"/>
                <w:szCs w:val="16"/>
              </w:rPr>
              <w:t>B</w:t>
            </w:r>
            <w:r w:rsidR="00480033">
              <w:rPr>
                <w:rFonts w:ascii="Arial" w:hAnsi="Arial" w:cs="Arial"/>
                <w:sz w:val="16"/>
                <w:szCs w:val="16"/>
              </w:rPr>
              <w:t>r</w:t>
            </w:r>
            <w:r w:rsidRPr="009A6B97">
              <w:rPr>
                <w:rFonts w:ascii="Arial" w:hAnsi="Arial" w:cs="Arial"/>
                <w:sz w:val="16"/>
                <w:szCs w:val="16"/>
              </w:rPr>
              <w:t>entruximab vedotin para pacientes con CD30+</w:t>
            </w:r>
          </w:p>
        </w:tc>
      </w:tr>
      <w:tr w:rsidR="007D48BC" w:rsidRPr="009A6B97">
        <w:trPr>
          <w:trHeight w:val="207"/>
        </w:trPr>
        <w:tc>
          <w:tcPr>
            <w:tcW w:w="1280" w:type="pct"/>
            <w:vAlign w:val="center"/>
          </w:tcPr>
          <w:p w:rsidR="007D48BC" w:rsidRPr="009A6B97" w:rsidRDefault="007D48BC" w:rsidP="00C2586B">
            <w:pPr>
              <w:pStyle w:val="Contenidodelatabla"/>
              <w:jc w:val="center"/>
              <w:rPr>
                <w:rFonts w:ascii="Arial" w:hAnsi="Arial" w:cs="Arial"/>
                <w:b/>
                <w:bCs/>
                <w:sz w:val="16"/>
                <w:szCs w:val="16"/>
              </w:rPr>
            </w:pPr>
            <w:bookmarkStart w:id="20" w:name="_Hlk530588090"/>
            <w:r w:rsidRPr="009A6B97">
              <w:rPr>
                <w:rFonts w:ascii="Arial" w:hAnsi="Arial" w:cs="Arial"/>
                <w:b/>
                <w:bCs/>
                <w:sz w:val="16"/>
                <w:szCs w:val="16"/>
              </w:rPr>
              <w:t>R-CEPP</w:t>
            </w:r>
          </w:p>
        </w:tc>
        <w:tc>
          <w:tcPr>
            <w:tcW w:w="3720" w:type="pct"/>
            <w:vAlign w:val="center"/>
          </w:tcPr>
          <w:p w:rsidR="007D48BC" w:rsidRPr="009A6B97" w:rsidRDefault="007D48BC" w:rsidP="00480033">
            <w:pPr>
              <w:pStyle w:val="Contenidodelatabla"/>
              <w:jc w:val="center"/>
              <w:rPr>
                <w:rFonts w:ascii="Arial" w:hAnsi="Arial" w:cs="Arial"/>
                <w:sz w:val="16"/>
                <w:szCs w:val="16"/>
              </w:rPr>
            </w:pPr>
            <w:r w:rsidRPr="009A6B97">
              <w:rPr>
                <w:rFonts w:ascii="Arial" w:hAnsi="Arial" w:cs="Arial"/>
                <w:sz w:val="16"/>
                <w:szCs w:val="16"/>
              </w:rPr>
              <w:t>Rituximab ± (</w:t>
            </w:r>
            <w:r w:rsidR="00480033">
              <w:rPr>
                <w:rFonts w:ascii="Arial" w:hAnsi="Arial" w:cs="Arial"/>
                <w:sz w:val="16"/>
                <w:szCs w:val="16"/>
              </w:rPr>
              <w:t>c</w:t>
            </w:r>
            <w:r w:rsidRPr="009A6B97">
              <w:rPr>
                <w:rFonts w:ascii="Arial" w:hAnsi="Arial" w:cs="Arial"/>
                <w:sz w:val="16"/>
                <w:szCs w:val="16"/>
              </w:rPr>
              <w:t>iclofosfamida, etopósido, prednisona, procarbazina)</w:t>
            </w:r>
          </w:p>
        </w:tc>
      </w:tr>
      <w:tr w:rsidR="007D48BC" w:rsidRPr="009A6B97">
        <w:trPr>
          <w:trHeight w:val="169"/>
        </w:trPr>
        <w:tc>
          <w:tcPr>
            <w:tcW w:w="1280" w:type="pct"/>
            <w:vAlign w:val="center"/>
          </w:tcPr>
          <w:p w:rsidR="007D48BC" w:rsidRPr="009A6B97" w:rsidRDefault="007D48BC" w:rsidP="00C2586B">
            <w:pPr>
              <w:pStyle w:val="Contenidodelatabla"/>
              <w:jc w:val="center"/>
              <w:rPr>
                <w:rFonts w:ascii="Arial" w:hAnsi="Arial" w:cs="Arial"/>
                <w:b/>
                <w:bCs/>
                <w:sz w:val="16"/>
                <w:szCs w:val="16"/>
              </w:rPr>
            </w:pPr>
            <w:r w:rsidRPr="009A6B97">
              <w:rPr>
                <w:rFonts w:ascii="Arial" w:hAnsi="Arial" w:cs="Arial"/>
                <w:b/>
                <w:bCs/>
                <w:sz w:val="16"/>
                <w:szCs w:val="16"/>
              </w:rPr>
              <w:t>R-CEOP</w:t>
            </w:r>
          </w:p>
        </w:tc>
        <w:tc>
          <w:tcPr>
            <w:tcW w:w="3720" w:type="pct"/>
            <w:vAlign w:val="center"/>
          </w:tcPr>
          <w:p w:rsidR="007D48BC" w:rsidRPr="009A6B97" w:rsidRDefault="007D48BC" w:rsidP="00480033">
            <w:pPr>
              <w:pStyle w:val="Contenidodelatabla"/>
              <w:jc w:val="center"/>
              <w:rPr>
                <w:rFonts w:ascii="Arial" w:hAnsi="Arial" w:cs="Arial"/>
                <w:sz w:val="16"/>
                <w:szCs w:val="16"/>
              </w:rPr>
            </w:pPr>
            <w:r w:rsidRPr="009A6B97">
              <w:rPr>
                <w:rFonts w:ascii="Arial" w:hAnsi="Arial" w:cs="Arial"/>
                <w:sz w:val="16"/>
                <w:szCs w:val="16"/>
              </w:rPr>
              <w:t>Rituximab ± (</w:t>
            </w:r>
            <w:r w:rsidR="00480033">
              <w:rPr>
                <w:rFonts w:ascii="Arial" w:hAnsi="Arial" w:cs="Arial"/>
                <w:sz w:val="16"/>
                <w:szCs w:val="16"/>
              </w:rPr>
              <w:t>c</w:t>
            </w:r>
            <w:r w:rsidRPr="009A6B97">
              <w:rPr>
                <w:rFonts w:ascii="Arial" w:hAnsi="Arial" w:cs="Arial"/>
                <w:sz w:val="16"/>
                <w:szCs w:val="16"/>
              </w:rPr>
              <w:t>iclofosfamida, etopósido, prednisona, vincristina)</w:t>
            </w:r>
          </w:p>
        </w:tc>
      </w:tr>
      <w:tr w:rsidR="007D48BC" w:rsidRPr="009F714F">
        <w:trPr>
          <w:trHeight w:val="259"/>
        </w:trPr>
        <w:tc>
          <w:tcPr>
            <w:tcW w:w="1280" w:type="pct"/>
            <w:vAlign w:val="center"/>
          </w:tcPr>
          <w:p w:rsidR="007D48BC" w:rsidRPr="009A6B97" w:rsidRDefault="007D48BC" w:rsidP="00C2586B">
            <w:pPr>
              <w:pStyle w:val="Contenidodelatabla"/>
              <w:jc w:val="center"/>
              <w:rPr>
                <w:rFonts w:ascii="Arial" w:hAnsi="Arial" w:cs="Arial"/>
                <w:b/>
                <w:bCs/>
                <w:sz w:val="16"/>
                <w:szCs w:val="16"/>
              </w:rPr>
            </w:pPr>
            <w:r w:rsidRPr="009A6B97">
              <w:rPr>
                <w:rFonts w:ascii="Arial" w:hAnsi="Arial" w:cs="Arial"/>
                <w:b/>
                <w:bCs/>
                <w:sz w:val="16"/>
                <w:szCs w:val="16"/>
              </w:rPr>
              <w:t>R-DA-EPOCH</w:t>
            </w:r>
          </w:p>
        </w:tc>
        <w:tc>
          <w:tcPr>
            <w:tcW w:w="3720" w:type="pct"/>
            <w:vAlign w:val="center"/>
          </w:tcPr>
          <w:p w:rsidR="007D48BC" w:rsidRPr="00CF5633" w:rsidRDefault="007D48BC" w:rsidP="00480033">
            <w:pPr>
              <w:pStyle w:val="Contenidodelatabla"/>
              <w:jc w:val="center"/>
              <w:rPr>
                <w:rFonts w:ascii="Arial" w:hAnsi="Arial" w:cs="Arial"/>
                <w:sz w:val="16"/>
                <w:szCs w:val="16"/>
                <w:lang w:val="pt-BR"/>
              </w:rPr>
            </w:pPr>
            <w:r w:rsidRPr="00CF5633">
              <w:rPr>
                <w:rFonts w:ascii="Arial" w:hAnsi="Arial" w:cs="Arial"/>
                <w:sz w:val="16"/>
                <w:szCs w:val="16"/>
                <w:lang w:val="pt-BR"/>
              </w:rPr>
              <w:t>Rituximab ± (</w:t>
            </w:r>
            <w:r w:rsidR="00480033">
              <w:rPr>
                <w:rFonts w:ascii="Arial" w:hAnsi="Arial" w:cs="Arial"/>
                <w:sz w:val="16"/>
                <w:szCs w:val="16"/>
                <w:lang w:val="pt-BR"/>
              </w:rPr>
              <w:t>e</w:t>
            </w:r>
            <w:r w:rsidRPr="00CF5633">
              <w:rPr>
                <w:rFonts w:ascii="Arial" w:hAnsi="Arial" w:cs="Arial"/>
                <w:sz w:val="16"/>
                <w:szCs w:val="16"/>
                <w:lang w:val="pt-BR"/>
              </w:rPr>
              <w:t>toposido, prednisona, vi</w:t>
            </w:r>
            <w:r>
              <w:rPr>
                <w:rFonts w:ascii="Arial" w:hAnsi="Arial" w:cs="Arial"/>
                <w:sz w:val="16"/>
                <w:szCs w:val="16"/>
                <w:lang w:val="pt-BR"/>
              </w:rPr>
              <w:t>nc</w:t>
            </w:r>
            <w:r w:rsidRPr="00CF5633">
              <w:rPr>
                <w:rFonts w:ascii="Arial" w:hAnsi="Arial" w:cs="Arial"/>
                <w:sz w:val="16"/>
                <w:szCs w:val="16"/>
                <w:lang w:val="pt-BR"/>
              </w:rPr>
              <w:t>r</w:t>
            </w:r>
            <w:r>
              <w:rPr>
                <w:rFonts w:ascii="Arial" w:hAnsi="Arial" w:cs="Arial"/>
                <w:sz w:val="16"/>
                <w:szCs w:val="16"/>
                <w:lang w:val="pt-BR"/>
              </w:rPr>
              <w:t>i</w:t>
            </w:r>
            <w:r w:rsidRPr="00CF5633">
              <w:rPr>
                <w:rFonts w:ascii="Arial" w:hAnsi="Arial" w:cs="Arial"/>
                <w:sz w:val="16"/>
                <w:szCs w:val="16"/>
                <w:lang w:val="pt-BR"/>
              </w:rPr>
              <w:t xml:space="preserve">stina, ciclofosfamida, </w:t>
            </w:r>
            <w:r>
              <w:rPr>
                <w:rFonts w:ascii="Arial" w:hAnsi="Arial" w:cs="Arial"/>
                <w:sz w:val="16"/>
                <w:szCs w:val="16"/>
                <w:lang w:val="pt-BR"/>
              </w:rPr>
              <w:t>d</w:t>
            </w:r>
            <w:r w:rsidRPr="00CF5633">
              <w:rPr>
                <w:rFonts w:ascii="Arial" w:hAnsi="Arial" w:cs="Arial"/>
                <w:sz w:val="16"/>
                <w:szCs w:val="16"/>
                <w:lang w:val="pt-BR"/>
              </w:rPr>
              <w:t xml:space="preserve">oxorrubicina) </w:t>
            </w:r>
          </w:p>
        </w:tc>
      </w:tr>
      <w:bookmarkEnd w:id="20"/>
      <w:tr w:rsidR="007D48BC" w:rsidRPr="009A6B97">
        <w:trPr>
          <w:trHeight w:val="165"/>
        </w:trPr>
        <w:tc>
          <w:tcPr>
            <w:tcW w:w="1280" w:type="pct"/>
            <w:vAlign w:val="center"/>
          </w:tcPr>
          <w:p w:rsidR="007D48BC" w:rsidRPr="009A6B97" w:rsidRDefault="007D48BC" w:rsidP="00C2586B">
            <w:pPr>
              <w:pStyle w:val="Contenidodelatabla"/>
              <w:jc w:val="center"/>
              <w:rPr>
                <w:rFonts w:ascii="Arial" w:hAnsi="Arial" w:cs="Arial"/>
                <w:b/>
                <w:bCs/>
                <w:sz w:val="16"/>
                <w:szCs w:val="16"/>
              </w:rPr>
            </w:pPr>
            <w:r w:rsidRPr="009A6B97">
              <w:rPr>
                <w:rFonts w:ascii="Arial" w:hAnsi="Arial" w:cs="Arial"/>
                <w:b/>
                <w:bCs/>
                <w:sz w:val="16"/>
                <w:szCs w:val="16"/>
              </w:rPr>
              <w:t>R-GDP</w:t>
            </w:r>
          </w:p>
        </w:tc>
        <w:tc>
          <w:tcPr>
            <w:tcW w:w="3720" w:type="pct"/>
            <w:vAlign w:val="center"/>
          </w:tcPr>
          <w:p w:rsidR="007D48BC" w:rsidRPr="009A6B97" w:rsidRDefault="007D48BC" w:rsidP="00480033">
            <w:pPr>
              <w:pStyle w:val="Contenidodelatabla"/>
              <w:jc w:val="center"/>
              <w:rPr>
                <w:rFonts w:ascii="Arial" w:hAnsi="Arial" w:cs="Arial"/>
                <w:sz w:val="16"/>
                <w:szCs w:val="16"/>
              </w:rPr>
            </w:pPr>
            <w:r w:rsidRPr="009A6B97">
              <w:rPr>
                <w:rFonts w:ascii="Arial" w:hAnsi="Arial" w:cs="Arial"/>
                <w:sz w:val="16"/>
                <w:szCs w:val="16"/>
              </w:rPr>
              <w:t>Rituximab ± (</w:t>
            </w:r>
            <w:r w:rsidR="00480033">
              <w:rPr>
                <w:rFonts w:ascii="Arial" w:hAnsi="Arial" w:cs="Arial"/>
                <w:sz w:val="16"/>
                <w:szCs w:val="16"/>
              </w:rPr>
              <w:t>g</w:t>
            </w:r>
            <w:r w:rsidRPr="009A6B97">
              <w:rPr>
                <w:rFonts w:ascii="Arial" w:hAnsi="Arial" w:cs="Arial"/>
                <w:sz w:val="16"/>
                <w:szCs w:val="16"/>
              </w:rPr>
              <w:t>emcitabina, dexametasona, cisplatino)</w:t>
            </w:r>
          </w:p>
        </w:tc>
      </w:tr>
      <w:tr w:rsidR="007D48BC" w:rsidRPr="009A6B97">
        <w:trPr>
          <w:trHeight w:val="165"/>
        </w:trPr>
        <w:tc>
          <w:tcPr>
            <w:tcW w:w="1280" w:type="pct"/>
            <w:vAlign w:val="center"/>
          </w:tcPr>
          <w:p w:rsidR="007D48BC" w:rsidRPr="009A6B97" w:rsidRDefault="007D48BC" w:rsidP="00C2586B">
            <w:pPr>
              <w:pStyle w:val="Contenidodelatabla"/>
              <w:jc w:val="center"/>
              <w:rPr>
                <w:rFonts w:ascii="Arial" w:hAnsi="Arial" w:cs="Arial"/>
                <w:b/>
                <w:bCs/>
                <w:sz w:val="16"/>
                <w:szCs w:val="16"/>
              </w:rPr>
            </w:pPr>
            <w:r w:rsidRPr="009A6B97">
              <w:rPr>
                <w:rFonts w:ascii="Arial" w:hAnsi="Arial" w:cs="Arial"/>
                <w:b/>
                <w:bCs/>
                <w:sz w:val="16"/>
                <w:szCs w:val="16"/>
              </w:rPr>
              <w:t>R-GemOX</w:t>
            </w:r>
          </w:p>
        </w:tc>
        <w:tc>
          <w:tcPr>
            <w:tcW w:w="3720" w:type="pct"/>
            <w:vAlign w:val="center"/>
          </w:tcPr>
          <w:p w:rsidR="007D48BC" w:rsidRPr="009A6B97" w:rsidRDefault="007D48BC" w:rsidP="00480033">
            <w:pPr>
              <w:pStyle w:val="Contenidodelatabla"/>
              <w:jc w:val="center"/>
              <w:rPr>
                <w:rFonts w:ascii="Arial" w:hAnsi="Arial" w:cs="Arial"/>
                <w:sz w:val="16"/>
                <w:szCs w:val="16"/>
              </w:rPr>
            </w:pPr>
            <w:r w:rsidRPr="009A6B97">
              <w:rPr>
                <w:rFonts w:ascii="Arial" w:hAnsi="Arial" w:cs="Arial"/>
                <w:sz w:val="16"/>
                <w:szCs w:val="16"/>
              </w:rPr>
              <w:t>Rituximab ± (</w:t>
            </w:r>
            <w:r w:rsidR="00480033">
              <w:rPr>
                <w:rFonts w:ascii="Arial" w:hAnsi="Arial" w:cs="Arial"/>
                <w:sz w:val="16"/>
                <w:szCs w:val="16"/>
              </w:rPr>
              <w:t>g</w:t>
            </w:r>
            <w:r w:rsidRPr="009A6B97">
              <w:rPr>
                <w:rFonts w:ascii="Arial" w:hAnsi="Arial" w:cs="Arial"/>
                <w:sz w:val="16"/>
                <w:szCs w:val="16"/>
              </w:rPr>
              <w:t>emcitabina, oxaliplatino)</w:t>
            </w:r>
          </w:p>
        </w:tc>
      </w:tr>
      <w:tr w:rsidR="007D48BC" w:rsidRPr="009A6B97">
        <w:trPr>
          <w:trHeight w:val="165"/>
        </w:trPr>
        <w:tc>
          <w:tcPr>
            <w:tcW w:w="1280" w:type="pct"/>
            <w:vAlign w:val="center"/>
          </w:tcPr>
          <w:p w:rsidR="007D48BC" w:rsidRPr="009A6B97" w:rsidRDefault="007D48BC" w:rsidP="00C2586B">
            <w:pPr>
              <w:pStyle w:val="Contenidodelatabla"/>
              <w:jc w:val="center"/>
              <w:rPr>
                <w:rFonts w:ascii="Arial" w:hAnsi="Arial" w:cs="Arial"/>
                <w:b/>
                <w:bCs/>
                <w:sz w:val="16"/>
                <w:szCs w:val="16"/>
              </w:rPr>
            </w:pPr>
          </w:p>
        </w:tc>
        <w:tc>
          <w:tcPr>
            <w:tcW w:w="3720" w:type="pct"/>
            <w:vAlign w:val="center"/>
          </w:tcPr>
          <w:p w:rsidR="007D48BC" w:rsidRPr="009A6B97" w:rsidRDefault="007D48BC" w:rsidP="00C2586B">
            <w:pPr>
              <w:pStyle w:val="Contenidodelatabla"/>
              <w:jc w:val="center"/>
              <w:rPr>
                <w:rFonts w:ascii="Arial" w:hAnsi="Arial" w:cs="Arial"/>
                <w:sz w:val="16"/>
                <w:szCs w:val="16"/>
              </w:rPr>
            </w:pPr>
            <w:r w:rsidRPr="009A6B97">
              <w:rPr>
                <w:rFonts w:ascii="Arial" w:hAnsi="Arial" w:cs="Arial"/>
                <w:sz w:val="16"/>
                <w:szCs w:val="16"/>
              </w:rPr>
              <w:t>Rituximab ± (</w:t>
            </w:r>
            <w:r w:rsidR="00480033">
              <w:rPr>
                <w:rFonts w:ascii="Arial" w:hAnsi="Arial" w:cs="Arial"/>
                <w:sz w:val="16"/>
                <w:szCs w:val="16"/>
              </w:rPr>
              <w:t>g</w:t>
            </w:r>
            <w:r w:rsidRPr="009A6B97">
              <w:rPr>
                <w:rFonts w:ascii="Arial" w:hAnsi="Arial" w:cs="Arial"/>
                <w:sz w:val="16"/>
                <w:szCs w:val="16"/>
              </w:rPr>
              <w:t>emcitabina, vinorelbina)</w:t>
            </w:r>
          </w:p>
        </w:tc>
      </w:tr>
      <w:tr w:rsidR="007D48BC" w:rsidRPr="009A6B97">
        <w:trPr>
          <w:trHeight w:val="165"/>
        </w:trPr>
        <w:tc>
          <w:tcPr>
            <w:tcW w:w="1280" w:type="pct"/>
            <w:vAlign w:val="center"/>
          </w:tcPr>
          <w:p w:rsidR="007D48BC" w:rsidRPr="009A6B97" w:rsidRDefault="007D48BC" w:rsidP="00C2586B">
            <w:pPr>
              <w:pStyle w:val="Contenidodelatabla"/>
              <w:jc w:val="center"/>
              <w:rPr>
                <w:rFonts w:ascii="Arial" w:hAnsi="Arial" w:cs="Arial"/>
                <w:b/>
                <w:bCs/>
                <w:sz w:val="16"/>
                <w:szCs w:val="16"/>
              </w:rPr>
            </w:pPr>
          </w:p>
        </w:tc>
        <w:tc>
          <w:tcPr>
            <w:tcW w:w="3720" w:type="pct"/>
            <w:vAlign w:val="center"/>
          </w:tcPr>
          <w:p w:rsidR="007D48BC" w:rsidRPr="009A6B97" w:rsidRDefault="007D48BC" w:rsidP="00C2586B">
            <w:pPr>
              <w:pStyle w:val="Contenidodelatabla"/>
              <w:jc w:val="center"/>
              <w:rPr>
                <w:rFonts w:ascii="Arial" w:hAnsi="Arial" w:cs="Arial"/>
                <w:sz w:val="16"/>
                <w:szCs w:val="16"/>
              </w:rPr>
            </w:pPr>
            <w:r w:rsidRPr="009A6B97">
              <w:rPr>
                <w:rFonts w:ascii="Arial" w:hAnsi="Arial" w:cs="Arial"/>
                <w:sz w:val="16"/>
                <w:szCs w:val="16"/>
              </w:rPr>
              <w:t>Pixantrona</w:t>
            </w:r>
          </w:p>
        </w:tc>
      </w:tr>
      <w:tr w:rsidR="007D48BC" w:rsidRPr="009A6B97">
        <w:trPr>
          <w:trHeight w:val="165"/>
        </w:trPr>
        <w:tc>
          <w:tcPr>
            <w:tcW w:w="1280" w:type="pct"/>
            <w:vAlign w:val="center"/>
          </w:tcPr>
          <w:p w:rsidR="007D48BC" w:rsidRPr="009A6B97" w:rsidRDefault="007D48BC" w:rsidP="00C2586B">
            <w:pPr>
              <w:pStyle w:val="Contenidodelatabla"/>
              <w:jc w:val="center"/>
              <w:rPr>
                <w:rFonts w:ascii="Arial" w:hAnsi="Arial" w:cs="Arial"/>
                <w:b/>
                <w:bCs/>
                <w:sz w:val="16"/>
                <w:szCs w:val="16"/>
              </w:rPr>
            </w:pPr>
          </w:p>
        </w:tc>
        <w:tc>
          <w:tcPr>
            <w:tcW w:w="3720" w:type="pct"/>
            <w:vAlign w:val="center"/>
          </w:tcPr>
          <w:p w:rsidR="007D48BC" w:rsidRPr="009A6B97" w:rsidRDefault="007D48BC" w:rsidP="00C2586B">
            <w:pPr>
              <w:pStyle w:val="Contenidodelatabla"/>
              <w:jc w:val="center"/>
              <w:rPr>
                <w:rFonts w:ascii="Arial" w:hAnsi="Arial" w:cs="Arial"/>
                <w:sz w:val="16"/>
                <w:szCs w:val="16"/>
              </w:rPr>
            </w:pPr>
            <w:r w:rsidRPr="009A6B97">
              <w:rPr>
                <w:rFonts w:ascii="Arial" w:hAnsi="Arial" w:cs="Arial"/>
                <w:sz w:val="16"/>
                <w:szCs w:val="16"/>
              </w:rPr>
              <w:t>Ibrutinib ( Non-GCB)</w:t>
            </w:r>
          </w:p>
        </w:tc>
      </w:tr>
      <w:tr w:rsidR="007D48BC" w:rsidRPr="009A6B97">
        <w:trPr>
          <w:trHeight w:val="165"/>
        </w:trPr>
        <w:tc>
          <w:tcPr>
            <w:tcW w:w="1280" w:type="pct"/>
            <w:vAlign w:val="center"/>
          </w:tcPr>
          <w:p w:rsidR="007D48BC" w:rsidRPr="009A6B97" w:rsidRDefault="007D48BC" w:rsidP="00C2586B">
            <w:pPr>
              <w:pStyle w:val="Contenidodelatabla"/>
              <w:jc w:val="center"/>
              <w:rPr>
                <w:rFonts w:ascii="Arial" w:hAnsi="Arial" w:cs="Arial"/>
                <w:b/>
                <w:bCs/>
                <w:sz w:val="16"/>
                <w:szCs w:val="16"/>
              </w:rPr>
            </w:pPr>
          </w:p>
        </w:tc>
        <w:tc>
          <w:tcPr>
            <w:tcW w:w="3720" w:type="pct"/>
            <w:vAlign w:val="center"/>
          </w:tcPr>
          <w:p w:rsidR="007D48BC" w:rsidRPr="009A6B97" w:rsidRDefault="00480033" w:rsidP="00C2586B">
            <w:pPr>
              <w:pStyle w:val="Contenidodelatabla"/>
              <w:jc w:val="center"/>
              <w:rPr>
                <w:rFonts w:ascii="Arial" w:hAnsi="Arial" w:cs="Arial"/>
                <w:sz w:val="16"/>
                <w:szCs w:val="16"/>
              </w:rPr>
            </w:pPr>
            <w:r>
              <w:rPr>
                <w:rFonts w:ascii="Arial" w:hAnsi="Arial" w:cs="Arial"/>
                <w:sz w:val="16"/>
                <w:szCs w:val="16"/>
              </w:rPr>
              <w:t>Rituximab - l</w:t>
            </w:r>
            <w:r w:rsidR="007D48BC" w:rsidRPr="009A6B97">
              <w:rPr>
                <w:rFonts w:ascii="Arial" w:hAnsi="Arial" w:cs="Arial"/>
                <w:sz w:val="16"/>
                <w:szCs w:val="16"/>
              </w:rPr>
              <w:t>enalidomida</w:t>
            </w:r>
          </w:p>
        </w:tc>
      </w:tr>
    </w:tbl>
    <w:p w:rsidR="007D48BC" w:rsidRDefault="007D48BC" w:rsidP="00853D2B">
      <w:pPr>
        <w:rPr>
          <w:rFonts w:ascii="Arial" w:hAnsi="Arial" w:cs="Arial"/>
          <w:color w:val="FF0000"/>
        </w:rPr>
      </w:pPr>
    </w:p>
    <w:p w:rsidR="007D48BC" w:rsidRPr="00853D2B" w:rsidRDefault="007D48BC" w:rsidP="00853D2B">
      <w:pPr>
        <w:rPr>
          <w:rFonts w:ascii="Arial" w:hAnsi="Arial" w:cs="Arial"/>
          <w:b/>
          <w:bCs/>
        </w:rPr>
      </w:pPr>
      <w:r w:rsidRPr="00853D2B">
        <w:rPr>
          <w:rFonts w:ascii="Arial" w:hAnsi="Arial" w:cs="Arial"/>
          <w:b/>
          <w:bCs/>
        </w:rPr>
        <w:t>LINFOMA PRIMARIO MEDIASTÍNICO</w:t>
      </w:r>
    </w:p>
    <w:p w:rsidR="007D48BC" w:rsidRDefault="007D48BC" w:rsidP="00C85053">
      <w:pPr>
        <w:spacing w:line="360" w:lineRule="auto"/>
        <w:jc w:val="both"/>
        <w:rPr>
          <w:rFonts w:ascii="Arial" w:hAnsi="Arial" w:cs="Arial"/>
        </w:rPr>
      </w:pPr>
    </w:p>
    <w:p w:rsidR="007D48BC" w:rsidRPr="000B0698" w:rsidRDefault="007D48BC" w:rsidP="000B0698">
      <w:pPr>
        <w:spacing w:line="360" w:lineRule="auto"/>
        <w:jc w:val="both"/>
        <w:rPr>
          <w:rFonts w:ascii="Arial" w:hAnsi="Arial" w:cs="Arial"/>
        </w:rPr>
      </w:pPr>
      <w:r w:rsidRPr="000B0698">
        <w:rPr>
          <w:rFonts w:ascii="Arial" w:hAnsi="Arial" w:cs="Arial"/>
        </w:rPr>
        <w:t>El</w:t>
      </w:r>
      <w:r>
        <w:rPr>
          <w:rFonts w:ascii="Arial" w:hAnsi="Arial" w:cs="Arial"/>
        </w:rPr>
        <w:t xml:space="preserve"> tratamiento de primera línea del</w:t>
      </w:r>
      <w:r w:rsidRPr="000B0698">
        <w:rPr>
          <w:rFonts w:ascii="Arial" w:hAnsi="Arial" w:cs="Arial"/>
        </w:rPr>
        <w:t xml:space="preserve"> LBPM</w:t>
      </w:r>
      <w:r>
        <w:rPr>
          <w:rFonts w:ascii="Arial" w:hAnsi="Arial" w:cs="Arial"/>
        </w:rPr>
        <w:t xml:space="preserve"> suele contemplar esquemas R-CHOP o similares o pautas más intensivas como </w:t>
      </w:r>
      <w:r w:rsidRPr="000B0698">
        <w:rPr>
          <w:rFonts w:ascii="Arial" w:hAnsi="Arial" w:cs="Arial"/>
        </w:rPr>
        <w:t>R-DA-EPOCH</w:t>
      </w:r>
      <w:r>
        <w:rPr>
          <w:rFonts w:ascii="Arial" w:hAnsi="Arial" w:cs="Arial"/>
          <w:vertAlign w:val="superscript"/>
        </w:rPr>
        <w:t>4</w:t>
      </w:r>
      <w:r w:rsidRPr="00EB7D57">
        <w:rPr>
          <w:rFonts w:ascii="Arial" w:hAnsi="Arial" w:cs="Arial"/>
          <w:vertAlign w:val="superscript"/>
        </w:rPr>
        <w:t>,</w:t>
      </w:r>
      <w:r>
        <w:rPr>
          <w:rFonts w:ascii="Arial" w:hAnsi="Arial" w:cs="Arial"/>
          <w:vertAlign w:val="superscript"/>
        </w:rPr>
        <w:t>6</w:t>
      </w:r>
      <w:r>
        <w:rPr>
          <w:rFonts w:ascii="Arial" w:hAnsi="Arial" w:cs="Arial"/>
        </w:rPr>
        <w:t>. Según el estudio de Dunleavy et al</w:t>
      </w:r>
      <w:r>
        <w:rPr>
          <w:rFonts w:ascii="Arial" w:hAnsi="Arial" w:cs="Arial"/>
          <w:vertAlign w:val="superscript"/>
        </w:rPr>
        <w:t>10</w:t>
      </w:r>
      <w:r>
        <w:rPr>
          <w:rFonts w:ascii="Arial" w:hAnsi="Arial" w:cs="Arial"/>
        </w:rPr>
        <w:t xml:space="preserve">, </w:t>
      </w:r>
      <w:r w:rsidRPr="000B0698">
        <w:rPr>
          <w:rFonts w:ascii="Arial" w:hAnsi="Arial" w:cs="Arial"/>
        </w:rPr>
        <w:t>en los pacientes con respuesta metabólica completa debería omitirse la radioterapia excepto que se haya empleado un esquema convencional tipo R-CHOP.</w:t>
      </w:r>
    </w:p>
    <w:p w:rsidR="007D48BC" w:rsidRPr="000B0698" w:rsidRDefault="007D48BC" w:rsidP="000B0698">
      <w:pPr>
        <w:spacing w:line="360" w:lineRule="auto"/>
        <w:jc w:val="both"/>
        <w:rPr>
          <w:rFonts w:ascii="Arial" w:hAnsi="Arial" w:cs="Arial"/>
        </w:rPr>
      </w:pPr>
      <w:r w:rsidRPr="000B0698">
        <w:rPr>
          <w:rFonts w:ascii="Arial" w:hAnsi="Arial" w:cs="Arial"/>
        </w:rPr>
        <w:t>No se recomienda tratamiento de intensificación con trasplante autólogo en los pacientes en respuesta completa. En pacientes que no alcanzan respuesta completa tras la primera</w:t>
      </w:r>
      <w:r>
        <w:rPr>
          <w:rFonts w:ascii="Arial" w:hAnsi="Arial" w:cs="Arial"/>
        </w:rPr>
        <w:t xml:space="preserve"> </w:t>
      </w:r>
      <w:r w:rsidRPr="000B0698">
        <w:rPr>
          <w:rFonts w:ascii="Arial" w:hAnsi="Arial" w:cs="Arial"/>
        </w:rPr>
        <w:t xml:space="preserve">línea y tras </w:t>
      </w:r>
      <w:r>
        <w:rPr>
          <w:rFonts w:ascii="Arial" w:hAnsi="Arial" w:cs="Arial"/>
        </w:rPr>
        <w:t>la primera</w:t>
      </w:r>
      <w:r w:rsidRPr="000B0698">
        <w:rPr>
          <w:rFonts w:ascii="Arial" w:hAnsi="Arial" w:cs="Arial"/>
        </w:rPr>
        <w:t xml:space="preserve"> recaída se puede valorar el TAPH. </w:t>
      </w:r>
    </w:p>
    <w:p w:rsidR="007D48BC" w:rsidRPr="00453324" w:rsidRDefault="007D48BC" w:rsidP="000B0698">
      <w:pPr>
        <w:spacing w:line="360" w:lineRule="auto"/>
        <w:jc w:val="both"/>
        <w:rPr>
          <w:rFonts w:ascii="Arial" w:hAnsi="Arial" w:cs="Arial"/>
        </w:rPr>
      </w:pPr>
      <w:r w:rsidRPr="00453324">
        <w:rPr>
          <w:rFonts w:ascii="Arial" w:hAnsi="Arial" w:cs="Arial"/>
        </w:rPr>
        <w:t>El tratamiento suele basarse en inmunoquimioterapia de rescate similar a la empleada en el L</w:t>
      </w:r>
      <w:r w:rsidR="008258E3" w:rsidRPr="00453324">
        <w:rPr>
          <w:rFonts w:ascii="Arial" w:hAnsi="Arial" w:cs="Arial"/>
        </w:rPr>
        <w:t>DCBG</w:t>
      </w:r>
      <w:r w:rsidRPr="00453324">
        <w:rPr>
          <w:rFonts w:ascii="Arial" w:hAnsi="Arial" w:cs="Arial"/>
        </w:rPr>
        <w:t xml:space="preserve"> y consolidación con TAPH, aunque con peores resultados que en el L</w:t>
      </w:r>
      <w:r w:rsidR="008258E3" w:rsidRPr="00453324">
        <w:rPr>
          <w:rFonts w:ascii="Arial" w:hAnsi="Arial" w:cs="Arial"/>
        </w:rPr>
        <w:t>DCBG</w:t>
      </w:r>
      <w:r w:rsidRPr="00453324">
        <w:rPr>
          <w:rFonts w:ascii="Arial" w:hAnsi="Arial" w:cs="Arial"/>
        </w:rPr>
        <w:t>.</w:t>
      </w:r>
    </w:p>
    <w:p w:rsidR="00FA71D2" w:rsidRPr="00453324" w:rsidRDefault="00FA71D2" w:rsidP="000B0698">
      <w:pPr>
        <w:spacing w:line="360" w:lineRule="auto"/>
        <w:jc w:val="both"/>
        <w:rPr>
          <w:rFonts w:ascii="Arial" w:hAnsi="Arial" w:cs="Arial"/>
        </w:rPr>
      </w:pPr>
    </w:p>
    <w:p w:rsidR="00FA71D2" w:rsidRDefault="00FA71D2" w:rsidP="000B0698">
      <w:pPr>
        <w:spacing w:line="360" w:lineRule="auto"/>
        <w:jc w:val="both"/>
        <w:rPr>
          <w:rFonts w:ascii="Arial" w:hAnsi="Arial" w:cs="Arial"/>
        </w:rPr>
      </w:pPr>
      <w:r w:rsidRPr="00453324">
        <w:rPr>
          <w:rFonts w:ascii="Arial" w:hAnsi="Arial" w:cs="Arial"/>
        </w:rPr>
        <w:t>El presente informe describe y discute en profundidad únicamente la indicación de L</w:t>
      </w:r>
      <w:r w:rsidR="008258E3" w:rsidRPr="00453324">
        <w:rPr>
          <w:rFonts w:ascii="Arial" w:hAnsi="Arial" w:cs="Arial"/>
        </w:rPr>
        <w:t>DCBG</w:t>
      </w:r>
      <w:r w:rsidRPr="00453324">
        <w:rPr>
          <w:rFonts w:ascii="Arial" w:hAnsi="Arial" w:cs="Arial"/>
        </w:rPr>
        <w:t xml:space="preserve"> refractario o en recaída.</w:t>
      </w:r>
    </w:p>
    <w:p w:rsidR="007D48BC" w:rsidRPr="006F6ABB" w:rsidRDefault="007D48BC" w:rsidP="00BC3E8E">
      <w:pPr>
        <w:rPr>
          <w:rFonts w:ascii="Arial" w:hAnsi="Arial" w:cs="Arial"/>
          <w:color w:val="000080"/>
        </w:rPr>
      </w:pPr>
    </w:p>
    <w:p w:rsidR="007D48BC" w:rsidRPr="00E3472F" w:rsidRDefault="007D48BC" w:rsidP="00BC3E8E">
      <w:pPr>
        <w:pStyle w:val="Ttulo2"/>
        <w:pBdr>
          <w:top w:val="single" w:sz="4" w:space="1" w:color="auto"/>
          <w:left w:val="single" w:sz="4" w:space="4" w:color="auto"/>
          <w:bottom w:val="single" w:sz="4" w:space="1" w:color="auto"/>
          <w:right w:val="single" w:sz="4" w:space="4" w:color="auto"/>
        </w:pBdr>
        <w:shd w:val="clear" w:color="auto" w:fill="D9D9D9"/>
        <w:rPr>
          <w:sz w:val="20"/>
          <w:szCs w:val="20"/>
        </w:rPr>
      </w:pPr>
      <w:bookmarkStart w:id="21" w:name="_Toc344399625"/>
      <w:bookmarkStart w:id="22" w:name="_Toc348931352"/>
      <w:r w:rsidRPr="00F0616F">
        <w:rPr>
          <w:sz w:val="20"/>
          <w:szCs w:val="20"/>
        </w:rPr>
        <w:t>3.3 Características comparadas con otras alternativas similares</w:t>
      </w:r>
      <w:bookmarkEnd w:id="21"/>
      <w:bookmarkEnd w:id="22"/>
      <w:r w:rsidR="00FE59AC">
        <w:rPr>
          <w:sz w:val="20"/>
          <w:szCs w:val="20"/>
        </w:rPr>
        <w:fldChar w:fldCharType="begin"/>
      </w:r>
      <w:r>
        <w:instrText>xe "</w:instrText>
      </w:r>
      <w:r w:rsidRPr="000B65DB">
        <w:rPr>
          <w:sz w:val="20"/>
          <w:szCs w:val="20"/>
        </w:rPr>
        <w:instrText>3.3 Características comparadas con otras alternativas similares</w:instrText>
      </w:r>
      <w:r>
        <w:instrText>"</w:instrText>
      </w:r>
      <w:r w:rsidR="00FE59AC">
        <w:rPr>
          <w:sz w:val="20"/>
          <w:szCs w:val="20"/>
        </w:rPr>
        <w:fldChar w:fldCharType="end"/>
      </w:r>
      <w:r w:rsidRPr="00E3472F">
        <w:rPr>
          <w:sz w:val="20"/>
          <w:szCs w:val="20"/>
        </w:rPr>
        <w:t xml:space="preserve"> </w:t>
      </w:r>
    </w:p>
    <w:p w:rsidR="007D48BC" w:rsidRDefault="007D48BC" w:rsidP="00BC3E8E"/>
    <w:p w:rsidR="007D48BC" w:rsidRDefault="007D48BC" w:rsidP="00763508">
      <w:pPr>
        <w:rPr>
          <w:rFonts w:ascii="Arial" w:hAnsi="Arial" w:cs="Arial"/>
        </w:rPr>
      </w:pPr>
      <w:r w:rsidRPr="00BD16B7">
        <w:rPr>
          <w:rFonts w:ascii="Arial" w:hAnsi="Arial" w:cs="Arial"/>
        </w:rPr>
        <w:t xml:space="preserve">Alternativas disponibles para la misma indicación. </w:t>
      </w:r>
    </w:p>
    <w:p w:rsidR="007D48BC" w:rsidRPr="00763508" w:rsidRDefault="007D48BC" w:rsidP="00763508">
      <w:pPr>
        <w:rPr>
          <w:rFonts w:ascii="Arial" w:hAnsi="Arial" w:cs="Arial"/>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115"/>
        <w:gridCol w:w="1680"/>
        <w:gridCol w:w="2088"/>
        <w:gridCol w:w="1240"/>
        <w:gridCol w:w="1378"/>
        <w:gridCol w:w="1378"/>
      </w:tblGrid>
      <w:tr w:rsidR="003D2521" w:rsidRPr="00EE2E78" w:rsidTr="00453324">
        <w:trPr>
          <w:cantSplit/>
          <w:jc w:val="center"/>
        </w:trPr>
        <w:tc>
          <w:tcPr>
            <w:tcW w:w="5000" w:type="pct"/>
            <w:gridSpan w:val="6"/>
            <w:shd w:val="clear" w:color="auto" w:fill="auto"/>
            <w:vAlign w:val="center"/>
          </w:tcPr>
          <w:p w:rsidR="003D2521" w:rsidRPr="00453324" w:rsidRDefault="003D2521" w:rsidP="00853D2B">
            <w:pPr>
              <w:pStyle w:val="Encabezado"/>
              <w:tabs>
                <w:tab w:val="clear" w:pos="4252"/>
                <w:tab w:val="clear" w:pos="8504"/>
              </w:tabs>
              <w:jc w:val="center"/>
              <w:rPr>
                <w:rFonts w:ascii="Arial" w:hAnsi="Arial" w:cs="Arial"/>
                <w:b/>
                <w:bCs/>
                <w:sz w:val="18"/>
                <w:szCs w:val="18"/>
              </w:rPr>
            </w:pPr>
            <w:r w:rsidRPr="00453324">
              <w:rPr>
                <w:rFonts w:ascii="Arial" w:hAnsi="Arial" w:cs="Arial"/>
                <w:b/>
                <w:bCs/>
                <w:sz w:val="18"/>
                <w:szCs w:val="18"/>
              </w:rPr>
              <w:t>Características diferenciales comparadas con otras alternativas similares</w:t>
            </w:r>
          </w:p>
        </w:tc>
      </w:tr>
      <w:tr w:rsidR="003D2521" w:rsidRPr="00A12C4D" w:rsidTr="00453324">
        <w:trPr>
          <w:jc w:val="center"/>
        </w:trPr>
        <w:tc>
          <w:tcPr>
            <w:tcW w:w="628" w:type="pct"/>
            <w:shd w:val="clear" w:color="auto" w:fill="auto"/>
            <w:vAlign w:val="center"/>
          </w:tcPr>
          <w:p w:rsidR="003D2521" w:rsidRPr="00453324" w:rsidRDefault="003D2521" w:rsidP="00853D2B">
            <w:pPr>
              <w:jc w:val="center"/>
              <w:rPr>
                <w:rFonts w:ascii="Arial" w:hAnsi="Arial" w:cs="Arial"/>
                <w:b/>
                <w:bCs/>
                <w:sz w:val="18"/>
                <w:szCs w:val="18"/>
              </w:rPr>
            </w:pPr>
            <w:r w:rsidRPr="00453324">
              <w:rPr>
                <w:rFonts w:ascii="Arial" w:hAnsi="Arial" w:cs="Arial"/>
                <w:b/>
                <w:bCs/>
                <w:sz w:val="16"/>
                <w:szCs w:val="16"/>
              </w:rPr>
              <w:t>Nombre</w:t>
            </w:r>
          </w:p>
        </w:tc>
        <w:tc>
          <w:tcPr>
            <w:tcW w:w="946" w:type="pct"/>
            <w:shd w:val="clear" w:color="auto" w:fill="auto"/>
            <w:vAlign w:val="center"/>
          </w:tcPr>
          <w:p w:rsidR="003D2521" w:rsidRPr="00453324" w:rsidRDefault="003D2521" w:rsidP="00853D2B">
            <w:pPr>
              <w:jc w:val="center"/>
              <w:rPr>
                <w:rFonts w:ascii="Arial" w:hAnsi="Arial" w:cs="Arial"/>
                <w:b/>
                <w:bCs/>
                <w:sz w:val="16"/>
                <w:szCs w:val="16"/>
              </w:rPr>
            </w:pPr>
            <w:r w:rsidRPr="00453324">
              <w:rPr>
                <w:rFonts w:ascii="Arial" w:hAnsi="Arial" w:cs="Arial"/>
                <w:b/>
                <w:bCs/>
                <w:sz w:val="16"/>
                <w:szCs w:val="16"/>
              </w:rPr>
              <w:t>Axicabtagen ciloleucel</w:t>
            </w:r>
            <w:r w:rsidRPr="00453324">
              <w:rPr>
                <w:rFonts w:ascii="Arial" w:hAnsi="Arial" w:cs="Arial"/>
                <w:b/>
                <w:bCs/>
                <w:sz w:val="16"/>
                <w:szCs w:val="16"/>
                <w:vertAlign w:val="superscript"/>
              </w:rPr>
              <w:t>11</w:t>
            </w:r>
          </w:p>
        </w:tc>
        <w:tc>
          <w:tcPr>
            <w:tcW w:w="1176" w:type="pct"/>
            <w:shd w:val="clear" w:color="auto" w:fill="auto"/>
            <w:vAlign w:val="center"/>
          </w:tcPr>
          <w:p w:rsidR="003D2521" w:rsidRPr="00453324" w:rsidRDefault="003D2521" w:rsidP="00853D2B">
            <w:pPr>
              <w:jc w:val="center"/>
              <w:rPr>
                <w:rFonts w:ascii="Arial" w:hAnsi="Arial" w:cs="Arial"/>
                <w:b/>
                <w:bCs/>
                <w:sz w:val="16"/>
                <w:szCs w:val="16"/>
              </w:rPr>
            </w:pPr>
            <w:r w:rsidRPr="00453324">
              <w:rPr>
                <w:rFonts w:ascii="Arial" w:hAnsi="Arial" w:cs="Arial"/>
                <w:b/>
                <w:bCs/>
                <w:sz w:val="16"/>
                <w:szCs w:val="16"/>
              </w:rPr>
              <w:t>Tisagenlecleucel</w:t>
            </w:r>
            <w:r w:rsidRPr="00453324">
              <w:rPr>
                <w:rFonts w:ascii="Arial" w:hAnsi="Arial" w:cs="Arial"/>
                <w:b/>
                <w:bCs/>
                <w:sz w:val="16"/>
                <w:szCs w:val="16"/>
                <w:vertAlign w:val="superscript"/>
              </w:rPr>
              <w:t>12</w:t>
            </w:r>
          </w:p>
        </w:tc>
        <w:tc>
          <w:tcPr>
            <w:tcW w:w="698" w:type="pct"/>
            <w:shd w:val="clear" w:color="auto" w:fill="auto"/>
            <w:vAlign w:val="center"/>
          </w:tcPr>
          <w:p w:rsidR="003D2521" w:rsidRPr="00453324" w:rsidRDefault="003D2521" w:rsidP="00853D2B">
            <w:pPr>
              <w:jc w:val="center"/>
              <w:rPr>
                <w:rFonts w:ascii="Arial" w:hAnsi="Arial" w:cs="Arial"/>
                <w:b/>
                <w:bCs/>
                <w:sz w:val="16"/>
                <w:szCs w:val="16"/>
              </w:rPr>
            </w:pPr>
            <w:r w:rsidRPr="00453324">
              <w:rPr>
                <w:rFonts w:ascii="Arial" w:hAnsi="Arial" w:cs="Arial"/>
                <w:b/>
                <w:bCs/>
                <w:sz w:val="16"/>
                <w:szCs w:val="16"/>
              </w:rPr>
              <w:t>Pixantrona</w:t>
            </w:r>
            <w:r w:rsidRPr="00453324">
              <w:rPr>
                <w:rFonts w:ascii="Arial" w:hAnsi="Arial" w:cs="Arial"/>
                <w:b/>
                <w:bCs/>
                <w:sz w:val="16"/>
                <w:szCs w:val="16"/>
                <w:vertAlign w:val="superscript"/>
              </w:rPr>
              <w:t>13</w:t>
            </w:r>
          </w:p>
        </w:tc>
        <w:tc>
          <w:tcPr>
            <w:tcW w:w="776" w:type="pct"/>
            <w:shd w:val="clear" w:color="auto" w:fill="auto"/>
            <w:vAlign w:val="center"/>
          </w:tcPr>
          <w:p w:rsidR="003D2521" w:rsidRPr="00453324" w:rsidRDefault="003D2521" w:rsidP="00853D2B">
            <w:pPr>
              <w:jc w:val="center"/>
              <w:rPr>
                <w:rFonts w:ascii="Arial" w:hAnsi="Arial" w:cs="Arial"/>
                <w:b/>
                <w:bCs/>
                <w:sz w:val="16"/>
                <w:szCs w:val="16"/>
              </w:rPr>
            </w:pPr>
            <w:r w:rsidRPr="00453324">
              <w:rPr>
                <w:rFonts w:ascii="Arial" w:hAnsi="Arial" w:cs="Arial"/>
                <w:b/>
                <w:bCs/>
                <w:sz w:val="16"/>
                <w:szCs w:val="16"/>
              </w:rPr>
              <w:t>R-GEMOX</w:t>
            </w:r>
          </w:p>
        </w:tc>
        <w:tc>
          <w:tcPr>
            <w:tcW w:w="776" w:type="pct"/>
            <w:shd w:val="clear" w:color="auto" w:fill="auto"/>
            <w:vAlign w:val="center"/>
          </w:tcPr>
          <w:p w:rsidR="003D2521" w:rsidRPr="00453324" w:rsidRDefault="00EA4DDC" w:rsidP="00EA4DDC">
            <w:pPr>
              <w:jc w:val="center"/>
              <w:rPr>
                <w:rFonts w:ascii="Arial" w:hAnsi="Arial" w:cs="Arial"/>
                <w:b/>
                <w:bCs/>
                <w:sz w:val="16"/>
                <w:szCs w:val="16"/>
              </w:rPr>
            </w:pPr>
            <w:r w:rsidRPr="00453324">
              <w:rPr>
                <w:rFonts w:ascii="Arial" w:hAnsi="Arial" w:cs="Arial"/>
                <w:b/>
                <w:bCs/>
                <w:sz w:val="16"/>
                <w:szCs w:val="16"/>
              </w:rPr>
              <w:t>R-GDP</w:t>
            </w:r>
          </w:p>
        </w:tc>
      </w:tr>
      <w:tr w:rsidR="003D2521" w:rsidRPr="00A12C4D" w:rsidTr="00453324">
        <w:trPr>
          <w:jc w:val="center"/>
        </w:trPr>
        <w:tc>
          <w:tcPr>
            <w:tcW w:w="628" w:type="pct"/>
            <w:shd w:val="clear" w:color="auto" w:fill="auto"/>
            <w:vAlign w:val="center"/>
          </w:tcPr>
          <w:p w:rsidR="003D2521" w:rsidRPr="00453324" w:rsidRDefault="003D2521" w:rsidP="00853D2B">
            <w:pPr>
              <w:jc w:val="center"/>
              <w:rPr>
                <w:rFonts w:ascii="Arial" w:hAnsi="Arial" w:cs="Arial"/>
                <w:sz w:val="16"/>
                <w:szCs w:val="16"/>
              </w:rPr>
            </w:pPr>
            <w:r w:rsidRPr="00453324">
              <w:rPr>
                <w:rFonts w:ascii="Arial" w:hAnsi="Arial" w:cs="Arial"/>
                <w:sz w:val="16"/>
                <w:szCs w:val="16"/>
              </w:rPr>
              <w:t>Presentación</w:t>
            </w:r>
          </w:p>
        </w:tc>
        <w:tc>
          <w:tcPr>
            <w:tcW w:w="946" w:type="pct"/>
            <w:shd w:val="clear" w:color="auto" w:fill="auto"/>
            <w:vAlign w:val="center"/>
          </w:tcPr>
          <w:p w:rsidR="003D2521" w:rsidRPr="00453324" w:rsidRDefault="003D2521" w:rsidP="00480033">
            <w:pPr>
              <w:jc w:val="center"/>
              <w:rPr>
                <w:rFonts w:ascii="Arial" w:hAnsi="Arial" w:cs="Arial"/>
                <w:sz w:val="16"/>
                <w:szCs w:val="16"/>
              </w:rPr>
            </w:pPr>
            <w:r w:rsidRPr="00453324">
              <w:rPr>
                <w:rFonts w:ascii="Arial" w:hAnsi="Arial" w:cs="Arial"/>
                <w:sz w:val="16"/>
                <w:szCs w:val="16"/>
              </w:rPr>
              <w:t xml:space="preserve">Yescarta® bolsa para </w:t>
            </w:r>
            <w:bookmarkStart w:id="23" w:name="_Hlk536399614"/>
            <w:r w:rsidRPr="00453324">
              <w:rPr>
                <w:rFonts w:ascii="Arial" w:hAnsi="Arial" w:cs="Arial"/>
                <w:sz w:val="16"/>
                <w:szCs w:val="16"/>
              </w:rPr>
              <w:t>perfusión única específica del paciente (contiene una dispersión de células CAR</w:t>
            </w:r>
            <w:r w:rsidR="00480033" w:rsidRPr="00453324">
              <w:rPr>
                <w:rFonts w:ascii="Arial" w:hAnsi="Arial" w:cs="Arial"/>
                <w:sz w:val="16"/>
                <w:szCs w:val="16"/>
              </w:rPr>
              <w:t xml:space="preserve"> T</w:t>
            </w:r>
            <w:r w:rsidRPr="00453324">
              <w:rPr>
                <w:rFonts w:ascii="Arial" w:hAnsi="Arial" w:cs="Arial"/>
                <w:sz w:val="16"/>
                <w:szCs w:val="16"/>
              </w:rPr>
              <w:t xml:space="preserve"> anti-CD 19 en 68 ml)</w:t>
            </w:r>
            <w:bookmarkEnd w:id="23"/>
          </w:p>
        </w:tc>
        <w:tc>
          <w:tcPr>
            <w:tcW w:w="1176" w:type="pct"/>
            <w:shd w:val="clear" w:color="auto" w:fill="auto"/>
            <w:vAlign w:val="center"/>
          </w:tcPr>
          <w:p w:rsidR="003D2521" w:rsidRPr="00453324" w:rsidRDefault="003D2521" w:rsidP="00853D2B">
            <w:pPr>
              <w:jc w:val="center"/>
              <w:rPr>
                <w:rFonts w:ascii="Arial" w:hAnsi="Arial" w:cs="Arial"/>
                <w:sz w:val="16"/>
                <w:szCs w:val="16"/>
              </w:rPr>
            </w:pPr>
            <w:r w:rsidRPr="00453324">
              <w:rPr>
                <w:rFonts w:ascii="Arial" w:hAnsi="Arial" w:cs="Arial"/>
                <w:sz w:val="16"/>
                <w:szCs w:val="16"/>
              </w:rPr>
              <w:t>Kymriah® bolsa de perfusión que contiene células de tisagenlecleucel</w:t>
            </w:r>
          </w:p>
          <w:p w:rsidR="003D2521" w:rsidRPr="00453324" w:rsidRDefault="003D2521" w:rsidP="00C2586B">
            <w:pPr>
              <w:jc w:val="center"/>
              <w:rPr>
                <w:rFonts w:ascii="Arial" w:hAnsi="Arial" w:cs="Arial"/>
                <w:sz w:val="16"/>
                <w:szCs w:val="16"/>
              </w:rPr>
            </w:pPr>
            <w:r w:rsidRPr="00453324">
              <w:rPr>
                <w:rFonts w:ascii="Arial" w:hAnsi="Arial" w:cs="Arial"/>
                <w:sz w:val="16"/>
                <w:szCs w:val="16"/>
              </w:rPr>
              <w:t>en dispersión en un lote dependiente de la concentración de las células T autólogas genéticamente modificadas que expresan un receptor de anti-CD19</w:t>
            </w:r>
          </w:p>
        </w:tc>
        <w:tc>
          <w:tcPr>
            <w:tcW w:w="698" w:type="pct"/>
            <w:shd w:val="clear" w:color="auto" w:fill="auto"/>
            <w:vAlign w:val="center"/>
          </w:tcPr>
          <w:p w:rsidR="003D2521" w:rsidRPr="00453324" w:rsidRDefault="003D2521" w:rsidP="00853D2B">
            <w:pPr>
              <w:jc w:val="center"/>
              <w:rPr>
                <w:rFonts w:ascii="Arial" w:hAnsi="Arial" w:cs="Arial"/>
                <w:sz w:val="16"/>
                <w:szCs w:val="16"/>
              </w:rPr>
            </w:pPr>
            <w:r w:rsidRPr="00453324">
              <w:rPr>
                <w:rFonts w:ascii="Arial" w:hAnsi="Arial" w:cs="Arial"/>
                <w:sz w:val="16"/>
                <w:szCs w:val="16"/>
              </w:rPr>
              <w:t>Pixuvri® 29 mg polvo para concentrado para solución para perfusión</w:t>
            </w:r>
          </w:p>
        </w:tc>
        <w:tc>
          <w:tcPr>
            <w:tcW w:w="776" w:type="pct"/>
            <w:shd w:val="clear" w:color="auto" w:fill="auto"/>
            <w:vAlign w:val="center"/>
          </w:tcPr>
          <w:p w:rsidR="003D2521" w:rsidRPr="00453324" w:rsidRDefault="005011BC" w:rsidP="00853D2B">
            <w:pPr>
              <w:jc w:val="center"/>
              <w:rPr>
                <w:rFonts w:ascii="Arial" w:hAnsi="Arial" w:cs="Arial"/>
                <w:sz w:val="16"/>
                <w:szCs w:val="16"/>
              </w:rPr>
            </w:pPr>
            <w:r w:rsidRPr="00453324">
              <w:rPr>
                <w:rFonts w:ascii="Arial" w:hAnsi="Arial" w:cs="Arial"/>
                <w:sz w:val="16"/>
                <w:szCs w:val="16"/>
              </w:rPr>
              <w:t>Rituximab ± (g</w:t>
            </w:r>
            <w:r w:rsidR="003D2521" w:rsidRPr="00453324">
              <w:rPr>
                <w:rFonts w:ascii="Arial" w:hAnsi="Arial" w:cs="Arial"/>
                <w:sz w:val="16"/>
                <w:szCs w:val="16"/>
              </w:rPr>
              <w:t>emcitabina, oxaliplatino)</w:t>
            </w:r>
          </w:p>
        </w:tc>
        <w:tc>
          <w:tcPr>
            <w:tcW w:w="776" w:type="pct"/>
            <w:shd w:val="clear" w:color="auto" w:fill="auto"/>
            <w:vAlign w:val="center"/>
          </w:tcPr>
          <w:p w:rsidR="003D2521" w:rsidRPr="00453324" w:rsidRDefault="00EA4DDC" w:rsidP="005011BC">
            <w:pPr>
              <w:jc w:val="center"/>
              <w:rPr>
                <w:rFonts w:ascii="Arial" w:hAnsi="Arial" w:cs="Arial"/>
                <w:sz w:val="16"/>
                <w:szCs w:val="16"/>
              </w:rPr>
            </w:pPr>
            <w:r w:rsidRPr="00453324">
              <w:rPr>
                <w:rFonts w:ascii="Arial" w:hAnsi="Arial" w:cs="Arial"/>
                <w:sz w:val="16"/>
                <w:szCs w:val="16"/>
              </w:rPr>
              <w:t>Rituximab ± (</w:t>
            </w:r>
            <w:r w:rsidR="005011BC" w:rsidRPr="00453324">
              <w:rPr>
                <w:rFonts w:ascii="Arial" w:hAnsi="Arial" w:cs="Arial"/>
                <w:sz w:val="16"/>
                <w:szCs w:val="16"/>
              </w:rPr>
              <w:t>g</w:t>
            </w:r>
            <w:r w:rsidRPr="00453324">
              <w:rPr>
                <w:rFonts w:ascii="Arial" w:hAnsi="Arial" w:cs="Arial"/>
                <w:sz w:val="16"/>
                <w:szCs w:val="16"/>
              </w:rPr>
              <w:t>emcitabina, dexametasona, cisplatino)</w:t>
            </w:r>
          </w:p>
        </w:tc>
      </w:tr>
      <w:tr w:rsidR="003D2521" w:rsidRPr="00A12C4D" w:rsidTr="00453324">
        <w:trPr>
          <w:jc w:val="center"/>
        </w:trPr>
        <w:tc>
          <w:tcPr>
            <w:tcW w:w="628" w:type="pct"/>
            <w:shd w:val="clear" w:color="auto" w:fill="auto"/>
            <w:vAlign w:val="center"/>
          </w:tcPr>
          <w:p w:rsidR="003D2521" w:rsidRPr="00453324" w:rsidRDefault="003D2521" w:rsidP="00853D2B">
            <w:pPr>
              <w:jc w:val="center"/>
              <w:rPr>
                <w:rFonts w:ascii="Arial" w:hAnsi="Arial" w:cs="Arial"/>
                <w:sz w:val="16"/>
                <w:szCs w:val="16"/>
              </w:rPr>
            </w:pPr>
            <w:r w:rsidRPr="00453324">
              <w:rPr>
                <w:rFonts w:ascii="Arial" w:hAnsi="Arial" w:cs="Arial"/>
                <w:sz w:val="16"/>
                <w:szCs w:val="16"/>
              </w:rPr>
              <w:t>Posología</w:t>
            </w:r>
          </w:p>
        </w:tc>
        <w:tc>
          <w:tcPr>
            <w:tcW w:w="946" w:type="pct"/>
            <w:shd w:val="clear" w:color="auto" w:fill="auto"/>
            <w:vAlign w:val="center"/>
          </w:tcPr>
          <w:p w:rsidR="003D2521" w:rsidRPr="00453324" w:rsidRDefault="003D2521" w:rsidP="00853D2B">
            <w:pPr>
              <w:jc w:val="center"/>
              <w:rPr>
                <w:rFonts w:ascii="Arial" w:hAnsi="Arial" w:cs="Arial"/>
                <w:sz w:val="16"/>
                <w:szCs w:val="16"/>
              </w:rPr>
            </w:pPr>
            <w:r w:rsidRPr="00453324">
              <w:rPr>
                <w:rFonts w:ascii="Arial" w:hAnsi="Arial" w:cs="Arial"/>
                <w:sz w:val="16"/>
                <w:szCs w:val="16"/>
              </w:rPr>
              <w:t>Dosis única IV</w:t>
            </w:r>
          </w:p>
        </w:tc>
        <w:tc>
          <w:tcPr>
            <w:tcW w:w="1176" w:type="pct"/>
            <w:shd w:val="clear" w:color="auto" w:fill="auto"/>
            <w:vAlign w:val="center"/>
          </w:tcPr>
          <w:p w:rsidR="003D2521" w:rsidRPr="00453324" w:rsidRDefault="003D2521" w:rsidP="00853D2B">
            <w:pPr>
              <w:jc w:val="center"/>
              <w:rPr>
                <w:rFonts w:ascii="Arial" w:hAnsi="Arial" w:cs="Arial"/>
                <w:sz w:val="16"/>
                <w:szCs w:val="16"/>
              </w:rPr>
            </w:pPr>
            <w:r w:rsidRPr="00453324">
              <w:rPr>
                <w:rFonts w:ascii="Arial" w:hAnsi="Arial" w:cs="Arial"/>
                <w:sz w:val="16"/>
                <w:szCs w:val="16"/>
              </w:rPr>
              <w:t>Dosis única IV ( 1-3 bolsas de perfusión)</w:t>
            </w:r>
          </w:p>
        </w:tc>
        <w:tc>
          <w:tcPr>
            <w:tcW w:w="698" w:type="pct"/>
            <w:shd w:val="clear" w:color="auto" w:fill="auto"/>
            <w:vAlign w:val="center"/>
          </w:tcPr>
          <w:p w:rsidR="003D2521" w:rsidRPr="00453324" w:rsidRDefault="003D2521" w:rsidP="00D4690D">
            <w:pPr>
              <w:jc w:val="center"/>
              <w:rPr>
                <w:rFonts w:ascii="Arial" w:hAnsi="Arial" w:cs="Arial"/>
                <w:sz w:val="16"/>
                <w:szCs w:val="16"/>
              </w:rPr>
            </w:pPr>
            <w:r w:rsidRPr="00453324">
              <w:rPr>
                <w:rFonts w:ascii="Arial" w:hAnsi="Arial" w:cs="Arial"/>
                <w:sz w:val="16"/>
                <w:szCs w:val="16"/>
              </w:rPr>
              <w:t>50 mg/m</w:t>
            </w:r>
            <w:r w:rsidRPr="00453324">
              <w:rPr>
                <w:rFonts w:ascii="Arial" w:hAnsi="Arial" w:cs="Arial"/>
                <w:sz w:val="16"/>
                <w:szCs w:val="16"/>
                <w:vertAlign w:val="superscript"/>
              </w:rPr>
              <w:t>2</w:t>
            </w:r>
            <w:r w:rsidRPr="00453324">
              <w:rPr>
                <w:rFonts w:ascii="Arial" w:hAnsi="Arial" w:cs="Arial"/>
                <w:sz w:val="16"/>
                <w:szCs w:val="16"/>
              </w:rPr>
              <w:t xml:space="preserve"> de pixantrona los días 1, 8 y 15 de cada ciclo de 28 días hasta</w:t>
            </w:r>
          </w:p>
          <w:p w:rsidR="003D2521" w:rsidRPr="00453324" w:rsidRDefault="003D2521" w:rsidP="00D4690D">
            <w:pPr>
              <w:jc w:val="center"/>
              <w:rPr>
                <w:rFonts w:ascii="Arial" w:hAnsi="Arial" w:cs="Arial"/>
                <w:sz w:val="16"/>
                <w:szCs w:val="16"/>
              </w:rPr>
            </w:pPr>
            <w:r w:rsidRPr="00453324">
              <w:rPr>
                <w:rFonts w:ascii="Arial" w:hAnsi="Arial" w:cs="Arial"/>
                <w:sz w:val="16"/>
                <w:szCs w:val="16"/>
              </w:rPr>
              <w:t>un máximo de 6 ciclos.</w:t>
            </w:r>
          </w:p>
        </w:tc>
        <w:tc>
          <w:tcPr>
            <w:tcW w:w="776" w:type="pct"/>
            <w:shd w:val="clear" w:color="auto" w:fill="auto"/>
            <w:vAlign w:val="center"/>
          </w:tcPr>
          <w:p w:rsidR="003D2521" w:rsidRPr="00453324" w:rsidRDefault="003D2521" w:rsidP="008E329E">
            <w:pPr>
              <w:jc w:val="center"/>
              <w:rPr>
                <w:rFonts w:ascii="Arial" w:hAnsi="Arial" w:cs="Arial"/>
                <w:sz w:val="16"/>
                <w:szCs w:val="16"/>
              </w:rPr>
            </w:pPr>
            <w:r w:rsidRPr="00453324">
              <w:rPr>
                <w:rFonts w:ascii="Arial" w:hAnsi="Arial" w:cs="Arial"/>
                <w:sz w:val="16"/>
                <w:szCs w:val="16"/>
              </w:rPr>
              <w:t>Rituximab 375 mg/m² IV d1, Gemcitabina 1000 mg/m</w:t>
            </w:r>
            <w:r w:rsidRPr="00453324">
              <w:rPr>
                <w:rFonts w:ascii="Arial" w:hAnsi="Arial" w:cs="Arial"/>
                <w:sz w:val="16"/>
                <w:szCs w:val="16"/>
                <w:vertAlign w:val="superscript"/>
              </w:rPr>
              <w:t>2</w:t>
            </w:r>
          </w:p>
          <w:p w:rsidR="003D2521" w:rsidRPr="00453324" w:rsidRDefault="003D2521" w:rsidP="008E329E">
            <w:pPr>
              <w:jc w:val="center"/>
              <w:rPr>
                <w:rFonts w:ascii="Arial" w:hAnsi="Arial" w:cs="Arial"/>
                <w:sz w:val="16"/>
                <w:szCs w:val="16"/>
              </w:rPr>
            </w:pPr>
            <w:r w:rsidRPr="00453324">
              <w:rPr>
                <w:rFonts w:ascii="Arial" w:hAnsi="Arial" w:cs="Arial"/>
                <w:sz w:val="16"/>
                <w:szCs w:val="16"/>
              </w:rPr>
              <w:t>IV d2, Oxaliplatino 100 mg/m</w:t>
            </w:r>
            <w:r w:rsidRPr="00453324">
              <w:rPr>
                <w:rFonts w:ascii="Arial" w:hAnsi="Arial" w:cs="Arial"/>
                <w:sz w:val="16"/>
                <w:szCs w:val="16"/>
                <w:vertAlign w:val="superscript"/>
              </w:rPr>
              <w:t>2</w:t>
            </w:r>
            <w:r w:rsidRPr="00453324">
              <w:rPr>
                <w:rFonts w:ascii="Arial" w:hAnsi="Arial" w:cs="Arial"/>
                <w:sz w:val="16"/>
                <w:szCs w:val="16"/>
              </w:rPr>
              <w:t xml:space="preserve"> IV d2, Dexametasona 20 mg VO d1-3, cada 2</w:t>
            </w:r>
          </w:p>
          <w:p w:rsidR="003D2521" w:rsidRPr="00453324" w:rsidRDefault="003D2521" w:rsidP="008E329E">
            <w:pPr>
              <w:jc w:val="center"/>
              <w:rPr>
                <w:rFonts w:ascii="Arial" w:hAnsi="Arial" w:cs="Arial"/>
                <w:sz w:val="16"/>
                <w:szCs w:val="16"/>
              </w:rPr>
            </w:pPr>
            <w:r w:rsidRPr="00453324">
              <w:rPr>
                <w:rFonts w:ascii="Arial" w:hAnsi="Arial" w:cs="Arial"/>
                <w:sz w:val="16"/>
                <w:szCs w:val="16"/>
              </w:rPr>
              <w:t>semanas, 6-8 ciclos.</w:t>
            </w:r>
          </w:p>
        </w:tc>
        <w:tc>
          <w:tcPr>
            <w:tcW w:w="776" w:type="pct"/>
            <w:shd w:val="clear" w:color="auto" w:fill="auto"/>
            <w:vAlign w:val="center"/>
          </w:tcPr>
          <w:p w:rsidR="00EA4DDC" w:rsidRPr="00453324" w:rsidRDefault="00EA4DDC" w:rsidP="00EA4DDC">
            <w:pPr>
              <w:jc w:val="center"/>
              <w:rPr>
                <w:rFonts w:ascii="Arial" w:hAnsi="Arial" w:cs="Arial"/>
                <w:sz w:val="16"/>
                <w:szCs w:val="16"/>
              </w:rPr>
            </w:pPr>
            <w:r w:rsidRPr="00453324">
              <w:rPr>
                <w:rFonts w:ascii="Arial" w:hAnsi="Arial" w:cs="Arial"/>
                <w:sz w:val="16"/>
                <w:szCs w:val="16"/>
              </w:rPr>
              <w:t>Rituximab 375 mg/m² IV d1, Gemcitabina 1000 mg/m</w:t>
            </w:r>
            <w:r w:rsidRPr="00453324">
              <w:rPr>
                <w:rFonts w:ascii="Arial" w:hAnsi="Arial" w:cs="Arial"/>
                <w:sz w:val="16"/>
                <w:szCs w:val="16"/>
                <w:vertAlign w:val="superscript"/>
              </w:rPr>
              <w:t>2</w:t>
            </w:r>
          </w:p>
          <w:p w:rsidR="00EA4DDC" w:rsidRPr="00453324" w:rsidRDefault="00EA4DDC" w:rsidP="00EA4DDC">
            <w:pPr>
              <w:jc w:val="center"/>
              <w:rPr>
                <w:rFonts w:ascii="Arial" w:hAnsi="Arial" w:cs="Arial"/>
                <w:sz w:val="16"/>
                <w:szCs w:val="16"/>
              </w:rPr>
            </w:pPr>
            <w:r w:rsidRPr="00453324">
              <w:rPr>
                <w:rFonts w:ascii="Arial" w:hAnsi="Arial" w:cs="Arial"/>
                <w:sz w:val="16"/>
                <w:szCs w:val="16"/>
              </w:rPr>
              <w:t>IV d</w:t>
            </w:r>
            <w:r w:rsidR="005803FB" w:rsidRPr="00453324">
              <w:rPr>
                <w:rFonts w:ascii="Arial" w:hAnsi="Arial" w:cs="Arial"/>
                <w:sz w:val="16"/>
                <w:szCs w:val="16"/>
              </w:rPr>
              <w:t>1 y 8</w:t>
            </w:r>
            <w:r w:rsidRPr="00453324">
              <w:rPr>
                <w:rFonts w:ascii="Arial" w:hAnsi="Arial" w:cs="Arial"/>
                <w:sz w:val="16"/>
                <w:szCs w:val="16"/>
              </w:rPr>
              <w:t xml:space="preserve">, </w:t>
            </w:r>
            <w:r w:rsidR="005803FB" w:rsidRPr="00453324">
              <w:rPr>
                <w:rFonts w:ascii="Arial" w:hAnsi="Arial" w:cs="Arial"/>
                <w:sz w:val="16"/>
                <w:szCs w:val="16"/>
              </w:rPr>
              <w:t>Cisplatino 75mg/m</w:t>
            </w:r>
            <w:r w:rsidR="005803FB" w:rsidRPr="00453324">
              <w:rPr>
                <w:rFonts w:ascii="Arial" w:hAnsi="Arial" w:cs="Arial"/>
                <w:sz w:val="16"/>
                <w:szCs w:val="16"/>
                <w:vertAlign w:val="superscript"/>
              </w:rPr>
              <w:t>2</w:t>
            </w:r>
            <w:r w:rsidR="005803FB" w:rsidRPr="00453324">
              <w:rPr>
                <w:rFonts w:ascii="Arial" w:hAnsi="Arial" w:cs="Arial"/>
                <w:sz w:val="16"/>
                <w:szCs w:val="16"/>
              </w:rPr>
              <w:t xml:space="preserve"> IV d1, </w:t>
            </w:r>
            <w:r w:rsidRPr="00453324">
              <w:rPr>
                <w:rFonts w:ascii="Arial" w:hAnsi="Arial" w:cs="Arial"/>
                <w:sz w:val="16"/>
                <w:szCs w:val="16"/>
              </w:rPr>
              <w:t xml:space="preserve">Dexametasona </w:t>
            </w:r>
            <w:r w:rsidR="005803FB" w:rsidRPr="00453324">
              <w:rPr>
                <w:rFonts w:ascii="Arial" w:hAnsi="Arial" w:cs="Arial"/>
                <w:sz w:val="16"/>
                <w:szCs w:val="16"/>
              </w:rPr>
              <w:t>4</w:t>
            </w:r>
            <w:r w:rsidRPr="00453324">
              <w:rPr>
                <w:rFonts w:ascii="Arial" w:hAnsi="Arial" w:cs="Arial"/>
                <w:sz w:val="16"/>
                <w:szCs w:val="16"/>
              </w:rPr>
              <w:t>0 mg VO d</w:t>
            </w:r>
            <w:r w:rsidR="005803FB" w:rsidRPr="00453324">
              <w:rPr>
                <w:rFonts w:ascii="Arial" w:hAnsi="Arial" w:cs="Arial"/>
                <w:sz w:val="16"/>
                <w:szCs w:val="16"/>
              </w:rPr>
              <w:t>1</w:t>
            </w:r>
            <w:r w:rsidRPr="00453324">
              <w:rPr>
                <w:rFonts w:ascii="Arial" w:hAnsi="Arial" w:cs="Arial"/>
                <w:sz w:val="16"/>
                <w:szCs w:val="16"/>
              </w:rPr>
              <w:t>-</w:t>
            </w:r>
            <w:r w:rsidR="005803FB" w:rsidRPr="00453324">
              <w:rPr>
                <w:rFonts w:ascii="Arial" w:hAnsi="Arial" w:cs="Arial"/>
                <w:sz w:val="16"/>
                <w:szCs w:val="16"/>
              </w:rPr>
              <w:t>4</w:t>
            </w:r>
            <w:r w:rsidRPr="00453324">
              <w:rPr>
                <w:rFonts w:ascii="Arial" w:hAnsi="Arial" w:cs="Arial"/>
                <w:sz w:val="16"/>
                <w:szCs w:val="16"/>
              </w:rPr>
              <w:t xml:space="preserve">, cada </w:t>
            </w:r>
            <w:r w:rsidR="005803FB" w:rsidRPr="00453324">
              <w:rPr>
                <w:rFonts w:ascii="Arial" w:hAnsi="Arial" w:cs="Arial"/>
                <w:sz w:val="16"/>
                <w:szCs w:val="16"/>
              </w:rPr>
              <w:t>3</w:t>
            </w:r>
          </w:p>
          <w:p w:rsidR="003D2521" w:rsidRPr="00453324" w:rsidRDefault="00EA4DDC" w:rsidP="005803FB">
            <w:pPr>
              <w:jc w:val="center"/>
              <w:rPr>
                <w:rFonts w:ascii="Arial" w:hAnsi="Arial" w:cs="Arial"/>
                <w:sz w:val="16"/>
                <w:szCs w:val="16"/>
              </w:rPr>
            </w:pPr>
            <w:r w:rsidRPr="00453324">
              <w:rPr>
                <w:rFonts w:ascii="Arial" w:hAnsi="Arial" w:cs="Arial"/>
                <w:sz w:val="16"/>
                <w:szCs w:val="16"/>
              </w:rPr>
              <w:t>semanas, 6 ciclos.</w:t>
            </w:r>
          </w:p>
        </w:tc>
      </w:tr>
      <w:tr w:rsidR="003D2521" w:rsidRPr="00A12C4D" w:rsidTr="00453324">
        <w:trPr>
          <w:jc w:val="center"/>
        </w:trPr>
        <w:tc>
          <w:tcPr>
            <w:tcW w:w="628" w:type="pct"/>
            <w:shd w:val="clear" w:color="auto" w:fill="auto"/>
            <w:vAlign w:val="center"/>
          </w:tcPr>
          <w:p w:rsidR="003D2521" w:rsidRPr="00453324" w:rsidDel="00C50164" w:rsidRDefault="003D2521" w:rsidP="00853D2B">
            <w:pPr>
              <w:jc w:val="center"/>
              <w:rPr>
                <w:rFonts w:ascii="Arial" w:hAnsi="Arial" w:cs="Arial"/>
                <w:sz w:val="16"/>
                <w:szCs w:val="16"/>
                <w:lang w:val="es-ES_tradnl"/>
              </w:rPr>
            </w:pPr>
            <w:r w:rsidRPr="00453324">
              <w:rPr>
                <w:rFonts w:ascii="Arial" w:hAnsi="Arial" w:cs="Arial"/>
                <w:sz w:val="16"/>
                <w:szCs w:val="16"/>
                <w:lang w:val="es-ES_tradnl"/>
              </w:rPr>
              <w:t>Indicación aprobada en FT</w:t>
            </w:r>
          </w:p>
        </w:tc>
        <w:tc>
          <w:tcPr>
            <w:tcW w:w="946" w:type="pct"/>
            <w:shd w:val="clear" w:color="auto" w:fill="auto"/>
            <w:vAlign w:val="center"/>
          </w:tcPr>
          <w:p w:rsidR="003D2521" w:rsidRPr="00453324" w:rsidRDefault="003D2521" w:rsidP="00853D2B">
            <w:pPr>
              <w:jc w:val="center"/>
              <w:rPr>
                <w:rFonts w:ascii="Arial" w:hAnsi="Arial" w:cs="Arial"/>
                <w:sz w:val="16"/>
                <w:szCs w:val="16"/>
              </w:rPr>
            </w:pPr>
            <w:bookmarkStart w:id="24" w:name="_Hlk536399574"/>
            <w:r w:rsidRPr="00453324">
              <w:rPr>
                <w:rFonts w:ascii="Arial" w:hAnsi="Arial" w:cs="Arial"/>
                <w:sz w:val="16"/>
                <w:szCs w:val="16"/>
              </w:rPr>
              <w:t xml:space="preserve">Tratamiento de pacientes adultos con </w:t>
            </w:r>
            <w:r w:rsidR="008258E3" w:rsidRPr="00453324">
              <w:rPr>
                <w:rFonts w:ascii="Arial" w:hAnsi="Arial" w:cs="Arial"/>
                <w:sz w:val="16"/>
                <w:szCs w:val="16"/>
              </w:rPr>
              <w:t>LDCBG</w:t>
            </w:r>
            <w:r w:rsidRPr="00453324">
              <w:rPr>
                <w:rFonts w:ascii="Arial" w:hAnsi="Arial" w:cs="Arial"/>
                <w:sz w:val="16"/>
                <w:szCs w:val="16"/>
              </w:rPr>
              <w:t xml:space="preserve"> refractario o en recaída y linfoma B primario mediastínico de células grandes, después de dos o más líneas de tratamiento sistémico.</w:t>
            </w:r>
            <w:bookmarkEnd w:id="24"/>
          </w:p>
        </w:tc>
        <w:tc>
          <w:tcPr>
            <w:tcW w:w="1176" w:type="pct"/>
            <w:shd w:val="clear" w:color="auto" w:fill="auto"/>
            <w:vAlign w:val="center"/>
          </w:tcPr>
          <w:p w:rsidR="003D2521" w:rsidRPr="00453324" w:rsidRDefault="003D2521" w:rsidP="00D52F63">
            <w:pPr>
              <w:jc w:val="center"/>
              <w:rPr>
                <w:rFonts w:ascii="Arial" w:hAnsi="Arial" w:cs="Arial"/>
                <w:sz w:val="16"/>
                <w:szCs w:val="16"/>
              </w:rPr>
            </w:pPr>
            <w:r w:rsidRPr="00453324">
              <w:rPr>
                <w:rFonts w:ascii="Arial" w:hAnsi="Arial" w:cs="Arial"/>
                <w:sz w:val="16"/>
                <w:szCs w:val="16"/>
              </w:rPr>
              <w:t>Leucemia linfoblástica aguda (LLA) de células B refractaria, en recaída post trasplante o en</w:t>
            </w:r>
          </w:p>
          <w:p w:rsidR="003D2521" w:rsidRPr="00453324" w:rsidRDefault="003D2521" w:rsidP="00D52F63">
            <w:pPr>
              <w:jc w:val="center"/>
              <w:rPr>
                <w:rFonts w:ascii="Arial" w:hAnsi="Arial" w:cs="Arial"/>
                <w:sz w:val="16"/>
                <w:szCs w:val="16"/>
              </w:rPr>
            </w:pPr>
            <w:r w:rsidRPr="00453324">
              <w:rPr>
                <w:rFonts w:ascii="Arial" w:hAnsi="Arial" w:cs="Arial"/>
                <w:sz w:val="16"/>
                <w:szCs w:val="16"/>
              </w:rPr>
              <w:t>segunda o posterior recaída en pacientes pediátricos y adultos jóvenes de hasta 25 años de edad.</w:t>
            </w:r>
          </w:p>
          <w:p w:rsidR="003D2521" w:rsidRPr="00453324" w:rsidRDefault="003D2521" w:rsidP="00D52F63">
            <w:pPr>
              <w:jc w:val="center"/>
              <w:rPr>
                <w:rFonts w:ascii="Arial" w:hAnsi="Arial" w:cs="Arial"/>
                <w:sz w:val="16"/>
                <w:szCs w:val="16"/>
              </w:rPr>
            </w:pPr>
            <w:r w:rsidRPr="00453324">
              <w:rPr>
                <w:rFonts w:ascii="Arial" w:hAnsi="Arial" w:cs="Arial"/>
                <w:sz w:val="16"/>
                <w:szCs w:val="16"/>
              </w:rPr>
              <w:t>Linfoma B difuso de célula grande (</w:t>
            </w:r>
            <w:r w:rsidR="008258E3" w:rsidRPr="00453324">
              <w:rPr>
                <w:rFonts w:ascii="Arial" w:hAnsi="Arial" w:cs="Arial"/>
                <w:sz w:val="16"/>
                <w:szCs w:val="16"/>
              </w:rPr>
              <w:t>LDCBG</w:t>
            </w:r>
            <w:r w:rsidRPr="00453324">
              <w:rPr>
                <w:rFonts w:ascii="Arial" w:hAnsi="Arial" w:cs="Arial"/>
                <w:sz w:val="16"/>
                <w:szCs w:val="16"/>
              </w:rPr>
              <w:t>) en recaída o refractario tras dos o más líneas de</w:t>
            </w:r>
          </w:p>
          <w:p w:rsidR="003D2521" w:rsidRPr="00453324" w:rsidRDefault="003D2521" w:rsidP="00D52F63">
            <w:pPr>
              <w:jc w:val="center"/>
              <w:rPr>
                <w:rFonts w:ascii="Arial" w:hAnsi="Arial" w:cs="Arial"/>
                <w:sz w:val="16"/>
                <w:szCs w:val="16"/>
              </w:rPr>
            </w:pPr>
            <w:r w:rsidRPr="00453324">
              <w:rPr>
                <w:rFonts w:ascii="Arial" w:hAnsi="Arial" w:cs="Arial"/>
                <w:sz w:val="16"/>
                <w:szCs w:val="16"/>
              </w:rPr>
              <w:t>tratamiento sistémico en pacientes adultos.</w:t>
            </w:r>
          </w:p>
        </w:tc>
        <w:tc>
          <w:tcPr>
            <w:tcW w:w="698" w:type="pct"/>
            <w:shd w:val="clear" w:color="auto" w:fill="auto"/>
            <w:vAlign w:val="center"/>
          </w:tcPr>
          <w:p w:rsidR="003D2521" w:rsidRPr="00453324" w:rsidRDefault="003D2521" w:rsidP="00D4690D">
            <w:pPr>
              <w:jc w:val="center"/>
              <w:rPr>
                <w:rFonts w:ascii="Arial" w:hAnsi="Arial" w:cs="Arial"/>
                <w:sz w:val="16"/>
                <w:szCs w:val="16"/>
              </w:rPr>
            </w:pPr>
            <w:r w:rsidRPr="00453324">
              <w:rPr>
                <w:rFonts w:ascii="Arial" w:hAnsi="Arial" w:cs="Arial"/>
                <w:sz w:val="16"/>
                <w:szCs w:val="16"/>
              </w:rPr>
              <w:t>Monoterapia para el tratamiento de pacientes adultos con linfomas no</w:t>
            </w:r>
          </w:p>
          <w:p w:rsidR="003D2521" w:rsidRPr="00453324" w:rsidRDefault="003D2521" w:rsidP="00D4690D">
            <w:pPr>
              <w:jc w:val="center"/>
              <w:rPr>
                <w:rFonts w:ascii="Arial" w:hAnsi="Arial" w:cs="Arial"/>
                <w:sz w:val="16"/>
                <w:szCs w:val="16"/>
              </w:rPr>
            </w:pPr>
            <w:r w:rsidRPr="00453324">
              <w:rPr>
                <w:rFonts w:ascii="Arial" w:hAnsi="Arial" w:cs="Arial"/>
                <w:sz w:val="16"/>
                <w:szCs w:val="16"/>
              </w:rPr>
              <w:t>hodgkinianos (LNH) de linfocitos B agresivos, multirrecidivantes o resistentes al tratamiento.</w:t>
            </w:r>
          </w:p>
        </w:tc>
        <w:tc>
          <w:tcPr>
            <w:tcW w:w="776" w:type="pct"/>
            <w:shd w:val="clear" w:color="auto" w:fill="auto"/>
            <w:vAlign w:val="center"/>
          </w:tcPr>
          <w:p w:rsidR="003D2521" w:rsidRPr="00453324" w:rsidRDefault="003D2521" w:rsidP="00853D2B">
            <w:pPr>
              <w:jc w:val="center"/>
              <w:rPr>
                <w:rFonts w:ascii="Arial" w:hAnsi="Arial" w:cs="Arial"/>
                <w:sz w:val="16"/>
                <w:szCs w:val="16"/>
              </w:rPr>
            </w:pPr>
            <w:r w:rsidRPr="00453324">
              <w:rPr>
                <w:rFonts w:ascii="Arial" w:hAnsi="Arial" w:cs="Arial"/>
                <w:sz w:val="16"/>
                <w:szCs w:val="16"/>
              </w:rPr>
              <w:t>Diferentes patologías hematológicas malignas, tumores genitourinarios y de testículos</w:t>
            </w:r>
          </w:p>
        </w:tc>
        <w:tc>
          <w:tcPr>
            <w:tcW w:w="776" w:type="pct"/>
            <w:shd w:val="clear" w:color="auto" w:fill="auto"/>
            <w:vAlign w:val="center"/>
          </w:tcPr>
          <w:p w:rsidR="003D2521" w:rsidRPr="00453324" w:rsidRDefault="003470B2" w:rsidP="003470B2">
            <w:pPr>
              <w:jc w:val="center"/>
              <w:rPr>
                <w:rFonts w:ascii="Arial" w:hAnsi="Arial" w:cs="Arial"/>
                <w:sz w:val="16"/>
                <w:szCs w:val="16"/>
              </w:rPr>
            </w:pPr>
            <w:r w:rsidRPr="00453324">
              <w:rPr>
                <w:rFonts w:ascii="Arial" w:hAnsi="Arial" w:cs="Arial"/>
                <w:sz w:val="16"/>
                <w:szCs w:val="16"/>
              </w:rPr>
              <w:t xml:space="preserve">Linfoma no Hodgkin de células B CD20 en recaída o refractario. </w:t>
            </w:r>
          </w:p>
        </w:tc>
      </w:tr>
      <w:tr w:rsidR="003D2521" w:rsidRPr="00A12C4D" w:rsidTr="00453324">
        <w:trPr>
          <w:jc w:val="center"/>
        </w:trPr>
        <w:tc>
          <w:tcPr>
            <w:tcW w:w="628" w:type="pct"/>
            <w:shd w:val="clear" w:color="auto" w:fill="auto"/>
            <w:vAlign w:val="center"/>
          </w:tcPr>
          <w:p w:rsidR="003D2521" w:rsidRPr="00453324" w:rsidRDefault="003D2521" w:rsidP="00853D2B">
            <w:pPr>
              <w:jc w:val="center"/>
              <w:rPr>
                <w:rFonts w:ascii="Arial" w:hAnsi="Arial" w:cs="Arial"/>
                <w:sz w:val="16"/>
                <w:szCs w:val="16"/>
                <w:lang w:val="es-ES_tradnl"/>
              </w:rPr>
            </w:pPr>
            <w:r w:rsidRPr="00453324">
              <w:rPr>
                <w:rFonts w:ascii="Arial" w:hAnsi="Arial" w:cs="Arial"/>
                <w:sz w:val="16"/>
                <w:szCs w:val="16"/>
                <w:lang w:val="es-ES_tradnl"/>
              </w:rPr>
              <w:t>Efectos adversos</w:t>
            </w:r>
          </w:p>
        </w:tc>
        <w:tc>
          <w:tcPr>
            <w:tcW w:w="946" w:type="pct"/>
            <w:shd w:val="clear" w:color="auto" w:fill="auto"/>
            <w:vAlign w:val="center"/>
          </w:tcPr>
          <w:p w:rsidR="003D2521" w:rsidRPr="00453324" w:rsidRDefault="003D2521" w:rsidP="000E5304">
            <w:pPr>
              <w:jc w:val="center"/>
              <w:rPr>
                <w:rFonts w:ascii="Arial" w:hAnsi="Arial" w:cs="Arial"/>
                <w:sz w:val="16"/>
                <w:szCs w:val="16"/>
              </w:rPr>
            </w:pPr>
            <w:r w:rsidRPr="00453324">
              <w:rPr>
                <w:rFonts w:ascii="Arial" w:hAnsi="Arial" w:cs="Arial"/>
                <w:sz w:val="16"/>
                <w:szCs w:val="16"/>
              </w:rPr>
              <w:t>Síndrome de liberación de citoquinas, citopenias, efectos neurotóxicos, infecciones y neutropenia febril, encefalopatía, hipogammaglobulinemia, reacciones de hipersensibilidad, alteraciones de electrolitos, alteraciones gastrointestinales</w:t>
            </w:r>
          </w:p>
        </w:tc>
        <w:tc>
          <w:tcPr>
            <w:tcW w:w="1176" w:type="pct"/>
            <w:shd w:val="clear" w:color="auto" w:fill="auto"/>
            <w:vAlign w:val="center"/>
          </w:tcPr>
          <w:p w:rsidR="003D2521" w:rsidRPr="00453324" w:rsidRDefault="003D2521" w:rsidP="000E5304">
            <w:pPr>
              <w:jc w:val="center"/>
              <w:rPr>
                <w:rFonts w:ascii="Arial" w:hAnsi="Arial" w:cs="Arial"/>
                <w:sz w:val="16"/>
                <w:szCs w:val="16"/>
              </w:rPr>
            </w:pPr>
            <w:r w:rsidRPr="00453324">
              <w:rPr>
                <w:rFonts w:ascii="Arial" w:hAnsi="Arial" w:cs="Arial"/>
                <w:sz w:val="16"/>
                <w:szCs w:val="16"/>
              </w:rPr>
              <w:t>Síndrome de liberación de citoquinas, citopenias, efectos neurotóxicos, infecciones y neutropenia febril, encefalopatía, hipogammaglobulinemia, reacciones de hipersensibilidad, alteraciones de electrolitos, alteraciones gastrointestinales</w:t>
            </w:r>
          </w:p>
        </w:tc>
        <w:tc>
          <w:tcPr>
            <w:tcW w:w="698" w:type="pct"/>
            <w:shd w:val="clear" w:color="auto" w:fill="auto"/>
            <w:vAlign w:val="center"/>
          </w:tcPr>
          <w:p w:rsidR="003D2521" w:rsidRPr="00453324" w:rsidRDefault="003D2521" w:rsidP="00853D2B">
            <w:pPr>
              <w:jc w:val="center"/>
              <w:rPr>
                <w:rFonts w:ascii="Arial" w:hAnsi="Arial" w:cs="Arial"/>
                <w:sz w:val="16"/>
                <w:szCs w:val="16"/>
              </w:rPr>
            </w:pPr>
            <w:r w:rsidRPr="00453324">
              <w:rPr>
                <w:rFonts w:ascii="Arial" w:hAnsi="Arial" w:cs="Arial"/>
                <w:sz w:val="16"/>
                <w:szCs w:val="16"/>
              </w:rPr>
              <w:t>Citopenias, infecciones, trastornos cardiacos, trastornos gastrointestinales, trastornos cutáneos, cromaturia y astenia</w:t>
            </w:r>
          </w:p>
        </w:tc>
        <w:tc>
          <w:tcPr>
            <w:tcW w:w="776" w:type="pct"/>
            <w:shd w:val="clear" w:color="auto" w:fill="auto"/>
            <w:vAlign w:val="center"/>
          </w:tcPr>
          <w:p w:rsidR="003D2521" w:rsidRPr="00453324" w:rsidRDefault="003D2521" w:rsidP="00853D2B">
            <w:pPr>
              <w:jc w:val="center"/>
              <w:rPr>
                <w:rFonts w:ascii="Arial" w:hAnsi="Arial" w:cs="Arial"/>
                <w:sz w:val="16"/>
                <w:szCs w:val="16"/>
                <w:u w:val="single"/>
              </w:rPr>
            </w:pPr>
            <w:r w:rsidRPr="00453324">
              <w:rPr>
                <w:rFonts w:ascii="Arial" w:hAnsi="Arial" w:cs="Arial"/>
                <w:sz w:val="16"/>
                <w:szCs w:val="16"/>
                <w:u w:val="single"/>
              </w:rPr>
              <w:t>Rituximab:</w:t>
            </w:r>
          </w:p>
          <w:p w:rsidR="003D2521" w:rsidRPr="00453324" w:rsidRDefault="003D2521" w:rsidP="00853D2B">
            <w:pPr>
              <w:jc w:val="center"/>
              <w:rPr>
                <w:rFonts w:ascii="Arial" w:hAnsi="Arial" w:cs="Arial"/>
                <w:sz w:val="16"/>
                <w:szCs w:val="16"/>
              </w:rPr>
            </w:pPr>
            <w:r w:rsidRPr="00453324">
              <w:rPr>
                <w:rFonts w:ascii="Arial" w:hAnsi="Arial" w:cs="Arial"/>
                <w:sz w:val="16"/>
                <w:szCs w:val="16"/>
              </w:rPr>
              <w:t>Síntomas relacionados con la infusión, cansancio, dolor de cabeza, rash, neutropenia</w:t>
            </w:r>
          </w:p>
          <w:p w:rsidR="003D2521" w:rsidRPr="00453324" w:rsidRDefault="003D2521" w:rsidP="00853D2B">
            <w:pPr>
              <w:jc w:val="center"/>
              <w:rPr>
                <w:rFonts w:ascii="Arial" w:hAnsi="Arial" w:cs="Arial"/>
                <w:sz w:val="16"/>
                <w:szCs w:val="16"/>
                <w:u w:val="single"/>
              </w:rPr>
            </w:pPr>
            <w:r w:rsidRPr="00453324">
              <w:rPr>
                <w:rFonts w:ascii="Arial" w:hAnsi="Arial" w:cs="Arial"/>
                <w:sz w:val="16"/>
                <w:szCs w:val="16"/>
                <w:u w:val="single"/>
              </w:rPr>
              <w:t xml:space="preserve">Gemcitabina: </w:t>
            </w:r>
          </w:p>
          <w:p w:rsidR="003D2521" w:rsidRPr="00453324" w:rsidRDefault="003D2521" w:rsidP="00853D2B">
            <w:pPr>
              <w:jc w:val="center"/>
              <w:rPr>
                <w:rFonts w:ascii="Arial" w:hAnsi="Arial" w:cs="Arial"/>
                <w:sz w:val="16"/>
                <w:szCs w:val="16"/>
              </w:rPr>
            </w:pPr>
            <w:r w:rsidRPr="00453324">
              <w:rPr>
                <w:rFonts w:ascii="Arial" w:hAnsi="Arial" w:cs="Arial"/>
                <w:sz w:val="16"/>
                <w:szCs w:val="16"/>
              </w:rPr>
              <w:t>Alopecia, elevación de enzimas hepáticas, proteinuria, mielosupresión, rash, náuseas, vómitos, diarrea,</w:t>
            </w:r>
          </w:p>
          <w:p w:rsidR="003D2521" w:rsidRPr="00453324" w:rsidRDefault="003D2521" w:rsidP="00853D2B">
            <w:pPr>
              <w:jc w:val="center"/>
              <w:rPr>
                <w:rFonts w:ascii="Arial" w:hAnsi="Arial" w:cs="Arial"/>
                <w:sz w:val="16"/>
                <w:szCs w:val="16"/>
              </w:rPr>
            </w:pPr>
            <w:r w:rsidRPr="00453324">
              <w:rPr>
                <w:rFonts w:ascii="Arial" w:hAnsi="Arial" w:cs="Arial"/>
                <w:sz w:val="16"/>
                <w:szCs w:val="16"/>
              </w:rPr>
              <w:t xml:space="preserve">Edemas, cansancio y síndrome flu-like </w:t>
            </w:r>
          </w:p>
          <w:p w:rsidR="003D2521" w:rsidRPr="00453324" w:rsidRDefault="003D2521" w:rsidP="00853D2B">
            <w:pPr>
              <w:jc w:val="center"/>
              <w:rPr>
                <w:rFonts w:ascii="Arial" w:hAnsi="Arial" w:cs="Arial"/>
                <w:sz w:val="16"/>
                <w:szCs w:val="16"/>
              </w:rPr>
            </w:pPr>
            <w:r w:rsidRPr="00453324">
              <w:rPr>
                <w:rFonts w:ascii="Arial" w:hAnsi="Arial" w:cs="Arial"/>
                <w:sz w:val="16"/>
                <w:szCs w:val="16"/>
                <w:u w:val="single"/>
              </w:rPr>
              <w:t>Oxaliplatino:</w:t>
            </w:r>
            <w:r w:rsidRPr="00453324">
              <w:rPr>
                <w:rFonts w:ascii="Arial" w:hAnsi="Arial" w:cs="Arial"/>
                <w:sz w:val="16"/>
                <w:szCs w:val="16"/>
              </w:rPr>
              <w:t xml:space="preserve"> leucopenia, trombocitopenia, anemia, cansancio, náuseas, vómitos, diarrea, alopecia, neuropatía sensitiva</w:t>
            </w:r>
          </w:p>
        </w:tc>
        <w:tc>
          <w:tcPr>
            <w:tcW w:w="776" w:type="pct"/>
            <w:shd w:val="clear" w:color="auto" w:fill="auto"/>
            <w:vAlign w:val="center"/>
          </w:tcPr>
          <w:p w:rsidR="003470B2" w:rsidRPr="00453324" w:rsidRDefault="003470B2" w:rsidP="003470B2">
            <w:pPr>
              <w:jc w:val="center"/>
              <w:rPr>
                <w:rFonts w:ascii="Arial" w:hAnsi="Arial" w:cs="Arial"/>
                <w:sz w:val="16"/>
                <w:szCs w:val="16"/>
                <w:u w:val="single"/>
              </w:rPr>
            </w:pPr>
            <w:r w:rsidRPr="00453324">
              <w:rPr>
                <w:rFonts w:ascii="Arial" w:hAnsi="Arial" w:cs="Arial"/>
                <w:sz w:val="16"/>
                <w:szCs w:val="16"/>
                <w:u w:val="single"/>
              </w:rPr>
              <w:t>Rituximab:</w:t>
            </w:r>
          </w:p>
          <w:p w:rsidR="003470B2" w:rsidRPr="00453324" w:rsidRDefault="003470B2" w:rsidP="003470B2">
            <w:pPr>
              <w:jc w:val="center"/>
              <w:rPr>
                <w:rFonts w:ascii="Arial" w:hAnsi="Arial" w:cs="Arial"/>
                <w:sz w:val="16"/>
                <w:szCs w:val="16"/>
              </w:rPr>
            </w:pPr>
            <w:r w:rsidRPr="00453324">
              <w:rPr>
                <w:rFonts w:ascii="Arial" w:hAnsi="Arial" w:cs="Arial"/>
                <w:sz w:val="16"/>
                <w:szCs w:val="16"/>
              </w:rPr>
              <w:t>Síntomas relacionados con la infusión, cansancio, dolor de cabeza, rash, neutropenia</w:t>
            </w:r>
          </w:p>
          <w:p w:rsidR="003470B2" w:rsidRPr="00453324" w:rsidRDefault="003470B2" w:rsidP="003470B2">
            <w:pPr>
              <w:jc w:val="center"/>
              <w:rPr>
                <w:rFonts w:ascii="Arial" w:hAnsi="Arial" w:cs="Arial"/>
                <w:sz w:val="16"/>
                <w:szCs w:val="16"/>
                <w:u w:val="single"/>
              </w:rPr>
            </w:pPr>
            <w:r w:rsidRPr="00453324">
              <w:rPr>
                <w:rFonts w:ascii="Arial" w:hAnsi="Arial" w:cs="Arial"/>
                <w:sz w:val="16"/>
                <w:szCs w:val="16"/>
                <w:u w:val="single"/>
              </w:rPr>
              <w:t xml:space="preserve">Gemcitabina: </w:t>
            </w:r>
          </w:p>
          <w:p w:rsidR="003470B2" w:rsidRPr="00453324" w:rsidRDefault="003470B2" w:rsidP="003470B2">
            <w:pPr>
              <w:jc w:val="center"/>
              <w:rPr>
                <w:rFonts w:ascii="Arial" w:hAnsi="Arial" w:cs="Arial"/>
                <w:sz w:val="16"/>
                <w:szCs w:val="16"/>
              </w:rPr>
            </w:pPr>
            <w:r w:rsidRPr="00453324">
              <w:rPr>
                <w:rFonts w:ascii="Arial" w:hAnsi="Arial" w:cs="Arial"/>
                <w:sz w:val="16"/>
                <w:szCs w:val="16"/>
              </w:rPr>
              <w:t>Alopecia, elevación de enzimas hepáticas, proteinuria, mielosupresión, rash, náuseas, vómitos, diarrea,</w:t>
            </w:r>
          </w:p>
          <w:p w:rsidR="003D2521" w:rsidRPr="00453324" w:rsidRDefault="003470B2" w:rsidP="003470B2">
            <w:pPr>
              <w:jc w:val="center"/>
              <w:rPr>
                <w:rFonts w:ascii="Arial" w:hAnsi="Arial" w:cs="Arial"/>
                <w:sz w:val="16"/>
                <w:szCs w:val="16"/>
              </w:rPr>
            </w:pPr>
            <w:r w:rsidRPr="00453324">
              <w:rPr>
                <w:rFonts w:ascii="Arial" w:hAnsi="Arial" w:cs="Arial"/>
                <w:sz w:val="16"/>
                <w:szCs w:val="16"/>
              </w:rPr>
              <w:t>Edemas, cansancio y síndrome flu-like</w:t>
            </w:r>
          </w:p>
          <w:p w:rsidR="003470B2" w:rsidRPr="00453324" w:rsidRDefault="003470B2" w:rsidP="003470B2">
            <w:pPr>
              <w:jc w:val="center"/>
              <w:rPr>
                <w:rFonts w:ascii="Arial" w:hAnsi="Arial" w:cs="Arial"/>
                <w:sz w:val="16"/>
                <w:szCs w:val="16"/>
              </w:rPr>
            </w:pPr>
            <w:r w:rsidRPr="00453324">
              <w:rPr>
                <w:rFonts w:ascii="Arial" w:hAnsi="Arial" w:cs="Arial"/>
                <w:sz w:val="16"/>
                <w:szCs w:val="16"/>
                <w:u w:val="single"/>
              </w:rPr>
              <w:t xml:space="preserve">Cisplatino: </w:t>
            </w:r>
            <w:r w:rsidR="00EE7392" w:rsidRPr="00453324">
              <w:rPr>
                <w:rFonts w:ascii="Arial" w:hAnsi="Arial" w:cs="Arial"/>
                <w:sz w:val="16"/>
                <w:szCs w:val="16"/>
              </w:rPr>
              <w:t>nefrotoxicidad, náuseas, vómitos, ototoxicidad, neuropatía periférica, toxicidad hematológica</w:t>
            </w:r>
          </w:p>
        </w:tc>
      </w:tr>
      <w:tr w:rsidR="00EE7392" w:rsidRPr="006F6ABB" w:rsidTr="00453324">
        <w:trPr>
          <w:jc w:val="center"/>
        </w:trPr>
        <w:tc>
          <w:tcPr>
            <w:tcW w:w="628" w:type="pct"/>
            <w:shd w:val="clear" w:color="auto" w:fill="auto"/>
            <w:vAlign w:val="center"/>
          </w:tcPr>
          <w:p w:rsidR="00EE7392" w:rsidRPr="00453324" w:rsidDel="00C50164" w:rsidRDefault="00EE7392" w:rsidP="00D851E3">
            <w:pPr>
              <w:jc w:val="center"/>
              <w:rPr>
                <w:rFonts w:ascii="Arial" w:hAnsi="Arial" w:cs="Arial"/>
                <w:sz w:val="16"/>
                <w:szCs w:val="16"/>
                <w:lang w:val="es-ES_tradnl"/>
              </w:rPr>
            </w:pPr>
            <w:r w:rsidRPr="00453324">
              <w:rPr>
                <w:rFonts w:ascii="Arial" w:hAnsi="Arial" w:cs="Arial"/>
                <w:sz w:val="16"/>
                <w:szCs w:val="16"/>
                <w:lang w:val="es-ES_tradnl"/>
              </w:rPr>
              <w:t>Utilización de recursos</w:t>
            </w:r>
          </w:p>
        </w:tc>
        <w:tc>
          <w:tcPr>
            <w:tcW w:w="2122" w:type="pct"/>
            <w:gridSpan w:val="2"/>
            <w:shd w:val="clear" w:color="auto" w:fill="auto"/>
            <w:vAlign w:val="center"/>
          </w:tcPr>
          <w:p w:rsidR="00EE7392" w:rsidRPr="00453324" w:rsidRDefault="00EE7392" w:rsidP="00D851E3">
            <w:pPr>
              <w:jc w:val="center"/>
              <w:rPr>
                <w:rFonts w:ascii="Arial" w:hAnsi="Arial" w:cs="Arial"/>
                <w:sz w:val="16"/>
                <w:szCs w:val="16"/>
              </w:rPr>
            </w:pPr>
            <w:r w:rsidRPr="00453324">
              <w:rPr>
                <w:rFonts w:ascii="Arial" w:hAnsi="Arial" w:cs="Arial"/>
                <w:sz w:val="16"/>
                <w:szCs w:val="16"/>
              </w:rPr>
              <w:t xml:space="preserve">Linfodepleción + procesado de la muestra+ </w:t>
            </w:r>
          </w:p>
          <w:p w:rsidR="00EE7392" w:rsidRPr="00453324" w:rsidRDefault="00EE7392" w:rsidP="00D851E3">
            <w:pPr>
              <w:jc w:val="center"/>
              <w:rPr>
                <w:rFonts w:ascii="Arial" w:hAnsi="Arial" w:cs="Arial"/>
                <w:sz w:val="16"/>
                <w:szCs w:val="16"/>
              </w:rPr>
            </w:pPr>
            <w:r w:rsidRPr="00453324">
              <w:rPr>
                <w:rFonts w:ascii="Arial" w:hAnsi="Arial" w:cs="Arial"/>
                <w:sz w:val="16"/>
                <w:szCs w:val="16"/>
              </w:rPr>
              <w:t>Administración hospitalaria</w:t>
            </w:r>
          </w:p>
        </w:tc>
        <w:tc>
          <w:tcPr>
            <w:tcW w:w="2250" w:type="pct"/>
            <w:gridSpan w:val="3"/>
            <w:shd w:val="clear" w:color="auto" w:fill="auto"/>
            <w:vAlign w:val="center"/>
          </w:tcPr>
          <w:p w:rsidR="00EE7392" w:rsidRPr="00453324" w:rsidRDefault="00EE7392" w:rsidP="00EA4DDC">
            <w:pPr>
              <w:jc w:val="center"/>
              <w:rPr>
                <w:rFonts w:ascii="Arial" w:hAnsi="Arial" w:cs="Arial"/>
                <w:sz w:val="16"/>
                <w:szCs w:val="16"/>
              </w:rPr>
            </w:pPr>
            <w:r w:rsidRPr="00453324">
              <w:rPr>
                <w:rFonts w:ascii="Arial" w:hAnsi="Arial" w:cs="Arial"/>
                <w:sz w:val="16"/>
                <w:szCs w:val="16"/>
              </w:rPr>
              <w:t>Administración en Hospital de día</w:t>
            </w:r>
          </w:p>
        </w:tc>
      </w:tr>
    </w:tbl>
    <w:p w:rsidR="007D48BC" w:rsidRDefault="007D48BC" w:rsidP="00BC3E8E">
      <w:pPr>
        <w:rPr>
          <w:rFonts w:ascii="Arial" w:hAnsi="Arial" w:cs="Arial"/>
          <w:sz w:val="16"/>
          <w:szCs w:val="16"/>
        </w:rPr>
      </w:pPr>
    </w:p>
    <w:p w:rsidR="007D48BC" w:rsidRDefault="007D48BC" w:rsidP="00BC3E8E">
      <w:pPr>
        <w:rPr>
          <w:rFonts w:ascii="Arial" w:hAnsi="Arial" w:cs="Arial"/>
          <w:sz w:val="16"/>
          <w:szCs w:val="16"/>
        </w:rPr>
      </w:pPr>
    </w:p>
    <w:p w:rsidR="007D48BC" w:rsidRPr="006F6ABB" w:rsidRDefault="007D48BC" w:rsidP="00BC3E8E">
      <w:pPr>
        <w:rPr>
          <w:rFonts w:ascii="Arial" w:hAnsi="Arial" w:cs="Arial"/>
          <w:sz w:val="16"/>
          <w:szCs w:val="16"/>
        </w:rPr>
      </w:pPr>
    </w:p>
    <w:tbl>
      <w:tblPr>
        <w:tblW w:w="8890" w:type="dxa"/>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8890"/>
      </w:tblGrid>
      <w:tr w:rsidR="007D48BC" w:rsidRPr="00DA38F3">
        <w:trPr>
          <w:trHeight w:val="90"/>
        </w:trPr>
        <w:tc>
          <w:tcPr>
            <w:tcW w:w="8890" w:type="dxa"/>
            <w:shd w:val="clear" w:color="auto" w:fill="B3B3B3"/>
          </w:tcPr>
          <w:p w:rsidR="007D48BC" w:rsidRPr="00B746E8" w:rsidRDefault="007D48BC" w:rsidP="00BC3E8E">
            <w:pPr>
              <w:pStyle w:val="Ttulo1"/>
              <w:shd w:val="clear" w:color="auto" w:fill="A6A6A6"/>
              <w:rPr>
                <w:rFonts w:ascii="Arial" w:hAnsi="Arial" w:cs="Arial"/>
                <w:kern w:val="0"/>
                <w:sz w:val="20"/>
                <w:szCs w:val="20"/>
              </w:rPr>
            </w:pPr>
            <w:bookmarkStart w:id="25" w:name="_Toc344399626"/>
            <w:bookmarkStart w:id="26" w:name="_Toc348931353"/>
            <w:r w:rsidRPr="00B746E8">
              <w:rPr>
                <w:rFonts w:ascii="Arial" w:hAnsi="Arial" w:cs="Arial"/>
                <w:kern w:val="0"/>
                <w:sz w:val="20"/>
                <w:szCs w:val="20"/>
              </w:rPr>
              <w:t>4.- AREA DE ACCIÓN FARMACOLÓGICA.</w:t>
            </w:r>
            <w:bookmarkEnd w:id="25"/>
            <w:bookmarkEnd w:id="26"/>
            <w:r w:rsidR="00FE59AC">
              <w:rPr>
                <w:rFonts w:ascii="Arial" w:hAnsi="Arial" w:cs="Arial"/>
                <w:kern w:val="0"/>
                <w:sz w:val="20"/>
                <w:szCs w:val="20"/>
              </w:rPr>
              <w:fldChar w:fldCharType="begin"/>
            </w:r>
            <w:r>
              <w:instrText>xe "</w:instrText>
            </w:r>
            <w:r w:rsidRPr="00F642E0">
              <w:rPr>
                <w:rFonts w:ascii="Arial" w:hAnsi="Arial" w:cs="Arial"/>
                <w:kern w:val="0"/>
                <w:sz w:val="20"/>
                <w:szCs w:val="20"/>
              </w:rPr>
              <w:instrText>4.- AREA DE ACCIÓN FARMACOLÓGICA.</w:instrText>
            </w:r>
            <w:r>
              <w:instrText>"</w:instrText>
            </w:r>
            <w:r w:rsidR="00FE59AC">
              <w:rPr>
                <w:rFonts w:ascii="Arial" w:hAnsi="Arial" w:cs="Arial"/>
                <w:kern w:val="0"/>
                <w:sz w:val="20"/>
                <w:szCs w:val="20"/>
              </w:rPr>
              <w:fldChar w:fldCharType="end"/>
            </w:r>
          </w:p>
        </w:tc>
      </w:tr>
    </w:tbl>
    <w:p w:rsidR="007D48BC" w:rsidRPr="006F6ABB" w:rsidRDefault="007D48BC" w:rsidP="00BC3E8E">
      <w:pPr>
        <w:jc w:val="right"/>
        <w:rPr>
          <w:rFonts w:ascii="Arial" w:hAnsi="Arial" w:cs="Arial"/>
          <w:b/>
          <w:bCs/>
        </w:rPr>
      </w:pPr>
    </w:p>
    <w:p w:rsidR="007D48BC" w:rsidRPr="00E3472F" w:rsidRDefault="007D48BC" w:rsidP="00BC3E8E">
      <w:pPr>
        <w:pStyle w:val="Ttulo2"/>
        <w:pBdr>
          <w:top w:val="single" w:sz="4" w:space="1" w:color="auto"/>
          <w:left w:val="single" w:sz="4" w:space="4" w:color="auto"/>
          <w:bottom w:val="single" w:sz="4" w:space="1" w:color="auto"/>
          <w:right w:val="single" w:sz="4" w:space="4" w:color="auto"/>
        </w:pBdr>
        <w:shd w:val="clear" w:color="auto" w:fill="D9D9D9"/>
        <w:rPr>
          <w:sz w:val="20"/>
          <w:szCs w:val="20"/>
        </w:rPr>
      </w:pPr>
      <w:bookmarkStart w:id="27" w:name="_Toc344399627"/>
      <w:bookmarkStart w:id="28" w:name="_Toc348931354"/>
      <w:r w:rsidRPr="00E3472F">
        <w:rPr>
          <w:sz w:val="20"/>
          <w:szCs w:val="20"/>
        </w:rPr>
        <w:t>4.1 Mecanismo de acción.</w:t>
      </w:r>
      <w:bookmarkEnd w:id="27"/>
      <w:bookmarkEnd w:id="28"/>
      <w:r w:rsidR="00FE59AC">
        <w:rPr>
          <w:sz w:val="20"/>
          <w:szCs w:val="20"/>
        </w:rPr>
        <w:fldChar w:fldCharType="begin"/>
      </w:r>
      <w:r>
        <w:instrText>xe "</w:instrText>
      </w:r>
      <w:r w:rsidRPr="00ED1A6B">
        <w:rPr>
          <w:sz w:val="20"/>
          <w:szCs w:val="20"/>
        </w:rPr>
        <w:instrText>4.1 Mecanismo de acción.</w:instrText>
      </w:r>
      <w:r>
        <w:instrText>"</w:instrText>
      </w:r>
      <w:r w:rsidR="00FE59AC">
        <w:rPr>
          <w:sz w:val="20"/>
          <w:szCs w:val="20"/>
        </w:rPr>
        <w:fldChar w:fldCharType="end"/>
      </w:r>
      <w:r w:rsidRPr="00E3472F">
        <w:rPr>
          <w:sz w:val="20"/>
          <w:szCs w:val="20"/>
        </w:rPr>
        <w:t xml:space="preserve"> </w:t>
      </w:r>
    </w:p>
    <w:p w:rsidR="007D48BC" w:rsidRDefault="007D48BC" w:rsidP="00BC3E8E">
      <w:pPr>
        <w:jc w:val="both"/>
        <w:rPr>
          <w:rFonts w:ascii="Arial" w:hAnsi="Arial" w:cs="Arial"/>
          <w:b/>
          <w:bCs/>
        </w:rPr>
      </w:pPr>
    </w:p>
    <w:p w:rsidR="007D48BC" w:rsidRPr="00CF596B" w:rsidRDefault="007D48BC" w:rsidP="00CF596B">
      <w:pPr>
        <w:spacing w:line="360" w:lineRule="auto"/>
        <w:jc w:val="both"/>
        <w:rPr>
          <w:rFonts w:ascii="Arial" w:hAnsi="Arial" w:cs="Arial"/>
        </w:rPr>
      </w:pPr>
      <w:r w:rsidRPr="00CF596B">
        <w:rPr>
          <w:rFonts w:ascii="Arial" w:hAnsi="Arial" w:cs="Arial"/>
        </w:rPr>
        <w:t xml:space="preserve">Axicabtagen ciloleucel es una inmunoterapia de células T autólogas modificadas genéticamente, se une a las células cancerosas y células B normales que expresan CD19. Una vez las células CAR </w:t>
      </w:r>
      <w:r w:rsidR="00480033">
        <w:rPr>
          <w:rFonts w:ascii="Arial" w:hAnsi="Arial" w:cs="Arial"/>
        </w:rPr>
        <w:t xml:space="preserve">T </w:t>
      </w:r>
      <w:r w:rsidRPr="00CF596B">
        <w:rPr>
          <w:rFonts w:ascii="Arial" w:hAnsi="Arial" w:cs="Arial"/>
        </w:rPr>
        <w:t>anti-CD19 se unen a las células diana que expresan CD19, los dominios coestimuladores CD28 y CD3-zeta activan cascadas de señalización, que dan lugar a la activación, proliferación, adquisición de funciones efectoras y secreción de citoquinas y quimioquinas inflamatorias de las células T. Esta secuencia de acontecimientos provoca la apoptosis y necrosis de las células diana que expresan CD19.</w:t>
      </w:r>
    </w:p>
    <w:p w:rsidR="007D48BC" w:rsidRPr="00CF596B" w:rsidRDefault="007D48BC" w:rsidP="00BC3E8E">
      <w:pPr>
        <w:jc w:val="both"/>
        <w:rPr>
          <w:rFonts w:ascii="Arial" w:hAnsi="Arial" w:cs="Arial"/>
        </w:rPr>
      </w:pPr>
    </w:p>
    <w:p w:rsidR="007D48BC" w:rsidRPr="00E3472F" w:rsidRDefault="007D48BC" w:rsidP="00BC3E8E">
      <w:pPr>
        <w:pStyle w:val="Ttulo2"/>
        <w:pBdr>
          <w:top w:val="single" w:sz="4" w:space="1" w:color="auto"/>
          <w:left w:val="single" w:sz="4" w:space="4" w:color="auto"/>
          <w:bottom w:val="single" w:sz="4" w:space="1" w:color="auto"/>
          <w:right w:val="single" w:sz="4" w:space="4" w:color="auto"/>
        </w:pBdr>
        <w:shd w:val="clear" w:color="auto" w:fill="D9D9D9"/>
        <w:rPr>
          <w:sz w:val="20"/>
          <w:szCs w:val="20"/>
        </w:rPr>
      </w:pPr>
      <w:bookmarkStart w:id="29" w:name="_Toc344399628"/>
      <w:bookmarkStart w:id="30" w:name="_Toc348931355"/>
      <w:r w:rsidRPr="00E3472F">
        <w:rPr>
          <w:sz w:val="20"/>
          <w:szCs w:val="20"/>
        </w:rPr>
        <w:t>4.2 Indicaciones clínicas formalmente aprobadas y fecha de aprobación.</w:t>
      </w:r>
      <w:bookmarkEnd w:id="29"/>
      <w:bookmarkEnd w:id="30"/>
      <w:r w:rsidR="00FE59AC">
        <w:rPr>
          <w:sz w:val="20"/>
          <w:szCs w:val="20"/>
        </w:rPr>
        <w:fldChar w:fldCharType="begin"/>
      </w:r>
      <w:r>
        <w:instrText>xe "</w:instrText>
      </w:r>
      <w:r w:rsidRPr="00F27685">
        <w:rPr>
          <w:sz w:val="20"/>
          <w:szCs w:val="20"/>
        </w:rPr>
        <w:instrText>4.2 Indicaciones clínicas formalmente aprobadas y fecha de aprobación.</w:instrText>
      </w:r>
      <w:r>
        <w:instrText>"</w:instrText>
      </w:r>
      <w:r w:rsidR="00FE59AC">
        <w:rPr>
          <w:sz w:val="20"/>
          <w:szCs w:val="20"/>
        </w:rPr>
        <w:fldChar w:fldCharType="end"/>
      </w:r>
    </w:p>
    <w:p w:rsidR="007D48BC" w:rsidRPr="006F6ABB" w:rsidRDefault="007D48BC" w:rsidP="00BC3E8E">
      <w:pPr>
        <w:jc w:val="both"/>
        <w:rPr>
          <w:rFonts w:ascii="Arial" w:hAnsi="Arial" w:cs="Arial"/>
          <w:b/>
          <w:bCs/>
        </w:rPr>
      </w:pPr>
    </w:p>
    <w:p w:rsidR="007D48BC" w:rsidRPr="006F6ABB" w:rsidRDefault="007D48BC" w:rsidP="00F250C8">
      <w:pPr>
        <w:shd w:val="clear" w:color="auto" w:fill="FFFFFF"/>
        <w:spacing w:line="360" w:lineRule="auto"/>
        <w:jc w:val="both"/>
        <w:rPr>
          <w:rFonts w:ascii="Arial" w:hAnsi="Arial" w:cs="Arial"/>
        </w:rPr>
      </w:pPr>
      <w:r>
        <w:rPr>
          <w:rFonts w:ascii="Arial" w:hAnsi="Arial" w:cs="Arial"/>
        </w:rPr>
        <w:t>AEMPS:</w:t>
      </w:r>
      <w:r w:rsidRPr="00CF596B">
        <w:rPr>
          <w:rFonts w:ascii="Arial" w:hAnsi="Arial" w:cs="Arial"/>
        </w:rPr>
        <w:t xml:space="preserve"> tratamiento de pacientes adultos con linfoma B difuso de células grandes (</w:t>
      </w:r>
      <w:r w:rsidR="008258E3">
        <w:rPr>
          <w:rFonts w:ascii="Arial" w:hAnsi="Arial" w:cs="Arial"/>
        </w:rPr>
        <w:t>LDCBG</w:t>
      </w:r>
      <w:r w:rsidRPr="00CF596B">
        <w:rPr>
          <w:rFonts w:ascii="Arial" w:hAnsi="Arial" w:cs="Arial"/>
        </w:rPr>
        <w:t xml:space="preserve">) refractario o en recaída y linfoma B primario </w:t>
      </w:r>
      <w:r>
        <w:rPr>
          <w:rFonts w:ascii="Arial" w:hAnsi="Arial" w:cs="Arial"/>
        </w:rPr>
        <w:t>mediastínico de células grandes</w:t>
      </w:r>
      <w:r w:rsidRPr="00CF596B">
        <w:rPr>
          <w:rFonts w:ascii="Arial" w:hAnsi="Arial" w:cs="Arial"/>
        </w:rPr>
        <w:t>, después de dos o más líneas de tratamiento sistémico.</w:t>
      </w:r>
      <w:r>
        <w:rPr>
          <w:rFonts w:ascii="Arial" w:hAnsi="Arial" w:cs="Arial"/>
        </w:rPr>
        <w:t xml:space="preserve"> </w:t>
      </w:r>
      <w:r w:rsidRPr="006F6ABB">
        <w:rPr>
          <w:rFonts w:ascii="Arial" w:hAnsi="Arial" w:cs="Arial"/>
        </w:rPr>
        <w:t>[</w:t>
      </w:r>
      <w:r>
        <w:rPr>
          <w:rFonts w:ascii="Arial" w:hAnsi="Arial" w:cs="Arial"/>
        </w:rPr>
        <w:t>06/09/2018</w:t>
      </w:r>
      <w:r w:rsidRPr="006F6ABB">
        <w:rPr>
          <w:rFonts w:ascii="Arial" w:hAnsi="Arial" w:cs="Arial"/>
        </w:rPr>
        <w:t>]</w:t>
      </w:r>
    </w:p>
    <w:p w:rsidR="007D48BC" w:rsidRPr="006F6ABB" w:rsidRDefault="007D48BC" w:rsidP="00F250C8">
      <w:pPr>
        <w:shd w:val="clear" w:color="auto" w:fill="FFFFFF"/>
        <w:spacing w:line="360" w:lineRule="auto"/>
        <w:jc w:val="both"/>
        <w:rPr>
          <w:rFonts w:ascii="Arial" w:hAnsi="Arial" w:cs="Arial"/>
        </w:rPr>
      </w:pPr>
      <w:r w:rsidRPr="006F6ABB">
        <w:rPr>
          <w:rFonts w:ascii="Arial" w:hAnsi="Arial" w:cs="Arial"/>
        </w:rPr>
        <w:t>EMA:</w:t>
      </w:r>
      <w:r w:rsidRPr="006F6ABB">
        <w:rPr>
          <w:rFonts w:ascii="Arial" w:hAnsi="Arial" w:cs="Arial"/>
        </w:rPr>
        <w:tab/>
      </w:r>
      <w:r w:rsidRPr="00CF596B">
        <w:rPr>
          <w:rFonts w:ascii="Arial" w:hAnsi="Arial" w:cs="Arial"/>
        </w:rPr>
        <w:t>tratamiento de pacientes adultos con linfoma B difuso de células grandes (</w:t>
      </w:r>
      <w:r w:rsidR="008258E3">
        <w:rPr>
          <w:rFonts w:ascii="Arial" w:hAnsi="Arial" w:cs="Arial"/>
        </w:rPr>
        <w:t>LDCBG</w:t>
      </w:r>
      <w:r w:rsidRPr="00CF596B">
        <w:rPr>
          <w:rFonts w:ascii="Arial" w:hAnsi="Arial" w:cs="Arial"/>
        </w:rPr>
        <w:t xml:space="preserve">) refractario o en recaída y linfoma B primario </w:t>
      </w:r>
      <w:r>
        <w:rPr>
          <w:rFonts w:ascii="Arial" w:hAnsi="Arial" w:cs="Arial"/>
        </w:rPr>
        <w:t>mediastínico de células grandes</w:t>
      </w:r>
      <w:r w:rsidRPr="00CF596B">
        <w:rPr>
          <w:rFonts w:ascii="Arial" w:hAnsi="Arial" w:cs="Arial"/>
        </w:rPr>
        <w:t>, después de dos o más líneas de tratamiento sistémico</w:t>
      </w:r>
      <w:r>
        <w:rPr>
          <w:rFonts w:ascii="Arial" w:hAnsi="Arial" w:cs="Arial"/>
        </w:rPr>
        <w:t xml:space="preserve">. </w:t>
      </w:r>
      <w:r w:rsidRPr="006F6ABB">
        <w:rPr>
          <w:rFonts w:ascii="Arial" w:hAnsi="Arial" w:cs="Arial"/>
        </w:rPr>
        <w:t>[</w:t>
      </w:r>
      <w:r>
        <w:rPr>
          <w:rFonts w:ascii="Arial" w:hAnsi="Arial" w:cs="Arial"/>
        </w:rPr>
        <w:t>23/08/2018</w:t>
      </w:r>
      <w:r w:rsidRPr="006F6ABB">
        <w:rPr>
          <w:rFonts w:ascii="Arial" w:hAnsi="Arial" w:cs="Arial"/>
        </w:rPr>
        <w:t xml:space="preserve">]          </w:t>
      </w:r>
    </w:p>
    <w:p w:rsidR="007D48BC" w:rsidRPr="00881F72" w:rsidRDefault="007D48BC" w:rsidP="00F250C8">
      <w:pPr>
        <w:shd w:val="clear" w:color="auto" w:fill="FFFFFF"/>
        <w:spacing w:line="360" w:lineRule="auto"/>
        <w:jc w:val="both"/>
        <w:rPr>
          <w:rFonts w:ascii="Arial" w:hAnsi="Arial" w:cs="Arial"/>
        </w:rPr>
      </w:pPr>
      <w:r w:rsidRPr="006F6ABB">
        <w:rPr>
          <w:rFonts w:ascii="Arial" w:hAnsi="Arial" w:cs="Arial"/>
        </w:rPr>
        <w:t>FDA:</w:t>
      </w:r>
      <w:r>
        <w:rPr>
          <w:rFonts w:ascii="Arial" w:hAnsi="Arial" w:cs="Arial"/>
        </w:rPr>
        <w:t xml:space="preserve"> </w:t>
      </w:r>
      <w:r w:rsidRPr="00CF596B">
        <w:rPr>
          <w:rFonts w:ascii="Arial" w:hAnsi="Arial" w:cs="Arial"/>
        </w:rPr>
        <w:t>tratamiento de pacientes adultos con linfoma B refractario o en recaída</w:t>
      </w:r>
      <w:r>
        <w:rPr>
          <w:rFonts w:ascii="Arial" w:hAnsi="Arial" w:cs="Arial"/>
        </w:rPr>
        <w:t xml:space="preserve"> </w:t>
      </w:r>
      <w:r w:rsidRPr="00CF596B">
        <w:rPr>
          <w:rFonts w:ascii="Arial" w:hAnsi="Arial" w:cs="Arial"/>
        </w:rPr>
        <w:t>después de dos o más líneas de tratamiento sistémico</w:t>
      </w:r>
      <w:r>
        <w:rPr>
          <w:rFonts w:ascii="Arial" w:hAnsi="Arial" w:cs="Arial"/>
        </w:rPr>
        <w:t xml:space="preserve"> incluido linfoma B difuso de células grandes,</w:t>
      </w:r>
      <w:r w:rsidRPr="00CF596B">
        <w:rPr>
          <w:rFonts w:ascii="Arial" w:hAnsi="Arial" w:cs="Arial"/>
        </w:rPr>
        <w:t xml:space="preserve"> linfoma B primario </w:t>
      </w:r>
      <w:r>
        <w:rPr>
          <w:rFonts w:ascii="Arial" w:hAnsi="Arial" w:cs="Arial"/>
        </w:rPr>
        <w:t xml:space="preserve">mediastínico de células grandes y linfoma B difuso de células grandes </w:t>
      </w:r>
      <w:r w:rsidRPr="009D117E">
        <w:rPr>
          <w:rFonts w:ascii="Arial" w:hAnsi="Arial" w:cs="Arial"/>
        </w:rPr>
        <w:t>derivado de linfoma folicular</w:t>
      </w:r>
      <w:r>
        <w:rPr>
          <w:rFonts w:ascii="Arial" w:hAnsi="Arial" w:cs="Arial"/>
        </w:rPr>
        <w:t xml:space="preserve"> </w:t>
      </w:r>
      <w:r w:rsidRPr="006F6ABB">
        <w:rPr>
          <w:rFonts w:ascii="Arial" w:hAnsi="Arial" w:cs="Arial"/>
        </w:rPr>
        <w:t>[</w:t>
      </w:r>
      <w:r>
        <w:rPr>
          <w:rFonts w:ascii="Arial" w:hAnsi="Arial" w:cs="Arial"/>
        </w:rPr>
        <w:t>18/10/2017</w:t>
      </w:r>
      <w:r w:rsidRPr="006F6ABB">
        <w:rPr>
          <w:rFonts w:ascii="Arial" w:hAnsi="Arial" w:cs="Arial"/>
        </w:rPr>
        <w:t>]</w:t>
      </w:r>
    </w:p>
    <w:p w:rsidR="007D48BC" w:rsidRDefault="007D48BC" w:rsidP="00BC3E8E">
      <w:pPr>
        <w:shd w:val="clear" w:color="auto" w:fill="FFFFFF"/>
        <w:jc w:val="both"/>
        <w:rPr>
          <w:rFonts w:ascii="Arial" w:hAnsi="Arial" w:cs="Arial"/>
          <w:color w:val="000080"/>
        </w:rPr>
      </w:pPr>
    </w:p>
    <w:p w:rsidR="007D48BC" w:rsidRPr="00E3472F" w:rsidRDefault="007D48BC" w:rsidP="00BC3E8E">
      <w:pPr>
        <w:pStyle w:val="Ttulo2"/>
        <w:pBdr>
          <w:top w:val="single" w:sz="4" w:space="1" w:color="auto"/>
          <w:left w:val="single" w:sz="4" w:space="4" w:color="auto"/>
          <w:bottom w:val="single" w:sz="4" w:space="1" w:color="auto"/>
          <w:right w:val="single" w:sz="4" w:space="4" w:color="auto"/>
        </w:pBdr>
        <w:shd w:val="clear" w:color="auto" w:fill="D9D9D9"/>
        <w:rPr>
          <w:sz w:val="20"/>
          <w:szCs w:val="20"/>
        </w:rPr>
      </w:pPr>
      <w:bookmarkStart w:id="31" w:name="_Toc344399629"/>
      <w:bookmarkStart w:id="32" w:name="_Toc348931356"/>
      <w:r w:rsidRPr="00E3472F">
        <w:rPr>
          <w:sz w:val="20"/>
          <w:szCs w:val="20"/>
        </w:rPr>
        <w:t>4.3 Posología, forma de preparación y administración.</w:t>
      </w:r>
      <w:bookmarkEnd w:id="31"/>
      <w:bookmarkEnd w:id="32"/>
      <w:r w:rsidR="00FE59AC">
        <w:rPr>
          <w:sz w:val="20"/>
          <w:szCs w:val="20"/>
        </w:rPr>
        <w:fldChar w:fldCharType="begin"/>
      </w:r>
      <w:r>
        <w:instrText>xe "</w:instrText>
      </w:r>
      <w:r w:rsidRPr="001E2B86">
        <w:rPr>
          <w:sz w:val="20"/>
          <w:szCs w:val="20"/>
        </w:rPr>
        <w:instrText>4.3 Posología, forma de preparación y administración.</w:instrText>
      </w:r>
      <w:r>
        <w:instrText>"</w:instrText>
      </w:r>
      <w:r w:rsidR="00FE59AC">
        <w:rPr>
          <w:sz w:val="20"/>
          <w:szCs w:val="20"/>
        </w:rPr>
        <w:fldChar w:fldCharType="end"/>
      </w:r>
      <w:r w:rsidRPr="00E3472F">
        <w:rPr>
          <w:sz w:val="20"/>
          <w:szCs w:val="20"/>
        </w:rPr>
        <w:t xml:space="preserve"> </w:t>
      </w:r>
    </w:p>
    <w:p w:rsidR="007D48BC" w:rsidRPr="006F6ABB" w:rsidRDefault="007D48BC" w:rsidP="00BC3E8E">
      <w:pPr>
        <w:jc w:val="both"/>
        <w:rPr>
          <w:rFonts w:ascii="Arial" w:hAnsi="Arial" w:cs="Arial"/>
          <w:b/>
          <w:bCs/>
        </w:rPr>
      </w:pPr>
    </w:p>
    <w:p w:rsidR="007D48BC" w:rsidRDefault="007D48BC" w:rsidP="00F7460F">
      <w:pPr>
        <w:spacing w:line="360" w:lineRule="auto"/>
        <w:jc w:val="both"/>
        <w:rPr>
          <w:rFonts w:ascii="Arial" w:hAnsi="Arial" w:cs="Arial"/>
        </w:rPr>
      </w:pPr>
      <w:r w:rsidRPr="00F7460F">
        <w:rPr>
          <w:rFonts w:ascii="Arial" w:hAnsi="Arial" w:cs="Arial"/>
        </w:rPr>
        <w:t>A</w:t>
      </w:r>
      <w:r>
        <w:rPr>
          <w:rFonts w:ascii="Arial" w:hAnsi="Arial" w:cs="Arial"/>
        </w:rPr>
        <w:t>xicabtagen ciloleucel</w:t>
      </w:r>
      <w:r w:rsidRPr="00F7460F">
        <w:rPr>
          <w:rFonts w:ascii="Arial" w:hAnsi="Arial" w:cs="Arial"/>
        </w:rPr>
        <w:t xml:space="preserve"> está destinado sólo pa</w:t>
      </w:r>
      <w:r>
        <w:rPr>
          <w:rFonts w:ascii="Arial" w:hAnsi="Arial" w:cs="Arial"/>
        </w:rPr>
        <w:t xml:space="preserve">ra uso autólogo. Una dosis única </w:t>
      </w:r>
      <w:r w:rsidRPr="00F7460F">
        <w:rPr>
          <w:rFonts w:ascii="Arial" w:hAnsi="Arial" w:cs="Arial"/>
        </w:rPr>
        <w:t>contiene 2 x 10</w:t>
      </w:r>
      <w:r w:rsidRPr="00F7460F">
        <w:rPr>
          <w:rFonts w:ascii="Arial" w:hAnsi="Arial" w:cs="Arial"/>
          <w:vertAlign w:val="superscript"/>
        </w:rPr>
        <w:t xml:space="preserve">6 </w:t>
      </w:r>
      <w:r w:rsidRPr="00F7460F">
        <w:rPr>
          <w:rFonts w:ascii="Arial" w:hAnsi="Arial" w:cs="Arial"/>
        </w:rPr>
        <w:t>células CAR</w:t>
      </w:r>
      <w:r w:rsidR="00480033">
        <w:rPr>
          <w:rFonts w:ascii="Arial" w:hAnsi="Arial" w:cs="Arial"/>
        </w:rPr>
        <w:t xml:space="preserve"> T</w:t>
      </w:r>
      <w:r w:rsidRPr="00F7460F">
        <w:rPr>
          <w:rFonts w:ascii="Arial" w:hAnsi="Arial" w:cs="Arial"/>
        </w:rPr>
        <w:t xml:space="preserve"> positivas viables por kg de peso corporal (o un máximo de 2 x 10</w:t>
      </w:r>
      <w:r w:rsidRPr="00F7460F">
        <w:rPr>
          <w:rFonts w:ascii="Arial" w:hAnsi="Arial" w:cs="Arial"/>
          <w:vertAlign w:val="superscript"/>
        </w:rPr>
        <w:t>8</w:t>
      </w:r>
      <w:r w:rsidRPr="00F7460F">
        <w:rPr>
          <w:rFonts w:ascii="Arial" w:hAnsi="Arial" w:cs="Arial"/>
        </w:rPr>
        <w:t xml:space="preserve"> células CAR </w:t>
      </w:r>
      <w:r w:rsidR="00480033">
        <w:rPr>
          <w:rFonts w:ascii="Arial" w:hAnsi="Arial" w:cs="Arial"/>
        </w:rPr>
        <w:t xml:space="preserve">T </w:t>
      </w:r>
      <w:r w:rsidRPr="00F7460F">
        <w:rPr>
          <w:rFonts w:ascii="Arial" w:hAnsi="Arial" w:cs="Arial"/>
        </w:rPr>
        <w:t xml:space="preserve">positivas viables para pacientes que pesen 100 kg o más) en aproximadamente 68 ml de dispersión en una bolsa para perfusión. Se debe confirmar la disponibilidad de </w:t>
      </w:r>
      <w:r>
        <w:rPr>
          <w:rFonts w:ascii="Arial" w:hAnsi="Arial" w:cs="Arial"/>
        </w:rPr>
        <w:t>axicabtagen ciloleucel</w:t>
      </w:r>
      <w:r w:rsidRPr="00F7460F">
        <w:rPr>
          <w:rFonts w:ascii="Arial" w:hAnsi="Arial" w:cs="Arial"/>
        </w:rPr>
        <w:t xml:space="preserve"> antes de comenzar el tratamiento de linfodepleción</w:t>
      </w:r>
      <w:r w:rsidRPr="00EB7D57">
        <w:rPr>
          <w:rFonts w:ascii="Arial" w:hAnsi="Arial" w:cs="Arial"/>
          <w:vertAlign w:val="superscript"/>
        </w:rPr>
        <w:t>8</w:t>
      </w:r>
      <w:r w:rsidRPr="00F7460F">
        <w:rPr>
          <w:rFonts w:ascii="Arial" w:hAnsi="Arial" w:cs="Arial"/>
        </w:rPr>
        <w:t xml:space="preserve">. </w:t>
      </w:r>
    </w:p>
    <w:p w:rsidR="007D48BC" w:rsidRDefault="007D48BC" w:rsidP="00F7460F">
      <w:pPr>
        <w:spacing w:line="360" w:lineRule="auto"/>
        <w:jc w:val="both"/>
        <w:rPr>
          <w:rFonts w:ascii="Arial" w:hAnsi="Arial" w:cs="Arial"/>
        </w:rPr>
      </w:pPr>
      <w:r w:rsidRPr="00F7460F">
        <w:rPr>
          <w:rFonts w:ascii="Arial" w:hAnsi="Arial" w:cs="Arial"/>
        </w:rPr>
        <w:t>Tratamiento previo (quimioterapia de linfodepleción)</w:t>
      </w:r>
    </w:p>
    <w:p w:rsidR="007D48BC" w:rsidRDefault="007D48BC" w:rsidP="00F7460F">
      <w:pPr>
        <w:spacing w:line="360" w:lineRule="auto"/>
        <w:jc w:val="both"/>
        <w:rPr>
          <w:rFonts w:ascii="Arial" w:hAnsi="Arial" w:cs="Arial"/>
        </w:rPr>
      </w:pPr>
      <w:r w:rsidRPr="00F7460F">
        <w:rPr>
          <w:rFonts w:ascii="Arial" w:hAnsi="Arial" w:cs="Arial"/>
        </w:rPr>
        <w:t xml:space="preserve"> • Se debe administrar un tratamiento quimioterápico de linfodepleción que consiste en 500 mg/m</w:t>
      </w:r>
      <w:r w:rsidRPr="00881F72">
        <w:rPr>
          <w:rFonts w:ascii="Arial" w:hAnsi="Arial" w:cs="Arial"/>
          <w:vertAlign w:val="superscript"/>
        </w:rPr>
        <w:t>2</w:t>
      </w:r>
      <w:r w:rsidRPr="00F7460F">
        <w:rPr>
          <w:rFonts w:ascii="Arial" w:hAnsi="Arial" w:cs="Arial"/>
        </w:rPr>
        <w:t xml:space="preserve"> de ciclofosfamida y 30 mg/m</w:t>
      </w:r>
      <w:r w:rsidRPr="00881F72">
        <w:rPr>
          <w:rFonts w:ascii="Arial" w:hAnsi="Arial" w:cs="Arial"/>
          <w:vertAlign w:val="superscript"/>
        </w:rPr>
        <w:t>2</w:t>
      </w:r>
      <w:r w:rsidRPr="00F7460F">
        <w:rPr>
          <w:rFonts w:ascii="Arial" w:hAnsi="Arial" w:cs="Arial"/>
        </w:rPr>
        <w:t xml:space="preserve"> de fludarabina por vía intravenosa, en el quinto, cuarto y tercer días previos a la perfusión de </w:t>
      </w:r>
      <w:r>
        <w:rPr>
          <w:rFonts w:ascii="Arial" w:hAnsi="Arial" w:cs="Arial"/>
        </w:rPr>
        <w:t>axicabtagen ciloleucel</w:t>
      </w:r>
      <w:r w:rsidRPr="00F7460F">
        <w:rPr>
          <w:rFonts w:ascii="Arial" w:hAnsi="Arial" w:cs="Arial"/>
        </w:rPr>
        <w:t xml:space="preserve">. </w:t>
      </w:r>
    </w:p>
    <w:p w:rsidR="007D48BC" w:rsidRDefault="007D48BC" w:rsidP="00F7460F">
      <w:pPr>
        <w:spacing w:line="360" w:lineRule="auto"/>
        <w:jc w:val="both"/>
        <w:rPr>
          <w:rFonts w:ascii="Arial" w:hAnsi="Arial" w:cs="Arial"/>
        </w:rPr>
      </w:pPr>
      <w:r w:rsidRPr="00F7460F">
        <w:rPr>
          <w:rFonts w:ascii="Arial" w:hAnsi="Arial" w:cs="Arial"/>
        </w:rPr>
        <w:t>Medicación previa</w:t>
      </w:r>
    </w:p>
    <w:p w:rsidR="007D48BC" w:rsidRDefault="007D48BC" w:rsidP="00F7460F">
      <w:pPr>
        <w:spacing w:line="360" w:lineRule="auto"/>
        <w:jc w:val="both"/>
        <w:rPr>
          <w:rFonts w:ascii="Arial" w:hAnsi="Arial" w:cs="Arial"/>
        </w:rPr>
      </w:pPr>
      <w:r w:rsidRPr="00F7460F">
        <w:rPr>
          <w:rFonts w:ascii="Arial" w:hAnsi="Arial" w:cs="Arial"/>
        </w:rPr>
        <w:t xml:space="preserve"> • Se recomienda la administración de 500-1000 mg de paracetamol por vía oral y de 12,5 mg de difenhidramina por vía intravenosa u oral (o equivalente), aproximadamente 1 hora antes de la perfusión de </w:t>
      </w:r>
      <w:r>
        <w:rPr>
          <w:rFonts w:ascii="Arial" w:hAnsi="Arial" w:cs="Arial"/>
        </w:rPr>
        <w:t>axicabtagen ciloleucel</w:t>
      </w:r>
      <w:r w:rsidRPr="00F7460F">
        <w:rPr>
          <w:rFonts w:ascii="Arial" w:hAnsi="Arial" w:cs="Arial"/>
        </w:rPr>
        <w:t xml:space="preserve">. </w:t>
      </w:r>
    </w:p>
    <w:p w:rsidR="007D48BC" w:rsidRPr="00F7460F" w:rsidRDefault="007D48BC" w:rsidP="00F0616F">
      <w:pPr>
        <w:spacing w:after="240" w:line="360" w:lineRule="auto"/>
        <w:jc w:val="both"/>
        <w:rPr>
          <w:rFonts w:ascii="Arial" w:hAnsi="Arial" w:cs="Arial"/>
        </w:rPr>
      </w:pPr>
      <w:r w:rsidRPr="00F7460F">
        <w:rPr>
          <w:rFonts w:ascii="Arial" w:hAnsi="Arial" w:cs="Arial"/>
        </w:rPr>
        <w:t>•</w:t>
      </w:r>
      <w:r>
        <w:rPr>
          <w:rFonts w:ascii="Arial" w:hAnsi="Arial" w:cs="Arial"/>
        </w:rPr>
        <w:t xml:space="preserve"> </w:t>
      </w:r>
      <w:r w:rsidRPr="00F7460F">
        <w:rPr>
          <w:rFonts w:ascii="Arial" w:hAnsi="Arial" w:cs="Arial"/>
        </w:rPr>
        <w:t xml:space="preserve">No se recomienda el uso profiláctico de corticoesteroides sistémicos debido a que puede interferir en la actividad de </w:t>
      </w:r>
      <w:r>
        <w:rPr>
          <w:rFonts w:ascii="Arial" w:hAnsi="Arial" w:cs="Arial"/>
        </w:rPr>
        <w:t>axicabtagen ciloleucel</w:t>
      </w:r>
      <w:r w:rsidRPr="00F7460F">
        <w:rPr>
          <w:rFonts w:ascii="Arial" w:hAnsi="Arial" w:cs="Arial"/>
        </w:rPr>
        <w:t>.</w:t>
      </w:r>
    </w:p>
    <w:p w:rsidR="007D48BC" w:rsidRPr="00E3472F" w:rsidRDefault="007D48BC" w:rsidP="00BC3E8E">
      <w:pPr>
        <w:pStyle w:val="Ttulo2"/>
        <w:pBdr>
          <w:top w:val="single" w:sz="4" w:space="1" w:color="auto"/>
          <w:left w:val="single" w:sz="4" w:space="4" w:color="auto"/>
          <w:bottom w:val="single" w:sz="4" w:space="1" w:color="auto"/>
          <w:right w:val="single" w:sz="4" w:space="4" w:color="auto"/>
        </w:pBdr>
        <w:shd w:val="clear" w:color="auto" w:fill="D9D9D9"/>
        <w:rPr>
          <w:sz w:val="20"/>
          <w:szCs w:val="20"/>
        </w:rPr>
      </w:pPr>
      <w:bookmarkStart w:id="33" w:name="_Toc344399630"/>
      <w:bookmarkStart w:id="34" w:name="_Toc348931357"/>
      <w:r w:rsidRPr="00E3472F">
        <w:rPr>
          <w:sz w:val="20"/>
          <w:szCs w:val="20"/>
        </w:rPr>
        <w:t>4.4 Utilización en poblaciones especiales.</w:t>
      </w:r>
      <w:bookmarkEnd w:id="33"/>
      <w:bookmarkEnd w:id="34"/>
      <w:r w:rsidR="00FE59AC">
        <w:rPr>
          <w:sz w:val="20"/>
          <w:szCs w:val="20"/>
        </w:rPr>
        <w:fldChar w:fldCharType="begin"/>
      </w:r>
      <w:r>
        <w:instrText>xe "</w:instrText>
      </w:r>
      <w:r w:rsidRPr="00FE59EB">
        <w:rPr>
          <w:sz w:val="20"/>
          <w:szCs w:val="20"/>
        </w:rPr>
        <w:instrText>4.4 Utilización en poblaciones especiales.</w:instrText>
      </w:r>
      <w:r>
        <w:instrText>"</w:instrText>
      </w:r>
      <w:r w:rsidR="00FE59AC">
        <w:rPr>
          <w:sz w:val="20"/>
          <w:szCs w:val="20"/>
        </w:rPr>
        <w:fldChar w:fldCharType="end"/>
      </w:r>
    </w:p>
    <w:p w:rsidR="007D48BC" w:rsidRPr="006F6ABB" w:rsidRDefault="007D48BC" w:rsidP="00BC3E8E">
      <w:pPr>
        <w:jc w:val="both"/>
        <w:rPr>
          <w:rFonts w:ascii="Arial" w:hAnsi="Arial" w:cs="Arial"/>
          <w:b/>
          <w:bCs/>
        </w:rPr>
      </w:pPr>
    </w:p>
    <w:p w:rsidR="007D48BC" w:rsidRPr="006F6ABB" w:rsidRDefault="007D48BC" w:rsidP="00F7460F">
      <w:pPr>
        <w:spacing w:line="360" w:lineRule="auto"/>
        <w:jc w:val="both"/>
        <w:rPr>
          <w:rFonts w:ascii="Arial" w:hAnsi="Arial" w:cs="Arial"/>
        </w:rPr>
      </w:pPr>
      <w:r w:rsidRPr="006F6ABB">
        <w:rPr>
          <w:rFonts w:ascii="Arial" w:hAnsi="Arial" w:cs="Arial"/>
        </w:rPr>
        <w:t>Pediatría:</w:t>
      </w:r>
      <w:r>
        <w:rPr>
          <w:rFonts w:ascii="Arial" w:hAnsi="Arial" w:cs="Arial"/>
        </w:rPr>
        <w:t xml:space="preserve"> </w:t>
      </w:r>
      <w:r w:rsidRPr="00F7460F">
        <w:rPr>
          <w:rFonts w:ascii="Arial" w:hAnsi="Arial" w:cs="Arial"/>
        </w:rPr>
        <w:t xml:space="preserve">No se ha establecido todavía la seguridad y eficacia de </w:t>
      </w:r>
      <w:r>
        <w:rPr>
          <w:rFonts w:ascii="Arial" w:hAnsi="Arial" w:cs="Arial"/>
        </w:rPr>
        <w:t>axicabtagen ciloleucel</w:t>
      </w:r>
      <w:r w:rsidRPr="00F7460F">
        <w:rPr>
          <w:rFonts w:ascii="Arial" w:hAnsi="Arial" w:cs="Arial"/>
        </w:rPr>
        <w:t xml:space="preserve"> en niños y adolescentes menores de 18 años. No se dispone de datos.</w:t>
      </w:r>
    </w:p>
    <w:p w:rsidR="007D48BC" w:rsidRDefault="007D48BC" w:rsidP="00F7460F">
      <w:pPr>
        <w:spacing w:line="360" w:lineRule="auto"/>
        <w:jc w:val="both"/>
        <w:rPr>
          <w:rFonts w:ascii="Arial" w:hAnsi="Arial" w:cs="Arial"/>
        </w:rPr>
      </w:pPr>
      <w:r w:rsidRPr="006F6ABB">
        <w:rPr>
          <w:rFonts w:ascii="Arial" w:hAnsi="Arial" w:cs="Arial"/>
        </w:rPr>
        <w:t xml:space="preserve">Mayores de 65 años: </w:t>
      </w:r>
      <w:r w:rsidRPr="00F7460F">
        <w:rPr>
          <w:rFonts w:ascii="Arial" w:hAnsi="Arial" w:cs="Arial"/>
        </w:rPr>
        <w:t>No se requiere un ajuste de la dosis en pacientes ≥ 65 años de edad. La eficacia fue consistente con la población general de pacientes tratados.</w:t>
      </w:r>
    </w:p>
    <w:p w:rsidR="007D48BC" w:rsidRPr="006F6ABB" w:rsidRDefault="007D48BC" w:rsidP="00F7460F">
      <w:pPr>
        <w:spacing w:line="360" w:lineRule="auto"/>
        <w:jc w:val="both"/>
        <w:rPr>
          <w:rFonts w:ascii="Arial" w:hAnsi="Arial" w:cs="Arial"/>
        </w:rPr>
      </w:pPr>
      <w:r w:rsidRPr="00F7460F">
        <w:rPr>
          <w:rFonts w:ascii="Arial" w:hAnsi="Arial" w:cs="Arial"/>
        </w:rPr>
        <w:t>Pacientes con infección por el virus de la inmunodeficiencia humana (VIH), el virus de la hepatitis B (VHB) y el virus de la hepatitis C (VHC)</w:t>
      </w:r>
      <w:r>
        <w:rPr>
          <w:rFonts w:ascii="Arial" w:hAnsi="Arial" w:cs="Arial"/>
        </w:rPr>
        <w:t>:</w:t>
      </w:r>
      <w:r w:rsidRPr="00F7460F">
        <w:rPr>
          <w:rFonts w:ascii="Arial" w:hAnsi="Arial" w:cs="Arial"/>
        </w:rPr>
        <w:t xml:space="preserve"> No se dispone de experiencia clínica en pacientes con infección activa por el VIH, VHB o VHC</w:t>
      </w:r>
      <w:r>
        <w:rPr>
          <w:rFonts w:ascii="Arial" w:hAnsi="Arial" w:cs="Arial"/>
        </w:rPr>
        <w:t>.</w:t>
      </w:r>
    </w:p>
    <w:p w:rsidR="007D48BC" w:rsidRPr="006F6ABB" w:rsidRDefault="007D48BC" w:rsidP="00BC3E8E">
      <w:pPr>
        <w:jc w:val="both"/>
        <w:rPr>
          <w:rFonts w:ascii="Arial" w:hAnsi="Arial" w:cs="Arial"/>
          <w:color w:val="0000FF"/>
        </w:rPr>
      </w:pPr>
    </w:p>
    <w:p w:rsidR="007D48BC" w:rsidRPr="00E3472F" w:rsidRDefault="007D48BC" w:rsidP="00BC3E8E">
      <w:pPr>
        <w:pStyle w:val="Ttulo2"/>
        <w:pBdr>
          <w:top w:val="single" w:sz="4" w:space="1" w:color="auto"/>
          <w:left w:val="single" w:sz="4" w:space="4" w:color="auto"/>
          <w:bottom w:val="single" w:sz="4" w:space="1" w:color="auto"/>
          <w:right w:val="single" w:sz="4" w:space="4" w:color="auto"/>
        </w:pBdr>
        <w:shd w:val="clear" w:color="auto" w:fill="D9D9D9"/>
        <w:rPr>
          <w:sz w:val="20"/>
          <w:szCs w:val="20"/>
        </w:rPr>
      </w:pPr>
      <w:bookmarkStart w:id="35" w:name="_Toc344399631"/>
      <w:bookmarkStart w:id="36" w:name="_Toc348931358"/>
      <w:r w:rsidRPr="00E3472F">
        <w:rPr>
          <w:sz w:val="20"/>
          <w:szCs w:val="20"/>
        </w:rPr>
        <w:t>4.5 Farmacocinética.</w:t>
      </w:r>
      <w:bookmarkEnd w:id="35"/>
      <w:bookmarkEnd w:id="36"/>
      <w:r w:rsidR="00FE59AC">
        <w:rPr>
          <w:sz w:val="20"/>
          <w:szCs w:val="20"/>
        </w:rPr>
        <w:fldChar w:fldCharType="begin"/>
      </w:r>
      <w:r>
        <w:instrText>xe "</w:instrText>
      </w:r>
      <w:r w:rsidRPr="00CF6E29">
        <w:rPr>
          <w:sz w:val="20"/>
          <w:szCs w:val="20"/>
        </w:rPr>
        <w:instrText>4.5 Farmacocinética.</w:instrText>
      </w:r>
      <w:r>
        <w:instrText>"</w:instrText>
      </w:r>
      <w:r w:rsidR="00FE59AC">
        <w:rPr>
          <w:sz w:val="20"/>
          <w:szCs w:val="20"/>
        </w:rPr>
        <w:fldChar w:fldCharType="end"/>
      </w:r>
      <w:r w:rsidRPr="00E3472F">
        <w:rPr>
          <w:sz w:val="20"/>
          <w:szCs w:val="20"/>
        </w:rPr>
        <w:t xml:space="preserve"> </w:t>
      </w:r>
    </w:p>
    <w:p w:rsidR="007D48BC" w:rsidRDefault="007D48BC" w:rsidP="00B9700B">
      <w:pPr>
        <w:spacing w:line="360" w:lineRule="auto"/>
        <w:jc w:val="both"/>
        <w:rPr>
          <w:rFonts w:ascii="Arial" w:hAnsi="Arial" w:cs="Arial"/>
        </w:rPr>
      </w:pPr>
    </w:p>
    <w:p w:rsidR="007D48BC" w:rsidRPr="00B9700B" w:rsidRDefault="007D48BC" w:rsidP="00B9700B">
      <w:pPr>
        <w:spacing w:line="360" w:lineRule="auto"/>
        <w:jc w:val="both"/>
        <w:rPr>
          <w:rFonts w:ascii="Arial" w:hAnsi="Arial" w:cs="Arial"/>
        </w:rPr>
      </w:pPr>
      <w:r w:rsidRPr="00B9700B">
        <w:rPr>
          <w:rFonts w:ascii="Arial" w:hAnsi="Arial" w:cs="Arial"/>
        </w:rPr>
        <w:t>Las concentraciones máximas de células CAR</w:t>
      </w:r>
      <w:r w:rsidR="00480033">
        <w:rPr>
          <w:rFonts w:ascii="Arial" w:hAnsi="Arial" w:cs="Arial"/>
        </w:rPr>
        <w:t xml:space="preserve"> T</w:t>
      </w:r>
      <w:r w:rsidRPr="00B9700B">
        <w:rPr>
          <w:rFonts w:ascii="Arial" w:hAnsi="Arial" w:cs="Arial"/>
        </w:rPr>
        <w:t xml:space="preserve"> anti-CD19 se alcanzaron entre los primeros 8 y 15 días después de la perfusión de </w:t>
      </w:r>
      <w:r>
        <w:rPr>
          <w:rFonts w:ascii="Arial" w:hAnsi="Arial" w:cs="Arial"/>
        </w:rPr>
        <w:t>axicabtagen ciloleucel</w:t>
      </w:r>
      <w:r w:rsidRPr="00B9700B">
        <w:rPr>
          <w:rFonts w:ascii="Arial" w:hAnsi="Arial" w:cs="Arial"/>
        </w:rPr>
        <w:t>. La mediana de la concentración plasmática máxima (Cmáx.) de células CAR</w:t>
      </w:r>
      <w:r w:rsidR="00480033">
        <w:rPr>
          <w:rFonts w:ascii="Arial" w:hAnsi="Arial" w:cs="Arial"/>
        </w:rPr>
        <w:t xml:space="preserve"> T</w:t>
      </w:r>
      <w:r w:rsidRPr="00B9700B">
        <w:rPr>
          <w:rFonts w:ascii="Arial" w:hAnsi="Arial" w:cs="Arial"/>
        </w:rPr>
        <w:t xml:space="preserve"> anti-CD19 fue de 38,3 células/µl (intervalo: 0,8-1513,7 células/μl), que descendió hasta una mediana de 2,1 células/µl al cabo de 1 mes (intervalo: 0-167,4 células/μl) y hasta una mediana de 0,4 células/µl (intervalo: 0-28,4 células/μl) 3 meses después de la perfusión de </w:t>
      </w:r>
      <w:r>
        <w:rPr>
          <w:rFonts w:ascii="Arial" w:hAnsi="Arial" w:cs="Arial"/>
        </w:rPr>
        <w:t>axicabtagen ciloleucel</w:t>
      </w:r>
      <w:r w:rsidRPr="00B9700B">
        <w:rPr>
          <w:rFonts w:ascii="Arial" w:hAnsi="Arial" w:cs="Arial"/>
        </w:rPr>
        <w:t xml:space="preserve">. La edad (intervalo de 23 a 76 años) y el sexo no tuvieron ningún efecto significativo en el AUC y la Cmáx de </w:t>
      </w:r>
      <w:r>
        <w:rPr>
          <w:rFonts w:ascii="Arial" w:hAnsi="Arial" w:cs="Arial"/>
        </w:rPr>
        <w:t>axicabtagen ciloleucel</w:t>
      </w:r>
      <w:r w:rsidRPr="00B9700B">
        <w:rPr>
          <w:rFonts w:ascii="Arial" w:hAnsi="Arial" w:cs="Arial"/>
        </w:rPr>
        <w:t>. Se ha establecido una asociación positiva entre la cantidad de células CAR</w:t>
      </w:r>
      <w:r w:rsidR="00480033">
        <w:rPr>
          <w:rFonts w:ascii="Arial" w:hAnsi="Arial" w:cs="Arial"/>
        </w:rPr>
        <w:t xml:space="preserve"> T</w:t>
      </w:r>
      <w:r w:rsidRPr="00B9700B">
        <w:rPr>
          <w:rFonts w:ascii="Arial" w:hAnsi="Arial" w:cs="Arial"/>
        </w:rPr>
        <w:t xml:space="preserve"> anti-CD19 en la sangre y la respuesta objetiva (RC o RP). La mediana de los niveles de Cmáx. de células CAR </w:t>
      </w:r>
      <w:r w:rsidR="00480033">
        <w:rPr>
          <w:rFonts w:ascii="Arial" w:hAnsi="Arial" w:cs="Arial"/>
        </w:rPr>
        <w:t xml:space="preserve">T </w:t>
      </w:r>
      <w:r w:rsidRPr="00B9700B">
        <w:rPr>
          <w:rFonts w:ascii="Arial" w:hAnsi="Arial" w:cs="Arial"/>
        </w:rPr>
        <w:t>anti-CD19 en pacientes que alcanzaron respuesta (n = 73) fue un 205 % más elevada que los valores correspondientes de los pacientes que no alcanzaron respuesta (n = 23) (43,6 células/μl frente a 21,2 células/μl). La mediana del AUC</w:t>
      </w:r>
      <w:r>
        <w:rPr>
          <w:rFonts w:ascii="Arial" w:hAnsi="Arial" w:cs="Arial"/>
        </w:rPr>
        <w:t xml:space="preserve"> d</w:t>
      </w:r>
      <w:r w:rsidRPr="00B9700B">
        <w:rPr>
          <w:rFonts w:ascii="Arial" w:hAnsi="Arial" w:cs="Arial"/>
        </w:rPr>
        <w:t xml:space="preserve">ía 0 - 28 en pacientes que alcanzaron respuesta (n = 73) fue un 251 % más elevada que los valores correspondientes en pacientes que no alcanzaron respuesta (n = 23) (557,1 días x células/μl frente a 222,0 días x células/μl). No se realizaron estudios en pacientes con insuficiencia renal y hepática con </w:t>
      </w:r>
      <w:r>
        <w:rPr>
          <w:rFonts w:ascii="Arial" w:hAnsi="Arial" w:cs="Arial"/>
        </w:rPr>
        <w:t>axicabtagen ciloleucel.</w:t>
      </w:r>
    </w:p>
    <w:p w:rsidR="007D48BC" w:rsidRPr="006F6ABB" w:rsidRDefault="007D48BC" w:rsidP="00BC3E8E">
      <w:pPr>
        <w:jc w:val="right"/>
        <w:rPr>
          <w:rFonts w:ascii="Arial" w:hAnsi="Arial" w:cs="Arial"/>
          <w:b/>
          <w:bCs/>
        </w:rPr>
      </w:pPr>
    </w:p>
    <w:tbl>
      <w:tblPr>
        <w:tblW w:w="8890" w:type="dxa"/>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8890"/>
      </w:tblGrid>
      <w:tr w:rsidR="007D48BC" w:rsidRPr="00DA38F3">
        <w:tc>
          <w:tcPr>
            <w:tcW w:w="8890" w:type="dxa"/>
            <w:shd w:val="clear" w:color="auto" w:fill="B3B3B3"/>
          </w:tcPr>
          <w:p w:rsidR="007D48BC" w:rsidRPr="00B746E8" w:rsidRDefault="007D48BC" w:rsidP="00BC3E8E">
            <w:pPr>
              <w:pStyle w:val="Ttulo1"/>
              <w:shd w:val="clear" w:color="auto" w:fill="A6A6A6"/>
              <w:rPr>
                <w:rFonts w:ascii="Arial" w:hAnsi="Arial" w:cs="Arial"/>
                <w:kern w:val="0"/>
                <w:sz w:val="20"/>
                <w:szCs w:val="20"/>
              </w:rPr>
            </w:pPr>
            <w:bookmarkStart w:id="37" w:name="_Toc344399632"/>
            <w:bookmarkStart w:id="38" w:name="_Toc348931359"/>
            <w:r w:rsidRPr="00B746E8">
              <w:rPr>
                <w:rFonts w:ascii="Arial" w:hAnsi="Arial" w:cs="Arial"/>
                <w:kern w:val="0"/>
                <w:sz w:val="20"/>
                <w:szCs w:val="20"/>
              </w:rPr>
              <w:t>5.- EVALUACIÓN DE LA EFICACIA.</w:t>
            </w:r>
            <w:bookmarkEnd w:id="37"/>
            <w:bookmarkEnd w:id="38"/>
            <w:r w:rsidR="00FE59AC">
              <w:rPr>
                <w:rFonts w:ascii="Arial" w:hAnsi="Arial" w:cs="Arial"/>
                <w:kern w:val="0"/>
                <w:sz w:val="20"/>
                <w:szCs w:val="20"/>
              </w:rPr>
              <w:fldChar w:fldCharType="begin"/>
            </w:r>
            <w:r>
              <w:instrText>xe "</w:instrText>
            </w:r>
            <w:r w:rsidRPr="006A2816">
              <w:rPr>
                <w:rFonts w:ascii="Arial" w:hAnsi="Arial" w:cs="Arial"/>
                <w:kern w:val="0"/>
                <w:sz w:val="20"/>
                <w:szCs w:val="20"/>
              </w:rPr>
              <w:instrText>5.- EVALUACIÓN DE LA EFICACIA.</w:instrText>
            </w:r>
            <w:r>
              <w:instrText>"</w:instrText>
            </w:r>
            <w:r w:rsidR="00FE59AC">
              <w:rPr>
                <w:rFonts w:ascii="Arial" w:hAnsi="Arial" w:cs="Arial"/>
                <w:kern w:val="0"/>
                <w:sz w:val="20"/>
                <w:szCs w:val="20"/>
              </w:rPr>
              <w:fldChar w:fldCharType="end"/>
            </w:r>
          </w:p>
        </w:tc>
      </w:tr>
    </w:tbl>
    <w:p w:rsidR="007D48BC" w:rsidRPr="006F6ABB" w:rsidRDefault="007D48BC" w:rsidP="00BC3E8E">
      <w:pPr>
        <w:rPr>
          <w:rFonts w:ascii="Arial" w:hAnsi="Arial" w:cs="Arial"/>
        </w:rPr>
      </w:pPr>
    </w:p>
    <w:p w:rsidR="007D48BC" w:rsidRPr="006F6ABB" w:rsidRDefault="007D48BC" w:rsidP="00BC3E8E">
      <w:pPr>
        <w:pStyle w:val="Ttulo2"/>
        <w:pBdr>
          <w:top w:val="single" w:sz="4" w:space="1" w:color="auto"/>
          <w:left w:val="single" w:sz="4" w:space="4" w:color="auto"/>
          <w:bottom w:val="single" w:sz="4" w:space="1" w:color="auto"/>
          <w:right w:val="single" w:sz="4" w:space="4" w:color="auto"/>
        </w:pBdr>
        <w:shd w:val="clear" w:color="auto" w:fill="D9D9D9"/>
        <w:rPr>
          <w:sz w:val="20"/>
          <w:szCs w:val="20"/>
        </w:rPr>
      </w:pPr>
      <w:bookmarkStart w:id="39" w:name="_Toc344399633"/>
      <w:bookmarkStart w:id="40" w:name="_Toc348931360"/>
      <w:r w:rsidRPr="00E3472F">
        <w:rPr>
          <w:sz w:val="20"/>
          <w:szCs w:val="20"/>
        </w:rPr>
        <w:t>5.1.a Ensayos clínicos disponibles para la indicación clínica evaluada</w:t>
      </w:r>
      <w:bookmarkEnd w:id="39"/>
      <w:bookmarkEnd w:id="40"/>
      <w:r w:rsidR="00FE59AC">
        <w:rPr>
          <w:sz w:val="20"/>
          <w:szCs w:val="20"/>
        </w:rPr>
        <w:fldChar w:fldCharType="begin"/>
      </w:r>
      <w:r>
        <w:instrText>xe "</w:instrText>
      </w:r>
      <w:r w:rsidRPr="002D7F57">
        <w:rPr>
          <w:sz w:val="20"/>
          <w:szCs w:val="20"/>
        </w:rPr>
        <w:instrText>5.1.a Ensayos clínicos disponibles para la indicación clínica evaluada</w:instrText>
      </w:r>
      <w:r>
        <w:instrText>"</w:instrText>
      </w:r>
      <w:r w:rsidR="00FE59AC">
        <w:rPr>
          <w:sz w:val="20"/>
          <w:szCs w:val="20"/>
        </w:rPr>
        <w:fldChar w:fldCharType="end"/>
      </w:r>
    </w:p>
    <w:p w:rsidR="007D48BC" w:rsidRDefault="007D48BC" w:rsidP="00BC3E8E">
      <w:pPr>
        <w:jc w:val="both"/>
        <w:rPr>
          <w:rFonts w:ascii="Arial" w:hAnsi="Arial" w:cs="Arial"/>
        </w:rPr>
      </w:pPr>
    </w:p>
    <w:p w:rsidR="007D48BC" w:rsidRPr="000B0698" w:rsidRDefault="007D48BC" w:rsidP="00452008">
      <w:pPr>
        <w:spacing w:line="360" w:lineRule="auto"/>
        <w:jc w:val="both"/>
        <w:rPr>
          <w:rFonts w:ascii="Arial" w:hAnsi="Arial" w:cs="Arial"/>
        </w:rPr>
      </w:pPr>
      <w:r w:rsidRPr="000B0698">
        <w:rPr>
          <w:rFonts w:ascii="Arial" w:hAnsi="Arial" w:cs="Arial"/>
        </w:rPr>
        <w:t xml:space="preserve">Se dispone del European Public Assessment Report (EPAR) de </w:t>
      </w:r>
      <w:r>
        <w:rPr>
          <w:rFonts w:ascii="Arial" w:hAnsi="Arial" w:cs="Arial"/>
        </w:rPr>
        <w:t>a</w:t>
      </w:r>
      <w:r w:rsidRPr="000B0698">
        <w:rPr>
          <w:rFonts w:ascii="Arial" w:hAnsi="Arial" w:cs="Arial"/>
        </w:rPr>
        <w:t>xicabtagen ciloleucel</w:t>
      </w:r>
      <w:r w:rsidRPr="009A6B97">
        <w:rPr>
          <w:rFonts w:ascii="Arial" w:hAnsi="Arial" w:cs="Arial"/>
          <w:vertAlign w:val="superscript"/>
        </w:rPr>
        <w:t>1</w:t>
      </w:r>
      <w:r>
        <w:rPr>
          <w:rFonts w:ascii="Arial" w:hAnsi="Arial" w:cs="Arial"/>
          <w:vertAlign w:val="superscript"/>
        </w:rPr>
        <w:t>4</w:t>
      </w:r>
      <w:r w:rsidRPr="000B0698">
        <w:rPr>
          <w:rFonts w:ascii="Arial" w:hAnsi="Arial" w:cs="Arial"/>
        </w:rPr>
        <w:t xml:space="preserve">, publicado por la European Medicines Agency (EMA) en septiembre de </w:t>
      </w:r>
      <w:r>
        <w:rPr>
          <w:rFonts w:ascii="Arial" w:hAnsi="Arial" w:cs="Arial"/>
        </w:rPr>
        <w:t>2018</w:t>
      </w:r>
      <w:r w:rsidRPr="000B0698">
        <w:rPr>
          <w:rFonts w:ascii="Arial" w:hAnsi="Arial" w:cs="Arial"/>
        </w:rPr>
        <w:t>, así como del informe homólogo de la FDA</w:t>
      </w:r>
      <w:r w:rsidRPr="009A6B97">
        <w:rPr>
          <w:rFonts w:ascii="Arial" w:hAnsi="Arial" w:cs="Arial"/>
          <w:vertAlign w:val="superscript"/>
        </w:rPr>
        <w:t>1</w:t>
      </w:r>
      <w:r>
        <w:rPr>
          <w:rFonts w:ascii="Arial" w:hAnsi="Arial" w:cs="Arial"/>
          <w:vertAlign w:val="superscript"/>
        </w:rPr>
        <w:t>5</w:t>
      </w:r>
      <w:r w:rsidRPr="000B0698">
        <w:rPr>
          <w:rFonts w:ascii="Arial" w:hAnsi="Arial" w:cs="Arial"/>
        </w:rPr>
        <w:t xml:space="preserve">, de octubre de 2017. En dichos informes se analiza el </w:t>
      </w:r>
      <w:bookmarkStart w:id="41" w:name="_Hlk536399761"/>
      <w:r w:rsidRPr="000B0698">
        <w:rPr>
          <w:rFonts w:ascii="Arial" w:hAnsi="Arial" w:cs="Arial"/>
        </w:rPr>
        <w:t>ensayo pivotal del fármaco en la indicación evaluada: estudio ZUMA-1, estudio fase 1/2, abierto y de un solo brazo, no comparativo. Para confirmar la tasa de respuesta del control preespecificada y el contexto histórico para interpretar los resultados del ensayo pivotal se revisó el estudio SCHOLAR-1, análisis retrospectivo combinado a nivel de paciente de los resultados en LNH agresivo refractario.</w:t>
      </w:r>
    </w:p>
    <w:bookmarkEnd w:id="41"/>
    <w:p w:rsidR="007D48BC" w:rsidRDefault="007D48BC" w:rsidP="00452008">
      <w:pPr>
        <w:spacing w:line="360" w:lineRule="auto"/>
        <w:jc w:val="both"/>
        <w:rPr>
          <w:rFonts w:ascii="Arial" w:hAnsi="Arial" w:cs="Arial"/>
        </w:rPr>
      </w:pPr>
      <w:r>
        <w:rPr>
          <w:rFonts w:ascii="Arial" w:hAnsi="Arial" w:cs="Arial"/>
        </w:rPr>
        <w:t xml:space="preserve">Se realizó con fecha </w:t>
      </w:r>
      <w:r w:rsidRPr="00564C00">
        <w:rPr>
          <w:rFonts w:ascii="Arial" w:hAnsi="Arial" w:cs="Arial"/>
        </w:rPr>
        <w:t>10 de Octubre de 2018 una búsqueda bibliográfica en PubMed, con el objeto de identificar información complementaria, utilizando para ello la siguiente estrategia: (Receptors Antigen, T-Cell “AND “Lymphoma, Large B-Cell, Diffuse” OR “Lymphoma, B-Cell” AND Axicabtagene ciloleucel OR  “KTE-C19”</w:t>
      </w:r>
      <w:r>
        <w:rPr>
          <w:rFonts w:ascii="Arial" w:hAnsi="Arial" w:cs="Arial"/>
        </w:rPr>
        <w:t xml:space="preserve"> OR “</w:t>
      </w:r>
      <w:r w:rsidRPr="0052567A">
        <w:rPr>
          <w:rFonts w:ascii="Arial" w:hAnsi="Arial" w:cs="Arial"/>
        </w:rPr>
        <w:t>autologous T cells</w:t>
      </w:r>
      <w:r>
        <w:rPr>
          <w:rFonts w:ascii="Arial" w:hAnsi="Arial" w:cs="Arial"/>
        </w:rPr>
        <w:t>”</w:t>
      </w:r>
      <w:r w:rsidRPr="00564C00">
        <w:rPr>
          <w:rFonts w:ascii="Arial" w:hAnsi="Arial" w:cs="Arial"/>
        </w:rPr>
        <w:t xml:space="preserve"> y utilizando como filtro de búsqueda “</w:t>
      </w:r>
      <w:r>
        <w:rPr>
          <w:rFonts w:ascii="Arial" w:hAnsi="Arial" w:cs="Arial"/>
          <w:i/>
          <w:iCs/>
        </w:rPr>
        <w:t>clinical</w:t>
      </w:r>
      <w:r w:rsidRPr="00564C00">
        <w:rPr>
          <w:rFonts w:ascii="Arial" w:hAnsi="Arial" w:cs="Arial"/>
          <w:i/>
          <w:iCs/>
        </w:rPr>
        <w:t xml:space="preserve"> trial</w:t>
      </w:r>
      <w:r w:rsidRPr="00564C00">
        <w:rPr>
          <w:rFonts w:ascii="Arial" w:hAnsi="Arial" w:cs="Arial"/>
        </w:rPr>
        <w:t>”, “</w:t>
      </w:r>
      <w:r w:rsidRPr="00564C00">
        <w:rPr>
          <w:rFonts w:ascii="Arial" w:hAnsi="Arial" w:cs="Arial"/>
          <w:i/>
          <w:iCs/>
        </w:rPr>
        <w:t>humans</w:t>
      </w:r>
      <w:r w:rsidRPr="00564C00">
        <w:rPr>
          <w:rFonts w:ascii="Arial" w:hAnsi="Arial" w:cs="Arial"/>
        </w:rPr>
        <w:t>” y “</w:t>
      </w:r>
      <w:r w:rsidRPr="00564C00">
        <w:rPr>
          <w:rFonts w:ascii="Arial" w:hAnsi="Arial" w:cs="Arial"/>
          <w:i/>
          <w:iCs/>
        </w:rPr>
        <w:t>adults</w:t>
      </w:r>
      <w:r w:rsidRPr="00564C00">
        <w:rPr>
          <w:rFonts w:ascii="Arial" w:hAnsi="Arial" w:cs="Arial"/>
        </w:rPr>
        <w:t xml:space="preserve">”, obteniendo como resultado de búsqueda </w:t>
      </w:r>
      <w:r>
        <w:rPr>
          <w:rFonts w:ascii="Arial" w:hAnsi="Arial" w:cs="Arial"/>
        </w:rPr>
        <w:t>3</w:t>
      </w:r>
      <w:r w:rsidRPr="00564C00">
        <w:rPr>
          <w:rFonts w:ascii="Arial" w:hAnsi="Arial" w:cs="Arial"/>
        </w:rPr>
        <w:t xml:space="preserve"> estudios, el estudio pivotal</w:t>
      </w:r>
      <w:r w:rsidRPr="009A6B97">
        <w:rPr>
          <w:rFonts w:ascii="Arial" w:hAnsi="Arial" w:cs="Arial"/>
          <w:vertAlign w:val="superscript"/>
        </w:rPr>
        <w:t>1</w:t>
      </w:r>
      <w:r>
        <w:rPr>
          <w:rFonts w:ascii="Arial" w:hAnsi="Arial" w:cs="Arial"/>
          <w:vertAlign w:val="superscript"/>
        </w:rPr>
        <w:t>6</w:t>
      </w:r>
      <w:r>
        <w:rPr>
          <w:rFonts w:ascii="Arial" w:hAnsi="Arial" w:cs="Arial"/>
        </w:rPr>
        <w:t xml:space="preserve">, </w:t>
      </w:r>
      <w:r w:rsidRPr="00564C00">
        <w:rPr>
          <w:rFonts w:ascii="Arial" w:hAnsi="Arial" w:cs="Arial"/>
        </w:rPr>
        <w:t>la publicación de la fase I del mismo</w:t>
      </w:r>
      <w:r w:rsidRPr="009A6B97">
        <w:rPr>
          <w:rFonts w:ascii="Arial" w:hAnsi="Arial" w:cs="Arial"/>
          <w:vertAlign w:val="superscript"/>
        </w:rPr>
        <w:t>1</w:t>
      </w:r>
      <w:r>
        <w:rPr>
          <w:rFonts w:ascii="Arial" w:hAnsi="Arial" w:cs="Arial"/>
          <w:vertAlign w:val="superscript"/>
        </w:rPr>
        <w:t>7</w:t>
      </w:r>
      <w:r>
        <w:rPr>
          <w:rFonts w:ascii="Arial" w:hAnsi="Arial" w:cs="Arial"/>
        </w:rPr>
        <w:t xml:space="preserve"> y un pequeño estudio local</w:t>
      </w:r>
      <w:r w:rsidRPr="00AB7B34">
        <w:rPr>
          <w:rFonts w:ascii="Arial" w:hAnsi="Arial" w:cs="Arial"/>
          <w:vertAlign w:val="superscript"/>
        </w:rPr>
        <w:t>18</w:t>
      </w:r>
      <w:r>
        <w:rPr>
          <w:rFonts w:ascii="Arial" w:hAnsi="Arial" w:cs="Arial"/>
        </w:rPr>
        <w:t>.</w:t>
      </w:r>
    </w:p>
    <w:p w:rsidR="007D48BC" w:rsidRPr="00452008" w:rsidRDefault="007D48BC" w:rsidP="00452008">
      <w:pPr>
        <w:spacing w:line="360" w:lineRule="auto"/>
        <w:jc w:val="both"/>
        <w:rPr>
          <w:rFonts w:ascii="Arial" w:hAnsi="Arial" w:cs="Arial"/>
        </w:rPr>
      </w:pPr>
      <w:r w:rsidRPr="00564C00">
        <w:rPr>
          <w:rFonts w:ascii="Arial" w:hAnsi="Arial" w:cs="Arial"/>
        </w:rPr>
        <w:t>El análisis de eficacia se limita al ensayo pivotal, y en concreto a la fase II del mismo.</w:t>
      </w:r>
    </w:p>
    <w:p w:rsidR="007D48BC" w:rsidRPr="006F6ABB" w:rsidRDefault="007D48BC" w:rsidP="00BC3E8E">
      <w:pPr>
        <w:rPr>
          <w:rFonts w:ascii="Arial" w:hAnsi="Arial" w:cs="Arial"/>
          <w:color w:val="FF0000"/>
        </w:rPr>
      </w:pPr>
    </w:p>
    <w:p w:rsidR="007D48BC" w:rsidRPr="006F6ABB" w:rsidRDefault="007D48BC" w:rsidP="00DC1163">
      <w:pPr>
        <w:pStyle w:val="Ttulo2"/>
        <w:pBdr>
          <w:top w:val="single" w:sz="4" w:space="0" w:color="auto"/>
          <w:left w:val="single" w:sz="4" w:space="4" w:color="auto"/>
          <w:bottom w:val="single" w:sz="4" w:space="1" w:color="auto"/>
          <w:right w:val="single" w:sz="4" w:space="4" w:color="auto"/>
        </w:pBdr>
        <w:shd w:val="clear" w:color="auto" w:fill="D9D9D9"/>
        <w:rPr>
          <w:sz w:val="20"/>
          <w:szCs w:val="20"/>
        </w:rPr>
      </w:pPr>
      <w:bookmarkStart w:id="42" w:name="_Toc344399634"/>
      <w:bookmarkStart w:id="43" w:name="_Toc348931361"/>
      <w:r w:rsidRPr="00E3472F">
        <w:rPr>
          <w:sz w:val="20"/>
          <w:szCs w:val="20"/>
        </w:rPr>
        <w:t>5.1.b Variables utilizadas en los ensayos</w:t>
      </w:r>
      <w:bookmarkEnd w:id="42"/>
      <w:bookmarkEnd w:id="43"/>
      <w:r w:rsidR="00FE59AC">
        <w:rPr>
          <w:sz w:val="20"/>
          <w:szCs w:val="20"/>
        </w:rPr>
        <w:fldChar w:fldCharType="begin"/>
      </w:r>
      <w:r>
        <w:instrText>xe "</w:instrText>
      </w:r>
      <w:r w:rsidRPr="00B761DA">
        <w:rPr>
          <w:sz w:val="20"/>
          <w:szCs w:val="20"/>
        </w:rPr>
        <w:instrText>5.1.b Variables utilizadas en los ensayos</w:instrText>
      </w:r>
      <w:r>
        <w:instrText>"</w:instrText>
      </w:r>
      <w:r w:rsidR="00FE59AC">
        <w:rPr>
          <w:sz w:val="20"/>
          <w:szCs w:val="20"/>
        </w:rPr>
        <w:fldChar w:fldCharType="end"/>
      </w:r>
      <w:r w:rsidRPr="00E3472F">
        <w:rPr>
          <w:sz w:val="20"/>
          <w:szCs w:val="20"/>
        </w:rPr>
        <w:t xml:space="preserve"> </w:t>
      </w:r>
    </w:p>
    <w:p w:rsidR="007D48BC" w:rsidRDefault="007D48BC" w:rsidP="00BC3E8E">
      <w:pPr>
        <w:jc w:val="both"/>
        <w:rPr>
          <w:rFonts w:ascii="Arial" w:hAnsi="Arial" w:cs="Arial"/>
          <w:color w:val="000080"/>
        </w:rPr>
      </w:pPr>
    </w:p>
    <w:tbl>
      <w:tblPr>
        <w:tblW w:w="9498" w:type="dxa"/>
        <w:tblInd w:w="-106" w:type="dxa"/>
        <w:tblLayout w:type="fixed"/>
        <w:tblLook w:val="0000"/>
      </w:tblPr>
      <w:tblGrid>
        <w:gridCol w:w="1246"/>
        <w:gridCol w:w="2532"/>
        <w:gridCol w:w="3990"/>
        <w:gridCol w:w="1730"/>
      </w:tblGrid>
      <w:tr w:rsidR="007D48BC" w:rsidRPr="00E235DB">
        <w:tc>
          <w:tcPr>
            <w:tcW w:w="9498" w:type="dxa"/>
            <w:gridSpan w:val="4"/>
            <w:tcBorders>
              <w:top w:val="single" w:sz="4" w:space="0" w:color="000000"/>
              <w:left w:val="single" w:sz="4" w:space="0" w:color="000000"/>
              <w:bottom w:val="single" w:sz="4" w:space="0" w:color="000000"/>
              <w:right w:val="single" w:sz="4" w:space="0" w:color="000000"/>
            </w:tcBorders>
            <w:shd w:val="clear" w:color="auto" w:fill="CCFFCC"/>
          </w:tcPr>
          <w:p w:rsidR="007D48BC" w:rsidRPr="00E235DB" w:rsidRDefault="007D48BC" w:rsidP="00CE6338">
            <w:pPr>
              <w:tabs>
                <w:tab w:val="left" w:pos="2924"/>
              </w:tabs>
              <w:autoSpaceDE w:val="0"/>
              <w:snapToGrid w:val="0"/>
              <w:ind w:left="34" w:hanging="34"/>
              <w:rPr>
                <w:rFonts w:ascii="Arial" w:hAnsi="Arial" w:cs="Arial"/>
                <w:color w:val="000000"/>
              </w:rPr>
            </w:pPr>
            <w:r w:rsidRPr="00E235DB">
              <w:rPr>
                <w:rFonts w:ascii="Arial" w:hAnsi="Arial" w:cs="Arial"/>
                <w:color w:val="000000"/>
              </w:rPr>
              <w:t xml:space="preserve">Tabla. </w:t>
            </w:r>
            <w:r>
              <w:rPr>
                <w:rFonts w:ascii="Arial" w:hAnsi="Arial" w:cs="Arial"/>
                <w:color w:val="000000"/>
              </w:rPr>
              <w:t xml:space="preserve">6 </w:t>
            </w:r>
            <w:r w:rsidRPr="00E235DB">
              <w:rPr>
                <w:rFonts w:ascii="Arial" w:hAnsi="Arial" w:cs="Arial"/>
                <w:color w:val="000000"/>
              </w:rPr>
              <w:t>Variables empleadas en los ensayos clínicos pivotales</w:t>
            </w:r>
          </w:p>
        </w:tc>
      </w:tr>
      <w:tr w:rsidR="007D48BC" w:rsidRPr="00E235DB">
        <w:tc>
          <w:tcPr>
            <w:tcW w:w="1246" w:type="dxa"/>
            <w:tcBorders>
              <w:top w:val="single" w:sz="4" w:space="0" w:color="000000"/>
              <w:left w:val="single" w:sz="4" w:space="0" w:color="000000"/>
              <w:bottom w:val="single" w:sz="4" w:space="0" w:color="000000"/>
            </w:tcBorders>
            <w:shd w:val="clear" w:color="auto" w:fill="D9D9D9"/>
            <w:vAlign w:val="center"/>
          </w:tcPr>
          <w:p w:rsidR="007D48BC" w:rsidRPr="00132017" w:rsidRDefault="007D48BC" w:rsidP="00CE6338">
            <w:pPr>
              <w:autoSpaceDE w:val="0"/>
              <w:snapToGrid w:val="0"/>
              <w:jc w:val="center"/>
              <w:rPr>
                <w:rFonts w:ascii="Arial" w:hAnsi="Arial" w:cs="Arial"/>
                <w:b/>
                <w:bCs/>
                <w:color w:val="000000"/>
                <w:sz w:val="16"/>
                <w:szCs w:val="16"/>
              </w:rPr>
            </w:pPr>
            <w:r w:rsidRPr="00132017">
              <w:rPr>
                <w:rFonts w:ascii="Arial" w:hAnsi="Arial" w:cs="Arial"/>
                <w:b/>
                <w:bCs/>
                <w:color w:val="000000"/>
                <w:sz w:val="16"/>
                <w:szCs w:val="16"/>
              </w:rPr>
              <w:t>EFICACIA</w:t>
            </w:r>
          </w:p>
        </w:tc>
        <w:tc>
          <w:tcPr>
            <w:tcW w:w="2532" w:type="dxa"/>
            <w:tcBorders>
              <w:top w:val="single" w:sz="4" w:space="0" w:color="000000"/>
              <w:left w:val="single" w:sz="4" w:space="0" w:color="000000"/>
              <w:bottom w:val="single" w:sz="4" w:space="0" w:color="000000"/>
            </w:tcBorders>
            <w:shd w:val="clear" w:color="auto" w:fill="D9D9D9"/>
            <w:vAlign w:val="center"/>
          </w:tcPr>
          <w:p w:rsidR="007D48BC" w:rsidRPr="00132017" w:rsidRDefault="007D48BC" w:rsidP="00CE6338">
            <w:pPr>
              <w:autoSpaceDE w:val="0"/>
              <w:snapToGrid w:val="0"/>
              <w:jc w:val="center"/>
              <w:rPr>
                <w:rFonts w:ascii="Arial" w:hAnsi="Arial" w:cs="Arial"/>
                <w:b/>
                <w:bCs/>
                <w:color w:val="000000"/>
                <w:sz w:val="16"/>
                <w:szCs w:val="16"/>
              </w:rPr>
            </w:pPr>
            <w:r w:rsidRPr="00132017">
              <w:rPr>
                <w:rFonts w:ascii="Arial" w:hAnsi="Arial" w:cs="Arial"/>
                <w:b/>
                <w:bCs/>
                <w:color w:val="000000"/>
                <w:sz w:val="16"/>
                <w:szCs w:val="16"/>
              </w:rPr>
              <w:t>Enunciado</w:t>
            </w:r>
          </w:p>
        </w:tc>
        <w:tc>
          <w:tcPr>
            <w:tcW w:w="3990" w:type="dxa"/>
            <w:tcBorders>
              <w:top w:val="single" w:sz="4" w:space="0" w:color="000000"/>
              <w:left w:val="single" w:sz="4" w:space="0" w:color="000000"/>
              <w:bottom w:val="single" w:sz="4" w:space="0" w:color="000000"/>
            </w:tcBorders>
            <w:shd w:val="clear" w:color="auto" w:fill="D9D9D9"/>
            <w:vAlign w:val="center"/>
          </w:tcPr>
          <w:p w:rsidR="007D48BC" w:rsidRPr="00132017" w:rsidRDefault="007D48BC" w:rsidP="00CE6338">
            <w:pPr>
              <w:autoSpaceDE w:val="0"/>
              <w:snapToGrid w:val="0"/>
              <w:jc w:val="center"/>
              <w:rPr>
                <w:rFonts w:ascii="Arial" w:hAnsi="Arial" w:cs="Arial"/>
                <w:b/>
                <w:bCs/>
                <w:color w:val="000000"/>
                <w:sz w:val="16"/>
                <w:szCs w:val="16"/>
              </w:rPr>
            </w:pPr>
            <w:r w:rsidRPr="00132017">
              <w:rPr>
                <w:rFonts w:ascii="Arial" w:hAnsi="Arial" w:cs="Arial"/>
                <w:b/>
                <w:bCs/>
                <w:color w:val="000000"/>
                <w:sz w:val="16"/>
                <w:szCs w:val="16"/>
              </w:rPr>
              <w:t>Descripción</w:t>
            </w:r>
          </w:p>
        </w:tc>
        <w:tc>
          <w:tcPr>
            <w:tcW w:w="1730"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7D48BC" w:rsidRPr="00132017" w:rsidRDefault="007D48BC" w:rsidP="00CE6338">
            <w:pPr>
              <w:tabs>
                <w:tab w:val="left" w:pos="2924"/>
              </w:tabs>
              <w:autoSpaceDE w:val="0"/>
              <w:snapToGrid w:val="0"/>
              <w:ind w:left="34" w:hanging="34"/>
              <w:jc w:val="center"/>
              <w:rPr>
                <w:rFonts w:ascii="Arial" w:hAnsi="Arial" w:cs="Arial"/>
                <w:b/>
                <w:bCs/>
                <w:color w:val="000000"/>
                <w:sz w:val="16"/>
                <w:szCs w:val="16"/>
              </w:rPr>
            </w:pPr>
            <w:r w:rsidRPr="00132017">
              <w:rPr>
                <w:rFonts w:ascii="Arial" w:hAnsi="Arial" w:cs="Arial"/>
                <w:b/>
                <w:bCs/>
                <w:color w:val="000000"/>
                <w:sz w:val="16"/>
                <w:szCs w:val="16"/>
              </w:rPr>
              <w:t xml:space="preserve">Variable </w:t>
            </w:r>
          </w:p>
        </w:tc>
      </w:tr>
      <w:tr w:rsidR="007D48BC" w:rsidRPr="00E235DB">
        <w:trPr>
          <w:cantSplit/>
        </w:trPr>
        <w:tc>
          <w:tcPr>
            <w:tcW w:w="1246" w:type="dxa"/>
            <w:tcBorders>
              <w:top w:val="single" w:sz="4" w:space="0" w:color="000000"/>
              <w:left w:val="single" w:sz="4" w:space="0" w:color="000000"/>
              <w:bottom w:val="single" w:sz="4" w:space="0" w:color="000000"/>
            </w:tcBorders>
            <w:vAlign w:val="center"/>
          </w:tcPr>
          <w:p w:rsidR="007D48BC" w:rsidRPr="00132017" w:rsidRDefault="007D48BC" w:rsidP="00564C00">
            <w:pPr>
              <w:autoSpaceDE w:val="0"/>
              <w:snapToGrid w:val="0"/>
              <w:jc w:val="center"/>
              <w:rPr>
                <w:rFonts w:ascii="Arial" w:hAnsi="Arial" w:cs="Arial"/>
                <w:color w:val="000000"/>
                <w:sz w:val="16"/>
                <w:szCs w:val="16"/>
              </w:rPr>
            </w:pPr>
            <w:r>
              <w:rPr>
                <w:rFonts w:ascii="Arial" w:hAnsi="Arial" w:cs="Arial"/>
                <w:color w:val="000000"/>
                <w:sz w:val="16"/>
                <w:szCs w:val="16"/>
              </w:rPr>
              <w:t>Variable principal</w:t>
            </w:r>
          </w:p>
        </w:tc>
        <w:tc>
          <w:tcPr>
            <w:tcW w:w="2532" w:type="dxa"/>
            <w:tcBorders>
              <w:top w:val="single" w:sz="4" w:space="0" w:color="000000"/>
              <w:left w:val="single" w:sz="4" w:space="0" w:color="000000"/>
              <w:bottom w:val="single" w:sz="4" w:space="0" w:color="000000"/>
            </w:tcBorders>
            <w:vAlign w:val="center"/>
          </w:tcPr>
          <w:p w:rsidR="007D48BC" w:rsidRPr="00056CC9" w:rsidRDefault="007D48BC" w:rsidP="00056CC9">
            <w:pPr>
              <w:autoSpaceDE w:val="0"/>
              <w:jc w:val="center"/>
              <w:rPr>
                <w:rFonts w:ascii="Arial" w:hAnsi="Arial" w:cs="Arial"/>
                <w:color w:val="000000"/>
                <w:sz w:val="16"/>
                <w:szCs w:val="16"/>
              </w:rPr>
            </w:pPr>
            <w:r>
              <w:rPr>
                <w:rFonts w:ascii="Arial" w:hAnsi="Arial" w:cs="Arial"/>
                <w:color w:val="000000"/>
                <w:sz w:val="16"/>
                <w:szCs w:val="16"/>
              </w:rPr>
              <w:t>Tasa de respuesta objetiva (TRO), según investigador</w:t>
            </w:r>
          </w:p>
        </w:tc>
        <w:tc>
          <w:tcPr>
            <w:tcW w:w="3990" w:type="dxa"/>
            <w:tcBorders>
              <w:top w:val="single" w:sz="4" w:space="0" w:color="000000"/>
              <w:left w:val="single" w:sz="4" w:space="0" w:color="000000"/>
              <w:bottom w:val="single" w:sz="4" w:space="0" w:color="000000"/>
            </w:tcBorders>
            <w:vAlign w:val="center"/>
          </w:tcPr>
          <w:p w:rsidR="007D48BC" w:rsidRPr="00056CC9" w:rsidRDefault="007D48BC" w:rsidP="00F6366D">
            <w:pPr>
              <w:autoSpaceDE w:val="0"/>
              <w:jc w:val="center"/>
              <w:rPr>
                <w:rFonts w:ascii="Arial" w:hAnsi="Arial" w:cs="Arial"/>
                <w:color w:val="000000"/>
                <w:sz w:val="16"/>
                <w:szCs w:val="16"/>
              </w:rPr>
            </w:pPr>
            <w:r>
              <w:rPr>
                <w:rFonts w:ascii="Arial" w:hAnsi="Arial" w:cs="Arial"/>
                <w:color w:val="000000"/>
                <w:sz w:val="16"/>
                <w:szCs w:val="16"/>
              </w:rPr>
              <w:t xml:space="preserve">Proporción de pacientes con respuesta completa o parcial al tratamiento, determinada por el investigador, según los criterios del </w:t>
            </w:r>
            <w:r w:rsidRPr="00056CC9">
              <w:rPr>
                <w:rFonts w:ascii="Arial" w:hAnsi="Arial" w:cs="Arial"/>
                <w:color w:val="000000"/>
                <w:sz w:val="16"/>
                <w:szCs w:val="16"/>
              </w:rPr>
              <w:t>International Working Group (IWG) para Linfomas malignos</w:t>
            </w:r>
            <w:r w:rsidR="00F6366D" w:rsidRPr="00F6366D">
              <w:rPr>
                <w:rFonts w:ascii="Arial" w:hAnsi="Arial" w:cs="Arial"/>
                <w:color w:val="000000"/>
                <w:sz w:val="16"/>
                <w:szCs w:val="16"/>
                <w:vertAlign w:val="superscript"/>
              </w:rPr>
              <w:t>20</w:t>
            </w:r>
          </w:p>
        </w:tc>
        <w:tc>
          <w:tcPr>
            <w:tcW w:w="1730" w:type="dxa"/>
            <w:tcBorders>
              <w:top w:val="single" w:sz="4" w:space="0" w:color="000000"/>
              <w:left w:val="single" w:sz="4" w:space="0" w:color="000000"/>
              <w:bottom w:val="single" w:sz="4" w:space="0" w:color="000000"/>
              <w:right w:val="single" w:sz="4" w:space="0" w:color="000000"/>
            </w:tcBorders>
            <w:shd w:val="clear" w:color="auto" w:fill="CCFFCC"/>
            <w:vAlign w:val="center"/>
          </w:tcPr>
          <w:p w:rsidR="007D48BC" w:rsidRPr="00132017" w:rsidRDefault="007D48BC" w:rsidP="00ED690E">
            <w:pPr>
              <w:tabs>
                <w:tab w:val="left" w:pos="2924"/>
              </w:tabs>
              <w:autoSpaceDE w:val="0"/>
              <w:snapToGrid w:val="0"/>
              <w:ind w:left="34"/>
              <w:jc w:val="center"/>
              <w:rPr>
                <w:rFonts w:ascii="Arial" w:hAnsi="Arial" w:cs="Arial"/>
                <w:color w:val="000000"/>
                <w:sz w:val="16"/>
                <w:szCs w:val="16"/>
              </w:rPr>
            </w:pPr>
            <w:r>
              <w:rPr>
                <w:rFonts w:ascii="Arial" w:hAnsi="Arial" w:cs="Arial"/>
                <w:color w:val="000000"/>
                <w:sz w:val="16"/>
                <w:szCs w:val="16"/>
              </w:rPr>
              <w:t>Variable intermedia</w:t>
            </w:r>
          </w:p>
        </w:tc>
      </w:tr>
      <w:tr w:rsidR="007D48BC" w:rsidRPr="00E235DB">
        <w:trPr>
          <w:cantSplit/>
        </w:trPr>
        <w:tc>
          <w:tcPr>
            <w:tcW w:w="1246" w:type="dxa"/>
            <w:vMerge w:val="restart"/>
            <w:tcBorders>
              <w:top w:val="single" w:sz="4" w:space="0" w:color="000000"/>
              <w:left w:val="single" w:sz="4" w:space="0" w:color="000000"/>
            </w:tcBorders>
            <w:vAlign w:val="center"/>
          </w:tcPr>
          <w:p w:rsidR="007D48BC" w:rsidRDefault="007D48BC" w:rsidP="00564C00">
            <w:pPr>
              <w:autoSpaceDE w:val="0"/>
              <w:snapToGrid w:val="0"/>
              <w:jc w:val="center"/>
              <w:rPr>
                <w:rFonts w:ascii="Arial" w:hAnsi="Arial" w:cs="Arial"/>
                <w:color w:val="000000"/>
                <w:sz w:val="16"/>
                <w:szCs w:val="16"/>
              </w:rPr>
            </w:pPr>
            <w:r w:rsidRPr="00132017">
              <w:rPr>
                <w:rFonts w:ascii="Arial" w:hAnsi="Arial" w:cs="Arial"/>
                <w:color w:val="000000"/>
                <w:sz w:val="16"/>
                <w:szCs w:val="16"/>
              </w:rPr>
              <w:t>Variables secundarias</w:t>
            </w:r>
          </w:p>
        </w:tc>
        <w:tc>
          <w:tcPr>
            <w:tcW w:w="2532" w:type="dxa"/>
            <w:tcBorders>
              <w:top w:val="single" w:sz="4" w:space="0" w:color="000000"/>
              <w:left w:val="single" w:sz="4" w:space="0" w:color="000000"/>
              <w:bottom w:val="single" w:sz="4" w:space="0" w:color="000000"/>
            </w:tcBorders>
            <w:vAlign w:val="center"/>
          </w:tcPr>
          <w:p w:rsidR="007D48BC" w:rsidRDefault="007D48BC" w:rsidP="00056CC9">
            <w:pPr>
              <w:autoSpaceDE w:val="0"/>
              <w:jc w:val="center"/>
              <w:rPr>
                <w:rFonts w:ascii="Arial" w:hAnsi="Arial" w:cs="Arial"/>
                <w:color w:val="000000"/>
                <w:sz w:val="16"/>
                <w:szCs w:val="16"/>
              </w:rPr>
            </w:pPr>
            <w:r>
              <w:rPr>
                <w:rFonts w:ascii="Arial" w:hAnsi="Arial" w:cs="Arial"/>
                <w:color w:val="000000"/>
                <w:sz w:val="16"/>
                <w:szCs w:val="16"/>
              </w:rPr>
              <w:t>TRO, según comité central independiente</w:t>
            </w:r>
          </w:p>
        </w:tc>
        <w:tc>
          <w:tcPr>
            <w:tcW w:w="3990" w:type="dxa"/>
            <w:tcBorders>
              <w:top w:val="single" w:sz="4" w:space="0" w:color="000000"/>
              <w:left w:val="single" w:sz="4" w:space="0" w:color="000000"/>
              <w:bottom w:val="single" w:sz="4" w:space="0" w:color="000000"/>
            </w:tcBorders>
            <w:vAlign w:val="center"/>
          </w:tcPr>
          <w:p w:rsidR="007D48BC" w:rsidRDefault="007D48BC" w:rsidP="00F6366D">
            <w:pPr>
              <w:autoSpaceDE w:val="0"/>
              <w:jc w:val="center"/>
              <w:rPr>
                <w:rFonts w:ascii="Arial" w:hAnsi="Arial" w:cs="Arial"/>
                <w:color w:val="000000"/>
                <w:sz w:val="16"/>
                <w:szCs w:val="16"/>
              </w:rPr>
            </w:pPr>
            <w:r>
              <w:rPr>
                <w:rFonts w:ascii="Arial" w:hAnsi="Arial" w:cs="Arial"/>
                <w:color w:val="000000"/>
                <w:sz w:val="16"/>
                <w:szCs w:val="16"/>
              </w:rPr>
              <w:t xml:space="preserve">Proporción de pacientes con respuesta completa o parcial al tratamiento, determinada por un comité central, según los criterios del </w:t>
            </w:r>
            <w:r w:rsidRPr="00056CC9">
              <w:rPr>
                <w:rFonts w:ascii="Arial" w:hAnsi="Arial" w:cs="Arial"/>
                <w:color w:val="000000"/>
                <w:sz w:val="16"/>
                <w:szCs w:val="16"/>
              </w:rPr>
              <w:t>International Working Group (IWG) para Linfomas malignos</w:t>
            </w:r>
            <w:r w:rsidR="00F6366D" w:rsidRPr="00F6366D">
              <w:rPr>
                <w:rFonts w:ascii="Arial" w:hAnsi="Arial" w:cs="Arial"/>
                <w:color w:val="000000"/>
                <w:sz w:val="16"/>
                <w:szCs w:val="16"/>
                <w:vertAlign w:val="superscript"/>
              </w:rPr>
              <w:t>20</w:t>
            </w:r>
          </w:p>
        </w:tc>
        <w:tc>
          <w:tcPr>
            <w:tcW w:w="1730" w:type="dxa"/>
            <w:tcBorders>
              <w:top w:val="single" w:sz="4" w:space="0" w:color="000000"/>
              <w:left w:val="single" w:sz="4" w:space="0" w:color="000000"/>
              <w:bottom w:val="single" w:sz="4" w:space="0" w:color="000000"/>
              <w:right w:val="single" w:sz="4" w:space="0" w:color="000000"/>
            </w:tcBorders>
            <w:shd w:val="clear" w:color="auto" w:fill="CCFFCC"/>
            <w:vAlign w:val="center"/>
          </w:tcPr>
          <w:p w:rsidR="007D48BC" w:rsidRDefault="007D48BC" w:rsidP="00ED690E">
            <w:pPr>
              <w:tabs>
                <w:tab w:val="left" w:pos="2924"/>
              </w:tabs>
              <w:autoSpaceDE w:val="0"/>
              <w:snapToGrid w:val="0"/>
              <w:ind w:left="34"/>
              <w:jc w:val="center"/>
              <w:rPr>
                <w:rFonts w:ascii="Arial" w:hAnsi="Arial" w:cs="Arial"/>
                <w:color w:val="000000"/>
                <w:sz w:val="16"/>
                <w:szCs w:val="16"/>
              </w:rPr>
            </w:pPr>
            <w:r>
              <w:rPr>
                <w:rFonts w:ascii="Arial" w:hAnsi="Arial" w:cs="Arial"/>
                <w:color w:val="000000"/>
                <w:sz w:val="16"/>
                <w:szCs w:val="16"/>
              </w:rPr>
              <w:t>Variable intermedia</w:t>
            </w:r>
          </w:p>
        </w:tc>
      </w:tr>
      <w:tr w:rsidR="007D48BC" w:rsidRPr="00E235DB">
        <w:tc>
          <w:tcPr>
            <w:tcW w:w="1246" w:type="dxa"/>
            <w:vMerge/>
            <w:tcBorders>
              <w:left w:val="single" w:sz="4" w:space="0" w:color="000000"/>
            </w:tcBorders>
            <w:vAlign w:val="center"/>
          </w:tcPr>
          <w:p w:rsidR="007D48BC" w:rsidRPr="00132017" w:rsidRDefault="007D48BC" w:rsidP="00564C00">
            <w:pPr>
              <w:autoSpaceDE w:val="0"/>
              <w:snapToGrid w:val="0"/>
              <w:jc w:val="center"/>
              <w:rPr>
                <w:rFonts w:ascii="Arial" w:hAnsi="Arial" w:cs="Arial"/>
                <w:color w:val="000000"/>
                <w:sz w:val="16"/>
                <w:szCs w:val="16"/>
              </w:rPr>
            </w:pPr>
          </w:p>
        </w:tc>
        <w:tc>
          <w:tcPr>
            <w:tcW w:w="2532" w:type="dxa"/>
            <w:tcBorders>
              <w:top w:val="single" w:sz="4" w:space="0" w:color="000000"/>
              <w:left w:val="single" w:sz="4" w:space="0" w:color="000000"/>
              <w:bottom w:val="single" w:sz="4" w:space="0" w:color="000000"/>
            </w:tcBorders>
            <w:vAlign w:val="center"/>
          </w:tcPr>
          <w:p w:rsidR="007D48BC" w:rsidRPr="00132017" w:rsidRDefault="007D48BC" w:rsidP="00564C00">
            <w:pPr>
              <w:autoSpaceDE w:val="0"/>
              <w:snapToGrid w:val="0"/>
              <w:jc w:val="center"/>
              <w:rPr>
                <w:rFonts w:ascii="Arial" w:hAnsi="Arial" w:cs="Arial"/>
                <w:color w:val="000000"/>
                <w:sz w:val="16"/>
                <w:szCs w:val="16"/>
              </w:rPr>
            </w:pPr>
            <w:r>
              <w:rPr>
                <w:rFonts w:ascii="Arial" w:hAnsi="Arial" w:cs="Arial"/>
                <w:color w:val="000000"/>
                <w:sz w:val="16"/>
                <w:szCs w:val="16"/>
              </w:rPr>
              <w:t>Duración de la respuesta objetiva (DRO) según investigador y según comité central</w:t>
            </w:r>
          </w:p>
        </w:tc>
        <w:tc>
          <w:tcPr>
            <w:tcW w:w="3990" w:type="dxa"/>
            <w:tcBorders>
              <w:top w:val="single" w:sz="4" w:space="0" w:color="000000"/>
              <w:left w:val="single" w:sz="4" w:space="0" w:color="000000"/>
              <w:bottom w:val="single" w:sz="4" w:space="0" w:color="000000"/>
            </w:tcBorders>
            <w:vAlign w:val="center"/>
          </w:tcPr>
          <w:p w:rsidR="007D48BC" w:rsidRPr="00F0616F" w:rsidRDefault="007D48BC" w:rsidP="00F0616F">
            <w:pPr>
              <w:autoSpaceDE w:val="0"/>
              <w:snapToGrid w:val="0"/>
              <w:jc w:val="center"/>
              <w:rPr>
                <w:rFonts w:ascii="Arial" w:hAnsi="Arial" w:cs="Arial"/>
                <w:color w:val="000000"/>
                <w:sz w:val="16"/>
                <w:szCs w:val="16"/>
              </w:rPr>
            </w:pPr>
            <w:bookmarkStart w:id="44" w:name="_Hlk529824592"/>
            <w:r>
              <w:rPr>
                <w:rFonts w:ascii="Arial" w:hAnsi="Arial" w:cs="Arial"/>
                <w:color w:val="000000"/>
                <w:sz w:val="16"/>
                <w:szCs w:val="16"/>
              </w:rPr>
              <w:t>Intervalo de tiempo comprendido entre la primera respuesta documentada (completa o parcial) y el primer evento documentado de progresión de la enfermedad o muert</w:t>
            </w:r>
            <w:bookmarkEnd w:id="44"/>
            <w:r>
              <w:rPr>
                <w:rFonts w:ascii="Arial" w:hAnsi="Arial" w:cs="Arial"/>
                <w:color w:val="000000"/>
                <w:sz w:val="16"/>
                <w:szCs w:val="16"/>
              </w:rPr>
              <w:t>e</w:t>
            </w:r>
          </w:p>
        </w:tc>
        <w:tc>
          <w:tcPr>
            <w:tcW w:w="1730" w:type="dxa"/>
            <w:tcBorders>
              <w:top w:val="single" w:sz="4" w:space="0" w:color="000000"/>
              <w:left w:val="single" w:sz="4" w:space="0" w:color="000000"/>
              <w:bottom w:val="single" w:sz="4" w:space="0" w:color="000000"/>
              <w:right w:val="single" w:sz="4" w:space="0" w:color="000000"/>
            </w:tcBorders>
            <w:shd w:val="clear" w:color="auto" w:fill="CCFFCC"/>
            <w:vAlign w:val="center"/>
          </w:tcPr>
          <w:p w:rsidR="007D48BC" w:rsidRPr="00132017" w:rsidRDefault="007D48BC" w:rsidP="00ED690E">
            <w:pPr>
              <w:tabs>
                <w:tab w:val="left" w:pos="2924"/>
              </w:tabs>
              <w:autoSpaceDE w:val="0"/>
              <w:snapToGrid w:val="0"/>
              <w:ind w:left="34"/>
              <w:jc w:val="center"/>
              <w:rPr>
                <w:rFonts w:ascii="Arial" w:hAnsi="Arial" w:cs="Arial"/>
                <w:color w:val="000000"/>
                <w:sz w:val="16"/>
                <w:szCs w:val="16"/>
              </w:rPr>
            </w:pPr>
            <w:r>
              <w:rPr>
                <w:rFonts w:ascii="Arial" w:hAnsi="Arial" w:cs="Arial"/>
                <w:color w:val="000000"/>
                <w:sz w:val="16"/>
                <w:szCs w:val="16"/>
              </w:rPr>
              <w:t>Variable intermedia</w:t>
            </w:r>
          </w:p>
        </w:tc>
      </w:tr>
      <w:tr w:rsidR="007D48BC" w:rsidRPr="00E235DB">
        <w:tc>
          <w:tcPr>
            <w:tcW w:w="1246" w:type="dxa"/>
            <w:vMerge/>
            <w:tcBorders>
              <w:left w:val="single" w:sz="4" w:space="0" w:color="000000"/>
            </w:tcBorders>
            <w:vAlign w:val="center"/>
          </w:tcPr>
          <w:p w:rsidR="007D48BC" w:rsidRPr="00132017" w:rsidRDefault="007D48BC" w:rsidP="00273DA4">
            <w:pPr>
              <w:autoSpaceDE w:val="0"/>
              <w:snapToGrid w:val="0"/>
              <w:jc w:val="center"/>
              <w:rPr>
                <w:rFonts w:ascii="Arial" w:hAnsi="Arial" w:cs="Arial"/>
                <w:color w:val="000000"/>
                <w:sz w:val="16"/>
                <w:szCs w:val="16"/>
              </w:rPr>
            </w:pPr>
          </w:p>
        </w:tc>
        <w:tc>
          <w:tcPr>
            <w:tcW w:w="2532" w:type="dxa"/>
            <w:tcBorders>
              <w:top w:val="single" w:sz="4" w:space="0" w:color="000000"/>
              <w:left w:val="single" w:sz="4" w:space="0" w:color="000000"/>
              <w:bottom w:val="single" w:sz="4" w:space="0" w:color="000000"/>
            </w:tcBorders>
            <w:vAlign w:val="center"/>
          </w:tcPr>
          <w:p w:rsidR="007D48BC" w:rsidRPr="00132017" w:rsidRDefault="007D48BC" w:rsidP="00273DA4">
            <w:pPr>
              <w:autoSpaceDE w:val="0"/>
              <w:snapToGrid w:val="0"/>
              <w:jc w:val="center"/>
              <w:rPr>
                <w:rFonts w:ascii="Arial" w:hAnsi="Arial" w:cs="Arial"/>
                <w:color w:val="000000"/>
                <w:sz w:val="16"/>
                <w:szCs w:val="16"/>
              </w:rPr>
            </w:pPr>
            <w:r>
              <w:rPr>
                <w:rFonts w:ascii="Arial" w:hAnsi="Arial" w:cs="Arial"/>
                <w:color w:val="000000"/>
                <w:sz w:val="16"/>
                <w:szCs w:val="16"/>
              </w:rPr>
              <w:t>Supervivencia libre de progresión</w:t>
            </w:r>
          </w:p>
        </w:tc>
        <w:tc>
          <w:tcPr>
            <w:tcW w:w="3990" w:type="dxa"/>
            <w:tcBorders>
              <w:top w:val="single" w:sz="4" w:space="0" w:color="000000"/>
              <w:left w:val="single" w:sz="4" w:space="0" w:color="000000"/>
              <w:bottom w:val="single" w:sz="4" w:space="0" w:color="000000"/>
            </w:tcBorders>
          </w:tcPr>
          <w:p w:rsidR="007D48BC" w:rsidRPr="00E235DB" w:rsidRDefault="007D48BC" w:rsidP="00273DA4">
            <w:pPr>
              <w:autoSpaceDE w:val="0"/>
              <w:snapToGrid w:val="0"/>
              <w:jc w:val="center"/>
              <w:rPr>
                <w:rFonts w:ascii="Arial" w:hAnsi="Arial" w:cs="Arial"/>
                <w:color w:val="000000"/>
              </w:rPr>
            </w:pPr>
            <w:r>
              <w:rPr>
                <w:rFonts w:ascii="Arial" w:hAnsi="Arial" w:cs="Arial"/>
                <w:color w:val="000000"/>
                <w:sz w:val="16"/>
                <w:szCs w:val="16"/>
              </w:rPr>
              <w:t xml:space="preserve">Intervalo de tiempo comprendido entre la dosis de </w:t>
            </w:r>
            <w:r w:rsidRPr="001E7AC2">
              <w:rPr>
                <w:rFonts w:ascii="Arial" w:hAnsi="Arial" w:cs="Arial"/>
                <w:color w:val="000000"/>
                <w:sz w:val="16"/>
                <w:szCs w:val="16"/>
              </w:rPr>
              <w:t>Axicabtagen ciloleucel</w:t>
            </w:r>
            <w:r>
              <w:rPr>
                <w:rFonts w:ascii="Arial" w:hAnsi="Arial" w:cs="Arial"/>
                <w:color w:val="000000"/>
                <w:sz w:val="16"/>
                <w:szCs w:val="16"/>
              </w:rPr>
              <w:t xml:space="preserve"> y la fecha del primer evento documentado de progresión de la enfermedad (según CRI o investigador) o muerte.</w:t>
            </w:r>
          </w:p>
        </w:tc>
        <w:tc>
          <w:tcPr>
            <w:tcW w:w="1730" w:type="dxa"/>
            <w:tcBorders>
              <w:top w:val="single" w:sz="4" w:space="0" w:color="000000"/>
              <w:left w:val="single" w:sz="4" w:space="0" w:color="000000"/>
              <w:bottom w:val="single" w:sz="4" w:space="0" w:color="000000"/>
              <w:right w:val="single" w:sz="4" w:space="0" w:color="000000"/>
            </w:tcBorders>
            <w:shd w:val="clear" w:color="auto" w:fill="CCFFCC"/>
            <w:vAlign w:val="center"/>
          </w:tcPr>
          <w:p w:rsidR="007D48BC" w:rsidRPr="00132017" w:rsidRDefault="007D48BC" w:rsidP="00ED690E">
            <w:pPr>
              <w:tabs>
                <w:tab w:val="left" w:pos="2924"/>
              </w:tabs>
              <w:autoSpaceDE w:val="0"/>
              <w:snapToGrid w:val="0"/>
              <w:ind w:left="34"/>
              <w:jc w:val="center"/>
              <w:rPr>
                <w:rFonts w:ascii="Arial" w:hAnsi="Arial" w:cs="Arial"/>
                <w:color w:val="000000"/>
                <w:sz w:val="16"/>
                <w:szCs w:val="16"/>
              </w:rPr>
            </w:pPr>
            <w:r>
              <w:rPr>
                <w:rFonts w:ascii="Arial" w:hAnsi="Arial" w:cs="Arial"/>
                <w:color w:val="000000"/>
                <w:sz w:val="16"/>
                <w:szCs w:val="16"/>
              </w:rPr>
              <w:t>Variable intermedia</w:t>
            </w:r>
          </w:p>
        </w:tc>
      </w:tr>
      <w:tr w:rsidR="007D48BC" w:rsidRPr="00E235DB">
        <w:tc>
          <w:tcPr>
            <w:tcW w:w="1246" w:type="dxa"/>
            <w:vMerge/>
            <w:tcBorders>
              <w:left w:val="single" w:sz="4" w:space="0" w:color="000000"/>
              <w:bottom w:val="single" w:sz="4" w:space="0" w:color="000000"/>
            </w:tcBorders>
            <w:vAlign w:val="center"/>
          </w:tcPr>
          <w:p w:rsidR="007D48BC" w:rsidRPr="00132017" w:rsidRDefault="007D48BC" w:rsidP="00273DA4">
            <w:pPr>
              <w:autoSpaceDE w:val="0"/>
              <w:snapToGrid w:val="0"/>
              <w:jc w:val="center"/>
              <w:rPr>
                <w:rFonts w:ascii="Arial" w:hAnsi="Arial" w:cs="Arial"/>
                <w:color w:val="000000"/>
                <w:sz w:val="16"/>
                <w:szCs w:val="16"/>
              </w:rPr>
            </w:pPr>
          </w:p>
        </w:tc>
        <w:tc>
          <w:tcPr>
            <w:tcW w:w="2532" w:type="dxa"/>
            <w:tcBorders>
              <w:top w:val="single" w:sz="4" w:space="0" w:color="000000"/>
              <w:left w:val="single" w:sz="4" w:space="0" w:color="000000"/>
              <w:bottom w:val="single" w:sz="4" w:space="0" w:color="000000"/>
            </w:tcBorders>
            <w:vAlign w:val="center"/>
          </w:tcPr>
          <w:p w:rsidR="007D48BC" w:rsidRPr="00132017" w:rsidRDefault="007D48BC" w:rsidP="00273DA4">
            <w:pPr>
              <w:autoSpaceDE w:val="0"/>
              <w:snapToGrid w:val="0"/>
              <w:jc w:val="center"/>
              <w:rPr>
                <w:rFonts w:ascii="Arial" w:hAnsi="Arial" w:cs="Arial"/>
                <w:color w:val="000000"/>
                <w:sz w:val="16"/>
                <w:szCs w:val="16"/>
              </w:rPr>
            </w:pPr>
            <w:r>
              <w:rPr>
                <w:rFonts w:ascii="Arial" w:hAnsi="Arial" w:cs="Arial"/>
                <w:color w:val="000000"/>
                <w:sz w:val="16"/>
                <w:szCs w:val="16"/>
              </w:rPr>
              <w:t>Supervivencia global</w:t>
            </w:r>
          </w:p>
        </w:tc>
        <w:tc>
          <w:tcPr>
            <w:tcW w:w="3990" w:type="dxa"/>
            <w:tcBorders>
              <w:top w:val="single" w:sz="4" w:space="0" w:color="000000"/>
              <w:left w:val="single" w:sz="4" w:space="0" w:color="000000"/>
              <w:bottom w:val="single" w:sz="4" w:space="0" w:color="000000"/>
            </w:tcBorders>
          </w:tcPr>
          <w:p w:rsidR="007D48BC" w:rsidRPr="00E235DB" w:rsidRDefault="007D48BC" w:rsidP="00273DA4">
            <w:pPr>
              <w:autoSpaceDE w:val="0"/>
              <w:snapToGrid w:val="0"/>
              <w:jc w:val="center"/>
              <w:rPr>
                <w:rFonts w:ascii="Arial" w:hAnsi="Arial" w:cs="Arial"/>
                <w:color w:val="000000"/>
              </w:rPr>
            </w:pPr>
            <w:r>
              <w:rPr>
                <w:rFonts w:ascii="Arial" w:hAnsi="Arial" w:cs="Arial"/>
                <w:color w:val="000000"/>
                <w:sz w:val="16"/>
                <w:szCs w:val="16"/>
              </w:rPr>
              <w:t xml:space="preserve">Intervalo de tiempo comprendido entre la dosis de </w:t>
            </w:r>
            <w:r w:rsidRPr="001E7AC2">
              <w:rPr>
                <w:rFonts w:ascii="Arial" w:hAnsi="Arial" w:cs="Arial"/>
                <w:color w:val="000000"/>
                <w:sz w:val="16"/>
                <w:szCs w:val="16"/>
              </w:rPr>
              <w:t xml:space="preserve">Axicabtagen ciloleucel </w:t>
            </w:r>
            <w:r>
              <w:rPr>
                <w:rFonts w:ascii="Arial" w:hAnsi="Arial" w:cs="Arial"/>
                <w:color w:val="000000"/>
                <w:sz w:val="16"/>
                <w:szCs w:val="16"/>
              </w:rPr>
              <w:t>y la fecha de muerte.</w:t>
            </w:r>
          </w:p>
        </w:tc>
        <w:tc>
          <w:tcPr>
            <w:tcW w:w="1730" w:type="dxa"/>
            <w:tcBorders>
              <w:top w:val="single" w:sz="4" w:space="0" w:color="000000"/>
              <w:left w:val="single" w:sz="4" w:space="0" w:color="000000"/>
              <w:bottom w:val="single" w:sz="4" w:space="0" w:color="000000"/>
              <w:right w:val="single" w:sz="4" w:space="0" w:color="000000"/>
            </w:tcBorders>
            <w:shd w:val="clear" w:color="auto" w:fill="CCFFCC"/>
            <w:vAlign w:val="center"/>
          </w:tcPr>
          <w:p w:rsidR="007D48BC" w:rsidRPr="00132017" w:rsidRDefault="007D48BC" w:rsidP="00ED690E">
            <w:pPr>
              <w:tabs>
                <w:tab w:val="left" w:pos="2924"/>
              </w:tabs>
              <w:autoSpaceDE w:val="0"/>
              <w:snapToGrid w:val="0"/>
              <w:ind w:left="34"/>
              <w:jc w:val="center"/>
              <w:rPr>
                <w:rFonts w:ascii="Arial" w:hAnsi="Arial" w:cs="Arial"/>
                <w:color w:val="000000"/>
                <w:sz w:val="16"/>
                <w:szCs w:val="16"/>
              </w:rPr>
            </w:pPr>
            <w:r>
              <w:rPr>
                <w:rFonts w:ascii="Arial" w:hAnsi="Arial" w:cs="Arial"/>
                <w:color w:val="000000"/>
                <w:sz w:val="16"/>
                <w:szCs w:val="16"/>
              </w:rPr>
              <w:t>Variable Final</w:t>
            </w:r>
          </w:p>
        </w:tc>
      </w:tr>
      <w:tr w:rsidR="007D48BC" w:rsidRPr="00E235DB">
        <w:tc>
          <w:tcPr>
            <w:tcW w:w="1246" w:type="dxa"/>
            <w:tcBorders>
              <w:top w:val="single" w:sz="4" w:space="0" w:color="000000"/>
              <w:left w:val="single" w:sz="4" w:space="0" w:color="000000"/>
              <w:bottom w:val="single" w:sz="4" w:space="0" w:color="000000"/>
            </w:tcBorders>
            <w:shd w:val="clear" w:color="auto" w:fill="DDD9C3"/>
            <w:vAlign w:val="center"/>
          </w:tcPr>
          <w:p w:rsidR="007D48BC" w:rsidRPr="00132017" w:rsidRDefault="007D48BC" w:rsidP="00056CC9">
            <w:pPr>
              <w:autoSpaceDE w:val="0"/>
              <w:snapToGrid w:val="0"/>
              <w:jc w:val="center"/>
              <w:rPr>
                <w:rFonts w:ascii="Arial" w:hAnsi="Arial" w:cs="Arial"/>
                <w:b/>
                <w:bCs/>
                <w:color w:val="000000"/>
                <w:sz w:val="16"/>
                <w:szCs w:val="16"/>
              </w:rPr>
            </w:pPr>
            <w:r w:rsidRPr="00132017">
              <w:rPr>
                <w:rFonts w:ascii="Arial" w:hAnsi="Arial" w:cs="Arial"/>
                <w:b/>
                <w:bCs/>
                <w:color w:val="000000"/>
                <w:sz w:val="16"/>
                <w:szCs w:val="16"/>
              </w:rPr>
              <w:t>SEGURIDAD</w:t>
            </w:r>
          </w:p>
        </w:tc>
        <w:tc>
          <w:tcPr>
            <w:tcW w:w="2532" w:type="dxa"/>
            <w:tcBorders>
              <w:top w:val="single" w:sz="4" w:space="0" w:color="000000"/>
              <w:left w:val="single" w:sz="4" w:space="0" w:color="000000"/>
              <w:bottom w:val="single" w:sz="4" w:space="0" w:color="000000"/>
            </w:tcBorders>
            <w:shd w:val="clear" w:color="auto" w:fill="DDD9C3"/>
            <w:vAlign w:val="center"/>
          </w:tcPr>
          <w:p w:rsidR="007D48BC" w:rsidRPr="00132017" w:rsidRDefault="007D48BC" w:rsidP="00056CC9">
            <w:pPr>
              <w:autoSpaceDE w:val="0"/>
              <w:snapToGrid w:val="0"/>
              <w:jc w:val="center"/>
              <w:rPr>
                <w:rFonts w:ascii="Arial" w:hAnsi="Arial" w:cs="Arial"/>
                <w:b/>
                <w:bCs/>
                <w:color w:val="000000"/>
                <w:sz w:val="16"/>
                <w:szCs w:val="16"/>
              </w:rPr>
            </w:pPr>
          </w:p>
        </w:tc>
        <w:tc>
          <w:tcPr>
            <w:tcW w:w="3990" w:type="dxa"/>
            <w:tcBorders>
              <w:top w:val="single" w:sz="4" w:space="0" w:color="000000"/>
              <w:left w:val="single" w:sz="4" w:space="0" w:color="000000"/>
              <w:bottom w:val="single" w:sz="4" w:space="0" w:color="000000"/>
            </w:tcBorders>
            <w:shd w:val="clear" w:color="auto" w:fill="DDD9C3"/>
            <w:vAlign w:val="center"/>
          </w:tcPr>
          <w:p w:rsidR="007D48BC" w:rsidRPr="00132017" w:rsidRDefault="007D48BC" w:rsidP="00056CC9">
            <w:pPr>
              <w:autoSpaceDE w:val="0"/>
              <w:snapToGrid w:val="0"/>
              <w:jc w:val="center"/>
              <w:rPr>
                <w:rFonts w:ascii="Arial" w:hAnsi="Arial" w:cs="Arial"/>
                <w:b/>
                <w:bCs/>
                <w:color w:val="000000"/>
                <w:sz w:val="16"/>
                <w:szCs w:val="16"/>
              </w:rPr>
            </w:pPr>
          </w:p>
        </w:tc>
        <w:tc>
          <w:tcPr>
            <w:tcW w:w="1730" w:type="dxa"/>
            <w:tcBorders>
              <w:top w:val="single" w:sz="4" w:space="0" w:color="000000"/>
              <w:left w:val="single" w:sz="4" w:space="0" w:color="000000"/>
              <w:bottom w:val="single" w:sz="4" w:space="0" w:color="000000"/>
              <w:right w:val="single" w:sz="4" w:space="0" w:color="000000"/>
            </w:tcBorders>
            <w:shd w:val="clear" w:color="auto" w:fill="DDD9C3"/>
            <w:vAlign w:val="center"/>
          </w:tcPr>
          <w:p w:rsidR="007D48BC" w:rsidRPr="00132017" w:rsidRDefault="007D48BC" w:rsidP="00ED690E">
            <w:pPr>
              <w:tabs>
                <w:tab w:val="left" w:pos="2924"/>
              </w:tabs>
              <w:autoSpaceDE w:val="0"/>
              <w:snapToGrid w:val="0"/>
              <w:ind w:left="34"/>
              <w:jc w:val="center"/>
              <w:rPr>
                <w:rFonts w:ascii="Arial" w:hAnsi="Arial" w:cs="Arial"/>
                <w:b/>
                <w:bCs/>
                <w:color w:val="000000"/>
                <w:sz w:val="16"/>
                <w:szCs w:val="16"/>
              </w:rPr>
            </w:pPr>
          </w:p>
        </w:tc>
      </w:tr>
      <w:tr w:rsidR="007D48BC" w:rsidRPr="00E235DB">
        <w:tc>
          <w:tcPr>
            <w:tcW w:w="1246" w:type="dxa"/>
            <w:tcBorders>
              <w:top w:val="single" w:sz="4" w:space="0" w:color="000000"/>
              <w:left w:val="single" w:sz="4" w:space="0" w:color="000000"/>
              <w:bottom w:val="single" w:sz="4" w:space="0" w:color="000000"/>
            </w:tcBorders>
            <w:shd w:val="clear" w:color="auto" w:fill="FFFFFF"/>
            <w:vAlign w:val="center"/>
          </w:tcPr>
          <w:p w:rsidR="007D48BC" w:rsidRPr="00BF3C74" w:rsidRDefault="007D48BC" w:rsidP="00056CC9">
            <w:pPr>
              <w:autoSpaceDE w:val="0"/>
              <w:snapToGrid w:val="0"/>
              <w:jc w:val="center"/>
              <w:rPr>
                <w:rFonts w:ascii="Arial" w:hAnsi="Arial" w:cs="Arial"/>
                <w:color w:val="000000"/>
                <w:sz w:val="16"/>
                <w:szCs w:val="16"/>
              </w:rPr>
            </w:pPr>
            <w:r>
              <w:rPr>
                <w:rFonts w:ascii="Arial" w:hAnsi="Arial" w:cs="Arial"/>
                <w:color w:val="000000"/>
                <w:sz w:val="16"/>
                <w:szCs w:val="16"/>
              </w:rPr>
              <w:t>Variable principal</w:t>
            </w:r>
          </w:p>
        </w:tc>
        <w:tc>
          <w:tcPr>
            <w:tcW w:w="6522" w:type="dxa"/>
            <w:gridSpan w:val="2"/>
            <w:tcBorders>
              <w:top w:val="single" w:sz="4" w:space="0" w:color="000000"/>
              <w:left w:val="single" w:sz="4" w:space="0" w:color="000000"/>
              <w:bottom w:val="single" w:sz="4" w:space="0" w:color="000000"/>
            </w:tcBorders>
            <w:shd w:val="clear" w:color="auto" w:fill="FFFFFF"/>
            <w:vAlign w:val="center"/>
          </w:tcPr>
          <w:p w:rsidR="007D48BC" w:rsidRPr="00BF3C74" w:rsidRDefault="007D48BC" w:rsidP="00056CC9">
            <w:pPr>
              <w:autoSpaceDE w:val="0"/>
              <w:snapToGrid w:val="0"/>
              <w:jc w:val="center"/>
              <w:rPr>
                <w:rFonts w:ascii="Arial" w:hAnsi="Arial" w:cs="Arial"/>
                <w:color w:val="000000"/>
                <w:sz w:val="16"/>
                <w:szCs w:val="16"/>
              </w:rPr>
            </w:pPr>
            <w:r>
              <w:rPr>
                <w:rFonts w:ascii="Arial" w:hAnsi="Arial" w:cs="Arial"/>
                <w:color w:val="000000"/>
                <w:sz w:val="16"/>
                <w:szCs w:val="16"/>
              </w:rPr>
              <w:t>Incidencia de efectos adversos</w:t>
            </w:r>
          </w:p>
        </w:tc>
        <w:tc>
          <w:tcPr>
            <w:tcW w:w="1730" w:type="dxa"/>
            <w:tcBorders>
              <w:top w:val="single" w:sz="4" w:space="0" w:color="000000"/>
              <w:left w:val="single" w:sz="4" w:space="0" w:color="000000"/>
              <w:bottom w:val="single" w:sz="4" w:space="0" w:color="000000"/>
              <w:right w:val="single" w:sz="4" w:space="0" w:color="000000"/>
            </w:tcBorders>
            <w:shd w:val="clear" w:color="auto" w:fill="CCFFCC"/>
            <w:vAlign w:val="center"/>
          </w:tcPr>
          <w:p w:rsidR="007D48BC" w:rsidRPr="000B09CB" w:rsidRDefault="007D48BC" w:rsidP="00ED690E">
            <w:pPr>
              <w:tabs>
                <w:tab w:val="left" w:pos="2924"/>
              </w:tabs>
              <w:autoSpaceDE w:val="0"/>
              <w:snapToGrid w:val="0"/>
              <w:ind w:left="34"/>
              <w:jc w:val="center"/>
              <w:rPr>
                <w:rFonts w:ascii="Arial" w:hAnsi="Arial" w:cs="Arial"/>
                <w:color w:val="000000"/>
              </w:rPr>
            </w:pPr>
            <w:r>
              <w:rPr>
                <w:rFonts w:ascii="Arial" w:hAnsi="Arial" w:cs="Arial"/>
                <w:color w:val="000000"/>
                <w:sz w:val="16"/>
                <w:szCs w:val="16"/>
              </w:rPr>
              <w:t>Variable Final</w:t>
            </w:r>
          </w:p>
        </w:tc>
      </w:tr>
      <w:tr w:rsidR="007D48BC" w:rsidRPr="00E235DB">
        <w:tc>
          <w:tcPr>
            <w:tcW w:w="1246" w:type="dxa"/>
            <w:vMerge w:val="restart"/>
            <w:tcBorders>
              <w:top w:val="single" w:sz="4" w:space="0" w:color="000000"/>
              <w:left w:val="single" w:sz="4" w:space="0" w:color="000000"/>
            </w:tcBorders>
            <w:shd w:val="clear" w:color="auto" w:fill="FFFFFF"/>
            <w:vAlign w:val="center"/>
          </w:tcPr>
          <w:p w:rsidR="007D48BC" w:rsidRDefault="007D48BC" w:rsidP="007E5EF2">
            <w:pPr>
              <w:autoSpaceDE w:val="0"/>
              <w:snapToGrid w:val="0"/>
              <w:jc w:val="center"/>
              <w:rPr>
                <w:rFonts w:ascii="Arial" w:hAnsi="Arial" w:cs="Arial"/>
                <w:color w:val="000000"/>
                <w:sz w:val="16"/>
                <w:szCs w:val="16"/>
              </w:rPr>
            </w:pPr>
            <w:r w:rsidRPr="00132017">
              <w:rPr>
                <w:rFonts w:ascii="Arial" w:hAnsi="Arial" w:cs="Arial"/>
                <w:color w:val="000000"/>
                <w:sz w:val="16"/>
                <w:szCs w:val="16"/>
              </w:rPr>
              <w:t>Variables secundarias</w:t>
            </w:r>
          </w:p>
        </w:tc>
        <w:tc>
          <w:tcPr>
            <w:tcW w:w="6522" w:type="dxa"/>
            <w:gridSpan w:val="2"/>
            <w:tcBorders>
              <w:top w:val="single" w:sz="4" w:space="0" w:color="000000"/>
              <w:left w:val="single" w:sz="4" w:space="0" w:color="000000"/>
              <w:bottom w:val="single" w:sz="4" w:space="0" w:color="000000"/>
            </w:tcBorders>
            <w:shd w:val="clear" w:color="auto" w:fill="FFFFFF"/>
            <w:vAlign w:val="center"/>
          </w:tcPr>
          <w:p w:rsidR="007D48BC" w:rsidRPr="00BF3C74" w:rsidRDefault="007D48BC" w:rsidP="007E5EF2">
            <w:pPr>
              <w:autoSpaceDE w:val="0"/>
              <w:snapToGrid w:val="0"/>
              <w:jc w:val="center"/>
              <w:rPr>
                <w:rFonts w:ascii="Arial" w:hAnsi="Arial" w:cs="Arial"/>
                <w:color w:val="000000"/>
                <w:sz w:val="16"/>
                <w:szCs w:val="16"/>
              </w:rPr>
            </w:pPr>
            <w:r>
              <w:rPr>
                <w:rFonts w:ascii="Arial" w:hAnsi="Arial" w:cs="Arial"/>
                <w:color w:val="000000"/>
                <w:sz w:val="16"/>
                <w:szCs w:val="16"/>
              </w:rPr>
              <w:t xml:space="preserve">Alteraciones de laboratorio </w:t>
            </w:r>
          </w:p>
        </w:tc>
        <w:tc>
          <w:tcPr>
            <w:tcW w:w="1730" w:type="dxa"/>
            <w:tcBorders>
              <w:top w:val="single" w:sz="4" w:space="0" w:color="000000"/>
              <w:left w:val="single" w:sz="4" w:space="0" w:color="000000"/>
              <w:bottom w:val="single" w:sz="4" w:space="0" w:color="000000"/>
              <w:right w:val="single" w:sz="4" w:space="0" w:color="000000"/>
            </w:tcBorders>
            <w:shd w:val="clear" w:color="auto" w:fill="CCFFCC"/>
            <w:vAlign w:val="center"/>
          </w:tcPr>
          <w:p w:rsidR="007D48BC" w:rsidRPr="000B09CB" w:rsidRDefault="007D48BC" w:rsidP="007E5EF2">
            <w:pPr>
              <w:tabs>
                <w:tab w:val="left" w:pos="2924"/>
              </w:tabs>
              <w:autoSpaceDE w:val="0"/>
              <w:snapToGrid w:val="0"/>
              <w:ind w:left="34"/>
              <w:jc w:val="center"/>
              <w:rPr>
                <w:rFonts w:ascii="Arial" w:hAnsi="Arial" w:cs="Arial"/>
                <w:color w:val="000000"/>
              </w:rPr>
            </w:pPr>
            <w:r>
              <w:rPr>
                <w:rFonts w:ascii="Arial" w:hAnsi="Arial" w:cs="Arial"/>
                <w:color w:val="000000"/>
                <w:sz w:val="16"/>
                <w:szCs w:val="16"/>
              </w:rPr>
              <w:t>Variable intermedia</w:t>
            </w:r>
          </w:p>
        </w:tc>
      </w:tr>
      <w:tr w:rsidR="007D48BC" w:rsidRPr="00F0616F">
        <w:tc>
          <w:tcPr>
            <w:tcW w:w="1246" w:type="dxa"/>
            <w:vMerge/>
            <w:tcBorders>
              <w:left w:val="single" w:sz="4" w:space="0" w:color="000000"/>
              <w:bottom w:val="single" w:sz="4" w:space="0" w:color="000000"/>
            </w:tcBorders>
            <w:shd w:val="clear" w:color="auto" w:fill="FFFFFF"/>
            <w:vAlign w:val="center"/>
          </w:tcPr>
          <w:p w:rsidR="007D48BC" w:rsidRDefault="007D48BC" w:rsidP="007E5EF2">
            <w:pPr>
              <w:autoSpaceDE w:val="0"/>
              <w:snapToGrid w:val="0"/>
              <w:jc w:val="center"/>
              <w:rPr>
                <w:rFonts w:ascii="Arial" w:hAnsi="Arial" w:cs="Arial"/>
                <w:color w:val="000000"/>
                <w:sz w:val="16"/>
                <w:szCs w:val="16"/>
              </w:rPr>
            </w:pPr>
          </w:p>
        </w:tc>
        <w:tc>
          <w:tcPr>
            <w:tcW w:w="6522" w:type="dxa"/>
            <w:gridSpan w:val="2"/>
            <w:tcBorders>
              <w:top w:val="single" w:sz="4" w:space="0" w:color="000000"/>
              <w:left w:val="single" w:sz="4" w:space="0" w:color="000000"/>
              <w:bottom w:val="single" w:sz="4" w:space="0" w:color="000000"/>
            </w:tcBorders>
            <w:shd w:val="clear" w:color="auto" w:fill="FFFFFF"/>
            <w:vAlign w:val="center"/>
          </w:tcPr>
          <w:p w:rsidR="007D48BC" w:rsidRPr="00ED690E" w:rsidRDefault="007D48BC" w:rsidP="007E5EF2">
            <w:pPr>
              <w:autoSpaceDE w:val="0"/>
              <w:snapToGrid w:val="0"/>
              <w:jc w:val="center"/>
              <w:rPr>
                <w:rFonts w:ascii="Arial" w:hAnsi="Arial" w:cs="Arial"/>
                <w:color w:val="000000"/>
                <w:sz w:val="16"/>
                <w:szCs w:val="16"/>
              </w:rPr>
            </w:pPr>
            <w:r>
              <w:rPr>
                <w:rFonts w:ascii="Arial" w:hAnsi="Arial" w:cs="Arial"/>
                <w:color w:val="000000"/>
                <w:sz w:val="16"/>
                <w:szCs w:val="16"/>
              </w:rPr>
              <w:t xml:space="preserve">Presencia de </w:t>
            </w:r>
            <w:r w:rsidRPr="00F0616F">
              <w:rPr>
                <w:rFonts w:ascii="Arial" w:hAnsi="Arial" w:cs="Arial"/>
                <w:i/>
                <w:iCs/>
                <w:color w:val="000000"/>
                <w:sz w:val="16"/>
                <w:szCs w:val="16"/>
              </w:rPr>
              <w:t>replication competent retrovirus</w:t>
            </w:r>
            <w:r w:rsidRPr="00ED690E">
              <w:rPr>
                <w:rFonts w:ascii="Arial" w:hAnsi="Arial" w:cs="Arial"/>
                <w:color w:val="000000"/>
                <w:sz w:val="16"/>
                <w:szCs w:val="16"/>
              </w:rPr>
              <w:t xml:space="preserve"> (RCR) o anticuerpos a</w:t>
            </w:r>
            <w:r>
              <w:rPr>
                <w:rFonts w:ascii="Arial" w:hAnsi="Arial" w:cs="Arial"/>
                <w:color w:val="000000"/>
                <w:sz w:val="16"/>
                <w:szCs w:val="16"/>
              </w:rPr>
              <w:t>nti</w:t>
            </w:r>
          </w:p>
          <w:p w:rsidR="007D48BC" w:rsidRPr="00F0616F" w:rsidRDefault="007D48BC" w:rsidP="007E5EF2">
            <w:pPr>
              <w:autoSpaceDE w:val="0"/>
              <w:snapToGrid w:val="0"/>
              <w:jc w:val="center"/>
              <w:rPr>
                <w:rFonts w:ascii="Arial" w:hAnsi="Arial" w:cs="Arial"/>
                <w:color w:val="000000"/>
                <w:sz w:val="16"/>
                <w:szCs w:val="16"/>
              </w:rPr>
            </w:pPr>
            <w:r w:rsidRPr="00F0616F">
              <w:rPr>
                <w:rFonts w:ascii="Arial" w:hAnsi="Arial" w:cs="Arial"/>
                <w:color w:val="000000"/>
                <w:sz w:val="16"/>
                <w:szCs w:val="16"/>
              </w:rPr>
              <w:t>FMC63 o presencia de l</w:t>
            </w:r>
            <w:r>
              <w:rPr>
                <w:rFonts w:ascii="Arial" w:hAnsi="Arial" w:cs="Arial"/>
                <w:color w:val="000000"/>
                <w:sz w:val="16"/>
                <w:szCs w:val="16"/>
              </w:rPr>
              <w:t>a albumina plasmática bovina en la sangre de los individuos</w:t>
            </w:r>
          </w:p>
        </w:tc>
        <w:tc>
          <w:tcPr>
            <w:tcW w:w="1730" w:type="dxa"/>
            <w:tcBorders>
              <w:top w:val="single" w:sz="4" w:space="0" w:color="000000"/>
              <w:left w:val="single" w:sz="4" w:space="0" w:color="000000"/>
              <w:bottom w:val="single" w:sz="4" w:space="0" w:color="000000"/>
              <w:right w:val="single" w:sz="4" w:space="0" w:color="000000"/>
            </w:tcBorders>
            <w:shd w:val="clear" w:color="auto" w:fill="CCFFCC"/>
            <w:vAlign w:val="center"/>
          </w:tcPr>
          <w:p w:rsidR="007D48BC" w:rsidRPr="000B09CB" w:rsidRDefault="007D48BC" w:rsidP="007E5EF2">
            <w:pPr>
              <w:tabs>
                <w:tab w:val="left" w:pos="2924"/>
              </w:tabs>
              <w:autoSpaceDE w:val="0"/>
              <w:snapToGrid w:val="0"/>
              <w:ind w:left="34"/>
              <w:jc w:val="center"/>
              <w:rPr>
                <w:rFonts w:ascii="Arial" w:hAnsi="Arial" w:cs="Arial"/>
                <w:color w:val="000000"/>
              </w:rPr>
            </w:pPr>
            <w:r>
              <w:rPr>
                <w:rFonts w:ascii="Arial" w:hAnsi="Arial" w:cs="Arial"/>
                <w:color w:val="000000"/>
                <w:sz w:val="16"/>
                <w:szCs w:val="16"/>
              </w:rPr>
              <w:t>Variable intermedia</w:t>
            </w:r>
          </w:p>
        </w:tc>
      </w:tr>
    </w:tbl>
    <w:p w:rsidR="007D48BC" w:rsidRDefault="007D48BC" w:rsidP="003467DA">
      <w:pPr>
        <w:jc w:val="both"/>
        <w:rPr>
          <w:rFonts w:ascii="Arial" w:hAnsi="Arial" w:cs="Arial"/>
          <w:color w:val="0000FF"/>
          <w:u w:val="single"/>
          <w:lang w:val="pt-BR"/>
        </w:rPr>
      </w:pPr>
    </w:p>
    <w:p w:rsidR="007D48BC" w:rsidRDefault="007D48BC" w:rsidP="003467DA">
      <w:pPr>
        <w:pStyle w:val="Ttulo2"/>
        <w:pBdr>
          <w:top w:val="single" w:sz="4" w:space="1" w:color="000000"/>
          <w:left w:val="single" w:sz="4" w:space="4" w:color="000000"/>
          <w:bottom w:val="single" w:sz="4" w:space="1" w:color="000000"/>
          <w:right w:val="single" w:sz="4" w:space="4" w:color="000000"/>
        </w:pBdr>
        <w:shd w:val="clear" w:color="auto" w:fill="D9D9D9"/>
        <w:rPr>
          <w:sz w:val="20"/>
          <w:szCs w:val="20"/>
        </w:rPr>
      </w:pPr>
      <w:r>
        <w:rPr>
          <w:sz w:val="20"/>
          <w:szCs w:val="20"/>
        </w:rPr>
        <w:t>5.1. c Definiciones utilizadas en los ensayos</w:t>
      </w:r>
      <w:r w:rsidR="00FE59AC">
        <w:rPr>
          <w:sz w:val="20"/>
          <w:szCs w:val="20"/>
        </w:rPr>
        <w:fldChar w:fldCharType="begin"/>
      </w:r>
      <w:r>
        <w:instrText>xe "</w:instrText>
      </w:r>
      <w:r w:rsidRPr="00D938A0">
        <w:rPr>
          <w:sz w:val="20"/>
          <w:szCs w:val="20"/>
        </w:rPr>
        <w:instrText>5.1. c Definiciones utilizadas en los ensayos</w:instrText>
      </w:r>
      <w:r>
        <w:instrText>"</w:instrText>
      </w:r>
      <w:r w:rsidR="00FE59AC">
        <w:rPr>
          <w:sz w:val="20"/>
          <w:szCs w:val="20"/>
        </w:rPr>
        <w:fldChar w:fldCharType="end"/>
      </w:r>
      <w:r>
        <w:rPr>
          <w:sz w:val="20"/>
          <w:szCs w:val="20"/>
        </w:rPr>
        <w:t xml:space="preserve"> </w:t>
      </w:r>
    </w:p>
    <w:p w:rsidR="007D48BC" w:rsidRDefault="007D48BC" w:rsidP="003467DA">
      <w:pPr>
        <w:rPr>
          <w:rFonts w:ascii="Arial" w:hAnsi="Arial" w:cs="Arial"/>
          <w:color w:val="0000FF"/>
          <w:u w:val="single"/>
        </w:rPr>
      </w:pPr>
    </w:p>
    <w:p w:rsidR="007D48BC" w:rsidRDefault="007D48BC" w:rsidP="00BF72B7">
      <w:pPr>
        <w:spacing w:line="360" w:lineRule="auto"/>
        <w:jc w:val="both"/>
        <w:rPr>
          <w:rFonts w:ascii="Arial" w:hAnsi="Arial" w:cs="Arial"/>
        </w:rPr>
      </w:pPr>
      <w:r>
        <w:rPr>
          <w:rFonts w:ascii="Arial" w:hAnsi="Arial" w:cs="Arial"/>
        </w:rPr>
        <w:t>Se define la enfermedad refractaria a QT como aquella que cumple UNO de los siguientes criterios</w:t>
      </w:r>
      <w:r w:rsidRPr="000C61D1">
        <w:rPr>
          <w:rFonts w:ascii="Arial" w:hAnsi="Arial" w:cs="Arial"/>
          <w:vertAlign w:val="superscript"/>
        </w:rPr>
        <w:t>1</w:t>
      </w:r>
      <w:r>
        <w:rPr>
          <w:rFonts w:ascii="Arial" w:hAnsi="Arial" w:cs="Arial"/>
          <w:vertAlign w:val="superscript"/>
        </w:rPr>
        <w:t>4</w:t>
      </w:r>
      <w:r>
        <w:rPr>
          <w:rFonts w:ascii="Arial" w:hAnsi="Arial" w:cs="Arial"/>
        </w:rPr>
        <w:t xml:space="preserve">: </w:t>
      </w:r>
    </w:p>
    <w:p w:rsidR="007D48BC" w:rsidRDefault="007D48BC" w:rsidP="00BF72B7">
      <w:pPr>
        <w:spacing w:line="360" w:lineRule="auto"/>
        <w:jc w:val="both"/>
        <w:rPr>
          <w:rFonts w:ascii="Arial" w:hAnsi="Arial" w:cs="Arial"/>
        </w:rPr>
      </w:pPr>
      <w:r>
        <w:rPr>
          <w:rFonts w:ascii="Arial" w:hAnsi="Arial" w:cs="Arial"/>
        </w:rPr>
        <w:t>-No respuesta a la primera línea de QT (enfermedad refractaria primaria) que incluye progresión a la primera línea o estabilización tras 4 ciclos de la primera línea no superior a 6 meses desde el último ciclo.</w:t>
      </w:r>
    </w:p>
    <w:p w:rsidR="007D48BC" w:rsidRPr="00BF72B7" w:rsidRDefault="007D48BC" w:rsidP="00BF72B7">
      <w:pPr>
        <w:spacing w:line="360" w:lineRule="auto"/>
        <w:jc w:val="both"/>
        <w:rPr>
          <w:rFonts w:ascii="Arial" w:hAnsi="Arial" w:cs="Arial"/>
        </w:rPr>
      </w:pPr>
      <w:r>
        <w:rPr>
          <w:rFonts w:ascii="Arial" w:hAnsi="Arial" w:cs="Arial"/>
        </w:rPr>
        <w:t xml:space="preserve"> -</w:t>
      </w:r>
      <w:r w:rsidRPr="000C61D1">
        <w:rPr>
          <w:rFonts w:ascii="Arial" w:hAnsi="Arial" w:cs="Arial"/>
        </w:rPr>
        <w:t xml:space="preserve"> </w:t>
      </w:r>
      <w:r>
        <w:rPr>
          <w:rFonts w:ascii="Arial" w:hAnsi="Arial" w:cs="Arial"/>
        </w:rPr>
        <w:t xml:space="preserve">No respuesta a segundas líneas o superiores que incluye progresión al último tratamiento o estabilización de la enfermedad tras 2 ciclos con una duración inferior a los 6 meses desde el último tratamiento. </w:t>
      </w:r>
    </w:p>
    <w:p w:rsidR="007D48BC" w:rsidRDefault="007D48BC" w:rsidP="000C61D1">
      <w:pPr>
        <w:spacing w:line="360" w:lineRule="auto"/>
        <w:jc w:val="both"/>
        <w:rPr>
          <w:rFonts w:ascii="Arial" w:hAnsi="Arial" w:cs="Arial"/>
        </w:rPr>
      </w:pPr>
      <w:r>
        <w:rPr>
          <w:rFonts w:ascii="Arial" w:hAnsi="Arial" w:cs="Arial"/>
        </w:rPr>
        <w:t>-Fracaso tras TAPH, que consiste en progresión de la enfermedad o recaída en los 12 primeros meses tras el TAPH (debe confirmarse con biopsia). También se incluyen los pacientes que han sido tratados con tratamiento de rescate post-TAPH y no han respondido o han recaído.</w:t>
      </w:r>
    </w:p>
    <w:p w:rsidR="007D48BC" w:rsidRPr="000C61D1" w:rsidRDefault="007D48BC" w:rsidP="00D11108">
      <w:pPr>
        <w:rPr>
          <w:rFonts w:ascii="Arial" w:hAnsi="Arial" w:cs="Arial"/>
          <w:color w:val="0000FF"/>
          <w:u w:val="single"/>
        </w:rPr>
      </w:pPr>
    </w:p>
    <w:p w:rsidR="007D48BC" w:rsidRPr="00E3472F" w:rsidRDefault="007D48BC" w:rsidP="00BC3E8E">
      <w:pPr>
        <w:pStyle w:val="Ttulo2"/>
        <w:pBdr>
          <w:top w:val="single" w:sz="4" w:space="1" w:color="auto"/>
          <w:left w:val="single" w:sz="4" w:space="4" w:color="auto"/>
          <w:bottom w:val="single" w:sz="4" w:space="1" w:color="auto"/>
          <w:right w:val="single" w:sz="4" w:space="4" w:color="auto"/>
        </w:pBdr>
        <w:shd w:val="clear" w:color="auto" w:fill="D9D9D9"/>
        <w:rPr>
          <w:sz w:val="20"/>
          <w:szCs w:val="20"/>
        </w:rPr>
      </w:pPr>
      <w:bookmarkStart w:id="45" w:name="_Toc344399635"/>
      <w:bookmarkStart w:id="46" w:name="_Toc348931362"/>
      <w:r w:rsidRPr="00E3472F">
        <w:rPr>
          <w:sz w:val="20"/>
          <w:szCs w:val="20"/>
        </w:rPr>
        <w:t>5.2.a Resultados de los ensayos clínicos</w:t>
      </w:r>
      <w:bookmarkEnd w:id="45"/>
      <w:bookmarkEnd w:id="46"/>
      <w:r w:rsidR="00FE59AC">
        <w:rPr>
          <w:sz w:val="20"/>
          <w:szCs w:val="20"/>
        </w:rPr>
        <w:fldChar w:fldCharType="begin"/>
      </w:r>
      <w:r>
        <w:instrText>xe "</w:instrText>
      </w:r>
      <w:r w:rsidRPr="004634C7">
        <w:rPr>
          <w:sz w:val="20"/>
          <w:szCs w:val="20"/>
        </w:rPr>
        <w:instrText>5.2.a Resultados de los ensayos clínicos</w:instrText>
      </w:r>
      <w:r>
        <w:instrText>"</w:instrText>
      </w:r>
      <w:r w:rsidR="00FE59AC">
        <w:rPr>
          <w:sz w:val="20"/>
          <w:szCs w:val="20"/>
        </w:rPr>
        <w:fldChar w:fldCharType="end"/>
      </w:r>
      <w:r w:rsidRPr="00E3472F">
        <w:rPr>
          <w:sz w:val="20"/>
          <w:szCs w:val="20"/>
        </w:rPr>
        <w:t xml:space="preserve"> </w:t>
      </w:r>
    </w:p>
    <w:p w:rsidR="007D48BC" w:rsidRDefault="007D48BC" w:rsidP="00BC3E8E">
      <w:pPr>
        <w:jc w:val="both"/>
        <w:rPr>
          <w:rFonts w:ascii="Arial" w:hAnsi="Arial" w:cs="Arial"/>
          <w:b/>
          <w:bCs/>
          <w:color w:val="000080"/>
        </w:rPr>
      </w:pPr>
    </w:p>
    <w:p w:rsidR="0007769E" w:rsidRDefault="0007769E" w:rsidP="00BC3E8E">
      <w:pPr>
        <w:jc w:val="both"/>
        <w:rPr>
          <w:rFonts w:ascii="Arial" w:hAnsi="Arial" w:cs="Arial"/>
          <w:b/>
          <w:bCs/>
          <w:color w:val="000080"/>
        </w:rPr>
      </w:pPr>
    </w:p>
    <w:tbl>
      <w:tblPr>
        <w:tblW w:w="8926" w:type="dxa"/>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628"/>
        <w:gridCol w:w="1058"/>
        <w:gridCol w:w="1062"/>
        <w:gridCol w:w="666"/>
        <w:gridCol w:w="1549"/>
        <w:gridCol w:w="179"/>
        <w:gridCol w:w="1748"/>
        <w:gridCol w:w="36"/>
      </w:tblGrid>
      <w:tr w:rsidR="007D48BC" w:rsidRPr="00FA71D2">
        <w:trPr>
          <w:gridAfter w:val="1"/>
          <w:wAfter w:w="36" w:type="dxa"/>
        </w:trPr>
        <w:tc>
          <w:tcPr>
            <w:tcW w:w="8890" w:type="dxa"/>
            <w:gridSpan w:val="7"/>
            <w:shd w:val="clear" w:color="auto" w:fill="CCFFCC"/>
          </w:tcPr>
          <w:p w:rsidR="007D48BC" w:rsidRPr="00117945" w:rsidRDefault="007D48BC" w:rsidP="00BC3E8E">
            <w:pPr>
              <w:rPr>
                <w:rFonts w:ascii="Arial" w:hAnsi="Arial" w:cs="Arial"/>
                <w:i/>
                <w:iCs/>
                <w:sz w:val="18"/>
                <w:szCs w:val="18"/>
                <w:lang w:val="es-ES_tradnl"/>
              </w:rPr>
            </w:pPr>
            <w:r w:rsidRPr="00117945">
              <w:rPr>
                <w:rFonts w:ascii="Arial" w:hAnsi="Arial" w:cs="Arial"/>
                <w:b/>
                <w:bCs/>
                <w:i/>
                <w:iCs/>
                <w:sz w:val="18"/>
                <w:szCs w:val="18"/>
                <w:lang w:val="es-ES_tradnl"/>
              </w:rPr>
              <w:t xml:space="preserve">Tabla </w:t>
            </w:r>
            <w:r>
              <w:rPr>
                <w:rFonts w:ascii="Arial" w:hAnsi="Arial" w:cs="Arial"/>
                <w:b/>
                <w:bCs/>
                <w:i/>
                <w:iCs/>
                <w:sz w:val="18"/>
                <w:szCs w:val="18"/>
                <w:lang w:val="es-ES_tradnl"/>
              </w:rPr>
              <w:t>7</w:t>
            </w:r>
            <w:r w:rsidRPr="00117945">
              <w:rPr>
                <w:rFonts w:ascii="Arial" w:hAnsi="Arial" w:cs="Arial"/>
                <w:b/>
                <w:bCs/>
                <w:i/>
                <w:iCs/>
                <w:sz w:val="18"/>
                <w:szCs w:val="18"/>
                <w:lang w:val="es-ES_tradnl"/>
              </w:rPr>
              <w:t xml:space="preserve">.  </w:t>
            </w:r>
            <w:r>
              <w:rPr>
                <w:rFonts w:ascii="Arial" w:hAnsi="Arial" w:cs="Arial"/>
                <w:b/>
                <w:bCs/>
                <w:sz w:val="18"/>
                <w:szCs w:val="18"/>
              </w:rPr>
              <w:t>Estudio ZUMA-1 (FASE II)</w:t>
            </w:r>
            <w:r w:rsidRPr="009A6B97">
              <w:rPr>
                <w:rFonts w:ascii="Arial" w:hAnsi="Arial" w:cs="Arial"/>
                <w:b/>
                <w:bCs/>
                <w:sz w:val="18"/>
                <w:szCs w:val="18"/>
                <w:vertAlign w:val="superscript"/>
              </w:rPr>
              <w:t>1</w:t>
            </w:r>
            <w:r>
              <w:rPr>
                <w:rFonts w:ascii="Arial" w:hAnsi="Arial" w:cs="Arial"/>
                <w:b/>
                <w:bCs/>
                <w:sz w:val="18"/>
                <w:szCs w:val="18"/>
                <w:vertAlign w:val="superscript"/>
              </w:rPr>
              <w:t>6</w:t>
            </w:r>
          </w:p>
          <w:p w:rsidR="007D48BC" w:rsidRPr="00D851E3" w:rsidRDefault="007D48BC" w:rsidP="00F6366D">
            <w:pPr>
              <w:jc w:val="both"/>
              <w:rPr>
                <w:rFonts w:ascii="Arial" w:hAnsi="Arial" w:cs="Arial"/>
                <w:b/>
                <w:bCs/>
                <w:i/>
                <w:iCs/>
                <w:sz w:val="16"/>
                <w:szCs w:val="16"/>
                <w:lang w:val="en-US"/>
              </w:rPr>
            </w:pPr>
            <w:r w:rsidRPr="003D2521">
              <w:rPr>
                <w:rFonts w:ascii="Arial" w:hAnsi="Arial" w:cs="Arial"/>
                <w:b/>
                <w:bCs/>
                <w:i/>
                <w:iCs/>
                <w:sz w:val="16"/>
                <w:szCs w:val="16"/>
                <w:lang w:val="en-GB"/>
              </w:rPr>
              <w:t>Referencia:</w:t>
            </w:r>
            <w:r w:rsidRPr="003D2521">
              <w:rPr>
                <w:lang w:val="en-GB"/>
              </w:rPr>
              <w:t xml:space="preserve"> </w:t>
            </w:r>
            <w:r w:rsidRPr="003D2521">
              <w:rPr>
                <w:rFonts w:ascii="Arial" w:hAnsi="Arial" w:cs="Arial"/>
                <w:b/>
                <w:bCs/>
                <w:i/>
                <w:iCs/>
                <w:sz w:val="16"/>
                <w:szCs w:val="16"/>
                <w:lang w:val="en-GB"/>
              </w:rPr>
              <w:t xml:space="preserve">Neelapu SS, Locke FL, Bartlett NL, Lekakis LJ, Miklos DB, Jacobson CA, Braunschweig I, et al. </w:t>
            </w:r>
            <w:r w:rsidRPr="00BF72B7">
              <w:rPr>
                <w:rFonts w:ascii="Arial" w:hAnsi="Arial" w:cs="Arial"/>
                <w:b/>
                <w:bCs/>
                <w:i/>
                <w:iCs/>
                <w:sz w:val="16"/>
                <w:szCs w:val="16"/>
                <w:lang w:val="en-US"/>
              </w:rPr>
              <w:t>Axicabtagen</w:t>
            </w:r>
            <w:r w:rsidR="00C404C6">
              <w:rPr>
                <w:rFonts w:ascii="Arial" w:hAnsi="Arial" w:cs="Arial"/>
                <w:b/>
                <w:bCs/>
                <w:i/>
                <w:iCs/>
                <w:sz w:val="16"/>
                <w:szCs w:val="16"/>
                <w:lang w:val="en-US"/>
              </w:rPr>
              <w:t>e</w:t>
            </w:r>
            <w:r w:rsidRPr="00BF72B7">
              <w:rPr>
                <w:rFonts w:ascii="Arial" w:hAnsi="Arial" w:cs="Arial"/>
                <w:b/>
                <w:bCs/>
                <w:i/>
                <w:iCs/>
                <w:sz w:val="16"/>
                <w:szCs w:val="16"/>
                <w:lang w:val="en-US"/>
              </w:rPr>
              <w:t xml:space="preserve"> Ciloleucel CAR T-Cell Therapy</w:t>
            </w:r>
            <w:r>
              <w:rPr>
                <w:rFonts w:ascii="Arial" w:hAnsi="Arial" w:cs="Arial"/>
                <w:b/>
                <w:bCs/>
                <w:i/>
                <w:iCs/>
                <w:sz w:val="16"/>
                <w:szCs w:val="16"/>
                <w:lang w:val="en-US"/>
              </w:rPr>
              <w:t xml:space="preserve"> </w:t>
            </w:r>
            <w:r w:rsidRPr="00BF72B7">
              <w:rPr>
                <w:rFonts w:ascii="Arial" w:hAnsi="Arial" w:cs="Arial"/>
                <w:b/>
                <w:bCs/>
                <w:i/>
                <w:iCs/>
                <w:sz w:val="16"/>
                <w:szCs w:val="16"/>
                <w:lang w:val="en-US"/>
              </w:rPr>
              <w:t>in Refractory Large B-Cell Lymphoma. N Engl J Med. 2017;377(26):2531-44.</w:t>
            </w:r>
            <w:r>
              <w:rPr>
                <w:rFonts w:ascii="Arial" w:hAnsi="Arial" w:cs="Arial"/>
                <w:b/>
                <w:bCs/>
                <w:i/>
                <w:iCs/>
                <w:sz w:val="16"/>
                <w:szCs w:val="16"/>
                <w:lang w:val="en-US"/>
              </w:rPr>
              <w:t xml:space="preserve"> </w:t>
            </w:r>
            <w:r w:rsidRPr="00D851E3">
              <w:rPr>
                <w:rFonts w:ascii="Arial" w:hAnsi="Arial" w:cs="Arial"/>
                <w:b/>
                <w:bCs/>
                <w:i/>
                <w:iCs/>
                <w:sz w:val="16"/>
                <w:szCs w:val="16"/>
                <w:lang w:val="en-US"/>
              </w:rPr>
              <w:t>doi: 10.1056/NEJMoa1707447.</w:t>
            </w:r>
          </w:p>
        </w:tc>
      </w:tr>
      <w:tr w:rsidR="007D48BC" w:rsidRPr="006F6ABB">
        <w:trPr>
          <w:gridAfter w:val="1"/>
          <w:wAfter w:w="36" w:type="dxa"/>
          <w:trHeight w:val="6389"/>
        </w:trPr>
        <w:tc>
          <w:tcPr>
            <w:tcW w:w="8890" w:type="dxa"/>
            <w:gridSpan w:val="7"/>
          </w:tcPr>
          <w:p w:rsidR="007D48BC" w:rsidRPr="006F6ABB" w:rsidRDefault="007D48BC" w:rsidP="00BC3E8E">
            <w:pPr>
              <w:jc w:val="both"/>
              <w:rPr>
                <w:rFonts w:ascii="Arial" w:hAnsi="Arial" w:cs="Arial"/>
                <w:sz w:val="16"/>
                <w:szCs w:val="16"/>
              </w:rPr>
            </w:pPr>
            <w:r w:rsidRPr="006F6ABB">
              <w:rPr>
                <w:rFonts w:ascii="Arial" w:hAnsi="Arial" w:cs="Arial"/>
                <w:b/>
                <w:bCs/>
                <w:sz w:val="16"/>
                <w:szCs w:val="16"/>
              </w:rPr>
              <w:t>Breve descripción</w:t>
            </w:r>
            <w:r>
              <w:rPr>
                <w:rFonts w:ascii="Arial" w:hAnsi="Arial" w:cs="Arial"/>
                <w:b/>
                <w:bCs/>
                <w:sz w:val="16"/>
                <w:szCs w:val="16"/>
              </w:rPr>
              <w:t>:</w:t>
            </w:r>
          </w:p>
          <w:p w:rsidR="007D48BC" w:rsidRDefault="007D48BC" w:rsidP="00BF72B7">
            <w:pPr>
              <w:jc w:val="both"/>
              <w:rPr>
                <w:rFonts w:ascii="Arial" w:hAnsi="Arial" w:cs="Arial"/>
                <w:sz w:val="16"/>
                <w:szCs w:val="16"/>
              </w:rPr>
            </w:pPr>
            <w:r w:rsidRPr="006F6ABB">
              <w:rPr>
                <w:rFonts w:ascii="Arial" w:hAnsi="Arial" w:cs="Arial"/>
                <w:sz w:val="16"/>
                <w:szCs w:val="16"/>
              </w:rPr>
              <w:t>-Nº de pacientes:</w:t>
            </w:r>
            <w:r>
              <w:rPr>
                <w:rFonts w:ascii="Arial" w:hAnsi="Arial" w:cs="Arial"/>
                <w:sz w:val="16"/>
                <w:szCs w:val="16"/>
              </w:rPr>
              <w:t xml:space="preserve"> 111 pacientes</w:t>
            </w:r>
          </w:p>
          <w:p w:rsidR="007D48BC" w:rsidRPr="00BF72B7" w:rsidRDefault="007D48BC" w:rsidP="00BF72B7">
            <w:pPr>
              <w:jc w:val="both"/>
              <w:rPr>
                <w:rFonts w:ascii="Arial" w:hAnsi="Arial" w:cs="Arial"/>
                <w:sz w:val="16"/>
                <w:szCs w:val="16"/>
              </w:rPr>
            </w:pPr>
            <w:r>
              <w:rPr>
                <w:rFonts w:ascii="Arial" w:hAnsi="Arial" w:cs="Arial"/>
                <w:sz w:val="16"/>
                <w:szCs w:val="16"/>
              </w:rPr>
              <w:t>-</w:t>
            </w:r>
            <w:r w:rsidRPr="006F6ABB">
              <w:rPr>
                <w:rFonts w:ascii="Arial" w:hAnsi="Arial" w:cs="Arial"/>
                <w:sz w:val="16"/>
                <w:szCs w:val="16"/>
              </w:rPr>
              <w:t xml:space="preserve">Diseño: </w:t>
            </w:r>
            <w:r>
              <w:rPr>
                <w:rFonts w:ascii="Arial" w:hAnsi="Arial" w:cs="Arial"/>
                <w:sz w:val="16"/>
                <w:szCs w:val="16"/>
              </w:rPr>
              <w:t xml:space="preserve">estudio fase I/II, abierto, de un único brazo, multicéntrico. </w:t>
            </w:r>
          </w:p>
          <w:p w:rsidR="007D48BC" w:rsidRPr="006F6ABB" w:rsidRDefault="007D48BC" w:rsidP="00090279">
            <w:pPr>
              <w:rPr>
                <w:rFonts w:ascii="Arial" w:hAnsi="Arial" w:cs="Arial"/>
                <w:sz w:val="16"/>
                <w:szCs w:val="16"/>
              </w:rPr>
            </w:pPr>
            <w:r w:rsidRPr="006F6ABB">
              <w:rPr>
                <w:rFonts w:ascii="Arial" w:hAnsi="Arial" w:cs="Arial"/>
                <w:sz w:val="16"/>
                <w:szCs w:val="16"/>
              </w:rPr>
              <w:t>-Tratamient</w:t>
            </w:r>
            <w:r>
              <w:rPr>
                <w:rFonts w:ascii="Arial" w:hAnsi="Arial" w:cs="Arial"/>
                <w:sz w:val="16"/>
                <w:szCs w:val="16"/>
              </w:rPr>
              <w:t xml:space="preserve">o: </w:t>
            </w:r>
            <w:r w:rsidRPr="006F6ABB">
              <w:rPr>
                <w:rFonts w:ascii="Arial" w:hAnsi="Arial" w:cs="Arial"/>
                <w:sz w:val="16"/>
                <w:szCs w:val="16"/>
              </w:rPr>
              <w:t xml:space="preserve">  </w:t>
            </w:r>
            <w:r>
              <w:rPr>
                <w:rFonts w:ascii="Arial" w:hAnsi="Arial" w:cs="Arial"/>
                <w:sz w:val="16"/>
                <w:szCs w:val="16"/>
              </w:rPr>
              <w:t>Q</w:t>
            </w:r>
            <w:r w:rsidRPr="00090279">
              <w:rPr>
                <w:rFonts w:ascii="Arial" w:hAnsi="Arial" w:cs="Arial"/>
                <w:sz w:val="16"/>
                <w:szCs w:val="16"/>
              </w:rPr>
              <w:t>uimioterapia de linfodepleción</w:t>
            </w:r>
            <w:r>
              <w:rPr>
                <w:rFonts w:ascii="Arial" w:hAnsi="Arial" w:cs="Arial"/>
                <w:sz w:val="16"/>
                <w:szCs w:val="16"/>
              </w:rPr>
              <w:t xml:space="preserve"> + </w:t>
            </w:r>
            <w:r w:rsidRPr="00090279">
              <w:rPr>
                <w:rFonts w:ascii="Arial" w:hAnsi="Arial" w:cs="Arial"/>
                <w:sz w:val="16"/>
                <w:szCs w:val="16"/>
              </w:rPr>
              <w:t>dosis única</w:t>
            </w:r>
            <w:r>
              <w:rPr>
                <w:rFonts w:ascii="Arial" w:hAnsi="Arial" w:cs="Arial"/>
                <w:sz w:val="16"/>
                <w:szCs w:val="16"/>
              </w:rPr>
              <w:t xml:space="preserve"> de </w:t>
            </w:r>
            <w:r w:rsidR="00F6366D">
              <w:rPr>
                <w:rFonts w:ascii="Arial" w:hAnsi="Arial" w:cs="Arial"/>
                <w:sz w:val="16"/>
                <w:szCs w:val="16"/>
              </w:rPr>
              <w:t>a</w:t>
            </w:r>
            <w:r w:rsidRPr="00090279">
              <w:rPr>
                <w:rFonts w:ascii="Arial" w:hAnsi="Arial" w:cs="Arial"/>
                <w:sz w:val="16"/>
                <w:szCs w:val="16"/>
              </w:rPr>
              <w:t xml:space="preserve">xicabtagen </w:t>
            </w:r>
            <w:r w:rsidR="00F6366D">
              <w:rPr>
                <w:rFonts w:ascii="Arial" w:hAnsi="Arial" w:cs="Arial"/>
                <w:sz w:val="16"/>
                <w:szCs w:val="16"/>
              </w:rPr>
              <w:t>c</w:t>
            </w:r>
            <w:r w:rsidRPr="00090279">
              <w:rPr>
                <w:rFonts w:ascii="Arial" w:hAnsi="Arial" w:cs="Arial"/>
                <w:sz w:val="16"/>
                <w:szCs w:val="16"/>
              </w:rPr>
              <w:t>iloleucel 2 x 10</w:t>
            </w:r>
            <w:r w:rsidRPr="00090279">
              <w:rPr>
                <w:rFonts w:ascii="Arial" w:hAnsi="Arial" w:cs="Arial"/>
                <w:sz w:val="16"/>
                <w:szCs w:val="16"/>
                <w:vertAlign w:val="superscript"/>
              </w:rPr>
              <w:t>6</w:t>
            </w:r>
            <w:r w:rsidRPr="00090279">
              <w:rPr>
                <w:rFonts w:ascii="Arial" w:hAnsi="Arial" w:cs="Arial"/>
                <w:sz w:val="16"/>
                <w:szCs w:val="16"/>
              </w:rPr>
              <w:t xml:space="preserve"> células CAR</w:t>
            </w:r>
            <w:r w:rsidR="00480033">
              <w:rPr>
                <w:rFonts w:ascii="Arial" w:hAnsi="Arial" w:cs="Arial"/>
                <w:sz w:val="16"/>
                <w:szCs w:val="16"/>
              </w:rPr>
              <w:t xml:space="preserve"> T</w:t>
            </w:r>
            <w:r w:rsidRPr="00090279">
              <w:rPr>
                <w:rFonts w:ascii="Arial" w:hAnsi="Arial" w:cs="Arial"/>
                <w:sz w:val="16"/>
                <w:szCs w:val="16"/>
              </w:rPr>
              <w:t xml:space="preserve"> positivas viables por kg de peso corporal (o un máximo de 2 x 10</w:t>
            </w:r>
            <w:r w:rsidRPr="00D851E3">
              <w:rPr>
                <w:rFonts w:ascii="Arial" w:hAnsi="Arial" w:cs="Arial"/>
                <w:sz w:val="16"/>
                <w:szCs w:val="16"/>
                <w:vertAlign w:val="superscript"/>
              </w:rPr>
              <w:t>8</w:t>
            </w:r>
            <w:r w:rsidRPr="00090279">
              <w:rPr>
                <w:rFonts w:ascii="Arial" w:hAnsi="Arial" w:cs="Arial"/>
                <w:sz w:val="16"/>
                <w:szCs w:val="16"/>
              </w:rPr>
              <w:t xml:space="preserve"> células CAR</w:t>
            </w:r>
            <w:r w:rsidR="00480033">
              <w:rPr>
                <w:rFonts w:ascii="Arial" w:hAnsi="Arial" w:cs="Arial"/>
                <w:sz w:val="16"/>
                <w:szCs w:val="16"/>
              </w:rPr>
              <w:t xml:space="preserve"> T</w:t>
            </w:r>
            <w:r w:rsidRPr="00090279">
              <w:rPr>
                <w:rFonts w:ascii="Arial" w:hAnsi="Arial" w:cs="Arial"/>
                <w:sz w:val="16"/>
                <w:szCs w:val="16"/>
              </w:rPr>
              <w:t xml:space="preserve"> positivas viables para pacientes que pesen 100 kg o más)</w:t>
            </w:r>
            <w:r>
              <w:rPr>
                <w:rFonts w:ascii="Arial" w:hAnsi="Arial" w:cs="Arial"/>
                <w:sz w:val="16"/>
                <w:szCs w:val="16"/>
              </w:rPr>
              <w:t>. En casos determinados se permite una segunda infusión celular.</w:t>
            </w:r>
          </w:p>
          <w:p w:rsidR="007D48BC" w:rsidRPr="00ED21A1" w:rsidRDefault="007D48BC" w:rsidP="000C61D1">
            <w:pPr>
              <w:jc w:val="both"/>
              <w:rPr>
                <w:rFonts w:ascii="Arial" w:hAnsi="Arial" w:cs="Arial"/>
                <w:strike/>
                <w:sz w:val="16"/>
                <w:szCs w:val="16"/>
              </w:rPr>
            </w:pPr>
            <w:r w:rsidRPr="006F6ABB">
              <w:rPr>
                <w:rFonts w:ascii="Arial" w:hAnsi="Arial" w:cs="Arial"/>
                <w:sz w:val="16"/>
                <w:szCs w:val="16"/>
              </w:rPr>
              <w:t xml:space="preserve">-Criterios de inclusión: </w:t>
            </w:r>
            <w:r>
              <w:rPr>
                <w:rFonts w:ascii="Arial" w:hAnsi="Arial" w:cs="Arial"/>
                <w:sz w:val="16"/>
                <w:szCs w:val="16"/>
              </w:rPr>
              <w:t xml:space="preserve">≥ 18 años, ECOG PS ≤ 2, </w:t>
            </w:r>
            <w:r w:rsidR="00F6366D">
              <w:rPr>
                <w:rFonts w:ascii="Arial" w:hAnsi="Arial" w:cs="Arial"/>
                <w:sz w:val="16"/>
                <w:szCs w:val="16"/>
              </w:rPr>
              <w:t>c</w:t>
            </w:r>
            <w:r>
              <w:rPr>
                <w:rFonts w:ascii="Arial" w:hAnsi="Arial" w:cs="Arial"/>
                <w:sz w:val="16"/>
                <w:szCs w:val="16"/>
              </w:rPr>
              <w:t>onfirmación histológica de linfoma NH de células B agresivo (</w:t>
            </w:r>
            <w:r w:rsidR="00F6366D">
              <w:rPr>
                <w:rFonts w:ascii="Arial" w:hAnsi="Arial" w:cs="Arial"/>
                <w:sz w:val="16"/>
                <w:szCs w:val="16"/>
              </w:rPr>
              <w:t>l</w:t>
            </w:r>
            <w:r>
              <w:rPr>
                <w:rFonts w:ascii="Arial" w:hAnsi="Arial" w:cs="Arial"/>
                <w:sz w:val="16"/>
                <w:szCs w:val="16"/>
              </w:rPr>
              <w:t xml:space="preserve">infoma de células B difuso, primario mediastínico o trasformación de linfoma folicular), refractarios al tratamiento QT o no respondedores a 2ª o más líneas o refractarios al TAPH, debiendo haber recibido una primera línea apropiada basada en fármacos anti-CD20 y antraciclinas. En trasformación de linfoma folicular, debían haber recibido tratamiento adecuado de primera línea para ese tipo de linfoma. La toxicidad a las líneas previa debe ser aceptable (Grado ≤ 1).  Presencia de al menos una lesión según los criterios de </w:t>
            </w:r>
            <w:r w:rsidRPr="00C65089">
              <w:rPr>
                <w:rFonts w:ascii="Arial" w:hAnsi="Arial" w:cs="Arial"/>
                <w:sz w:val="16"/>
                <w:szCs w:val="16"/>
              </w:rPr>
              <w:t>IWG</w:t>
            </w:r>
            <w:r>
              <w:rPr>
                <w:rFonts w:ascii="Arial" w:hAnsi="Arial" w:cs="Arial"/>
                <w:sz w:val="16"/>
                <w:szCs w:val="16"/>
              </w:rPr>
              <w:t xml:space="preserve"> y ausencia de linfoma con afectación del SNC. </w:t>
            </w:r>
          </w:p>
          <w:p w:rsidR="007D48BC" w:rsidRDefault="007D48BC" w:rsidP="00BC3E8E">
            <w:pPr>
              <w:jc w:val="both"/>
              <w:rPr>
                <w:rFonts w:ascii="Arial" w:hAnsi="Arial" w:cs="Arial"/>
                <w:sz w:val="16"/>
                <w:szCs w:val="16"/>
              </w:rPr>
            </w:pPr>
            <w:r>
              <w:rPr>
                <w:rFonts w:ascii="Arial" w:hAnsi="Arial" w:cs="Arial"/>
                <w:sz w:val="16"/>
                <w:szCs w:val="16"/>
              </w:rPr>
              <w:t>-</w:t>
            </w:r>
            <w:r w:rsidRPr="006F6ABB">
              <w:rPr>
                <w:rFonts w:ascii="Arial" w:hAnsi="Arial" w:cs="Arial"/>
                <w:sz w:val="16"/>
                <w:szCs w:val="16"/>
              </w:rPr>
              <w:t>Criterios de exclusión:</w:t>
            </w:r>
            <w:r>
              <w:rPr>
                <w:rFonts w:ascii="Arial" w:hAnsi="Arial" w:cs="Arial"/>
                <w:sz w:val="16"/>
                <w:szCs w:val="16"/>
              </w:rPr>
              <w:t xml:space="preserve"> Antecedentes de </w:t>
            </w:r>
            <w:r w:rsidRPr="00585B8F">
              <w:rPr>
                <w:rFonts w:ascii="Arial" w:hAnsi="Arial" w:cs="Arial"/>
                <w:sz w:val="16"/>
                <w:szCs w:val="16"/>
              </w:rPr>
              <w:t>otro tipo de cáncer (</w:t>
            </w:r>
            <w:r w:rsidRPr="00F8261B">
              <w:rPr>
                <w:rFonts w:ascii="Arial" w:hAnsi="Arial" w:cs="Arial"/>
                <w:sz w:val="16"/>
                <w:szCs w:val="16"/>
              </w:rPr>
              <w:t xml:space="preserve">excepto </w:t>
            </w:r>
            <w:r>
              <w:rPr>
                <w:rFonts w:ascii="Arial" w:hAnsi="Arial" w:cs="Arial"/>
                <w:sz w:val="16"/>
                <w:szCs w:val="16"/>
              </w:rPr>
              <w:t xml:space="preserve">cáncer de piel no </w:t>
            </w:r>
            <w:r w:rsidRPr="00F8261B">
              <w:rPr>
                <w:rFonts w:ascii="Arial" w:hAnsi="Arial" w:cs="Arial"/>
                <w:sz w:val="16"/>
                <w:szCs w:val="16"/>
              </w:rPr>
              <w:t>me</w:t>
            </w:r>
            <w:r>
              <w:rPr>
                <w:rFonts w:ascii="Arial" w:hAnsi="Arial" w:cs="Arial"/>
                <w:sz w:val="16"/>
                <w:szCs w:val="16"/>
              </w:rPr>
              <w:t>lan</w:t>
            </w:r>
            <w:r w:rsidRPr="00F8261B">
              <w:rPr>
                <w:rFonts w:ascii="Arial" w:hAnsi="Arial" w:cs="Arial"/>
                <w:sz w:val="16"/>
                <w:szCs w:val="16"/>
              </w:rPr>
              <w:t>o</w:t>
            </w:r>
            <w:r>
              <w:rPr>
                <w:rFonts w:ascii="Arial" w:hAnsi="Arial" w:cs="Arial"/>
                <w:sz w:val="16"/>
                <w:szCs w:val="16"/>
              </w:rPr>
              <w:t>m</w:t>
            </w:r>
            <w:r w:rsidRPr="00F8261B">
              <w:rPr>
                <w:rFonts w:ascii="Arial" w:hAnsi="Arial" w:cs="Arial"/>
                <w:sz w:val="16"/>
                <w:szCs w:val="16"/>
              </w:rPr>
              <w:t xml:space="preserve">a o </w:t>
            </w:r>
            <w:r>
              <w:rPr>
                <w:rFonts w:ascii="Arial" w:hAnsi="Arial" w:cs="Arial"/>
                <w:sz w:val="16"/>
                <w:szCs w:val="16"/>
              </w:rPr>
              <w:t>cáncer in situ</w:t>
            </w:r>
            <w:r w:rsidRPr="00F8261B">
              <w:rPr>
                <w:rFonts w:ascii="Arial" w:hAnsi="Arial" w:cs="Arial"/>
                <w:sz w:val="16"/>
                <w:szCs w:val="16"/>
              </w:rPr>
              <w:t xml:space="preserve">) </w:t>
            </w:r>
            <w:r>
              <w:rPr>
                <w:rFonts w:ascii="Arial" w:hAnsi="Arial" w:cs="Arial"/>
                <w:sz w:val="16"/>
                <w:szCs w:val="16"/>
              </w:rPr>
              <w:t xml:space="preserve">y linfoma folicular salvo </w:t>
            </w:r>
            <w:r w:rsidRPr="00F8261B">
              <w:rPr>
                <w:rFonts w:ascii="Arial" w:hAnsi="Arial" w:cs="Arial"/>
                <w:sz w:val="16"/>
                <w:szCs w:val="16"/>
              </w:rPr>
              <w:t xml:space="preserve">periodo libre de enfermedad superior a los 3 años. </w:t>
            </w:r>
            <w:r>
              <w:rPr>
                <w:rFonts w:ascii="Arial" w:hAnsi="Arial" w:cs="Arial"/>
                <w:sz w:val="16"/>
                <w:szCs w:val="16"/>
              </w:rPr>
              <w:t xml:space="preserve">Historia de trasformación de Ritcher en LLC. TPAH en las seis semanas previas a la administración del fármaco o trasplante alogénico. Tratamiento previo con fármacos </w:t>
            </w:r>
            <w:r w:rsidRPr="00F8261B">
              <w:rPr>
                <w:rFonts w:ascii="Arial" w:hAnsi="Arial" w:cs="Arial"/>
                <w:sz w:val="16"/>
                <w:szCs w:val="16"/>
              </w:rPr>
              <w:t>CAR</w:t>
            </w:r>
            <w:r w:rsidR="00480033">
              <w:rPr>
                <w:rFonts w:ascii="Arial" w:hAnsi="Arial" w:cs="Arial"/>
                <w:sz w:val="16"/>
                <w:szCs w:val="16"/>
              </w:rPr>
              <w:t xml:space="preserve"> T</w:t>
            </w:r>
            <w:r w:rsidRPr="00F8261B">
              <w:rPr>
                <w:rFonts w:ascii="Arial" w:hAnsi="Arial" w:cs="Arial"/>
                <w:sz w:val="16"/>
                <w:szCs w:val="16"/>
              </w:rPr>
              <w:t xml:space="preserve"> anti-CD19</w:t>
            </w:r>
            <w:r>
              <w:rPr>
                <w:rFonts w:ascii="Arial" w:hAnsi="Arial" w:cs="Arial"/>
                <w:sz w:val="16"/>
                <w:szCs w:val="16"/>
              </w:rPr>
              <w:t xml:space="preserve"> exceptuando los pacientes incluidos en este ensayo candidatos a retratamiento. Presencia de HIV, </w:t>
            </w:r>
            <w:r w:rsidR="00F6366D">
              <w:rPr>
                <w:rFonts w:ascii="Arial" w:hAnsi="Arial" w:cs="Arial"/>
                <w:sz w:val="16"/>
                <w:szCs w:val="16"/>
              </w:rPr>
              <w:t>h</w:t>
            </w:r>
            <w:r>
              <w:rPr>
                <w:rFonts w:ascii="Arial" w:hAnsi="Arial" w:cs="Arial"/>
                <w:sz w:val="16"/>
                <w:szCs w:val="16"/>
              </w:rPr>
              <w:t>epatitis C o B ( si carga indetectable po</w:t>
            </w:r>
            <w:r w:rsidR="00F6366D">
              <w:rPr>
                <w:rFonts w:ascii="Arial" w:hAnsi="Arial" w:cs="Arial"/>
                <w:sz w:val="16"/>
                <w:szCs w:val="16"/>
              </w:rPr>
              <w:t>r PCR/análisis de nucleótidos sí</w:t>
            </w:r>
            <w:r>
              <w:rPr>
                <w:rFonts w:ascii="Arial" w:hAnsi="Arial" w:cs="Arial"/>
                <w:sz w:val="16"/>
                <w:szCs w:val="16"/>
              </w:rPr>
              <w:t xml:space="preserve"> se permite la participación).</w:t>
            </w:r>
            <w:r w:rsidRPr="00C97A29">
              <w:rPr>
                <w:rFonts w:ascii="Arial" w:hAnsi="Arial" w:cs="Arial"/>
                <w:strike/>
                <w:sz w:val="16"/>
                <w:szCs w:val="16"/>
              </w:rPr>
              <w:t>.</w:t>
            </w:r>
            <w:r>
              <w:rPr>
                <w:rFonts w:ascii="Arial" w:hAnsi="Arial" w:cs="Arial"/>
                <w:sz w:val="16"/>
                <w:szCs w:val="16"/>
              </w:rPr>
              <w:t xml:space="preserve"> Pacientes con linfoma con afectación cardiaca auricular </w:t>
            </w:r>
            <w:r w:rsidRPr="000C61D1">
              <w:rPr>
                <w:rFonts w:ascii="Arial" w:hAnsi="Arial" w:cs="Arial"/>
                <w:sz w:val="16"/>
                <w:szCs w:val="16"/>
              </w:rPr>
              <w:t>o ventricular y patología cardíaca. Pacientes</w:t>
            </w:r>
            <w:r>
              <w:rPr>
                <w:rFonts w:ascii="Arial" w:hAnsi="Arial" w:cs="Arial"/>
                <w:sz w:val="16"/>
                <w:szCs w:val="16"/>
              </w:rPr>
              <w:t xml:space="preserve"> que han requerido tratamiento urgente debido al tamaño de las masas tumorales (compresión vascular u obstrucción digestiva), pacientes con inmunodeficiencias primarias, antecedentes de trombosis venosa profunda o embolia pulmonar en los 6 meses antes del inicio del estudio, presencia de cualquier otra condición médica que interfiera en la valoración de la eficacia y seguridad del fármaco. Vacunación con vacunas vivas atenuadas en los 6 meses previos al acondicionamiento farmacológico. Enfermedad autoinmune con afectación de órganos o con tratamiento inmunosupresor sistémico en los últimos 2 años. </w:t>
            </w:r>
          </w:p>
          <w:p w:rsidR="007D48BC" w:rsidRPr="000C61D1" w:rsidRDefault="007D48BC" w:rsidP="00BC3E8E">
            <w:pPr>
              <w:jc w:val="both"/>
              <w:rPr>
                <w:rFonts w:ascii="Arial" w:hAnsi="Arial" w:cs="Arial"/>
                <w:sz w:val="16"/>
                <w:szCs w:val="16"/>
              </w:rPr>
            </w:pPr>
            <w:r w:rsidRPr="00585B8F">
              <w:rPr>
                <w:rFonts w:ascii="Arial" w:hAnsi="Arial" w:cs="Arial"/>
                <w:sz w:val="16"/>
                <w:szCs w:val="16"/>
              </w:rPr>
              <w:t xml:space="preserve">-Pérdidas: Se incluyeron 101 pacientes de un total </w:t>
            </w:r>
            <w:r>
              <w:rPr>
                <w:rFonts w:ascii="Arial" w:hAnsi="Arial" w:cs="Arial"/>
                <w:sz w:val="16"/>
                <w:szCs w:val="16"/>
              </w:rPr>
              <w:t>d</w:t>
            </w:r>
            <w:r w:rsidRPr="00585B8F">
              <w:rPr>
                <w:rFonts w:ascii="Arial" w:hAnsi="Arial" w:cs="Arial"/>
                <w:sz w:val="16"/>
                <w:szCs w:val="16"/>
              </w:rPr>
              <w:t>e 111 cribados.</w:t>
            </w:r>
            <w:r>
              <w:rPr>
                <w:rFonts w:ascii="Arial" w:hAnsi="Arial" w:cs="Arial"/>
                <w:sz w:val="16"/>
                <w:szCs w:val="16"/>
              </w:rPr>
              <w:t xml:space="preserve"> </w:t>
            </w:r>
            <w:r w:rsidRPr="00585B8F">
              <w:rPr>
                <w:rFonts w:ascii="Arial" w:hAnsi="Arial" w:cs="Arial"/>
                <w:sz w:val="16"/>
                <w:szCs w:val="16"/>
              </w:rPr>
              <w:t xml:space="preserve"> De los 10 pacientes no incluidos finalmente, </w:t>
            </w:r>
            <w:r>
              <w:rPr>
                <w:rFonts w:ascii="Arial" w:hAnsi="Arial" w:cs="Arial"/>
                <w:sz w:val="16"/>
                <w:szCs w:val="16"/>
              </w:rPr>
              <w:t xml:space="preserve">no se trataron por fallo en la técnica (1), por progresión de la enfermedad y muerte (1), efectos adversos graves tras la leucoaféresis (4)  o con la quimioterapia </w:t>
            </w:r>
            <w:r w:rsidRPr="000C61D1">
              <w:rPr>
                <w:rFonts w:ascii="Arial" w:hAnsi="Arial" w:cs="Arial"/>
                <w:sz w:val="16"/>
                <w:szCs w:val="16"/>
              </w:rPr>
              <w:t>linfodeple</w:t>
            </w:r>
            <w:r w:rsidR="00FD10F9">
              <w:rPr>
                <w:rFonts w:ascii="Arial" w:hAnsi="Arial" w:cs="Arial"/>
                <w:sz w:val="16"/>
                <w:szCs w:val="16"/>
              </w:rPr>
              <w:t>c</w:t>
            </w:r>
            <w:r w:rsidRPr="000C61D1">
              <w:rPr>
                <w:rFonts w:ascii="Arial" w:hAnsi="Arial" w:cs="Arial"/>
                <w:sz w:val="16"/>
                <w:szCs w:val="16"/>
              </w:rPr>
              <w:t>tiva (1+1 muerte)  o por enfermedad indetectable (2).</w:t>
            </w:r>
          </w:p>
          <w:p w:rsidR="007D48BC" w:rsidRPr="0006490F" w:rsidRDefault="007D48BC" w:rsidP="0006490F">
            <w:pPr>
              <w:pStyle w:val="Default"/>
              <w:rPr>
                <w:rFonts w:ascii="Verdana" w:hAnsi="Verdana" w:cs="Verdana"/>
                <w:sz w:val="18"/>
                <w:szCs w:val="18"/>
              </w:rPr>
            </w:pPr>
            <w:r w:rsidRPr="000C61D1">
              <w:rPr>
                <w:rFonts w:ascii="Arial" w:hAnsi="Arial" w:cs="Arial"/>
                <w:sz w:val="16"/>
                <w:szCs w:val="16"/>
              </w:rPr>
              <w:t>-Tipo de análisis: El análisis primario de eficacia empleó un ITT modificado</w:t>
            </w:r>
            <w:r>
              <w:rPr>
                <w:rFonts w:ascii="Arial" w:hAnsi="Arial" w:cs="Arial"/>
                <w:sz w:val="16"/>
                <w:szCs w:val="16"/>
              </w:rPr>
              <w:t xml:space="preserve"> que incluía todos los pacientes incluidos y tratados con el fármaco a dosis de al menos </w:t>
            </w:r>
            <w:r w:rsidRPr="00FB29E7">
              <w:rPr>
                <w:rFonts w:ascii="Arial" w:hAnsi="Arial" w:cs="Arial"/>
                <w:sz w:val="16"/>
                <w:szCs w:val="16"/>
              </w:rPr>
              <w:t>1 x 10</w:t>
            </w:r>
            <w:r w:rsidRPr="00FB29E7">
              <w:rPr>
                <w:rFonts w:ascii="Arial" w:hAnsi="Arial" w:cs="Arial"/>
                <w:sz w:val="16"/>
                <w:szCs w:val="16"/>
                <w:vertAlign w:val="superscript"/>
              </w:rPr>
              <w:t>6</w:t>
            </w:r>
            <w:r w:rsidRPr="00FB29E7">
              <w:rPr>
                <w:rFonts w:ascii="Arial" w:hAnsi="Arial" w:cs="Arial"/>
                <w:sz w:val="16"/>
                <w:szCs w:val="16"/>
              </w:rPr>
              <w:t xml:space="preserve"> anti-CD19 CAR+ T cells/kg</w:t>
            </w:r>
            <w:r>
              <w:rPr>
                <w:rFonts w:ascii="Arial" w:hAnsi="Arial" w:cs="Arial"/>
                <w:sz w:val="16"/>
                <w:szCs w:val="16"/>
              </w:rPr>
              <w:t xml:space="preserve">. Se empleó un análisis completo (FAS) en el análisis de sensibilidad. </w:t>
            </w:r>
            <w:r w:rsidRPr="0006490F">
              <w:rPr>
                <w:rFonts w:ascii="Arial" w:hAnsi="Arial" w:cs="Arial"/>
                <w:sz w:val="16"/>
                <w:szCs w:val="16"/>
              </w:rPr>
              <w:t>Para el análisis de seguridad se analizaron todos los pacientes que recibieron al menos una dosis de la medicación del estudio.</w:t>
            </w:r>
          </w:p>
          <w:p w:rsidR="007D48BC" w:rsidRDefault="007D48BC" w:rsidP="00BC3E8E">
            <w:pPr>
              <w:jc w:val="both"/>
              <w:rPr>
                <w:rFonts w:ascii="Arial" w:hAnsi="Arial" w:cs="Arial"/>
                <w:sz w:val="16"/>
                <w:szCs w:val="16"/>
              </w:rPr>
            </w:pPr>
            <w:r w:rsidRPr="000C61D1">
              <w:rPr>
                <w:rFonts w:ascii="Arial" w:hAnsi="Arial" w:cs="Arial"/>
                <w:sz w:val="16"/>
                <w:szCs w:val="16"/>
              </w:rPr>
              <w:t>- Cálculo de tamaño muestral:</w:t>
            </w:r>
            <w:r w:rsidRPr="000C61D1">
              <w:t xml:space="preserve"> </w:t>
            </w:r>
            <w:r w:rsidRPr="000C61D1">
              <w:rPr>
                <w:rFonts w:ascii="Arial" w:hAnsi="Arial" w:cs="Arial"/>
                <w:sz w:val="16"/>
                <w:szCs w:val="16"/>
              </w:rPr>
              <w:t>El tamaño muestral planeado fue de 72 pacientes para la cohorte 1 de pacientes con</w:t>
            </w:r>
            <w:r w:rsidRPr="000C61D1">
              <w:t xml:space="preserve"> </w:t>
            </w:r>
            <w:r w:rsidR="008258E3">
              <w:rPr>
                <w:rFonts w:ascii="Arial" w:hAnsi="Arial" w:cs="Arial"/>
                <w:sz w:val="16"/>
                <w:szCs w:val="16"/>
              </w:rPr>
              <w:t>LDCBG</w:t>
            </w:r>
            <w:r w:rsidRPr="000C61D1">
              <w:rPr>
                <w:rFonts w:ascii="Arial" w:hAnsi="Arial" w:cs="Arial"/>
                <w:sz w:val="16"/>
                <w:szCs w:val="16"/>
              </w:rPr>
              <w:t xml:space="preserve"> y de 20 para la cohorte 2 de LBPM y transformación de linfoma folicular. El estudio se diseñó para mostrar mejora en la tasa de respuesta comparada con un control histórico Se consideró clínicamente relevante un aumento de la tasa de respuesta del 20%, con un poder estadístico del 90% y un valor de alfa de 0.025.</w:t>
            </w:r>
          </w:p>
          <w:p w:rsidR="007D48BC" w:rsidRPr="0006490F" w:rsidRDefault="007D48BC" w:rsidP="00D11108">
            <w:pPr>
              <w:jc w:val="both"/>
              <w:rPr>
                <w:rFonts w:ascii="Arial" w:hAnsi="Arial" w:cs="Arial"/>
                <w:sz w:val="16"/>
                <w:szCs w:val="16"/>
              </w:rPr>
            </w:pPr>
            <w:r>
              <w:rPr>
                <w:rFonts w:ascii="Arial" w:hAnsi="Arial" w:cs="Arial"/>
                <w:sz w:val="16"/>
                <w:szCs w:val="16"/>
              </w:rPr>
              <w:t xml:space="preserve">-Control Histórico: </w:t>
            </w:r>
            <w:r w:rsidRPr="00D11108">
              <w:rPr>
                <w:rFonts w:ascii="Arial" w:hAnsi="Arial" w:cs="Arial"/>
                <w:sz w:val="16"/>
                <w:szCs w:val="16"/>
              </w:rPr>
              <w:t>Se realizó un análisis retrospectivo combinado a nivel de paciente de los resultados en LNH agresivo</w:t>
            </w:r>
            <w:r>
              <w:rPr>
                <w:rFonts w:ascii="Arial" w:hAnsi="Arial" w:cs="Arial"/>
                <w:sz w:val="16"/>
                <w:szCs w:val="16"/>
              </w:rPr>
              <w:t xml:space="preserve"> </w:t>
            </w:r>
            <w:r w:rsidRPr="00D11108">
              <w:rPr>
                <w:rFonts w:ascii="Arial" w:hAnsi="Arial" w:cs="Arial"/>
                <w:sz w:val="16"/>
                <w:szCs w:val="16"/>
              </w:rPr>
              <w:t>refractario (N = 636)</w:t>
            </w:r>
            <w:r w:rsidRPr="00D11108">
              <w:rPr>
                <w:rFonts w:ascii="Arial" w:hAnsi="Arial" w:cs="Arial"/>
                <w:sz w:val="16"/>
                <w:szCs w:val="16"/>
                <w:vertAlign w:val="superscript"/>
              </w:rPr>
              <w:t>1</w:t>
            </w:r>
            <w:r>
              <w:rPr>
                <w:rFonts w:ascii="Arial" w:hAnsi="Arial" w:cs="Arial"/>
                <w:sz w:val="16"/>
                <w:szCs w:val="16"/>
                <w:vertAlign w:val="superscript"/>
              </w:rPr>
              <w:t>9</w:t>
            </w:r>
            <w:r>
              <w:rPr>
                <w:rFonts w:ascii="Arial" w:hAnsi="Arial" w:cs="Arial"/>
                <w:sz w:val="16"/>
                <w:szCs w:val="16"/>
              </w:rPr>
              <w:t xml:space="preserve"> p</w:t>
            </w:r>
            <w:r w:rsidRPr="00D11108">
              <w:rPr>
                <w:rFonts w:ascii="Arial" w:hAnsi="Arial" w:cs="Arial"/>
                <w:sz w:val="16"/>
                <w:szCs w:val="16"/>
              </w:rPr>
              <w:t>ara confirmar la tasa de respuesta del control preespecificada</w:t>
            </w:r>
            <w:r>
              <w:rPr>
                <w:rFonts w:ascii="Arial" w:hAnsi="Arial" w:cs="Arial"/>
                <w:sz w:val="16"/>
                <w:szCs w:val="16"/>
              </w:rPr>
              <w:t xml:space="preserve"> </w:t>
            </w:r>
            <w:r w:rsidRPr="00D11108">
              <w:rPr>
                <w:rFonts w:ascii="Arial" w:hAnsi="Arial" w:cs="Arial"/>
                <w:sz w:val="16"/>
                <w:szCs w:val="16"/>
              </w:rPr>
              <w:t>del 20 % y el contexto histórico para interpretar los resultados del ZUMA-1. En el análisis se incluyó a</w:t>
            </w:r>
            <w:r>
              <w:rPr>
                <w:rFonts w:ascii="Arial" w:hAnsi="Arial" w:cs="Arial"/>
                <w:sz w:val="16"/>
                <w:szCs w:val="16"/>
              </w:rPr>
              <w:t xml:space="preserve"> </w:t>
            </w:r>
            <w:r w:rsidRPr="00D11108">
              <w:rPr>
                <w:rFonts w:ascii="Arial" w:hAnsi="Arial" w:cs="Arial"/>
                <w:sz w:val="16"/>
                <w:szCs w:val="16"/>
              </w:rPr>
              <w:t>pacientes que no alcanzaron una respuesta a la última línea de</w:t>
            </w:r>
            <w:r>
              <w:rPr>
                <w:rFonts w:ascii="Arial" w:hAnsi="Arial" w:cs="Arial"/>
                <w:sz w:val="16"/>
                <w:szCs w:val="16"/>
              </w:rPr>
              <w:t xml:space="preserve"> </w:t>
            </w:r>
            <w:r w:rsidRPr="00D11108">
              <w:rPr>
                <w:rFonts w:ascii="Arial" w:hAnsi="Arial" w:cs="Arial"/>
                <w:sz w:val="16"/>
                <w:szCs w:val="16"/>
              </w:rPr>
              <w:t>tratamiento o que presentaron una recaída en los 12 meses después del TAPH. Se evaluaron la respuesta</w:t>
            </w:r>
            <w:r>
              <w:rPr>
                <w:rFonts w:ascii="Arial" w:hAnsi="Arial" w:cs="Arial"/>
                <w:sz w:val="16"/>
                <w:szCs w:val="16"/>
              </w:rPr>
              <w:t xml:space="preserve"> </w:t>
            </w:r>
            <w:r w:rsidRPr="00D11108">
              <w:rPr>
                <w:rFonts w:ascii="Arial" w:hAnsi="Arial" w:cs="Arial"/>
                <w:sz w:val="16"/>
                <w:szCs w:val="16"/>
              </w:rPr>
              <w:t xml:space="preserve">y la supervivencia después del tratamiento con la terapia estándar disponible. La TRO fue del 26 % </w:t>
            </w:r>
            <w:r>
              <w:rPr>
                <w:rFonts w:ascii="Arial" w:hAnsi="Arial" w:cs="Arial"/>
                <w:sz w:val="16"/>
                <w:szCs w:val="16"/>
              </w:rPr>
              <w:t>(</w:t>
            </w:r>
            <w:r w:rsidRPr="00D11108">
              <w:rPr>
                <w:rFonts w:ascii="Arial" w:hAnsi="Arial" w:cs="Arial"/>
                <w:sz w:val="16"/>
                <w:szCs w:val="16"/>
              </w:rPr>
              <w:t>IC95%</w:t>
            </w:r>
            <w:r>
              <w:rPr>
                <w:rFonts w:ascii="Arial" w:hAnsi="Arial" w:cs="Arial"/>
                <w:sz w:val="16"/>
                <w:szCs w:val="16"/>
              </w:rPr>
              <w:t>:2</w:t>
            </w:r>
            <w:r w:rsidRPr="00D11108">
              <w:rPr>
                <w:rFonts w:ascii="Arial" w:hAnsi="Arial" w:cs="Arial"/>
                <w:sz w:val="16"/>
                <w:szCs w:val="16"/>
              </w:rPr>
              <w:t>1</w:t>
            </w:r>
            <w:r>
              <w:rPr>
                <w:rFonts w:ascii="Arial" w:hAnsi="Arial" w:cs="Arial"/>
                <w:sz w:val="16"/>
                <w:szCs w:val="16"/>
              </w:rPr>
              <w:t>-</w:t>
            </w:r>
            <w:r w:rsidRPr="00D11108">
              <w:rPr>
                <w:rFonts w:ascii="Arial" w:hAnsi="Arial" w:cs="Arial"/>
                <w:sz w:val="16"/>
                <w:szCs w:val="16"/>
              </w:rPr>
              <w:t>31</w:t>
            </w:r>
            <w:r>
              <w:rPr>
                <w:rFonts w:ascii="Arial" w:hAnsi="Arial" w:cs="Arial"/>
                <w:sz w:val="16"/>
                <w:szCs w:val="16"/>
              </w:rPr>
              <w:t>)</w:t>
            </w:r>
            <w:r w:rsidRPr="00D11108">
              <w:rPr>
                <w:rFonts w:ascii="Arial" w:hAnsi="Arial" w:cs="Arial"/>
                <w:sz w:val="16"/>
                <w:szCs w:val="16"/>
              </w:rPr>
              <w:t xml:space="preserve"> y la tasa de RC fue del 7 % </w:t>
            </w:r>
            <w:r>
              <w:rPr>
                <w:rFonts w:ascii="Arial" w:hAnsi="Arial" w:cs="Arial"/>
                <w:sz w:val="16"/>
                <w:szCs w:val="16"/>
              </w:rPr>
              <w:t>(</w:t>
            </w:r>
            <w:r w:rsidRPr="00D11108">
              <w:rPr>
                <w:rFonts w:ascii="Arial" w:hAnsi="Arial" w:cs="Arial"/>
                <w:sz w:val="16"/>
                <w:szCs w:val="16"/>
              </w:rPr>
              <w:t>IC95%</w:t>
            </w:r>
            <w:r>
              <w:rPr>
                <w:rFonts w:ascii="Arial" w:hAnsi="Arial" w:cs="Arial"/>
                <w:sz w:val="16"/>
                <w:szCs w:val="16"/>
              </w:rPr>
              <w:t>:</w:t>
            </w:r>
            <w:r w:rsidRPr="00D11108">
              <w:rPr>
                <w:rFonts w:ascii="Arial" w:hAnsi="Arial" w:cs="Arial"/>
                <w:sz w:val="16"/>
                <w:szCs w:val="16"/>
              </w:rPr>
              <w:t>3</w:t>
            </w:r>
            <w:r>
              <w:rPr>
                <w:rFonts w:ascii="Arial" w:hAnsi="Arial" w:cs="Arial"/>
                <w:sz w:val="16"/>
                <w:szCs w:val="16"/>
              </w:rPr>
              <w:t>-</w:t>
            </w:r>
            <w:r w:rsidRPr="00D11108">
              <w:rPr>
                <w:rFonts w:ascii="Arial" w:hAnsi="Arial" w:cs="Arial"/>
                <w:sz w:val="16"/>
                <w:szCs w:val="16"/>
              </w:rPr>
              <w:t xml:space="preserve"> 15</w:t>
            </w:r>
            <w:r>
              <w:rPr>
                <w:rFonts w:ascii="Arial" w:hAnsi="Arial" w:cs="Arial"/>
                <w:sz w:val="16"/>
                <w:szCs w:val="16"/>
              </w:rPr>
              <w:t>)</w:t>
            </w:r>
            <w:r w:rsidRPr="00D11108">
              <w:rPr>
                <w:rFonts w:ascii="Arial" w:hAnsi="Arial" w:cs="Arial"/>
                <w:sz w:val="16"/>
                <w:szCs w:val="16"/>
              </w:rPr>
              <w:t>, con una mediana de la SG de</w:t>
            </w:r>
            <w:r>
              <w:rPr>
                <w:rFonts w:ascii="Arial" w:hAnsi="Arial" w:cs="Arial"/>
                <w:sz w:val="16"/>
                <w:szCs w:val="16"/>
              </w:rPr>
              <w:t xml:space="preserve"> </w:t>
            </w:r>
            <w:r w:rsidRPr="00D11108">
              <w:rPr>
                <w:rFonts w:ascii="Arial" w:hAnsi="Arial" w:cs="Arial"/>
                <w:sz w:val="16"/>
                <w:szCs w:val="16"/>
              </w:rPr>
              <w:t>6,3 meses.</w:t>
            </w:r>
          </w:p>
        </w:tc>
      </w:tr>
      <w:tr w:rsidR="007D48BC" w:rsidRPr="006F6ABB">
        <w:trPr>
          <w:gridAfter w:val="1"/>
          <w:wAfter w:w="36" w:type="dxa"/>
          <w:cantSplit/>
          <w:trHeight w:val="230"/>
        </w:trPr>
        <w:tc>
          <w:tcPr>
            <w:tcW w:w="8890" w:type="dxa"/>
            <w:gridSpan w:val="7"/>
            <w:shd w:val="clear" w:color="auto" w:fill="CCFFCC"/>
          </w:tcPr>
          <w:p w:rsidR="007D48BC" w:rsidRPr="006F6ABB" w:rsidRDefault="007D48BC" w:rsidP="00BC3E8E">
            <w:pPr>
              <w:jc w:val="both"/>
              <w:rPr>
                <w:rFonts w:ascii="Arial" w:hAnsi="Arial" w:cs="Arial"/>
                <w:b/>
                <w:bCs/>
                <w:i/>
                <w:iCs/>
                <w:sz w:val="16"/>
                <w:szCs w:val="16"/>
                <w:lang w:val="fr-FR"/>
              </w:rPr>
            </w:pPr>
            <w:r w:rsidRPr="006F6ABB">
              <w:rPr>
                <w:rFonts w:ascii="Arial" w:hAnsi="Arial" w:cs="Arial"/>
                <w:b/>
                <w:bCs/>
                <w:i/>
                <w:iCs/>
                <w:sz w:val="16"/>
                <w:szCs w:val="16"/>
                <w:lang w:val="es-ES_tradnl"/>
              </w:rPr>
              <w:t xml:space="preserve">Resultados  </w:t>
            </w:r>
          </w:p>
        </w:tc>
      </w:tr>
      <w:tr w:rsidR="007D48BC" w:rsidRPr="00E46F10">
        <w:trPr>
          <w:gridAfter w:val="1"/>
          <w:wAfter w:w="36" w:type="dxa"/>
          <w:trHeight w:val="230"/>
        </w:trPr>
        <w:tc>
          <w:tcPr>
            <w:tcW w:w="2628" w:type="dxa"/>
          </w:tcPr>
          <w:p w:rsidR="007D48BC" w:rsidRPr="00B01CC9" w:rsidRDefault="007D48BC" w:rsidP="009A452F">
            <w:pPr>
              <w:tabs>
                <w:tab w:val="left" w:pos="1673"/>
              </w:tabs>
              <w:rPr>
                <w:rFonts w:ascii="Arial" w:hAnsi="Arial" w:cs="Arial"/>
                <w:b/>
                <w:bCs/>
                <w:i/>
                <w:iCs/>
                <w:sz w:val="16"/>
                <w:szCs w:val="16"/>
                <w:lang w:val="es-ES_tradnl"/>
              </w:rPr>
            </w:pPr>
          </w:p>
        </w:tc>
        <w:tc>
          <w:tcPr>
            <w:tcW w:w="6262" w:type="dxa"/>
            <w:gridSpan w:val="6"/>
            <w:vAlign w:val="center"/>
          </w:tcPr>
          <w:p w:rsidR="007D48BC" w:rsidRPr="00B01CC9" w:rsidRDefault="007D48BC" w:rsidP="00D11108">
            <w:pPr>
              <w:jc w:val="center"/>
              <w:rPr>
                <w:rFonts w:ascii="Arial" w:hAnsi="Arial" w:cs="Arial"/>
                <w:b/>
                <w:bCs/>
                <w:i/>
                <w:iCs/>
                <w:sz w:val="16"/>
                <w:szCs w:val="16"/>
                <w:lang w:val="es-ES_tradnl"/>
              </w:rPr>
            </w:pPr>
            <w:r w:rsidRPr="00B01CC9">
              <w:rPr>
                <w:rFonts w:ascii="Arial" w:hAnsi="Arial" w:cs="Arial"/>
                <w:b/>
                <w:bCs/>
                <w:i/>
                <w:iCs/>
                <w:sz w:val="16"/>
                <w:szCs w:val="16"/>
                <w:lang w:val="es-ES_tradnl"/>
              </w:rPr>
              <w:t>Análisis actualizado</w:t>
            </w:r>
            <w:r>
              <w:rPr>
                <w:rFonts w:ascii="Arial" w:hAnsi="Arial" w:cs="Arial"/>
                <w:b/>
                <w:bCs/>
                <w:i/>
                <w:iCs/>
                <w:sz w:val="16"/>
                <w:szCs w:val="16"/>
                <w:lang w:val="es-ES_tradnl"/>
              </w:rPr>
              <w:t xml:space="preserve"> </w:t>
            </w:r>
            <w:r w:rsidRPr="00B01CC9">
              <w:rPr>
                <w:rFonts w:ascii="Arial" w:hAnsi="Arial" w:cs="Arial"/>
                <w:b/>
                <w:bCs/>
                <w:i/>
                <w:iCs/>
                <w:sz w:val="16"/>
                <w:szCs w:val="16"/>
                <w:lang w:val="es-ES_tradnl"/>
              </w:rPr>
              <w:t>(11/08/2017)</w:t>
            </w:r>
          </w:p>
        </w:tc>
      </w:tr>
      <w:tr w:rsidR="007D48BC" w:rsidRPr="00E46F10">
        <w:trPr>
          <w:gridAfter w:val="1"/>
          <w:wAfter w:w="36" w:type="dxa"/>
          <w:trHeight w:val="736"/>
        </w:trPr>
        <w:tc>
          <w:tcPr>
            <w:tcW w:w="2628" w:type="dxa"/>
            <w:vAlign w:val="center"/>
          </w:tcPr>
          <w:p w:rsidR="007D48BC" w:rsidRPr="00C910A1" w:rsidRDefault="007D48BC" w:rsidP="00E61B91">
            <w:pPr>
              <w:jc w:val="center"/>
              <w:rPr>
                <w:rFonts w:ascii="Arial" w:hAnsi="Arial" w:cs="Arial"/>
                <w:b/>
                <w:bCs/>
                <w:i/>
                <w:iCs/>
                <w:sz w:val="16"/>
                <w:szCs w:val="16"/>
              </w:rPr>
            </w:pPr>
            <w:r w:rsidRPr="00C910A1">
              <w:rPr>
                <w:rFonts w:ascii="Arial" w:hAnsi="Arial" w:cs="Arial"/>
                <w:b/>
                <w:bCs/>
                <w:i/>
                <w:iCs/>
                <w:sz w:val="16"/>
                <w:szCs w:val="16"/>
              </w:rPr>
              <w:t>Variable  evaluada en el estudio</w:t>
            </w:r>
          </w:p>
        </w:tc>
        <w:tc>
          <w:tcPr>
            <w:tcW w:w="2120" w:type="dxa"/>
            <w:gridSpan w:val="2"/>
            <w:vAlign w:val="center"/>
          </w:tcPr>
          <w:p w:rsidR="007D48BC" w:rsidRPr="00C910A1" w:rsidRDefault="008258E3" w:rsidP="00C910A1">
            <w:pPr>
              <w:jc w:val="center"/>
              <w:rPr>
                <w:rFonts w:ascii="Arial" w:hAnsi="Arial" w:cs="Arial"/>
                <w:b/>
                <w:bCs/>
                <w:i/>
                <w:iCs/>
                <w:sz w:val="16"/>
                <w:szCs w:val="16"/>
              </w:rPr>
            </w:pPr>
            <w:r>
              <w:rPr>
                <w:rFonts w:ascii="Arial" w:hAnsi="Arial" w:cs="Arial"/>
                <w:b/>
                <w:bCs/>
                <w:i/>
                <w:iCs/>
                <w:sz w:val="16"/>
                <w:szCs w:val="16"/>
              </w:rPr>
              <w:t>LDCBG</w:t>
            </w:r>
          </w:p>
          <w:p w:rsidR="007D48BC" w:rsidRPr="00C910A1" w:rsidRDefault="007D48BC" w:rsidP="00C910A1">
            <w:pPr>
              <w:jc w:val="center"/>
              <w:rPr>
                <w:rFonts w:ascii="Arial" w:hAnsi="Arial" w:cs="Arial"/>
                <w:b/>
                <w:bCs/>
                <w:i/>
                <w:iCs/>
                <w:sz w:val="16"/>
                <w:szCs w:val="16"/>
              </w:rPr>
            </w:pPr>
            <w:r w:rsidRPr="00C910A1">
              <w:rPr>
                <w:rFonts w:ascii="Arial" w:hAnsi="Arial" w:cs="Arial"/>
                <w:b/>
                <w:bCs/>
                <w:i/>
                <w:iCs/>
                <w:sz w:val="16"/>
                <w:szCs w:val="16"/>
              </w:rPr>
              <w:t>(Cohorte 1)</w:t>
            </w:r>
          </w:p>
          <w:p w:rsidR="007D48BC" w:rsidRPr="00C910A1" w:rsidRDefault="007D48BC" w:rsidP="00C910A1">
            <w:pPr>
              <w:jc w:val="center"/>
              <w:rPr>
                <w:rFonts w:ascii="Arial" w:hAnsi="Arial" w:cs="Arial"/>
                <w:b/>
                <w:bCs/>
                <w:i/>
                <w:iCs/>
                <w:sz w:val="16"/>
                <w:szCs w:val="16"/>
                <w:lang w:val="pt-BR"/>
              </w:rPr>
            </w:pPr>
            <w:r w:rsidRPr="00C910A1">
              <w:rPr>
                <w:rFonts w:ascii="Arial" w:hAnsi="Arial" w:cs="Arial"/>
                <w:b/>
                <w:bCs/>
                <w:i/>
                <w:iCs/>
                <w:sz w:val="16"/>
                <w:szCs w:val="16"/>
                <w:lang w:val="pt-BR"/>
              </w:rPr>
              <w:t>N=77</w:t>
            </w:r>
          </w:p>
        </w:tc>
        <w:tc>
          <w:tcPr>
            <w:tcW w:w="2215" w:type="dxa"/>
            <w:gridSpan w:val="2"/>
            <w:vAlign w:val="center"/>
          </w:tcPr>
          <w:p w:rsidR="007D48BC" w:rsidRPr="00C910A1" w:rsidRDefault="007D48BC" w:rsidP="00C910A1">
            <w:pPr>
              <w:jc w:val="center"/>
              <w:rPr>
                <w:rFonts w:ascii="Arial" w:hAnsi="Arial" w:cs="Arial"/>
                <w:b/>
                <w:bCs/>
                <w:i/>
                <w:iCs/>
                <w:sz w:val="16"/>
                <w:szCs w:val="16"/>
                <w:lang w:val="pt-BR"/>
              </w:rPr>
            </w:pPr>
            <w:r w:rsidRPr="00CF5633">
              <w:rPr>
                <w:rFonts w:ascii="Arial" w:hAnsi="Arial" w:cs="Arial"/>
                <w:b/>
                <w:bCs/>
                <w:i/>
                <w:iCs/>
                <w:sz w:val="16"/>
                <w:szCs w:val="16"/>
                <w:lang w:val="pt-BR"/>
              </w:rPr>
              <w:t>LBPM + Transf. Folicular (Cohorte 2) N=24</w:t>
            </w:r>
          </w:p>
        </w:tc>
        <w:tc>
          <w:tcPr>
            <w:tcW w:w="1927" w:type="dxa"/>
            <w:gridSpan w:val="2"/>
            <w:vAlign w:val="center"/>
          </w:tcPr>
          <w:p w:rsidR="007D48BC" w:rsidRPr="00C910A1" w:rsidRDefault="007D48BC" w:rsidP="00C910A1">
            <w:pPr>
              <w:jc w:val="center"/>
              <w:rPr>
                <w:rFonts w:ascii="Arial" w:hAnsi="Arial" w:cs="Arial"/>
                <w:b/>
                <w:bCs/>
                <w:i/>
                <w:iCs/>
                <w:sz w:val="16"/>
                <w:szCs w:val="16"/>
              </w:rPr>
            </w:pPr>
            <w:r w:rsidRPr="00C910A1">
              <w:rPr>
                <w:rFonts w:ascii="Arial" w:hAnsi="Arial" w:cs="Arial"/>
                <w:b/>
                <w:bCs/>
                <w:i/>
                <w:iCs/>
                <w:sz w:val="16"/>
                <w:szCs w:val="16"/>
              </w:rPr>
              <w:t>Todos los pacientes (Cohorte 1+2)</w:t>
            </w:r>
          </w:p>
          <w:p w:rsidR="007D48BC" w:rsidRPr="00C910A1" w:rsidRDefault="007D48BC" w:rsidP="00C910A1">
            <w:pPr>
              <w:jc w:val="center"/>
              <w:rPr>
                <w:rFonts w:ascii="Arial" w:hAnsi="Arial" w:cs="Arial"/>
                <w:b/>
                <w:bCs/>
                <w:i/>
                <w:iCs/>
                <w:sz w:val="16"/>
                <w:szCs w:val="16"/>
                <w:lang w:val="pt-BR"/>
              </w:rPr>
            </w:pPr>
            <w:r w:rsidRPr="00C910A1">
              <w:rPr>
                <w:rFonts w:ascii="Arial" w:hAnsi="Arial" w:cs="Arial"/>
                <w:b/>
                <w:bCs/>
                <w:i/>
                <w:iCs/>
                <w:sz w:val="16"/>
                <w:szCs w:val="16"/>
              </w:rPr>
              <w:t>N=101</w:t>
            </w:r>
          </w:p>
        </w:tc>
      </w:tr>
      <w:tr w:rsidR="007D48BC" w:rsidRPr="00E46F10">
        <w:trPr>
          <w:gridAfter w:val="1"/>
          <w:wAfter w:w="36" w:type="dxa"/>
          <w:trHeight w:val="276"/>
        </w:trPr>
        <w:tc>
          <w:tcPr>
            <w:tcW w:w="8890" w:type="dxa"/>
            <w:gridSpan w:val="7"/>
            <w:vAlign w:val="center"/>
          </w:tcPr>
          <w:p w:rsidR="007D48BC" w:rsidRPr="00C910A1" w:rsidRDefault="007D48BC" w:rsidP="00C910A1">
            <w:pPr>
              <w:jc w:val="center"/>
              <w:rPr>
                <w:rFonts w:ascii="Arial" w:hAnsi="Arial" w:cs="Arial"/>
                <w:b/>
                <w:bCs/>
                <w:i/>
                <w:iCs/>
                <w:sz w:val="16"/>
                <w:szCs w:val="16"/>
              </w:rPr>
            </w:pPr>
            <w:r>
              <w:rPr>
                <w:rFonts w:ascii="Arial" w:hAnsi="Arial" w:cs="Arial"/>
                <w:b/>
                <w:bCs/>
                <w:i/>
                <w:iCs/>
                <w:sz w:val="16"/>
                <w:szCs w:val="16"/>
              </w:rPr>
              <w:t>VARIABLE PRINCIPAL</w:t>
            </w:r>
          </w:p>
        </w:tc>
      </w:tr>
      <w:tr w:rsidR="007D48BC" w:rsidRPr="006F6ABB">
        <w:trPr>
          <w:gridAfter w:val="1"/>
          <w:wAfter w:w="36" w:type="dxa"/>
          <w:trHeight w:val="230"/>
        </w:trPr>
        <w:tc>
          <w:tcPr>
            <w:tcW w:w="2628" w:type="dxa"/>
            <w:vAlign w:val="center"/>
          </w:tcPr>
          <w:p w:rsidR="007D48BC" w:rsidRPr="00C910A1" w:rsidRDefault="007D48BC" w:rsidP="00C910A1">
            <w:pPr>
              <w:snapToGrid w:val="0"/>
              <w:jc w:val="center"/>
              <w:rPr>
                <w:rFonts w:ascii="Arial" w:hAnsi="Arial" w:cs="Arial"/>
                <w:b/>
                <w:bCs/>
                <w:i/>
                <w:iCs/>
                <w:sz w:val="16"/>
                <w:szCs w:val="16"/>
              </w:rPr>
            </w:pPr>
            <w:r w:rsidRPr="00C910A1">
              <w:rPr>
                <w:rFonts w:ascii="Arial" w:hAnsi="Arial" w:cs="Arial"/>
                <w:b/>
                <w:bCs/>
                <w:i/>
                <w:iCs/>
                <w:sz w:val="16"/>
                <w:szCs w:val="16"/>
              </w:rPr>
              <w:t>TRO según investigador</w:t>
            </w:r>
          </w:p>
          <w:p w:rsidR="007D48BC" w:rsidRPr="00C910A1" w:rsidRDefault="007D48BC" w:rsidP="00B01CC9">
            <w:pPr>
              <w:jc w:val="center"/>
              <w:rPr>
                <w:rFonts w:ascii="Arial" w:hAnsi="Arial" w:cs="Arial"/>
                <w:i/>
                <w:iCs/>
                <w:sz w:val="16"/>
                <w:szCs w:val="16"/>
              </w:rPr>
            </w:pPr>
            <w:r w:rsidRPr="00C910A1">
              <w:rPr>
                <w:rFonts w:ascii="Arial" w:hAnsi="Arial" w:cs="Arial"/>
                <w:b/>
                <w:bCs/>
                <w:sz w:val="16"/>
                <w:szCs w:val="16"/>
              </w:rPr>
              <w:t>% (IC 95%)</w:t>
            </w:r>
          </w:p>
        </w:tc>
        <w:tc>
          <w:tcPr>
            <w:tcW w:w="2120" w:type="dxa"/>
            <w:gridSpan w:val="2"/>
            <w:vAlign w:val="center"/>
          </w:tcPr>
          <w:p w:rsidR="007D48BC" w:rsidRPr="00C910A1" w:rsidRDefault="007D48BC" w:rsidP="00C910A1">
            <w:pPr>
              <w:jc w:val="center"/>
              <w:rPr>
                <w:rFonts w:ascii="Arial" w:hAnsi="Arial" w:cs="Arial"/>
                <w:i/>
                <w:iCs/>
                <w:sz w:val="16"/>
                <w:szCs w:val="16"/>
              </w:rPr>
            </w:pPr>
            <w:r>
              <w:rPr>
                <w:rFonts w:ascii="Arial" w:hAnsi="Arial" w:cs="Arial"/>
                <w:i/>
                <w:iCs/>
                <w:sz w:val="16"/>
                <w:szCs w:val="16"/>
              </w:rPr>
              <w:t>83 (73-91)</w:t>
            </w:r>
          </w:p>
        </w:tc>
        <w:tc>
          <w:tcPr>
            <w:tcW w:w="2215" w:type="dxa"/>
            <w:gridSpan w:val="2"/>
            <w:vAlign w:val="center"/>
          </w:tcPr>
          <w:p w:rsidR="007D48BC" w:rsidRPr="00C910A1" w:rsidRDefault="007D48BC" w:rsidP="00C910A1">
            <w:pPr>
              <w:jc w:val="center"/>
              <w:rPr>
                <w:rFonts w:ascii="Arial" w:hAnsi="Arial" w:cs="Arial"/>
                <w:i/>
                <w:iCs/>
                <w:sz w:val="16"/>
                <w:szCs w:val="16"/>
              </w:rPr>
            </w:pPr>
            <w:r>
              <w:rPr>
                <w:rFonts w:ascii="Arial" w:hAnsi="Arial" w:cs="Arial"/>
                <w:i/>
                <w:iCs/>
                <w:sz w:val="16"/>
                <w:szCs w:val="16"/>
              </w:rPr>
              <w:t>83 (63-95)</w:t>
            </w:r>
          </w:p>
        </w:tc>
        <w:tc>
          <w:tcPr>
            <w:tcW w:w="1927" w:type="dxa"/>
            <w:gridSpan w:val="2"/>
            <w:vAlign w:val="center"/>
          </w:tcPr>
          <w:p w:rsidR="007D48BC" w:rsidRPr="00C910A1" w:rsidRDefault="007D48BC" w:rsidP="00C910A1">
            <w:pPr>
              <w:jc w:val="center"/>
              <w:rPr>
                <w:rFonts w:ascii="Arial" w:hAnsi="Arial" w:cs="Arial"/>
                <w:i/>
                <w:iCs/>
                <w:sz w:val="16"/>
                <w:szCs w:val="16"/>
                <w:lang w:val="es-ES_tradnl"/>
              </w:rPr>
            </w:pPr>
            <w:r>
              <w:rPr>
                <w:rFonts w:ascii="Arial" w:hAnsi="Arial" w:cs="Arial"/>
                <w:i/>
                <w:iCs/>
                <w:sz w:val="16"/>
                <w:szCs w:val="16"/>
                <w:lang w:val="es-ES_tradnl"/>
              </w:rPr>
              <w:t>83 (74-90)</w:t>
            </w:r>
          </w:p>
        </w:tc>
      </w:tr>
      <w:tr w:rsidR="007D48BC" w:rsidRPr="006F6ABB">
        <w:trPr>
          <w:gridAfter w:val="1"/>
          <w:wAfter w:w="36" w:type="dxa"/>
          <w:trHeight w:val="230"/>
        </w:trPr>
        <w:tc>
          <w:tcPr>
            <w:tcW w:w="8890" w:type="dxa"/>
            <w:gridSpan w:val="7"/>
            <w:vAlign w:val="center"/>
          </w:tcPr>
          <w:p w:rsidR="007D48BC" w:rsidRDefault="007D48BC" w:rsidP="00C910A1">
            <w:pPr>
              <w:jc w:val="center"/>
              <w:rPr>
                <w:rFonts w:ascii="Arial" w:hAnsi="Arial" w:cs="Arial"/>
                <w:i/>
                <w:iCs/>
                <w:sz w:val="16"/>
                <w:szCs w:val="16"/>
                <w:lang w:val="es-ES_tradnl"/>
              </w:rPr>
            </w:pPr>
            <w:r>
              <w:rPr>
                <w:rFonts w:ascii="Arial" w:hAnsi="Arial" w:cs="Arial"/>
                <w:b/>
                <w:bCs/>
                <w:i/>
                <w:iCs/>
                <w:sz w:val="16"/>
                <w:szCs w:val="16"/>
              </w:rPr>
              <w:t>VARIABLES SECUNDARIAS</w:t>
            </w:r>
          </w:p>
        </w:tc>
      </w:tr>
      <w:tr w:rsidR="007D48BC" w:rsidRPr="006F6ABB">
        <w:trPr>
          <w:gridAfter w:val="1"/>
          <w:wAfter w:w="36" w:type="dxa"/>
          <w:trHeight w:val="230"/>
        </w:trPr>
        <w:tc>
          <w:tcPr>
            <w:tcW w:w="2628" w:type="dxa"/>
          </w:tcPr>
          <w:p w:rsidR="007D48BC" w:rsidRPr="00B01CC9" w:rsidRDefault="007D48BC" w:rsidP="00B01CC9">
            <w:pPr>
              <w:jc w:val="center"/>
              <w:rPr>
                <w:rFonts w:ascii="Arial" w:hAnsi="Arial" w:cs="Arial"/>
                <w:i/>
                <w:iCs/>
                <w:sz w:val="16"/>
                <w:szCs w:val="16"/>
              </w:rPr>
            </w:pPr>
            <w:r w:rsidRPr="00C910A1">
              <w:rPr>
                <w:rFonts w:ascii="Arial" w:hAnsi="Arial" w:cs="Arial"/>
                <w:b/>
                <w:bCs/>
                <w:i/>
                <w:iCs/>
                <w:sz w:val="16"/>
                <w:szCs w:val="16"/>
              </w:rPr>
              <w:t xml:space="preserve">TRO según </w:t>
            </w:r>
            <w:r>
              <w:rPr>
                <w:rFonts w:ascii="Arial" w:hAnsi="Arial" w:cs="Arial"/>
                <w:b/>
                <w:bCs/>
                <w:i/>
                <w:iCs/>
                <w:sz w:val="16"/>
                <w:szCs w:val="16"/>
              </w:rPr>
              <w:t xml:space="preserve">grupo independiente </w:t>
            </w:r>
            <w:r w:rsidRPr="00C910A1">
              <w:rPr>
                <w:rFonts w:ascii="Arial" w:hAnsi="Arial" w:cs="Arial"/>
                <w:b/>
                <w:bCs/>
                <w:sz w:val="16"/>
                <w:szCs w:val="16"/>
              </w:rPr>
              <w:t>% (IC 95%)</w:t>
            </w:r>
          </w:p>
        </w:tc>
        <w:tc>
          <w:tcPr>
            <w:tcW w:w="2120" w:type="dxa"/>
            <w:gridSpan w:val="2"/>
            <w:vAlign w:val="center"/>
          </w:tcPr>
          <w:p w:rsidR="007D48BC" w:rsidRPr="00B01CC9" w:rsidRDefault="007D48BC" w:rsidP="00B01CC9">
            <w:pPr>
              <w:jc w:val="center"/>
              <w:rPr>
                <w:rFonts w:ascii="Arial" w:hAnsi="Arial" w:cs="Arial"/>
                <w:i/>
                <w:iCs/>
                <w:sz w:val="16"/>
                <w:szCs w:val="16"/>
              </w:rPr>
            </w:pPr>
            <w:r w:rsidRPr="00B01CC9">
              <w:rPr>
                <w:rFonts w:ascii="Arial" w:hAnsi="Arial" w:cs="Arial"/>
                <w:i/>
                <w:iCs/>
                <w:sz w:val="16"/>
                <w:szCs w:val="16"/>
              </w:rPr>
              <w:t>68 (56-78)</w:t>
            </w:r>
          </w:p>
        </w:tc>
        <w:tc>
          <w:tcPr>
            <w:tcW w:w="2215" w:type="dxa"/>
            <w:gridSpan w:val="2"/>
            <w:vAlign w:val="center"/>
          </w:tcPr>
          <w:p w:rsidR="007D48BC" w:rsidRPr="00B01CC9" w:rsidRDefault="007D48BC" w:rsidP="00B01CC9">
            <w:pPr>
              <w:jc w:val="center"/>
              <w:rPr>
                <w:rFonts w:ascii="Arial" w:hAnsi="Arial" w:cs="Arial"/>
                <w:i/>
                <w:iCs/>
                <w:sz w:val="16"/>
                <w:szCs w:val="16"/>
              </w:rPr>
            </w:pPr>
            <w:r w:rsidRPr="00B01CC9">
              <w:rPr>
                <w:rFonts w:ascii="Arial" w:hAnsi="Arial" w:cs="Arial"/>
                <w:i/>
                <w:iCs/>
                <w:sz w:val="16"/>
                <w:szCs w:val="16"/>
              </w:rPr>
              <w:t>88 (68-97)</w:t>
            </w:r>
          </w:p>
        </w:tc>
        <w:tc>
          <w:tcPr>
            <w:tcW w:w="1927" w:type="dxa"/>
            <w:gridSpan w:val="2"/>
            <w:vAlign w:val="center"/>
          </w:tcPr>
          <w:p w:rsidR="007D48BC" w:rsidRPr="00B01CC9" w:rsidRDefault="007D48BC" w:rsidP="00B01CC9">
            <w:pPr>
              <w:jc w:val="center"/>
              <w:rPr>
                <w:rFonts w:ascii="Arial" w:hAnsi="Arial" w:cs="Arial"/>
                <w:i/>
                <w:iCs/>
                <w:sz w:val="16"/>
                <w:szCs w:val="16"/>
                <w:lang w:val="es-ES_tradnl"/>
              </w:rPr>
            </w:pPr>
            <w:r w:rsidRPr="00B01CC9">
              <w:rPr>
                <w:rFonts w:ascii="Arial" w:hAnsi="Arial" w:cs="Arial"/>
                <w:i/>
                <w:iCs/>
                <w:sz w:val="16"/>
                <w:szCs w:val="16"/>
                <w:lang w:val="es-ES_tradnl"/>
              </w:rPr>
              <w:t>72 (62-81)</w:t>
            </w:r>
          </w:p>
        </w:tc>
      </w:tr>
      <w:tr w:rsidR="007D48BC" w:rsidRPr="006F6ABB">
        <w:trPr>
          <w:gridAfter w:val="1"/>
          <w:wAfter w:w="36" w:type="dxa"/>
          <w:trHeight w:val="353"/>
        </w:trPr>
        <w:tc>
          <w:tcPr>
            <w:tcW w:w="2628" w:type="dxa"/>
          </w:tcPr>
          <w:p w:rsidR="007D48BC" w:rsidRPr="009978AF" w:rsidRDefault="007D48BC" w:rsidP="009A452F">
            <w:pPr>
              <w:snapToGrid w:val="0"/>
              <w:jc w:val="center"/>
              <w:rPr>
                <w:rFonts w:ascii="Arial" w:hAnsi="Arial" w:cs="Arial"/>
                <w:i/>
                <w:iCs/>
                <w:sz w:val="16"/>
                <w:szCs w:val="16"/>
                <w:highlight w:val="yellow"/>
              </w:rPr>
            </w:pPr>
            <w:r>
              <w:rPr>
                <w:rFonts w:ascii="Arial" w:hAnsi="Arial" w:cs="Arial"/>
                <w:b/>
                <w:bCs/>
                <w:i/>
                <w:iCs/>
                <w:sz w:val="16"/>
                <w:szCs w:val="16"/>
              </w:rPr>
              <w:t>DRO según investigador (</w:t>
            </w:r>
            <w:r w:rsidRPr="00B01CC9">
              <w:rPr>
                <w:rFonts w:ascii="Arial" w:hAnsi="Arial" w:cs="Arial"/>
                <w:b/>
                <w:bCs/>
                <w:sz w:val="16"/>
                <w:szCs w:val="16"/>
              </w:rPr>
              <w:t xml:space="preserve">meses), mediana </w:t>
            </w:r>
            <w:r>
              <w:rPr>
                <w:rFonts w:ascii="Arial" w:hAnsi="Arial" w:cs="Arial"/>
                <w:b/>
                <w:bCs/>
                <w:sz w:val="16"/>
                <w:szCs w:val="16"/>
              </w:rPr>
              <w:t xml:space="preserve"> </w:t>
            </w:r>
            <w:r w:rsidRPr="00B01CC9">
              <w:rPr>
                <w:rFonts w:ascii="Arial" w:hAnsi="Arial" w:cs="Arial"/>
                <w:b/>
                <w:bCs/>
                <w:sz w:val="16"/>
                <w:szCs w:val="16"/>
              </w:rPr>
              <w:t>(IC 95%)</w:t>
            </w:r>
          </w:p>
        </w:tc>
        <w:tc>
          <w:tcPr>
            <w:tcW w:w="2120" w:type="dxa"/>
            <w:gridSpan w:val="2"/>
            <w:vAlign w:val="center"/>
          </w:tcPr>
          <w:p w:rsidR="007D48BC" w:rsidRPr="00E61B91" w:rsidRDefault="007D48BC" w:rsidP="00F6366D">
            <w:pPr>
              <w:jc w:val="center"/>
              <w:rPr>
                <w:rFonts w:ascii="Arial" w:hAnsi="Arial" w:cs="Arial"/>
                <w:i/>
                <w:iCs/>
                <w:sz w:val="16"/>
                <w:szCs w:val="16"/>
              </w:rPr>
            </w:pPr>
            <w:r w:rsidRPr="00E61B91">
              <w:rPr>
                <w:rFonts w:ascii="Arial" w:hAnsi="Arial" w:cs="Arial"/>
                <w:i/>
                <w:iCs/>
                <w:sz w:val="16"/>
                <w:szCs w:val="16"/>
              </w:rPr>
              <w:t>5</w:t>
            </w:r>
            <w:r w:rsidR="00F6366D">
              <w:rPr>
                <w:rFonts w:ascii="Arial" w:hAnsi="Arial" w:cs="Arial"/>
                <w:i/>
                <w:iCs/>
                <w:sz w:val="16"/>
                <w:szCs w:val="16"/>
              </w:rPr>
              <w:t>,</w:t>
            </w:r>
            <w:r>
              <w:rPr>
                <w:rFonts w:ascii="Arial" w:hAnsi="Arial" w:cs="Arial"/>
                <w:i/>
                <w:iCs/>
                <w:sz w:val="16"/>
                <w:szCs w:val="16"/>
              </w:rPr>
              <w:t>0</w:t>
            </w:r>
            <w:r w:rsidRPr="00E61B91">
              <w:rPr>
                <w:rFonts w:ascii="Arial" w:hAnsi="Arial" w:cs="Arial"/>
                <w:i/>
                <w:iCs/>
                <w:sz w:val="16"/>
                <w:szCs w:val="16"/>
              </w:rPr>
              <w:t xml:space="preserve"> (2</w:t>
            </w:r>
            <w:r w:rsidR="00F6366D">
              <w:rPr>
                <w:rFonts w:ascii="Arial" w:hAnsi="Arial" w:cs="Arial"/>
                <w:i/>
                <w:iCs/>
                <w:sz w:val="16"/>
                <w:szCs w:val="16"/>
              </w:rPr>
              <w:t>,</w:t>
            </w:r>
            <w:r w:rsidRPr="00E61B91">
              <w:rPr>
                <w:rFonts w:ascii="Arial" w:hAnsi="Arial" w:cs="Arial"/>
                <w:i/>
                <w:iCs/>
                <w:sz w:val="16"/>
                <w:szCs w:val="16"/>
              </w:rPr>
              <w:t>1-NE)</w:t>
            </w:r>
          </w:p>
        </w:tc>
        <w:tc>
          <w:tcPr>
            <w:tcW w:w="2215" w:type="dxa"/>
            <w:gridSpan w:val="2"/>
            <w:vAlign w:val="center"/>
          </w:tcPr>
          <w:p w:rsidR="007D48BC" w:rsidRPr="00E61B91" w:rsidRDefault="007D48BC" w:rsidP="00F6366D">
            <w:pPr>
              <w:jc w:val="center"/>
              <w:rPr>
                <w:rFonts w:ascii="Arial" w:hAnsi="Arial" w:cs="Arial"/>
                <w:i/>
                <w:iCs/>
                <w:sz w:val="16"/>
                <w:szCs w:val="16"/>
              </w:rPr>
            </w:pPr>
            <w:r w:rsidRPr="00E61B91">
              <w:rPr>
                <w:rFonts w:ascii="Arial" w:hAnsi="Arial" w:cs="Arial"/>
                <w:i/>
                <w:iCs/>
                <w:sz w:val="16"/>
                <w:szCs w:val="16"/>
              </w:rPr>
              <w:t>NE (11</w:t>
            </w:r>
            <w:r w:rsidR="00F6366D">
              <w:rPr>
                <w:rFonts w:ascii="Arial" w:hAnsi="Arial" w:cs="Arial"/>
                <w:i/>
                <w:iCs/>
                <w:sz w:val="16"/>
                <w:szCs w:val="16"/>
              </w:rPr>
              <w:t>,</w:t>
            </w:r>
            <w:r w:rsidRPr="00E61B91">
              <w:rPr>
                <w:rFonts w:ascii="Arial" w:hAnsi="Arial" w:cs="Arial"/>
                <w:i/>
                <w:iCs/>
                <w:sz w:val="16"/>
                <w:szCs w:val="16"/>
              </w:rPr>
              <w:t>1-NE)</w:t>
            </w:r>
          </w:p>
        </w:tc>
        <w:tc>
          <w:tcPr>
            <w:tcW w:w="1927" w:type="dxa"/>
            <w:gridSpan w:val="2"/>
            <w:vAlign w:val="center"/>
          </w:tcPr>
          <w:p w:rsidR="007D48BC" w:rsidRPr="00E61B91" w:rsidRDefault="007D48BC" w:rsidP="00F6366D">
            <w:pPr>
              <w:jc w:val="center"/>
              <w:rPr>
                <w:rFonts w:ascii="Arial" w:hAnsi="Arial" w:cs="Arial"/>
                <w:i/>
                <w:iCs/>
                <w:sz w:val="16"/>
                <w:szCs w:val="16"/>
                <w:lang w:val="es-ES_tradnl"/>
              </w:rPr>
            </w:pPr>
            <w:r>
              <w:rPr>
                <w:rFonts w:ascii="Arial" w:hAnsi="Arial" w:cs="Arial"/>
                <w:i/>
                <w:iCs/>
                <w:sz w:val="16"/>
                <w:szCs w:val="16"/>
                <w:lang w:val="es-ES_tradnl"/>
              </w:rPr>
              <w:t>11</w:t>
            </w:r>
            <w:r w:rsidR="00F6366D">
              <w:rPr>
                <w:rFonts w:ascii="Arial" w:hAnsi="Arial" w:cs="Arial"/>
                <w:i/>
                <w:iCs/>
                <w:sz w:val="16"/>
                <w:szCs w:val="16"/>
                <w:lang w:val="es-ES_tradnl"/>
              </w:rPr>
              <w:t>,</w:t>
            </w:r>
            <w:r>
              <w:rPr>
                <w:rFonts w:ascii="Arial" w:hAnsi="Arial" w:cs="Arial"/>
                <w:i/>
                <w:iCs/>
                <w:sz w:val="16"/>
                <w:szCs w:val="16"/>
                <w:lang w:val="es-ES_tradnl"/>
              </w:rPr>
              <w:t>1</w:t>
            </w:r>
            <w:r w:rsidRPr="00E61B91">
              <w:rPr>
                <w:rFonts w:ascii="Arial" w:hAnsi="Arial" w:cs="Arial"/>
                <w:i/>
                <w:iCs/>
                <w:sz w:val="16"/>
                <w:szCs w:val="16"/>
                <w:lang w:val="es-ES_tradnl"/>
              </w:rPr>
              <w:t xml:space="preserve"> (</w:t>
            </w:r>
            <w:r>
              <w:rPr>
                <w:rFonts w:ascii="Arial" w:hAnsi="Arial" w:cs="Arial"/>
                <w:i/>
                <w:iCs/>
                <w:sz w:val="16"/>
                <w:szCs w:val="16"/>
                <w:lang w:val="es-ES_tradnl"/>
              </w:rPr>
              <w:t>3</w:t>
            </w:r>
            <w:r w:rsidR="00F6366D">
              <w:rPr>
                <w:rFonts w:ascii="Arial" w:hAnsi="Arial" w:cs="Arial"/>
                <w:i/>
                <w:iCs/>
                <w:sz w:val="16"/>
                <w:szCs w:val="16"/>
                <w:lang w:val="es-ES_tradnl"/>
              </w:rPr>
              <w:t>,</w:t>
            </w:r>
            <w:r>
              <w:rPr>
                <w:rFonts w:ascii="Arial" w:hAnsi="Arial" w:cs="Arial"/>
                <w:i/>
                <w:iCs/>
                <w:sz w:val="16"/>
                <w:szCs w:val="16"/>
                <w:lang w:val="es-ES_tradnl"/>
              </w:rPr>
              <w:t>1</w:t>
            </w:r>
            <w:r w:rsidRPr="00E61B91">
              <w:rPr>
                <w:rFonts w:ascii="Arial" w:hAnsi="Arial" w:cs="Arial"/>
                <w:i/>
                <w:iCs/>
                <w:sz w:val="16"/>
                <w:szCs w:val="16"/>
                <w:lang w:val="es-ES_tradnl"/>
              </w:rPr>
              <w:t>-NE)</w:t>
            </w:r>
          </w:p>
        </w:tc>
      </w:tr>
      <w:tr w:rsidR="007D48BC" w:rsidRPr="006F6ABB">
        <w:trPr>
          <w:gridAfter w:val="1"/>
          <w:wAfter w:w="36" w:type="dxa"/>
          <w:trHeight w:val="230"/>
        </w:trPr>
        <w:tc>
          <w:tcPr>
            <w:tcW w:w="2628" w:type="dxa"/>
          </w:tcPr>
          <w:p w:rsidR="007D48BC" w:rsidRPr="009978AF" w:rsidRDefault="007D48BC" w:rsidP="009A452F">
            <w:pPr>
              <w:snapToGrid w:val="0"/>
              <w:jc w:val="center"/>
              <w:rPr>
                <w:rFonts w:ascii="Arial" w:hAnsi="Arial" w:cs="Arial"/>
                <w:i/>
                <w:iCs/>
                <w:sz w:val="16"/>
                <w:szCs w:val="16"/>
                <w:highlight w:val="yellow"/>
              </w:rPr>
            </w:pPr>
            <w:r>
              <w:rPr>
                <w:rFonts w:ascii="Arial" w:hAnsi="Arial" w:cs="Arial"/>
                <w:b/>
                <w:bCs/>
                <w:i/>
                <w:iCs/>
                <w:sz w:val="16"/>
                <w:szCs w:val="16"/>
              </w:rPr>
              <w:t>DRO según grupo (</w:t>
            </w:r>
            <w:r w:rsidRPr="00B01CC9">
              <w:rPr>
                <w:rFonts w:ascii="Arial" w:hAnsi="Arial" w:cs="Arial"/>
                <w:b/>
                <w:bCs/>
                <w:sz w:val="16"/>
                <w:szCs w:val="16"/>
              </w:rPr>
              <w:t>meses), mediana (IC 95%)</w:t>
            </w:r>
          </w:p>
        </w:tc>
        <w:tc>
          <w:tcPr>
            <w:tcW w:w="2120" w:type="dxa"/>
            <w:gridSpan w:val="2"/>
            <w:vAlign w:val="center"/>
          </w:tcPr>
          <w:p w:rsidR="007D48BC" w:rsidRPr="00E61B91" w:rsidRDefault="007D48BC" w:rsidP="00F6366D">
            <w:pPr>
              <w:jc w:val="center"/>
              <w:rPr>
                <w:rFonts w:ascii="Arial" w:hAnsi="Arial" w:cs="Arial"/>
                <w:i/>
                <w:iCs/>
                <w:sz w:val="16"/>
                <w:szCs w:val="16"/>
              </w:rPr>
            </w:pPr>
            <w:r>
              <w:rPr>
                <w:rFonts w:ascii="Arial" w:hAnsi="Arial" w:cs="Arial"/>
                <w:i/>
                <w:iCs/>
                <w:sz w:val="16"/>
                <w:szCs w:val="16"/>
              </w:rPr>
              <w:t>10</w:t>
            </w:r>
            <w:r w:rsidR="00F6366D">
              <w:rPr>
                <w:rFonts w:ascii="Arial" w:hAnsi="Arial" w:cs="Arial"/>
                <w:i/>
                <w:iCs/>
                <w:sz w:val="16"/>
                <w:szCs w:val="16"/>
              </w:rPr>
              <w:t>,</w:t>
            </w:r>
            <w:r>
              <w:rPr>
                <w:rFonts w:ascii="Arial" w:hAnsi="Arial" w:cs="Arial"/>
                <w:i/>
                <w:iCs/>
                <w:sz w:val="16"/>
                <w:szCs w:val="16"/>
              </w:rPr>
              <w:t>9 (5</w:t>
            </w:r>
            <w:r w:rsidR="00F6366D">
              <w:rPr>
                <w:rFonts w:ascii="Arial" w:hAnsi="Arial" w:cs="Arial"/>
                <w:i/>
                <w:iCs/>
                <w:sz w:val="16"/>
                <w:szCs w:val="16"/>
              </w:rPr>
              <w:t>,</w:t>
            </w:r>
            <w:r>
              <w:rPr>
                <w:rFonts w:ascii="Arial" w:hAnsi="Arial" w:cs="Arial"/>
                <w:i/>
                <w:iCs/>
                <w:sz w:val="16"/>
                <w:szCs w:val="16"/>
              </w:rPr>
              <w:t>4-NE)</w:t>
            </w:r>
          </w:p>
        </w:tc>
        <w:tc>
          <w:tcPr>
            <w:tcW w:w="2215" w:type="dxa"/>
            <w:gridSpan w:val="2"/>
            <w:vAlign w:val="center"/>
          </w:tcPr>
          <w:p w:rsidR="007D48BC" w:rsidRPr="00E61B91" w:rsidRDefault="007D48BC" w:rsidP="00E61B91">
            <w:pPr>
              <w:jc w:val="center"/>
              <w:rPr>
                <w:rFonts w:ascii="Arial" w:hAnsi="Arial" w:cs="Arial"/>
                <w:i/>
                <w:iCs/>
                <w:sz w:val="16"/>
                <w:szCs w:val="16"/>
              </w:rPr>
            </w:pPr>
            <w:r>
              <w:rPr>
                <w:rFonts w:ascii="Arial" w:hAnsi="Arial" w:cs="Arial"/>
                <w:i/>
                <w:iCs/>
                <w:sz w:val="16"/>
                <w:szCs w:val="16"/>
              </w:rPr>
              <w:t>NE (11</w:t>
            </w:r>
            <w:r w:rsidR="00F6366D">
              <w:rPr>
                <w:rFonts w:ascii="Arial" w:hAnsi="Arial" w:cs="Arial"/>
                <w:i/>
                <w:iCs/>
                <w:sz w:val="16"/>
                <w:szCs w:val="16"/>
              </w:rPr>
              <w:t>,</w:t>
            </w:r>
            <w:r>
              <w:rPr>
                <w:rFonts w:ascii="Arial" w:hAnsi="Arial" w:cs="Arial"/>
                <w:i/>
                <w:iCs/>
                <w:sz w:val="16"/>
                <w:szCs w:val="16"/>
              </w:rPr>
              <w:t>.1-NE)</w:t>
            </w:r>
          </w:p>
        </w:tc>
        <w:tc>
          <w:tcPr>
            <w:tcW w:w="1927" w:type="dxa"/>
            <w:gridSpan w:val="2"/>
            <w:vAlign w:val="center"/>
          </w:tcPr>
          <w:p w:rsidR="007D48BC" w:rsidRPr="00E61B91" w:rsidRDefault="007D48BC" w:rsidP="00F6366D">
            <w:pPr>
              <w:jc w:val="center"/>
              <w:rPr>
                <w:rFonts w:ascii="Arial" w:hAnsi="Arial" w:cs="Arial"/>
                <w:i/>
                <w:iCs/>
                <w:sz w:val="16"/>
                <w:szCs w:val="16"/>
                <w:lang w:val="es-ES_tradnl"/>
              </w:rPr>
            </w:pPr>
            <w:r>
              <w:rPr>
                <w:rFonts w:ascii="Arial" w:hAnsi="Arial" w:cs="Arial"/>
                <w:i/>
                <w:iCs/>
                <w:sz w:val="16"/>
                <w:szCs w:val="16"/>
                <w:lang w:val="es-ES_tradnl"/>
              </w:rPr>
              <w:t>14</w:t>
            </w:r>
            <w:r w:rsidR="00F6366D">
              <w:rPr>
                <w:rFonts w:ascii="Arial" w:hAnsi="Arial" w:cs="Arial"/>
                <w:i/>
                <w:iCs/>
                <w:sz w:val="16"/>
                <w:szCs w:val="16"/>
                <w:lang w:val="es-ES_tradnl"/>
              </w:rPr>
              <w:t>,</w:t>
            </w:r>
            <w:r>
              <w:rPr>
                <w:rFonts w:ascii="Arial" w:hAnsi="Arial" w:cs="Arial"/>
                <w:i/>
                <w:iCs/>
                <w:sz w:val="16"/>
                <w:szCs w:val="16"/>
                <w:lang w:val="es-ES_tradnl"/>
              </w:rPr>
              <w:t>0 (8</w:t>
            </w:r>
            <w:r w:rsidR="00F6366D">
              <w:rPr>
                <w:rFonts w:ascii="Arial" w:hAnsi="Arial" w:cs="Arial"/>
                <w:i/>
                <w:iCs/>
                <w:sz w:val="16"/>
                <w:szCs w:val="16"/>
                <w:lang w:val="es-ES_tradnl"/>
              </w:rPr>
              <w:t>,</w:t>
            </w:r>
            <w:r>
              <w:rPr>
                <w:rFonts w:ascii="Arial" w:hAnsi="Arial" w:cs="Arial"/>
                <w:i/>
                <w:iCs/>
                <w:sz w:val="16"/>
                <w:szCs w:val="16"/>
                <w:lang w:val="es-ES_tradnl"/>
              </w:rPr>
              <w:t>3-NE)</w:t>
            </w:r>
          </w:p>
        </w:tc>
      </w:tr>
      <w:tr w:rsidR="007D48BC" w:rsidRPr="006F6ABB">
        <w:trPr>
          <w:gridAfter w:val="1"/>
          <w:wAfter w:w="36" w:type="dxa"/>
          <w:trHeight w:val="230"/>
        </w:trPr>
        <w:tc>
          <w:tcPr>
            <w:tcW w:w="2628" w:type="dxa"/>
          </w:tcPr>
          <w:p w:rsidR="007D48BC" w:rsidRDefault="007D48BC" w:rsidP="00B01CC9">
            <w:pPr>
              <w:snapToGrid w:val="0"/>
              <w:jc w:val="center"/>
              <w:rPr>
                <w:rFonts w:ascii="Arial" w:hAnsi="Arial" w:cs="Arial"/>
                <w:b/>
                <w:bCs/>
                <w:sz w:val="16"/>
                <w:szCs w:val="16"/>
              </w:rPr>
            </w:pPr>
            <w:r>
              <w:rPr>
                <w:rFonts w:ascii="Arial" w:hAnsi="Arial" w:cs="Arial"/>
                <w:b/>
                <w:bCs/>
                <w:i/>
                <w:iCs/>
                <w:sz w:val="16"/>
                <w:szCs w:val="16"/>
              </w:rPr>
              <w:t>SLP según investigador (</w:t>
            </w:r>
            <w:r w:rsidRPr="00B01CC9">
              <w:rPr>
                <w:rFonts w:ascii="Arial" w:hAnsi="Arial" w:cs="Arial"/>
                <w:b/>
                <w:bCs/>
                <w:sz w:val="16"/>
                <w:szCs w:val="16"/>
              </w:rPr>
              <w:t xml:space="preserve">meses), mediana </w:t>
            </w:r>
          </w:p>
          <w:p w:rsidR="007D48BC" w:rsidRPr="00E61B91" w:rsidRDefault="007D48BC" w:rsidP="00E61B91">
            <w:pPr>
              <w:jc w:val="center"/>
              <w:rPr>
                <w:rFonts w:ascii="Arial" w:hAnsi="Arial" w:cs="Arial"/>
                <w:i/>
                <w:iCs/>
                <w:sz w:val="16"/>
                <w:szCs w:val="16"/>
              </w:rPr>
            </w:pPr>
            <w:r w:rsidRPr="00B01CC9">
              <w:rPr>
                <w:rFonts w:ascii="Arial" w:hAnsi="Arial" w:cs="Arial"/>
                <w:b/>
                <w:bCs/>
                <w:sz w:val="16"/>
                <w:szCs w:val="16"/>
              </w:rPr>
              <w:t>(IC 95%)</w:t>
            </w:r>
          </w:p>
        </w:tc>
        <w:tc>
          <w:tcPr>
            <w:tcW w:w="2120" w:type="dxa"/>
            <w:gridSpan w:val="2"/>
            <w:vAlign w:val="center"/>
          </w:tcPr>
          <w:p w:rsidR="007D48BC" w:rsidRPr="00E61B91" w:rsidRDefault="007D48BC" w:rsidP="00F6366D">
            <w:pPr>
              <w:jc w:val="center"/>
              <w:rPr>
                <w:rFonts w:ascii="Arial" w:hAnsi="Arial" w:cs="Arial"/>
                <w:i/>
                <w:iCs/>
                <w:sz w:val="16"/>
                <w:szCs w:val="16"/>
              </w:rPr>
            </w:pPr>
            <w:r>
              <w:rPr>
                <w:rFonts w:ascii="Arial" w:hAnsi="Arial" w:cs="Arial"/>
                <w:i/>
                <w:iCs/>
                <w:sz w:val="16"/>
                <w:szCs w:val="16"/>
              </w:rPr>
              <w:t>5</w:t>
            </w:r>
            <w:r w:rsidR="00F6366D">
              <w:rPr>
                <w:rFonts w:ascii="Arial" w:hAnsi="Arial" w:cs="Arial"/>
                <w:i/>
                <w:iCs/>
                <w:sz w:val="16"/>
                <w:szCs w:val="16"/>
              </w:rPr>
              <w:t>,</w:t>
            </w:r>
            <w:r>
              <w:rPr>
                <w:rFonts w:ascii="Arial" w:hAnsi="Arial" w:cs="Arial"/>
                <w:i/>
                <w:iCs/>
                <w:sz w:val="16"/>
                <w:szCs w:val="16"/>
              </w:rPr>
              <w:t>1 (3</w:t>
            </w:r>
            <w:r w:rsidR="00F6366D">
              <w:rPr>
                <w:rFonts w:ascii="Arial" w:hAnsi="Arial" w:cs="Arial"/>
                <w:i/>
                <w:iCs/>
                <w:sz w:val="16"/>
                <w:szCs w:val="16"/>
              </w:rPr>
              <w:t>,</w:t>
            </w:r>
            <w:r>
              <w:rPr>
                <w:rFonts w:ascii="Arial" w:hAnsi="Arial" w:cs="Arial"/>
                <w:i/>
                <w:iCs/>
                <w:sz w:val="16"/>
                <w:szCs w:val="16"/>
              </w:rPr>
              <w:t>0-9</w:t>
            </w:r>
            <w:r w:rsidR="00F6366D">
              <w:rPr>
                <w:rFonts w:ascii="Arial" w:hAnsi="Arial" w:cs="Arial"/>
                <w:i/>
                <w:iCs/>
                <w:sz w:val="16"/>
                <w:szCs w:val="16"/>
              </w:rPr>
              <w:t>,</w:t>
            </w:r>
            <w:r>
              <w:rPr>
                <w:rFonts w:ascii="Arial" w:hAnsi="Arial" w:cs="Arial"/>
                <w:i/>
                <w:iCs/>
                <w:sz w:val="16"/>
                <w:szCs w:val="16"/>
              </w:rPr>
              <w:t>1)</w:t>
            </w:r>
          </w:p>
        </w:tc>
        <w:tc>
          <w:tcPr>
            <w:tcW w:w="2215" w:type="dxa"/>
            <w:gridSpan w:val="2"/>
            <w:vAlign w:val="center"/>
          </w:tcPr>
          <w:p w:rsidR="007D48BC" w:rsidRPr="00E61B91" w:rsidRDefault="007D48BC" w:rsidP="00F6366D">
            <w:pPr>
              <w:jc w:val="center"/>
              <w:rPr>
                <w:rFonts w:ascii="Arial" w:hAnsi="Arial" w:cs="Arial"/>
                <w:i/>
                <w:iCs/>
                <w:sz w:val="16"/>
                <w:szCs w:val="16"/>
              </w:rPr>
            </w:pPr>
            <w:r>
              <w:rPr>
                <w:rFonts w:ascii="Arial" w:hAnsi="Arial" w:cs="Arial"/>
                <w:i/>
                <w:iCs/>
                <w:sz w:val="16"/>
                <w:szCs w:val="16"/>
              </w:rPr>
              <w:t>NE (3</w:t>
            </w:r>
            <w:r w:rsidR="00F6366D">
              <w:rPr>
                <w:rFonts w:ascii="Arial" w:hAnsi="Arial" w:cs="Arial"/>
                <w:i/>
                <w:iCs/>
                <w:sz w:val="16"/>
                <w:szCs w:val="16"/>
              </w:rPr>
              <w:t>,</w:t>
            </w:r>
            <w:r>
              <w:rPr>
                <w:rFonts w:ascii="Arial" w:hAnsi="Arial" w:cs="Arial"/>
                <w:i/>
                <w:iCs/>
                <w:sz w:val="16"/>
                <w:szCs w:val="16"/>
              </w:rPr>
              <w:t>7-NE)</w:t>
            </w:r>
          </w:p>
        </w:tc>
        <w:tc>
          <w:tcPr>
            <w:tcW w:w="1927" w:type="dxa"/>
            <w:gridSpan w:val="2"/>
            <w:vAlign w:val="center"/>
          </w:tcPr>
          <w:p w:rsidR="007D48BC" w:rsidRPr="00E61B91" w:rsidRDefault="007D48BC" w:rsidP="00F6366D">
            <w:pPr>
              <w:jc w:val="center"/>
              <w:rPr>
                <w:rFonts w:ascii="Arial" w:hAnsi="Arial" w:cs="Arial"/>
                <w:i/>
                <w:iCs/>
                <w:sz w:val="16"/>
                <w:szCs w:val="16"/>
                <w:lang w:val="es-ES_tradnl"/>
              </w:rPr>
            </w:pPr>
            <w:r>
              <w:rPr>
                <w:rFonts w:ascii="Arial" w:hAnsi="Arial" w:cs="Arial"/>
                <w:i/>
                <w:iCs/>
                <w:sz w:val="16"/>
                <w:szCs w:val="16"/>
                <w:lang w:val="es-ES_tradnl"/>
              </w:rPr>
              <w:t>5</w:t>
            </w:r>
            <w:r w:rsidR="00F6366D">
              <w:rPr>
                <w:rFonts w:ascii="Arial" w:hAnsi="Arial" w:cs="Arial"/>
                <w:i/>
                <w:iCs/>
                <w:sz w:val="16"/>
                <w:szCs w:val="16"/>
                <w:lang w:val="es-ES_tradnl"/>
              </w:rPr>
              <w:t>,</w:t>
            </w:r>
            <w:r>
              <w:rPr>
                <w:rFonts w:ascii="Arial" w:hAnsi="Arial" w:cs="Arial"/>
                <w:i/>
                <w:iCs/>
                <w:sz w:val="16"/>
                <w:szCs w:val="16"/>
                <w:lang w:val="es-ES_tradnl"/>
              </w:rPr>
              <w:t>9 (3</w:t>
            </w:r>
            <w:r w:rsidR="00F6366D">
              <w:rPr>
                <w:rFonts w:ascii="Arial" w:hAnsi="Arial" w:cs="Arial"/>
                <w:i/>
                <w:iCs/>
                <w:sz w:val="16"/>
                <w:szCs w:val="16"/>
                <w:lang w:val="es-ES_tradnl"/>
              </w:rPr>
              <w:t>,</w:t>
            </w:r>
            <w:r>
              <w:rPr>
                <w:rFonts w:ascii="Arial" w:hAnsi="Arial" w:cs="Arial"/>
                <w:i/>
                <w:iCs/>
                <w:sz w:val="16"/>
                <w:szCs w:val="16"/>
                <w:lang w:val="es-ES_tradnl"/>
              </w:rPr>
              <w:t>3-NE)</w:t>
            </w:r>
          </w:p>
        </w:tc>
      </w:tr>
      <w:tr w:rsidR="007D48BC" w:rsidRPr="006F6ABB">
        <w:trPr>
          <w:gridAfter w:val="1"/>
          <w:wAfter w:w="36" w:type="dxa"/>
          <w:trHeight w:val="230"/>
        </w:trPr>
        <w:tc>
          <w:tcPr>
            <w:tcW w:w="2628" w:type="dxa"/>
          </w:tcPr>
          <w:p w:rsidR="007D48BC" w:rsidRPr="00E61B91" w:rsidRDefault="007D48BC" w:rsidP="00E61B91">
            <w:pPr>
              <w:jc w:val="center"/>
              <w:rPr>
                <w:rFonts w:ascii="Arial" w:hAnsi="Arial" w:cs="Arial"/>
                <w:i/>
                <w:iCs/>
                <w:sz w:val="16"/>
                <w:szCs w:val="16"/>
              </w:rPr>
            </w:pPr>
            <w:r>
              <w:rPr>
                <w:rFonts w:ascii="Arial" w:hAnsi="Arial" w:cs="Arial"/>
                <w:b/>
                <w:bCs/>
                <w:i/>
                <w:iCs/>
                <w:sz w:val="16"/>
                <w:szCs w:val="16"/>
              </w:rPr>
              <w:t>SLP según comité independiente (</w:t>
            </w:r>
            <w:r w:rsidRPr="00B01CC9">
              <w:rPr>
                <w:rFonts w:ascii="Arial" w:hAnsi="Arial" w:cs="Arial"/>
                <w:b/>
                <w:bCs/>
                <w:sz w:val="16"/>
                <w:szCs w:val="16"/>
              </w:rPr>
              <w:t>meses), mediana (IC 95%)</w:t>
            </w:r>
          </w:p>
        </w:tc>
        <w:tc>
          <w:tcPr>
            <w:tcW w:w="2120" w:type="dxa"/>
            <w:gridSpan w:val="2"/>
            <w:vAlign w:val="center"/>
          </w:tcPr>
          <w:p w:rsidR="007D48BC" w:rsidRPr="00E61B91" w:rsidRDefault="007D48BC" w:rsidP="00F6366D">
            <w:pPr>
              <w:jc w:val="center"/>
              <w:rPr>
                <w:rFonts w:ascii="Arial" w:hAnsi="Arial" w:cs="Arial"/>
                <w:i/>
                <w:iCs/>
                <w:sz w:val="16"/>
                <w:szCs w:val="16"/>
              </w:rPr>
            </w:pPr>
            <w:r>
              <w:rPr>
                <w:rFonts w:ascii="Arial" w:hAnsi="Arial" w:cs="Arial"/>
                <w:i/>
                <w:iCs/>
                <w:sz w:val="16"/>
                <w:szCs w:val="16"/>
              </w:rPr>
              <w:t>6</w:t>
            </w:r>
            <w:r w:rsidR="00F6366D">
              <w:rPr>
                <w:rFonts w:ascii="Arial" w:hAnsi="Arial" w:cs="Arial"/>
                <w:i/>
                <w:iCs/>
                <w:sz w:val="16"/>
                <w:szCs w:val="16"/>
              </w:rPr>
              <w:t>,</w:t>
            </w:r>
            <w:r>
              <w:rPr>
                <w:rFonts w:ascii="Arial" w:hAnsi="Arial" w:cs="Arial"/>
                <w:i/>
                <w:iCs/>
                <w:sz w:val="16"/>
                <w:szCs w:val="16"/>
              </w:rPr>
              <w:t>9 (4</w:t>
            </w:r>
            <w:r w:rsidR="00F6366D">
              <w:rPr>
                <w:rFonts w:ascii="Arial" w:hAnsi="Arial" w:cs="Arial"/>
                <w:i/>
                <w:iCs/>
                <w:sz w:val="16"/>
                <w:szCs w:val="16"/>
              </w:rPr>
              <w:t>,</w:t>
            </w:r>
            <w:r>
              <w:rPr>
                <w:rFonts w:ascii="Arial" w:hAnsi="Arial" w:cs="Arial"/>
                <w:i/>
                <w:iCs/>
                <w:sz w:val="16"/>
                <w:szCs w:val="16"/>
              </w:rPr>
              <w:t>5-11</w:t>
            </w:r>
            <w:r w:rsidR="00F6366D">
              <w:rPr>
                <w:rFonts w:ascii="Arial" w:hAnsi="Arial" w:cs="Arial"/>
                <w:i/>
                <w:iCs/>
                <w:sz w:val="16"/>
                <w:szCs w:val="16"/>
              </w:rPr>
              <w:t>,</w:t>
            </w:r>
            <w:r>
              <w:rPr>
                <w:rFonts w:ascii="Arial" w:hAnsi="Arial" w:cs="Arial"/>
                <w:i/>
                <w:iCs/>
                <w:sz w:val="16"/>
                <w:szCs w:val="16"/>
              </w:rPr>
              <w:t>8)</w:t>
            </w:r>
          </w:p>
        </w:tc>
        <w:tc>
          <w:tcPr>
            <w:tcW w:w="2215" w:type="dxa"/>
            <w:gridSpan w:val="2"/>
            <w:vAlign w:val="center"/>
          </w:tcPr>
          <w:p w:rsidR="007D48BC" w:rsidRPr="00E61B91" w:rsidRDefault="007D48BC" w:rsidP="00F6366D">
            <w:pPr>
              <w:jc w:val="center"/>
              <w:rPr>
                <w:rFonts w:ascii="Arial" w:hAnsi="Arial" w:cs="Arial"/>
                <w:i/>
                <w:iCs/>
                <w:sz w:val="16"/>
                <w:szCs w:val="16"/>
              </w:rPr>
            </w:pPr>
            <w:r>
              <w:rPr>
                <w:rFonts w:ascii="Arial" w:hAnsi="Arial" w:cs="Arial"/>
                <w:i/>
                <w:iCs/>
                <w:sz w:val="16"/>
                <w:szCs w:val="16"/>
              </w:rPr>
              <w:t>12</w:t>
            </w:r>
            <w:r w:rsidR="00F6366D">
              <w:rPr>
                <w:rFonts w:ascii="Arial" w:hAnsi="Arial" w:cs="Arial"/>
                <w:i/>
                <w:iCs/>
                <w:sz w:val="16"/>
                <w:szCs w:val="16"/>
              </w:rPr>
              <w:t>,</w:t>
            </w:r>
            <w:r>
              <w:rPr>
                <w:rFonts w:ascii="Arial" w:hAnsi="Arial" w:cs="Arial"/>
                <w:i/>
                <w:iCs/>
                <w:sz w:val="16"/>
                <w:szCs w:val="16"/>
              </w:rPr>
              <w:t>5 (9</w:t>
            </w:r>
            <w:r w:rsidR="00F6366D">
              <w:rPr>
                <w:rFonts w:ascii="Arial" w:hAnsi="Arial" w:cs="Arial"/>
                <w:i/>
                <w:iCs/>
                <w:sz w:val="16"/>
                <w:szCs w:val="16"/>
              </w:rPr>
              <w:t>,</w:t>
            </w:r>
            <w:r>
              <w:rPr>
                <w:rFonts w:ascii="Arial" w:hAnsi="Arial" w:cs="Arial"/>
                <w:i/>
                <w:iCs/>
                <w:sz w:val="16"/>
                <w:szCs w:val="16"/>
              </w:rPr>
              <w:t>0-NE)</w:t>
            </w:r>
          </w:p>
        </w:tc>
        <w:tc>
          <w:tcPr>
            <w:tcW w:w="1927" w:type="dxa"/>
            <w:gridSpan w:val="2"/>
            <w:vAlign w:val="center"/>
          </w:tcPr>
          <w:p w:rsidR="007D48BC" w:rsidRPr="00E61B91" w:rsidRDefault="007D48BC" w:rsidP="00F6366D">
            <w:pPr>
              <w:jc w:val="center"/>
              <w:rPr>
                <w:rFonts w:ascii="Arial" w:hAnsi="Arial" w:cs="Arial"/>
                <w:i/>
                <w:iCs/>
                <w:sz w:val="16"/>
                <w:szCs w:val="16"/>
                <w:lang w:val="es-ES_tradnl"/>
              </w:rPr>
            </w:pPr>
            <w:r>
              <w:rPr>
                <w:rFonts w:ascii="Arial" w:hAnsi="Arial" w:cs="Arial"/>
                <w:i/>
                <w:iCs/>
                <w:sz w:val="16"/>
                <w:szCs w:val="16"/>
                <w:lang w:val="es-ES_tradnl"/>
              </w:rPr>
              <w:t>9</w:t>
            </w:r>
            <w:r w:rsidR="00F6366D">
              <w:rPr>
                <w:rFonts w:ascii="Arial" w:hAnsi="Arial" w:cs="Arial"/>
                <w:i/>
                <w:iCs/>
                <w:sz w:val="16"/>
                <w:szCs w:val="16"/>
                <w:lang w:val="es-ES_tradnl"/>
              </w:rPr>
              <w:t>,</w:t>
            </w:r>
            <w:r>
              <w:rPr>
                <w:rFonts w:ascii="Arial" w:hAnsi="Arial" w:cs="Arial"/>
                <w:i/>
                <w:iCs/>
                <w:sz w:val="16"/>
                <w:szCs w:val="16"/>
                <w:lang w:val="es-ES_tradnl"/>
              </w:rPr>
              <w:t>1 (5</w:t>
            </w:r>
            <w:r w:rsidR="00F6366D">
              <w:rPr>
                <w:rFonts w:ascii="Arial" w:hAnsi="Arial" w:cs="Arial"/>
                <w:i/>
                <w:iCs/>
                <w:sz w:val="16"/>
                <w:szCs w:val="16"/>
                <w:lang w:val="es-ES_tradnl"/>
              </w:rPr>
              <w:t>,</w:t>
            </w:r>
            <w:r>
              <w:rPr>
                <w:rFonts w:ascii="Arial" w:hAnsi="Arial" w:cs="Arial"/>
                <w:i/>
                <w:iCs/>
                <w:sz w:val="16"/>
                <w:szCs w:val="16"/>
                <w:lang w:val="es-ES_tradnl"/>
              </w:rPr>
              <w:t>8-12</w:t>
            </w:r>
            <w:r w:rsidR="00F6366D">
              <w:rPr>
                <w:rFonts w:ascii="Arial" w:hAnsi="Arial" w:cs="Arial"/>
                <w:i/>
                <w:iCs/>
                <w:sz w:val="16"/>
                <w:szCs w:val="16"/>
                <w:lang w:val="es-ES_tradnl"/>
              </w:rPr>
              <w:t>,</w:t>
            </w:r>
            <w:r>
              <w:rPr>
                <w:rFonts w:ascii="Arial" w:hAnsi="Arial" w:cs="Arial"/>
                <w:i/>
                <w:iCs/>
                <w:sz w:val="16"/>
                <w:szCs w:val="16"/>
                <w:lang w:val="es-ES_tradnl"/>
              </w:rPr>
              <w:t>5)</w:t>
            </w:r>
          </w:p>
        </w:tc>
      </w:tr>
      <w:tr w:rsidR="007D48BC" w:rsidRPr="006F6ABB">
        <w:trPr>
          <w:gridAfter w:val="1"/>
          <w:wAfter w:w="36" w:type="dxa"/>
          <w:trHeight w:val="230"/>
        </w:trPr>
        <w:tc>
          <w:tcPr>
            <w:tcW w:w="2628" w:type="dxa"/>
          </w:tcPr>
          <w:p w:rsidR="007D48BC" w:rsidRDefault="007D48BC" w:rsidP="00B01CC9">
            <w:pPr>
              <w:snapToGrid w:val="0"/>
              <w:jc w:val="center"/>
              <w:rPr>
                <w:rFonts w:ascii="Arial" w:hAnsi="Arial" w:cs="Arial"/>
                <w:b/>
                <w:bCs/>
                <w:sz w:val="16"/>
                <w:szCs w:val="16"/>
              </w:rPr>
            </w:pPr>
            <w:r>
              <w:rPr>
                <w:rFonts w:ascii="Arial" w:hAnsi="Arial" w:cs="Arial"/>
                <w:b/>
                <w:bCs/>
                <w:i/>
                <w:iCs/>
                <w:sz w:val="16"/>
                <w:szCs w:val="16"/>
              </w:rPr>
              <w:t>SG (</w:t>
            </w:r>
            <w:r w:rsidRPr="00B01CC9">
              <w:rPr>
                <w:rFonts w:ascii="Arial" w:hAnsi="Arial" w:cs="Arial"/>
                <w:b/>
                <w:bCs/>
                <w:sz w:val="16"/>
                <w:szCs w:val="16"/>
              </w:rPr>
              <w:t xml:space="preserve">meses), mediana </w:t>
            </w:r>
          </w:p>
          <w:p w:rsidR="007D48BC" w:rsidRPr="00E61B91" w:rsidRDefault="007D48BC" w:rsidP="00E61B91">
            <w:pPr>
              <w:jc w:val="center"/>
              <w:rPr>
                <w:rFonts w:ascii="Arial" w:hAnsi="Arial" w:cs="Arial"/>
                <w:i/>
                <w:iCs/>
                <w:sz w:val="16"/>
                <w:szCs w:val="16"/>
              </w:rPr>
            </w:pPr>
            <w:r w:rsidRPr="00B01CC9">
              <w:rPr>
                <w:rFonts w:ascii="Arial" w:hAnsi="Arial" w:cs="Arial"/>
                <w:b/>
                <w:bCs/>
                <w:sz w:val="16"/>
                <w:szCs w:val="16"/>
              </w:rPr>
              <w:t>(IC 95%)</w:t>
            </w:r>
          </w:p>
        </w:tc>
        <w:tc>
          <w:tcPr>
            <w:tcW w:w="2120" w:type="dxa"/>
            <w:gridSpan w:val="2"/>
            <w:vAlign w:val="center"/>
          </w:tcPr>
          <w:p w:rsidR="007D48BC" w:rsidRPr="00E61B91" w:rsidRDefault="007D48BC" w:rsidP="00F6366D">
            <w:pPr>
              <w:jc w:val="center"/>
              <w:rPr>
                <w:rFonts w:ascii="Arial" w:hAnsi="Arial" w:cs="Arial"/>
                <w:i/>
                <w:iCs/>
                <w:sz w:val="16"/>
                <w:szCs w:val="16"/>
              </w:rPr>
            </w:pPr>
            <w:r>
              <w:rPr>
                <w:rFonts w:ascii="Arial" w:hAnsi="Arial" w:cs="Arial"/>
                <w:i/>
                <w:iCs/>
                <w:sz w:val="16"/>
                <w:szCs w:val="16"/>
              </w:rPr>
              <w:t>15</w:t>
            </w:r>
            <w:r w:rsidR="00F6366D">
              <w:rPr>
                <w:rFonts w:ascii="Arial" w:hAnsi="Arial" w:cs="Arial"/>
                <w:i/>
                <w:iCs/>
                <w:sz w:val="16"/>
                <w:szCs w:val="16"/>
              </w:rPr>
              <w:t>,</w:t>
            </w:r>
            <w:r>
              <w:rPr>
                <w:rFonts w:ascii="Arial" w:hAnsi="Arial" w:cs="Arial"/>
                <w:i/>
                <w:iCs/>
                <w:sz w:val="16"/>
                <w:szCs w:val="16"/>
              </w:rPr>
              <w:t>4 (10</w:t>
            </w:r>
            <w:r w:rsidR="00F6366D">
              <w:rPr>
                <w:rFonts w:ascii="Arial" w:hAnsi="Arial" w:cs="Arial"/>
                <w:i/>
                <w:iCs/>
                <w:sz w:val="16"/>
                <w:szCs w:val="16"/>
              </w:rPr>
              <w:t>,</w:t>
            </w:r>
            <w:r>
              <w:rPr>
                <w:rFonts w:ascii="Arial" w:hAnsi="Arial" w:cs="Arial"/>
                <w:i/>
                <w:iCs/>
                <w:sz w:val="16"/>
                <w:szCs w:val="16"/>
              </w:rPr>
              <w:t>4-NE)</w:t>
            </w:r>
          </w:p>
        </w:tc>
        <w:tc>
          <w:tcPr>
            <w:tcW w:w="2215" w:type="dxa"/>
            <w:gridSpan w:val="2"/>
            <w:vAlign w:val="center"/>
          </w:tcPr>
          <w:p w:rsidR="007D48BC" w:rsidRPr="00E61B91" w:rsidRDefault="007D48BC" w:rsidP="00E61B91">
            <w:pPr>
              <w:jc w:val="center"/>
              <w:rPr>
                <w:rFonts w:ascii="Arial" w:hAnsi="Arial" w:cs="Arial"/>
                <w:i/>
                <w:iCs/>
                <w:sz w:val="16"/>
                <w:szCs w:val="16"/>
              </w:rPr>
            </w:pPr>
            <w:r>
              <w:rPr>
                <w:rFonts w:ascii="Arial" w:hAnsi="Arial" w:cs="Arial"/>
                <w:i/>
                <w:iCs/>
                <w:sz w:val="16"/>
                <w:szCs w:val="16"/>
              </w:rPr>
              <w:t>NE (NE-NE)</w:t>
            </w:r>
          </w:p>
        </w:tc>
        <w:tc>
          <w:tcPr>
            <w:tcW w:w="1927" w:type="dxa"/>
            <w:gridSpan w:val="2"/>
            <w:vAlign w:val="center"/>
          </w:tcPr>
          <w:p w:rsidR="007D48BC" w:rsidRPr="00E61B91" w:rsidRDefault="007D48BC" w:rsidP="00F6366D">
            <w:pPr>
              <w:jc w:val="center"/>
              <w:rPr>
                <w:rFonts w:ascii="Arial" w:hAnsi="Arial" w:cs="Arial"/>
                <w:i/>
                <w:iCs/>
                <w:sz w:val="16"/>
                <w:szCs w:val="16"/>
                <w:lang w:val="es-ES_tradnl"/>
              </w:rPr>
            </w:pPr>
            <w:r>
              <w:rPr>
                <w:rFonts w:ascii="Arial" w:hAnsi="Arial" w:cs="Arial"/>
                <w:i/>
                <w:iCs/>
                <w:sz w:val="16"/>
                <w:szCs w:val="16"/>
                <w:lang w:val="es-ES_tradnl"/>
              </w:rPr>
              <w:t>NE (12</w:t>
            </w:r>
            <w:r w:rsidR="00F6366D">
              <w:rPr>
                <w:rFonts w:ascii="Arial" w:hAnsi="Arial" w:cs="Arial"/>
                <w:i/>
                <w:iCs/>
                <w:sz w:val="16"/>
                <w:szCs w:val="16"/>
                <w:lang w:val="es-ES_tradnl"/>
              </w:rPr>
              <w:t>,</w:t>
            </w:r>
            <w:r>
              <w:rPr>
                <w:rFonts w:ascii="Arial" w:hAnsi="Arial" w:cs="Arial"/>
                <w:i/>
                <w:iCs/>
                <w:sz w:val="16"/>
                <w:szCs w:val="16"/>
                <w:lang w:val="es-ES_tradnl"/>
              </w:rPr>
              <w:t>8-NE)</w:t>
            </w:r>
          </w:p>
        </w:tc>
      </w:tr>
      <w:tr w:rsidR="007D48BC" w:rsidRPr="006F6ABB">
        <w:trPr>
          <w:gridAfter w:val="1"/>
          <w:wAfter w:w="36" w:type="dxa"/>
          <w:trHeight w:val="230"/>
        </w:trPr>
        <w:tc>
          <w:tcPr>
            <w:tcW w:w="8890" w:type="dxa"/>
            <w:gridSpan w:val="7"/>
            <w:shd w:val="clear" w:color="auto" w:fill="E6E6E6"/>
          </w:tcPr>
          <w:p w:rsidR="007D48BC" w:rsidRPr="006F6ABB" w:rsidRDefault="007D48BC" w:rsidP="00BC3E8E">
            <w:pPr>
              <w:rPr>
                <w:rFonts w:ascii="Arial" w:hAnsi="Arial" w:cs="Arial"/>
                <w:b/>
                <w:bCs/>
                <w:sz w:val="16"/>
                <w:szCs w:val="16"/>
                <w:u w:val="single"/>
              </w:rPr>
            </w:pPr>
          </w:p>
        </w:tc>
      </w:tr>
      <w:tr w:rsidR="007D48BC" w:rsidTr="000776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5" w:type="dxa"/>
            <w:left w:w="55" w:type="dxa"/>
            <w:bottom w:w="55" w:type="dxa"/>
            <w:right w:w="55" w:type="dxa"/>
          </w:tblCellMar>
        </w:tblPrEx>
        <w:trPr>
          <w:trHeight w:val="35"/>
        </w:trPr>
        <w:tc>
          <w:tcPr>
            <w:tcW w:w="8926" w:type="dxa"/>
            <w:gridSpan w:val="8"/>
            <w:tcBorders>
              <w:top w:val="single" w:sz="4" w:space="0" w:color="000000"/>
              <w:left w:val="single" w:sz="4" w:space="0" w:color="000000"/>
              <w:bottom w:val="single" w:sz="4" w:space="0" w:color="000000"/>
              <w:right w:val="single" w:sz="4" w:space="0" w:color="000000"/>
            </w:tcBorders>
            <w:shd w:val="clear" w:color="auto" w:fill="CCFFCC"/>
          </w:tcPr>
          <w:p w:rsidR="007D48BC" w:rsidRDefault="007D48BC" w:rsidP="00DB798F">
            <w:pPr>
              <w:pStyle w:val="Contenidodelatabla"/>
              <w:spacing w:before="20" w:after="20"/>
              <w:jc w:val="both"/>
            </w:pPr>
            <w:r>
              <w:rPr>
                <w:rFonts w:ascii="Arial" w:hAnsi="Arial" w:cs="Arial"/>
                <w:b/>
                <w:bCs/>
                <w:sz w:val="16"/>
                <w:szCs w:val="16"/>
              </w:rPr>
              <w:t xml:space="preserve">Tabla 8. Resultados de eficacia disponibles en la población por </w:t>
            </w:r>
            <w:r w:rsidR="0007769E">
              <w:rPr>
                <w:rFonts w:ascii="Arial" w:hAnsi="Arial" w:cs="Arial"/>
                <w:b/>
                <w:bCs/>
                <w:sz w:val="16"/>
                <w:szCs w:val="16"/>
              </w:rPr>
              <w:t>intención de tratar del estudio</w:t>
            </w:r>
            <w:r>
              <w:rPr>
                <w:rFonts w:ascii="Arial" w:hAnsi="Arial" w:cs="Arial"/>
                <w:b/>
                <w:bCs/>
                <w:sz w:val="16"/>
                <w:szCs w:val="16"/>
              </w:rPr>
              <w:t xml:space="preserve"> pivotal a los 12 meses de tratamiento.</w:t>
            </w:r>
          </w:p>
        </w:tc>
      </w:tr>
      <w:tr w:rsidR="007D48BC" w:rsidTr="000776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5" w:type="dxa"/>
            <w:left w:w="55" w:type="dxa"/>
            <w:bottom w:w="55" w:type="dxa"/>
            <w:right w:w="55" w:type="dxa"/>
          </w:tblCellMar>
        </w:tblPrEx>
        <w:tc>
          <w:tcPr>
            <w:tcW w:w="3686" w:type="dxa"/>
            <w:gridSpan w:val="2"/>
            <w:tcBorders>
              <w:top w:val="single" w:sz="4" w:space="0" w:color="000000"/>
              <w:left w:val="single" w:sz="4" w:space="0" w:color="000000"/>
              <w:bottom w:val="single" w:sz="4" w:space="0" w:color="000000"/>
            </w:tcBorders>
            <w:shd w:val="clear" w:color="auto" w:fill="D9D9D9"/>
          </w:tcPr>
          <w:p w:rsidR="007D48BC" w:rsidRDefault="007D48BC" w:rsidP="00D46599">
            <w:pPr>
              <w:pStyle w:val="Contenidodelatabla"/>
              <w:jc w:val="both"/>
            </w:pPr>
            <w:r>
              <w:rPr>
                <w:rFonts w:ascii="Arial" w:hAnsi="Arial" w:cs="Arial"/>
                <w:b/>
                <w:bCs/>
                <w:sz w:val="16"/>
                <w:szCs w:val="16"/>
              </w:rPr>
              <w:t xml:space="preserve">Variable </w:t>
            </w:r>
          </w:p>
        </w:tc>
        <w:tc>
          <w:tcPr>
            <w:tcW w:w="1728"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rsidR="007D48BC" w:rsidRPr="00C910A1" w:rsidRDefault="008258E3" w:rsidP="00D46599">
            <w:pPr>
              <w:jc w:val="center"/>
              <w:rPr>
                <w:rFonts w:ascii="Arial" w:hAnsi="Arial" w:cs="Arial"/>
                <w:b/>
                <w:bCs/>
                <w:i/>
                <w:iCs/>
                <w:sz w:val="16"/>
                <w:szCs w:val="16"/>
              </w:rPr>
            </w:pPr>
            <w:r>
              <w:rPr>
                <w:rFonts w:ascii="Arial" w:hAnsi="Arial" w:cs="Arial"/>
                <w:b/>
                <w:bCs/>
                <w:i/>
                <w:iCs/>
                <w:sz w:val="16"/>
                <w:szCs w:val="16"/>
              </w:rPr>
              <w:t>LDCBG</w:t>
            </w:r>
          </w:p>
          <w:p w:rsidR="007D48BC" w:rsidRDefault="007D48BC" w:rsidP="00C77F05">
            <w:pPr>
              <w:jc w:val="center"/>
              <w:rPr>
                <w:rFonts w:ascii="Arial" w:hAnsi="Arial" w:cs="Arial"/>
                <w:b/>
                <w:bCs/>
                <w:i/>
                <w:iCs/>
                <w:sz w:val="16"/>
                <w:szCs w:val="16"/>
              </w:rPr>
            </w:pPr>
            <w:r w:rsidRPr="00C910A1">
              <w:rPr>
                <w:rFonts w:ascii="Arial" w:hAnsi="Arial" w:cs="Arial"/>
                <w:b/>
                <w:bCs/>
                <w:i/>
                <w:iCs/>
                <w:sz w:val="16"/>
                <w:szCs w:val="16"/>
              </w:rPr>
              <w:t>(Cohorte 1)</w:t>
            </w:r>
            <w:r>
              <w:rPr>
                <w:rFonts w:ascii="Arial" w:hAnsi="Arial" w:cs="Arial"/>
                <w:b/>
                <w:bCs/>
                <w:i/>
                <w:iCs/>
                <w:sz w:val="16"/>
                <w:szCs w:val="16"/>
              </w:rPr>
              <w:t xml:space="preserve"> </w:t>
            </w:r>
          </w:p>
          <w:p w:rsidR="007D48BC" w:rsidRDefault="007D48BC" w:rsidP="00C77F05">
            <w:pPr>
              <w:jc w:val="center"/>
              <w:rPr>
                <w:rFonts w:ascii="Arial" w:hAnsi="Arial" w:cs="Arial"/>
                <w:b/>
                <w:bCs/>
                <w:i/>
                <w:iCs/>
                <w:sz w:val="16"/>
                <w:szCs w:val="16"/>
              </w:rPr>
            </w:pPr>
            <w:r w:rsidRPr="00C910A1">
              <w:rPr>
                <w:rFonts w:ascii="Arial" w:hAnsi="Arial" w:cs="Arial"/>
                <w:b/>
                <w:bCs/>
                <w:i/>
                <w:iCs/>
                <w:sz w:val="16"/>
                <w:szCs w:val="16"/>
                <w:lang w:val="pt-BR"/>
              </w:rPr>
              <w:t>N=</w:t>
            </w:r>
            <w:r>
              <w:rPr>
                <w:rFonts w:ascii="Arial" w:hAnsi="Arial" w:cs="Arial"/>
                <w:b/>
                <w:bCs/>
                <w:i/>
                <w:iCs/>
                <w:sz w:val="16"/>
                <w:szCs w:val="16"/>
                <w:lang w:val="pt-BR"/>
              </w:rPr>
              <w:t>81</w:t>
            </w:r>
          </w:p>
        </w:tc>
        <w:tc>
          <w:tcPr>
            <w:tcW w:w="1728"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rsidR="007D48BC" w:rsidRPr="00CF5633" w:rsidRDefault="007D48BC" w:rsidP="00D46599">
            <w:pPr>
              <w:jc w:val="center"/>
              <w:rPr>
                <w:rFonts w:ascii="Arial" w:hAnsi="Arial" w:cs="Arial"/>
                <w:b/>
                <w:bCs/>
                <w:i/>
                <w:iCs/>
                <w:sz w:val="16"/>
                <w:szCs w:val="16"/>
                <w:lang w:val="pt-BR"/>
              </w:rPr>
            </w:pPr>
            <w:r w:rsidRPr="00CF5633">
              <w:rPr>
                <w:rFonts w:ascii="Arial" w:hAnsi="Arial" w:cs="Arial"/>
                <w:b/>
                <w:bCs/>
                <w:i/>
                <w:iCs/>
                <w:sz w:val="16"/>
                <w:szCs w:val="16"/>
                <w:lang w:val="pt-BR"/>
              </w:rPr>
              <w:t>LBPM + Transf. Folicular (Cohorte 2) N=30</w:t>
            </w:r>
          </w:p>
        </w:tc>
        <w:tc>
          <w:tcPr>
            <w:tcW w:w="1784"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rsidR="007D48BC" w:rsidRDefault="007D48BC" w:rsidP="00D46599">
            <w:pPr>
              <w:pStyle w:val="Contenidodelatabla"/>
              <w:jc w:val="center"/>
              <w:rPr>
                <w:rFonts w:ascii="Arial" w:hAnsi="Arial" w:cs="Arial"/>
                <w:b/>
                <w:bCs/>
                <w:i/>
                <w:iCs/>
                <w:sz w:val="16"/>
                <w:szCs w:val="16"/>
              </w:rPr>
            </w:pPr>
            <w:r w:rsidRPr="00C910A1">
              <w:rPr>
                <w:rFonts w:ascii="Arial" w:hAnsi="Arial" w:cs="Arial"/>
                <w:b/>
                <w:bCs/>
                <w:i/>
                <w:iCs/>
                <w:sz w:val="16"/>
                <w:szCs w:val="16"/>
              </w:rPr>
              <w:t>Todos los pacientes</w:t>
            </w:r>
          </w:p>
          <w:p w:rsidR="007D48BC" w:rsidRDefault="007D48BC" w:rsidP="00D46599">
            <w:pPr>
              <w:pStyle w:val="Contenidodelatabla"/>
              <w:jc w:val="center"/>
              <w:rPr>
                <w:rFonts w:ascii="Arial" w:hAnsi="Arial" w:cs="Arial"/>
                <w:b/>
                <w:bCs/>
                <w:i/>
                <w:iCs/>
                <w:sz w:val="16"/>
                <w:szCs w:val="16"/>
              </w:rPr>
            </w:pPr>
            <w:r>
              <w:rPr>
                <w:rFonts w:ascii="Arial" w:hAnsi="Arial" w:cs="Arial"/>
                <w:b/>
                <w:bCs/>
                <w:i/>
                <w:iCs/>
                <w:sz w:val="16"/>
                <w:szCs w:val="16"/>
              </w:rPr>
              <w:t>(</w:t>
            </w:r>
            <w:r w:rsidRPr="00C910A1">
              <w:rPr>
                <w:rFonts w:ascii="Arial" w:hAnsi="Arial" w:cs="Arial"/>
                <w:b/>
                <w:bCs/>
                <w:i/>
                <w:iCs/>
                <w:sz w:val="16"/>
                <w:szCs w:val="16"/>
              </w:rPr>
              <w:t>Cohorte 1+2)</w:t>
            </w:r>
          </w:p>
          <w:p w:rsidR="007D48BC" w:rsidRDefault="007D48BC" w:rsidP="00D46599">
            <w:pPr>
              <w:pStyle w:val="Contenidodelatabla"/>
              <w:jc w:val="center"/>
            </w:pPr>
            <w:r w:rsidRPr="00D46599">
              <w:rPr>
                <w:rFonts w:ascii="Arial" w:hAnsi="Arial" w:cs="Arial"/>
                <w:b/>
                <w:bCs/>
                <w:i/>
                <w:iCs/>
                <w:sz w:val="16"/>
                <w:szCs w:val="16"/>
              </w:rPr>
              <w:t xml:space="preserve"> (N = 111)</w:t>
            </w:r>
            <w:r>
              <w:rPr>
                <w:b/>
                <w:bCs/>
                <w:sz w:val="18"/>
                <w:szCs w:val="18"/>
              </w:rPr>
              <w:t xml:space="preserve"> </w:t>
            </w:r>
          </w:p>
        </w:tc>
      </w:tr>
      <w:tr w:rsidR="007D48BC" w:rsidTr="000776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5" w:type="dxa"/>
            <w:left w:w="55" w:type="dxa"/>
            <w:bottom w:w="55" w:type="dxa"/>
            <w:right w:w="55" w:type="dxa"/>
          </w:tblCellMar>
        </w:tblPrEx>
        <w:tc>
          <w:tcPr>
            <w:tcW w:w="8926" w:type="dxa"/>
            <w:gridSpan w:val="8"/>
            <w:tcBorders>
              <w:top w:val="single" w:sz="4" w:space="0" w:color="000000"/>
              <w:left w:val="single" w:sz="4" w:space="0" w:color="000000"/>
              <w:bottom w:val="single" w:sz="4" w:space="0" w:color="000000"/>
              <w:right w:val="single" w:sz="4" w:space="0" w:color="000000"/>
            </w:tcBorders>
          </w:tcPr>
          <w:p w:rsidR="007D48BC" w:rsidRPr="00C910A1" w:rsidRDefault="007D48BC" w:rsidP="00D46599">
            <w:pPr>
              <w:jc w:val="center"/>
              <w:rPr>
                <w:rFonts w:ascii="Arial" w:hAnsi="Arial" w:cs="Arial"/>
                <w:b/>
                <w:bCs/>
                <w:i/>
                <w:iCs/>
                <w:sz w:val="16"/>
                <w:szCs w:val="16"/>
              </w:rPr>
            </w:pPr>
            <w:r w:rsidRPr="00B42A90">
              <w:rPr>
                <w:rFonts w:ascii="Arial" w:hAnsi="Arial" w:cs="Arial"/>
                <w:b/>
                <w:bCs/>
                <w:i/>
                <w:iCs/>
                <w:sz w:val="16"/>
                <w:szCs w:val="16"/>
              </w:rPr>
              <w:t>VARIABLE PRINCIPAL</w:t>
            </w:r>
          </w:p>
        </w:tc>
      </w:tr>
      <w:tr w:rsidR="007D48BC" w:rsidTr="000776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5" w:type="dxa"/>
            <w:left w:w="55" w:type="dxa"/>
            <w:bottom w:w="55" w:type="dxa"/>
            <w:right w:w="55" w:type="dxa"/>
          </w:tblCellMar>
        </w:tblPrEx>
        <w:tc>
          <w:tcPr>
            <w:tcW w:w="3686" w:type="dxa"/>
            <w:gridSpan w:val="2"/>
            <w:tcBorders>
              <w:top w:val="single" w:sz="4" w:space="0" w:color="000000"/>
              <w:left w:val="single" w:sz="4" w:space="0" w:color="000000"/>
              <w:bottom w:val="single" w:sz="4" w:space="0" w:color="000000"/>
            </w:tcBorders>
          </w:tcPr>
          <w:p w:rsidR="007D48BC" w:rsidRDefault="007D48BC" w:rsidP="00D46599">
            <w:pPr>
              <w:snapToGrid w:val="0"/>
              <w:rPr>
                <w:rFonts w:ascii="Arial" w:hAnsi="Arial" w:cs="Arial"/>
                <w:b/>
                <w:bCs/>
                <w:sz w:val="16"/>
                <w:szCs w:val="16"/>
              </w:rPr>
            </w:pPr>
            <w:r w:rsidRPr="00C910A1">
              <w:rPr>
                <w:rFonts w:ascii="Arial" w:hAnsi="Arial" w:cs="Arial"/>
                <w:b/>
                <w:bCs/>
                <w:i/>
                <w:iCs/>
                <w:sz w:val="16"/>
                <w:szCs w:val="16"/>
              </w:rPr>
              <w:t>TRO según investigador</w:t>
            </w:r>
            <w:r>
              <w:rPr>
                <w:rFonts w:ascii="Arial" w:hAnsi="Arial" w:cs="Arial"/>
                <w:b/>
                <w:bCs/>
                <w:i/>
                <w:iCs/>
                <w:sz w:val="16"/>
                <w:szCs w:val="16"/>
              </w:rPr>
              <w:t xml:space="preserve"> </w:t>
            </w:r>
            <w:r w:rsidRPr="00C910A1">
              <w:rPr>
                <w:rFonts w:ascii="Arial" w:hAnsi="Arial" w:cs="Arial"/>
                <w:b/>
                <w:bCs/>
                <w:sz w:val="16"/>
                <w:szCs w:val="16"/>
              </w:rPr>
              <w:t>% (IC 95%)</w:t>
            </w:r>
          </w:p>
        </w:tc>
        <w:tc>
          <w:tcPr>
            <w:tcW w:w="1728" w:type="dxa"/>
            <w:gridSpan w:val="2"/>
            <w:tcBorders>
              <w:top w:val="single" w:sz="4" w:space="0" w:color="000000"/>
              <w:left w:val="single" w:sz="4" w:space="0" w:color="000000"/>
              <w:bottom w:val="single" w:sz="4" w:space="0" w:color="000000"/>
              <w:right w:val="single" w:sz="4" w:space="0" w:color="000000"/>
            </w:tcBorders>
            <w:vAlign w:val="center"/>
          </w:tcPr>
          <w:p w:rsidR="007D48BC" w:rsidRPr="00C910A1" w:rsidRDefault="007D48BC" w:rsidP="00D46599">
            <w:pPr>
              <w:jc w:val="center"/>
              <w:rPr>
                <w:rFonts w:ascii="Arial" w:hAnsi="Arial" w:cs="Arial"/>
                <w:b/>
                <w:bCs/>
                <w:i/>
                <w:iCs/>
                <w:sz w:val="16"/>
                <w:szCs w:val="16"/>
              </w:rPr>
            </w:pPr>
            <w:r>
              <w:rPr>
                <w:rFonts w:ascii="Arial" w:hAnsi="Arial" w:cs="Arial"/>
                <w:b/>
                <w:bCs/>
                <w:i/>
                <w:iCs/>
                <w:sz w:val="16"/>
                <w:szCs w:val="16"/>
              </w:rPr>
              <w:t>79 (69-87)</w:t>
            </w:r>
          </w:p>
        </w:tc>
        <w:tc>
          <w:tcPr>
            <w:tcW w:w="1728" w:type="dxa"/>
            <w:gridSpan w:val="2"/>
            <w:tcBorders>
              <w:top w:val="single" w:sz="4" w:space="0" w:color="000000"/>
              <w:left w:val="single" w:sz="4" w:space="0" w:color="000000"/>
              <w:bottom w:val="single" w:sz="4" w:space="0" w:color="000000"/>
              <w:right w:val="single" w:sz="4" w:space="0" w:color="000000"/>
            </w:tcBorders>
            <w:vAlign w:val="center"/>
          </w:tcPr>
          <w:p w:rsidR="007D48BC" w:rsidRPr="00C910A1" w:rsidRDefault="007D48BC" w:rsidP="00D46599">
            <w:pPr>
              <w:jc w:val="center"/>
              <w:rPr>
                <w:rFonts w:ascii="Arial" w:hAnsi="Arial" w:cs="Arial"/>
                <w:b/>
                <w:bCs/>
                <w:i/>
                <w:iCs/>
                <w:sz w:val="16"/>
                <w:szCs w:val="16"/>
              </w:rPr>
            </w:pPr>
            <w:r>
              <w:rPr>
                <w:rFonts w:ascii="Arial" w:hAnsi="Arial" w:cs="Arial"/>
                <w:b/>
                <w:bCs/>
                <w:i/>
                <w:iCs/>
                <w:sz w:val="16"/>
                <w:szCs w:val="16"/>
              </w:rPr>
              <w:t>73 (54-88)</w:t>
            </w:r>
          </w:p>
        </w:tc>
        <w:tc>
          <w:tcPr>
            <w:tcW w:w="1784" w:type="dxa"/>
            <w:gridSpan w:val="2"/>
            <w:tcBorders>
              <w:top w:val="single" w:sz="4" w:space="0" w:color="000000"/>
              <w:left w:val="single" w:sz="4" w:space="0" w:color="000000"/>
              <w:bottom w:val="single" w:sz="4" w:space="0" w:color="000000"/>
              <w:right w:val="single" w:sz="4" w:space="0" w:color="000000"/>
            </w:tcBorders>
            <w:vAlign w:val="center"/>
          </w:tcPr>
          <w:p w:rsidR="007D48BC" w:rsidRPr="00C910A1" w:rsidRDefault="007D48BC" w:rsidP="00D46599">
            <w:pPr>
              <w:jc w:val="center"/>
              <w:rPr>
                <w:rFonts w:ascii="Arial" w:hAnsi="Arial" w:cs="Arial"/>
                <w:b/>
                <w:bCs/>
                <w:i/>
                <w:iCs/>
                <w:sz w:val="16"/>
                <w:szCs w:val="16"/>
              </w:rPr>
            </w:pPr>
            <w:r>
              <w:rPr>
                <w:rFonts w:ascii="Arial" w:hAnsi="Arial" w:cs="Arial"/>
                <w:b/>
                <w:bCs/>
                <w:i/>
                <w:iCs/>
                <w:sz w:val="16"/>
                <w:szCs w:val="16"/>
              </w:rPr>
              <w:t>77 (69-85)</w:t>
            </w:r>
          </w:p>
        </w:tc>
      </w:tr>
      <w:tr w:rsidR="007D48BC" w:rsidTr="000776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5" w:type="dxa"/>
            <w:left w:w="55" w:type="dxa"/>
            <w:bottom w:w="55" w:type="dxa"/>
            <w:right w:w="55" w:type="dxa"/>
          </w:tblCellMar>
        </w:tblPrEx>
        <w:tc>
          <w:tcPr>
            <w:tcW w:w="8926" w:type="dxa"/>
            <w:gridSpan w:val="8"/>
            <w:tcBorders>
              <w:top w:val="single" w:sz="4" w:space="0" w:color="000000"/>
              <w:left w:val="single" w:sz="4" w:space="0" w:color="000000"/>
              <w:bottom w:val="single" w:sz="4" w:space="0" w:color="000000"/>
              <w:right w:val="single" w:sz="4" w:space="0" w:color="000000"/>
            </w:tcBorders>
          </w:tcPr>
          <w:p w:rsidR="007D48BC" w:rsidRPr="00C910A1" w:rsidRDefault="007D48BC" w:rsidP="00D46599">
            <w:pPr>
              <w:jc w:val="center"/>
              <w:rPr>
                <w:rFonts w:ascii="Arial" w:hAnsi="Arial" w:cs="Arial"/>
                <w:b/>
                <w:bCs/>
                <w:i/>
                <w:iCs/>
                <w:sz w:val="16"/>
                <w:szCs w:val="16"/>
              </w:rPr>
            </w:pPr>
            <w:r w:rsidRPr="00B42A90">
              <w:rPr>
                <w:rFonts w:ascii="Arial" w:hAnsi="Arial" w:cs="Arial"/>
                <w:b/>
                <w:bCs/>
                <w:i/>
                <w:iCs/>
                <w:sz w:val="16"/>
                <w:szCs w:val="16"/>
              </w:rPr>
              <w:t>VARIABLE</w:t>
            </w:r>
            <w:r>
              <w:rPr>
                <w:rFonts w:ascii="Arial" w:hAnsi="Arial" w:cs="Arial"/>
                <w:b/>
                <w:bCs/>
                <w:i/>
                <w:iCs/>
                <w:sz w:val="16"/>
                <w:szCs w:val="16"/>
              </w:rPr>
              <w:t>S SECUNDARIAS</w:t>
            </w:r>
          </w:p>
        </w:tc>
      </w:tr>
      <w:tr w:rsidR="007D48BC" w:rsidTr="000776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5" w:type="dxa"/>
            <w:left w:w="55" w:type="dxa"/>
            <w:bottom w:w="55" w:type="dxa"/>
            <w:right w:w="55" w:type="dxa"/>
          </w:tblCellMar>
        </w:tblPrEx>
        <w:tc>
          <w:tcPr>
            <w:tcW w:w="3686" w:type="dxa"/>
            <w:gridSpan w:val="2"/>
            <w:tcBorders>
              <w:top w:val="single" w:sz="4" w:space="0" w:color="000000"/>
              <w:left w:val="single" w:sz="4" w:space="0" w:color="000000"/>
              <w:bottom w:val="single" w:sz="4" w:space="0" w:color="000000"/>
            </w:tcBorders>
          </w:tcPr>
          <w:p w:rsidR="007D48BC" w:rsidRDefault="007D48BC" w:rsidP="00DB798F">
            <w:pPr>
              <w:pStyle w:val="Contenidodelatabla"/>
              <w:jc w:val="both"/>
            </w:pPr>
            <w:r w:rsidRPr="00C910A1">
              <w:rPr>
                <w:rFonts w:ascii="Arial" w:hAnsi="Arial" w:cs="Arial"/>
                <w:b/>
                <w:bCs/>
                <w:i/>
                <w:iCs/>
                <w:sz w:val="16"/>
                <w:szCs w:val="16"/>
              </w:rPr>
              <w:t xml:space="preserve">TRO según </w:t>
            </w:r>
            <w:r>
              <w:rPr>
                <w:rFonts w:ascii="Arial" w:hAnsi="Arial" w:cs="Arial"/>
                <w:b/>
                <w:bCs/>
                <w:i/>
                <w:iCs/>
                <w:sz w:val="16"/>
                <w:szCs w:val="16"/>
              </w:rPr>
              <w:t xml:space="preserve">grupo independiente </w:t>
            </w:r>
            <w:r w:rsidRPr="00C910A1">
              <w:rPr>
                <w:rFonts w:ascii="Arial" w:hAnsi="Arial" w:cs="Arial"/>
                <w:b/>
                <w:bCs/>
                <w:sz w:val="16"/>
                <w:szCs w:val="16"/>
              </w:rPr>
              <w:t>% (IC 95%)</w:t>
            </w:r>
          </w:p>
        </w:tc>
        <w:tc>
          <w:tcPr>
            <w:tcW w:w="1728" w:type="dxa"/>
            <w:gridSpan w:val="2"/>
            <w:tcBorders>
              <w:top w:val="single" w:sz="4" w:space="0" w:color="000000"/>
              <w:left w:val="single" w:sz="4" w:space="0" w:color="000000"/>
              <w:bottom w:val="single" w:sz="4" w:space="0" w:color="000000"/>
              <w:right w:val="single" w:sz="4" w:space="0" w:color="000000"/>
            </w:tcBorders>
            <w:vAlign w:val="center"/>
          </w:tcPr>
          <w:p w:rsidR="007D48BC" w:rsidRPr="00E1375D" w:rsidRDefault="007D48BC" w:rsidP="00DB798F">
            <w:pPr>
              <w:pStyle w:val="Contenidodelatabla"/>
              <w:jc w:val="center"/>
              <w:rPr>
                <w:rFonts w:ascii="Arial" w:hAnsi="Arial" w:cs="Arial"/>
                <w:i/>
                <w:iCs/>
                <w:sz w:val="16"/>
                <w:szCs w:val="16"/>
              </w:rPr>
            </w:pPr>
            <w:r w:rsidRPr="00E1375D">
              <w:rPr>
                <w:rFonts w:ascii="Arial" w:hAnsi="Arial" w:cs="Arial"/>
                <w:i/>
                <w:iCs/>
                <w:sz w:val="16"/>
                <w:szCs w:val="16"/>
              </w:rPr>
              <w:t>64 (53-75)</w:t>
            </w:r>
          </w:p>
        </w:tc>
        <w:tc>
          <w:tcPr>
            <w:tcW w:w="1728" w:type="dxa"/>
            <w:gridSpan w:val="2"/>
            <w:tcBorders>
              <w:top w:val="single" w:sz="4" w:space="0" w:color="000000"/>
              <w:left w:val="single" w:sz="4" w:space="0" w:color="000000"/>
              <w:bottom w:val="single" w:sz="4" w:space="0" w:color="000000"/>
              <w:right w:val="single" w:sz="4" w:space="0" w:color="000000"/>
            </w:tcBorders>
            <w:vAlign w:val="center"/>
          </w:tcPr>
          <w:p w:rsidR="007D48BC" w:rsidRPr="00E1375D" w:rsidRDefault="007D48BC" w:rsidP="00DB798F">
            <w:pPr>
              <w:pStyle w:val="Contenidodelatabla"/>
              <w:jc w:val="center"/>
              <w:rPr>
                <w:rFonts w:ascii="Arial" w:hAnsi="Arial" w:cs="Arial"/>
                <w:i/>
                <w:iCs/>
                <w:sz w:val="16"/>
                <w:szCs w:val="16"/>
              </w:rPr>
            </w:pPr>
            <w:r w:rsidRPr="00E1375D">
              <w:rPr>
                <w:rFonts w:ascii="Arial" w:hAnsi="Arial" w:cs="Arial"/>
                <w:i/>
                <w:iCs/>
                <w:sz w:val="16"/>
                <w:szCs w:val="16"/>
              </w:rPr>
              <w:t>70 (51-85)</w:t>
            </w:r>
          </w:p>
        </w:tc>
        <w:tc>
          <w:tcPr>
            <w:tcW w:w="1784" w:type="dxa"/>
            <w:gridSpan w:val="2"/>
            <w:tcBorders>
              <w:top w:val="single" w:sz="4" w:space="0" w:color="000000"/>
              <w:left w:val="single" w:sz="4" w:space="0" w:color="000000"/>
              <w:bottom w:val="single" w:sz="4" w:space="0" w:color="000000"/>
              <w:right w:val="single" w:sz="4" w:space="0" w:color="000000"/>
            </w:tcBorders>
            <w:vAlign w:val="center"/>
          </w:tcPr>
          <w:p w:rsidR="007D48BC" w:rsidRPr="00E1375D" w:rsidRDefault="007D48BC" w:rsidP="00DB798F">
            <w:pPr>
              <w:pStyle w:val="Contenidodelatabla"/>
              <w:jc w:val="center"/>
              <w:rPr>
                <w:rFonts w:ascii="Arial" w:hAnsi="Arial" w:cs="Arial"/>
                <w:i/>
                <w:iCs/>
                <w:sz w:val="16"/>
                <w:szCs w:val="16"/>
              </w:rPr>
            </w:pPr>
            <w:r w:rsidRPr="00D46599">
              <w:rPr>
                <w:rFonts w:ascii="Arial" w:hAnsi="Arial" w:cs="Arial"/>
                <w:i/>
                <w:iCs/>
                <w:sz w:val="16"/>
                <w:szCs w:val="16"/>
              </w:rPr>
              <w:t>66 (56-75)</w:t>
            </w:r>
          </w:p>
        </w:tc>
      </w:tr>
      <w:tr w:rsidR="007D48BC" w:rsidTr="000776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5" w:type="dxa"/>
            <w:left w:w="55" w:type="dxa"/>
            <w:bottom w:w="55" w:type="dxa"/>
            <w:right w:w="55" w:type="dxa"/>
          </w:tblCellMar>
        </w:tblPrEx>
        <w:tc>
          <w:tcPr>
            <w:tcW w:w="3686" w:type="dxa"/>
            <w:gridSpan w:val="2"/>
            <w:tcBorders>
              <w:top w:val="single" w:sz="4" w:space="0" w:color="000000"/>
              <w:left w:val="single" w:sz="4" w:space="0" w:color="000000"/>
              <w:bottom w:val="single" w:sz="4" w:space="0" w:color="000000"/>
            </w:tcBorders>
          </w:tcPr>
          <w:p w:rsidR="007D48BC" w:rsidRPr="00C910A1" w:rsidRDefault="007D48BC" w:rsidP="00DB798F">
            <w:pPr>
              <w:pStyle w:val="Contenidodelatabla"/>
              <w:jc w:val="both"/>
              <w:rPr>
                <w:rFonts w:ascii="Arial" w:hAnsi="Arial" w:cs="Arial"/>
                <w:b/>
                <w:bCs/>
                <w:i/>
                <w:iCs/>
                <w:sz w:val="16"/>
                <w:szCs w:val="16"/>
              </w:rPr>
            </w:pPr>
            <w:r>
              <w:rPr>
                <w:rFonts w:ascii="Arial" w:hAnsi="Arial" w:cs="Arial"/>
                <w:b/>
                <w:bCs/>
                <w:i/>
                <w:iCs/>
                <w:sz w:val="16"/>
                <w:szCs w:val="16"/>
              </w:rPr>
              <w:t>DRO según investigador (</w:t>
            </w:r>
            <w:r w:rsidRPr="00B01CC9">
              <w:rPr>
                <w:rFonts w:ascii="Arial" w:hAnsi="Arial" w:cs="Arial"/>
                <w:b/>
                <w:bCs/>
                <w:sz w:val="16"/>
                <w:szCs w:val="16"/>
              </w:rPr>
              <w:t>meses), mediana</w:t>
            </w:r>
            <w:r>
              <w:rPr>
                <w:rFonts w:ascii="Arial" w:hAnsi="Arial" w:cs="Arial"/>
                <w:b/>
                <w:bCs/>
                <w:sz w:val="16"/>
                <w:szCs w:val="16"/>
              </w:rPr>
              <w:t xml:space="preserve"> </w:t>
            </w:r>
            <w:r w:rsidRPr="00B01CC9">
              <w:rPr>
                <w:rFonts w:ascii="Arial" w:hAnsi="Arial" w:cs="Arial"/>
                <w:b/>
                <w:bCs/>
                <w:sz w:val="16"/>
                <w:szCs w:val="16"/>
              </w:rPr>
              <w:t>(IC 95%)</w:t>
            </w:r>
          </w:p>
        </w:tc>
        <w:tc>
          <w:tcPr>
            <w:tcW w:w="1728" w:type="dxa"/>
            <w:gridSpan w:val="2"/>
            <w:tcBorders>
              <w:top w:val="single" w:sz="4" w:space="0" w:color="000000"/>
              <w:left w:val="single" w:sz="4" w:space="0" w:color="000000"/>
              <w:bottom w:val="single" w:sz="4" w:space="0" w:color="000000"/>
              <w:right w:val="single" w:sz="4" w:space="0" w:color="000000"/>
            </w:tcBorders>
            <w:vAlign w:val="center"/>
          </w:tcPr>
          <w:p w:rsidR="007D48BC" w:rsidRPr="00E1375D" w:rsidRDefault="007D48BC" w:rsidP="00F6366D">
            <w:pPr>
              <w:pStyle w:val="Contenidodelatabla"/>
              <w:jc w:val="center"/>
              <w:rPr>
                <w:rFonts w:ascii="Arial" w:hAnsi="Arial" w:cs="Arial"/>
                <w:i/>
                <w:iCs/>
                <w:sz w:val="16"/>
                <w:szCs w:val="16"/>
              </w:rPr>
            </w:pPr>
            <w:r>
              <w:rPr>
                <w:rFonts w:ascii="Arial" w:hAnsi="Arial" w:cs="Arial"/>
                <w:i/>
                <w:iCs/>
                <w:sz w:val="16"/>
                <w:szCs w:val="16"/>
              </w:rPr>
              <w:t>5</w:t>
            </w:r>
            <w:r w:rsidR="00F6366D">
              <w:rPr>
                <w:rFonts w:ascii="Arial" w:hAnsi="Arial" w:cs="Arial"/>
                <w:i/>
                <w:iCs/>
                <w:sz w:val="16"/>
                <w:szCs w:val="16"/>
              </w:rPr>
              <w:t>,</w:t>
            </w:r>
            <w:r>
              <w:rPr>
                <w:rFonts w:ascii="Arial" w:hAnsi="Arial" w:cs="Arial"/>
                <w:i/>
                <w:iCs/>
                <w:sz w:val="16"/>
                <w:szCs w:val="16"/>
              </w:rPr>
              <w:t>0 (2</w:t>
            </w:r>
            <w:r w:rsidR="00F6366D">
              <w:rPr>
                <w:rFonts w:ascii="Arial" w:hAnsi="Arial" w:cs="Arial"/>
                <w:i/>
                <w:iCs/>
                <w:sz w:val="16"/>
                <w:szCs w:val="16"/>
              </w:rPr>
              <w:t>,</w:t>
            </w:r>
            <w:r>
              <w:rPr>
                <w:rFonts w:ascii="Arial" w:hAnsi="Arial" w:cs="Arial"/>
                <w:i/>
                <w:iCs/>
                <w:sz w:val="16"/>
                <w:szCs w:val="16"/>
              </w:rPr>
              <w:t>1-NE)</w:t>
            </w:r>
          </w:p>
        </w:tc>
        <w:tc>
          <w:tcPr>
            <w:tcW w:w="1728" w:type="dxa"/>
            <w:gridSpan w:val="2"/>
            <w:tcBorders>
              <w:top w:val="single" w:sz="4" w:space="0" w:color="000000"/>
              <w:left w:val="single" w:sz="4" w:space="0" w:color="000000"/>
              <w:bottom w:val="single" w:sz="4" w:space="0" w:color="000000"/>
              <w:right w:val="single" w:sz="4" w:space="0" w:color="000000"/>
            </w:tcBorders>
            <w:vAlign w:val="center"/>
          </w:tcPr>
          <w:p w:rsidR="007D48BC" w:rsidRPr="00E1375D" w:rsidRDefault="007D48BC" w:rsidP="00F6366D">
            <w:pPr>
              <w:pStyle w:val="Contenidodelatabla"/>
              <w:jc w:val="center"/>
              <w:rPr>
                <w:rFonts w:ascii="Arial" w:hAnsi="Arial" w:cs="Arial"/>
                <w:i/>
                <w:iCs/>
                <w:sz w:val="16"/>
                <w:szCs w:val="16"/>
              </w:rPr>
            </w:pPr>
            <w:r>
              <w:rPr>
                <w:rFonts w:ascii="Arial" w:hAnsi="Arial" w:cs="Arial"/>
                <w:i/>
                <w:iCs/>
                <w:sz w:val="16"/>
                <w:szCs w:val="16"/>
              </w:rPr>
              <w:t>NE (11</w:t>
            </w:r>
            <w:r w:rsidR="00F6366D">
              <w:rPr>
                <w:rFonts w:ascii="Arial" w:hAnsi="Arial" w:cs="Arial"/>
                <w:i/>
                <w:iCs/>
                <w:sz w:val="16"/>
                <w:szCs w:val="16"/>
              </w:rPr>
              <w:t>,</w:t>
            </w:r>
            <w:r>
              <w:rPr>
                <w:rFonts w:ascii="Arial" w:hAnsi="Arial" w:cs="Arial"/>
                <w:i/>
                <w:iCs/>
                <w:sz w:val="16"/>
                <w:szCs w:val="16"/>
              </w:rPr>
              <w:t>1-NE)</w:t>
            </w:r>
          </w:p>
        </w:tc>
        <w:tc>
          <w:tcPr>
            <w:tcW w:w="1784" w:type="dxa"/>
            <w:gridSpan w:val="2"/>
            <w:tcBorders>
              <w:top w:val="single" w:sz="4" w:space="0" w:color="000000"/>
              <w:left w:val="single" w:sz="4" w:space="0" w:color="000000"/>
              <w:bottom w:val="single" w:sz="4" w:space="0" w:color="000000"/>
              <w:right w:val="single" w:sz="4" w:space="0" w:color="000000"/>
            </w:tcBorders>
            <w:vAlign w:val="center"/>
          </w:tcPr>
          <w:p w:rsidR="007D48BC" w:rsidRPr="00D46599" w:rsidRDefault="007D48BC" w:rsidP="00F6366D">
            <w:pPr>
              <w:pStyle w:val="Contenidodelatabla"/>
              <w:jc w:val="center"/>
              <w:rPr>
                <w:rFonts w:ascii="Arial" w:hAnsi="Arial" w:cs="Arial"/>
                <w:i/>
                <w:iCs/>
                <w:sz w:val="16"/>
                <w:szCs w:val="16"/>
              </w:rPr>
            </w:pPr>
            <w:r>
              <w:rPr>
                <w:rFonts w:ascii="Arial" w:hAnsi="Arial" w:cs="Arial"/>
                <w:i/>
                <w:iCs/>
                <w:sz w:val="16"/>
                <w:szCs w:val="16"/>
              </w:rPr>
              <w:t>11</w:t>
            </w:r>
            <w:r w:rsidR="00F6366D">
              <w:rPr>
                <w:rFonts w:ascii="Arial" w:hAnsi="Arial" w:cs="Arial"/>
                <w:i/>
                <w:iCs/>
                <w:sz w:val="16"/>
                <w:szCs w:val="16"/>
              </w:rPr>
              <w:t>,</w:t>
            </w:r>
            <w:r>
              <w:rPr>
                <w:rFonts w:ascii="Arial" w:hAnsi="Arial" w:cs="Arial"/>
                <w:i/>
                <w:iCs/>
                <w:sz w:val="16"/>
                <w:szCs w:val="16"/>
              </w:rPr>
              <w:t>1 (4</w:t>
            </w:r>
            <w:r w:rsidR="00F6366D">
              <w:rPr>
                <w:rFonts w:ascii="Arial" w:hAnsi="Arial" w:cs="Arial"/>
                <w:i/>
                <w:iCs/>
                <w:sz w:val="16"/>
                <w:szCs w:val="16"/>
              </w:rPr>
              <w:t>,</w:t>
            </w:r>
            <w:r>
              <w:rPr>
                <w:rFonts w:ascii="Arial" w:hAnsi="Arial" w:cs="Arial"/>
                <w:i/>
                <w:iCs/>
                <w:sz w:val="16"/>
                <w:szCs w:val="16"/>
              </w:rPr>
              <w:t>2-NE)</w:t>
            </w:r>
          </w:p>
        </w:tc>
      </w:tr>
      <w:tr w:rsidR="007D48BC" w:rsidTr="000776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5" w:type="dxa"/>
            <w:left w:w="55" w:type="dxa"/>
            <w:bottom w:w="55" w:type="dxa"/>
            <w:right w:w="55" w:type="dxa"/>
          </w:tblCellMar>
        </w:tblPrEx>
        <w:tc>
          <w:tcPr>
            <w:tcW w:w="3686" w:type="dxa"/>
            <w:gridSpan w:val="2"/>
            <w:tcBorders>
              <w:top w:val="single" w:sz="4" w:space="0" w:color="000000"/>
              <w:left w:val="single" w:sz="4" w:space="0" w:color="000000"/>
              <w:bottom w:val="single" w:sz="4" w:space="0" w:color="000000"/>
            </w:tcBorders>
          </w:tcPr>
          <w:p w:rsidR="007D48BC" w:rsidRDefault="007D48BC" w:rsidP="00DB798F">
            <w:pPr>
              <w:pStyle w:val="Contenidodelatabla"/>
              <w:jc w:val="both"/>
            </w:pPr>
            <w:r>
              <w:rPr>
                <w:rFonts w:ascii="Arial" w:hAnsi="Arial" w:cs="Arial"/>
                <w:b/>
                <w:bCs/>
                <w:i/>
                <w:iCs/>
                <w:sz w:val="16"/>
                <w:szCs w:val="16"/>
              </w:rPr>
              <w:t>DRO según grupo (</w:t>
            </w:r>
            <w:r w:rsidRPr="00B01CC9">
              <w:rPr>
                <w:rFonts w:ascii="Arial" w:hAnsi="Arial" w:cs="Arial"/>
                <w:b/>
                <w:bCs/>
                <w:sz w:val="16"/>
                <w:szCs w:val="16"/>
              </w:rPr>
              <w:t>meses), mediana (IC 95%)</w:t>
            </w:r>
          </w:p>
        </w:tc>
        <w:tc>
          <w:tcPr>
            <w:tcW w:w="1728" w:type="dxa"/>
            <w:gridSpan w:val="2"/>
            <w:tcBorders>
              <w:top w:val="single" w:sz="4" w:space="0" w:color="000000"/>
              <w:left w:val="single" w:sz="4" w:space="0" w:color="000000"/>
              <w:bottom w:val="single" w:sz="4" w:space="0" w:color="000000"/>
              <w:right w:val="single" w:sz="4" w:space="0" w:color="000000"/>
            </w:tcBorders>
            <w:vAlign w:val="center"/>
          </w:tcPr>
          <w:p w:rsidR="007D48BC" w:rsidRPr="00E1375D" w:rsidRDefault="007D48BC" w:rsidP="00F6366D">
            <w:pPr>
              <w:pStyle w:val="Contenidodelatabla"/>
              <w:jc w:val="center"/>
              <w:rPr>
                <w:rFonts w:ascii="Arial" w:hAnsi="Arial" w:cs="Arial"/>
                <w:i/>
                <w:iCs/>
                <w:sz w:val="16"/>
                <w:szCs w:val="16"/>
              </w:rPr>
            </w:pPr>
            <w:r w:rsidRPr="00E1375D">
              <w:rPr>
                <w:rFonts w:ascii="Arial" w:hAnsi="Arial" w:cs="Arial"/>
                <w:i/>
                <w:iCs/>
                <w:sz w:val="16"/>
                <w:szCs w:val="16"/>
              </w:rPr>
              <w:t>10</w:t>
            </w:r>
            <w:r w:rsidR="00F6366D">
              <w:rPr>
                <w:rFonts w:ascii="Arial" w:hAnsi="Arial" w:cs="Arial"/>
                <w:i/>
                <w:iCs/>
                <w:sz w:val="16"/>
                <w:szCs w:val="16"/>
              </w:rPr>
              <w:t>,</w:t>
            </w:r>
            <w:r w:rsidRPr="00E1375D">
              <w:rPr>
                <w:rFonts w:ascii="Arial" w:hAnsi="Arial" w:cs="Arial"/>
                <w:i/>
                <w:iCs/>
                <w:sz w:val="16"/>
                <w:szCs w:val="16"/>
              </w:rPr>
              <w:t>9 (5</w:t>
            </w:r>
            <w:r w:rsidR="00F6366D">
              <w:rPr>
                <w:rFonts w:ascii="Arial" w:hAnsi="Arial" w:cs="Arial"/>
                <w:i/>
                <w:iCs/>
                <w:sz w:val="16"/>
                <w:szCs w:val="16"/>
              </w:rPr>
              <w:t>,</w:t>
            </w:r>
            <w:r w:rsidRPr="00E1375D">
              <w:rPr>
                <w:rFonts w:ascii="Arial" w:hAnsi="Arial" w:cs="Arial"/>
                <w:i/>
                <w:iCs/>
                <w:sz w:val="16"/>
                <w:szCs w:val="16"/>
              </w:rPr>
              <w:t>4-NE)</w:t>
            </w:r>
          </w:p>
        </w:tc>
        <w:tc>
          <w:tcPr>
            <w:tcW w:w="1728" w:type="dxa"/>
            <w:gridSpan w:val="2"/>
            <w:tcBorders>
              <w:top w:val="single" w:sz="4" w:space="0" w:color="000000"/>
              <w:left w:val="single" w:sz="4" w:space="0" w:color="000000"/>
              <w:bottom w:val="single" w:sz="4" w:space="0" w:color="000000"/>
              <w:right w:val="single" w:sz="4" w:space="0" w:color="000000"/>
            </w:tcBorders>
            <w:vAlign w:val="center"/>
          </w:tcPr>
          <w:p w:rsidR="007D48BC" w:rsidRPr="00E1375D" w:rsidRDefault="007D48BC" w:rsidP="00F6366D">
            <w:pPr>
              <w:pStyle w:val="Contenidodelatabla"/>
              <w:jc w:val="center"/>
              <w:rPr>
                <w:rFonts w:ascii="Arial" w:hAnsi="Arial" w:cs="Arial"/>
                <w:i/>
                <w:iCs/>
                <w:sz w:val="16"/>
                <w:szCs w:val="16"/>
              </w:rPr>
            </w:pPr>
            <w:r w:rsidRPr="00E1375D">
              <w:rPr>
                <w:rFonts w:ascii="Arial" w:hAnsi="Arial" w:cs="Arial"/>
                <w:i/>
                <w:iCs/>
                <w:sz w:val="16"/>
                <w:szCs w:val="16"/>
              </w:rPr>
              <w:t>NE (11</w:t>
            </w:r>
            <w:r w:rsidR="00F6366D">
              <w:rPr>
                <w:rFonts w:ascii="Arial" w:hAnsi="Arial" w:cs="Arial"/>
                <w:i/>
                <w:iCs/>
                <w:sz w:val="16"/>
                <w:szCs w:val="16"/>
              </w:rPr>
              <w:t>,</w:t>
            </w:r>
            <w:r w:rsidRPr="00E1375D">
              <w:rPr>
                <w:rFonts w:ascii="Arial" w:hAnsi="Arial" w:cs="Arial"/>
                <w:i/>
                <w:iCs/>
                <w:sz w:val="16"/>
                <w:szCs w:val="16"/>
              </w:rPr>
              <w:t>1-NE)</w:t>
            </w:r>
          </w:p>
        </w:tc>
        <w:tc>
          <w:tcPr>
            <w:tcW w:w="1784" w:type="dxa"/>
            <w:gridSpan w:val="2"/>
            <w:tcBorders>
              <w:top w:val="single" w:sz="4" w:space="0" w:color="000000"/>
              <w:left w:val="single" w:sz="4" w:space="0" w:color="000000"/>
              <w:bottom w:val="single" w:sz="4" w:space="0" w:color="000000"/>
              <w:right w:val="single" w:sz="4" w:space="0" w:color="000000"/>
            </w:tcBorders>
            <w:vAlign w:val="center"/>
          </w:tcPr>
          <w:p w:rsidR="007D48BC" w:rsidRPr="00E1375D" w:rsidRDefault="007D48BC" w:rsidP="00F6366D">
            <w:pPr>
              <w:pStyle w:val="Contenidodelatabla"/>
              <w:jc w:val="center"/>
              <w:rPr>
                <w:rFonts w:ascii="Arial" w:hAnsi="Arial" w:cs="Arial"/>
                <w:i/>
                <w:iCs/>
                <w:sz w:val="16"/>
                <w:szCs w:val="16"/>
              </w:rPr>
            </w:pPr>
            <w:r w:rsidRPr="00D46599">
              <w:rPr>
                <w:rFonts w:ascii="Arial" w:hAnsi="Arial" w:cs="Arial"/>
                <w:i/>
                <w:iCs/>
                <w:sz w:val="16"/>
                <w:szCs w:val="16"/>
              </w:rPr>
              <w:t>14</w:t>
            </w:r>
            <w:r w:rsidR="00F6366D">
              <w:rPr>
                <w:rFonts w:ascii="Arial" w:hAnsi="Arial" w:cs="Arial"/>
                <w:i/>
                <w:iCs/>
                <w:sz w:val="16"/>
                <w:szCs w:val="16"/>
              </w:rPr>
              <w:t>,</w:t>
            </w:r>
            <w:r w:rsidRPr="00D46599">
              <w:rPr>
                <w:rFonts w:ascii="Arial" w:hAnsi="Arial" w:cs="Arial"/>
                <w:i/>
                <w:iCs/>
                <w:sz w:val="16"/>
                <w:szCs w:val="16"/>
              </w:rPr>
              <w:t>0 (</w:t>
            </w:r>
            <w:r>
              <w:rPr>
                <w:rFonts w:ascii="Arial" w:hAnsi="Arial" w:cs="Arial"/>
                <w:i/>
                <w:iCs/>
                <w:sz w:val="16"/>
                <w:szCs w:val="16"/>
              </w:rPr>
              <w:t>8</w:t>
            </w:r>
            <w:r w:rsidR="00F6366D">
              <w:rPr>
                <w:rFonts w:ascii="Arial" w:hAnsi="Arial" w:cs="Arial"/>
                <w:i/>
                <w:iCs/>
                <w:sz w:val="16"/>
                <w:szCs w:val="16"/>
              </w:rPr>
              <w:t>,</w:t>
            </w:r>
            <w:r>
              <w:rPr>
                <w:rFonts w:ascii="Arial" w:hAnsi="Arial" w:cs="Arial"/>
                <w:i/>
                <w:iCs/>
                <w:sz w:val="16"/>
                <w:szCs w:val="16"/>
              </w:rPr>
              <w:t>3-NE</w:t>
            </w:r>
            <w:r w:rsidRPr="00D46599">
              <w:rPr>
                <w:rFonts w:ascii="Arial" w:hAnsi="Arial" w:cs="Arial"/>
                <w:i/>
                <w:iCs/>
                <w:sz w:val="16"/>
                <w:szCs w:val="16"/>
              </w:rPr>
              <w:t>)</w:t>
            </w:r>
          </w:p>
        </w:tc>
      </w:tr>
      <w:tr w:rsidR="007D48BC" w:rsidTr="000776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5" w:type="dxa"/>
            <w:left w:w="55" w:type="dxa"/>
            <w:bottom w:w="55" w:type="dxa"/>
            <w:right w:w="55" w:type="dxa"/>
          </w:tblCellMar>
        </w:tblPrEx>
        <w:trPr>
          <w:trHeight w:val="381"/>
        </w:trPr>
        <w:tc>
          <w:tcPr>
            <w:tcW w:w="3686" w:type="dxa"/>
            <w:gridSpan w:val="2"/>
            <w:tcBorders>
              <w:top w:val="single" w:sz="4" w:space="0" w:color="000000"/>
              <w:left w:val="single" w:sz="4" w:space="0" w:color="000000"/>
              <w:bottom w:val="single" w:sz="4" w:space="0" w:color="000000"/>
            </w:tcBorders>
          </w:tcPr>
          <w:p w:rsidR="007D48BC" w:rsidRDefault="007D48BC" w:rsidP="00DB798F">
            <w:pPr>
              <w:snapToGrid w:val="0"/>
              <w:jc w:val="both"/>
            </w:pPr>
            <w:r>
              <w:rPr>
                <w:rFonts w:ascii="Arial" w:hAnsi="Arial" w:cs="Arial"/>
                <w:b/>
                <w:bCs/>
                <w:i/>
                <w:iCs/>
                <w:sz w:val="16"/>
                <w:szCs w:val="16"/>
              </w:rPr>
              <w:t>SLP según comité independiente (</w:t>
            </w:r>
            <w:r w:rsidRPr="00B01CC9">
              <w:rPr>
                <w:rFonts w:ascii="Arial" w:hAnsi="Arial" w:cs="Arial"/>
                <w:b/>
                <w:bCs/>
                <w:sz w:val="16"/>
                <w:szCs w:val="16"/>
              </w:rPr>
              <w:t>meses), mediana (IC 95%)</w:t>
            </w:r>
          </w:p>
        </w:tc>
        <w:tc>
          <w:tcPr>
            <w:tcW w:w="1728" w:type="dxa"/>
            <w:gridSpan w:val="2"/>
            <w:tcBorders>
              <w:top w:val="single" w:sz="4" w:space="0" w:color="000000"/>
              <w:left w:val="single" w:sz="4" w:space="0" w:color="000000"/>
              <w:bottom w:val="single" w:sz="4" w:space="0" w:color="000000"/>
              <w:right w:val="single" w:sz="4" w:space="0" w:color="000000"/>
            </w:tcBorders>
            <w:vAlign w:val="center"/>
          </w:tcPr>
          <w:p w:rsidR="007D48BC" w:rsidRPr="00E1375D" w:rsidRDefault="007D48BC" w:rsidP="00F6366D">
            <w:pPr>
              <w:pStyle w:val="Contenidodelatabla"/>
              <w:jc w:val="center"/>
              <w:rPr>
                <w:rFonts w:ascii="Arial" w:hAnsi="Arial" w:cs="Arial"/>
                <w:i/>
                <w:iCs/>
                <w:sz w:val="16"/>
                <w:szCs w:val="16"/>
              </w:rPr>
            </w:pPr>
            <w:r w:rsidRPr="00E1375D">
              <w:rPr>
                <w:rFonts w:ascii="Arial" w:hAnsi="Arial" w:cs="Arial"/>
                <w:i/>
                <w:iCs/>
                <w:sz w:val="16"/>
                <w:szCs w:val="16"/>
              </w:rPr>
              <w:t>7</w:t>
            </w:r>
            <w:r w:rsidR="00F6366D">
              <w:rPr>
                <w:rFonts w:ascii="Arial" w:hAnsi="Arial" w:cs="Arial"/>
                <w:i/>
                <w:iCs/>
                <w:sz w:val="16"/>
                <w:szCs w:val="16"/>
              </w:rPr>
              <w:t>,</w:t>
            </w:r>
            <w:r w:rsidRPr="00E1375D">
              <w:rPr>
                <w:rFonts w:ascii="Arial" w:hAnsi="Arial" w:cs="Arial"/>
                <w:i/>
                <w:iCs/>
                <w:sz w:val="16"/>
                <w:szCs w:val="16"/>
              </w:rPr>
              <w:t>3 (5</w:t>
            </w:r>
            <w:r w:rsidR="00F6366D">
              <w:rPr>
                <w:rFonts w:ascii="Arial" w:hAnsi="Arial" w:cs="Arial"/>
                <w:i/>
                <w:iCs/>
                <w:sz w:val="16"/>
                <w:szCs w:val="16"/>
              </w:rPr>
              <w:t>,</w:t>
            </w:r>
            <w:r w:rsidRPr="00E1375D">
              <w:rPr>
                <w:rFonts w:ascii="Arial" w:hAnsi="Arial" w:cs="Arial"/>
                <w:i/>
                <w:iCs/>
                <w:sz w:val="16"/>
                <w:szCs w:val="16"/>
              </w:rPr>
              <w:t>2-12</w:t>
            </w:r>
            <w:r w:rsidR="00F6366D">
              <w:rPr>
                <w:rFonts w:ascii="Arial" w:hAnsi="Arial" w:cs="Arial"/>
                <w:i/>
                <w:iCs/>
                <w:sz w:val="16"/>
                <w:szCs w:val="16"/>
              </w:rPr>
              <w:t>,</w:t>
            </w:r>
            <w:r w:rsidRPr="00E1375D">
              <w:rPr>
                <w:rFonts w:ascii="Arial" w:hAnsi="Arial" w:cs="Arial"/>
                <w:i/>
                <w:iCs/>
                <w:sz w:val="16"/>
                <w:szCs w:val="16"/>
              </w:rPr>
              <w:t>4)</w:t>
            </w:r>
          </w:p>
        </w:tc>
        <w:tc>
          <w:tcPr>
            <w:tcW w:w="1728" w:type="dxa"/>
            <w:gridSpan w:val="2"/>
            <w:tcBorders>
              <w:top w:val="single" w:sz="4" w:space="0" w:color="000000"/>
              <w:left w:val="single" w:sz="4" w:space="0" w:color="000000"/>
              <w:bottom w:val="single" w:sz="4" w:space="0" w:color="000000"/>
              <w:right w:val="single" w:sz="4" w:space="0" w:color="000000"/>
            </w:tcBorders>
            <w:vAlign w:val="center"/>
          </w:tcPr>
          <w:p w:rsidR="007D48BC" w:rsidRPr="00E1375D" w:rsidRDefault="007D48BC" w:rsidP="00F6366D">
            <w:pPr>
              <w:pStyle w:val="Contenidodelatabla"/>
              <w:jc w:val="center"/>
              <w:rPr>
                <w:rFonts w:ascii="Arial" w:hAnsi="Arial" w:cs="Arial"/>
                <w:i/>
                <w:iCs/>
                <w:sz w:val="16"/>
                <w:szCs w:val="16"/>
              </w:rPr>
            </w:pPr>
            <w:r w:rsidRPr="00E1375D">
              <w:rPr>
                <w:rFonts w:ascii="Arial" w:hAnsi="Arial" w:cs="Arial"/>
                <w:i/>
                <w:iCs/>
                <w:sz w:val="16"/>
                <w:szCs w:val="16"/>
              </w:rPr>
              <w:t>12</w:t>
            </w:r>
            <w:r w:rsidR="00F6366D">
              <w:rPr>
                <w:rFonts w:ascii="Arial" w:hAnsi="Arial" w:cs="Arial"/>
                <w:i/>
                <w:iCs/>
                <w:sz w:val="16"/>
                <w:szCs w:val="16"/>
              </w:rPr>
              <w:t>,</w:t>
            </w:r>
            <w:r w:rsidRPr="00E1375D">
              <w:rPr>
                <w:rFonts w:ascii="Arial" w:hAnsi="Arial" w:cs="Arial"/>
                <w:i/>
                <w:iCs/>
                <w:sz w:val="16"/>
                <w:szCs w:val="16"/>
              </w:rPr>
              <w:t>9 (4</w:t>
            </w:r>
            <w:r w:rsidR="00F6366D">
              <w:rPr>
                <w:rFonts w:ascii="Arial" w:hAnsi="Arial" w:cs="Arial"/>
                <w:i/>
                <w:iCs/>
                <w:sz w:val="16"/>
                <w:szCs w:val="16"/>
              </w:rPr>
              <w:t>,</w:t>
            </w:r>
            <w:r w:rsidRPr="00E1375D">
              <w:rPr>
                <w:rFonts w:ascii="Arial" w:hAnsi="Arial" w:cs="Arial"/>
                <w:i/>
                <w:iCs/>
                <w:sz w:val="16"/>
                <w:szCs w:val="16"/>
              </w:rPr>
              <w:t>5-NE)</w:t>
            </w:r>
          </w:p>
        </w:tc>
        <w:tc>
          <w:tcPr>
            <w:tcW w:w="1784" w:type="dxa"/>
            <w:gridSpan w:val="2"/>
            <w:tcBorders>
              <w:top w:val="single" w:sz="4" w:space="0" w:color="000000"/>
              <w:left w:val="single" w:sz="4" w:space="0" w:color="000000"/>
              <w:bottom w:val="single" w:sz="4" w:space="0" w:color="000000"/>
              <w:right w:val="single" w:sz="4" w:space="0" w:color="000000"/>
            </w:tcBorders>
            <w:vAlign w:val="center"/>
          </w:tcPr>
          <w:p w:rsidR="007D48BC" w:rsidRPr="00E1375D" w:rsidRDefault="007D48BC" w:rsidP="00F6366D">
            <w:pPr>
              <w:pStyle w:val="Contenidodelatabla"/>
              <w:jc w:val="center"/>
              <w:rPr>
                <w:rFonts w:ascii="Arial" w:hAnsi="Arial" w:cs="Arial"/>
                <w:i/>
                <w:iCs/>
                <w:sz w:val="16"/>
                <w:szCs w:val="16"/>
              </w:rPr>
            </w:pPr>
            <w:r w:rsidRPr="00D46599">
              <w:rPr>
                <w:rFonts w:ascii="Arial" w:hAnsi="Arial" w:cs="Arial"/>
                <w:i/>
                <w:iCs/>
                <w:sz w:val="16"/>
                <w:szCs w:val="16"/>
              </w:rPr>
              <w:t>9</w:t>
            </w:r>
            <w:r w:rsidR="00F6366D">
              <w:rPr>
                <w:rFonts w:ascii="Arial" w:hAnsi="Arial" w:cs="Arial"/>
                <w:i/>
                <w:iCs/>
                <w:sz w:val="16"/>
                <w:szCs w:val="16"/>
              </w:rPr>
              <w:t>,</w:t>
            </w:r>
            <w:r w:rsidRPr="00D46599">
              <w:rPr>
                <w:rFonts w:ascii="Arial" w:hAnsi="Arial" w:cs="Arial"/>
                <w:i/>
                <w:iCs/>
                <w:sz w:val="16"/>
                <w:szCs w:val="16"/>
              </w:rPr>
              <w:t>5 (6</w:t>
            </w:r>
            <w:r w:rsidR="00F6366D">
              <w:rPr>
                <w:rFonts w:ascii="Arial" w:hAnsi="Arial" w:cs="Arial"/>
                <w:i/>
                <w:iCs/>
                <w:sz w:val="16"/>
                <w:szCs w:val="16"/>
              </w:rPr>
              <w:t>,</w:t>
            </w:r>
            <w:r w:rsidRPr="00D46599">
              <w:rPr>
                <w:rFonts w:ascii="Arial" w:hAnsi="Arial" w:cs="Arial"/>
                <w:i/>
                <w:iCs/>
                <w:sz w:val="16"/>
                <w:szCs w:val="16"/>
              </w:rPr>
              <w:t>1-12</w:t>
            </w:r>
            <w:r w:rsidR="00F6366D">
              <w:rPr>
                <w:rFonts w:ascii="Arial" w:hAnsi="Arial" w:cs="Arial"/>
                <w:i/>
                <w:iCs/>
                <w:sz w:val="16"/>
                <w:szCs w:val="16"/>
              </w:rPr>
              <w:t>,</w:t>
            </w:r>
            <w:r w:rsidRPr="00D46599">
              <w:rPr>
                <w:rFonts w:ascii="Arial" w:hAnsi="Arial" w:cs="Arial"/>
                <w:i/>
                <w:iCs/>
                <w:sz w:val="16"/>
                <w:szCs w:val="16"/>
              </w:rPr>
              <w:t>9)</w:t>
            </w:r>
          </w:p>
        </w:tc>
      </w:tr>
      <w:tr w:rsidR="007D48BC" w:rsidTr="000776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5" w:type="dxa"/>
            <w:left w:w="55" w:type="dxa"/>
            <w:bottom w:w="55" w:type="dxa"/>
            <w:right w:w="55" w:type="dxa"/>
          </w:tblCellMar>
        </w:tblPrEx>
        <w:trPr>
          <w:trHeight w:val="189"/>
        </w:trPr>
        <w:tc>
          <w:tcPr>
            <w:tcW w:w="3686" w:type="dxa"/>
            <w:gridSpan w:val="2"/>
            <w:tcBorders>
              <w:top w:val="single" w:sz="4" w:space="0" w:color="000000"/>
              <w:left w:val="single" w:sz="4" w:space="0" w:color="000000"/>
              <w:bottom w:val="single" w:sz="4" w:space="0" w:color="000000"/>
            </w:tcBorders>
          </w:tcPr>
          <w:p w:rsidR="007D48BC" w:rsidRDefault="007D48BC" w:rsidP="00D46599">
            <w:pPr>
              <w:snapToGrid w:val="0"/>
              <w:rPr>
                <w:rFonts w:ascii="Arial" w:hAnsi="Arial" w:cs="Arial"/>
                <w:b/>
                <w:bCs/>
                <w:i/>
                <w:iCs/>
                <w:sz w:val="16"/>
                <w:szCs w:val="16"/>
              </w:rPr>
            </w:pPr>
            <w:r>
              <w:rPr>
                <w:rFonts w:ascii="Arial" w:hAnsi="Arial" w:cs="Arial"/>
                <w:b/>
                <w:bCs/>
                <w:i/>
                <w:iCs/>
                <w:sz w:val="16"/>
                <w:szCs w:val="16"/>
              </w:rPr>
              <w:t>SG (</w:t>
            </w:r>
            <w:r w:rsidRPr="00B01CC9">
              <w:rPr>
                <w:rFonts w:ascii="Arial" w:hAnsi="Arial" w:cs="Arial"/>
                <w:b/>
                <w:bCs/>
                <w:sz w:val="16"/>
                <w:szCs w:val="16"/>
              </w:rPr>
              <w:t>meses), mediana (IC 95%)</w:t>
            </w:r>
          </w:p>
        </w:tc>
        <w:tc>
          <w:tcPr>
            <w:tcW w:w="1728" w:type="dxa"/>
            <w:gridSpan w:val="2"/>
            <w:tcBorders>
              <w:top w:val="single" w:sz="4" w:space="0" w:color="000000"/>
              <w:left w:val="single" w:sz="4" w:space="0" w:color="000000"/>
              <w:bottom w:val="single" w:sz="4" w:space="0" w:color="000000"/>
              <w:right w:val="single" w:sz="4" w:space="0" w:color="000000"/>
            </w:tcBorders>
            <w:vAlign w:val="center"/>
          </w:tcPr>
          <w:p w:rsidR="007D48BC" w:rsidRPr="00E1375D" w:rsidRDefault="007D48BC" w:rsidP="00F6366D">
            <w:pPr>
              <w:pStyle w:val="Contenidodelatabla"/>
              <w:jc w:val="center"/>
              <w:rPr>
                <w:rFonts w:ascii="Arial" w:hAnsi="Arial" w:cs="Arial"/>
                <w:i/>
                <w:iCs/>
                <w:sz w:val="16"/>
                <w:szCs w:val="16"/>
              </w:rPr>
            </w:pPr>
            <w:r w:rsidRPr="00E1375D">
              <w:rPr>
                <w:rFonts w:ascii="Arial" w:hAnsi="Arial" w:cs="Arial"/>
                <w:i/>
                <w:iCs/>
                <w:sz w:val="16"/>
                <w:szCs w:val="16"/>
              </w:rPr>
              <w:t>15</w:t>
            </w:r>
            <w:r w:rsidR="00F6366D">
              <w:rPr>
                <w:rFonts w:ascii="Arial" w:hAnsi="Arial" w:cs="Arial"/>
                <w:i/>
                <w:iCs/>
                <w:sz w:val="16"/>
                <w:szCs w:val="16"/>
              </w:rPr>
              <w:t>,</w:t>
            </w:r>
            <w:r w:rsidRPr="00E1375D">
              <w:rPr>
                <w:rFonts w:ascii="Arial" w:hAnsi="Arial" w:cs="Arial"/>
                <w:i/>
                <w:iCs/>
                <w:sz w:val="16"/>
                <w:szCs w:val="16"/>
              </w:rPr>
              <w:t>4 (11</w:t>
            </w:r>
            <w:r w:rsidR="00F6366D">
              <w:rPr>
                <w:rFonts w:ascii="Arial" w:hAnsi="Arial" w:cs="Arial"/>
                <w:i/>
                <w:iCs/>
                <w:sz w:val="16"/>
                <w:szCs w:val="16"/>
              </w:rPr>
              <w:t>,</w:t>
            </w:r>
            <w:r w:rsidRPr="00E1375D">
              <w:rPr>
                <w:rFonts w:ascii="Arial" w:hAnsi="Arial" w:cs="Arial"/>
                <w:i/>
                <w:iCs/>
                <w:sz w:val="16"/>
                <w:szCs w:val="16"/>
              </w:rPr>
              <w:t>1-NE)</w:t>
            </w:r>
          </w:p>
        </w:tc>
        <w:tc>
          <w:tcPr>
            <w:tcW w:w="1728" w:type="dxa"/>
            <w:gridSpan w:val="2"/>
            <w:tcBorders>
              <w:top w:val="single" w:sz="4" w:space="0" w:color="000000"/>
              <w:left w:val="single" w:sz="4" w:space="0" w:color="000000"/>
              <w:bottom w:val="single" w:sz="4" w:space="0" w:color="000000"/>
              <w:right w:val="single" w:sz="4" w:space="0" w:color="000000"/>
            </w:tcBorders>
            <w:vAlign w:val="center"/>
          </w:tcPr>
          <w:p w:rsidR="007D48BC" w:rsidRPr="00E1375D" w:rsidRDefault="007D48BC" w:rsidP="00F6366D">
            <w:pPr>
              <w:pStyle w:val="Contenidodelatabla"/>
              <w:jc w:val="center"/>
              <w:rPr>
                <w:rFonts w:ascii="Arial" w:hAnsi="Arial" w:cs="Arial"/>
                <w:i/>
                <w:iCs/>
                <w:sz w:val="16"/>
                <w:szCs w:val="16"/>
              </w:rPr>
            </w:pPr>
            <w:r w:rsidRPr="00E1375D">
              <w:rPr>
                <w:rFonts w:ascii="Arial" w:hAnsi="Arial" w:cs="Arial"/>
                <w:i/>
                <w:iCs/>
                <w:sz w:val="16"/>
                <w:szCs w:val="16"/>
              </w:rPr>
              <w:t>NE (10</w:t>
            </w:r>
            <w:r w:rsidR="00F6366D">
              <w:rPr>
                <w:rFonts w:ascii="Arial" w:hAnsi="Arial" w:cs="Arial"/>
                <w:i/>
                <w:iCs/>
                <w:sz w:val="16"/>
                <w:szCs w:val="16"/>
              </w:rPr>
              <w:t>,</w:t>
            </w:r>
            <w:r w:rsidRPr="00E1375D">
              <w:rPr>
                <w:rFonts w:ascii="Arial" w:hAnsi="Arial" w:cs="Arial"/>
                <w:i/>
                <w:iCs/>
                <w:sz w:val="16"/>
                <w:szCs w:val="16"/>
              </w:rPr>
              <w:t>9-NE)</w:t>
            </w:r>
          </w:p>
        </w:tc>
        <w:tc>
          <w:tcPr>
            <w:tcW w:w="1784" w:type="dxa"/>
            <w:gridSpan w:val="2"/>
            <w:tcBorders>
              <w:top w:val="single" w:sz="4" w:space="0" w:color="000000"/>
              <w:left w:val="single" w:sz="4" w:space="0" w:color="000000"/>
              <w:bottom w:val="single" w:sz="4" w:space="0" w:color="000000"/>
              <w:right w:val="single" w:sz="4" w:space="0" w:color="000000"/>
            </w:tcBorders>
            <w:vAlign w:val="center"/>
          </w:tcPr>
          <w:p w:rsidR="007D48BC" w:rsidRPr="00E1375D" w:rsidRDefault="007D48BC" w:rsidP="00F6366D">
            <w:pPr>
              <w:pStyle w:val="Contenidodelatabla"/>
              <w:jc w:val="center"/>
              <w:rPr>
                <w:rFonts w:ascii="Arial" w:hAnsi="Arial" w:cs="Arial"/>
                <w:i/>
                <w:iCs/>
                <w:sz w:val="16"/>
                <w:szCs w:val="16"/>
              </w:rPr>
            </w:pPr>
            <w:r w:rsidRPr="00D46599">
              <w:rPr>
                <w:rFonts w:ascii="Arial" w:hAnsi="Arial" w:cs="Arial"/>
                <w:i/>
                <w:iCs/>
                <w:sz w:val="16"/>
                <w:szCs w:val="16"/>
              </w:rPr>
              <w:t>17</w:t>
            </w:r>
            <w:r w:rsidR="00F6366D">
              <w:rPr>
                <w:rFonts w:ascii="Arial" w:hAnsi="Arial" w:cs="Arial"/>
                <w:i/>
                <w:iCs/>
                <w:sz w:val="16"/>
                <w:szCs w:val="16"/>
              </w:rPr>
              <w:t>,</w:t>
            </w:r>
            <w:r w:rsidRPr="00D46599">
              <w:rPr>
                <w:rFonts w:ascii="Arial" w:hAnsi="Arial" w:cs="Arial"/>
                <w:i/>
                <w:iCs/>
                <w:sz w:val="16"/>
                <w:szCs w:val="16"/>
              </w:rPr>
              <w:t>4(11</w:t>
            </w:r>
            <w:r w:rsidR="00F6366D">
              <w:rPr>
                <w:rFonts w:ascii="Arial" w:hAnsi="Arial" w:cs="Arial"/>
                <w:i/>
                <w:iCs/>
                <w:sz w:val="16"/>
                <w:szCs w:val="16"/>
              </w:rPr>
              <w:t>,</w:t>
            </w:r>
            <w:r w:rsidRPr="00D46599">
              <w:rPr>
                <w:rFonts w:ascii="Arial" w:hAnsi="Arial" w:cs="Arial"/>
                <w:i/>
                <w:iCs/>
                <w:sz w:val="16"/>
                <w:szCs w:val="16"/>
              </w:rPr>
              <w:t>6-NE)</w:t>
            </w:r>
          </w:p>
        </w:tc>
      </w:tr>
    </w:tbl>
    <w:p w:rsidR="007D48BC" w:rsidRDefault="007D48BC" w:rsidP="00BC3E8E">
      <w:pPr>
        <w:snapToGrid w:val="0"/>
        <w:jc w:val="both"/>
        <w:rPr>
          <w:rFonts w:ascii="Arial" w:hAnsi="Arial" w:cs="Arial"/>
          <w:b/>
          <w:bCs/>
          <w:color w:val="000080"/>
          <w:lang w:val="es-ES_tradnl"/>
        </w:rPr>
      </w:pPr>
    </w:p>
    <w:p w:rsidR="007D48BC" w:rsidRDefault="007D48BC" w:rsidP="00BC3E8E">
      <w:pPr>
        <w:snapToGrid w:val="0"/>
        <w:jc w:val="both"/>
        <w:rPr>
          <w:rFonts w:ascii="Arial" w:hAnsi="Arial" w:cs="Arial"/>
          <w:b/>
          <w:bCs/>
          <w:color w:val="000080"/>
          <w:lang w:val="es-ES_tradnl"/>
        </w:rPr>
      </w:pPr>
      <w:r>
        <w:rPr>
          <w:rFonts w:ascii="Arial" w:hAnsi="Arial" w:cs="Arial"/>
          <w:b/>
          <w:bCs/>
          <w:color w:val="000000"/>
        </w:rPr>
        <w:t xml:space="preserve">Figura 1. Duración de la respuesta objetiva en las cohortes 1  y 2 del estudio ZUMA-1 (m-ITT, n=83). </w:t>
      </w:r>
      <w:r>
        <w:rPr>
          <w:rFonts w:ascii="Arial" w:hAnsi="Arial" w:cs="Arial"/>
          <w:color w:val="000000"/>
        </w:rPr>
        <w:t xml:space="preserve">Tomada de: </w:t>
      </w:r>
      <w:r>
        <w:rPr>
          <w:rFonts w:ascii="Arial" w:hAnsi="Arial" w:cs="Arial"/>
          <w:i/>
          <w:iCs/>
          <w:color w:val="000000"/>
        </w:rPr>
        <w:t>European Medicines Agency. Yescarta Assessment Report</w:t>
      </w:r>
    </w:p>
    <w:p w:rsidR="007D48BC" w:rsidRDefault="003C496A" w:rsidP="00BC3E8E">
      <w:pPr>
        <w:snapToGrid w:val="0"/>
        <w:jc w:val="both"/>
        <w:rPr>
          <w:rFonts w:ascii="Arial" w:hAnsi="Arial" w:cs="Arial"/>
          <w:b/>
          <w:bCs/>
          <w:color w:val="000000"/>
        </w:rPr>
      </w:pPr>
      <w:r>
        <w:rPr>
          <w:rFonts w:ascii="Arial" w:hAnsi="Arial" w:cs="Arial"/>
          <w:b/>
          <w:bCs/>
          <w:noProof/>
          <w:color w:val="000000"/>
        </w:rPr>
        <w:drawing>
          <wp:inline distT="0" distB="0" distL="0" distR="0">
            <wp:extent cx="5486400" cy="2762250"/>
            <wp:effectExtent l="0" t="0" r="0" b="0"/>
            <wp:docPr id="1"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486400" cy="2762250"/>
                    </a:xfrm>
                    <a:prstGeom prst="rect">
                      <a:avLst/>
                    </a:prstGeom>
                    <a:noFill/>
                    <a:ln>
                      <a:noFill/>
                    </a:ln>
                  </pic:spPr>
                </pic:pic>
              </a:graphicData>
            </a:graphic>
          </wp:inline>
        </w:drawing>
      </w:r>
    </w:p>
    <w:p w:rsidR="007D48BC" w:rsidRDefault="007D48BC" w:rsidP="00112B38">
      <w:pPr>
        <w:snapToGrid w:val="0"/>
        <w:jc w:val="both"/>
        <w:rPr>
          <w:rFonts w:ascii="Arial" w:hAnsi="Arial" w:cs="Arial"/>
          <w:b/>
          <w:bCs/>
          <w:color w:val="000080"/>
          <w:lang w:val="es-ES_tradnl"/>
        </w:rPr>
      </w:pPr>
      <w:r>
        <w:rPr>
          <w:rFonts w:ascii="Arial" w:hAnsi="Arial" w:cs="Arial"/>
          <w:b/>
          <w:bCs/>
          <w:color w:val="000000"/>
        </w:rPr>
        <w:t xml:space="preserve">Figura 2. Duración de la respuesta en sujetos con respuesta completa o parcial en las cohortes 1 y 2 del estudio ZUMA-1 (m-ITT, n=83). </w:t>
      </w:r>
      <w:r>
        <w:rPr>
          <w:rFonts w:ascii="Arial" w:hAnsi="Arial" w:cs="Arial"/>
          <w:color w:val="000000"/>
        </w:rPr>
        <w:t xml:space="preserve">Tomada de: </w:t>
      </w:r>
      <w:r>
        <w:rPr>
          <w:rFonts w:ascii="Arial" w:hAnsi="Arial" w:cs="Arial"/>
          <w:i/>
          <w:iCs/>
          <w:color w:val="000000"/>
        </w:rPr>
        <w:t>European Medicines Agency. Yescarta Assessment Report</w:t>
      </w:r>
    </w:p>
    <w:p w:rsidR="007D48BC" w:rsidRDefault="003C496A" w:rsidP="005E0F76">
      <w:pPr>
        <w:snapToGrid w:val="0"/>
        <w:jc w:val="center"/>
        <w:rPr>
          <w:rFonts w:ascii="Arial" w:hAnsi="Arial" w:cs="Arial"/>
          <w:b/>
          <w:bCs/>
          <w:color w:val="000000"/>
        </w:rPr>
      </w:pPr>
      <w:r>
        <w:rPr>
          <w:rFonts w:ascii="Arial" w:hAnsi="Arial" w:cs="Arial"/>
          <w:b/>
          <w:bCs/>
          <w:noProof/>
          <w:color w:val="000000"/>
        </w:rPr>
        <w:drawing>
          <wp:inline distT="0" distB="0" distL="0" distR="0">
            <wp:extent cx="4724400" cy="2305050"/>
            <wp:effectExtent l="0" t="0" r="0" b="0"/>
            <wp:docPr id="2"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724400" cy="2305050"/>
                    </a:xfrm>
                    <a:prstGeom prst="rect">
                      <a:avLst/>
                    </a:prstGeom>
                    <a:noFill/>
                    <a:ln>
                      <a:noFill/>
                    </a:ln>
                  </pic:spPr>
                </pic:pic>
              </a:graphicData>
            </a:graphic>
          </wp:inline>
        </w:drawing>
      </w:r>
    </w:p>
    <w:p w:rsidR="007D48BC" w:rsidRDefault="007D48BC" w:rsidP="00BC3E8E">
      <w:pPr>
        <w:snapToGrid w:val="0"/>
        <w:jc w:val="both"/>
        <w:rPr>
          <w:rFonts w:ascii="Arial" w:hAnsi="Arial" w:cs="Arial"/>
          <w:b/>
          <w:bCs/>
          <w:color w:val="000080"/>
          <w:lang w:val="es-ES_tradnl"/>
        </w:rPr>
      </w:pPr>
      <w:r>
        <w:rPr>
          <w:rFonts w:ascii="Arial" w:hAnsi="Arial" w:cs="Arial"/>
          <w:b/>
          <w:bCs/>
          <w:color w:val="000000"/>
        </w:rPr>
        <w:t xml:space="preserve">Tabla 9. Análisis de subgrupos para la variable TRO (según investigador), en la población con respuesta evaluable del estudio ZUMA-1. </w:t>
      </w:r>
      <w:r>
        <w:rPr>
          <w:rFonts w:ascii="Arial" w:hAnsi="Arial" w:cs="Arial"/>
          <w:color w:val="000000"/>
        </w:rPr>
        <w:t xml:space="preserve">Tomada de: </w:t>
      </w:r>
      <w:r>
        <w:rPr>
          <w:rFonts w:ascii="Arial" w:hAnsi="Arial" w:cs="Arial"/>
          <w:i/>
          <w:iCs/>
          <w:color w:val="000000"/>
        </w:rPr>
        <w:t>European Medicines Agency. Yescarta Assessment Report</w:t>
      </w:r>
    </w:p>
    <w:p w:rsidR="007D48BC" w:rsidRDefault="003C496A" w:rsidP="00BC3E8E">
      <w:pPr>
        <w:snapToGrid w:val="0"/>
        <w:jc w:val="both"/>
        <w:rPr>
          <w:rFonts w:ascii="Arial" w:hAnsi="Arial" w:cs="Arial"/>
          <w:b/>
          <w:bCs/>
          <w:color w:val="000080"/>
          <w:lang w:val="es-ES_tradnl"/>
        </w:rPr>
      </w:pPr>
      <w:r>
        <w:rPr>
          <w:rFonts w:ascii="Arial" w:hAnsi="Arial" w:cs="Arial"/>
          <w:b/>
          <w:bCs/>
          <w:noProof/>
          <w:color w:val="000080"/>
        </w:rPr>
        <w:drawing>
          <wp:inline distT="0" distB="0" distL="0" distR="0">
            <wp:extent cx="5467350" cy="4524375"/>
            <wp:effectExtent l="0" t="0" r="0" b="0"/>
            <wp:docPr id="3"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467350" cy="4524375"/>
                    </a:xfrm>
                    <a:prstGeom prst="rect">
                      <a:avLst/>
                    </a:prstGeom>
                    <a:noFill/>
                    <a:ln>
                      <a:noFill/>
                    </a:ln>
                  </pic:spPr>
                </pic:pic>
              </a:graphicData>
            </a:graphic>
          </wp:inline>
        </w:drawing>
      </w:r>
    </w:p>
    <w:p w:rsidR="007D48BC" w:rsidRPr="006F6ABB" w:rsidRDefault="007D48BC" w:rsidP="00BC3E8E">
      <w:pPr>
        <w:snapToGrid w:val="0"/>
        <w:jc w:val="both"/>
        <w:rPr>
          <w:rFonts w:ascii="Arial" w:hAnsi="Arial" w:cs="Arial"/>
          <w:b/>
          <w:bCs/>
          <w:color w:val="000080"/>
          <w:lang w:val="es-ES_tradnl"/>
        </w:rPr>
      </w:pPr>
    </w:p>
    <w:p w:rsidR="007D48BC" w:rsidRPr="00E3472F" w:rsidRDefault="007D48BC" w:rsidP="00BC3E8E">
      <w:pPr>
        <w:pStyle w:val="Ttulo2"/>
        <w:pBdr>
          <w:top w:val="single" w:sz="4" w:space="1" w:color="auto"/>
          <w:left w:val="single" w:sz="4" w:space="4" w:color="auto"/>
          <w:bottom w:val="single" w:sz="4" w:space="1" w:color="auto"/>
          <w:right w:val="single" w:sz="4" w:space="4" w:color="auto"/>
        </w:pBdr>
        <w:shd w:val="clear" w:color="auto" w:fill="D9D9D9"/>
        <w:rPr>
          <w:sz w:val="20"/>
          <w:szCs w:val="20"/>
        </w:rPr>
      </w:pPr>
      <w:bookmarkStart w:id="47" w:name="_Toc344399636"/>
      <w:bookmarkStart w:id="48" w:name="_Toc348931363"/>
      <w:r w:rsidRPr="00E3472F">
        <w:rPr>
          <w:sz w:val="20"/>
          <w:szCs w:val="20"/>
        </w:rPr>
        <w:t>5.2.b Evaluación de la validez y de la utilidad práctica de los resultados</w:t>
      </w:r>
      <w:bookmarkEnd w:id="47"/>
      <w:bookmarkEnd w:id="48"/>
      <w:r w:rsidR="00FE59AC">
        <w:rPr>
          <w:sz w:val="20"/>
          <w:szCs w:val="20"/>
        </w:rPr>
        <w:fldChar w:fldCharType="begin"/>
      </w:r>
      <w:r>
        <w:instrText>xe "</w:instrText>
      </w:r>
      <w:r w:rsidRPr="004F53C6">
        <w:rPr>
          <w:sz w:val="20"/>
          <w:szCs w:val="20"/>
        </w:rPr>
        <w:instrText>5.2.b Evaluación de la validez y de la utilidad práctica de los resultados</w:instrText>
      </w:r>
      <w:r>
        <w:instrText>"</w:instrText>
      </w:r>
      <w:r w:rsidR="00FE59AC">
        <w:rPr>
          <w:sz w:val="20"/>
          <w:szCs w:val="20"/>
        </w:rPr>
        <w:fldChar w:fldCharType="end"/>
      </w:r>
      <w:r w:rsidRPr="00E3472F">
        <w:rPr>
          <w:sz w:val="20"/>
          <w:szCs w:val="20"/>
        </w:rPr>
        <w:t xml:space="preserve"> </w:t>
      </w:r>
    </w:p>
    <w:p w:rsidR="007D48BC" w:rsidRDefault="007D48BC" w:rsidP="00BC3E8E">
      <w:pPr>
        <w:jc w:val="both"/>
        <w:rPr>
          <w:rFonts w:ascii="Arial" w:hAnsi="Arial" w:cs="Arial"/>
          <w:color w:val="000080"/>
        </w:rPr>
      </w:pPr>
    </w:p>
    <w:p w:rsidR="007D48BC" w:rsidRPr="000B0D88" w:rsidRDefault="007D48BC" w:rsidP="00BC3E8E">
      <w:pPr>
        <w:pStyle w:val="Textoindependiente3"/>
        <w:pBdr>
          <w:top w:val="single" w:sz="4" w:space="1" w:color="auto"/>
          <w:left w:val="single" w:sz="4" w:space="4" w:color="auto"/>
          <w:bottom w:val="single" w:sz="4" w:space="1" w:color="auto"/>
          <w:right w:val="single" w:sz="4" w:space="4" w:color="auto"/>
        </w:pBdr>
        <w:shd w:val="clear" w:color="auto" w:fill="E6E6E6"/>
        <w:jc w:val="both"/>
        <w:outlineLvl w:val="2"/>
        <w:rPr>
          <w:rFonts w:ascii="Cambria" w:hAnsi="Cambria" w:cs="Cambria"/>
          <w:color w:val="333300"/>
          <w:sz w:val="20"/>
          <w:szCs w:val="20"/>
        </w:rPr>
      </w:pPr>
      <w:bookmarkStart w:id="49" w:name="_Toc344399637"/>
      <w:bookmarkStart w:id="50" w:name="_Toc348931364"/>
      <w:r w:rsidRPr="000B0D88">
        <w:rPr>
          <w:rFonts w:ascii="Cambria" w:hAnsi="Cambria" w:cs="Cambria"/>
          <w:color w:val="333300"/>
          <w:sz w:val="20"/>
          <w:szCs w:val="20"/>
        </w:rPr>
        <w:t>A. Validez interna. Limitaciones de diseño y/o comentarios:</w:t>
      </w:r>
      <w:bookmarkEnd w:id="49"/>
      <w:bookmarkEnd w:id="50"/>
    </w:p>
    <w:p w:rsidR="007D48BC" w:rsidRDefault="007D48BC" w:rsidP="00BC3E8E">
      <w:pPr>
        <w:autoSpaceDE w:val="0"/>
        <w:autoSpaceDN w:val="0"/>
        <w:adjustRightInd w:val="0"/>
        <w:rPr>
          <w:rFonts w:ascii="Arial" w:hAnsi="Arial" w:cs="Arial"/>
          <w:color w:val="000080"/>
          <w:lang w:val="es-ES_tradnl"/>
        </w:rPr>
      </w:pPr>
    </w:p>
    <w:p w:rsidR="007D48BC" w:rsidRDefault="007D48BC" w:rsidP="00C83343">
      <w:pPr>
        <w:spacing w:line="360" w:lineRule="auto"/>
        <w:jc w:val="both"/>
        <w:rPr>
          <w:rFonts w:ascii="Arial" w:hAnsi="Arial" w:cs="Arial"/>
        </w:rPr>
      </w:pPr>
      <w:r w:rsidRPr="0072421C">
        <w:rPr>
          <w:rFonts w:ascii="Arial" w:hAnsi="Arial" w:cs="Arial"/>
          <w:u w:val="single"/>
          <w:lang w:val="es-ES_tradnl"/>
        </w:rPr>
        <w:t>Diseño de los estudios</w:t>
      </w:r>
    </w:p>
    <w:p w:rsidR="007D48BC" w:rsidRDefault="007D48BC" w:rsidP="00C83343">
      <w:pPr>
        <w:spacing w:line="360" w:lineRule="auto"/>
        <w:jc w:val="both"/>
        <w:rPr>
          <w:rFonts w:ascii="Arial" w:hAnsi="Arial" w:cs="Arial"/>
        </w:rPr>
      </w:pPr>
      <w:r w:rsidRPr="00C83343">
        <w:rPr>
          <w:rFonts w:ascii="Arial" w:hAnsi="Arial" w:cs="Arial"/>
        </w:rPr>
        <w:t>La principal limitación de la evidencia disponible radica en la ausencia de estudios controlados y aleatorizados, que permitan determinar la eficacia y seguridad relativas de este fármaco frente a sus comparadores.</w:t>
      </w:r>
      <w:r>
        <w:rPr>
          <w:rFonts w:ascii="Arial" w:hAnsi="Arial" w:cs="Arial"/>
        </w:rPr>
        <w:t xml:space="preserve"> Los estudios disponibles están en estadios iniciales (fase I y II).</w:t>
      </w:r>
      <w:r w:rsidRPr="00C83343">
        <w:rPr>
          <w:rFonts w:ascii="Arial" w:hAnsi="Arial" w:cs="Arial"/>
        </w:rPr>
        <w:t xml:space="preserve"> La comparación del fármaco frente a datos históricos es difícil de evaluar por los sesgos que conlleva</w:t>
      </w:r>
      <w:r>
        <w:rPr>
          <w:rFonts w:ascii="Arial" w:hAnsi="Arial" w:cs="Arial"/>
        </w:rPr>
        <w:t>. En el estudio Scholar 1 se incluyeron pacientes con características basales poco comparables con la población a estudio ya que habían seguido menos líneas de tratamiento y había una mayor proporción de pacientes sometidos a TAPH, por lo que podría existir diferencias en la respuesta al tratamiento y no representar la práctica clínica habitual en nuestro entorno</w:t>
      </w:r>
      <w:r w:rsidR="00535868" w:rsidRPr="00535868">
        <w:rPr>
          <w:rFonts w:ascii="Arial" w:hAnsi="Arial" w:cs="Arial"/>
          <w:vertAlign w:val="superscript"/>
        </w:rPr>
        <w:t>11</w:t>
      </w:r>
      <w:r>
        <w:rPr>
          <w:rFonts w:ascii="Arial" w:hAnsi="Arial" w:cs="Arial"/>
        </w:rPr>
        <w:t>.</w:t>
      </w:r>
    </w:p>
    <w:p w:rsidR="007D48BC" w:rsidRPr="0021340C" w:rsidRDefault="007D48BC" w:rsidP="00C83343">
      <w:pPr>
        <w:spacing w:line="360" w:lineRule="auto"/>
        <w:jc w:val="both"/>
        <w:rPr>
          <w:rFonts w:ascii="Arial" w:hAnsi="Arial" w:cs="Arial"/>
        </w:rPr>
      </w:pPr>
      <w:r w:rsidRPr="000677B6">
        <w:rPr>
          <w:rFonts w:ascii="Arial" w:hAnsi="Arial" w:cs="Arial"/>
        </w:rPr>
        <w:t xml:space="preserve">Scholar-1 se desarrolló como un estudio complementario de ZUMA-1 para proporcionar un contexto para interpretar los resultados de ZUMA-1. De los 636 pacientes evaluables en el estudio Scholar-1, 389 proceden de dos estudios clínicos aleatorizados de fase 3 (CORAL n=170 y LY12 n = 218), mientras que 247 pacientes se obtienen de bases de datos retrospectivas (MAYO n = 82, MDACC n = 165). Entre los 603 sujetos evaluables del estudio Scholar 1 para la SG, la mediana fue de 6,3 meses. Las tasas de supervivencia a 6 meses y 1 y 2 años fueron del 53%, 28% y 20%. Los análisis de subgrupos de SG indican que la supervivencia es pobre en todos los subgrupos evaluados. De acuerdo con la revisión de la literatura, la mediana de SG fue inferior a 10 meses en todos los subgrupos, </w:t>
      </w:r>
      <w:r w:rsidRPr="0021340C">
        <w:rPr>
          <w:rFonts w:ascii="Arial" w:hAnsi="Arial" w:cs="Arial"/>
        </w:rPr>
        <w:t>excepto en aquellos que se sometieron a trasplante después de que se determinó que eran refractarios.</w:t>
      </w:r>
      <w:r w:rsidR="00535868" w:rsidRPr="0021340C">
        <w:rPr>
          <w:rFonts w:ascii="Arial" w:hAnsi="Arial" w:cs="Arial"/>
        </w:rPr>
        <w:t xml:space="preserve"> En cualquier caso, este estudio </w:t>
      </w:r>
      <w:r w:rsidR="001F62F0" w:rsidRPr="0021340C">
        <w:rPr>
          <w:rFonts w:ascii="Arial" w:hAnsi="Arial" w:cs="Arial"/>
        </w:rPr>
        <w:t>integra información procedente de dos ensayos clínicos y datos observacionales cuya calidad metodológica es dudosa para servir de comparación con los resultados del estudio ZUMA-1.</w:t>
      </w:r>
    </w:p>
    <w:p w:rsidR="007D48BC" w:rsidRPr="0021340C" w:rsidRDefault="007D48BC" w:rsidP="00C83343">
      <w:pPr>
        <w:spacing w:line="360" w:lineRule="auto"/>
        <w:jc w:val="both"/>
        <w:rPr>
          <w:rFonts w:ascii="Arial" w:hAnsi="Arial" w:cs="Arial"/>
        </w:rPr>
      </w:pPr>
      <w:r w:rsidRPr="0021340C">
        <w:rPr>
          <w:rFonts w:ascii="Arial" w:hAnsi="Arial" w:cs="Arial"/>
        </w:rPr>
        <w:t>El estudio ZUMA-1 es un estudio abierto, lo que no permite</w:t>
      </w:r>
      <w:r w:rsidRPr="00C83343">
        <w:rPr>
          <w:rFonts w:ascii="Arial" w:hAnsi="Arial" w:cs="Arial"/>
        </w:rPr>
        <w:t xml:space="preserve"> descartar la existencia de sesgos en la selección de los pacientes, ni la existencia de una evaluación sesgada de los resultados a favor de axicabtagen ciloleucel. No obstante, este riesgo de sesgo intentó minimizarse mediante la </w:t>
      </w:r>
      <w:r>
        <w:rPr>
          <w:rFonts w:ascii="Arial" w:hAnsi="Arial" w:cs="Arial"/>
        </w:rPr>
        <w:t>ev</w:t>
      </w:r>
      <w:r w:rsidRPr="00C83343">
        <w:rPr>
          <w:rFonts w:ascii="Arial" w:hAnsi="Arial" w:cs="Arial"/>
        </w:rPr>
        <w:t xml:space="preserve">aluación de las variables de </w:t>
      </w:r>
      <w:r w:rsidRPr="0021340C">
        <w:rPr>
          <w:rFonts w:ascii="Arial" w:hAnsi="Arial" w:cs="Arial"/>
        </w:rPr>
        <w:t xml:space="preserve">respuesta por parte de un CRI, </w:t>
      </w:r>
      <w:r w:rsidR="001F62F0" w:rsidRPr="0021340C">
        <w:rPr>
          <w:rFonts w:ascii="Arial" w:hAnsi="Arial" w:cs="Arial"/>
        </w:rPr>
        <w:t>de acuerdo con</w:t>
      </w:r>
      <w:r w:rsidRPr="0021340C">
        <w:rPr>
          <w:rFonts w:ascii="Arial" w:hAnsi="Arial" w:cs="Arial"/>
        </w:rPr>
        <w:t xml:space="preserve"> criterios estandarizados (Criterios del </w:t>
      </w:r>
      <w:r w:rsidRPr="0021340C">
        <w:rPr>
          <w:rFonts w:ascii="Arial" w:hAnsi="Arial" w:cs="Arial"/>
          <w:i/>
          <w:iCs/>
        </w:rPr>
        <w:t>International Working Group</w:t>
      </w:r>
      <w:r w:rsidRPr="0021340C">
        <w:rPr>
          <w:rFonts w:ascii="Arial" w:hAnsi="Arial" w:cs="Arial"/>
        </w:rPr>
        <w:t xml:space="preserve"> para Linfomas malignos</w:t>
      </w:r>
      <w:r w:rsidRPr="0021340C">
        <w:rPr>
          <w:rFonts w:ascii="Arial" w:hAnsi="Arial" w:cs="Arial"/>
          <w:vertAlign w:val="superscript"/>
        </w:rPr>
        <w:t>20</w:t>
      </w:r>
      <w:r w:rsidRPr="0021340C">
        <w:rPr>
          <w:rFonts w:ascii="Arial" w:hAnsi="Arial" w:cs="Arial"/>
        </w:rPr>
        <w:t>).</w:t>
      </w:r>
      <w:r w:rsidR="00E43DDD" w:rsidRPr="0021340C">
        <w:rPr>
          <w:rFonts w:ascii="Arial" w:hAnsi="Arial" w:cs="Arial"/>
        </w:rPr>
        <w:t xml:space="preserve"> Es de resaltar la diferencia obtenida en los resultados entre el grupo investigador y el comité independiente, siendo la TRO en la población ITT del 77% en la evaluación de los investigadores y del 66% en la evaluación por el comité independiente.</w:t>
      </w:r>
    </w:p>
    <w:p w:rsidR="007D48BC" w:rsidRDefault="007D48BC" w:rsidP="005E0F76">
      <w:pPr>
        <w:spacing w:line="360" w:lineRule="auto"/>
        <w:ind w:left="708" w:hanging="708"/>
        <w:jc w:val="both"/>
        <w:rPr>
          <w:rFonts w:ascii="Arial" w:hAnsi="Arial" w:cs="Arial"/>
        </w:rPr>
      </w:pPr>
      <w:r w:rsidRPr="0021340C">
        <w:rPr>
          <w:rFonts w:ascii="Arial" w:hAnsi="Arial" w:cs="Arial"/>
        </w:rPr>
        <w:t>Hay que remarcar que la variable principal considerada</w:t>
      </w:r>
      <w:r w:rsidRPr="00C83343">
        <w:rPr>
          <w:rFonts w:ascii="Arial" w:hAnsi="Arial" w:cs="Arial"/>
        </w:rPr>
        <w:t xml:space="preserve"> (TRO) fue una variable subrogada.</w:t>
      </w:r>
    </w:p>
    <w:p w:rsidR="007D48BC" w:rsidRPr="0021340C" w:rsidRDefault="007D48BC" w:rsidP="00342486">
      <w:pPr>
        <w:spacing w:line="360" w:lineRule="auto"/>
        <w:jc w:val="both"/>
        <w:rPr>
          <w:rFonts w:ascii="Arial" w:hAnsi="Arial" w:cs="Arial"/>
        </w:rPr>
      </w:pPr>
      <w:r>
        <w:rPr>
          <w:rFonts w:ascii="Arial" w:hAnsi="Arial" w:cs="Arial"/>
        </w:rPr>
        <w:t xml:space="preserve">Por otro lado, la eficacia para la indicación de LDCBG se basa en los resultados obtenidos en 77 </w:t>
      </w:r>
      <w:r w:rsidRPr="0021340C">
        <w:rPr>
          <w:rFonts w:ascii="Arial" w:hAnsi="Arial" w:cs="Arial"/>
        </w:rPr>
        <w:t>pacientes, mientras que para la indicación de LBPM únicamente se conocen los resultados en 8 pacientes y la duración del estudio es corta con un seguimiento inferior a los 2 años.</w:t>
      </w:r>
    </w:p>
    <w:p w:rsidR="00521F4C" w:rsidRPr="0021340C" w:rsidRDefault="00521F4C" w:rsidP="00342486">
      <w:pPr>
        <w:spacing w:line="360" w:lineRule="auto"/>
        <w:jc w:val="both"/>
        <w:rPr>
          <w:rFonts w:ascii="Arial" w:hAnsi="Arial" w:cs="Arial"/>
        </w:rPr>
      </w:pPr>
      <w:r w:rsidRPr="0021340C">
        <w:rPr>
          <w:rFonts w:ascii="Arial" w:hAnsi="Arial" w:cs="Arial"/>
        </w:rPr>
        <w:t>Existen tratamientos alternativos para estos pacientes, como pixantrona o R-GEMOX y sería deseable tener los resultados de un ensayo comparativo frente a estas alternativas.</w:t>
      </w:r>
    </w:p>
    <w:p w:rsidR="007D48BC" w:rsidRPr="0021340C" w:rsidRDefault="007D48BC" w:rsidP="00C83343">
      <w:pPr>
        <w:spacing w:line="360" w:lineRule="auto"/>
        <w:rPr>
          <w:rFonts w:ascii="Arial" w:hAnsi="Arial" w:cs="Arial"/>
          <w:lang w:val="es-ES_tradnl"/>
        </w:rPr>
      </w:pPr>
      <w:r w:rsidRPr="0021340C">
        <w:rPr>
          <w:rFonts w:ascii="Arial" w:hAnsi="Arial" w:cs="Arial"/>
          <w:u w:val="single"/>
          <w:lang w:val="es-ES_tradnl"/>
        </w:rPr>
        <w:t>Seguimiento y análisis de datos</w:t>
      </w:r>
    </w:p>
    <w:p w:rsidR="007D48BC" w:rsidRPr="0021340C" w:rsidRDefault="007D48BC" w:rsidP="00C83343">
      <w:pPr>
        <w:autoSpaceDE w:val="0"/>
        <w:autoSpaceDN w:val="0"/>
        <w:adjustRightInd w:val="0"/>
        <w:spacing w:line="360" w:lineRule="auto"/>
        <w:jc w:val="both"/>
        <w:rPr>
          <w:rFonts w:ascii="Arial" w:hAnsi="Arial" w:cs="Arial"/>
          <w:lang w:val="es-ES_tradnl"/>
        </w:rPr>
      </w:pPr>
      <w:r w:rsidRPr="0021340C">
        <w:rPr>
          <w:rFonts w:ascii="Arial" w:hAnsi="Arial" w:cs="Arial"/>
          <w:lang w:val="es-ES_tradnl"/>
        </w:rPr>
        <w:t>En relación al seguimiento de los sujetos se especifica de manera clara la relación de pérdidas y sus causas. No se presentan pérdidas importantes que hagan pensar que puedan estar perdiéndose datos relevantes de cara a los resultados que se pretenden demostrar según el diseño del estudio.</w:t>
      </w:r>
    </w:p>
    <w:p w:rsidR="007D48BC" w:rsidRPr="0021340C" w:rsidRDefault="007D48BC" w:rsidP="00C83343">
      <w:pPr>
        <w:spacing w:line="360" w:lineRule="auto"/>
        <w:jc w:val="both"/>
        <w:rPr>
          <w:rFonts w:ascii="Arial" w:hAnsi="Arial" w:cs="Arial"/>
        </w:rPr>
      </w:pPr>
      <w:r w:rsidRPr="0021340C">
        <w:rPr>
          <w:rFonts w:ascii="Arial" w:hAnsi="Arial" w:cs="Arial"/>
        </w:rPr>
        <w:t>El análisis de las principales variables fue por intención de tratar modificado, incluyendo a todos los pacientes que se trataron con el fármaco.</w:t>
      </w:r>
      <w:r w:rsidR="00A12C4D" w:rsidRPr="0021340C">
        <w:rPr>
          <w:rFonts w:ascii="Arial" w:hAnsi="Arial" w:cs="Arial"/>
        </w:rPr>
        <w:t xml:space="preserve"> Por </w:t>
      </w:r>
      <w:r w:rsidR="008B1AA9" w:rsidRPr="0021340C">
        <w:rPr>
          <w:rFonts w:ascii="Arial" w:hAnsi="Arial" w:cs="Arial"/>
        </w:rPr>
        <w:t>tanto,</w:t>
      </w:r>
      <w:r w:rsidR="00A12C4D" w:rsidRPr="0021340C">
        <w:rPr>
          <w:rFonts w:ascii="Arial" w:hAnsi="Arial" w:cs="Arial"/>
        </w:rPr>
        <w:t xml:space="preserve"> se excluyen del análisis de eficacia 10 pacientes que habiendo sido reclutados y sometidos a aféresis no llegan a recibir la infusión de axicabtagen ciloleucel.</w:t>
      </w:r>
    </w:p>
    <w:p w:rsidR="00BD3013" w:rsidRPr="0021340C" w:rsidRDefault="00BD3013" w:rsidP="00C83343">
      <w:pPr>
        <w:spacing w:line="360" w:lineRule="auto"/>
        <w:jc w:val="both"/>
        <w:rPr>
          <w:rFonts w:ascii="Arial" w:hAnsi="Arial" w:cs="Arial"/>
        </w:rPr>
      </w:pPr>
      <w:r w:rsidRPr="0021340C">
        <w:rPr>
          <w:rFonts w:ascii="Arial" w:hAnsi="Arial" w:cs="Arial"/>
        </w:rPr>
        <w:t>Los resultados en la población ITT aparecen en la tabla</w:t>
      </w:r>
      <w:r w:rsidR="00595236" w:rsidRPr="0021340C">
        <w:rPr>
          <w:rFonts w:ascii="Arial" w:hAnsi="Arial" w:cs="Arial"/>
        </w:rPr>
        <w:t xml:space="preserve"> 8</w:t>
      </w:r>
      <w:r w:rsidRPr="0021340C">
        <w:rPr>
          <w:rFonts w:ascii="Arial" w:hAnsi="Arial" w:cs="Arial"/>
        </w:rPr>
        <w:t>, incluyendo a los 10 pacientes que habiendo sido reclutados y sometidos a aféresis no llegan a recibir la infusión de axicabtagen ciloleucel</w:t>
      </w:r>
    </w:p>
    <w:p w:rsidR="001F62F0" w:rsidRPr="0021340C" w:rsidRDefault="001F62F0" w:rsidP="00C83343">
      <w:pPr>
        <w:spacing w:line="360" w:lineRule="auto"/>
        <w:jc w:val="both"/>
        <w:rPr>
          <w:rFonts w:ascii="Arial" w:hAnsi="Arial" w:cs="Arial"/>
          <w:vanish/>
          <w:specVanish/>
        </w:rPr>
      </w:pPr>
    </w:p>
    <w:p w:rsidR="007D48BC" w:rsidRDefault="002C41BE" w:rsidP="0032665C">
      <w:pPr>
        <w:snapToGrid w:val="0"/>
        <w:jc w:val="both"/>
      </w:pPr>
      <w:r w:rsidRPr="0021340C">
        <w:rPr>
          <w:rFonts w:ascii="Arial" w:hAnsi="Arial" w:cs="Arial"/>
          <w:b/>
          <w:bCs/>
          <w:color w:val="000000"/>
        </w:rPr>
        <w:t xml:space="preserve"> </w:t>
      </w:r>
      <w:r w:rsidR="007D48BC" w:rsidRPr="0021340C">
        <w:rPr>
          <w:rFonts w:ascii="Arial" w:hAnsi="Arial" w:cs="Arial"/>
          <w:b/>
          <w:bCs/>
          <w:color w:val="000000"/>
        </w:rPr>
        <w:t>Figura 4. Diagrama</w:t>
      </w:r>
      <w:r w:rsidR="007D48BC" w:rsidRPr="0032665C">
        <w:rPr>
          <w:rFonts w:ascii="Arial" w:hAnsi="Arial" w:cs="Arial"/>
          <w:b/>
          <w:bCs/>
          <w:color w:val="000000"/>
        </w:rPr>
        <w:t xml:space="preserve"> de flujo del estudio ZUMA-1</w:t>
      </w:r>
    </w:p>
    <w:p w:rsidR="007D48BC" w:rsidRPr="006F6ABB" w:rsidRDefault="003C496A" w:rsidP="00600383">
      <w:pPr>
        <w:spacing w:line="360" w:lineRule="auto"/>
        <w:jc w:val="center"/>
        <w:rPr>
          <w:rFonts w:ascii="Arial" w:hAnsi="Arial" w:cs="Arial"/>
          <w:noProof/>
          <w:color w:val="FF0000"/>
        </w:rPr>
      </w:pPr>
      <w:r>
        <w:rPr>
          <w:rFonts w:ascii="Arial" w:hAnsi="Arial" w:cs="Arial"/>
          <w:noProof/>
          <w:color w:val="FF0000"/>
        </w:rPr>
        <w:drawing>
          <wp:inline distT="0" distB="0" distL="0" distR="0">
            <wp:extent cx="3562350" cy="4095750"/>
            <wp:effectExtent l="0" t="0" r="0" b="0"/>
            <wp:docPr id="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562350" cy="4095750"/>
                    </a:xfrm>
                    <a:prstGeom prst="rect">
                      <a:avLst/>
                    </a:prstGeom>
                    <a:noFill/>
                    <a:ln>
                      <a:noFill/>
                    </a:ln>
                  </pic:spPr>
                </pic:pic>
              </a:graphicData>
            </a:graphic>
          </wp:inline>
        </w:drawing>
      </w:r>
    </w:p>
    <w:p w:rsidR="007D48BC" w:rsidRPr="00EE2E78" w:rsidRDefault="007D48BC" w:rsidP="00BC3E8E">
      <w:pPr>
        <w:pStyle w:val="Textoindependiente3"/>
        <w:pBdr>
          <w:top w:val="single" w:sz="4" w:space="1" w:color="auto"/>
          <w:left w:val="single" w:sz="4" w:space="4" w:color="auto"/>
          <w:bottom w:val="single" w:sz="4" w:space="1" w:color="auto"/>
          <w:right w:val="single" w:sz="4" w:space="4" w:color="auto"/>
        </w:pBdr>
        <w:shd w:val="clear" w:color="auto" w:fill="E6E6E6"/>
        <w:jc w:val="both"/>
        <w:outlineLvl w:val="2"/>
        <w:rPr>
          <w:color w:val="333300"/>
          <w:sz w:val="20"/>
          <w:szCs w:val="20"/>
        </w:rPr>
      </w:pPr>
      <w:bookmarkStart w:id="51" w:name="_Toc344399638"/>
      <w:bookmarkStart w:id="52" w:name="_Toc348931365"/>
      <w:r w:rsidRPr="00EE2E78">
        <w:rPr>
          <w:color w:val="333300"/>
          <w:sz w:val="20"/>
          <w:szCs w:val="20"/>
        </w:rPr>
        <w:t>B. Aplicabilidad del ensayo a la práctica del hospital</w:t>
      </w:r>
      <w:bookmarkEnd w:id="51"/>
      <w:bookmarkEnd w:id="52"/>
    </w:p>
    <w:p w:rsidR="007D48BC" w:rsidRDefault="007D48BC" w:rsidP="00BC3E8E">
      <w:pPr>
        <w:jc w:val="both"/>
        <w:rPr>
          <w:color w:val="000080"/>
          <w:lang w:val="es-ES_tradnl"/>
        </w:rPr>
      </w:pPr>
    </w:p>
    <w:p w:rsidR="007D48BC" w:rsidRPr="00C83343" w:rsidRDefault="007D48BC" w:rsidP="005E0F76">
      <w:pPr>
        <w:spacing w:line="360" w:lineRule="auto"/>
        <w:jc w:val="both"/>
        <w:rPr>
          <w:rFonts w:ascii="Arial" w:hAnsi="Arial" w:cs="Arial"/>
          <w:lang w:val="es-ES_tradnl"/>
        </w:rPr>
      </w:pPr>
      <w:r>
        <w:rPr>
          <w:rFonts w:ascii="Arial" w:hAnsi="Arial" w:cs="Arial"/>
          <w:lang w:val="es-ES_tradnl"/>
        </w:rPr>
        <w:t>Las variables utilizadas en el ensayo son los objetivos de tratamiento habituales en la práctica clínica y por tanto reflejan el seguimiento habit</w:t>
      </w:r>
      <w:r w:rsidR="00326A3D">
        <w:rPr>
          <w:rFonts w:ascii="Arial" w:hAnsi="Arial" w:cs="Arial"/>
          <w:lang w:val="es-ES_tradnl"/>
        </w:rPr>
        <w:t>ual de la enfermedad. (Anexo II</w:t>
      </w:r>
      <w:r>
        <w:rPr>
          <w:rFonts w:ascii="Arial" w:hAnsi="Arial" w:cs="Arial"/>
          <w:lang w:val="es-ES_tradnl"/>
        </w:rPr>
        <w:t>)</w:t>
      </w:r>
      <w:r w:rsidR="001F62F0">
        <w:rPr>
          <w:rFonts w:ascii="Arial" w:hAnsi="Arial" w:cs="Arial"/>
          <w:lang w:val="es-ES_tradnl"/>
        </w:rPr>
        <w:t>.</w:t>
      </w:r>
    </w:p>
    <w:p w:rsidR="007D48BC" w:rsidRPr="0021340C" w:rsidRDefault="007D48BC" w:rsidP="005E0F76">
      <w:pPr>
        <w:spacing w:line="360" w:lineRule="auto"/>
        <w:jc w:val="both"/>
        <w:rPr>
          <w:rFonts w:ascii="Arial" w:hAnsi="Arial" w:cs="Arial"/>
        </w:rPr>
      </w:pPr>
      <w:r>
        <w:rPr>
          <w:rFonts w:ascii="Arial" w:hAnsi="Arial" w:cs="Arial"/>
        </w:rPr>
        <w:t xml:space="preserve">Es cierto que no se dispone de información respecto a la eficacia y seguridad del fármaco en </w:t>
      </w:r>
      <w:r w:rsidRPr="002B42BA">
        <w:rPr>
          <w:rFonts w:ascii="Arial" w:hAnsi="Arial" w:cs="Arial"/>
        </w:rPr>
        <w:t>pacientes con capacidad funcional disminuida (ECOG &gt; 2), ya que fueron excluidos de los ensayos. Además, todos los pacientes incluidos presentaron un estado funcional ECOG = 0 ó 1, por lo que los pacientes con ECOG = 2 no estuvieron representados. Asimismo</w:t>
      </w:r>
      <w:r>
        <w:rPr>
          <w:rFonts w:ascii="Arial" w:hAnsi="Arial" w:cs="Arial"/>
        </w:rPr>
        <w:t xml:space="preserve">, es destacable la ausencia de datos en pacientes con insuficiencia renal o hepática, o inadecuada función hematológica, pacientes con infección por VIH, VHC o VHB o que sufrieron reacciones adversas tras la primera </w:t>
      </w:r>
      <w:r w:rsidRPr="0021340C">
        <w:rPr>
          <w:rFonts w:ascii="Arial" w:hAnsi="Arial" w:cs="Arial"/>
        </w:rPr>
        <w:t>línea de tratamiento o con afectación del SNC, por tratarse de criterios de exclusión del estudio pivotal.</w:t>
      </w:r>
    </w:p>
    <w:p w:rsidR="00A12C4D" w:rsidRPr="0021340C" w:rsidRDefault="00A12C4D" w:rsidP="005E0F76">
      <w:pPr>
        <w:spacing w:line="360" w:lineRule="auto"/>
        <w:jc w:val="both"/>
        <w:rPr>
          <w:rFonts w:ascii="Arial" w:hAnsi="Arial" w:cs="Arial"/>
        </w:rPr>
      </w:pPr>
      <w:r w:rsidRPr="0021340C">
        <w:rPr>
          <w:rFonts w:ascii="Arial" w:hAnsi="Arial" w:cs="Arial"/>
        </w:rPr>
        <w:t>En la práctica, la demora desde la decisión de tratamiento hasta la infusión del medicamento puede suponer un problema de aplicabilidad al tratarse de pacientes en recaída.</w:t>
      </w:r>
    </w:p>
    <w:p w:rsidR="007D48BC" w:rsidRPr="00BE3C83" w:rsidRDefault="007D48BC" w:rsidP="00BC3E8E">
      <w:pPr>
        <w:pStyle w:val="Textoindependiente3"/>
        <w:pBdr>
          <w:top w:val="single" w:sz="4" w:space="1" w:color="auto"/>
          <w:left w:val="single" w:sz="4" w:space="4" w:color="auto"/>
          <w:bottom w:val="single" w:sz="4" w:space="1" w:color="auto"/>
          <w:right w:val="single" w:sz="4" w:space="4" w:color="auto"/>
        </w:pBdr>
        <w:shd w:val="clear" w:color="auto" w:fill="E6E6E6"/>
        <w:jc w:val="both"/>
        <w:outlineLvl w:val="2"/>
        <w:rPr>
          <w:color w:val="333300"/>
          <w:sz w:val="20"/>
          <w:szCs w:val="20"/>
        </w:rPr>
      </w:pPr>
      <w:bookmarkStart w:id="53" w:name="_Toc344399639"/>
      <w:bookmarkStart w:id="54" w:name="_Toc348931366"/>
      <w:r w:rsidRPr="0021340C">
        <w:rPr>
          <w:color w:val="333300"/>
          <w:sz w:val="20"/>
          <w:szCs w:val="20"/>
        </w:rPr>
        <w:t>C. Relevancia clínica de los resultados</w:t>
      </w:r>
      <w:bookmarkEnd w:id="53"/>
      <w:bookmarkEnd w:id="54"/>
    </w:p>
    <w:p w:rsidR="007D48BC" w:rsidRDefault="007D48BC" w:rsidP="00BC3E8E">
      <w:pPr>
        <w:pStyle w:val="Textoindependiente3"/>
        <w:rPr>
          <w:color w:val="333300"/>
          <w:sz w:val="20"/>
          <w:szCs w:val="20"/>
        </w:rPr>
      </w:pPr>
    </w:p>
    <w:p w:rsidR="007D48BC" w:rsidRPr="002B42BA" w:rsidRDefault="007D48BC" w:rsidP="002B42BA">
      <w:pPr>
        <w:jc w:val="both"/>
        <w:rPr>
          <w:rFonts w:ascii="Arial" w:hAnsi="Arial" w:cs="Arial"/>
        </w:rPr>
      </w:pPr>
    </w:p>
    <w:p w:rsidR="007D48BC" w:rsidRPr="00BE3C83" w:rsidRDefault="007D48BC" w:rsidP="00BC3E8E">
      <w:pPr>
        <w:pStyle w:val="Textoindependiente3"/>
        <w:pBdr>
          <w:top w:val="single" w:sz="4" w:space="1" w:color="auto"/>
          <w:left w:val="single" w:sz="4" w:space="4" w:color="auto"/>
          <w:bottom w:val="single" w:sz="4" w:space="1" w:color="auto"/>
          <w:right w:val="single" w:sz="4" w:space="4" w:color="auto"/>
        </w:pBdr>
        <w:shd w:val="clear" w:color="auto" w:fill="E6E6E6"/>
        <w:outlineLvl w:val="2"/>
        <w:rPr>
          <w:color w:val="333300"/>
          <w:sz w:val="20"/>
          <w:szCs w:val="20"/>
        </w:rPr>
      </w:pPr>
      <w:bookmarkStart w:id="55" w:name="_Toc344399640"/>
      <w:bookmarkStart w:id="56" w:name="_Toc348931367"/>
      <w:r w:rsidRPr="00BE3C83">
        <w:rPr>
          <w:color w:val="333300"/>
          <w:sz w:val="20"/>
          <w:szCs w:val="20"/>
        </w:rPr>
        <w:t xml:space="preserve">C.1 Valorar si la </w:t>
      </w:r>
      <w:r w:rsidRPr="00BE3C83">
        <w:rPr>
          <w:color w:val="333300"/>
          <w:sz w:val="20"/>
          <w:szCs w:val="20"/>
          <w:u w:val="single"/>
        </w:rPr>
        <w:t>magnitud del efecto</w:t>
      </w:r>
      <w:r w:rsidRPr="00BE3C83">
        <w:rPr>
          <w:color w:val="333300"/>
          <w:sz w:val="20"/>
          <w:szCs w:val="20"/>
        </w:rPr>
        <w:t xml:space="preserve"> del tratamiento es de relevancia clínica.</w:t>
      </w:r>
      <w:bookmarkEnd w:id="55"/>
      <w:bookmarkEnd w:id="56"/>
      <w:r w:rsidRPr="00BE3C83">
        <w:rPr>
          <w:color w:val="333300"/>
          <w:sz w:val="20"/>
          <w:szCs w:val="20"/>
        </w:rPr>
        <w:t xml:space="preserve"> </w:t>
      </w:r>
    </w:p>
    <w:p w:rsidR="007D48BC" w:rsidRPr="002B42BA" w:rsidRDefault="007D48BC" w:rsidP="00BC3E8E">
      <w:pPr>
        <w:pStyle w:val="Textoindependiente3"/>
        <w:ind w:left="708"/>
        <w:jc w:val="both"/>
        <w:rPr>
          <w:color w:val="000080"/>
          <w:sz w:val="20"/>
          <w:szCs w:val="20"/>
        </w:rPr>
      </w:pPr>
    </w:p>
    <w:p w:rsidR="007D48BC" w:rsidRDefault="007D48BC" w:rsidP="00C83343">
      <w:pPr>
        <w:spacing w:line="360" w:lineRule="auto"/>
        <w:jc w:val="both"/>
        <w:rPr>
          <w:rFonts w:ascii="Arial" w:hAnsi="Arial" w:cs="Arial"/>
        </w:rPr>
      </w:pPr>
      <w:r>
        <w:rPr>
          <w:rFonts w:ascii="Arial" w:hAnsi="Arial" w:cs="Arial"/>
        </w:rPr>
        <w:t xml:space="preserve">Los resultados del estudio ZUMA-1 fase II muestran un incremento de TRO y mejor perfil de eficacia que el comparador histórico. Según el análisis ITT la TRO fue del 66% con una tasa de respuesta completa del 47% y parcial del 19% según revisores independientes. </w:t>
      </w:r>
      <w:r w:rsidRPr="002B42BA">
        <w:rPr>
          <w:rFonts w:ascii="Arial" w:hAnsi="Arial" w:cs="Arial"/>
        </w:rPr>
        <w:t xml:space="preserve">La revisión de los datos </w:t>
      </w:r>
      <w:r>
        <w:rPr>
          <w:rFonts w:ascii="Arial" w:hAnsi="Arial" w:cs="Arial"/>
        </w:rPr>
        <w:t xml:space="preserve">en el corte de agosto-2017 con el análisis ITT modificado y la valoración por el investigador muestra unos resultados de </w:t>
      </w:r>
      <w:r w:rsidRPr="002B42BA">
        <w:rPr>
          <w:rFonts w:ascii="Arial" w:hAnsi="Arial" w:cs="Arial"/>
        </w:rPr>
        <w:t>83%</w:t>
      </w:r>
      <w:r>
        <w:rPr>
          <w:rFonts w:ascii="Arial" w:hAnsi="Arial" w:cs="Arial"/>
        </w:rPr>
        <w:t xml:space="preserve"> (IC95%:74-90) de TRO</w:t>
      </w:r>
      <w:r w:rsidRPr="002B42BA">
        <w:rPr>
          <w:rFonts w:ascii="Arial" w:hAnsi="Arial" w:cs="Arial"/>
        </w:rPr>
        <w:t xml:space="preserve"> y una respuesta completa del 58% </w:t>
      </w:r>
      <w:r>
        <w:rPr>
          <w:rFonts w:ascii="Arial" w:hAnsi="Arial" w:cs="Arial"/>
        </w:rPr>
        <w:t>con</w:t>
      </w:r>
      <w:r w:rsidRPr="002B42BA">
        <w:rPr>
          <w:rFonts w:ascii="Arial" w:hAnsi="Arial" w:cs="Arial"/>
        </w:rPr>
        <w:t xml:space="preserve"> una mediana de duración de la respuesta de 11 meses</w:t>
      </w:r>
      <w:r>
        <w:rPr>
          <w:rFonts w:ascii="Arial" w:hAnsi="Arial" w:cs="Arial"/>
        </w:rPr>
        <w:t>. Los datos tras la revisión del centro independiente y el análisis por ITT sin modificar son inferiores con un TRO de 66% (IC95%:56-75 aunque el beneficio sigue siendo importante y clínicamente relevante, dado el pronóstico de los pacientes incluidos.</w:t>
      </w:r>
      <w:r w:rsidR="00155E7F">
        <w:rPr>
          <w:rFonts w:ascii="Arial" w:hAnsi="Arial" w:cs="Arial"/>
        </w:rPr>
        <w:t xml:space="preserve"> </w:t>
      </w:r>
    </w:p>
    <w:p w:rsidR="007D48BC" w:rsidRPr="0021340C" w:rsidRDefault="007D48BC" w:rsidP="00C83343">
      <w:pPr>
        <w:spacing w:line="360" w:lineRule="auto"/>
        <w:jc w:val="both"/>
        <w:rPr>
          <w:rFonts w:ascii="Arial" w:hAnsi="Arial" w:cs="Arial"/>
        </w:rPr>
      </w:pPr>
      <w:r w:rsidRPr="000677B6">
        <w:rPr>
          <w:rFonts w:ascii="Arial" w:hAnsi="Arial" w:cs="Arial"/>
        </w:rPr>
        <w:t>El análisis del estudio Scholar-1 incluyó pacientes que no habían respondido a su última línea de tratamiento, o que habían recaído dentro de los 12 meses posteriores a la ASCT. La TRO fue del 26% [IC del 95% (21</w:t>
      </w:r>
      <w:r w:rsidR="00F6366D">
        <w:rPr>
          <w:rFonts w:ascii="Arial" w:hAnsi="Arial" w:cs="Arial"/>
        </w:rPr>
        <w:t>-</w:t>
      </w:r>
      <w:r w:rsidRPr="000677B6">
        <w:rPr>
          <w:rFonts w:ascii="Arial" w:hAnsi="Arial" w:cs="Arial"/>
        </w:rPr>
        <w:t xml:space="preserve"> 31)] y la tasa de RC fue del 7% [IC del 95% (3</w:t>
      </w:r>
      <w:r w:rsidR="00F6366D">
        <w:rPr>
          <w:rFonts w:ascii="Arial" w:hAnsi="Arial" w:cs="Arial"/>
        </w:rPr>
        <w:t xml:space="preserve"> -</w:t>
      </w:r>
      <w:r w:rsidR="00155E7F">
        <w:rPr>
          <w:rFonts w:ascii="Arial" w:hAnsi="Arial" w:cs="Arial"/>
        </w:rPr>
        <w:t xml:space="preserve"> 15)]</w:t>
      </w:r>
      <w:r w:rsidRPr="000677B6">
        <w:rPr>
          <w:rFonts w:ascii="Arial" w:hAnsi="Arial" w:cs="Arial"/>
        </w:rPr>
        <w:t>. La estimación puntual actual del meta</w:t>
      </w:r>
      <w:r w:rsidR="001F62F0">
        <w:rPr>
          <w:rFonts w:ascii="Arial" w:hAnsi="Arial" w:cs="Arial"/>
        </w:rPr>
        <w:t>a</w:t>
      </w:r>
      <w:r w:rsidRPr="000677B6">
        <w:rPr>
          <w:rFonts w:ascii="Arial" w:hAnsi="Arial" w:cs="Arial"/>
        </w:rPr>
        <w:t>nálisis de Scholar-1 para la tasa de respuesta fue del 25,7% (IC del 95%: 20,9%</w:t>
      </w:r>
      <w:r w:rsidR="00F6366D">
        <w:rPr>
          <w:rFonts w:ascii="Arial" w:hAnsi="Arial" w:cs="Arial"/>
        </w:rPr>
        <w:t xml:space="preserve"> -</w:t>
      </w:r>
      <w:r w:rsidRPr="000677B6">
        <w:rPr>
          <w:rFonts w:ascii="Arial" w:hAnsi="Arial" w:cs="Arial"/>
        </w:rPr>
        <w:t xml:space="preserve"> 31,3</w:t>
      </w:r>
      <w:r w:rsidRPr="0021340C">
        <w:rPr>
          <w:rFonts w:ascii="Arial" w:hAnsi="Arial" w:cs="Arial"/>
        </w:rPr>
        <w:t xml:space="preserve">%). En este sentido, se requieren análisis adicionales para mostrar que la TRO en ZUMA-1 también es ("significativamente") más alta que el control histórico refinado basado en la estimación puntual. </w:t>
      </w:r>
    </w:p>
    <w:p w:rsidR="00155E7F" w:rsidRPr="0021340C" w:rsidRDefault="00155E7F" w:rsidP="00C83343">
      <w:pPr>
        <w:spacing w:line="360" w:lineRule="auto"/>
        <w:jc w:val="both"/>
        <w:rPr>
          <w:rFonts w:ascii="Arial" w:hAnsi="Arial" w:cs="Arial"/>
        </w:rPr>
      </w:pPr>
      <w:r w:rsidRPr="0021340C">
        <w:rPr>
          <w:rFonts w:ascii="Arial" w:hAnsi="Arial" w:cs="Arial"/>
        </w:rPr>
        <w:t>La mediana de SG en el análisis actualizado del estudio ZUMA-1 (ITT, N=111) es de 17,4 meses (IC 95% 11,6 – NA) mientras que en el Scholar-1 la mediana de SG fue de 6,3 meses (IC 95% 5,9 – 7,0).</w:t>
      </w:r>
    </w:p>
    <w:p w:rsidR="007D48BC" w:rsidRPr="0021340C" w:rsidRDefault="007D48BC" w:rsidP="00C83343">
      <w:pPr>
        <w:spacing w:line="360" w:lineRule="auto"/>
        <w:jc w:val="both"/>
        <w:rPr>
          <w:rFonts w:ascii="Arial" w:hAnsi="Arial" w:cs="Arial"/>
        </w:rPr>
      </w:pPr>
      <w:r w:rsidRPr="0021340C">
        <w:rPr>
          <w:rFonts w:ascii="Arial" w:hAnsi="Arial" w:cs="Arial"/>
        </w:rPr>
        <w:t>Según se indica en el EPAR, se realizó un nuevo análisis como "peor de los casos", al excluir a los pacientes con</w:t>
      </w:r>
      <w:r w:rsidRPr="000677B6">
        <w:rPr>
          <w:rFonts w:ascii="Arial" w:hAnsi="Arial" w:cs="Arial"/>
        </w:rPr>
        <w:t xml:space="preserve"> ECOG 2-4, a los pacientes con ECOG desconocido y a los pacientes cuya evaluación inicial fue más de 3 meses antes de que se diagnosticara la enfermedad de recaída / refractaria. Con estos pacientes, se realizó una comparación de respuesta (CR + PR), CR y OS comparando SCHOLAR-1 y ZUMA-1. En esta comparación, la diferencia en las tasas de respuesta entre SCHOLAR-1 (subconjunto del "peor caso") y ZUMA-1 (conjunto mITT) fue de 53</w:t>
      </w:r>
      <w:r w:rsidR="00F6366D">
        <w:rPr>
          <w:rFonts w:ascii="Arial" w:hAnsi="Arial" w:cs="Arial"/>
        </w:rPr>
        <w:t>,</w:t>
      </w:r>
      <w:r w:rsidRPr="000677B6">
        <w:rPr>
          <w:rFonts w:ascii="Arial" w:hAnsi="Arial" w:cs="Arial"/>
        </w:rPr>
        <w:t>1% (</w:t>
      </w:r>
      <w:r w:rsidR="001F62F0">
        <w:rPr>
          <w:rFonts w:ascii="Arial" w:hAnsi="Arial" w:cs="Arial"/>
        </w:rPr>
        <w:t xml:space="preserve">IC 95% </w:t>
      </w:r>
      <w:r w:rsidRPr="000677B6">
        <w:rPr>
          <w:rFonts w:ascii="Arial" w:hAnsi="Arial" w:cs="Arial"/>
        </w:rPr>
        <w:t>43</w:t>
      </w:r>
      <w:r w:rsidR="00F6366D">
        <w:rPr>
          <w:rFonts w:ascii="Arial" w:hAnsi="Arial" w:cs="Arial"/>
        </w:rPr>
        <w:t>,</w:t>
      </w:r>
      <w:r w:rsidRPr="000677B6">
        <w:rPr>
          <w:rFonts w:ascii="Arial" w:hAnsi="Arial" w:cs="Arial"/>
        </w:rPr>
        <w:t>6%</w:t>
      </w:r>
      <w:r w:rsidR="00F6366D">
        <w:rPr>
          <w:rFonts w:ascii="Arial" w:hAnsi="Arial" w:cs="Arial"/>
        </w:rPr>
        <w:t xml:space="preserve"> -</w:t>
      </w:r>
      <w:r w:rsidRPr="000677B6">
        <w:rPr>
          <w:rFonts w:ascii="Arial" w:hAnsi="Arial" w:cs="Arial"/>
        </w:rPr>
        <w:t xml:space="preserve"> 62</w:t>
      </w:r>
      <w:r w:rsidR="00F6366D">
        <w:rPr>
          <w:rFonts w:ascii="Arial" w:hAnsi="Arial" w:cs="Arial"/>
        </w:rPr>
        <w:t>,</w:t>
      </w:r>
      <w:r w:rsidRPr="000677B6">
        <w:rPr>
          <w:rFonts w:ascii="Arial" w:hAnsi="Arial" w:cs="Arial"/>
        </w:rPr>
        <w:t>5%), la diferencia en las tasas de RC fue de 46</w:t>
      </w:r>
      <w:r w:rsidR="00F6366D">
        <w:rPr>
          <w:rFonts w:ascii="Arial" w:hAnsi="Arial" w:cs="Arial"/>
        </w:rPr>
        <w:t>,</w:t>
      </w:r>
      <w:r w:rsidRPr="000677B6">
        <w:rPr>
          <w:rFonts w:ascii="Arial" w:hAnsi="Arial" w:cs="Arial"/>
        </w:rPr>
        <w:t>9% (</w:t>
      </w:r>
      <w:r w:rsidR="001F62F0">
        <w:rPr>
          <w:rFonts w:ascii="Arial" w:hAnsi="Arial" w:cs="Arial"/>
        </w:rPr>
        <w:t xml:space="preserve">IC 95% </w:t>
      </w:r>
      <w:r w:rsidRPr="000677B6">
        <w:rPr>
          <w:rFonts w:ascii="Arial" w:hAnsi="Arial" w:cs="Arial"/>
        </w:rPr>
        <w:t>36</w:t>
      </w:r>
      <w:r w:rsidR="00F6366D">
        <w:rPr>
          <w:rFonts w:ascii="Arial" w:hAnsi="Arial" w:cs="Arial"/>
        </w:rPr>
        <w:t>,</w:t>
      </w:r>
      <w:r w:rsidRPr="000677B6">
        <w:rPr>
          <w:rFonts w:ascii="Arial" w:hAnsi="Arial" w:cs="Arial"/>
        </w:rPr>
        <w:t>4%</w:t>
      </w:r>
      <w:r w:rsidR="00F6366D">
        <w:rPr>
          <w:rFonts w:ascii="Arial" w:hAnsi="Arial" w:cs="Arial"/>
        </w:rPr>
        <w:t xml:space="preserve"> -</w:t>
      </w:r>
      <w:r w:rsidRPr="000677B6">
        <w:rPr>
          <w:rFonts w:ascii="Arial" w:hAnsi="Arial" w:cs="Arial"/>
        </w:rPr>
        <w:t xml:space="preserve"> 57</w:t>
      </w:r>
      <w:r w:rsidR="00F6366D">
        <w:rPr>
          <w:rFonts w:ascii="Arial" w:hAnsi="Arial" w:cs="Arial"/>
        </w:rPr>
        <w:t>,</w:t>
      </w:r>
      <w:r w:rsidRPr="000677B6">
        <w:rPr>
          <w:rFonts w:ascii="Arial" w:hAnsi="Arial" w:cs="Arial"/>
        </w:rPr>
        <w:t>4%), y el índice de riesgo para la reducción del riesgo de muerte para los sujetos en el estudio ZUMA-1 fue 0</w:t>
      </w:r>
      <w:r w:rsidR="00F6366D">
        <w:rPr>
          <w:rFonts w:ascii="Arial" w:hAnsi="Arial" w:cs="Arial"/>
        </w:rPr>
        <w:t>,</w:t>
      </w:r>
      <w:r w:rsidRPr="000677B6">
        <w:rPr>
          <w:rFonts w:ascii="Arial" w:hAnsi="Arial" w:cs="Arial"/>
        </w:rPr>
        <w:t>4 (</w:t>
      </w:r>
      <w:r w:rsidR="00EC31D6">
        <w:rPr>
          <w:rFonts w:ascii="Arial" w:hAnsi="Arial" w:cs="Arial"/>
        </w:rPr>
        <w:t xml:space="preserve">IC 95% </w:t>
      </w:r>
      <w:r w:rsidRPr="000677B6">
        <w:rPr>
          <w:rFonts w:ascii="Arial" w:hAnsi="Arial" w:cs="Arial"/>
        </w:rPr>
        <w:t>0</w:t>
      </w:r>
      <w:r w:rsidR="00F6366D">
        <w:rPr>
          <w:rFonts w:ascii="Arial" w:hAnsi="Arial" w:cs="Arial"/>
        </w:rPr>
        <w:t>,</w:t>
      </w:r>
      <w:r w:rsidRPr="000677B6">
        <w:rPr>
          <w:rFonts w:ascii="Arial" w:hAnsi="Arial" w:cs="Arial"/>
        </w:rPr>
        <w:t>29</w:t>
      </w:r>
      <w:r w:rsidR="00F6366D">
        <w:rPr>
          <w:rFonts w:ascii="Arial" w:hAnsi="Arial" w:cs="Arial"/>
        </w:rPr>
        <w:t xml:space="preserve"> -</w:t>
      </w:r>
      <w:r w:rsidRPr="000677B6">
        <w:rPr>
          <w:rFonts w:ascii="Arial" w:hAnsi="Arial" w:cs="Arial"/>
        </w:rPr>
        <w:t xml:space="preserve"> 0</w:t>
      </w:r>
      <w:r w:rsidR="00F6366D">
        <w:rPr>
          <w:rFonts w:ascii="Arial" w:hAnsi="Arial" w:cs="Arial"/>
        </w:rPr>
        <w:t>,</w:t>
      </w:r>
      <w:r w:rsidRPr="000677B6">
        <w:rPr>
          <w:rFonts w:ascii="Arial" w:hAnsi="Arial" w:cs="Arial"/>
        </w:rPr>
        <w:t>56). Revi</w:t>
      </w:r>
      <w:r>
        <w:rPr>
          <w:rFonts w:ascii="Arial" w:hAnsi="Arial" w:cs="Arial"/>
        </w:rPr>
        <w:t>s</w:t>
      </w:r>
      <w:r w:rsidRPr="000677B6">
        <w:rPr>
          <w:rFonts w:ascii="Arial" w:hAnsi="Arial" w:cs="Arial"/>
        </w:rPr>
        <w:t>ando el análisis ITT y la revisión central, la diferencia para ORR entre Schola</w:t>
      </w:r>
      <w:r w:rsidR="00F6366D">
        <w:rPr>
          <w:rFonts w:ascii="Arial" w:hAnsi="Arial" w:cs="Arial"/>
        </w:rPr>
        <w:t>r-1 (30,</w:t>
      </w:r>
      <w:r w:rsidRPr="000677B6">
        <w:rPr>
          <w:rFonts w:ascii="Arial" w:hAnsi="Arial" w:cs="Arial"/>
        </w:rPr>
        <w:t>1%) y ZUMA-1 fase 2 (66%) fue de 35</w:t>
      </w:r>
      <w:r w:rsidR="00F6366D">
        <w:rPr>
          <w:rFonts w:ascii="Arial" w:hAnsi="Arial" w:cs="Arial"/>
        </w:rPr>
        <w:t>,</w:t>
      </w:r>
      <w:r w:rsidRPr="000677B6">
        <w:rPr>
          <w:rFonts w:ascii="Arial" w:hAnsi="Arial" w:cs="Arial"/>
        </w:rPr>
        <w:t>9% y para RC entre Scholar-1 (11</w:t>
      </w:r>
      <w:r w:rsidR="00F6366D">
        <w:rPr>
          <w:rFonts w:ascii="Arial" w:hAnsi="Arial" w:cs="Arial"/>
        </w:rPr>
        <w:t>,</w:t>
      </w:r>
      <w:r w:rsidRPr="000677B6">
        <w:rPr>
          <w:rFonts w:ascii="Arial" w:hAnsi="Arial" w:cs="Arial"/>
        </w:rPr>
        <w:t>5%) y ZUMA-1 fase 2 (47%) 35</w:t>
      </w:r>
      <w:r w:rsidR="00F6366D">
        <w:rPr>
          <w:rFonts w:ascii="Arial" w:hAnsi="Arial" w:cs="Arial"/>
        </w:rPr>
        <w:t>,</w:t>
      </w:r>
      <w:r w:rsidRPr="000677B6">
        <w:rPr>
          <w:rFonts w:ascii="Arial" w:hAnsi="Arial" w:cs="Arial"/>
        </w:rPr>
        <w:t xml:space="preserve">5%. Estos valores son más bajos que los proporcionados por el solicitante, pero sin embargo </w:t>
      </w:r>
      <w:r w:rsidRPr="0021340C">
        <w:rPr>
          <w:rFonts w:ascii="Arial" w:hAnsi="Arial" w:cs="Arial"/>
        </w:rPr>
        <w:t>indican un efecto de tratamiento superior para axicabtagen ciloleucel.</w:t>
      </w:r>
    </w:p>
    <w:p w:rsidR="007D48BC" w:rsidRPr="0021340C" w:rsidRDefault="007D48BC" w:rsidP="00C83343">
      <w:pPr>
        <w:spacing w:line="360" w:lineRule="auto"/>
        <w:jc w:val="both"/>
        <w:rPr>
          <w:rFonts w:ascii="Arial" w:hAnsi="Arial" w:cs="Arial"/>
        </w:rPr>
      </w:pPr>
      <w:r w:rsidRPr="0021340C">
        <w:rPr>
          <w:rFonts w:ascii="Arial" w:hAnsi="Arial" w:cs="Arial"/>
        </w:rPr>
        <w:t>La evidencia disponible, procedente de estudios no comparativos, impide determinar la magnitud del efecto de axicabtagen ciloleucel respecto a sus comparadores.</w:t>
      </w:r>
    </w:p>
    <w:p w:rsidR="00B34C6A" w:rsidRPr="0021340C" w:rsidRDefault="00D3230C" w:rsidP="00C83343">
      <w:pPr>
        <w:spacing w:line="360" w:lineRule="auto"/>
        <w:jc w:val="both"/>
        <w:rPr>
          <w:rFonts w:ascii="Arial" w:hAnsi="Arial" w:cs="Arial"/>
        </w:rPr>
      </w:pPr>
      <w:r w:rsidRPr="0021340C">
        <w:rPr>
          <w:rFonts w:ascii="Arial" w:hAnsi="Arial" w:cs="Arial"/>
        </w:rPr>
        <w:t>Recientemente se ha autorizado tisagenlecleucel para la misma indicación, en base al estudio C2201, un ensayo clínico fase II, abierto, de un solo brazo, multicéntrico, en pacientes adultos con LDCGB R/R que habían recibido al menos 2 líneas de tratamiento previo y habían fracasado a autoTPH o bien no eran candidatos: los pacientes debían presentar ECOG 0-1, y reserva adecuada de médula ósea. Se excluyeron pacientes con linfoma primario mediastínico, los que tenían transformación de Richter (es decir, a partir de leucemia linfocítica crónica), los que habían recibido blinatumomab, los que habían recaído tras aloTPH, pacientes con hepatitis B activa o latente o C activa, con test positivo de VIH, así como el uso de determinados medicamentos (profilaxis de enfermedad del SNC o inmunosupresores entre otros) según el caso. El estudio permitió la administración de quimioterapia en aquellos casos en que fuera necesaria para la estabilización de la enfermedad del paciente durante el proceso de producció</w:t>
      </w:r>
      <w:r w:rsidR="00B34C6A" w:rsidRPr="0021340C">
        <w:rPr>
          <w:rFonts w:ascii="Arial" w:hAnsi="Arial" w:cs="Arial"/>
        </w:rPr>
        <w:t>n del producto (terapia puente)</w:t>
      </w:r>
      <w:r w:rsidRPr="0021340C">
        <w:rPr>
          <w:rFonts w:ascii="Arial" w:hAnsi="Arial" w:cs="Arial"/>
        </w:rPr>
        <w:t>. Se incluyeron 147 pacientes, aunque solo recibieron tisagenlecleucel 99 de ellos (6</w:t>
      </w:r>
      <w:r w:rsidR="00B34C6A" w:rsidRPr="0021340C">
        <w:rPr>
          <w:rFonts w:ascii="Arial" w:hAnsi="Arial" w:cs="Arial"/>
        </w:rPr>
        <w:t>7% de los pacientes reclutados)</w:t>
      </w:r>
      <w:r w:rsidRPr="0021340C">
        <w:rPr>
          <w:rFonts w:ascii="Arial" w:hAnsi="Arial" w:cs="Arial"/>
        </w:rPr>
        <w:t xml:space="preserve">. Se infundieron 36 mujeres y 63 varones, y la mediana de edad era de 56 años (rango: 22-76). La mayoría de los pacientes (75,7%) eran R/R a 2 ó 3 tratamientos previos (rango: 1-6), incluyendo autoTPH en 47 (48,5%) y el 77% de los pacientes estaban en estadio III-IV al entrar en el estudio. </w:t>
      </w:r>
      <w:r w:rsidR="00B34C6A" w:rsidRPr="0021340C">
        <w:rPr>
          <w:rFonts w:ascii="Arial" w:hAnsi="Arial" w:cs="Arial"/>
        </w:rPr>
        <w:t>Tisagenlecleucel consiguió una TRO del 34% y la mediana de SG fue de 8 meses en los pacientes incluidos en el estudio (infundidos y no infundidos). Los resultados obtenidos sólo en los pacientes infundidos alcanzan TRO del 52% y mediana de SG de 13 meses. Sin embargo, los datos más relevantes se consideran aquellos que reflejan la población incluida en el estudio con el fin de evitar un posible sesgo en la selección de los pacientes. En este sentido, un problema del uso de tisagenlecleucel en LDCGB fue el tiempo de preparación de las células, que provocó que 43 (29%) pacientes (50 (30%) en una actualización posterior) no recibieran el producto.</w:t>
      </w:r>
    </w:p>
    <w:p w:rsidR="00006326" w:rsidRPr="0021340C" w:rsidRDefault="00006326" w:rsidP="00C83343">
      <w:pPr>
        <w:spacing w:line="360" w:lineRule="auto"/>
        <w:jc w:val="both"/>
        <w:rPr>
          <w:rFonts w:ascii="Arial" w:hAnsi="Arial" w:cs="Arial"/>
        </w:rPr>
      </w:pPr>
      <w:r w:rsidRPr="0021340C">
        <w:rPr>
          <w:rFonts w:ascii="Arial" w:hAnsi="Arial" w:cs="Arial"/>
        </w:rPr>
        <w:t>Otras alternativas de tratamiento disponibles desde hace más tiempo son:</w:t>
      </w:r>
    </w:p>
    <w:p w:rsidR="00006326" w:rsidRPr="0021340C" w:rsidRDefault="00006326" w:rsidP="00006326">
      <w:pPr>
        <w:pStyle w:val="Prrafodelista"/>
        <w:numPr>
          <w:ilvl w:val="0"/>
          <w:numId w:val="35"/>
        </w:numPr>
        <w:spacing w:line="360" w:lineRule="auto"/>
        <w:jc w:val="both"/>
        <w:rPr>
          <w:rFonts w:ascii="Arial" w:hAnsi="Arial" w:cs="Arial"/>
        </w:rPr>
      </w:pPr>
      <w:r w:rsidRPr="0021340C">
        <w:rPr>
          <w:rFonts w:ascii="Arial" w:hAnsi="Arial" w:cs="Arial"/>
        </w:rPr>
        <w:t>Pixantrona, que en su ensayo pivotal</w:t>
      </w:r>
      <w:r w:rsidR="006220EF" w:rsidRPr="0021340C">
        <w:rPr>
          <w:rFonts w:ascii="Arial" w:hAnsi="Arial" w:cs="Arial"/>
          <w:vertAlign w:val="superscript"/>
        </w:rPr>
        <w:t>28</w:t>
      </w:r>
      <w:r w:rsidRPr="0021340C">
        <w:rPr>
          <w:rFonts w:ascii="Arial" w:hAnsi="Arial" w:cs="Arial"/>
        </w:rPr>
        <w:t xml:space="preserve"> </w:t>
      </w:r>
      <w:r w:rsidR="006220EF" w:rsidRPr="0021340C">
        <w:rPr>
          <w:rFonts w:ascii="Arial" w:hAnsi="Arial" w:cs="Arial"/>
        </w:rPr>
        <w:t>demuestra una tasa de respuesta del 20% (IC95% 11,4-31,3%), una mediana de SLP de 5,3 meses y una mediana de SG de 9,6 meses</w:t>
      </w:r>
    </w:p>
    <w:p w:rsidR="006220EF" w:rsidRPr="0021340C" w:rsidRDefault="006220EF" w:rsidP="00006326">
      <w:pPr>
        <w:pStyle w:val="Prrafodelista"/>
        <w:numPr>
          <w:ilvl w:val="0"/>
          <w:numId w:val="35"/>
        </w:numPr>
        <w:spacing w:line="360" w:lineRule="auto"/>
        <w:jc w:val="both"/>
        <w:rPr>
          <w:rFonts w:ascii="Arial" w:hAnsi="Arial" w:cs="Arial"/>
        </w:rPr>
      </w:pPr>
      <w:r w:rsidRPr="0021340C">
        <w:rPr>
          <w:rFonts w:ascii="Arial" w:hAnsi="Arial" w:cs="Arial"/>
        </w:rPr>
        <w:t>R-GEMOX en su ensayo principal</w:t>
      </w:r>
      <w:r w:rsidRPr="0021340C">
        <w:rPr>
          <w:rFonts w:ascii="Arial" w:hAnsi="Arial" w:cs="Arial"/>
          <w:vertAlign w:val="superscript"/>
        </w:rPr>
        <w:t>29</w:t>
      </w:r>
      <w:r w:rsidRPr="0021340C">
        <w:rPr>
          <w:rFonts w:ascii="Arial" w:hAnsi="Arial" w:cs="Arial"/>
        </w:rPr>
        <w:t xml:space="preserve"> demuestra una tasa de respuesta del 61% (IC95% 45-74%), con una mediana de SG de 5 meses y una mediana de SG de 11 meses.</w:t>
      </w:r>
    </w:p>
    <w:p w:rsidR="00B34C6A" w:rsidRPr="0021340C" w:rsidRDefault="00B34C6A" w:rsidP="00C83343">
      <w:pPr>
        <w:spacing w:line="360" w:lineRule="auto"/>
        <w:jc w:val="both"/>
        <w:rPr>
          <w:rFonts w:ascii="Arial" w:hAnsi="Arial" w:cs="Arial"/>
        </w:rPr>
      </w:pPr>
    </w:p>
    <w:p w:rsidR="007D48BC" w:rsidRDefault="007D48BC" w:rsidP="00C83343">
      <w:pPr>
        <w:spacing w:line="360" w:lineRule="auto"/>
        <w:jc w:val="both"/>
        <w:rPr>
          <w:rFonts w:ascii="Arial" w:hAnsi="Arial" w:cs="Arial"/>
        </w:rPr>
      </w:pPr>
      <w:r w:rsidRPr="0021340C">
        <w:rPr>
          <w:rFonts w:ascii="Arial" w:hAnsi="Arial" w:cs="Arial"/>
        </w:rPr>
        <w:t>No se ha valorado la repercusión del tratamiento en la calidad de vida en el estudio ZUMA-1 fase II, aunque s</w:t>
      </w:r>
      <w:r w:rsidR="005833CD" w:rsidRPr="0021340C">
        <w:rPr>
          <w:rFonts w:ascii="Arial" w:hAnsi="Arial" w:cs="Arial"/>
        </w:rPr>
        <w:t>í</w:t>
      </w:r>
      <w:r w:rsidRPr="0021340C">
        <w:rPr>
          <w:rFonts w:ascii="Arial" w:hAnsi="Arial" w:cs="Arial"/>
        </w:rPr>
        <w:t xml:space="preserve"> se están llevando a cabo en otros estudios que incluyen esta evaluación como en la cohorte 3 del ZUMA-1 o en el estudio fase 3 (ZUMA-7 NCT03391466</w:t>
      </w:r>
      <w:r w:rsidR="005E1EB6" w:rsidRPr="0021340C">
        <w:rPr>
          <w:rFonts w:ascii="Arial" w:hAnsi="Arial" w:cs="Arial"/>
        </w:rPr>
        <w:t>, en primera línea</w:t>
      </w:r>
      <w:r w:rsidRPr="0021340C">
        <w:rPr>
          <w:rFonts w:ascii="Arial" w:hAnsi="Arial" w:cs="Arial"/>
        </w:rPr>
        <w:t>).</w:t>
      </w:r>
    </w:p>
    <w:p w:rsidR="007D48BC" w:rsidRPr="000551AC" w:rsidRDefault="007D48BC" w:rsidP="00C83343">
      <w:pPr>
        <w:spacing w:line="360" w:lineRule="auto"/>
        <w:jc w:val="both"/>
        <w:rPr>
          <w:rFonts w:ascii="Arial" w:hAnsi="Arial" w:cs="Arial"/>
        </w:rPr>
      </w:pPr>
      <w:r w:rsidRPr="000551AC">
        <w:rPr>
          <w:rFonts w:ascii="Arial" w:hAnsi="Arial" w:cs="Arial"/>
        </w:rPr>
        <w:t xml:space="preserve">El estudio fase 3 </w:t>
      </w:r>
      <w:r>
        <w:rPr>
          <w:rFonts w:ascii="Arial" w:hAnsi="Arial" w:cs="Arial"/>
        </w:rPr>
        <w:t xml:space="preserve">aleatorizado </w:t>
      </w:r>
      <w:r w:rsidRPr="000551AC">
        <w:rPr>
          <w:rFonts w:ascii="Arial" w:hAnsi="Arial" w:cs="Arial"/>
        </w:rPr>
        <w:t>compara axicabtagen ciloleucel</w:t>
      </w:r>
      <w:r>
        <w:rPr>
          <w:rFonts w:ascii="Arial" w:hAnsi="Arial" w:cs="Arial"/>
        </w:rPr>
        <w:t xml:space="preserve"> con la práctica clínica habitual en </w:t>
      </w:r>
      <w:r w:rsidR="008258E3">
        <w:rPr>
          <w:rFonts w:ascii="Arial" w:hAnsi="Arial" w:cs="Arial"/>
        </w:rPr>
        <w:t>LDCBG</w:t>
      </w:r>
      <w:r>
        <w:rPr>
          <w:rFonts w:ascii="Arial" w:hAnsi="Arial" w:cs="Arial"/>
        </w:rPr>
        <w:t xml:space="preserve"> e incluirá valoración de la calidad de vida de los pacientes. Actualmente el ensayo está en fase de reclutamiento y no se esperan resultados hasta 2022. </w:t>
      </w:r>
    </w:p>
    <w:p w:rsidR="007D48BC" w:rsidRPr="00BE3C83" w:rsidRDefault="007D48BC" w:rsidP="00BC3E8E">
      <w:pPr>
        <w:pStyle w:val="Textoindependiente3"/>
        <w:pBdr>
          <w:top w:val="single" w:sz="4" w:space="1" w:color="auto"/>
          <w:left w:val="single" w:sz="4" w:space="4" w:color="auto"/>
          <w:bottom w:val="single" w:sz="4" w:space="1" w:color="auto"/>
          <w:right w:val="single" w:sz="4" w:space="4" w:color="auto"/>
        </w:pBdr>
        <w:shd w:val="clear" w:color="auto" w:fill="E6E6E6"/>
        <w:outlineLvl w:val="2"/>
        <w:rPr>
          <w:sz w:val="20"/>
          <w:szCs w:val="20"/>
        </w:rPr>
      </w:pPr>
      <w:bookmarkStart w:id="57" w:name="_Toc344399641"/>
      <w:bookmarkStart w:id="58" w:name="_Toc348931368"/>
      <w:r w:rsidRPr="00BE3C83">
        <w:rPr>
          <w:sz w:val="20"/>
          <w:szCs w:val="20"/>
        </w:rPr>
        <w:t>C.2 La evidencia de equivalencia terapéutica.</w:t>
      </w:r>
      <w:bookmarkEnd w:id="57"/>
      <w:bookmarkEnd w:id="58"/>
      <w:r w:rsidRPr="00BE3C83">
        <w:rPr>
          <w:sz w:val="20"/>
          <w:szCs w:val="20"/>
        </w:rPr>
        <w:t xml:space="preserve"> </w:t>
      </w:r>
    </w:p>
    <w:p w:rsidR="007D48BC" w:rsidRDefault="007D48BC" w:rsidP="00BC3E8E">
      <w:pPr>
        <w:pStyle w:val="Textoindependiente3"/>
        <w:ind w:left="708"/>
        <w:jc w:val="both"/>
        <w:rPr>
          <w:color w:val="000080"/>
          <w:sz w:val="20"/>
          <w:szCs w:val="20"/>
          <w:lang w:val="es-ES_tradnl"/>
        </w:rPr>
      </w:pPr>
    </w:p>
    <w:p w:rsidR="007D48BC" w:rsidRPr="005E0F76" w:rsidRDefault="007D48BC" w:rsidP="005E0F76">
      <w:pPr>
        <w:autoSpaceDE w:val="0"/>
        <w:autoSpaceDN w:val="0"/>
        <w:adjustRightInd w:val="0"/>
        <w:jc w:val="both"/>
        <w:rPr>
          <w:color w:val="000080"/>
        </w:rPr>
      </w:pPr>
      <w:r w:rsidRPr="00BE0BE0">
        <w:rPr>
          <w:rFonts w:ascii="Arial" w:hAnsi="Arial" w:cs="Arial"/>
        </w:rPr>
        <w:t>Actualmente no existen estudios de equivalencia publicados.</w:t>
      </w:r>
    </w:p>
    <w:p w:rsidR="007D48BC" w:rsidRPr="006F6ABB" w:rsidRDefault="007D48BC" w:rsidP="00BC3E8E">
      <w:pPr>
        <w:jc w:val="both"/>
        <w:rPr>
          <w:rFonts w:ascii="Arial" w:hAnsi="Arial" w:cs="Arial"/>
        </w:rPr>
      </w:pPr>
    </w:p>
    <w:p w:rsidR="007D48BC" w:rsidRPr="006F6ABB" w:rsidRDefault="007D48BC" w:rsidP="00BC3E8E">
      <w:pPr>
        <w:pStyle w:val="Ttulo2"/>
        <w:pBdr>
          <w:top w:val="single" w:sz="4" w:space="1" w:color="auto"/>
          <w:left w:val="single" w:sz="4" w:space="4" w:color="auto"/>
          <w:bottom w:val="single" w:sz="4" w:space="1" w:color="auto"/>
          <w:right w:val="single" w:sz="4" w:space="4" w:color="auto"/>
        </w:pBdr>
        <w:shd w:val="clear" w:color="auto" w:fill="D9D9D9"/>
        <w:rPr>
          <w:sz w:val="20"/>
          <w:szCs w:val="20"/>
        </w:rPr>
      </w:pPr>
      <w:bookmarkStart w:id="59" w:name="_Toc344399644"/>
      <w:bookmarkStart w:id="60" w:name="_Toc348931371"/>
      <w:r w:rsidRPr="00E3472F">
        <w:rPr>
          <w:sz w:val="20"/>
          <w:szCs w:val="20"/>
        </w:rPr>
        <w:t>5.3 Revisiones sistemáticas publicadas, comparaciones indirectas y sus conclusiones</w:t>
      </w:r>
      <w:bookmarkEnd w:id="59"/>
      <w:bookmarkEnd w:id="60"/>
      <w:r w:rsidR="00FE59AC">
        <w:rPr>
          <w:sz w:val="20"/>
          <w:szCs w:val="20"/>
        </w:rPr>
        <w:fldChar w:fldCharType="begin"/>
      </w:r>
      <w:r>
        <w:instrText>xe "</w:instrText>
      </w:r>
      <w:r w:rsidRPr="002C63C0">
        <w:rPr>
          <w:sz w:val="20"/>
          <w:szCs w:val="20"/>
        </w:rPr>
        <w:instrText>5.3 Revisiones sistemáticas publicadas, comparaciones indirectas y sus conclusiones</w:instrText>
      </w:r>
      <w:r>
        <w:instrText>"</w:instrText>
      </w:r>
      <w:r w:rsidR="00FE59AC">
        <w:rPr>
          <w:sz w:val="20"/>
          <w:szCs w:val="20"/>
        </w:rPr>
        <w:fldChar w:fldCharType="end"/>
      </w:r>
      <w:r w:rsidRPr="006F6ABB">
        <w:rPr>
          <w:sz w:val="20"/>
          <w:szCs w:val="20"/>
        </w:rPr>
        <w:t xml:space="preserve"> </w:t>
      </w:r>
    </w:p>
    <w:p w:rsidR="007D48BC" w:rsidRDefault="007D48BC" w:rsidP="00BC3E8E">
      <w:pPr>
        <w:jc w:val="both"/>
        <w:rPr>
          <w:rFonts w:ascii="Arial" w:hAnsi="Arial" w:cs="Arial"/>
          <w:color w:val="000080"/>
        </w:rPr>
      </w:pPr>
    </w:p>
    <w:p w:rsidR="007D48BC" w:rsidRPr="005E0F76" w:rsidRDefault="007D48BC" w:rsidP="00C83343">
      <w:pPr>
        <w:spacing w:line="360" w:lineRule="auto"/>
        <w:jc w:val="both"/>
      </w:pPr>
      <w:r>
        <w:rPr>
          <w:rFonts w:ascii="Arial" w:hAnsi="Arial" w:cs="Arial"/>
        </w:rPr>
        <w:t xml:space="preserve">No se han identificado revisiones sistemáticas sobre la eficacia de </w:t>
      </w:r>
      <w:r w:rsidRPr="00AE4744">
        <w:rPr>
          <w:rFonts w:ascii="Arial" w:hAnsi="Arial" w:cs="Arial"/>
        </w:rPr>
        <w:t>axicabtagen ciloleucel</w:t>
      </w:r>
      <w:r w:rsidR="00B35EB1">
        <w:rPr>
          <w:rFonts w:ascii="Arial" w:hAnsi="Arial" w:cs="Arial"/>
        </w:rPr>
        <w:t xml:space="preserve"> en el tratamiento </w:t>
      </w:r>
      <w:r>
        <w:rPr>
          <w:rFonts w:ascii="Arial" w:hAnsi="Arial" w:cs="Arial"/>
        </w:rPr>
        <w:t xml:space="preserve">de pacientes con Linfoma difuso de Células B grandes refractario o en recaída. </w:t>
      </w:r>
    </w:p>
    <w:p w:rsidR="007D48BC" w:rsidRDefault="007D48BC" w:rsidP="00C83343">
      <w:pPr>
        <w:spacing w:line="360" w:lineRule="auto"/>
        <w:jc w:val="both"/>
        <w:rPr>
          <w:rFonts w:ascii="Arial" w:hAnsi="Arial" w:cs="Arial"/>
        </w:rPr>
      </w:pPr>
      <w:r>
        <w:rPr>
          <w:rFonts w:ascii="Arial" w:hAnsi="Arial" w:cs="Arial"/>
        </w:rPr>
        <w:t xml:space="preserve">Tampoco se han identificado comparaciones indirectas ajustadas entre </w:t>
      </w:r>
      <w:r w:rsidRPr="00AE4744">
        <w:rPr>
          <w:rFonts w:ascii="Arial" w:hAnsi="Arial" w:cs="Arial"/>
        </w:rPr>
        <w:t>axicabtagen ciloleucel</w:t>
      </w:r>
      <w:r>
        <w:rPr>
          <w:rFonts w:ascii="Arial" w:hAnsi="Arial" w:cs="Arial"/>
        </w:rPr>
        <w:t xml:space="preserve"> y sus comparadores.</w:t>
      </w:r>
    </w:p>
    <w:p w:rsidR="007D48BC" w:rsidRDefault="007D48BC" w:rsidP="00C83343">
      <w:pPr>
        <w:spacing w:line="360" w:lineRule="auto"/>
        <w:jc w:val="both"/>
        <w:rPr>
          <w:rFonts w:ascii="Arial" w:hAnsi="Arial" w:cs="Arial"/>
        </w:rPr>
      </w:pPr>
      <w:r>
        <w:rPr>
          <w:rFonts w:ascii="Arial" w:hAnsi="Arial" w:cs="Arial"/>
        </w:rPr>
        <w:t xml:space="preserve">Disponemos de </w:t>
      </w:r>
      <w:r w:rsidRPr="000B7D1B">
        <w:rPr>
          <w:rFonts w:ascii="Arial" w:hAnsi="Arial" w:cs="Arial"/>
        </w:rPr>
        <w:t xml:space="preserve">los resultados del estudio fase II (C2201) de </w:t>
      </w:r>
      <w:r>
        <w:rPr>
          <w:rFonts w:ascii="Arial" w:hAnsi="Arial" w:cs="Arial"/>
        </w:rPr>
        <w:t>tisagenlecleucel</w:t>
      </w:r>
      <w:r w:rsidRPr="000B7D1B">
        <w:rPr>
          <w:rFonts w:ascii="Arial" w:hAnsi="Arial" w:cs="Arial"/>
        </w:rPr>
        <w:t xml:space="preserve"> en pacientes adultos con </w:t>
      </w:r>
      <w:r w:rsidR="008258E3">
        <w:rPr>
          <w:rFonts w:ascii="Arial" w:hAnsi="Arial" w:cs="Arial"/>
        </w:rPr>
        <w:t>LDCBG</w:t>
      </w:r>
      <w:r>
        <w:rPr>
          <w:rFonts w:ascii="Arial" w:hAnsi="Arial" w:cs="Arial"/>
        </w:rPr>
        <w:t xml:space="preserve">. Este estudio es multicéntrico, abierto de un solo brazo comparado con tres cohortes históricas incluidas la del estudio Scholar-1. No es posible realizar la comparación indirecta al no disponer del mismo comparador. </w:t>
      </w:r>
      <w:r w:rsidR="00D80EE6">
        <w:rPr>
          <w:rFonts w:ascii="Arial" w:hAnsi="Arial" w:cs="Arial"/>
        </w:rPr>
        <w:t>Además,</w:t>
      </w:r>
      <w:r>
        <w:rPr>
          <w:rFonts w:ascii="Arial" w:hAnsi="Arial" w:cs="Arial"/>
        </w:rPr>
        <w:t xml:space="preserve"> cada estudio ha empleado una versión de los criterios diagnósticos diferente.</w:t>
      </w:r>
    </w:p>
    <w:p w:rsidR="007D48BC" w:rsidRPr="006F6ABB" w:rsidRDefault="007D48BC" w:rsidP="001E40D7">
      <w:pPr>
        <w:rPr>
          <w:rFonts w:ascii="Arial" w:hAnsi="Arial" w:cs="Arial"/>
          <w:b/>
          <w:bCs/>
          <w:color w:val="FF0000"/>
        </w:rPr>
      </w:pPr>
    </w:p>
    <w:p w:rsidR="007D48BC" w:rsidRPr="00B35A86" w:rsidRDefault="007D48BC" w:rsidP="001E40D7">
      <w:pPr>
        <w:pStyle w:val="Ttulo2"/>
        <w:pBdr>
          <w:top w:val="single" w:sz="4" w:space="1" w:color="auto"/>
          <w:left w:val="single" w:sz="4" w:space="4" w:color="auto"/>
          <w:bottom w:val="single" w:sz="4" w:space="1" w:color="auto"/>
          <w:right w:val="single" w:sz="4" w:space="4" w:color="auto"/>
        </w:pBdr>
        <w:shd w:val="clear" w:color="auto" w:fill="D9D9D9"/>
        <w:rPr>
          <w:sz w:val="20"/>
          <w:szCs w:val="20"/>
        </w:rPr>
      </w:pPr>
      <w:bookmarkStart w:id="61" w:name="_Toc344399648"/>
      <w:bookmarkStart w:id="62" w:name="_Toc348931375"/>
      <w:r w:rsidRPr="00B35A86">
        <w:rPr>
          <w:sz w:val="20"/>
          <w:szCs w:val="20"/>
        </w:rPr>
        <w:t>5.3.b.2 Comparaciones indirectas de elaboración propia</w:t>
      </w:r>
      <w:bookmarkEnd w:id="61"/>
      <w:bookmarkEnd w:id="62"/>
    </w:p>
    <w:p w:rsidR="007D48BC" w:rsidRPr="00112B38" w:rsidRDefault="007D48BC" w:rsidP="001E40D7">
      <w:pPr>
        <w:rPr>
          <w:rFonts w:ascii="Arial" w:hAnsi="Arial" w:cs="Arial"/>
          <w:color w:val="000080"/>
        </w:rPr>
      </w:pPr>
      <w:r w:rsidRPr="006F6ABB">
        <w:rPr>
          <w:rFonts w:ascii="Arial" w:hAnsi="Arial" w:cs="Arial"/>
          <w:color w:val="FF0000"/>
        </w:rPr>
        <w:t xml:space="preserve">   </w:t>
      </w:r>
    </w:p>
    <w:p w:rsidR="007D48BC" w:rsidRDefault="007D48BC" w:rsidP="00C83343">
      <w:pPr>
        <w:spacing w:line="360" w:lineRule="auto"/>
        <w:jc w:val="both"/>
        <w:rPr>
          <w:rFonts w:ascii="Arial" w:hAnsi="Arial" w:cs="Arial"/>
        </w:rPr>
      </w:pPr>
      <w:r>
        <w:rPr>
          <w:rFonts w:ascii="Arial" w:hAnsi="Arial" w:cs="Arial"/>
        </w:rPr>
        <w:t>Igualmente</w:t>
      </w:r>
      <w:r w:rsidRPr="00112B38">
        <w:rPr>
          <w:rFonts w:ascii="Arial" w:hAnsi="Arial" w:cs="Arial"/>
        </w:rPr>
        <w:t>, hasta que no se disponga de estudios controlados en la indicación evaluada, tampoco será posible la elaboración propia de comparaciones indirectas ajustadas entre los tratamientos.</w:t>
      </w:r>
      <w:r>
        <w:rPr>
          <w:rFonts w:ascii="Arial" w:hAnsi="Arial" w:cs="Arial"/>
        </w:rPr>
        <w:t xml:space="preserve"> </w:t>
      </w:r>
    </w:p>
    <w:p w:rsidR="007D48BC" w:rsidRPr="006F6ABB" w:rsidRDefault="007D48BC" w:rsidP="005865E0">
      <w:pPr>
        <w:jc w:val="both"/>
        <w:rPr>
          <w:rFonts w:ascii="Arial" w:hAnsi="Arial" w:cs="Arial"/>
        </w:rPr>
      </w:pPr>
    </w:p>
    <w:p w:rsidR="007D48BC" w:rsidRPr="00B35A86" w:rsidRDefault="007D48BC" w:rsidP="00BC3E8E">
      <w:pPr>
        <w:pStyle w:val="Ttulo2"/>
        <w:pBdr>
          <w:top w:val="single" w:sz="4" w:space="1" w:color="auto"/>
          <w:left w:val="single" w:sz="4" w:space="4" w:color="auto"/>
          <w:bottom w:val="single" w:sz="4" w:space="1" w:color="auto"/>
          <w:right w:val="single" w:sz="4" w:space="4" w:color="auto"/>
        </w:pBdr>
        <w:shd w:val="clear" w:color="auto" w:fill="D9D9D9"/>
        <w:rPr>
          <w:sz w:val="20"/>
          <w:szCs w:val="20"/>
        </w:rPr>
      </w:pPr>
      <w:bookmarkStart w:id="63" w:name="_Toc344399649"/>
      <w:bookmarkStart w:id="64" w:name="_Toc348931376"/>
      <w:r w:rsidRPr="00B35A86">
        <w:rPr>
          <w:sz w:val="20"/>
          <w:szCs w:val="20"/>
        </w:rPr>
        <w:t>5.4 Evaluación de fuentes secundarias</w:t>
      </w:r>
      <w:bookmarkEnd w:id="63"/>
      <w:bookmarkEnd w:id="64"/>
      <w:r w:rsidR="00FE59AC">
        <w:rPr>
          <w:sz w:val="20"/>
          <w:szCs w:val="20"/>
        </w:rPr>
        <w:fldChar w:fldCharType="begin"/>
      </w:r>
      <w:r>
        <w:instrText>xe "</w:instrText>
      </w:r>
      <w:r w:rsidRPr="0086156F">
        <w:rPr>
          <w:sz w:val="20"/>
          <w:szCs w:val="20"/>
        </w:rPr>
        <w:instrText>5.4 Evaluación de fuentes secundarias</w:instrText>
      </w:r>
      <w:r>
        <w:instrText>"</w:instrText>
      </w:r>
      <w:r w:rsidR="00FE59AC">
        <w:rPr>
          <w:sz w:val="20"/>
          <w:szCs w:val="20"/>
        </w:rPr>
        <w:fldChar w:fldCharType="end"/>
      </w:r>
      <w:r w:rsidRPr="00B35A86">
        <w:rPr>
          <w:sz w:val="20"/>
          <w:szCs w:val="20"/>
        </w:rPr>
        <w:t xml:space="preserve"> </w:t>
      </w:r>
    </w:p>
    <w:p w:rsidR="007D48BC" w:rsidRPr="006F6ABB" w:rsidRDefault="007D48BC" w:rsidP="00BC3E8E">
      <w:pPr>
        <w:jc w:val="both"/>
        <w:rPr>
          <w:rFonts w:ascii="Arial" w:hAnsi="Arial" w:cs="Arial"/>
          <w:b/>
          <w:bCs/>
          <w:color w:val="0000FF"/>
          <w:lang w:val="es-ES_tradnl"/>
        </w:rPr>
      </w:pPr>
    </w:p>
    <w:p w:rsidR="007D48BC" w:rsidRPr="006F6ABB" w:rsidRDefault="007D48BC" w:rsidP="00BC3E8E">
      <w:pPr>
        <w:pStyle w:val="Ttulo2"/>
        <w:pBdr>
          <w:top w:val="single" w:sz="4" w:space="1" w:color="auto"/>
          <w:left w:val="single" w:sz="4" w:space="4" w:color="auto"/>
          <w:bottom w:val="single" w:sz="4" w:space="1" w:color="auto"/>
          <w:right w:val="single" w:sz="4" w:space="4" w:color="auto"/>
        </w:pBdr>
        <w:shd w:val="clear" w:color="auto" w:fill="D9D9D9"/>
        <w:rPr>
          <w:sz w:val="20"/>
          <w:szCs w:val="20"/>
        </w:rPr>
      </w:pPr>
      <w:bookmarkStart w:id="65" w:name="_Toc348931377"/>
      <w:r w:rsidRPr="0071656E">
        <w:rPr>
          <w:sz w:val="20"/>
          <w:szCs w:val="20"/>
        </w:rPr>
        <w:t>5.4.1 Guías de Práctica clínica</w:t>
      </w:r>
      <w:bookmarkEnd w:id="65"/>
      <w:r w:rsidR="00FE59AC">
        <w:rPr>
          <w:sz w:val="20"/>
          <w:szCs w:val="20"/>
        </w:rPr>
        <w:fldChar w:fldCharType="begin"/>
      </w:r>
      <w:r>
        <w:instrText>xe "</w:instrText>
      </w:r>
      <w:r w:rsidRPr="00E51A50">
        <w:rPr>
          <w:sz w:val="20"/>
          <w:szCs w:val="20"/>
        </w:rPr>
        <w:instrText>5.4.1 Guías de Práctica clínica</w:instrText>
      </w:r>
      <w:r>
        <w:instrText>"</w:instrText>
      </w:r>
      <w:r w:rsidR="00FE59AC">
        <w:rPr>
          <w:sz w:val="20"/>
          <w:szCs w:val="20"/>
        </w:rPr>
        <w:fldChar w:fldCharType="end"/>
      </w:r>
      <w:r w:rsidRPr="006F6ABB">
        <w:rPr>
          <w:sz w:val="20"/>
          <w:szCs w:val="20"/>
        </w:rPr>
        <w:t xml:space="preserve"> </w:t>
      </w:r>
    </w:p>
    <w:p w:rsidR="007D48BC" w:rsidRDefault="007D48BC" w:rsidP="00BC3E8E">
      <w:pPr>
        <w:jc w:val="both"/>
        <w:rPr>
          <w:rFonts w:ascii="Arial" w:hAnsi="Arial" w:cs="Arial"/>
        </w:rPr>
      </w:pPr>
    </w:p>
    <w:p w:rsidR="007D48BC" w:rsidRDefault="007D48BC" w:rsidP="002472F9">
      <w:pPr>
        <w:autoSpaceDE w:val="0"/>
        <w:autoSpaceDN w:val="0"/>
        <w:adjustRightInd w:val="0"/>
        <w:rPr>
          <w:rFonts w:ascii="Arial" w:hAnsi="Arial" w:cs="Arial"/>
          <w:b/>
          <w:bCs/>
          <w:lang w:val="en-US"/>
        </w:rPr>
      </w:pPr>
      <w:r w:rsidRPr="002472F9">
        <w:rPr>
          <w:rFonts w:ascii="Arial" w:hAnsi="Arial" w:cs="Arial"/>
          <w:b/>
          <w:bCs/>
          <w:lang w:val="en-US"/>
        </w:rPr>
        <w:t>Diffuse large B-cell lymphoma (DLBCL): ESMO Clinical Practice Guidelines for diagnos</w:t>
      </w:r>
      <w:r>
        <w:rPr>
          <w:rFonts w:ascii="Arial" w:hAnsi="Arial" w:cs="Arial"/>
          <w:b/>
          <w:bCs/>
          <w:lang w:val="en-US"/>
        </w:rPr>
        <w:t>is, treatment and follow-up</w:t>
      </w:r>
      <w:r w:rsidRPr="002472F9">
        <w:rPr>
          <w:rFonts w:ascii="Arial" w:hAnsi="Arial" w:cs="Arial"/>
          <w:b/>
          <w:bCs/>
          <w:lang w:val="en-US"/>
        </w:rPr>
        <w:t xml:space="preserve"> (2015)</w:t>
      </w:r>
      <w:r>
        <w:rPr>
          <w:rFonts w:ascii="Arial" w:hAnsi="Arial" w:cs="Arial"/>
          <w:b/>
          <w:bCs/>
          <w:vertAlign w:val="superscript"/>
          <w:lang w:val="en-US"/>
        </w:rPr>
        <w:t>8</w:t>
      </w:r>
    </w:p>
    <w:p w:rsidR="007D48BC" w:rsidRDefault="007D48BC" w:rsidP="002472F9">
      <w:pPr>
        <w:autoSpaceDE w:val="0"/>
        <w:autoSpaceDN w:val="0"/>
        <w:adjustRightInd w:val="0"/>
        <w:rPr>
          <w:rFonts w:ascii="Arial" w:hAnsi="Arial" w:cs="Arial"/>
          <w:b/>
          <w:bCs/>
          <w:lang w:val="en-US"/>
        </w:rPr>
      </w:pPr>
    </w:p>
    <w:p w:rsidR="007D48BC" w:rsidRPr="00260F0B" w:rsidRDefault="007D48BC" w:rsidP="004F2408">
      <w:pPr>
        <w:pStyle w:val="Prrafodelista"/>
        <w:numPr>
          <w:ilvl w:val="0"/>
          <w:numId w:val="9"/>
        </w:numPr>
        <w:autoSpaceDE w:val="0"/>
        <w:autoSpaceDN w:val="0"/>
        <w:adjustRightInd w:val="0"/>
        <w:spacing w:line="360" w:lineRule="auto"/>
        <w:rPr>
          <w:rFonts w:ascii="Arial" w:hAnsi="Arial" w:cs="Arial"/>
        </w:rPr>
      </w:pPr>
      <w:r w:rsidRPr="00260F0B">
        <w:rPr>
          <w:rFonts w:ascii="Arial" w:hAnsi="Arial" w:cs="Arial"/>
        </w:rPr>
        <w:t>En pacientes menores de 70 con buen PS y sin comorbilidades importantes la terapia de rescate consiste en QT seguido de TAPH (IIA).</w:t>
      </w:r>
    </w:p>
    <w:p w:rsidR="007D48BC" w:rsidRDefault="007D48BC" w:rsidP="004F2408">
      <w:pPr>
        <w:pStyle w:val="Prrafodelista"/>
        <w:numPr>
          <w:ilvl w:val="0"/>
          <w:numId w:val="9"/>
        </w:numPr>
        <w:autoSpaceDE w:val="0"/>
        <w:autoSpaceDN w:val="0"/>
        <w:adjustRightInd w:val="0"/>
        <w:spacing w:line="360" w:lineRule="auto"/>
        <w:rPr>
          <w:rFonts w:ascii="Arial" w:hAnsi="Arial" w:cs="Arial"/>
        </w:rPr>
      </w:pPr>
      <w:r w:rsidRPr="00260F0B">
        <w:rPr>
          <w:rFonts w:ascii="Arial" w:hAnsi="Arial" w:cs="Arial"/>
        </w:rPr>
        <w:t>Los regímenes más empleados son R-DHAP y R-ICE. R-GDP tiene una eficacia similar pero una menor toxicidad (IA).</w:t>
      </w:r>
    </w:p>
    <w:p w:rsidR="007D48BC" w:rsidRPr="00260F0B" w:rsidRDefault="007D48BC" w:rsidP="004F2408">
      <w:pPr>
        <w:pStyle w:val="Prrafodelista"/>
        <w:numPr>
          <w:ilvl w:val="0"/>
          <w:numId w:val="9"/>
        </w:numPr>
        <w:autoSpaceDE w:val="0"/>
        <w:autoSpaceDN w:val="0"/>
        <w:adjustRightInd w:val="0"/>
        <w:spacing w:line="360" w:lineRule="auto"/>
        <w:rPr>
          <w:rFonts w:ascii="Arial" w:hAnsi="Arial" w:cs="Arial"/>
        </w:rPr>
      </w:pPr>
      <w:r>
        <w:rPr>
          <w:rFonts w:ascii="Arial" w:hAnsi="Arial" w:cs="Arial"/>
        </w:rPr>
        <w:t>Los pacientes no candidatos a QT a altas dosis pueden emplear esquemas como R-GEMOX (IIIB), pixantrona (IIC) o incluirse en un ensayo clínico.</w:t>
      </w:r>
    </w:p>
    <w:p w:rsidR="007D48BC" w:rsidRPr="001E40D7" w:rsidRDefault="007D48BC" w:rsidP="00BC3E8E">
      <w:pPr>
        <w:jc w:val="both"/>
        <w:rPr>
          <w:rFonts w:ascii="Arial" w:hAnsi="Arial" w:cs="Arial"/>
        </w:rPr>
      </w:pPr>
    </w:p>
    <w:p w:rsidR="007D48BC" w:rsidRPr="0065473E" w:rsidRDefault="007D48BC" w:rsidP="0065473E">
      <w:pPr>
        <w:autoSpaceDE w:val="0"/>
        <w:autoSpaceDN w:val="0"/>
        <w:adjustRightInd w:val="0"/>
        <w:rPr>
          <w:rFonts w:ascii="Arial" w:hAnsi="Arial" w:cs="Arial"/>
          <w:b/>
          <w:bCs/>
          <w:lang w:val="en-US"/>
        </w:rPr>
      </w:pPr>
      <w:r w:rsidRPr="0065473E">
        <w:rPr>
          <w:rFonts w:ascii="Arial" w:hAnsi="Arial" w:cs="Arial"/>
          <w:b/>
          <w:bCs/>
          <w:lang w:val="en-US"/>
        </w:rPr>
        <w:t>Extranodal diffuse large B-cell lymphoma (DLBCL) and primary mediastinal</w:t>
      </w:r>
      <w:r w:rsidR="0007769E">
        <w:rPr>
          <w:rFonts w:ascii="Arial" w:hAnsi="Arial" w:cs="Arial"/>
          <w:b/>
          <w:bCs/>
          <w:lang w:val="en-US"/>
        </w:rPr>
        <w:t xml:space="preserve"> B-cell lymphoma: ESMO Clinical</w:t>
      </w:r>
      <w:r w:rsidRPr="0065473E">
        <w:rPr>
          <w:rFonts w:ascii="Arial" w:hAnsi="Arial" w:cs="Arial"/>
          <w:b/>
          <w:bCs/>
          <w:lang w:val="en-US"/>
        </w:rPr>
        <w:t xml:space="preserve"> Practice Guidelines for diagnosis, treatment and follow-up (2016)</w:t>
      </w:r>
      <w:r>
        <w:rPr>
          <w:rFonts w:ascii="Arial" w:hAnsi="Arial" w:cs="Arial"/>
          <w:b/>
          <w:bCs/>
          <w:vertAlign w:val="superscript"/>
          <w:lang w:val="en-US"/>
        </w:rPr>
        <w:t>9</w:t>
      </w:r>
      <w:r w:rsidRPr="0065473E">
        <w:rPr>
          <w:rFonts w:ascii="Arial" w:hAnsi="Arial" w:cs="Arial"/>
          <w:b/>
          <w:bCs/>
          <w:lang w:val="en-US"/>
        </w:rPr>
        <w:t>.</w:t>
      </w:r>
    </w:p>
    <w:p w:rsidR="007D48BC" w:rsidRPr="0065473E" w:rsidRDefault="007D48BC" w:rsidP="004F2408">
      <w:pPr>
        <w:spacing w:line="360" w:lineRule="auto"/>
        <w:jc w:val="both"/>
        <w:rPr>
          <w:rFonts w:ascii="Arial" w:hAnsi="Arial" w:cs="Arial"/>
          <w:lang w:val="en-US"/>
        </w:rPr>
      </w:pPr>
    </w:p>
    <w:p w:rsidR="007D48BC" w:rsidRPr="0065473E" w:rsidRDefault="007D48BC" w:rsidP="004F2408">
      <w:pPr>
        <w:pStyle w:val="Prrafodelista"/>
        <w:numPr>
          <w:ilvl w:val="0"/>
          <w:numId w:val="7"/>
        </w:numPr>
        <w:spacing w:line="360" w:lineRule="auto"/>
        <w:jc w:val="both"/>
        <w:rPr>
          <w:rFonts w:ascii="Arial" w:hAnsi="Arial" w:cs="Arial"/>
        </w:rPr>
      </w:pPr>
      <w:r w:rsidRPr="0065473E">
        <w:rPr>
          <w:rFonts w:ascii="Arial" w:hAnsi="Arial" w:cs="Arial"/>
        </w:rPr>
        <w:t>La recurrencia en el LBPM</w:t>
      </w:r>
      <w:r>
        <w:rPr>
          <w:rFonts w:ascii="Arial" w:hAnsi="Arial" w:cs="Arial"/>
        </w:rPr>
        <w:t xml:space="preserve"> es mucho más infrecuente que en el resto de </w:t>
      </w:r>
      <w:r w:rsidR="008258E3">
        <w:rPr>
          <w:rFonts w:ascii="Arial" w:hAnsi="Arial" w:cs="Arial"/>
        </w:rPr>
        <w:t>LDCBG</w:t>
      </w:r>
      <w:r>
        <w:rPr>
          <w:rFonts w:ascii="Arial" w:hAnsi="Arial" w:cs="Arial"/>
        </w:rPr>
        <w:t>.</w:t>
      </w:r>
    </w:p>
    <w:p w:rsidR="007D48BC" w:rsidRPr="0058501F" w:rsidRDefault="007D48BC" w:rsidP="004F2408">
      <w:pPr>
        <w:pStyle w:val="Prrafodelista"/>
        <w:numPr>
          <w:ilvl w:val="0"/>
          <w:numId w:val="7"/>
        </w:numPr>
        <w:spacing w:line="360" w:lineRule="auto"/>
        <w:jc w:val="both"/>
        <w:rPr>
          <w:rFonts w:ascii="Arial" w:hAnsi="Arial" w:cs="Arial"/>
        </w:rPr>
      </w:pPr>
      <w:r>
        <w:rPr>
          <w:rFonts w:ascii="Arial" w:hAnsi="Arial" w:cs="Arial"/>
        </w:rPr>
        <w:t xml:space="preserve">El tratamiento de rescate es similar al del resto de </w:t>
      </w:r>
      <w:r w:rsidR="008258E3">
        <w:rPr>
          <w:rFonts w:ascii="Arial" w:hAnsi="Arial" w:cs="Arial"/>
        </w:rPr>
        <w:t>LDCBG</w:t>
      </w:r>
      <w:r>
        <w:rPr>
          <w:rFonts w:ascii="Arial" w:hAnsi="Arial" w:cs="Arial"/>
        </w:rPr>
        <w:t xml:space="preserve"> y consiste en la reinducción con otros agentes que no se hubieran empleado anteriormente, seguido de consolidación con altas dosis de quimioterapia y TAPH (IIA).</w:t>
      </w:r>
    </w:p>
    <w:p w:rsidR="007D48BC" w:rsidRPr="0065473E" w:rsidRDefault="007D48BC" w:rsidP="004F2408">
      <w:pPr>
        <w:pStyle w:val="Prrafodelista"/>
        <w:numPr>
          <w:ilvl w:val="0"/>
          <w:numId w:val="7"/>
        </w:numPr>
        <w:spacing w:line="360" w:lineRule="auto"/>
        <w:jc w:val="both"/>
        <w:rPr>
          <w:rFonts w:ascii="Arial" w:hAnsi="Arial" w:cs="Arial"/>
        </w:rPr>
      </w:pPr>
      <w:r>
        <w:rPr>
          <w:rFonts w:ascii="Arial" w:hAnsi="Arial" w:cs="Arial"/>
        </w:rPr>
        <w:t xml:space="preserve">Si no se empleó la radioterapia en la primera línea de tratamiento, puede considerarse preferiblemente post-transplante. </w:t>
      </w:r>
    </w:p>
    <w:p w:rsidR="007D48BC" w:rsidRPr="001E40D7" w:rsidRDefault="007D48BC" w:rsidP="00BC3E8E">
      <w:pPr>
        <w:jc w:val="both"/>
        <w:rPr>
          <w:rFonts w:ascii="Arial" w:hAnsi="Arial" w:cs="Arial"/>
          <w:b/>
          <w:bCs/>
          <w:i/>
          <w:iCs/>
        </w:rPr>
      </w:pPr>
    </w:p>
    <w:p w:rsidR="007D48BC" w:rsidRDefault="007D48BC" w:rsidP="00BC3E8E">
      <w:pPr>
        <w:jc w:val="both"/>
        <w:rPr>
          <w:rFonts w:ascii="Arial" w:hAnsi="Arial" w:cs="Arial"/>
          <w:b/>
          <w:bCs/>
          <w:i/>
          <w:iCs/>
          <w:lang w:val="en-US"/>
        </w:rPr>
      </w:pPr>
      <w:r w:rsidRPr="0058501F">
        <w:rPr>
          <w:rFonts w:ascii="Arial" w:hAnsi="Arial" w:cs="Arial"/>
          <w:b/>
          <w:bCs/>
          <w:i/>
          <w:iCs/>
          <w:lang w:val="en-US"/>
        </w:rPr>
        <w:t xml:space="preserve">B-cell Lymphoma. </w:t>
      </w:r>
      <w:r w:rsidRPr="006B690F">
        <w:rPr>
          <w:rFonts w:ascii="Arial" w:hAnsi="Arial" w:cs="Arial"/>
          <w:b/>
          <w:bCs/>
          <w:i/>
          <w:iCs/>
          <w:lang w:val="en-US"/>
        </w:rPr>
        <w:t xml:space="preserve">NCCN Clinical Practice Guidelines in Oncology </w:t>
      </w:r>
      <w:r w:rsidRPr="0058501F">
        <w:rPr>
          <w:rFonts w:ascii="Arial" w:hAnsi="Arial" w:cs="Arial"/>
          <w:b/>
          <w:bCs/>
          <w:i/>
          <w:iCs/>
          <w:lang w:val="en-US"/>
        </w:rPr>
        <w:t>(2018)</w:t>
      </w:r>
      <w:r>
        <w:rPr>
          <w:rFonts w:ascii="Arial" w:hAnsi="Arial" w:cs="Arial"/>
          <w:b/>
          <w:bCs/>
          <w:i/>
          <w:iCs/>
          <w:vertAlign w:val="superscript"/>
          <w:lang w:val="en-US"/>
        </w:rPr>
        <w:t>7</w:t>
      </w:r>
      <w:r w:rsidRPr="0058501F">
        <w:rPr>
          <w:rFonts w:ascii="Arial" w:hAnsi="Arial" w:cs="Arial"/>
          <w:b/>
          <w:bCs/>
          <w:i/>
          <w:iCs/>
          <w:lang w:val="en-US"/>
        </w:rPr>
        <w:t>:</w:t>
      </w:r>
    </w:p>
    <w:p w:rsidR="007D48BC" w:rsidRDefault="007D48BC" w:rsidP="00BC3E8E">
      <w:pPr>
        <w:jc w:val="both"/>
        <w:rPr>
          <w:rFonts w:ascii="Arial" w:hAnsi="Arial" w:cs="Arial"/>
          <w:b/>
          <w:bCs/>
          <w:i/>
          <w:iCs/>
          <w:lang w:val="en-US"/>
        </w:rPr>
      </w:pPr>
    </w:p>
    <w:p w:rsidR="007D48BC" w:rsidRPr="00590D8F" w:rsidRDefault="007D48BC" w:rsidP="004F2408">
      <w:pPr>
        <w:pStyle w:val="Prrafodelista"/>
        <w:numPr>
          <w:ilvl w:val="0"/>
          <w:numId w:val="8"/>
        </w:numPr>
        <w:spacing w:line="360" w:lineRule="auto"/>
        <w:jc w:val="both"/>
        <w:rPr>
          <w:rFonts w:ascii="Arial" w:hAnsi="Arial" w:cs="Arial"/>
        </w:rPr>
      </w:pPr>
      <w:r w:rsidRPr="00590D8F">
        <w:rPr>
          <w:rFonts w:ascii="Arial" w:hAnsi="Arial" w:cs="Arial"/>
        </w:rPr>
        <w:t xml:space="preserve">En pacientes con </w:t>
      </w:r>
      <w:r w:rsidR="008258E3">
        <w:rPr>
          <w:rFonts w:ascii="Arial" w:hAnsi="Arial" w:cs="Arial"/>
        </w:rPr>
        <w:t>LDCBG</w:t>
      </w:r>
      <w:r w:rsidRPr="00590D8F">
        <w:rPr>
          <w:rFonts w:ascii="Arial" w:hAnsi="Arial" w:cs="Arial"/>
        </w:rPr>
        <w:t xml:space="preserve"> tras primera recaída o refractario, el tratamiento dependerá de la capacidad del paciente de someterse a altas dosis de quim</w:t>
      </w:r>
      <w:r>
        <w:rPr>
          <w:rFonts w:ascii="Arial" w:hAnsi="Arial" w:cs="Arial"/>
        </w:rPr>
        <w:t>i</w:t>
      </w:r>
      <w:r w:rsidRPr="00590D8F">
        <w:rPr>
          <w:rFonts w:ascii="Arial" w:hAnsi="Arial" w:cs="Arial"/>
        </w:rPr>
        <w:t xml:space="preserve">oterapia y TAPH o no. </w:t>
      </w:r>
    </w:p>
    <w:p w:rsidR="007D48BC" w:rsidRPr="00590D8F" w:rsidRDefault="007D48BC" w:rsidP="004F2408">
      <w:pPr>
        <w:pStyle w:val="Prrafodelista"/>
        <w:numPr>
          <w:ilvl w:val="0"/>
          <w:numId w:val="8"/>
        </w:numPr>
        <w:spacing w:line="360" w:lineRule="auto"/>
        <w:jc w:val="both"/>
        <w:rPr>
          <w:rFonts w:ascii="Arial" w:hAnsi="Arial" w:cs="Arial"/>
        </w:rPr>
      </w:pPr>
      <w:r w:rsidRPr="00590D8F">
        <w:rPr>
          <w:rFonts w:ascii="Arial" w:hAnsi="Arial" w:cs="Arial"/>
        </w:rPr>
        <w:t>En pacientes que pueden someterse a dosis alta de quimioterapia, el tratamiento consistirá en una inducción con fármacos no empleados en primera línea y una etapa de consolidación.</w:t>
      </w:r>
    </w:p>
    <w:p w:rsidR="007D48BC" w:rsidRPr="00590D8F" w:rsidRDefault="007D48BC" w:rsidP="004F2408">
      <w:pPr>
        <w:pStyle w:val="Prrafodelista"/>
        <w:numPr>
          <w:ilvl w:val="0"/>
          <w:numId w:val="8"/>
        </w:numPr>
        <w:spacing w:line="360" w:lineRule="auto"/>
        <w:jc w:val="both"/>
        <w:rPr>
          <w:rFonts w:ascii="Arial" w:hAnsi="Arial" w:cs="Arial"/>
        </w:rPr>
      </w:pPr>
      <w:r w:rsidRPr="00590D8F">
        <w:rPr>
          <w:rFonts w:ascii="Arial" w:hAnsi="Arial" w:cs="Arial"/>
        </w:rPr>
        <w:t xml:space="preserve">En pacientes no candidatos a este tipo de tratamiento, se puede administrar un tratamiento de segunda línea, la inclusión en ensayos clínicos, radioterapia paliativa o terapia de soporte. </w:t>
      </w:r>
    </w:p>
    <w:p w:rsidR="007D48BC" w:rsidRPr="00590D8F" w:rsidRDefault="007D48BC" w:rsidP="004F2408">
      <w:pPr>
        <w:pStyle w:val="Prrafodelista"/>
        <w:numPr>
          <w:ilvl w:val="0"/>
          <w:numId w:val="8"/>
        </w:numPr>
        <w:spacing w:line="360" w:lineRule="auto"/>
        <w:jc w:val="both"/>
        <w:rPr>
          <w:rFonts w:ascii="Arial" w:hAnsi="Arial" w:cs="Arial"/>
        </w:rPr>
      </w:pPr>
      <w:r w:rsidRPr="00590D8F">
        <w:rPr>
          <w:rFonts w:ascii="Arial" w:hAnsi="Arial" w:cs="Arial"/>
        </w:rPr>
        <w:t xml:space="preserve">Tras dos o más fallos las alternativas incluyen los fármacos CAR-T anti-CD19 (axicabtagen ciloleucel o tisagencleleucel), participar en ensayo clínico, segunda línea con fármacos no cruzados, radioterapia paliativa o terapia de soporte. </w:t>
      </w:r>
    </w:p>
    <w:p w:rsidR="007D48BC" w:rsidRPr="00590D8F" w:rsidRDefault="007D48BC" w:rsidP="004F2408">
      <w:pPr>
        <w:jc w:val="both"/>
        <w:rPr>
          <w:rFonts w:ascii="Arial" w:hAnsi="Arial" w:cs="Arial"/>
          <w:i/>
          <w:iCs/>
        </w:rPr>
      </w:pPr>
    </w:p>
    <w:p w:rsidR="007D48BC" w:rsidRDefault="007D48BC" w:rsidP="00260F0B">
      <w:pPr>
        <w:jc w:val="both"/>
        <w:rPr>
          <w:rFonts w:ascii="Arial" w:hAnsi="Arial" w:cs="Arial"/>
          <w:b/>
          <w:bCs/>
          <w:i/>
          <w:iCs/>
          <w:lang w:val="en-US"/>
        </w:rPr>
      </w:pPr>
      <w:r w:rsidRPr="00260F0B">
        <w:rPr>
          <w:rFonts w:ascii="Arial" w:hAnsi="Arial" w:cs="Arial"/>
          <w:b/>
          <w:bCs/>
          <w:i/>
          <w:iCs/>
          <w:lang w:val="en-US"/>
        </w:rPr>
        <w:t>Non-Hodgkin’s lymphoma: diagnosis and management. NICE guideline</w:t>
      </w:r>
      <w:r w:rsidR="00B35EB1">
        <w:rPr>
          <w:rFonts w:ascii="Arial" w:hAnsi="Arial" w:cs="Arial"/>
          <w:b/>
          <w:bCs/>
          <w:i/>
          <w:iCs/>
          <w:lang w:val="en-US"/>
        </w:rPr>
        <w:t xml:space="preserve"> </w:t>
      </w:r>
      <w:r>
        <w:rPr>
          <w:rFonts w:ascii="Arial" w:hAnsi="Arial" w:cs="Arial"/>
          <w:b/>
          <w:bCs/>
          <w:i/>
          <w:iCs/>
          <w:lang w:val="en-US"/>
        </w:rPr>
        <w:t>(2016)</w:t>
      </w:r>
      <w:r>
        <w:rPr>
          <w:rFonts w:ascii="Arial" w:hAnsi="Arial" w:cs="Arial"/>
          <w:b/>
          <w:bCs/>
          <w:i/>
          <w:iCs/>
          <w:vertAlign w:val="superscript"/>
          <w:lang w:val="en-US"/>
        </w:rPr>
        <w:t>21</w:t>
      </w:r>
    </w:p>
    <w:p w:rsidR="007D48BC" w:rsidRDefault="007D48BC" w:rsidP="00260F0B">
      <w:pPr>
        <w:jc w:val="both"/>
        <w:rPr>
          <w:rFonts w:ascii="Arial" w:hAnsi="Arial" w:cs="Arial"/>
          <w:b/>
          <w:bCs/>
          <w:i/>
          <w:iCs/>
          <w:lang w:val="en-US"/>
        </w:rPr>
      </w:pPr>
    </w:p>
    <w:p w:rsidR="007D48BC" w:rsidRPr="0075470A" w:rsidRDefault="007D48BC" w:rsidP="004F2408">
      <w:pPr>
        <w:pStyle w:val="Prrafodelista"/>
        <w:numPr>
          <w:ilvl w:val="0"/>
          <w:numId w:val="8"/>
        </w:numPr>
        <w:spacing w:line="360" w:lineRule="auto"/>
        <w:jc w:val="both"/>
        <w:rPr>
          <w:rFonts w:ascii="Arial" w:hAnsi="Arial" w:cs="Arial"/>
        </w:rPr>
      </w:pPr>
      <w:r>
        <w:rPr>
          <w:rFonts w:ascii="Arial" w:hAnsi="Arial" w:cs="Arial"/>
        </w:rPr>
        <w:t>QT d</w:t>
      </w:r>
      <w:r w:rsidR="00B35EB1">
        <w:rPr>
          <w:rFonts w:ascii="Arial" w:hAnsi="Arial" w:cs="Arial"/>
        </w:rPr>
        <w:t xml:space="preserve">e </w:t>
      </w:r>
      <w:r w:rsidRPr="00260F0B">
        <w:rPr>
          <w:rFonts w:ascii="Arial" w:hAnsi="Arial" w:cs="Arial"/>
        </w:rPr>
        <w:t>rescate y consolidación con TAP</w:t>
      </w:r>
      <w:r>
        <w:rPr>
          <w:rFonts w:ascii="Arial" w:hAnsi="Arial" w:cs="Arial"/>
        </w:rPr>
        <w:t xml:space="preserve">H en pacientes con </w:t>
      </w:r>
      <w:r w:rsidR="008258E3">
        <w:rPr>
          <w:rFonts w:ascii="Arial" w:hAnsi="Arial" w:cs="Arial"/>
        </w:rPr>
        <w:t>LDCBG</w:t>
      </w:r>
      <w:r>
        <w:rPr>
          <w:rFonts w:ascii="Arial" w:hAnsi="Arial" w:cs="Arial"/>
        </w:rPr>
        <w:t xml:space="preserve"> que toleren terapia intensiva. </w:t>
      </w:r>
    </w:p>
    <w:p w:rsidR="007D48BC" w:rsidRPr="00260F0B" w:rsidRDefault="007D48BC" w:rsidP="004F2408">
      <w:pPr>
        <w:pStyle w:val="Prrafodelista"/>
        <w:numPr>
          <w:ilvl w:val="0"/>
          <w:numId w:val="8"/>
        </w:numPr>
        <w:spacing w:line="360" w:lineRule="auto"/>
        <w:jc w:val="both"/>
        <w:rPr>
          <w:rFonts w:ascii="Arial" w:hAnsi="Arial" w:cs="Arial"/>
        </w:rPr>
      </w:pPr>
      <w:r>
        <w:rPr>
          <w:rFonts w:ascii="Arial" w:hAnsi="Arial" w:cs="Arial"/>
        </w:rPr>
        <w:t xml:space="preserve">En los pacientes que no se sometan a un TAPH la QT puede ser </w:t>
      </w:r>
      <w:r w:rsidR="00D80EE6">
        <w:rPr>
          <w:rFonts w:ascii="Arial" w:hAnsi="Arial" w:cs="Arial"/>
        </w:rPr>
        <w:t>beneficiosa,</w:t>
      </w:r>
      <w:r>
        <w:rPr>
          <w:rFonts w:ascii="Arial" w:hAnsi="Arial" w:cs="Arial"/>
        </w:rPr>
        <w:t xml:space="preserve"> pero es más adecuado elegir un esquema con menos toxicidad (R-GDP)</w:t>
      </w:r>
    </w:p>
    <w:p w:rsidR="007D48BC" w:rsidRDefault="007D48BC" w:rsidP="004F2408">
      <w:pPr>
        <w:pStyle w:val="Prrafodelista"/>
        <w:numPr>
          <w:ilvl w:val="0"/>
          <w:numId w:val="8"/>
        </w:numPr>
        <w:spacing w:line="360" w:lineRule="auto"/>
        <w:jc w:val="both"/>
        <w:rPr>
          <w:rFonts w:ascii="Arial" w:hAnsi="Arial" w:cs="Arial"/>
        </w:rPr>
      </w:pPr>
      <w:r w:rsidRPr="0075470A">
        <w:rPr>
          <w:rFonts w:ascii="Arial" w:hAnsi="Arial" w:cs="Arial"/>
        </w:rPr>
        <w:t>Puede considerarse un transplante alog</w:t>
      </w:r>
      <w:r>
        <w:rPr>
          <w:rFonts w:ascii="Arial" w:hAnsi="Arial" w:cs="Arial"/>
        </w:rPr>
        <w:t>é</w:t>
      </w:r>
      <w:r w:rsidRPr="0075470A">
        <w:rPr>
          <w:rFonts w:ascii="Arial" w:hAnsi="Arial" w:cs="Arial"/>
        </w:rPr>
        <w:t>nico en pacientes con respuesta parcial a la QT y que hayan sido refracta</w:t>
      </w:r>
      <w:r>
        <w:rPr>
          <w:rFonts w:ascii="Arial" w:hAnsi="Arial" w:cs="Arial"/>
        </w:rPr>
        <w:t>rios a un TAPH o aquellos que el procedimiento no sea posible.</w:t>
      </w:r>
    </w:p>
    <w:p w:rsidR="007D48BC" w:rsidRPr="001E40D7" w:rsidRDefault="007D48BC" w:rsidP="00BC3E8E">
      <w:pPr>
        <w:jc w:val="both"/>
        <w:rPr>
          <w:rFonts w:ascii="Arial" w:hAnsi="Arial" w:cs="Arial"/>
        </w:rPr>
      </w:pPr>
    </w:p>
    <w:p w:rsidR="007D48BC" w:rsidRPr="00CF5633" w:rsidRDefault="007D48BC" w:rsidP="0075470A">
      <w:pPr>
        <w:jc w:val="both"/>
        <w:rPr>
          <w:rFonts w:ascii="Arial" w:hAnsi="Arial" w:cs="Arial"/>
          <w:b/>
          <w:bCs/>
          <w:i/>
          <w:iCs/>
        </w:rPr>
      </w:pPr>
      <w:r w:rsidRPr="0075470A">
        <w:rPr>
          <w:rFonts w:ascii="Arial" w:hAnsi="Arial" w:cs="Arial"/>
          <w:b/>
          <w:bCs/>
          <w:i/>
          <w:iCs/>
        </w:rPr>
        <w:t>Tratamie</w:t>
      </w:r>
      <w:r>
        <w:rPr>
          <w:rFonts w:ascii="Arial" w:hAnsi="Arial" w:cs="Arial"/>
          <w:b/>
          <w:bCs/>
          <w:i/>
          <w:iCs/>
        </w:rPr>
        <w:t>nto del linfoma B difuso de célula grande</w:t>
      </w:r>
      <w:r w:rsidRPr="0075470A">
        <w:rPr>
          <w:rFonts w:ascii="Arial" w:hAnsi="Arial" w:cs="Arial"/>
          <w:b/>
          <w:bCs/>
          <w:i/>
          <w:iCs/>
        </w:rPr>
        <w:t xml:space="preserve"> (</w:t>
      </w:r>
      <w:r w:rsidR="008258E3">
        <w:rPr>
          <w:rFonts w:ascii="Arial" w:hAnsi="Arial" w:cs="Arial"/>
          <w:b/>
          <w:bCs/>
          <w:i/>
          <w:iCs/>
        </w:rPr>
        <w:t>LDCBG</w:t>
      </w:r>
      <w:r w:rsidRPr="0075470A">
        <w:rPr>
          <w:rFonts w:ascii="Arial" w:hAnsi="Arial" w:cs="Arial"/>
          <w:b/>
          <w:bCs/>
          <w:i/>
          <w:iCs/>
        </w:rPr>
        <w:t xml:space="preserve">). </w:t>
      </w:r>
      <w:r w:rsidRPr="001E40D7">
        <w:rPr>
          <w:rFonts w:ascii="Arial" w:hAnsi="Arial" w:cs="Arial"/>
          <w:b/>
          <w:bCs/>
          <w:i/>
          <w:iCs/>
        </w:rPr>
        <w:t xml:space="preserve">GETALMO Grupo Español de Linfomas/Trasplante Autólogo de Médula Ósea. </w:t>
      </w:r>
      <w:r w:rsidRPr="00CF5633">
        <w:rPr>
          <w:rFonts w:ascii="Arial" w:hAnsi="Arial" w:cs="Arial"/>
          <w:b/>
          <w:bCs/>
          <w:i/>
          <w:iCs/>
        </w:rPr>
        <w:t>Sociedad Española de Hematología y Hemoterapia (2016)</w:t>
      </w:r>
      <w:r>
        <w:rPr>
          <w:rFonts w:ascii="Arial" w:hAnsi="Arial" w:cs="Arial"/>
          <w:b/>
          <w:bCs/>
          <w:i/>
          <w:iCs/>
          <w:vertAlign w:val="superscript"/>
        </w:rPr>
        <w:t>4</w:t>
      </w:r>
    </w:p>
    <w:p w:rsidR="007D48BC" w:rsidRPr="00CF5633" w:rsidRDefault="007D48BC" w:rsidP="0075470A">
      <w:pPr>
        <w:jc w:val="both"/>
        <w:rPr>
          <w:rFonts w:ascii="Arial" w:hAnsi="Arial" w:cs="Arial"/>
          <w:b/>
          <w:bCs/>
          <w:i/>
          <w:iCs/>
        </w:rPr>
      </w:pPr>
    </w:p>
    <w:p w:rsidR="007D48BC" w:rsidRPr="0075470A" w:rsidRDefault="007D48BC" w:rsidP="004F2408">
      <w:pPr>
        <w:pStyle w:val="Prrafodelista"/>
        <w:numPr>
          <w:ilvl w:val="0"/>
          <w:numId w:val="10"/>
        </w:numPr>
        <w:spacing w:line="360" w:lineRule="auto"/>
        <w:jc w:val="both"/>
        <w:rPr>
          <w:rFonts w:ascii="Arial" w:hAnsi="Arial" w:cs="Arial"/>
          <w:b/>
          <w:bCs/>
          <w:i/>
          <w:iCs/>
        </w:rPr>
      </w:pPr>
      <w:r w:rsidRPr="0075470A">
        <w:rPr>
          <w:rFonts w:ascii="Arial" w:hAnsi="Arial" w:cs="Arial"/>
        </w:rPr>
        <w:t xml:space="preserve">El tratamiento estándar de los pacientes con </w:t>
      </w:r>
      <w:r w:rsidR="008258E3">
        <w:rPr>
          <w:rFonts w:ascii="Arial" w:hAnsi="Arial" w:cs="Arial"/>
        </w:rPr>
        <w:t>LDCBG</w:t>
      </w:r>
      <w:r w:rsidRPr="0075470A">
        <w:rPr>
          <w:rFonts w:ascii="Arial" w:hAnsi="Arial" w:cs="Arial"/>
        </w:rPr>
        <w:t xml:space="preserve"> ha sido la poliquimioterapia tipo CHOP. La aparición de rituximab ha aumentado considerablemente la supervivencia.</w:t>
      </w:r>
    </w:p>
    <w:p w:rsidR="007D48BC" w:rsidRPr="00B00376" w:rsidRDefault="007D48BC" w:rsidP="004F2408">
      <w:pPr>
        <w:pStyle w:val="Prrafodelista"/>
        <w:numPr>
          <w:ilvl w:val="0"/>
          <w:numId w:val="10"/>
        </w:numPr>
        <w:spacing w:line="360" w:lineRule="auto"/>
        <w:jc w:val="both"/>
        <w:rPr>
          <w:rFonts w:ascii="Arial" w:hAnsi="Arial" w:cs="Arial"/>
        </w:rPr>
      </w:pPr>
      <w:r>
        <w:rPr>
          <w:rFonts w:ascii="Arial" w:hAnsi="Arial" w:cs="Arial"/>
        </w:rPr>
        <w:t>El tratamiento de rescate está determinado por la capacidad del paciente de recibir dosis altas de QT convencional y someterse a un TAPH.</w:t>
      </w:r>
    </w:p>
    <w:p w:rsidR="007D48BC" w:rsidRDefault="007D48BC" w:rsidP="004F2408">
      <w:pPr>
        <w:pStyle w:val="Prrafodelista"/>
        <w:numPr>
          <w:ilvl w:val="0"/>
          <w:numId w:val="10"/>
        </w:numPr>
        <w:spacing w:line="360" w:lineRule="auto"/>
        <w:jc w:val="both"/>
        <w:rPr>
          <w:rFonts w:ascii="Arial" w:hAnsi="Arial" w:cs="Arial"/>
        </w:rPr>
      </w:pPr>
      <w:r w:rsidRPr="00B00376">
        <w:rPr>
          <w:rFonts w:ascii="Arial" w:hAnsi="Arial" w:cs="Arial"/>
        </w:rPr>
        <w:t>En pacientes que toleren tratamiento intensivo no existe ningún régimen de rescate que haya demostrado superioridad sobre los demás y todos ellos han mostrado pobres resultados en pacientes pre-tratados con rituximab. el régimen que ha mostrado mejor perfil eficacia/toxicidad en estudios</w:t>
      </w:r>
      <w:r>
        <w:rPr>
          <w:rFonts w:ascii="Arial" w:hAnsi="Arial" w:cs="Arial"/>
        </w:rPr>
        <w:t xml:space="preserve"> </w:t>
      </w:r>
      <w:r w:rsidRPr="00B00376">
        <w:rPr>
          <w:rFonts w:ascii="Arial" w:hAnsi="Arial" w:cs="Arial"/>
        </w:rPr>
        <w:t>fase III es el R-GDP</w:t>
      </w:r>
      <w:r>
        <w:rPr>
          <w:rFonts w:ascii="Arial" w:hAnsi="Arial" w:cs="Arial"/>
        </w:rPr>
        <w:t xml:space="preserve"> (1B)</w:t>
      </w:r>
    </w:p>
    <w:p w:rsidR="007D48BC" w:rsidRDefault="007D48BC" w:rsidP="004F2408">
      <w:pPr>
        <w:pStyle w:val="Prrafodelista"/>
        <w:numPr>
          <w:ilvl w:val="0"/>
          <w:numId w:val="10"/>
        </w:numPr>
        <w:spacing w:line="360" w:lineRule="auto"/>
        <w:jc w:val="both"/>
        <w:rPr>
          <w:rFonts w:ascii="Arial" w:hAnsi="Arial" w:cs="Arial"/>
        </w:rPr>
      </w:pPr>
      <w:r>
        <w:rPr>
          <w:rFonts w:ascii="Arial" w:hAnsi="Arial" w:cs="Arial"/>
        </w:rPr>
        <w:t>Siempre que se pueda estos pacientes deben</w:t>
      </w:r>
      <w:r w:rsidRPr="00B00376">
        <w:rPr>
          <w:rFonts w:ascii="Arial" w:hAnsi="Arial" w:cs="Arial"/>
        </w:rPr>
        <w:t xml:space="preserve"> ser incluidos en ensayos clínicos con regímenes de rescate que incorporen nuevos fármacos</w:t>
      </w:r>
      <w:r>
        <w:rPr>
          <w:rFonts w:ascii="Arial" w:hAnsi="Arial" w:cs="Arial"/>
        </w:rPr>
        <w:t xml:space="preserve"> (1B)</w:t>
      </w:r>
    </w:p>
    <w:p w:rsidR="007D48BC" w:rsidRDefault="007D48BC" w:rsidP="004F2408">
      <w:pPr>
        <w:pStyle w:val="Prrafodelista"/>
        <w:numPr>
          <w:ilvl w:val="0"/>
          <w:numId w:val="10"/>
        </w:numPr>
        <w:spacing w:line="360" w:lineRule="auto"/>
        <w:jc w:val="both"/>
        <w:rPr>
          <w:rFonts w:ascii="Arial" w:hAnsi="Arial" w:cs="Arial"/>
        </w:rPr>
      </w:pPr>
      <w:r w:rsidRPr="00B00376">
        <w:rPr>
          <w:rFonts w:ascii="Arial" w:hAnsi="Arial" w:cs="Arial"/>
        </w:rPr>
        <w:t>En pacientes que no toleren tratamientos agresivos se recomienda utilizar</w:t>
      </w:r>
      <w:r>
        <w:rPr>
          <w:rFonts w:ascii="Arial" w:hAnsi="Arial" w:cs="Arial"/>
        </w:rPr>
        <w:t xml:space="preserve"> </w:t>
      </w:r>
      <w:r w:rsidRPr="00B00376">
        <w:rPr>
          <w:rFonts w:ascii="Arial" w:hAnsi="Arial" w:cs="Arial"/>
        </w:rPr>
        <w:t xml:space="preserve">esquemas de moderada-baja intensidad basados </w:t>
      </w:r>
      <w:r>
        <w:rPr>
          <w:rFonts w:ascii="Arial" w:hAnsi="Arial" w:cs="Arial"/>
        </w:rPr>
        <w:t>como R-Gemox o R-Bendamustina (1B) o incluir en ensayo clínico (1C)</w:t>
      </w:r>
    </w:p>
    <w:p w:rsidR="007D48BC" w:rsidRPr="004B471A" w:rsidRDefault="007D48BC" w:rsidP="004F2408">
      <w:pPr>
        <w:pStyle w:val="Prrafodelista"/>
        <w:numPr>
          <w:ilvl w:val="0"/>
          <w:numId w:val="10"/>
        </w:numPr>
        <w:spacing w:line="360" w:lineRule="auto"/>
        <w:jc w:val="both"/>
        <w:rPr>
          <w:rFonts w:ascii="Arial" w:hAnsi="Arial" w:cs="Arial"/>
        </w:rPr>
      </w:pPr>
      <w:r w:rsidRPr="00B00376">
        <w:rPr>
          <w:rFonts w:ascii="Arial" w:hAnsi="Arial" w:cs="Arial"/>
        </w:rPr>
        <w:t>No hay recomendaciones claras sobre terceras líneas o posteriores.</w:t>
      </w:r>
      <w:r>
        <w:rPr>
          <w:rFonts w:ascii="Arial" w:hAnsi="Arial" w:cs="Arial"/>
        </w:rPr>
        <w:t xml:space="preserve"> Valorar pixantrona en monoterapia (1B)</w:t>
      </w:r>
    </w:p>
    <w:p w:rsidR="007D48BC" w:rsidRPr="00B90548" w:rsidRDefault="007D48BC" w:rsidP="004F2408">
      <w:pPr>
        <w:spacing w:line="360" w:lineRule="auto"/>
        <w:jc w:val="both"/>
        <w:rPr>
          <w:rFonts w:ascii="Arial" w:hAnsi="Arial" w:cs="Arial"/>
        </w:rPr>
      </w:pPr>
      <w:r w:rsidRPr="005E0F76">
        <w:rPr>
          <w:rFonts w:ascii="Arial" w:hAnsi="Arial" w:cs="Arial"/>
        </w:rPr>
        <w:t>En el anexo IV se recogen los algoritmos propuestos por las diferentes guías para el tratamiento del linfoma B difuso de célula grande</w:t>
      </w:r>
      <w:r>
        <w:rPr>
          <w:rFonts w:ascii="Arial" w:hAnsi="Arial" w:cs="Arial"/>
        </w:rPr>
        <w:t>.</w:t>
      </w:r>
      <w:r w:rsidRPr="005E0F76">
        <w:rPr>
          <w:rFonts w:ascii="Arial" w:hAnsi="Arial" w:cs="Arial"/>
        </w:rPr>
        <w:t xml:space="preserve"> En el anexo V se recogen</w:t>
      </w:r>
      <w:r w:rsidRPr="00B00376">
        <w:rPr>
          <w:rFonts w:ascii="Arial" w:hAnsi="Arial" w:cs="Arial"/>
        </w:rPr>
        <w:t xml:space="preserve"> las diferentes clasificaciones de niveles de evidencia y grados de recomendación utilizadas en cada una de las guías</w:t>
      </w:r>
      <w:r>
        <w:rPr>
          <w:rFonts w:ascii="Arial" w:hAnsi="Arial" w:cs="Arial"/>
        </w:rPr>
        <w:t>.</w:t>
      </w:r>
    </w:p>
    <w:p w:rsidR="007D48BC" w:rsidRPr="00B90548" w:rsidRDefault="007D48BC" w:rsidP="00BC3E8E">
      <w:pPr>
        <w:jc w:val="both"/>
        <w:rPr>
          <w:rFonts w:ascii="Arial" w:hAnsi="Arial" w:cs="Arial"/>
        </w:rPr>
      </w:pPr>
    </w:p>
    <w:p w:rsidR="007D48BC" w:rsidRPr="0071656E" w:rsidRDefault="007D48BC" w:rsidP="00BC3E8E">
      <w:pPr>
        <w:pStyle w:val="Ttulo2"/>
        <w:pBdr>
          <w:top w:val="single" w:sz="4" w:space="1" w:color="auto"/>
          <w:left w:val="single" w:sz="4" w:space="4" w:color="auto"/>
          <w:bottom w:val="single" w:sz="4" w:space="1" w:color="auto"/>
          <w:right w:val="single" w:sz="4" w:space="4" w:color="auto"/>
        </w:pBdr>
        <w:shd w:val="clear" w:color="auto" w:fill="D9D9D9"/>
        <w:rPr>
          <w:sz w:val="20"/>
          <w:szCs w:val="20"/>
        </w:rPr>
      </w:pPr>
      <w:bookmarkStart w:id="66" w:name="_Toc348931378"/>
      <w:r w:rsidRPr="006F6ABB">
        <w:rPr>
          <w:sz w:val="20"/>
          <w:szCs w:val="20"/>
        </w:rPr>
        <w:t>5.4.2 Evaluaciones previas por organismos independientes</w:t>
      </w:r>
      <w:bookmarkEnd w:id="66"/>
      <w:r w:rsidR="00FE59AC">
        <w:rPr>
          <w:sz w:val="20"/>
          <w:szCs w:val="20"/>
        </w:rPr>
        <w:fldChar w:fldCharType="begin"/>
      </w:r>
      <w:r>
        <w:instrText>xe "</w:instrText>
      </w:r>
      <w:r w:rsidRPr="00174AA1">
        <w:rPr>
          <w:sz w:val="20"/>
          <w:szCs w:val="20"/>
        </w:rPr>
        <w:instrText>5.4.2 Evaluaciones previas por organismos independientes</w:instrText>
      </w:r>
      <w:r>
        <w:instrText>"</w:instrText>
      </w:r>
      <w:r w:rsidR="00FE59AC">
        <w:rPr>
          <w:sz w:val="20"/>
          <w:szCs w:val="20"/>
        </w:rPr>
        <w:fldChar w:fldCharType="end"/>
      </w:r>
    </w:p>
    <w:p w:rsidR="007D48BC" w:rsidRDefault="007D48BC" w:rsidP="00BC3E8E">
      <w:pPr>
        <w:jc w:val="both"/>
        <w:rPr>
          <w:rFonts w:ascii="Arial" w:hAnsi="Arial" w:cs="Arial"/>
        </w:rPr>
      </w:pPr>
      <w:r w:rsidRPr="006F6ABB">
        <w:rPr>
          <w:rFonts w:ascii="Arial" w:hAnsi="Arial" w:cs="Arial"/>
        </w:rPr>
        <w:tab/>
      </w:r>
    </w:p>
    <w:p w:rsidR="007D48BC" w:rsidRPr="007F523B" w:rsidRDefault="007D48BC" w:rsidP="00D419CB">
      <w:pPr>
        <w:jc w:val="both"/>
        <w:rPr>
          <w:rFonts w:ascii="Arial" w:hAnsi="Arial" w:cs="Arial"/>
          <w:lang w:val="en-US"/>
        </w:rPr>
      </w:pPr>
      <w:r w:rsidRPr="007F523B">
        <w:rPr>
          <w:rFonts w:ascii="Arial" w:hAnsi="Arial" w:cs="Arial"/>
          <w:b/>
          <w:bCs/>
          <w:u w:val="single"/>
          <w:lang w:val="en-US"/>
        </w:rPr>
        <w:t>En otros países</w:t>
      </w:r>
      <w:r w:rsidRPr="007F523B">
        <w:rPr>
          <w:rFonts w:ascii="Arial" w:hAnsi="Arial" w:cs="Arial"/>
          <w:lang w:val="en-US"/>
        </w:rPr>
        <w:t xml:space="preserve">: </w:t>
      </w:r>
    </w:p>
    <w:p w:rsidR="007D48BC" w:rsidRPr="007F523B" w:rsidRDefault="007D48BC" w:rsidP="00D419CB">
      <w:pPr>
        <w:jc w:val="both"/>
        <w:rPr>
          <w:lang w:val="en-US"/>
        </w:rPr>
      </w:pPr>
    </w:p>
    <w:p w:rsidR="007D48BC" w:rsidRPr="009F714F" w:rsidRDefault="007D48BC" w:rsidP="004B471A">
      <w:pPr>
        <w:spacing w:line="360" w:lineRule="auto"/>
        <w:jc w:val="both"/>
        <w:rPr>
          <w:rFonts w:ascii="Arial" w:hAnsi="Arial" w:cs="Arial"/>
        </w:rPr>
      </w:pPr>
      <w:r w:rsidRPr="00873454">
        <w:rPr>
          <w:rFonts w:ascii="Arial" w:hAnsi="Arial" w:cs="Arial"/>
          <w:lang w:val="en-US"/>
        </w:rPr>
        <w:t>-</w:t>
      </w:r>
      <w:r w:rsidR="00443C09">
        <w:rPr>
          <w:rFonts w:ascii="Arial" w:hAnsi="Arial" w:cs="Arial"/>
          <w:lang w:val="en-US"/>
        </w:rPr>
        <w:t xml:space="preserve"> NICE: </w:t>
      </w:r>
      <w:r w:rsidRPr="00873454">
        <w:rPr>
          <w:rFonts w:ascii="Arial" w:hAnsi="Arial" w:cs="Arial"/>
          <w:lang w:val="en-US"/>
        </w:rPr>
        <w:t>Axicabtagen ciloleucel for treating diffuse large B-cell lymphoma and primary mediastinal B-cell</w:t>
      </w:r>
      <w:r>
        <w:rPr>
          <w:rFonts w:ascii="Arial" w:hAnsi="Arial" w:cs="Arial"/>
          <w:lang w:val="en-US"/>
        </w:rPr>
        <w:t xml:space="preserve"> </w:t>
      </w:r>
      <w:r w:rsidRPr="00873454">
        <w:rPr>
          <w:rFonts w:ascii="Arial" w:hAnsi="Arial" w:cs="Arial"/>
          <w:lang w:val="en-US"/>
        </w:rPr>
        <w:t>lymphoma after 2 or more systemic therapies [</w:t>
      </w:r>
      <w:r w:rsidR="00443C09">
        <w:rPr>
          <w:rFonts w:ascii="Arial" w:hAnsi="Arial" w:cs="Arial"/>
          <w:lang w:val="en-US"/>
        </w:rPr>
        <w:t>TA559</w:t>
      </w:r>
      <w:r w:rsidRPr="00873454">
        <w:rPr>
          <w:rFonts w:ascii="Arial" w:hAnsi="Arial" w:cs="Arial"/>
          <w:lang w:val="en-US"/>
        </w:rPr>
        <w:t xml:space="preserve">]. </w:t>
      </w:r>
      <w:r w:rsidR="00B94D8B" w:rsidRPr="00174EB6">
        <w:rPr>
          <w:rFonts w:ascii="Arial" w:hAnsi="Arial" w:cs="Arial"/>
        </w:rPr>
        <w:t>(</w:t>
      </w:r>
      <w:r w:rsidRPr="009F714F">
        <w:rPr>
          <w:rFonts w:ascii="Arial" w:hAnsi="Arial" w:cs="Arial"/>
        </w:rPr>
        <w:t>NICE</w:t>
      </w:r>
      <w:r w:rsidR="00B94D8B">
        <w:rPr>
          <w:rFonts w:ascii="Arial" w:hAnsi="Arial" w:cs="Arial"/>
        </w:rPr>
        <w:t>)</w:t>
      </w:r>
      <w:r w:rsidR="00B94D8B" w:rsidRPr="00B94D8B">
        <w:rPr>
          <w:rFonts w:ascii="Arial" w:hAnsi="Arial" w:cs="Arial"/>
          <w:vertAlign w:val="superscript"/>
        </w:rPr>
        <w:t>22</w:t>
      </w:r>
    </w:p>
    <w:p w:rsidR="007D48BC" w:rsidRPr="004B471A" w:rsidRDefault="00477AAA" w:rsidP="004B471A">
      <w:pPr>
        <w:spacing w:line="360" w:lineRule="auto"/>
        <w:jc w:val="both"/>
        <w:rPr>
          <w:rFonts w:ascii="Arial" w:hAnsi="Arial" w:cs="Arial"/>
          <w:b/>
          <w:bCs/>
          <w:i/>
          <w:iCs/>
        </w:rPr>
      </w:pPr>
      <w:r>
        <w:rPr>
          <w:rFonts w:ascii="Arial" w:hAnsi="Arial" w:cs="Arial"/>
        </w:rPr>
        <w:t>R</w:t>
      </w:r>
      <w:r w:rsidR="007D48BC">
        <w:rPr>
          <w:rFonts w:ascii="Arial" w:hAnsi="Arial" w:cs="Arial"/>
        </w:rPr>
        <w:t>ecomienda el uso del a</w:t>
      </w:r>
      <w:r w:rsidR="007D48BC" w:rsidRPr="004B471A">
        <w:rPr>
          <w:rFonts w:ascii="Arial" w:hAnsi="Arial" w:cs="Arial"/>
        </w:rPr>
        <w:t>xicabtagen ciloleucel</w:t>
      </w:r>
      <w:r w:rsidR="007D48BC">
        <w:rPr>
          <w:rFonts w:ascii="Arial" w:hAnsi="Arial" w:cs="Arial"/>
        </w:rPr>
        <w:t xml:space="preserve"> para </w:t>
      </w:r>
      <w:r w:rsidR="008258E3">
        <w:rPr>
          <w:rFonts w:ascii="Arial" w:hAnsi="Arial" w:cs="Arial"/>
        </w:rPr>
        <w:t>LDCBG</w:t>
      </w:r>
      <w:r w:rsidR="007D48BC" w:rsidRPr="004B471A">
        <w:rPr>
          <w:rFonts w:ascii="Arial" w:hAnsi="Arial" w:cs="Arial"/>
        </w:rPr>
        <w:t xml:space="preserve"> y </w:t>
      </w:r>
      <w:r w:rsidR="007D48BC" w:rsidRPr="000B0698">
        <w:rPr>
          <w:rFonts w:ascii="Arial" w:hAnsi="Arial" w:cs="Arial"/>
        </w:rPr>
        <w:t>LBPM</w:t>
      </w:r>
      <w:r w:rsidR="007D48BC" w:rsidRPr="004B471A">
        <w:rPr>
          <w:rFonts w:ascii="Arial" w:hAnsi="Arial" w:cs="Arial"/>
        </w:rPr>
        <w:t xml:space="preserve"> tras 2 o más líneas de tratamiento</w:t>
      </w:r>
      <w:r w:rsidR="0036447D">
        <w:rPr>
          <w:rFonts w:ascii="Arial" w:hAnsi="Arial" w:cs="Arial"/>
        </w:rPr>
        <w:t>, dentro de un programa de acceso controlado, con cargo a los fondos reservados para tratamientos de final de la vida en paciente oncológico y con un descuento confidencial en el precio de adquisición</w:t>
      </w:r>
      <w:r w:rsidR="007D48BC" w:rsidRPr="004B471A">
        <w:rPr>
          <w:rFonts w:ascii="Arial" w:hAnsi="Arial" w:cs="Arial"/>
        </w:rPr>
        <w:t>.</w:t>
      </w:r>
      <w:r w:rsidR="0036447D">
        <w:rPr>
          <w:rFonts w:ascii="Arial" w:hAnsi="Arial" w:cs="Arial"/>
        </w:rPr>
        <w:t xml:space="preserve"> El proveedor se compromete a aportar datos de seguimiento del estudio ZUMA-1 a 3 y 5 años y posteriormente el NICE publicará una reevaluación del medicamento.</w:t>
      </w:r>
      <w:r w:rsidR="007D48BC" w:rsidRPr="004B471A">
        <w:rPr>
          <w:rFonts w:ascii="Arial" w:hAnsi="Arial" w:cs="Arial"/>
        </w:rPr>
        <w:t xml:space="preserve"> Considera que no hay un tratamiento de elección en los pacientes refractarios o en recaída pero que pueden beneficiarse de QT de rescate</w:t>
      </w:r>
      <w:r w:rsidR="007D48BC">
        <w:rPr>
          <w:rFonts w:ascii="Arial" w:hAnsi="Arial" w:cs="Arial"/>
        </w:rPr>
        <w:t xml:space="preserve">. </w:t>
      </w:r>
      <w:r w:rsidR="007D48BC" w:rsidRPr="004B471A">
        <w:rPr>
          <w:rFonts w:ascii="Arial" w:hAnsi="Arial" w:cs="Arial"/>
        </w:rPr>
        <w:t>A pesar de los prometedores resultados del estudio pivotal, se trata de un estudio pequeño sin brazo control. No se conoce cuál sería el beneficio si se compara con la terapia habitual de rescate empleado en nuestro entorno.</w:t>
      </w:r>
      <w:r w:rsidR="0036447D">
        <w:rPr>
          <w:rFonts w:ascii="Arial" w:hAnsi="Arial" w:cs="Arial"/>
        </w:rPr>
        <w:t xml:space="preserve"> La ratio coste-efectividad puede ser favorable pero existe alta incertidumbre debido a que los datos de supervivencia global aún son inmaduros.</w:t>
      </w:r>
    </w:p>
    <w:p w:rsidR="007D48BC" w:rsidRPr="0021340C" w:rsidRDefault="007D48BC" w:rsidP="004F2408">
      <w:pPr>
        <w:spacing w:line="360" w:lineRule="auto"/>
        <w:jc w:val="both"/>
        <w:rPr>
          <w:rFonts w:ascii="Arial" w:hAnsi="Arial" w:cs="Arial"/>
        </w:rPr>
      </w:pPr>
      <w:r w:rsidRPr="004F2408">
        <w:rPr>
          <w:rFonts w:ascii="Arial" w:hAnsi="Arial" w:cs="Arial"/>
          <w:lang w:val="en-US"/>
        </w:rPr>
        <w:t>-</w:t>
      </w:r>
      <w:r w:rsidR="00443C09">
        <w:rPr>
          <w:rFonts w:ascii="Arial" w:hAnsi="Arial" w:cs="Arial"/>
          <w:lang w:val="en-US"/>
        </w:rPr>
        <w:t xml:space="preserve"> </w:t>
      </w:r>
      <w:r w:rsidR="00443C09" w:rsidRPr="0021340C">
        <w:rPr>
          <w:rFonts w:ascii="Arial" w:hAnsi="Arial" w:cs="Arial"/>
          <w:lang w:val="en-US"/>
        </w:rPr>
        <w:t xml:space="preserve">CADTH: </w:t>
      </w:r>
      <w:r w:rsidRPr="0021340C">
        <w:rPr>
          <w:rFonts w:ascii="Arial" w:hAnsi="Arial" w:cs="Arial"/>
          <w:lang w:val="en-US"/>
        </w:rPr>
        <w:t xml:space="preserve">Axicabtagen Ciloleucel for Adults With Relapsed or Refractory Large B-cell Lymphoma. </w:t>
      </w:r>
      <w:r w:rsidR="00EA6F39" w:rsidRPr="0021340C">
        <w:rPr>
          <w:rFonts w:ascii="Arial" w:hAnsi="Arial" w:cs="Arial"/>
        </w:rPr>
        <w:t xml:space="preserve">CADTH: </w:t>
      </w:r>
    </w:p>
    <w:p w:rsidR="00BD3013" w:rsidRPr="0021340C" w:rsidRDefault="00BD3013" w:rsidP="00BD3013">
      <w:pPr>
        <w:spacing w:line="360" w:lineRule="auto"/>
        <w:jc w:val="both"/>
        <w:rPr>
          <w:rFonts w:ascii="Arial" w:hAnsi="Arial" w:cs="Arial"/>
        </w:rPr>
      </w:pPr>
      <w:r w:rsidRPr="0021340C">
        <w:rPr>
          <w:rFonts w:ascii="Arial" w:hAnsi="Arial" w:cs="Arial"/>
        </w:rPr>
        <w:t>(prevista la publicación del informe definitivo en agosto de 2019)</w:t>
      </w:r>
    </w:p>
    <w:p w:rsidR="00BD3013" w:rsidRPr="0021340C" w:rsidRDefault="00BD3013" w:rsidP="00BD3013">
      <w:pPr>
        <w:spacing w:line="360" w:lineRule="auto"/>
        <w:jc w:val="both"/>
        <w:rPr>
          <w:rFonts w:ascii="Arial" w:hAnsi="Arial" w:cs="Arial"/>
        </w:rPr>
      </w:pPr>
      <w:r w:rsidRPr="0021340C">
        <w:rPr>
          <w:rFonts w:ascii="Arial" w:hAnsi="Arial" w:cs="Arial"/>
        </w:rPr>
        <w:t>El informe publicado hasta la fecha describe la búsqueda bibliográfica y la metodología de evaluación que se va a llevar a cabo, pero aún no describe resultados.</w:t>
      </w:r>
    </w:p>
    <w:p w:rsidR="007D48BC" w:rsidRPr="00AC7E13" w:rsidRDefault="007D48BC" w:rsidP="00335792">
      <w:pPr>
        <w:spacing w:line="360" w:lineRule="auto"/>
        <w:jc w:val="both"/>
        <w:rPr>
          <w:rFonts w:ascii="Arial" w:hAnsi="Arial" w:cs="Arial"/>
        </w:rPr>
      </w:pPr>
      <w:r w:rsidRPr="0021340C">
        <w:rPr>
          <w:rFonts w:ascii="Arial" w:hAnsi="Arial" w:cs="Arial"/>
          <w:lang w:val="en-US"/>
        </w:rPr>
        <w:t xml:space="preserve">-Chimeric Antigen Receptor T-Cell Therapy for B Cell Cancers: Effectiveness and Value. </w:t>
      </w:r>
      <w:r w:rsidRPr="0021340C">
        <w:rPr>
          <w:rFonts w:ascii="Arial" w:hAnsi="Arial" w:cs="Arial"/>
        </w:rPr>
        <w:t>ICER (2018)</w:t>
      </w:r>
      <w:r w:rsidRPr="0021340C">
        <w:rPr>
          <w:rFonts w:ascii="Arial" w:hAnsi="Arial" w:cs="Arial"/>
          <w:vertAlign w:val="superscript"/>
        </w:rPr>
        <w:t>23</w:t>
      </w:r>
      <w:r w:rsidRPr="0021340C">
        <w:rPr>
          <w:rFonts w:ascii="Arial" w:hAnsi="Arial" w:cs="Arial"/>
        </w:rPr>
        <w:t>:</w:t>
      </w:r>
      <w:r w:rsidRPr="00AC7E13">
        <w:rPr>
          <w:rFonts w:ascii="Arial" w:hAnsi="Arial" w:cs="Arial"/>
        </w:rPr>
        <w:t xml:space="preserve"> </w:t>
      </w:r>
    </w:p>
    <w:p w:rsidR="007D48BC" w:rsidRPr="000677B6" w:rsidRDefault="007D48BC" w:rsidP="00335792">
      <w:pPr>
        <w:spacing w:line="360" w:lineRule="auto"/>
        <w:jc w:val="both"/>
        <w:rPr>
          <w:rFonts w:ascii="Arial" w:hAnsi="Arial" w:cs="Arial"/>
        </w:rPr>
      </w:pPr>
      <w:r w:rsidRPr="000677B6">
        <w:rPr>
          <w:rFonts w:ascii="Arial" w:hAnsi="Arial" w:cs="Arial"/>
        </w:rPr>
        <w:t>La revisión de la efectividad clínica comparativa de las terapias CAR-T con otras terapias de rescate</w:t>
      </w:r>
      <w:r w:rsidR="007F1A64">
        <w:rPr>
          <w:rFonts w:ascii="Arial" w:hAnsi="Arial" w:cs="Arial"/>
        </w:rPr>
        <w:t xml:space="preserve"> en</w:t>
      </w:r>
      <w:r w:rsidRPr="000677B6">
        <w:rPr>
          <w:rFonts w:ascii="Arial" w:hAnsi="Arial" w:cs="Arial"/>
        </w:rPr>
        <w:t xml:space="preserve"> la DLBCL presenta una baja calidad científica ya que los estudios clínicos fueron pequeños, diseños de un solo brazo con seguimiento limitado e informe incompleto. Dado que ningún ensayo tuvo grupo de control, no es posible estimar los beneficios o daños comparativos de estas terapias novedosas en relación con terapias anteriores con indicaciones de la FDA para las mismas poblaciones de pacientes mediante comparaciones directas o indirectas. Por lo tanto, todas las comparaciones de los resultados de la terapia CAR-T deben considerarse descriptivas y potencialmente sujetas a sesgos de selección significativos y otros factores de confusión. Además, los tamaños de muestra pequeños y el seguimiento corto se suman a la incertidumbre para las estimaciones de eficacia clínica. </w:t>
      </w:r>
    </w:p>
    <w:p w:rsidR="007D48BC" w:rsidRPr="000677B6" w:rsidRDefault="007D48BC" w:rsidP="00335792">
      <w:pPr>
        <w:spacing w:line="360" w:lineRule="auto"/>
        <w:jc w:val="both"/>
        <w:rPr>
          <w:rFonts w:ascii="Arial" w:hAnsi="Arial" w:cs="Arial"/>
        </w:rPr>
      </w:pPr>
      <w:r w:rsidRPr="000677B6">
        <w:rPr>
          <w:rFonts w:ascii="Arial" w:hAnsi="Arial" w:cs="Arial"/>
        </w:rPr>
        <w:t>En relación con la eficacia, los resultados de remisión completa del ZUMA-1 (54%) han sido analizados por intención de tratar modificado incluyendo solo a los pacientes que se han tratado con el fármaco. Incluso con este cambio, las tasas de remisión completa son superiores con axicabtagen ciloleucel frente al resto de esquemas. En el SCHOLAR-1 la mediana de supervivencia fue de 6.3 meses y la estimación de la tasa de supervivencia al año y a los dos años fue 28% y 20% respectivamente.  A los seis meses, se estima un SG de 80% en el ZUMA-1 y 55% en el SCHOLAR-1.</w:t>
      </w:r>
    </w:p>
    <w:p w:rsidR="007D48BC" w:rsidRPr="004F2408" w:rsidRDefault="007D48BC" w:rsidP="004F2408">
      <w:pPr>
        <w:spacing w:line="360" w:lineRule="auto"/>
        <w:jc w:val="both"/>
        <w:rPr>
          <w:rFonts w:ascii="Arial" w:hAnsi="Arial" w:cs="Arial"/>
          <w:b/>
          <w:bCs/>
        </w:rPr>
      </w:pPr>
      <w:r>
        <w:rPr>
          <w:rFonts w:ascii="Arial" w:hAnsi="Arial" w:cs="Arial"/>
          <w:b/>
          <w:bCs/>
          <w:u w:val="single"/>
        </w:rPr>
        <w:t>A nivel nacional</w:t>
      </w:r>
      <w:r>
        <w:rPr>
          <w:rFonts w:ascii="Arial" w:hAnsi="Arial" w:cs="Arial"/>
          <w:b/>
          <w:bCs/>
        </w:rPr>
        <w:t xml:space="preserve">: </w:t>
      </w:r>
    </w:p>
    <w:p w:rsidR="007D48BC" w:rsidRDefault="007D48BC" w:rsidP="004F2408">
      <w:pPr>
        <w:spacing w:line="360" w:lineRule="auto"/>
        <w:jc w:val="both"/>
      </w:pPr>
      <w:r w:rsidRPr="00873454">
        <w:rPr>
          <w:rFonts w:ascii="Arial" w:hAnsi="Arial" w:cs="Arial"/>
        </w:rPr>
        <w:t>No se ha</w:t>
      </w:r>
      <w:r>
        <w:rPr>
          <w:rFonts w:ascii="Arial" w:hAnsi="Arial" w:cs="Arial"/>
        </w:rPr>
        <w:t>n</w:t>
      </w:r>
      <w:r w:rsidRPr="00873454">
        <w:rPr>
          <w:rFonts w:ascii="Arial" w:hAnsi="Arial" w:cs="Arial"/>
        </w:rPr>
        <w:t xml:space="preserve"> localizado evaluaciones en agencias</w:t>
      </w:r>
      <w:r w:rsidR="005F269A">
        <w:rPr>
          <w:rFonts w:ascii="Arial" w:hAnsi="Arial" w:cs="Arial"/>
        </w:rPr>
        <w:t xml:space="preserve"> de evaluación de tecnologías, sociedades u organismos</w:t>
      </w:r>
      <w:r w:rsidRPr="00873454">
        <w:rPr>
          <w:rFonts w:ascii="Arial" w:hAnsi="Arial" w:cs="Arial"/>
        </w:rPr>
        <w:t xml:space="preserve"> español</w:t>
      </w:r>
      <w:r w:rsidR="005F269A">
        <w:rPr>
          <w:rFonts w:ascii="Arial" w:hAnsi="Arial" w:cs="Arial"/>
        </w:rPr>
        <w:t>e</w:t>
      </w:r>
      <w:r w:rsidRPr="00873454">
        <w:rPr>
          <w:rFonts w:ascii="Arial" w:hAnsi="Arial" w:cs="Arial"/>
        </w:rPr>
        <w:t xml:space="preserve">s ni finalizadas ni en proceso. </w:t>
      </w:r>
      <w:r w:rsidR="005F269A">
        <w:rPr>
          <w:rFonts w:ascii="Arial" w:hAnsi="Arial" w:cs="Arial"/>
        </w:rPr>
        <w:t>El Informe de Posicionamiento Terapéutico está pendiente.</w:t>
      </w:r>
    </w:p>
    <w:p w:rsidR="007D48BC" w:rsidRPr="00873454" w:rsidRDefault="007D48BC" w:rsidP="00BC3E8E">
      <w:pPr>
        <w:jc w:val="both"/>
        <w:rPr>
          <w:rFonts w:ascii="Arial" w:hAnsi="Arial" w:cs="Arial"/>
        </w:rPr>
      </w:pPr>
    </w:p>
    <w:p w:rsidR="007D48BC" w:rsidRDefault="007D48BC" w:rsidP="00BC3E8E">
      <w:pPr>
        <w:pStyle w:val="Ttulo2"/>
        <w:pBdr>
          <w:top w:val="single" w:sz="4" w:space="1" w:color="auto"/>
          <w:left w:val="single" w:sz="4" w:space="4" w:color="auto"/>
          <w:bottom w:val="single" w:sz="4" w:space="1" w:color="auto"/>
          <w:right w:val="single" w:sz="4" w:space="4" w:color="auto"/>
        </w:pBdr>
        <w:shd w:val="clear" w:color="auto" w:fill="D9D9D9"/>
        <w:rPr>
          <w:sz w:val="20"/>
          <w:szCs w:val="20"/>
        </w:rPr>
      </w:pPr>
      <w:bookmarkStart w:id="67" w:name="_Toc348931379"/>
      <w:r w:rsidRPr="0071656E">
        <w:rPr>
          <w:sz w:val="20"/>
          <w:szCs w:val="20"/>
        </w:rPr>
        <w:t>5.4.3 Opiniones de expertos</w:t>
      </w:r>
      <w:bookmarkEnd w:id="67"/>
      <w:r w:rsidR="00FE59AC">
        <w:rPr>
          <w:sz w:val="20"/>
          <w:szCs w:val="20"/>
        </w:rPr>
        <w:fldChar w:fldCharType="begin"/>
      </w:r>
      <w:r>
        <w:instrText>xe "</w:instrText>
      </w:r>
      <w:r w:rsidRPr="00167464">
        <w:rPr>
          <w:sz w:val="20"/>
          <w:szCs w:val="20"/>
        </w:rPr>
        <w:instrText>5.4.3 Opiniones de expertos</w:instrText>
      </w:r>
      <w:r>
        <w:instrText>"</w:instrText>
      </w:r>
      <w:r w:rsidR="00FE59AC">
        <w:rPr>
          <w:sz w:val="20"/>
          <w:szCs w:val="20"/>
        </w:rPr>
        <w:fldChar w:fldCharType="end"/>
      </w:r>
      <w:r w:rsidRPr="0071656E">
        <w:rPr>
          <w:sz w:val="20"/>
          <w:szCs w:val="20"/>
        </w:rPr>
        <w:t xml:space="preserve"> </w:t>
      </w:r>
    </w:p>
    <w:p w:rsidR="007D48BC" w:rsidRDefault="007D48BC" w:rsidP="00BC3E8E">
      <w:pPr>
        <w:rPr>
          <w:rFonts w:ascii="Arial" w:hAnsi="Arial" w:cs="Arial"/>
        </w:rPr>
      </w:pPr>
    </w:p>
    <w:p w:rsidR="007D48BC" w:rsidRDefault="007D48BC" w:rsidP="00BC3E8E">
      <w:pPr>
        <w:rPr>
          <w:rFonts w:ascii="Arial" w:hAnsi="Arial" w:cs="Arial"/>
        </w:rPr>
      </w:pPr>
      <w:r>
        <w:rPr>
          <w:rFonts w:ascii="Arial" w:hAnsi="Arial" w:cs="Arial"/>
        </w:rPr>
        <w:t>No se dispone de opiniones de expertos al respecto</w:t>
      </w:r>
    </w:p>
    <w:p w:rsidR="007D48BC" w:rsidRDefault="007D48BC" w:rsidP="00BC3E8E">
      <w:pPr>
        <w:rPr>
          <w:rFonts w:ascii="Arial" w:hAnsi="Arial" w:cs="Arial"/>
        </w:rPr>
      </w:pPr>
    </w:p>
    <w:p w:rsidR="007D48BC" w:rsidRPr="0071656E" w:rsidRDefault="007D48BC" w:rsidP="00BC3E8E">
      <w:pPr>
        <w:pStyle w:val="Ttulo2"/>
        <w:pBdr>
          <w:top w:val="single" w:sz="4" w:space="1" w:color="auto"/>
          <w:left w:val="single" w:sz="4" w:space="4" w:color="auto"/>
          <w:bottom w:val="single" w:sz="4" w:space="1" w:color="auto"/>
          <w:right w:val="single" w:sz="4" w:space="4" w:color="auto"/>
        </w:pBdr>
        <w:shd w:val="clear" w:color="auto" w:fill="D9D9D9"/>
        <w:rPr>
          <w:sz w:val="20"/>
          <w:szCs w:val="20"/>
        </w:rPr>
      </w:pPr>
      <w:bookmarkStart w:id="68" w:name="_Toc348931380"/>
      <w:r w:rsidRPr="006F6ABB">
        <w:rPr>
          <w:sz w:val="20"/>
          <w:szCs w:val="20"/>
        </w:rPr>
        <w:t>5.4.4 Otras fuentes</w:t>
      </w:r>
      <w:r w:rsidRPr="0071656E">
        <w:rPr>
          <w:sz w:val="20"/>
          <w:szCs w:val="20"/>
        </w:rPr>
        <w:t>.</w:t>
      </w:r>
      <w:bookmarkEnd w:id="68"/>
      <w:r w:rsidR="00FE59AC">
        <w:rPr>
          <w:sz w:val="20"/>
          <w:szCs w:val="20"/>
        </w:rPr>
        <w:fldChar w:fldCharType="begin"/>
      </w:r>
      <w:r>
        <w:instrText>xe "</w:instrText>
      </w:r>
      <w:r w:rsidRPr="0058226C">
        <w:rPr>
          <w:sz w:val="20"/>
          <w:szCs w:val="20"/>
        </w:rPr>
        <w:instrText>5.4.4 Otras fuentes.</w:instrText>
      </w:r>
      <w:r>
        <w:instrText>"</w:instrText>
      </w:r>
      <w:r w:rsidR="00FE59AC">
        <w:rPr>
          <w:sz w:val="20"/>
          <w:szCs w:val="20"/>
        </w:rPr>
        <w:fldChar w:fldCharType="end"/>
      </w:r>
    </w:p>
    <w:p w:rsidR="007D48BC" w:rsidRDefault="007D48BC" w:rsidP="00BC3E8E">
      <w:pPr>
        <w:rPr>
          <w:rFonts w:ascii="Arial" w:hAnsi="Arial" w:cs="Arial"/>
          <w:b/>
          <w:bCs/>
        </w:rPr>
      </w:pPr>
      <w:r w:rsidRPr="006F6ABB">
        <w:rPr>
          <w:rFonts w:ascii="Arial" w:hAnsi="Arial" w:cs="Arial"/>
          <w:b/>
          <w:bCs/>
        </w:rPr>
        <w:t xml:space="preserve">                 </w:t>
      </w:r>
    </w:p>
    <w:p w:rsidR="007D48BC" w:rsidRDefault="007D48BC" w:rsidP="00BC3E8E">
      <w:pPr>
        <w:rPr>
          <w:rFonts w:ascii="Arial" w:hAnsi="Arial" w:cs="Arial"/>
        </w:rPr>
      </w:pPr>
      <w:r>
        <w:rPr>
          <w:rFonts w:ascii="Arial" w:hAnsi="Arial" w:cs="Arial"/>
        </w:rPr>
        <w:t>No procede.</w:t>
      </w:r>
    </w:p>
    <w:p w:rsidR="007D48BC" w:rsidRPr="00DC0552" w:rsidRDefault="007D48BC" w:rsidP="00BC3E8E"/>
    <w:tbl>
      <w:tblPr>
        <w:tblW w:w="8890" w:type="dxa"/>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8890"/>
      </w:tblGrid>
      <w:tr w:rsidR="007D48BC" w:rsidRPr="006F6ABB">
        <w:trPr>
          <w:trHeight w:val="228"/>
        </w:trPr>
        <w:tc>
          <w:tcPr>
            <w:tcW w:w="8890" w:type="dxa"/>
            <w:shd w:val="clear" w:color="auto" w:fill="B3B3B3"/>
          </w:tcPr>
          <w:p w:rsidR="007D48BC" w:rsidRPr="00B746E8" w:rsidRDefault="007D48BC" w:rsidP="00BC3E8E">
            <w:pPr>
              <w:pStyle w:val="Ttulo1"/>
              <w:shd w:val="clear" w:color="auto" w:fill="A6A6A6"/>
              <w:rPr>
                <w:rFonts w:ascii="Arial" w:hAnsi="Arial" w:cs="Arial"/>
                <w:kern w:val="0"/>
                <w:sz w:val="20"/>
                <w:szCs w:val="20"/>
              </w:rPr>
            </w:pPr>
            <w:bookmarkStart w:id="69" w:name="_Toc344399650"/>
            <w:bookmarkStart w:id="70" w:name="_Toc348931381"/>
            <w:r w:rsidRPr="00B746E8">
              <w:rPr>
                <w:rFonts w:ascii="Arial" w:hAnsi="Arial" w:cs="Arial"/>
                <w:kern w:val="0"/>
                <w:sz w:val="20"/>
                <w:szCs w:val="20"/>
              </w:rPr>
              <w:t>6. EVALUACIÓN DE LA SEGURIDAD.</w:t>
            </w:r>
            <w:bookmarkEnd w:id="69"/>
            <w:bookmarkEnd w:id="70"/>
            <w:r w:rsidR="00FE59AC">
              <w:rPr>
                <w:rFonts w:ascii="Arial" w:hAnsi="Arial" w:cs="Arial"/>
                <w:kern w:val="0"/>
                <w:sz w:val="20"/>
                <w:szCs w:val="20"/>
              </w:rPr>
              <w:fldChar w:fldCharType="begin"/>
            </w:r>
            <w:r>
              <w:instrText>xe "</w:instrText>
            </w:r>
            <w:r w:rsidRPr="00D749FC">
              <w:rPr>
                <w:rFonts w:ascii="Arial" w:hAnsi="Arial" w:cs="Arial"/>
                <w:kern w:val="0"/>
                <w:sz w:val="20"/>
                <w:szCs w:val="20"/>
              </w:rPr>
              <w:instrText>6. EVALUACIÓN DE LA SEGURIDAD.</w:instrText>
            </w:r>
            <w:r>
              <w:instrText>"</w:instrText>
            </w:r>
            <w:r w:rsidR="00FE59AC">
              <w:rPr>
                <w:rFonts w:ascii="Arial" w:hAnsi="Arial" w:cs="Arial"/>
                <w:kern w:val="0"/>
                <w:sz w:val="20"/>
                <w:szCs w:val="20"/>
              </w:rPr>
              <w:fldChar w:fldCharType="end"/>
            </w:r>
            <w:r w:rsidRPr="00B746E8">
              <w:rPr>
                <w:rFonts w:ascii="Arial" w:hAnsi="Arial" w:cs="Arial"/>
                <w:kern w:val="0"/>
                <w:sz w:val="20"/>
                <w:szCs w:val="20"/>
              </w:rPr>
              <w:t xml:space="preserve"> </w:t>
            </w:r>
          </w:p>
        </w:tc>
      </w:tr>
    </w:tbl>
    <w:p w:rsidR="007D48BC" w:rsidRPr="006F6ABB" w:rsidRDefault="007D48BC" w:rsidP="00BC3E8E">
      <w:pPr>
        <w:rPr>
          <w:rFonts w:ascii="Arial" w:hAnsi="Arial" w:cs="Arial"/>
        </w:rPr>
      </w:pPr>
    </w:p>
    <w:p w:rsidR="007D48BC" w:rsidRPr="00E3472F" w:rsidRDefault="007D48BC" w:rsidP="00BC3E8E">
      <w:pPr>
        <w:pStyle w:val="Ttulo2"/>
        <w:pBdr>
          <w:top w:val="single" w:sz="4" w:space="1" w:color="auto"/>
          <w:left w:val="single" w:sz="4" w:space="4" w:color="auto"/>
          <w:bottom w:val="single" w:sz="4" w:space="1" w:color="auto"/>
          <w:right w:val="single" w:sz="4" w:space="4" w:color="auto"/>
        </w:pBdr>
        <w:shd w:val="clear" w:color="auto" w:fill="D9D9D9"/>
        <w:rPr>
          <w:sz w:val="20"/>
          <w:szCs w:val="20"/>
        </w:rPr>
      </w:pPr>
      <w:bookmarkStart w:id="71" w:name="_Toc344399651"/>
      <w:bookmarkStart w:id="72" w:name="_Toc348931382"/>
      <w:r w:rsidRPr="00E3472F">
        <w:rPr>
          <w:sz w:val="20"/>
          <w:szCs w:val="20"/>
        </w:rPr>
        <w:t>6.1.a Descripción de la búsqueda bibliográfica</w:t>
      </w:r>
      <w:bookmarkEnd w:id="71"/>
      <w:bookmarkEnd w:id="72"/>
      <w:r w:rsidR="00FE59AC">
        <w:rPr>
          <w:sz w:val="20"/>
          <w:szCs w:val="20"/>
        </w:rPr>
        <w:fldChar w:fldCharType="begin"/>
      </w:r>
      <w:r>
        <w:instrText>xe "</w:instrText>
      </w:r>
      <w:r w:rsidRPr="0074420A">
        <w:rPr>
          <w:sz w:val="20"/>
          <w:szCs w:val="20"/>
        </w:rPr>
        <w:instrText>6.1.a Descripción de la búsqueda bibliográfica</w:instrText>
      </w:r>
      <w:r>
        <w:instrText>"</w:instrText>
      </w:r>
      <w:r w:rsidR="00FE59AC">
        <w:rPr>
          <w:sz w:val="20"/>
          <w:szCs w:val="20"/>
        </w:rPr>
        <w:fldChar w:fldCharType="end"/>
      </w:r>
    </w:p>
    <w:p w:rsidR="007D48BC" w:rsidRDefault="007D48BC" w:rsidP="000B0D88">
      <w:pPr>
        <w:rPr>
          <w:rFonts w:ascii="Arial" w:hAnsi="Arial" w:cs="Arial"/>
          <w:color w:val="000000"/>
        </w:rPr>
      </w:pPr>
    </w:p>
    <w:p w:rsidR="007D48BC" w:rsidRPr="000B0D88" w:rsidRDefault="007D48BC" w:rsidP="000B0D88">
      <w:r>
        <w:rPr>
          <w:rFonts w:ascii="Arial" w:hAnsi="Arial" w:cs="Arial"/>
          <w:color w:val="000000"/>
        </w:rPr>
        <w:t xml:space="preserve">La descrita en el apartado de eficacia. </w:t>
      </w:r>
    </w:p>
    <w:p w:rsidR="007D48BC" w:rsidRPr="006F6ABB" w:rsidRDefault="007D48BC" w:rsidP="00BC3E8E">
      <w:pPr>
        <w:rPr>
          <w:rFonts w:ascii="Arial" w:hAnsi="Arial" w:cs="Arial"/>
          <w:color w:val="FF0000"/>
        </w:rPr>
      </w:pPr>
    </w:p>
    <w:p w:rsidR="007D48BC" w:rsidRPr="00E3472F" w:rsidRDefault="007D48BC" w:rsidP="00BC3E8E">
      <w:pPr>
        <w:pStyle w:val="Ttulo2"/>
        <w:pBdr>
          <w:top w:val="single" w:sz="4" w:space="1" w:color="auto"/>
          <w:left w:val="single" w:sz="4" w:space="4" w:color="auto"/>
          <w:bottom w:val="single" w:sz="4" w:space="1" w:color="auto"/>
          <w:right w:val="single" w:sz="4" w:space="4" w:color="auto"/>
        </w:pBdr>
        <w:shd w:val="clear" w:color="auto" w:fill="D9D9D9"/>
        <w:rPr>
          <w:sz w:val="20"/>
          <w:szCs w:val="20"/>
        </w:rPr>
      </w:pPr>
      <w:bookmarkStart w:id="73" w:name="_Toc344399652"/>
      <w:bookmarkStart w:id="74" w:name="_Toc348931383"/>
      <w:r w:rsidRPr="00E3472F">
        <w:rPr>
          <w:sz w:val="20"/>
          <w:szCs w:val="20"/>
        </w:rPr>
        <w:t>6.1.b Descripción de los efectos adversos más significativos</w:t>
      </w:r>
      <w:bookmarkEnd w:id="73"/>
      <w:bookmarkEnd w:id="74"/>
    </w:p>
    <w:p w:rsidR="007D48BC" w:rsidRPr="006F6ABB" w:rsidRDefault="007D48BC" w:rsidP="00BC3E8E">
      <w:pPr>
        <w:shd w:val="clear" w:color="auto" w:fill="FFFFFF"/>
        <w:jc w:val="both"/>
        <w:rPr>
          <w:rFonts w:ascii="Arial" w:hAnsi="Arial" w:cs="Arial"/>
        </w:rPr>
      </w:pPr>
    </w:p>
    <w:p w:rsidR="007D48BC" w:rsidRDefault="007D48BC" w:rsidP="004F2408">
      <w:pPr>
        <w:spacing w:line="360" w:lineRule="auto"/>
        <w:jc w:val="both"/>
        <w:rPr>
          <w:rFonts w:ascii="Arial" w:hAnsi="Arial" w:cs="Arial"/>
        </w:rPr>
      </w:pPr>
      <w:r w:rsidRPr="000B0D88">
        <w:rPr>
          <w:rFonts w:ascii="Arial" w:hAnsi="Arial" w:cs="Arial"/>
        </w:rPr>
        <w:t>Las reacciones adversas notificadas con mayor frecuencia</w:t>
      </w:r>
      <w:r>
        <w:rPr>
          <w:rFonts w:ascii="Arial" w:hAnsi="Arial" w:cs="Arial"/>
        </w:rPr>
        <w:t xml:space="preserve"> en el estudio pivotal</w:t>
      </w:r>
      <w:r>
        <w:rPr>
          <w:rFonts w:ascii="Arial" w:hAnsi="Arial" w:cs="Arial"/>
          <w:vertAlign w:val="superscript"/>
        </w:rPr>
        <w:t>16</w:t>
      </w:r>
      <w:r w:rsidRPr="00752F54">
        <w:rPr>
          <w:rFonts w:ascii="Arial" w:hAnsi="Arial" w:cs="Arial"/>
          <w:vertAlign w:val="superscript"/>
        </w:rPr>
        <w:t xml:space="preserve"> </w:t>
      </w:r>
      <w:r w:rsidRPr="000B0D88">
        <w:rPr>
          <w:rFonts w:ascii="Arial" w:hAnsi="Arial" w:cs="Arial"/>
        </w:rPr>
        <w:t>fueron</w:t>
      </w:r>
      <w:r>
        <w:rPr>
          <w:rFonts w:ascii="Arial" w:hAnsi="Arial" w:cs="Arial"/>
        </w:rPr>
        <w:t xml:space="preserve">: </w:t>
      </w:r>
      <w:r w:rsidRPr="000B0D88">
        <w:rPr>
          <w:rFonts w:ascii="Arial" w:hAnsi="Arial" w:cs="Arial"/>
        </w:rPr>
        <w:t xml:space="preserve">Síndrome de liberación de citoquinas </w:t>
      </w:r>
      <w:r>
        <w:rPr>
          <w:rFonts w:ascii="Arial" w:hAnsi="Arial" w:cs="Arial"/>
        </w:rPr>
        <w:t>(</w:t>
      </w:r>
      <w:r w:rsidRPr="000B0D88">
        <w:rPr>
          <w:rFonts w:ascii="Arial" w:hAnsi="Arial" w:cs="Arial"/>
        </w:rPr>
        <w:t>SLC</w:t>
      </w:r>
      <w:r>
        <w:rPr>
          <w:rFonts w:ascii="Arial" w:hAnsi="Arial" w:cs="Arial"/>
        </w:rPr>
        <w:t>)</w:t>
      </w:r>
      <w:r w:rsidRPr="000B0D88">
        <w:rPr>
          <w:rFonts w:ascii="Arial" w:hAnsi="Arial" w:cs="Arial"/>
        </w:rPr>
        <w:t xml:space="preserve"> (93 %), encefalopatía (58 %) e infecciones (38 %). </w:t>
      </w:r>
    </w:p>
    <w:p w:rsidR="007D48BC" w:rsidRPr="00752F54" w:rsidRDefault="007D48BC" w:rsidP="004F2408">
      <w:pPr>
        <w:spacing w:line="360" w:lineRule="auto"/>
        <w:jc w:val="both"/>
        <w:rPr>
          <w:rFonts w:ascii="Arial" w:hAnsi="Arial" w:cs="Arial"/>
        </w:rPr>
      </w:pPr>
      <w:r>
        <w:rPr>
          <w:rFonts w:ascii="Arial" w:hAnsi="Arial" w:cs="Arial"/>
        </w:rPr>
        <w:t xml:space="preserve">El 55% de los pacientes sufrieron reacciones adversas graves. Las más importantes fueron encefalopatía (20%), infección sin patógeno claro (15%), infección bacteriana (5%), infección vírica (5%), pirexia (5%) y neutropenia febril (5%). Más del 80% de los pacientes sufrió una reacción adversa grado 3. </w:t>
      </w:r>
      <w:r w:rsidRPr="000B0D88">
        <w:rPr>
          <w:rFonts w:ascii="Arial" w:hAnsi="Arial" w:cs="Arial"/>
        </w:rPr>
        <w:t>Se observó neutropenia, trombocitopenia y anemia de grado 3 o superior, presentes aún en el día 30 o después, en el 31%, 27% y 17% de los pacientes, respectivamente.</w:t>
      </w:r>
      <w:r>
        <w:rPr>
          <w:rFonts w:ascii="Arial" w:hAnsi="Arial" w:cs="Arial"/>
        </w:rPr>
        <w:t xml:space="preserve"> La seguridad de a</w:t>
      </w:r>
      <w:r w:rsidRPr="00D419CB">
        <w:rPr>
          <w:rFonts w:ascii="Arial" w:hAnsi="Arial" w:cs="Arial"/>
        </w:rPr>
        <w:t xml:space="preserve">xicabtagen </w:t>
      </w:r>
      <w:r>
        <w:rPr>
          <w:rFonts w:ascii="Arial" w:hAnsi="Arial" w:cs="Arial"/>
        </w:rPr>
        <w:t>c</w:t>
      </w:r>
      <w:r w:rsidRPr="00D419CB">
        <w:rPr>
          <w:rFonts w:ascii="Arial" w:hAnsi="Arial" w:cs="Arial"/>
        </w:rPr>
        <w:t>iloleucel</w:t>
      </w:r>
      <w:r>
        <w:rPr>
          <w:rFonts w:ascii="Arial" w:hAnsi="Arial" w:cs="Arial"/>
        </w:rPr>
        <w:t xml:space="preserve"> en pacientes con </w:t>
      </w:r>
      <w:r w:rsidRPr="00CF596B">
        <w:rPr>
          <w:rFonts w:ascii="Arial" w:hAnsi="Arial" w:cs="Arial"/>
        </w:rPr>
        <w:t>linfoma B difuso de células grandes (</w:t>
      </w:r>
      <w:r w:rsidR="008258E3">
        <w:rPr>
          <w:rFonts w:ascii="Arial" w:hAnsi="Arial" w:cs="Arial"/>
        </w:rPr>
        <w:t>LDCBG</w:t>
      </w:r>
      <w:r w:rsidRPr="00CF596B">
        <w:rPr>
          <w:rFonts w:ascii="Arial" w:hAnsi="Arial" w:cs="Arial"/>
        </w:rPr>
        <w:t>) refractario o en recaída</w:t>
      </w:r>
      <w:r>
        <w:rPr>
          <w:rFonts w:ascii="Arial" w:hAnsi="Arial" w:cs="Arial"/>
        </w:rPr>
        <w:t xml:space="preserve"> se ha evaluado en 108 pac</w:t>
      </w:r>
      <w:r w:rsidR="005E1EB6">
        <w:rPr>
          <w:rFonts w:ascii="Arial" w:hAnsi="Arial" w:cs="Arial"/>
        </w:rPr>
        <w:t>ientes (</w:t>
      </w:r>
      <w:r>
        <w:rPr>
          <w:rFonts w:ascii="Arial" w:hAnsi="Arial" w:cs="Arial"/>
        </w:rPr>
        <w:t xml:space="preserve">7 Fase I y 101 Fase II). </w:t>
      </w:r>
    </w:p>
    <w:p w:rsidR="007D48BC" w:rsidRPr="00752F54" w:rsidRDefault="007D48BC" w:rsidP="004F2408">
      <w:pPr>
        <w:spacing w:line="360" w:lineRule="auto"/>
        <w:jc w:val="both"/>
        <w:rPr>
          <w:rFonts w:ascii="Arial" w:hAnsi="Arial" w:cs="Arial"/>
        </w:rPr>
      </w:pPr>
      <w:r w:rsidRPr="00C83394">
        <w:rPr>
          <w:rFonts w:ascii="Arial" w:hAnsi="Arial" w:cs="Arial"/>
        </w:rPr>
        <w:t>En la tabla 10 se</w:t>
      </w:r>
      <w:r>
        <w:rPr>
          <w:rFonts w:ascii="Arial" w:hAnsi="Arial" w:cs="Arial"/>
        </w:rPr>
        <w:t xml:space="preserve"> describen los eventos adversos observados en el análisis combinado y actualizado del estudio pivotal. </w:t>
      </w:r>
    </w:p>
    <w:p w:rsidR="007D48BC" w:rsidRDefault="007D48BC" w:rsidP="004F2408">
      <w:pPr>
        <w:spacing w:line="360" w:lineRule="auto"/>
        <w:jc w:val="both"/>
      </w:pPr>
      <w:r w:rsidRPr="001823C6">
        <w:rPr>
          <w:rFonts w:ascii="Arial" w:hAnsi="Arial" w:cs="Arial"/>
        </w:rPr>
        <w:t>En la tabla 11 se muestran</w:t>
      </w:r>
      <w:r>
        <w:rPr>
          <w:rFonts w:ascii="Arial" w:hAnsi="Arial" w:cs="Arial"/>
        </w:rPr>
        <w:t xml:space="preserve"> los eventos adversos graves ocurridos en la población analizada.</w:t>
      </w:r>
    </w:p>
    <w:p w:rsidR="007D48BC" w:rsidRDefault="007D48BC" w:rsidP="004F2408">
      <w:pPr>
        <w:spacing w:line="360" w:lineRule="auto"/>
        <w:jc w:val="both"/>
        <w:rPr>
          <w:rFonts w:ascii="Arial" w:hAnsi="Arial" w:cs="Arial"/>
          <w:b/>
          <w:bCs/>
          <w:sz w:val="18"/>
          <w:szCs w:val="18"/>
          <w:vertAlign w:val="superscript"/>
        </w:rPr>
      </w:pPr>
      <w:r>
        <w:rPr>
          <w:rFonts w:ascii="Arial" w:hAnsi="Arial" w:cs="Arial"/>
          <w:b/>
          <w:bCs/>
          <w:sz w:val="18"/>
          <w:szCs w:val="18"/>
        </w:rPr>
        <w:t>Tabla 10. Eventos adversos observados en el estudio pivotal</w:t>
      </w:r>
      <w:r w:rsidRPr="00AF471B">
        <w:rPr>
          <w:rFonts w:ascii="Arial" w:hAnsi="Arial" w:cs="Arial"/>
          <w:b/>
          <w:bCs/>
          <w:sz w:val="18"/>
          <w:szCs w:val="18"/>
          <w:vertAlign w:val="superscript"/>
        </w:rPr>
        <w:t>1</w:t>
      </w:r>
      <w:r>
        <w:rPr>
          <w:rFonts w:ascii="Arial" w:hAnsi="Arial" w:cs="Arial"/>
          <w:b/>
          <w:bCs/>
          <w:sz w:val="18"/>
          <w:szCs w:val="18"/>
          <w:vertAlign w:val="superscript"/>
        </w:rPr>
        <w:t>6</w:t>
      </w:r>
    </w:p>
    <w:p w:rsidR="007D48BC" w:rsidRPr="001823C6" w:rsidRDefault="007D48BC" w:rsidP="004F2408">
      <w:pPr>
        <w:spacing w:line="360" w:lineRule="auto"/>
        <w:jc w:val="both"/>
        <w:rPr>
          <w:rFonts w:ascii="Arial" w:hAnsi="Arial" w:cs="Arial"/>
          <w:b/>
          <w:bCs/>
          <w:sz w:val="18"/>
          <w:szCs w:val="18"/>
          <w:vertAlign w:val="superscript"/>
        </w:rPr>
      </w:pPr>
    </w:p>
    <w:tbl>
      <w:tblPr>
        <w:tblW w:w="0" w:type="auto"/>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3539"/>
        <w:gridCol w:w="1418"/>
        <w:gridCol w:w="1984"/>
        <w:gridCol w:w="1788"/>
      </w:tblGrid>
      <w:tr w:rsidR="007D48BC" w:rsidRPr="00735AF7">
        <w:tc>
          <w:tcPr>
            <w:tcW w:w="8729" w:type="dxa"/>
            <w:gridSpan w:val="4"/>
            <w:shd w:val="clear" w:color="auto" w:fill="CCFFCC"/>
          </w:tcPr>
          <w:p w:rsidR="007D48BC" w:rsidRPr="00117945" w:rsidRDefault="007D48BC" w:rsidP="007D6063">
            <w:pPr>
              <w:rPr>
                <w:rFonts w:ascii="Arial" w:hAnsi="Arial" w:cs="Arial"/>
                <w:i/>
                <w:iCs/>
                <w:sz w:val="18"/>
                <w:szCs w:val="18"/>
                <w:lang w:val="es-ES_tradnl"/>
              </w:rPr>
            </w:pPr>
            <w:r>
              <w:rPr>
                <w:rFonts w:ascii="Arial" w:hAnsi="Arial" w:cs="Arial"/>
                <w:b/>
                <w:bCs/>
                <w:sz w:val="18"/>
                <w:szCs w:val="18"/>
              </w:rPr>
              <w:t>Tabla 10. Estudio ZUMA-1 (FASE II)</w:t>
            </w:r>
            <w:r w:rsidRPr="009A6B97">
              <w:rPr>
                <w:rFonts w:ascii="Arial" w:hAnsi="Arial" w:cs="Arial"/>
                <w:b/>
                <w:bCs/>
                <w:sz w:val="18"/>
                <w:szCs w:val="18"/>
                <w:vertAlign w:val="superscript"/>
              </w:rPr>
              <w:t>1</w:t>
            </w:r>
            <w:r>
              <w:rPr>
                <w:rFonts w:ascii="Arial" w:hAnsi="Arial" w:cs="Arial"/>
                <w:b/>
                <w:bCs/>
                <w:sz w:val="18"/>
                <w:szCs w:val="18"/>
                <w:vertAlign w:val="superscript"/>
              </w:rPr>
              <w:t>6</w:t>
            </w:r>
          </w:p>
          <w:p w:rsidR="007D48BC" w:rsidRPr="003D2521" w:rsidRDefault="007D48BC" w:rsidP="00AE4F58">
            <w:pPr>
              <w:jc w:val="both"/>
              <w:rPr>
                <w:rFonts w:ascii="Arial" w:hAnsi="Arial" w:cs="Arial"/>
                <w:b/>
                <w:bCs/>
                <w:sz w:val="16"/>
                <w:szCs w:val="16"/>
                <w:lang w:val="en-GB"/>
              </w:rPr>
            </w:pPr>
            <w:r w:rsidRPr="003D2521">
              <w:rPr>
                <w:rFonts w:ascii="Arial" w:hAnsi="Arial" w:cs="Arial"/>
                <w:b/>
                <w:bCs/>
                <w:i/>
                <w:iCs/>
                <w:sz w:val="16"/>
                <w:szCs w:val="16"/>
                <w:lang w:val="en-GB"/>
              </w:rPr>
              <w:t>Referencia:</w:t>
            </w:r>
            <w:r w:rsidRPr="003D2521">
              <w:rPr>
                <w:lang w:val="en-GB"/>
              </w:rPr>
              <w:t xml:space="preserve"> </w:t>
            </w:r>
            <w:r w:rsidRPr="003D2521">
              <w:rPr>
                <w:rFonts w:ascii="Arial" w:hAnsi="Arial" w:cs="Arial"/>
                <w:b/>
                <w:bCs/>
                <w:i/>
                <w:iCs/>
                <w:sz w:val="16"/>
                <w:szCs w:val="16"/>
                <w:lang w:val="en-GB"/>
              </w:rPr>
              <w:t xml:space="preserve">Neelapu SS, Locke FL, Bartlett NL, Lekakis LJ, Miklos DB, Jacobson CA, Braunschweig I, et al. </w:t>
            </w:r>
            <w:r w:rsidRPr="00BF72B7">
              <w:rPr>
                <w:rFonts w:ascii="Arial" w:hAnsi="Arial" w:cs="Arial"/>
                <w:b/>
                <w:bCs/>
                <w:i/>
                <w:iCs/>
                <w:sz w:val="16"/>
                <w:szCs w:val="16"/>
                <w:lang w:val="en-US"/>
              </w:rPr>
              <w:t>Axicabtagen</w:t>
            </w:r>
            <w:r w:rsidR="00C404C6">
              <w:rPr>
                <w:rFonts w:ascii="Arial" w:hAnsi="Arial" w:cs="Arial"/>
                <w:b/>
                <w:bCs/>
                <w:i/>
                <w:iCs/>
                <w:sz w:val="16"/>
                <w:szCs w:val="16"/>
                <w:lang w:val="en-US"/>
              </w:rPr>
              <w:t>e</w:t>
            </w:r>
            <w:r w:rsidRPr="00BF72B7">
              <w:rPr>
                <w:rFonts w:ascii="Arial" w:hAnsi="Arial" w:cs="Arial"/>
                <w:b/>
                <w:bCs/>
                <w:i/>
                <w:iCs/>
                <w:sz w:val="16"/>
                <w:szCs w:val="16"/>
                <w:lang w:val="en-US"/>
              </w:rPr>
              <w:t xml:space="preserve"> Ciloleucel CAR T-Cell Therapy</w:t>
            </w:r>
            <w:r>
              <w:rPr>
                <w:rFonts w:ascii="Arial" w:hAnsi="Arial" w:cs="Arial"/>
                <w:b/>
                <w:bCs/>
                <w:i/>
                <w:iCs/>
                <w:sz w:val="16"/>
                <w:szCs w:val="16"/>
                <w:lang w:val="en-US"/>
              </w:rPr>
              <w:t xml:space="preserve"> </w:t>
            </w:r>
            <w:r w:rsidRPr="00BF72B7">
              <w:rPr>
                <w:rFonts w:ascii="Arial" w:hAnsi="Arial" w:cs="Arial"/>
                <w:b/>
                <w:bCs/>
                <w:i/>
                <w:iCs/>
                <w:sz w:val="16"/>
                <w:szCs w:val="16"/>
                <w:lang w:val="en-US"/>
              </w:rPr>
              <w:t>in Refractory Large B-Ce</w:t>
            </w:r>
            <w:r w:rsidR="00AE4F58">
              <w:rPr>
                <w:rFonts w:ascii="Arial" w:hAnsi="Arial" w:cs="Arial"/>
                <w:b/>
                <w:bCs/>
                <w:i/>
                <w:iCs/>
                <w:sz w:val="16"/>
                <w:szCs w:val="16"/>
                <w:lang w:val="en-US"/>
              </w:rPr>
              <w:t>ll Lymphoma. N Engl J Med. 2017</w:t>
            </w:r>
            <w:r w:rsidRPr="00BF72B7">
              <w:rPr>
                <w:rFonts w:ascii="Arial" w:hAnsi="Arial" w:cs="Arial"/>
                <w:b/>
                <w:bCs/>
                <w:i/>
                <w:iCs/>
                <w:sz w:val="16"/>
                <w:szCs w:val="16"/>
                <w:lang w:val="en-US"/>
              </w:rPr>
              <w:t>;377(26):2531-44.</w:t>
            </w:r>
            <w:r>
              <w:rPr>
                <w:rFonts w:ascii="Arial" w:hAnsi="Arial" w:cs="Arial"/>
                <w:b/>
                <w:bCs/>
                <w:i/>
                <w:iCs/>
                <w:sz w:val="16"/>
                <w:szCs w:val="16"/>
                <w:lang w:val="en-US"/>
              </w:rPr>
              <w:t xml:space="preserve"> </w:t>
            </w:r>
            <w:r w:rsidRPr="00D851E3">
              <w:rPr>
                <w:rFonts w:ascii="Arial" w:hAnsi="Arial" w:cs="Arial"/>
                <w:b/>
                <w:bCs/>
                <w:i/>
                <w:iCs/>
                <w:sz w:val="16"/>
                <w:szCs w:val="16"/>
                <w:lang w:val="en-US"/>
              </w:rPr>
              <w:t>doi: 10.1056/NEJMoa1707447.</w:t>
            </w:r>
          </w:p>
        </w:tc>
      </w:tr>
      <w:tr w:rsidR="007D48BC" w:rsidRPr="00735AF7">
        <w:trPr>
          <w:trHeight w:val="64"/>
        </w:trPr>
        <w:tc>
          <w:tcPr>
            <w:tcW w:w="8729" w:type="dxa"/>
            <w:gridSpan w:val="4"/>
          </w:tcPr>
          <w:p w:rsidR="007D48BC" w:rsidRPr="003D2521" w:rsidRDefault="007D48BC" w:rsidP="00DF144E">
            <w:pPr>
              <w:jc w:val="both"/>
              <w:rPr>
                <w:rFonts w:ascii="Arial" w:hAnsi="Arial" w:cs="Arial"/>
                <w:b/>
                <w:bCs/>
                <w:sz w:val="16"/>
                <w:szCs w:val="16"/>
                <w:lang w:val="en-GB"/>
              </w:rPr>
            </w:pPr>
          </w:p>
        </w:tc>
      </w:tr>
      <w:tr w:rsidR="007D48BC" w:rsidRPr="006F6ABB">
        <w:tc>
          <w:tcPr>
            <w:tcW w:w="8729" w:type="dxa"/>
            <w:gridSpan w:val="4"/>
            <w:shd w:val="clear" w:color="auto" w:fill="CCFFCC"/>
          </w:tcPr>
          <w:p w:rsidR="007D48BC" w:rsidRPr="006F6ABB" w:rsidRDefault="007D48BC" w:rsidP="00DF144E">
            <w:pPr>
              <w:jc w:val="both"/>
              <w:rPr>
                <w:rFonts w:ascii="Arial" w:hAnsi="Arial" w:cs="Arial"/>
                <w:i/>
                <w:iCs/>
                <w:sz w:val="16"/>
                <w:szCs w:val="16"/>
                <w:lang w:val="es-ES_tradnl"/>
              </w:rPr>
            </w:pPr>
            <w:r w:rsidRPr="006F6ABB">
              <w:rPr>
                <w:rFonts w:ascii="Arial" w:hAnsi="Arial" w:cs="Arial"/>
                <w:b/>
                <w:bCs/>
                <w:sz w:val="16"/>
                <w:szCs w:val="16"/>
                <w:lang w:val="es-ES_tradnl"/>
              </w:rPr>
              <w:t>Resultados de seguridad</w:t>
            </w:r>
          </w:p>
        </w:tc>
      </w:tr>
      <w:tr w:rsidR="007D48BC" w:rsidRPr="006F6ABB">
        <w:trPr>
          <w:trHeight w:val="232"/>
        </w:trPr>
        <w:tc>
          <w:tcPr>
            <w:tcW w:w="3539" w:type="dxa"/>
            <w:vAlign w:val="center"/>
          </w:tcPr>
          <w:p w:rsidR="007D48BC" w:rsidRPr="006F6ABB" w:rsidRDefault="007D48BC" w:rsidP="006A37C9">
            <w:pPr>
              <w:jc w:val="center"/>
              <w:rPr>
                <w:rFonts w:ascii="Arial" w:hAnsi="Arial" w:cs="Arial"/>
                <w:b/>
                <w:bCs/>
                <w:i/>
                <w:iCs/>
                <w:sz w:val="16"/>
                <w:szCs w:val="16"/>
              </w:rPr>
            </w:pPr>
            <w:r>
              <w:rPr>
                <w:rFonts w:ascii="Arial" w:hAnsi="Arial" w:cs="Arial"/>
                <w:b/>
                <w:bCs/>
                <w:i/>
                <w:iCs/>
                <w:sz w:val="16"/>
                <w:szCs w:val="16"/>
              </w:rPr>
              <w:t>Efectos adversos</w:t>
            </w:r>
          </w:p>
        </w:tc>
        <w:tc>
          <w:tcPr>
            <w:tcW w:w="1418" w:type="dxa"/>
            <w:vAlign w:val="center"/>
          </w:tcPr>
          <w:p w:rsidR="007D48BC" w:rsidRPr="007D6063" w:rsidRDefault="007D48BC" w:rsidP="006A37C9">
            <w:pPr>
              <w:tabs>
                <w:tab w:val="left" w:pos="1673"/>
              </w:tabs>
              <w:jc w:val="center"/>
              <w:rPr>
                <w:rFonts w:ascii="Arial" w:hAnsi="Arial" w:cs="Arial"/>
                <w:b/>
                <w:bCs/>
                <w:i/>
                <w:iCs/>
                <w:sz w:val="16"/>
                <w:szCs w:val="16"/>
              </w:rPr>
            </w:pPr>
            <w:r>
              <w:rPr>
                <w:rFonts w:ascii="Arial" w:hAnsi="Arial" w:cs="Arial"/>
                <w:b/>
                <w:bCs/>
                <w:i/>
                <w:iCs/>
                <w:sz w:val="16"/>
                <w:szCs w:val="16"/>
              </w:rPr>
              <w:t>Cualquier grado</w:t>
            </w:r>
          </w:p>
        </w:tc>
        <w:tc>
          <w:tcPr>
            <w:tcW w:w="1984" w:type="dxa"/>
            <w:vAlign w:val="center"/>
          </w:tcPr>
          <w:p w:rsidR="007D48BC" w:rsidRPr="006F6ABB" w:rsidRDefault="007D48BC" w:rsidP="006A37C9">
            <w:pPr>
              <w:tabs>
                <w:tab w:val="left" w:pos="1673"/>
              </w:tabs>
              <w:jc w:val="center"/>
              <w:rPr>
                <w:rFonts w:ascii="Arial" w:hAnsi="Arial" w:cs="Arial"/>
                <w:b/>
                <w:bCs/>
                <w:i/>
                <w:iCs/>
                <w:sz w:val="16"/>
                <w:szCs w:val="16"/>
                <w:lang w:val="pt-BR"/>
              </w:rPr>
            </w:pPr>
            <w:r>
              <w:rPr>
                <w:rFonts w:ascii="Arial" w:hAnsi="Arial" w:cs="Arial"/>
                <w:b/>
                <w:bCs/>
                <w:i/>
                <w:iCs/>
                <w:sz w:val="16"/>
                <w:szCs w:val="16"/>
                <w:lang w:val="pt-BR"/>
              </w:rPr>
              <w:t>Grado I-II</w:t>
            </w:r>
          </w:p>
        </w:tc>
        <w:tc>
          <w:tcPr>
            <w:tcW w:w="1788" w:type="dxa"/>
            <w:vAlign w:val="center"/>
          </w:tcPr>
          <w:p w:rsidR="007D48BC" w:rsidRPr="006F6ABB" w:rsidRDefault="007D48BC" w:rsidP="006A37C9">
            <w:pPr>
              <w:jc w:val="center"/>
              <w:rPr>
                <w:rFonts w:ascii="Arial" w:hAnsi="Arial" w:cs="Arial"/>
                <w:b/>
                <w:bCs/>
                <w:i/>
                <w:iCs/>
                <w:sz w:val="16"/>
                <w:szCs w:val="16"/>
                <w:lang w:val="fr-FR"/>
              </w:rPr>
            </w:pPr>
            <w:r>
              <w:rPr>
                <w:rFonts w:ascii="Arial" w:hAnsi="Arial" w:cs="Arial"/>
                <w:b/>
                <w:bCs/>
                <w:i/>
                <w:iCs/>
                <w:sz w:val="16"/>
                <w:szCs w:val="16"/>
                <w:lang w:val="fr-FR"/>
              </w:rPr>
              <w:t>Grado III-IV</w:t>
            </w:r>
          </w:p>
        </w:tc>
      </w:tr>
      <w:tr w:rsidR="007D48BC" w:rsidRPr="006F6ABB">
        <w:trPr>
          <w:trHeight w:val="280"/>
        </w:trPr>
        <w:tc>
          <w:tcPr>
            <w:tcW w:w="3539" w:type="dxa"/>
            <w:vAlign w:val="center"/>
          </w:tcPr>
          <w:p w:rsidR="007D48BC" w:rsidRDefault="007D48BC" w:rsidP="006A37C9">
            <w:pPr>
              <w:jc w:val="center"/>
              <w:rPr>
                <w:rFonts w:ascii="Arial" w:hAnsi="Arial" w:cs="Arial"/>
                <w:b/>
                <w:bCs/>
                <w:i/>
                <w:iCs/>
                <w:sz w:val="16"/>
                <w:szCs w:val="16"/>
              </w:rPr>
            </w:pPr>
          </w:p>
        </w:tc>
        <w:tc>
          <w:tcPr>
            <w:tcW w:w="5190" w:type="dxa"/>
            <w:gridSpan w:val="3"/>
            <w:vAlign w:val="center"/>
          </w:tcPr>
          <w:p w:rsidR="007D48BC" w:rsidRDefault="007D48BC" w:rsidP="006A37C9">
            <w:pPr>
              <w:jc w:val="center"/>
              <w:rPr>
                <w:rFonts w:ascii="Arial" w:hAnsi="Arial" w:cs="Arial"/>
                <w:b/>
                <w:bCs/>
                <w:i/>
                <w:iCs/>
                <w:sz w:val="16"/>
                <w:szCs w:val="16"/>
                <w:lang w:val="fr-FR"/>
              </w:rPr>
            </w:pPr>
            <w:r>
              <w:rPr>
                <w:rFonts w:ascii="Arial" w:hAnsi="Arial" w:cs="Arial"/>
                <w:b/>
                <w:bCs/>
                <w:i/>
                <w:iCs/>
                <w:sz w:val="16"/>
                <w:szCs w:val="16"/>
                <w:lang w:val="fr-FR"/>
              </w:rPr>
              <w:t>Nº pacientes (%)</w:t>
            </w:r>
          </w:p>
        </w:tc>
      </w:tr>
      <w:tr w:rsidR="007D48BC" w:rsidRPr="006F6ABB">
        <w:trPr>
          <w:cantSplit/>
          <w:trHeight w:val="709"/>
        </w:trPr>
        <w:tc>
          <w:tcPr>
            <w:tcW w:w="3539" w:type="dxa"/>
          </w:tcPr>
          <w:p w:rsidR="007D48BC" w:rsidRDefault="007D48BC" w:rsidP="00DF144E">
            <w:pPr>
              <w:snapToGrid w:val="0"/>
              <w:rPr>
                <w:rFonts w:ascii="Arial" w:hAnsi="Arial" w:cs="Arial"/>
                <w:i/>
                <w:iCs/>
                <w:sz w:val="16"/>
                <w:szCs w:val="16"/>
              </w:rPr>
            </w:pPr>
            <w:r w:rsidRPr="006F6ABB">
              <w:rPr>
                <w:rFonts w:ascii="Arial" w:hAnsi="Arial" w:cs="Arial"/>
                <w:i/>
                <w:iCs/>
                <w:sz w:val="16"/>
                <w:szCs w:val="16"/>
              </w:rPr>
              <w:t xml:space="preserve"> -</w:t>
            </w:r>
            <w:r>
              <w:rPr>
                <w:rFonts w:ascii="Arial" w:hAnsi="Arial" w:cs="Arial"/>
                <w:i/>
                <w:iCs/>
                <w:sz w:val="16"/>
                <w:szCs w:val="16"/>
              </w:rPr>
              <w:t>Cualquier efecto adverso</w:t>
            </w:r>
          </w:p>
          <w:p w:rsidR="007D48BC" w:rsidRDefault="007D48BC" w:rsidP="00DF144E">
            <w:pPr>
              <w:snapToGrid w:val="0"/>
              <w:rPr>
                <w:rFonts w:ascii="Arial" w:hAnsi="Arial" w:cs="Arial"/>
                <w:i/>
                <w:iCs/>
                <w:sz w:val="16"/>
                <w:szCs w:val="16"/>
              </w:rPr>
            </w:pPr>
            <w:r>
              <w:rPr>
                <w:rFonts w:ascii="Arial" w:hAnsi="Arial" w:cs="Arial"/>
                <w:i/>
                <w:iCs/>
                <w:sz w:val="16"/>
                <w:szCs w:val="16"/>
              </w:rPr>
              <w:t>-Pirexia</w:t>
            </w:r>
          </w:p>
          <w:p w:rsidR="007D48BC" w:rsidRDefault="007D48BC" w:rsidP="00DF144E">
            <w:pPr>
              <w:snapToGrid w:val="0"/>
              <w:rPr>
                <w:rFonts w:ascii="Arial" w:hAnsi="Arial" w:cs="Arial"/>
                <w:i/>
                <w:iCs/>
                <w:sz w:val="16"/>
                <w:szCs w:val="16"/>
              </w:rPr>
            </w:pPr>
            <w:r>
              <w:rPr>
                <w:rFonts w:ascii="Arial" w:hAnsi="Arial" w:cs="Arial"/>
                <w:i/>
                <w:iCs/>
                <w:sz w:val="16"/>
                <w:szCs w:val="16"/>
              </w:rPr>
              <w:t>-Neutropenia</w:t>
            </w:r>
          </w:p>
          <w:p w:rsidR="007D48BC" w:rsidRDefault="007D48BC" w:rsidP="00DF144E">
            <w:pPr>
              <w:snapToGrid w:val="0"/>
              <w:rPr>
                <w:rFonts w:ascii="Arial" w:hAnsi="Arial" w:cs="Arial"/>
                <w:i/>
                <w:iCs/>
                <w:sz w:val="16"/>
                <w:szCs w:val="16"/>
              </w:rPr>
            </w:pPr>
            <w:r>
              <w:rPr>
                <w:rFonts w:ascii="Arial" w:hAnsi="Arial" w:cs="Arial"/>
                <w:i/>
                <w:iCs/>
                <w:sz w:val="16"/>
                <w:szCs w:val="16"/>
              </w:rPr>
              <w:t>-Anemia</w:t>
            </w:r>
          </w:p>
          <w:p w:rsidR="007D48BC" w:rsidRDefault="007D48BC" w:rsidP="00DF144E">
            <w:pPr>
              <w:snapToGrid w:val="0"/>
              <w:rPr>
                <w:rFonts w:ascii="Arial" w:hAnsi="Arial" w:cs="Arial"/>
                <w:i/>
                <w:iCs/>
                <w:sz w:val="16"/>
                <w:szCs w:val="16"/>
              </w:rPr>
            </w:pPr>
            <w:r>
              <w:rPr>
                <w:rFonts w:ascii="Arial" w:hAnsi="Arial" w:cs="Arial"/>
                <w:i/>
                <w:iCs/>
                <w:sz w:val="16"/>
                <w:szCs w:val="16"/>
              </w:rPr>
              <w:t>-Hipotensión</w:t>
            </w:r>
          </w:p>
          <w:p w:rsidR="007D48BC" w:rsidRDefault="007D48BC" w:rsidP="00DF144E">
            <w:pPr>
              <w:snapToGrid w:val="0"/>
              <w:rPr>
                <w:rFonts w:ascii="Arial" w:hAnsi="Arial" w:cs="Arial"/>
                <w:i/>
                <w:iCs/>
                <w:sz w:val="16"/>
                <w:szCs w:val="16"/>
              </w:rPr>
            </w:pPr>
            <w:r>
              <w:rPr>
                <w:rFonts w:ascii="Arial" w:hAnsi="Arial" w:cs="Arial"/>
                <w:i/>
                <w:iCs/>
                <w:sz w:val="16"/>
                <w:szCs w:val="16"/>
              </w:rPr>
              <w:t>-Trombocitopenia</w:t>
            </w:r>
          </w:p>
          <w:p w:rsidR="007D48BC" w:rsidRDefault="007D48BC" w:rsidP="00DF144E">
            <w:pPr>
              <w:snapToGrid w:val="0"/>
              <w:rPr>
                <w:rFonts w:ascii="Arial" w:hAnsi="Arial" w:cs="Arial"/>
                <w:i/>
                <w:iCs/>
                <w:sz w:val="16"/>
                <w:szCs w:val="16"/>
              </w:rPr>
            </w:pPr>
            <w:r>
              <w:rPr>
                <w:rFonts w:ascii="Arial" w:hAnsi="Arial" w:cs="Arial"/>
                <w:i/>
                <w:iCs/>
                <w:sz w:val="16"/>
                <w:szCs w:val="16"/>
              </w:rPr>
              <w:t>-Nauseas</w:t>
            </w:r>
          </w:p>
          <w:p w:rsidR="007D48BC" w:rsidRDefault="007D48BC" w:rsidP="00DF144E">
            <w:pPr>
              <w:snapToGrid w:val="0"/>
              <w:rPr>
                <w:rFonts w:ascii="Arial" w:hAnsi="Arial" w:cs="Arial"/>
                <w:i/>
                <w:iCs/>
                <w:sz w:val="16"/>
                <w:szCs w:val="16"/>
              </w:rPr>
            </w:pPr>
            <w:r>
              <w:rPr>
                <w:rFonts w:ascii="Arial" w:hAnsi="Arial" w:cs="Arial"/>
                <w:i/>
                <w:iCs/>
                <w:sz w:val="16"/>
                <w:szCs w:val="16"/>
              </w:rPr>
              <w:t>-Cansancio</w:t>
            </w:r>
          </w:p>
          <w:p w:rsidR="007D48BC" w:rsidRDefault="007D48BC" w:rsidP="00DF144E">
            <w:pPr>
              <w:snapToGrid w:val="0"/>
              <w:rPr>
                <w:rFonts w:ascii="Arial" w:hAnsi="Arial" w:cs="Arial"/>
                <w:i/>
                <w:iCs/>
                <w:sz w:val="16"/>
                <w:szCs w:val="16"/>
              </w:rPr>
            </w:pPr>
            <w:r>
              <w:rPr>
                <w:rFonts w:ascii="Arial" w:hAnsi="Arial" w:cs="Arial"/>
                <w:i/>
                <w:iCs/>
                <w:sz w:val="16"/>
                <w:szCs w:val="16"/>
              </w:rPr>
              <w:t>-Disminución de la ingesta</w:t>
            </w:r>
          </w:p>
          <w:p w:rsidR="007D48BC" w:rsidRDefault="007D48BC" w:rsidP="00DF144E">
            <w:pPr>
              <w:snapToGrid w:val="0"/>
              <w:rPr>
                <w:rFonts w:ascii="Arial" w:hAnsi="Arial" w:cs="Arial"/>
                <w:i/>
                <w:iCs/>
                <w:sz w:val="16"/>
                <w:szCs w:val="16"/>
              </w:rPr>
            </w:pPr>
            <w:r>
              <w:rPr>
                <w:rFonts w:ascii="Arial" w:hAnsi="Arial" w:cs="Arial"/>
                <w:i/>
                <w:iCs/>
                <w:sz w:val="16"/>
                <w:szCs w:val="16"/>
              </w:rPr>
              <w:t>-Dolor de cabeza</w:t>
            </w:r>
          </w:p>
          <w:p w:rsidR="007D48BC" w:rsidRDefault="007D48BC" w:rsidP="00DF144E">
            <w:pPr>
              <w:snapToGrid w:val="0"/>
              <w:rPr>
                <w:rFonts w:ascii="Arial" w:hAnsi="Arial" w:cs="Arial"/>
                <w:i/>
                <w:iCs/>
                <w:sz w:val="16"/>
                <w:szCs w:val="16"/>
              </w:rPr>
            </w:pPr>
            <w:r>
              <w:rPr>
                <w:rFonts w:ascii="Arial" w:hAnsi="Arial" w:cs="Arial"/>
                <w:i/>
                <w:iCs/>
                <w:sz w:val="16"/>
                <w:szCs w:val="16"/>
              </w:rPr>
              <w:t>-Diarrea</w:t>
            </w:r>
          </w:p>
          <w:p w:rsidR="007D48BC" w:rsidRPr="006F6ABB" w:rsidRDefault="007D48BC" w:rsidP="00DF144E">
            <w:pPr>
              <w:snapToGrid w:val="0"/>
              <w:rPr>
                <w:rFonts w:ascii="Arial" w:hAnsi="Arial" w:cs="Arial"/>
                <w:i/>
                <w:iCs/>
                <w:sz w:val="16"/>
                <w:szCs w:val="16"/>
              </w:rPr>
            </w:pPr>
            <w:r>
              <w:rPr>
                <w:rFonts w:ascii="Arial" w:hAnsi="Arial" w:cs="Arial"/>
                <w:i/>
                <w:iCs/>
                <w:sz w:val="16"/>
                <w:szCs w:val="16"/>
              </w:rPr>
              <w:t>-Hipoalbuminemia</w:t>
            </w:r>
          </w:p>
          <w:p w:rsidR="007D48BC" w:rsidRDefault="007D48BC" w:rsidP="00DF144E">
            <w:pPr>
              <w:snapToGrid w:val="0"/>
              <w:rPr>
                <w:rFonts w:ascii="Arial" w:hAnsi="Arial" w:cs="Arial"/>
                <w:i/>
                <w:iCs/>
                <w:sz w:val="16"/>
                <w:szCs w:val="16"/>
              </w:rPr>
            </w:pPr>
            <w:r>
              <w:rPr>
                <w:rFonts w:ascii="Arial" w:hAnsi="Arial" w:cs="Arial"/>
                <w:i/>
                <w:iCs/>
                <w:sz w:val="16"/>
                <w:szCs w:val="16"/>
              </w:rPr>
              <w:t>-Hipocalcemia</w:t>
            </w:r>
          </w:p>
          <w:p w:rsidR="007D48BC" w:rsidRDefault="007D48BC" w:rsidP="00DF144E">
            <w:pPr>
              <w:snapToGrid w:val="0"/>
              <w:rPr>
                <w:rFonts w:ascii="Arial" w:hAnsi="Arial" w:cs="Arial"/>
                <w:i/>
                <w:iCs/>
                <w:sz w:val="16"/>
                <w:szCs w:val="16"/>
              </w:rPr>
            </w:pPr>
            <w:r>
              <w:rPr>
                <w:rFonts w:ascii="Arial" w:hAnsi="Arial" w:cs="Arial"/>
                <w:i/>
                <w:iCs/>
                <w:sz w:val="16"/>
                <w:szCs w:val="16"/>
              </w:rPr>
              <w:t>-Escalofríos</w:t>
            </w:r>
          </w:p>
          <w:p w:rsidR="007D48BC" w:rsidRPr="001626D4" w:rsidRDefault="007D48BC" w:rsidP="00DF144E">
            <w:pPr>
              <w:snapToGrid w:val="0"/>
              <w:rPr>
                <w:rFonts w:ascii="Arial" w:hAnsi="Arial" w:cs="Arial"/>
                <w:i/>
                <w:iCs/>
                <w:sz w:val="16"/>
                <w:szCs w:val="16"/>
                <w:lang w:val="pt-BR"/>
              </w:rPr>
            </w:pPr>
            <w:r w:rsidRPr="001626D4">
              <w:rPr>
                <w:rFonts w:ascii="Arial" w:hAnsi="Arial" w:cs="Arial"/>
                <w:i/>
                <w:iCs/>
                <w:sz w:val="16"/>
                <w:szCs w:val="16"/>
                <w:lang w:val="pt-BR"/>
              </w:rPr>
              <w:t>-Taquicardia</w:t>
            </w:r>
          </w:p>
          <w:p w:rsidR="007D48BC" w:rsidRPr="001626D4" w:rsidRDefault="007D48BC" w:rsidP="00DF144E">
            <w:pPr>
              <w:snapToGrid w:val="0"/>
              <w:rPr>
                <w:rFonts w:ascii="Arial" w:hAnsi="Arial" w:cs="Arial"/>
                <w:i/>
                <w:iCs/>
                <w:sz w:val="16"/>
                <w:szCs w:val="16"/>
                <w:lang w:val="pt-BR"/>
              </w:rPr>
            </w:pPr>
            <w:r w:rsidRPr="001626D4">
              <w:rPr>
                <w:rFonts w:ascii="Arial" w:hAnsi="Arial" w:cs="Arial"/>
                <w:i/>
                <w:iCs/>
                <w:sz w:val="16"/>
                <w:szCs w:val="16"/>
                <w:lang w:val="pt-BR"/>
              </w:rPr>
              <w:t>-Neutropenia febril</w:t>
            </w:r>
          </w:p>
          <w:p w:rsidR="007D48BC" w:rsidRPr="001626D4" w:rsidRDefault="007D48BC" w:rsidP="00DF144E">
            <w:pPr>
              <w:snapToGrid w:val="0"/>
              <w:rPr>
                <w:rFonts w:ascii="Arial" w:hAnsi="Arial" w:cs="Arial"/>
                <w:i/>
                <w:iCs/>
                <w:sz w:val="16"/>
                <w:szCs w:val="16"/>
                <w:lang w:val="pt-BR"/>
              </w:rPr>
            </w:pPr>
            <w:r w:rsidRPr="001626D4">
              <w:rPr>
                <w:rFonts w:ascii="Arial" w:hAnsi="Arial" w:cs="Arial"/>
                <w:i/>
                <w:iCs/>
                <w:sz w:val="16"/>
                <w:szCs w:val="16"/>
                <w:lang w:val="pt-BR"/>
              </w:rPr>
              <w:t>-Encefalopatía</w:t>
            </w:r>
          </w:p>
          <w:p w:rsidR="007D48BC" w:rsidRPr="001626D4" w:rsidRDefault="007D48BC" w:rsidP="00DF144E">
            <w:pPr>
              <w:snapToGrid w:val="0"/>
              <w:rPr>
                <w:rFonts w:ascii="Arial" w:hAnsi="Arial" w:cs="Arial"/>
                <w:i/>
                <w:iCs/>
                <w:sz w:val="16"/>
                <w:szCs w:val="16"/>
                <w:lang w:val="pt-BR"/>
              </w:rPr>
            </w:pPr>
            <w:r w:rsidRPr="001626D4">
              <w:rPr>
                <w:rFonts w:ascii="Arial" w:hAnsi="Arial" w:cs="Arial"/>
                <w:i/>
                <w:iCs/>
                <w:sz w:val="16"/>
                <w:szCs w:val="16"/>
                <w:lang w:val="pt-BR"/>
              </w:rPr>
              <w:t>-Vómitos</w:t>
            </w:r>
          </w:p>
          <w:p w:rsidR="007D48BC" w:rsidRPr="001626D4" w:rsidRDefault="007D48BC" w:rsidP="00DF144E">
            <w:pPr>
              <w:snapToGrid w:val="0"/>
              <w:rPr>
                <w:rFonts w:ascii="Arial" w:hAnsi="Arial" w:cs="Arial"/>
                <w:i/>
                <w:iCs/>
                <w:sz w:val="16"/>
                <w:szCs w:val="16"/>
                <w:lang w:val="pt-BR"/>
              </w:rPr>
            </w:pPr>
            <w:r w:rsidRPr="001626D4">
              <w:rPr>
                <w:rFonts w:ascii="Arial" w:hAnsi="Arial" w:cs="Arial"/>
                <w:i/>
                <w:iCs/>
                <w:sz w:val="16"/>
                <w:szCs w:val="16"/>
                <w:lang w:val="pt-BR"/>
              </w:rPr>
              <w:t>-Hipokalemia</w:t>
            </w:r>
          </w:p>
          <w:p w:rsidR="007D48BC" w:rsidRDefault="007D48BC" w:rsidP="00DF144E">
            <w:pPr>
              <w:snapToGrid w:val="0"/>
              <w:rPr>
                <w:rFonts w:ascii="Arial" w:hAnsi="Arial" w:cs="Arial"/>
                <w:i/>
                <w:iCs/>
                <w:sz w:val="16"/>
                <w:szCs w:val="16"/>
              </w:rPr>
            </w:pPr>
            <w:r>
              <w:rPr>
                <w:rFonts w:ascii="Arial" w:hAnsi="Arial" w:cs="Arial"/>
                <w:i/>
                <w:iCs/>
                <w:sz w:val="16"/>
                <w:szCs w:val="16"/>
              </w:rPr>
              <w:t>-Hiponatremia</w:t>
            </w:r>
          </w:p>
          <w:p w:rsidR="007D48BC" w:rsidRDefault="007D48BC" w:rsidP="00DF144E">
            <w:pPr>
              <w:snapToGrid w:val="0"/>
              <w:rPr>
                <w:rFonts w:ascii="Arial" w:hAnsi="Arial" w:cs="Arial"/>
                <w:i/>
                <w:iCs/>
                <w:sz w:val="16"/>
                <w:szCs w:val="16"/>
              </w:rPr>
            </w:pPr>
            <w:r>
              <w:rPr>
                <w:rFonts w:ascii="Arial" w:hAnsi="Arial" w:cs="Arial"/>
                <w:i/>
                <w:iCs/>
                <w:sz w:val="16"/>
                <w:szCs w:val="16"/>
              </w:rPr>
              <w:t>-Estreñimiento</w:t>
            </w:r>
          </w:p>
          <w:p w:rsidR="007D48BC" w:rsidRPr="006F6ABB" w:rsidRDefault="007D48BC" w:rsidP="00DF144E">
            <w:pPr>
              <w:snapToGrid w:val="0"/>
              <w:rPr>
                <w:rFonts w:ascii="Arial" w:hAnsi="Arial" w:cs="Arial"/>
                <w:i/>
                <w:iCs/>
                <w:sz w:val="16"/>
                <w:szCs w:val="16"/>
              </w:rPr>
            </w:pPr>
            <w:r>
              <w:rPr>
                <w:rFonts w:ascii="Arial" w:hAnsi="Arial" w:cs="Arial"/>
                <w:i/>
                <w:iCs/>
                <w:sz w:val="16"/>
                <w:szCs w:val="16"/>
              </w:rPr>
              <w:t>-Recuento bajo de células blancas</w:t>
            </w:r>
            <w:r w:rsidRPr="006F6ABB">
              <w:rPr>
                <w:rFonts w:ascii="Arial" w:hAnsi="Arial" w:cs="Arial"/>
                <w:i/>
                <w:iCs/>
                <w:sz w:val="16"/>
                <w:szCs w:val="16"/>
              </w:rPr>
              <w:t xml:space="preserve"> </w:t>
            </w:r>
          </w:p>
        </w:tc>
        <w:tc>
          <w:tcPr>
            <w:tcW w:w="1418" w:type="dxa"/>
          </w:tcPr>
          <w:p w:rsidR="007D48BC" w:rsidRDefault="007D48BC" w:rsidP="008E4DAA">
            <w:pPr>
              <w:snapToGrid w:val="0"/>
              <w:jc w:val="center"/>
              <w:rPr>
                <w:rFonts w:ascii="Arial" w:hAnsi="Arial" w:cs="Arial"/>
                <w:i/>
                <w:iCs/>
                <w:sz w:val="16"/>
                <w:szCs w:val="16"/>
                <w:lang w:val="fr-FR"/>
              </w:rPr>
            </w:pPr>
            <w:r>
              <w:rPr>
                <w:rFonts w:ascii="Arial" w:hAnsi="Arial" w:cs="Arial"/>
                <w:i/>
                <w:iCs/>
                <w:sz w:val="16"/>
                <w:szCs w:val="16"/>
                <w:lang w:val="fr-FR"/>
              </w:rPr>
              <w:t>101 (100)</w:t>
            </w:r>
          </w:p>
          <w:p w:rsidR="007D48BC" w:rsidRDefault="007D48BC" w:rsidP="00DF144E">
            <w:pPr>
              <w:snapToGrid w:val="0"/>
              <w:jc w:val="center"/>
              <w:rPr>
                <w:rFonts w:ascii="Arial" w:hAnsi="Arial" w:cs="Arial"/>
                <w:i/>
                <w:iCs/>
                <w:sz w:val="16"/>
                <w:szCs w:val="16"/>
                <w:lang w:val="fr-FR"/>
              </w:rPr>
            </w:pPr>
            <w:r>
              <w:rPr>
                <w:rFonts w:ascii="Arial" w:hAnsi="Arial" w:cs="Arial"/>
                <w:i/>
                <w:iCs/>
                <w:sz w:val="16"/>
                <w:szCs w:val="16"/>
                <w:lang w:val="fr-FR"/>
              </w:rPr>
              <w:t>86 (85)</w:t>
            </w:r>
          </w:p>
          <w:p w:rsidR="007D48BC" w:rsidRDefault="007D48BC" w:rsidP="00DF144E">
            <w:pPr>
              <w:snapToGrid w:val="0"/>
              <w:jc w:val="center"/>
              <w:rPr>
                <w:rFonts w:ascii="Arial" w:hAnsi="Arial" w:cs="Arial"/>
                <w:i/>
                <w:iCs/>
                <w:sz w:val="16"/>
                <w:szCs w:val="16"/>
                <w:lang w:val="fr-FR"/>
              </w:rPr>
            </w:pPr>
            <w:r>
              <w:rPr>
                <w:rFonts w:ascii="Arial" w:hAnsi="Arial" w:cs="Arial"/>
                <w:i/>
                <w:iCs/>
                <w:sz w:val="16"/>
                <w:szCs w:val="16"/>
                <w:lang w:val="fr-FR"/>
              </w:rPr>
              <w:t>85 (84)</w:t>
            </w:r>
          </w:p>
          <w:p w:rsidR="007D48BC" w:rsidRDefault="007D48BC" w:rsidP="00DF144E">
            <w:pPr>
              <w:snapToGrid w:val="0"/>
              <w:jc w:val="center"/>
              <w:rPr>
                <w:rFonts w:ascii="Arial" w:hAnsi="Arial" w:cs="Arial"/>
                <w:i/>
                <w:iCs/>
                <w:sz w:val="16"/>
                <w:szCs w:val="16"/>
                <w:lang w:val="fr-FR"/>
              </w:rPr>
            </w:pPr>
            <w:r>
              <w:rPr>
                <w:rFonts w:ascii="Arial" w:hAnsi="Arial" w:cs="Arial"/>
                <w:i/>
                <w:iCs/>
                <w:sz w:val="16"/>
                <w:szCs w:val="16"/>
                <w:lang w:val="fr-FR"/>
              </w:rPr>
              <w:t>67 (66)</w:t>
            </w:r>
          </w:p>
          <w:p w:rsidR="007D48BC" w:rsidRDefault="007D48BC" w:rsidP="00DF144E">
            <w:pPr>
              <w:snapToGrid w:val="0"/>
              <w:jc w:val="center"/>
              <w:rPr>
                <w:rFonts w:ascii="Arial" w:hAnsi="Arial" w:cs="Arial"/>
                <w:i/>
                <w:iCs/>
                <w:sz w:val="16"/>
                <w:szCs w:val="16"/>
                <w:lang w:val="fr-FR"/>
              </w:rPr>
            </w:pPr>
            <w:r>
              <w:rPr>
                <w:rFonts w:ascii="Arial" w:hAnsi="Arial" w:cs="Arial"/>
                <w:i/>
                <w:iCs/>
                <w:sz w:val="16"/>
                <w:szCs w:val="16"/>
                <w:lang w:val="fr-FR"/>
              </w:rPr>
              <w:t>60 (59)</w:t>
            </w:r>
          </w:p>
          <w:p w:rsidR="007D48BC" w:rsidRDefault="007D48BC" w:rsidP="00DF144E">
            <w:pPr>
              <w:snapToGrid w:val="0"/>
              <w:jc w:val="center"/>
              <w:rPr>
                <w:rFonts w:ascii="Arial" w:hAnsi="Arial" w:cs="Arial"/>
                <w:i/>
                <w:iCs/>
                <w:sz w:val="16"/>
                <w:szCs w:val="16"/>
                <w:lang w:val="fr-FR"/>
              </w:rPr>
            </w:pPr>
            <w:r>
              <w:rPr>
                <w:rFonts w:ascii="Arial" w:hAnsi="Arial" w:cs="Arial"/>
                <w:i/>
                <w:iCs/>
                <w:sz w:val="16"/>
                <w:szCs w:val="16"/>
                <w:lang w:val="fr-FR"/>
              </w:rPr>
              <w:t>59 (58)</w:t>
            </w:r>
          </w:p>
          <w:p w:rsidR="007D48BC" w:rsidRDefault="007D48BC" w:rsidP="00DF144E">
            <w:pPr>
              <w:snapToGrid w:val="0"/>
              <w:jc w:val="center"/>
              <w:rPr>
                <w:rFonts w:ascii="Arial" w:hAnsi="Arial" w:cs="Arial"/>
                <w:i/>
                <w:iCs/>
                <w:sz w:val="16"/>
                <w:szCs w:val="16"/>
                <w:lang w:val="fr-FR"/>
              </w:rPr>
            </w:pPr>
            <w:r>
              <w:rPr>
                <w:rFonts w:ascii="Arial" w:hAnsi="Arial" w:cs="Arial"/>
                <w:i/>
                <w:iCs/>
                <w:sz w:val="16"/>
                <w:szCs w:val="16"/>
                <w:lang w:val="fr-FR"/>
              </w:rPr>
              <w:t>59 (58)</w:t>
            </w:r>
          </w:p>
          <w:p w:rsidR="007D48BC" w:rsidRDefault="007D48BC" w:rsidP="00DF144E">
            <w:pPr>
              <w:snapToGrid w:val="0"/>
              <w:jc w:val="center"/>
              <w:rPr>
                <w:rFonts w:ascii="Arial" w:hAnsi="Arial" w:cs="Arial"/>
                <w:i/>
                <w:iCs/>
                <w:sz w:val="16"/>
                <w:szCs w:val="16"/>
                <w:lang w:val="fr-FR"/>
              </w:rPr>
            </w:pPr>
            <w:r>
              <w:rPr>
                <w:rFonts w:ascii="Arial" w:hAnsi="Arial" w:cs="Arial"/>
                <w:i/>
                <w:iCs/>
                <w:sz w:val="16"/>
                <w:szCs w:val="16"/>
                <w:lang w:val="fr-FR"/>
              </w:rPr>
              <w:t>52 (51)</w:t>
            </w:r>
          </w:p>
          <w:p w:rsidR="007D48BC" w:rsidRDefault="007D48BC" w:rsidP="00DF144E">
            <w:pPr>
              <w:snapToGrid w:val="0"/>
              <w:jc w:val="center"/>
              <w:rPr>
                <w:rFonts w:ascii="Arial" w:hAnsi="Arial" w:cs="Arial"/>
                <w:i/>
                <w:iCs/>
                <w:sz w:val="16"/>
                <w:szCs w:val="16"/>
                <w:lang w:val="fr-FR"/>
              </w:rPr>
            </w:pPr>
            <w:r>
              <w:rPr>
                <w:rFonts w:ascii="Arial" w:hAnsi="Arial" w:cs="Arial"/>
                <w:i/>
                <w:iCs/>
                <w:sz w:val="16"/>
                <w:szCs w:val="16"/>
                <w:lang w:val="fr-FR"/>
              </w:rPr>
              <w:t>50 (50)</w:t>
            </w:r>
          </w:p>
          <w:p w:rsidR="007D48BC" w:rsidRDefault="007D48BC" w:rsidP="00DF144E">
            <w:pPr>
              <w:snapToGrid w:val="0"/>
              <w:jc w:val="center"/>
              <w:rPr>
                <w:rFonts w:ascii="Arial" w:hAnsi="Arial" w:cs="Arial"/>
                <w:i/>
                <w:iCs/>
                <w:sz w:val="16"/>
                <w:szCs w:val="16"/>
                <w:lang w:val="fr-FR"/>
              </w:rPr>
            </w:pPr>
            <w:r>
              <w:rPr>
                <w:rFonts w:ascii="Arial" w:hAnsi="Arial" w:cs="Arial"/>
                <w:i/>
                <w:iCs/>
                <w:sz w:val="16"/>
                <w:szCs w:val="16"/>
                <w:lang w:val="fr-FR"/>
              </w:rPr>
              <w:t>47 (47)</w:t>
            </w:r>
          </w:p>
          <w:p w:rsidR="007D48BC" w:rsidRDefault="007D48BC" w:rsidP="00DF144E">
            <w:pPr>
              <w:snapToGrid w:val="0"/>
              <w:jc w:val="center"/>
              <w:rPr>
                <w:rFonts w:ascii="Arial" w:hAnsi="Arial" w:cs="Arial"/>
                <w:i/>
                <w:iCs/>
                <w:sz w:val="16"/>
                <w:szCs w:val="16"/>
                <w:lang w:val="fr-FR"/>
              </w:rPr>
            </w:pPr>
            <w:r>
              <w:rPr>
                <w:rFonts w:ascii="Arial" w:hAnsi="Arial" w:cs="Arial"/>
                <w:i/>
                <w:iCs/>
                <w:sz w:val="16"/>
                <w:szCs w:val="16"/>
                <w:lang w:val="fr-FR"/>
              </w:rPr>
              <w:t>43 (43)</w:t>
            </w:r>
          </w:p>
          <w:p w:rsidR="007D48BC" w:rsidRDefault="007D48BC" w:rsidP="00DF144E">
            <w:pPr>
              <w:snapToGrid w:val="0"/>
              <w:jc w:val="center"/>
              <w:rPr>
                <w:rFonts w:ascii="Arial" w:hAnsi="Arial" w:cs="Arial"/>
                <w:i/>
                <w:iCs/>
                <w:sz w:val="16"/>
                <w:szCs w:val="16"/>
                <w:lang w:val="fr-FR"/>
              </w:rPr>
            </w:pPr>
            <w:r>
              <w:rPr>
                <w:rFonts w:ascii="Arial" w:hAnsi="Arial" w:cs="Arial"/>
                <w:i/>
                <w:iCs/>
                <w:sz w:val="16"/>
                <w:szCs w:val="16"/>
                <w:lang w:val="fr-FR"/>
              </w:rPr>
              <w:t>41 (41)</w:t>
            </w:r>
          </w:p>
          <w:p w:rsidR="007D48BC" w:rsidRDefault="007D48BC" w:rsidP="00DF144E">
            <w:pPr>
              <w:snapToGrid w:val="0"/>
              <w:jc w:val="center"/>
              <w:rPr>
                <w:rFonts w:ascii="Arial" w:hAnsi="Arial" w:cs="Arial"/>
                <w:i/>
                <w:iCs/>
                <w:sz w:val="16"/>
                <w:szCs w:val="16"/>
                <w:lang w:val="fr-FR"/>
              </w:rPr>
            </w:pPr>
            <w:r>
              <w:rPr>
                <w:rFonts w:ascii="Arial" w:hAnsi="Arial" w:cs="Arial"/>
                <w:i/>
                <w:iCs/>
                <w:sz w:val="16"/>
                <w:szCs w:val="16"/>
                <w:lang w:val="fr-FR"/>
              </w:rPr>
              <w:t>40 (40)</w:t>
            </w:r>
          </w:p>
          <w:p w:rsidR="007D48BC" w:rsidRDefault="007D48BC" w:rsidP="00DF144E">
            <w:pPr>
              <w:snapToGrid w:val="0"/>
              <w:jc w:val="center"/>
              <w:rPr>
                <w:rFonts w:ascii="Arial" w:hAnsi="Arial" w:cs="Arial"/>
                <w:i/>
                <w:iCs/>
                <w:sz w:val="16"/>
                <w:szCs w:val="16"/>
                <w:lang w:val="fr-FR"/>
              </w:rPr>
            </w:pPr>
            <w:r>
              <w:rPr>
                <w:rFonts w:ascii="Arial" w:hAnsi="Arial" w:cs="Arial"/>
                <w:i/>
                <w:iCs/>
                <w:sz w:val="16"/>
                <w:szCs w:val="16"/>
                <w:lang w:val="fr-FR"/>
              </w:rPr>
              <w:t>39 (39)</w:t>
            </w:r>
          </w:p>
          <w:p w:rsidR="007D48BC" w:rsidRDefault="007D48BC" w:rsidP="00DF144E">
            <w:pPr>
              <w:snapToGrid w:val="0"/>
              <w:jc w:val="center"/>
              <w:rPr>
                <w:rFonts w:ascii="Arial" w:hAnsi="Arial" w:cs="Arial"/>
                <w:i/>
                <w:iCs/>
                <w:sz w:val="16"/>
                <w:szCs w:val="16"/>
                <w:lang w:val="fr-FR"/>
              </w:rPr>
            </w:pPr>
            <w:r>
              <w:rPr>
                <w:rFonts w:ascii="Arial" w:hAnsi="Arial" w:cs="Arial"/>
                <w:i/>
                <w:iCs/>
                <w:sz w:val="16"/>
                <w:szCs w:val="16"/>
                <w:lang w:val="fr-FR"/>
              </w:rPr>
              <w:t>39 (39)</w:t>
            </w:r>
          </w:p>
          <w:p w:rsidR="007D48BC" w:rsidRDefault="007D48BC" w:rsidP="00DF144E">
            <w:pPr>
              <w:snapToGrid w:val="0"/>
              <w:jc w:val="center"/>
              <w:rPr>
                <w:rFonts w:ascii="Arial" w:hAnsi="Arial" w:cs="Arial"/>
                <w:i/>
                <w:iCs/>
                <w:sz w:val="16"/>
                <w:szCs w:val="16"/>
                <w:lang w:val="fr-FR"/>
              </w:rPr>
            </w:pPr>
            <w:r>
              <w:rPr>
                <w:rFonts w:ascii="Arial" w:hAnsi="Arial" w:cs="Arial"/>
                <w:i/>
                <w:iCs/>
                <w:sz w:val="16"/>
                <w:szCs w:val="16"/>
                <w:lang w:val="fr-FR"/>
              </w:rPr>
              <w:t>35 (35)</w:t>
            </w:r>
          </w:p>
          <w:p w:rsidR="007D48BC" w:rsidRDefault="007D48BC" w:rsidP="00DF144E">
            <w:pPr>
              <w:snapToGrid w:val="0"/>
              <w:jc w:val="center"/>
              <w:rPr>
                <w:rFonts w:ascii="Arial" w:hAnsi="Arial" w:cs="Arial"/>
                <w:i/>
                <w:iCs/>
                <w:sz w:val="16"/>
                <w:szCs w:val="16"/>
                <w:lang w:val="fr-FR"/>
              </w:rPr>
            </w:pPr>
            <w:r>
              <w:rPr>
                <w:rFonts w:ascii="Arial" w:hAnsi="Arial" w:cs="Arial"/>
                <w:i/>
                <w:iCs/>
                <w:sz w:val="16"/>
                <w:szCs w:val="16"/>
                <w:lang w:val="fr-FR"/>
              </w:rPr>
              <w:t>34 (34)</w:t>
            </w:r>
          </w:p>
          <w:p w:rsidR="007D48BC" w:rsidRDefault="007D48BC" w:rsidP="00DF144E">
            <w:pPr>
              <w:snapToGrid w:val="0"/>
              <w:jc w:val="center"/>
              <w:rPr>
                <w:rFonts w:ascii="Arial" w:hAnsi="Arial" w:cs="Arial"/>
                <w:i/>
                <w:iCs/>
                <w:sz w:val="16"/>
                <w:szCs w:val="16"/>
                <w:lang w:val="fr-FR"/>
              </w:rPr>
            </w:pPr>
            <w:r>
              <w:rPr>
                <w:rFonts w:ascii="Arial" w:hAnsi="Arial" w:cs="Arial"/>
                <w:i/>
                <w:iCs/>
                <w:sz w:val="16"/>
                <w:szCs w:val="16"/>
                <w:lang w:val="fr-FR"/>
              </w:rPr>
              <w:t>34 (34)</w:t>
            </w:r>
          </w:p>
          <w:p w:rsidR="007D48BC" w:rsidRDefault="007D48BC" w:rsidP="00DF144E">
            <w:pPr>
              <w:snapToGrid w:val="0"/>
              <w:jc w:val="center"/>
              <w:rPr>
                <w:rFonts w:ascii="Arial" w:hAnsi="Arial" w:cs="Arial"/>
                <w:i/>
                <w:iCs/>
                <w:sz w:val="16"/>
                <w:szCs w:val="16"/>
                <w:lang w:val="fr-FR"/>
              </w:rPr>
            </w:pPr>
            <w:r>
              <w:rPr>
                <w:rFonts w:ascii="Arial" w:hAnsi="Arial" w:cs="Arial"/>
                <w:i/>
                <w:iCs/>
                <w:sz w:val="16"/>
                <w:szCs w:val="16"/>
                <w:lang w:val="fr-FR"/>
              </w:rPr>
              <w:t>33 (33)</w:t>
            </w:r>
          </w:p>
          <w:p w:rsidR="007D48BC" w:rsidRDefault="007D48BC" w:rsidP="00DF144E">
            <w:pPr>
              <w:snapToGrid w:val="0"/>
              <w:jc w:val="center"/>
              <w:rPr>
                <w:rFonts w:ascii="Arial" w:hAnsi="Arial" w:cs="Arial"/>
                <w:i/>
                <w:iCs/>
                <w:sz w:val="16"/>
                <w:szCs w:val="16"/>
                <w:lang w:val="fr-FR"/>
              </w:rPr>
            </w:pPr>
            <w:r>
              <w:rPr>
                <w:rFonts w:ascii="Arial" w:hAnsi="Arial" w:cs="Arial"/>
                <w:i/>
                <w:iCs/>
                <w:sz w:val="16"/>
                <w:szCs w:val="16"/>
                <w:lang w:val="fr-FR"/>
              </w:rPr>
              <w:t>33 (33)</w:t>
            </w:r>
          </w:p>
          <w:p w:rsidR="007D48BC" w:rsidRDefault="007D48BC" w:rsidP="00DF144E">
            <w:pPr>
              <w:snapToGrid w:val="0"/>
              <w:jc w:val="center"/>
              <w:rPr>
                <w:rFonts w:ascii="Arial" w:hAnsi="Arial" w:cs="Arial"/>
                <w:i/>
                <w:iCs/>
                <w:sz w:val="16"/>
                <w:szCs w:val="16"/>
                <w:lang w:val="fr-FR"/>
              </w:rPr>
            </w:pPr>
            <w:r>
              <w:rPr>
                <w:rFonts w:ascii="Arial" w:hAnsi="Arial" w:cs="Arial"/>
                <w:i/>
                <w:iCs/>
                <w:sz w:val="16"/>
                <w:szCs w:val="16"/>
                <w:lang w:val="fr-FR"/>
              </w:rPr>
              <w:t>31 (31)</w:t>
            </w:r>
          </w:p>
          <w:p w:rsidR="007D48BC" w:rsidRPr="006F6ABB" w:rsidRDefault="007D48BC" w:rsidP="00DF144E">
            <w:pPr>
              <w:snapToGrid w:val="0"/>
              <w:jc w:val="center"/>
              <w:rPr>
                <w:rFonts w:ascii="Arial" w:hAnsi="Arial" w:cs="Arial"/>
                <w:i/>
                <w:iCs/>
                <w:sz w:val="16"/>
                <w:szCs w:val="16"/>
                <w:lang w:val="fr-FR"/>
              </w:rPr>
            </w:pPr>
            <w:r>
              <w:rPr>
                <w:rFonts w:ascii="Arial" w:hAnsi="Arial" w:cs="Arial"/>
                <w:i/>
                <w:iCs/>
                <w:sz w:val="16"/>
                <w:szCs w:val="16"/>
                <w:lang w:val="fr-FR"/>
              </w:rPr>
              <w:t>31 (31)</w:t>
            </w:r>
          </w:p>
        </w:tc>
        <w:tc>
          <w:tcPr>
            <w:tcW w:w="1984" w:type="dxa"/>
          </w:tcPr>
          <w:p w:rsidR="007D48BC" w:rsidRDefault="007D48BC" w:rsidP="008E4DAA">
            <w:pPr>
              <w:jc w:val="center"/>
              <w:rPr>
                <w:rFonts w:ascii="Arial" w:hAnsi="Arial" w:cs="Arial"/>
                <w:i/>
                <w:iCs/>
                <w:sz w:val="16"/>
                <w:szCs w:val="16"/>
                <w:lang w:val="fr-FR"/>
              </w:rPr>
            </w:pPr>
            <w:r>
              <w:rPr>
                <w:rFonts w:ascii="Arial" w:hAnsi="Arial" w:cs="Arial"/>
                <w:i/>
                <w:iCs/>
                <w:sz w:val="16"/>
                <w:szCs w:val="16"/>
                <w:lang w:val="fr-FR"/>
              </w:rPr>
              <w:t>5 (5)</w:t>
            </w:r>
          </w:p>
          <w:p w:rsidR="007D48BC" w:rsidRDefault="007D48BC" w:rsidP="00DF144E">
            <w:pPr>
              <w:jc w:val="center"/>
              <w:rPr>
                <w:rFonts w:ascii="Arial" w:hAnsi="Arial" w:cs="Arial"/>
                <w:i/>
                <w:iCs/>
                <w:sz w:val="16"/>
                <w:szCs w:val="16"/>
                <w:lang w:val="fr-FR"/>
              </w:rPr>
            </w:pPr>
            <w:r>
              <w:rPr>
                <w:rFonts w:ascii="Arial" w:hAnsi="Arial" w:cs="Arial"/>
                <w:i/>
                <w:iCs/>
                <w:sz w:val="16"/>
                <w:szCs w:val="16"/>
                <w:lang w:val="fr-FR"/>
              </w:rPr>
              <w:t>72 (71)</w:t>
            </w:r>
          </w:p>
          <w:p w:rsidR="007D48BC" w:rsidRDefault="007D48BC" w:rsidP="00DF144E">
            <w:pPr>
              <w:jc w:val="center"/>
              <w:rPr>
                <w:rFonts w:ascii="Arial" w:hAnsi="Arial" w:cs="Arial"/>
                <w:i/>
                <w:iCs/>
                <w:sz w:val="16"/>
                <w:szCs w:val="16"/>
                <w:lang w:val="fr-FR"/>
              </w:rPr>
            </w:pPr>
            <w:r>
              <w:rPr>
                <w:rFonts w:ascii="Arial" w:hAnsi="Arial" w:cs="Arial"/>
                <w:i/>
                <w:iCs/>
                <w:sz w:val="16"/>
                <w:szCs w:val="16"/>
                <w:lang w:val="fr-FR"/>
              </w:rPr>
              <w:t>6 (6)</w:t>
            </w:r>
          </w:p>
          <w:p w:rsidR="007D48BC" w:rsidRDefault="007D48BC" w:rsidP="00DF144E">
            <w:pPr>
              <w:jc w:val="center"/>
              <w:rPr>
                <w:rFonts w:ascii="Arial" w:hAnsi="Arial" w:cs="Arial"/>
                <w:i/>
                <w:iCs/>
                <w:sz w:val="16"/>
                <w:szCs w:val="16"/>
                <w:lang w:val="fr-FR"/>
              </w:rPr>
            </w:pPr>
            <w:r>
              <w:rPr>
                <w:rFonts w:ascii="Arial" w:hAnsi="Arial" w:cs="Arial"/>
                <w:i/>
                <w:iCs/>
                <w:sz w:val="16"/>
                <w:szCs w:val="16"/>
                <w:lang w:val="fr-FR"/>
              </w:rPr>
              <w:t>24 (24)</w:t>
            </w:r>
          </w:p>
          <w:p w:rsidR="007D48BC" w:rsidRDefault="007D48BC" w:rsidP="00DF144E">
            <w:pPr>
              <w:jc w:val="center"/>
              <w:rPr>
                <w:rFonts w:ascii="Arial" w:hAnsi="Arial" w:cs="Arial"/>
                <w:i/>
                <w:iCs/>
                <w:sz w:val="16"/>
                <w:szCs w:val="16"/>
                <w:lang w:val="fr-FR"/>
              </w:rPr>
            </w:pPr>
            <w:r>
              <w:rPr>
                <w:rFonts w:ascii="Arial" w:hAnsi="Arial" w:cs="Arial"/>
                <w:i/>
                <w:iCs/>
                <w:sz w:val="16"/>
                <w:szCs w:val="16"/>
                <w:lang w:val="fr-FR"/>
              </w:rPr>
              <w:t>46 (46)</w:t>
            </w:r>
          </w:p>
          <w:p w:rsidR="007D48BC" w:rsidRDefault="007D48BC" w:rsidP="00DF144E">
            <w:pPr>
              <w:jc w:val="center"/>
              <w:rPr>
                <w:rFonts w:ascii="Arial" w:hAnsi="Arial" w:cs="Arial"/>
                <w:i/>
                <w:iCs/>
                <w:sz w:val="16"/>
                <w:szCs w:val="16"/>
                <w:lang w:val="fr-FR"/>
              </w:rPr>
            </w:pPr>
            <w:r>
              <w:rPr>
                <w:rFonts w:ascii="Arial" w:hAnsi="Arial" w:cs="Arial"/>
                <w:i/>
                <w:iCs/>
                <w:sz w:val="16"/>
                <w:szCs w:val="16"/>
                <w:lang w:val="fr-FR"/>
              </w:rPr>
              <w:t>21 (21)</w:t>
            </w:r>
          </w:p>
          <w:p w:rsidR="007D48BC" w:rsidRDefault="007D48BC" w:rsidP="00DF144E">
            <w:pPr>
              <w:jc w:val="center"/>
              <w:rPr>
                <w:rFonts w:ascii="Arial" w:hAnsi="Arial" w:cs="Arial"/>
                <w:i/>
                <w:iCs/>
                <w:sz w:val="16"/>
                <w:szCs w:val="16"/>
                <w:lang w:val="fr-FR"/>
              </w:rPr>
            </w:pPr>
            <w:r>
              <w:rPr>
                <w:rFonts w:ascii="Arial" w:hAnsi="Arial" w:cs="Arial"/>
                <w:i/>
                <w:iCs/>
                <w:sz w:val="16"/>
                <w:szCs w:val="16"/>
                <w:lang w:val="fr-FR"/>
              </w:rPr>
              <w:t>59 (58)</w:t>
            </w:r>
          </w:p>
          <w:p w:rsidR="007D48BC" w:rsidRDefault="007D48BC" w:rsidP="00DF144E">
            <w:pPr>
              <w:jc w:val="center"/>
              <w:rPr>
                <w:rFonts w:ascii="Arial" w:hAnsi="Arial" w:cs="Arial"/>
                <w:i/>
                <w:iCs/>
                <w:sz w:val="16"/>
                <w:szCs w:val="16"/>
                <w:lang w:val="fr-FR"/>
              </w:rPr>
            </w:pPr>
            <w:r>
              <w:rPr>
                <w:rFonts w:ascii="Arial" w:hAnsi="Arial" w:cs="Arial"/>
                <w:i/>
                <w:iCs/>
                <w:sz w:val="16"/>
                <w:szCs w:val="16"/>
                <w:lang w:val="fr-FR"/>
              </w:rPr>
              <w:t>50 (50)</w:t>
            </w:r>
          </w:p>
          <w:p w:rsidR="007D48BC" w:rsidRDefault="007D48BC" w:rsidP="00DF144E">
            <w:pPr>
              <w:jc w:val="center"/>
              <w:rPr>
                <w:rFonts w:ascii="Arial" w:hAnsi="Arial" w:cs="Arial"/>
                <w:i/>
                <w:iCs/>
                <w:sz w:val="16"/>
                <w:szCs w:val="16"/>
                <w:lang w:val="fr-FR"/>
              </w:rPr>
            </w:pPr>
            <w:r>
              <w:rPr>
                <w:rFonts w:ascii="Arial" w:hAnsi="Arial" w:cs="Arial"/>
                <w:i/>
                <w:iCs/>
                <w:sz w:val="16"/>
                <w:szCs w:val="16"/>
                <w:lang w:val="fr-FR"/>
              </w:rPr>
              <w:t>48 (48)</w:t>
            </w:r>
          </w:p>
          <w:p w:rsidR="007D48BC" w:rsidRDefault="007D48BC" w:rsidP="00DF144E">
            <w:pPr>
              <w:jc w:val="center"/>
              <w:rPr>
                <w:rFonts w:ascii="Arial" w:hAnsi="Arial" w:cs="Arial"/>
                <w:i/>
                <w:iCs/>
                <w:sz w:val="16"/>
                <w:szCs w:val="16"/>
                <w:lang w:val="fr-FR"/>
              </w:rPr>
            </w:pPr>
            <w:r>
              <w:rPr>
                <w:rFonts w:ascii="Arial" w:hAnsi="Arial" w:cs="Arial"/>
                <w:i/>
                <w:iCs/>
                <w:sz w:val="16"/>
                <w:szCs w:val="16"/>
                <w:lang w:val="fr-FR"/>
              </w:rPr>
              <w:t>46 (46)</w:t>
            </w:r>
          </w:p>
          <w:p w:rsidR="007D48BC" w:rsidRDefault="007D48BC" w:rsidP="008E4DAA">
            <w:pPr>
              <w:jc w:val="center"/>
              <w:rPr>
                <w:rFonts w:ascii="Arial" w:hAnsi="Arial" w:cs="Arial"/>
                <w:i/>
                <w:iCs/>
                <w:sz w:val="16"/>
                <w:szCs w:val="16"/>
                <w:lang w:val="fr-FR"/>
              </w:rPr>
            </w:pPr>
            <w:r>
              <w:rPr>
                <w:rFonts w:ascii="Arial" w:hAnsi="Arial" w:cs="Arial"/>
                <w:i/>
                <w:iCs/>
                <w:sz w:val="16"/>
                <w:szCs w:val="16"/>
                <w:lang w:val="fr-FR"/>
              </w:rPr>
              <w:t>39 (39)</w:t>
            </w:r>
          </w:p>
          <w:p w:rsidR="007D48BC" w:rsidRDefault="007D48BC" w:rsidP="008E4DAA">
            <w:pPr>
              <w:jc w:val="center"/>
              <w:rPr>
                <w:rFonts w:ascii="Arial" w:hAnsi="Arial" w:cs="Arial"/>
                <w:i/>
                <w:iCs/>
                <w:sz w:val="16"/>
                <w:szCs w:val="16"/>
                <w:lang w:val="fr-FR"/>
              </w:rPr>
            </w:pPr>
            <w:r>
              <w:rPr>
                <w:rFonts w:ascii="Arial" w:hAnsi="Arial" w:cs="Arial"/>
                <w:i/>
                <w:iCs/>
                <w:sz w:val="16"/>
                <w:szCs w:val="16"/>
                <w:lang w:val="fr-FR"/>
              </w:rPr>
              <w:t>40 (40)</w:t>
            </w:r>
          </w:p>
          <w:p w:rsidR="007D48BC" w:rsidRDefault="007D48BC" w:rsidP="008E4DAA">
            <w:pPr>
              <w:jc w:val="center"/>
              <w:rPr>
                <w:rFonts w:ascii="Arial" w:hAnsi="Arial" w:cs="Arial"/>
                <w:i/>
                <w:iCs/>
                <w:sz w:val="16"/>
                <w:szCs w:val="16"/>
                <w:lang w:val="fr-FR"/>
              </w:rPr>
            </w:pPr>
            <w:r>
              <w:rPr>
                <w:rFonts w:ascii="Arial" w:hAnsi="Arial" w:cs="Arial"/>
                <w:i/>
                <w:iCs/>
                <w:sz w:val="16"/>
                <w:szCs w:val="16"/>
                <w:lang w:val="fr-FR"/>
              </w:rPr>
              <w:t>34 (34)</w:t>
            </w:r>
          </w:p>
          <w:p w:rsidR="007D48BC" w:rsidRDefault="007D48BC" w:rsidP="008E4DAA">
            <w:pPr>
              <w:jc w:val="center"/>
              <w:rPr>
                <w:rFonts w:ascii="Arial" w:hAnsi="Arial" w:cs="Arial"/>
                <w:i/>
                <w:iCs/>
                <w:sz w:val="16"/>
                <w:szCs w:val="16"/>
                <w:lang w:val="fr-FR"/>
              </w:rPr>
            </w:pPr>
            <w:r>
              <w:rPr>
                <w:rFonts w:ascii="Arial" w:hAnsi="Arial" w:cs="Arial"/>
                <w:i/>
                <w:iCs/>
                <w:sz w:val="16"/>
                <w:szCs w:val="16"/>
                <w:lang w:val="fr-FR"/>
              </w:rPr>
              <w:t>39 (39)</w:t>
            </w:r>
          </w:p>
          <w:p w:rsidR="007D48BC" w:rsidRDefault="007D48BC" w:rsidP="008E4DAA">
            <w:pPr>
              <w:jc w:val="center"/>
              <w:rPr>
                <w:rFonts w:ascii="Arial" w:hAnsi="Arial" w:cs="Arial"/>
                <w:i/>
                <w:iCs/>
                <w:sz w:val="16"/>
                <w:szCs w:val="16"/>
                <w:lang w:val="fr-FR"/>
              </w:rPr>
            </w:pPr>
            <w:r>
              <w:rPr>
                <w:rFonts w:ascii="Arial" w:hAnsi="Arial" w:cs="Arial"/>
                <w:i/>
                <w:iCs/>
                <w:sz w:val="16"/>
                <w:szCs w:val="16"/>
                <w:lang w:val="fr-FR"/>
              </w:rPr>
              <w:t>37(37)</w:t>
            </w:r>
          </w:p>
          <w:p w:rsidR="007D48BC" w:rsidRDefault="007D48BC" w:rsidP="008E4DAA">
            <w:pPr>
              <w:jc w:val="center"/>
              <w:rPr>
                <w:rFonts w:ascii="Arial" w:hAnsi="Arial" w:cs="Arial"/>
                <w:i/>
                <w:iCs/>
                <w:sz w:val="16"/>
                <w:szCs w:val="16"/>
                <w:lang w:val="fr-FR"/>
              </w:rPr>
            </w:pPr>
            <w:r>
              <w:rPr>
                <w:rFonts w:ascii="Arial" w:hAnsi="Arial" w:cs="Arial"/>
                <w:i/>
                <w:iCs/>
                <w:sz w:val="16"/>
                <w:szCs w:val="16"/>
                <w:lang w:val="fr-FR"/>
              </w:rPr>
              <w:t>4 (4)</w:t>
            </w:r>
          </w:p>
          <w:p w:rsidR="007D48BC" w:rsidRDefault="007D48BC" w:rsidP="008E4DAA">
            <w:pPr>
              <w:jc w:val="center"/>
              <w:rPr>
                <w:rFonts w:ascii="Arial" w:hAnsi="Arial" w:cs="Arial"/>
                <w:i/>
                <w:iCs/>
                <w:sz w:val="16"/>
                <w:szCs w:val="16"/>
                <w:lang w:val="fr-FR"/>
              </w:rPr>
            </w:pPr>
            <w:r>
              <w:rPr>
                <w:rFonts w:ascii="Arial" w:hAnsi="Arial" w:cs="Arial"/>
                <w:i/>
                <w:iCs/>
                <w:sz w:val="16"/>
                <w:szCs w:val="16"/>
                <w:lang w:val="fr-FR"/>
              </w:rPr>
              <w:t>13(13)</w:t>
            </w:r>
          </w:p>
          <w:p w:rsidR="007D48BC" w:rsidRDefault="007D48BC" w:rsidP="008E4DAA">
            <w:pPr>
              <w:jc w:val="center"/>
              <w:rPr>
                <w:rFonts w:ascii="Arial" w:hAnsi="Arial" w:cs="Arial"/>
                <w:i/>
                <w:iCs/>
                <w:sz w:val="16"/>
                <w:szCs w:val="16"/>
                <w:lang w:val="fr-FR"/>
              </w:rPr>
            </w:pPr>
            <w:r>
              <w:rPr>
                <w:rFonts w:ascii="Arial" w:hAnsi="Arial" w:cs="Arial"/>
                <w:i/>
                <w:iCs/>
                <w:sz w:val="16"/>
                <w:szCs w:val="16"/>
                <w:lang w:val="fr-FR"/>
              </w:rPr>
              <w:t>33 (33)</w:t>
            </w:r>
          </w:p>
          <w:p w:rsidR="007D48BC" w:rsidRDefault="007D48BC" w:rsidP="008E4DAA">
            <w:pPr>
              <w:jc w:val="center"/>
              <w:rPr>
                <w:rFonts w:ascii="Arial" w:hAnsi="Arial" w:cs="Arial"/>
                <w:i/>
                <w:iCs/>
                <w:sz w:val="16"/>
                <w:szCs w:val="16"/>
                <w:lang w:val="fr-FR"/>
              </w:rPr>
            </w:pPr>
            <w:r>
              <w:rPr>
                <w:rFonts w:ascii="Arial" w:hAnsi="Arial" w:cs="Arial"/>
                <w:i/>
                <w:iCs/>
                <w:sz w:val="16"/>
                <w:szCs w:val="16"/>
                <w:lang w:val="fr-FR"/>
              </w:rPr>
              <w:t>30 (30)</w:t>
            </w:r>
          </w:p>
          <w:p w:rsidR="007D48BC" w:rsidRDefault="007D48BC" w:rsidP="008E4DAA">
            <w:pPr>
              <w:jc w:val="center"/>
              <w:rPr>
                <w:rFonts w:ascii="Arial" w:hAnsi="Arial" w:cs="Arial"/>
                <w:i/>
                <w:iCs/>
                <w:sz w:val="16"/>
                <w:szCs w:val="16"/>
                <w:lang w:val="fr-FR"/>
              </w:rPr>
            </w:pPr>
            <w:r>
              <w:rPr>
                <w:rFonts w:ascii="Arial" w:hAnsi="Arial" w:cs="Arial"/>
                <w:i/>
                <w:iCs/>
                <w:sz w:val="16"/>
                <w:szCs w:val="16"/>
                <w:lang w:val="fr-FR"/>
              </w:rPr>
              <w:t>23 (23)</w:t>
            </w:r>
          </w:p>
          <w:p w:rsidR="007D48BC" w:rsidRDefault="007D48BC" w:rsidP="008E4DAA">
            <w:pPr>
              <w:jc w:val="center"/>
              <w:rPr>
                <w:rFonts w:ascii="Arial" w:hAnsi="Arial" w:cs="Arial"/>
                <w:i/>
                <w:iCs/>
                <w:sz w:val="16"/>
                <w:szCs w:val="16"/>
                <w:lang w:val="fr-FR"/>
              </w:rPr>
            </w:pPr>
            <w:r>
              <w:rPr>
                <w:rFonts w:ascii="Arial" w:hAnsi="Arial" w:cs="Arial"/>
                <w:i/>
                <w:iCs/>
                <w:sz w:val="16"/>
                <w:szCs w:val="16"/>
                <w:lang w:val="fr-FR"/>
              </w:rPr>
              <w:t>31 (31)</w:t>
            </w:r>
          </w:p>
          <w:p w:rsidR="007D48BC" w:rsidRPr="006F6ABB" w:rsidRDefault="007D48BC" w:rsidP="008E4DAA">
            <w:pPr>
              <w:jc w:val="center"/>
              <w:rPr>
                <w:rFonts w:ascii="Arial" w:hAnsi="Arial" w:cs="Arial"/>
                <w:i/>
                <w:iCs/>
                <w:sz w:val="16"/>
                <w:szCs w:val="16"/>
                <w:lang w:val="fr-FR"/>
              </w:rPr>
            </w:pPr>
            <w:r>
              <w:rPr>
                <w:rFonts w:ascii="Arial" w:hAnsi="Arial" w:cs="Arial"/>
                <w:i/>
                <w:iCs/>
                <w:sz w:val="16"/>
                <w:szCs w:val="16"/>
                <w:lang w:val="fr-FR"/>
              </w:rPr>
              <w:t>2 (2)</w:t>
            </w:r>
          </w:p>
        </w:tc>
        <w:tc>
          <w:tcPr>
            <w:tcW w:w="1788" w:type="dxa"/>
            <w:vAlign w:val="center"/>
          </w:tcPr>
          <w:p w:rsidR="007D48BC" w:rsidRDefault="007D48BC" w:rsidP="007B476D">
            <w:pPr>
              <w:jc w:val="center"/>
              <w:rPr>
                <w:rFonts w:ascii="Arial" w:hAnsi="Arial" w:cs="Arial"/>
                <w:i/>
                <w:iCs/>
                <w:sz w:val="16"/>
                <w:szCs w:val="16"/>
                <w:lang w:val="fr-FR"/>
              </w:rPr>
            </w:pPr>
            <w:r>
              <w:rPr>
                <w:rFonts w:ascii="Arial" w:hAnsi="Arial" w:cs="Arial"/>
                <w:i/>
                <w:iCs/>
                <w:sz w:val="16"/>
                <w:szCs w:val="16"/>
                <w:lang w:val="fr-FR"/>
              </w:rPr>
              <w:t>96 (95)</w:t>
            </w:r>
          </w:p>
          <w:p w:rsidR="007D48BC" w:rsidRDefault="007D48BC" w:rsidP="007B476D">
            <w:pPr>
              <w:jc w:val="center"/>
              <w:rPr>
                <w:rFonts w:ascii="Arial" w:hAnsi="Arial" w:cs="Arial"/>
                <w:i/>
                <w:iCs/>
                <w:sz w:val="16"/>
                <w:szCs w:val="16"/>
                <w:lang w:val="fr-FR"/>
              </w:rPr>
            </w:pPr>
            <w:r>
              <w:rPr>
                <w:rFonts w:ascii="Arial" w:hAnsi="Arial" w:cs="Arial"/>
                <w:i/>
                <w:iCs/>
                <w:sz w:val="16"/>
                <w:szCs w:val="16"/>
                <w:lang w:val="fr-FR"/>
              </w:rPr>
              <w:t>14 (14)</w:t>
            </w:r>
          </w:p>
          <w:p w:rsidR="007D48BC" w:rsidRDefault="007D48BC" w:rsidP="007B476D">
            <w:pPr>
              <w:jc w:val="center"/>
              <w:rPr>
                <w:rFonts w:ascii="Arial" w:hAnsi="Arial" w:cs="Arial"/>
                <w:i/>
                <w:iCs/>
                <w:sz w:val="16"/>
                <w:szCs w:val="16"/>
                <w:lang w:val="fr-FR"/>
              </w:rPr>
            </w:pPr>
            <w:r>
              <w:rPr>
                <w:rFonts w:ascii="Arial" w:hAnsi="Arial" w:cs="Arial"/>
                <w:i/>
                <w:iCs/>
                <w:sz w:val="16"/>
                <w:szCs w:val="16"/>
                <w:lang w:val="fr-FR"/>
              </w:rPr>
              <w:t>79 (78)</w:t>
            </w:r>
          </w:p>
          <w:p w:rsidR="007D48BC" w:rsidRDefault="007D48BC" w:rsidP="007B476D">
            <w:pPr>
              <w:jc w:val="center"/>
              <w:rPr>
                <w:rFonts w:ascii="Arial" w:hAnsi="Arial" w:cs="Arial"/>
                <w:i/>
                <w:iCs/>
                <w:sz w:val="16"/>
                <w:szCs w:val="16"/>
                <w:lang w:val="fr-FR"/>
              </w:rPr>
            </w:pPr>
            <w:r>
              <w:rPr>
                <w:rFonts w:ascii="Arial" w:hAnsi="Arial" w:cs="Arial"/>
                <w:i/>
                <w:iCs/>
                <w:sz w:val="16"/>
                <w:szCs w:val="16"/>
                <w:lang w:val="fr-FR"/>
              </w:rPr>
              <w:t>43 (43)</w:t>
            </w:r>
          </w:p>
          <w:p w:rsidR="007D48BC" w:rsidRDefault="007D48BC" w:rsidP="007B476D">
            <w:pPr>
              <w:jc w:val="center"/>
              <w:rPr>
                <w:rFonts w:ascii="Arial" w:hAnsi="Arial" w:cs="Arial"/>
                <w:i/>
                <w:iCs/>
                <w:sz w:val="16"/>
                <w:szCs w:val="16"/>
                <w:lang w:val="fr-FR"/>
              </w:rPr>
            </w:pPr>
            <w:r>
              <w:rPr>
                <w:rFonts w:ascii="Arial" w:hAnsi="Arial" w:cs="Arial"/>
                <w:i/>
                <w:iCs/>
                <w:sz w:val="16"/>
                <w:szCs w:val="16"/>
                <w:lang w:val="fr-FR"/>
              </w:rPr>
              <w:t>14 (14)</w:t>
            </w:r>
          </w:p>
          <w:p w:rsidR="007D48BC" w:rsidRDefault="007D48BC" w:rsidP="007B476D">
            <w:pPr>
              <w:jc w:val="center"/>
              <w:rPr>
                <w:rFonts w:ascii="Arial" w:hAnsi="Arial" w:cs="Arial"/>
                <w:i/>
                <w:iCs/>
                <w:sz w:val="16"/>
                <w:szCs w:val="16"/>
                <w:lang w:val="fr-FR"/>
              </w:rPr>
            </w:pPr>
            <w:r>
              <w:rPr>
                <w:rFonts w:ascii="Arial" w:hAnsi="Arial" w:cs="Arial"/>
                <w:i/>
                <w:iCs/>
                <w:sz w:val="16"/>
                <w:szCs w:val="16"/>
                <w:lang w:val="fr-FR"/>
              </w:rPr>
              <w:t>38 (38)</w:t>
            </w:r>
          </w:p>
          <w:p w:rsidR="007D48BC" w:rsidRDefault="007D48BC" w:rsidP="007B476D">
            <w:pPr>
              <w:jc w:val="center"/>
              <w:rPr>
                <w:rFonts w:ascii="Arial" w:hAnsi="Arial" w:cs="Arial"/>
                <w:i/>
                <w:iCs/>
                <w:sz w:val="16"/>
                <w:szCs w:val="16"/>
                <w:lang w:val="fr-FR"/>
              </w:rPr>
            </w:pPr>
            <w:r>
              <w:rPr>
                <w:rFonts w:ascii="Arial" w:hAnsi="Arial" w:cs="Arial"/>
                <w:i/>
                <w:iCs/>
                <w:sz w:val="16"/>
                <w:szCs w:val="16"/>
                <w:lang w:val="fr-FR"/>
              </w:rPr>
              <w:t>0</w:t>
            </w:r>
          </w:p>
          <w:p w:rsidR="007D48BC" w:rsidRDefault="007D48BC" w:rsidP="007B476D">
            <w:pPr>
              <w:jc w:val="center"/>
              <w:rPr>
                <w:rFonts w:ascii="Arial" w:hAnsi="Arial" w:cs="Arial"/>
                <w:i/>
                <w:iCs/>
                <w:sz w:val="16"/>
                <w:szCs w:val="16"/>
                <w:lang w:val="fr-FR"/>
              </w:rPr>
            </w:pPr>
            <w:r>
              <w:rPr>
                <w:rFonts w:ascii="Arial" w:hAnsi="Arial" w:cs="Arial"/>
                <w:i/>
                <w:iCs/>
                <w:sz w:val="16"/>
                <w:szCs w:val="16"/>
                <w:lang w:val="fr-FR"/>
              </w:rPr>
              <w:t>2 (2)</w:t>
            </w:r>
          </w:p>
          <w:p w:rsidR="007D48BC" w:rsidRDefault="007D48BC" w:rsidP="007B476D">
            <w:pPr>
              <w:jc w:val="center"/>
              <w:rPr>
                <w:rFonts w:ascii="Arial" w:hAnsi="Arial" w:cs="Arial"/>
                <w:i/>
                <w:iCs/>
                <w:sz w:val="16"/>
                <w:szCs w:val="16"/>
                <w:lang w:val="fr-FR"/>
              </w:rPr>
            </w:pPr>
            <w:r>
              <w:rPr>
                <w:rFonts w:ascii="Arial" w:hAnsi="Arial" w:cs="Arial"/>
                <w:i/>
                <w:iCs/>
                <w:sz w:val="16"/>
                <w:szCs w:val="16"/>
                <w:lang w:val="fr-FR"/>
              </w:rPr>
              <w:t>2 (2)</w:t>
            </w:r>
          </w:p>
          <w:p w:rsidR="007D48BC" w:rsidRDefault="007D48BC" w:rsidP="007B476D">
            <w:pPr>
              <w:jc w:val="center"/>
              <w:rPr>
                <w:rFonts w:ascii="Arial" w:hAnsi="Arial" w:cs="Arial"/>
                <w:i/>
                <w:iCs/>
                <w:sz w:val="16"/>
                <w:szCs w:val="16"/>
                <w:lang w:val="fr-FR"/>
              </w:rPr>
            </w:pPr>
            <w:r>
              <w:rPr>
                <w:rFonts w:ascii="Arial" w:hAnsi="Arial" w:cs="Arial"/>
                <w:i/>
                <w:iCs/>
                <w:sz w:val="16"/>
                <w:szCs w:val="16"/>
                <w:lang w:val="fr-FR"/>
              </w:rPr>
              <w:t>1 (1)</w:t>
            </w:r>
          </w:p>
          <w:p w:rsidR="007D48BC" w:rsidRDefault="007D48BC" w:rsidP="007B476D">
            <w:pPr>
              <w:jc w:val="center"/>
              <w:rPr>
                <w:rFonts w:ascii="Arial" w:hAnsi="Arial" w:cs="Arial"/>
                <w:i/>
                <w:iCs/>
                <w:sz w:val="16"/>
                <w:szCs w:val="16"/>
                <w:lang w:val="fr-FR"/>
              </w:rPr>
            </w:pPr>
            <w:r>
              <w:rPr>
                <w:rFonts w:ascii="Arial" w:hAnsi="Arial" w:cs="Arial"/>
                <w:i/>
                <w:iCs/>
                <w:sz w:val="16"/>
                <w:szCs w:val="16"/>
                <w:lang w:val="fr-FR"/>
              </w:rPr>
              <w:t>4 (4)</w:t>
            </w:r>
          </w:p>
          <w:p w:rsidR="007D48BC" w:rsidRDefault="007D48BC" w:rsidP="007B476D">
            <w:pPr>
              <w:jc w:val="center"/>
              <w:rPr>
                <w:rFonts w:ascii="Arial" w:hAnsi="Arial" w:cs="Arial"/>
                <w:i/>
                <w:iCs/>
                <w:sz w:val="16"/>
                <w:szCs w:val="16"/>
                <w:lang w:val="fr-FR"/>
              </w:rPr>
            </w:pPr>
            <w:r>
              <w:rPr>
                <w:rFonts w:ascii="Arial" w:hAnsi="Arial" w:cs="Arial"/>
                <w:i/>
                <w:iCs/>
                <w:sz w:val="16"/>
                <w:szCs w:val="16"/>
                <w:lang w:val="fr-FR"/>
              </w:rPr>
              <w:t>1 (1)</w:t>
            </w:r>
          </w:p>
          <w:p w:rsidR="007D48BC" w:rsidRDefault="007D48BC" w:rsidP="007B476D">
            <w:pPr>
              <w:jc w:val="center"/>
              <w:rPr>
                <w:rFonts w:ascii="Arial" w:hAnsi="Arial" w:cs="Arial"/>
                <w:i/>
                <w:iCs/>
                <w:sz w:val="16"/>
                <w:szCs w:val="16"/>
                <w:lang w:val="fr-FR"/>
              </w:rPr>
            </w:pPr>
            <w:r>
              <w:rPr>
                <w:rFonts w:ascii="Arial" w:hAnsi="Arial" w:cs="Arial"/>
                <w:i/>
                <w:iCs/>
                <w:sz w:val="16"/>
                <w:szCs w:val="16"/>
                <w:lang w:val="fr-FR"/>
              </w:rPr>
              <w:t>6 (6)</w:t>
            </w:r>
          </w:p>
          <w:p w:rsidR="007D48BC" w:rsidRDefault="007D48BC" w:rsidP="007B476D">
            <w:pPr>
              <w:jc w:val="center"/>
              <w:rPr>
                <w:rFonts w:ascii="Arial" w:hAnsi="Arial" w:cs="Arial"/>
                <w:i/>
                <w:iCs/>
                <w:sz w:val="16"/>
                <w:szCs w:val="16"/>
                <w:lang w:val="fr-FR"/>
              </w:rPr>
            </w:pPr>
            <w:r>
              <w:rPr>
                <w:rFonts w:ascii="Arial" w:hAnsi="Arial" w:cs="Arial"/>
                <w:i/>
                <w:iCs/>
                <w:sz w:val="16"/>
                <w:szCs w:val="16"/>
                <w:lang w:val="fr-FR"/>
              </w:rPr>
              <w:t>0</w:t>
            </w:r>
          </w:p>
          <w:p w:rsidR="007D48BC" w:rsidRDefault="007D48BC" w:rsidP="007B476D">
            <w:pPr>
              <w:jc w:val="center"/>
              <w:rPr>
                <w:rFonts w:ascii="Arial" w:hAnsi="Arial" w:cs="Arial"/>
                <w:i/>
                <w:iCs/>
                <w:sz w:val="16"/>
                <w:szCs w:val="16"/>
                <w:lang w:val="fr-FR"/>
              </w:rPr>
            </w:pPr>
            <w:r>
              <w:rPr>
                <w:rFonts w:ascii="Arial" w:hAnsi="Arial" w:cs="Arial"/>
                <w:i/>
                <w:iCs/>
                <w:sz w:val="16"/>
                <w:szCs w:val="16"/>
                <w:lang w:val="fr-FR"/>
              </w:rPr>
              <w:t>2(2)</w:t>
            </w:r>
          </w:p>
          <w:p w:rsidR="007D48BC" w:rsidRDefault="007D48BC" w:rsidP="007B476D">
            <w:pPr>
              <w:jc w:val="center"/>
              <w:rPr>
                <w:rFonts w:ascii="Arial" w:hAnsi="Arial" w:cs="Arial"/>
                <w:i/>
                <w:iCs/>
                <w:sz w:val="16"/>
                <w:szCs w:val="16"/>
                <w:lang w:val="fr-FR"/>
              </w:rPr>
            </w:pPr>
            <w:r>
              <w:rPr>
                <w:rFonts w:ascii="Arial" w:hAnsi="Arial" w:cs="Arial"/>
                <w:i/>
                <w:iCs/>
                <w:sz w:val="16"/>
                <w:szCs w:val="16"/>
                <w:lang w:val="fr-FR"/>
              </w:rPr>
              <w:t>31 (31)</w:t>
            </w:r>
          </w:p>
          <w:p w:rsidR="007D48BC" w:rsidRDefault="007D48BC" w:rsidP="007B476D">
            <w:pPr>
              <w:jc w:val="center"/>
              <w:rPr>
                <w:rFonts w:ascii="Arial" w:hAnsi="Arial" w:cs="Arial"/>
                <w:i/>
                <w:iCs/>
                <w:sz w:val="16"/>
                <w:szCs w:val="16"/>
                <w:lang w:val="fr-FR"/>
              </w:rPr>
            </w:pPr>
            <w:r>
              <w:rPr>
                <w:rFonts w:ascii="Arial" w:hAnsi="Arial" w:cs="Arial"/>
                <w:i/>
                <w:iCs/>
                <w:sz w:val="16"/>
                <w:szCs w:val="16"/>
                <w:lang w:val="fr-FR"/>
              </w:rPr>
              <w:t>21 (21)</w:t>
            </w:r>
          </w:p>
          <w:p w:rsidR="007D48BC" w:rsidRDefault="007D48BC" w:rsidP="007B476D">
            <w:pPr>
              <w:jc w:val="center"/>
              <w:rPr>
                <w:rFonts w:ascii="Arial" w:hAnsi="Arial" w:cs="Arial"/>
                <w:i/>
                <w:iCs/>
                <w:sz w:val="16"/>
                <w:szCs w:val="16"/>
                <w:lang w:val="fr-FR"/>
              </w:rPr>
            </w:pPr>
            <w:r>
              <w:rPr>
                <w:rFonts w:ascii="Arial" w:hAnsi="Arial" w:cs="Arial"/>
                <w:i/>
                <w:iCs/>
                <w:sz w:val="16"/>
                <w:szCs w:val="16"/>
                <w:lang w:val="fr-FR"/>
              </w:rPr>
              <w:t>1 (1)</w:t>
            </w:r>
          </w:p>
          <w:p w:rsidR="007D48BC" w:rsidRDefault="007D48BC" w:rsidP="007B476D">
            <w:pPr>
              <w:jc w:val="center"/>
              <w:rPr>
                <w:rFonts w:ascii="Arial" w:hAnsi="Arial" w:cs="Arial"/>
                <w:i/>
                <w:iCs/>
                <w:sz w:val="16"/>
                <w:szCs w:val="16"/>
                <w:lang w:val="fr-FR"/>
              </w:rPr>
            </w:pPr>
            <w:r>
              <w:rPr>
                <w:rFonts w:ascii="Arial" w:hAnsi="Arial" w:cs="Arial"/>
                <w:i/>
                <w:iCs/>
                <w:sz w:val="16"/>
                <w:szCs w:val="16"/>
                <w:lang w:val="fr-FR"/>
              </w:rPr>
              <w:t>3 (3)</w:t>
            </w:r>
          </w:p>
          <w:p w:rsidR="007D48BC" w:rsidRDefault="007D48BC" w:rsidP="007B476D">
            <w:pPr>
              <w:jc w:val="center"/>
              <w:rPr>
                <w:rFonts w:ascii="Arial" w:hAnsi="Arial" w:cs="Arial"/>
                <w:i/>
                <w:iCs/>
                <w:sz w:val="16"/>
                <w:szCs w:val="16"/>
                <w:lang w:val="fr-FR"/>
              </w:rPr>
            </w:pPr>
            <w:r>
              <w:rPr>
                <w:rFonts w:ascii="Arial" w:hAnsi="Arial" w:cs="Arial"/>
                <w:i/>
                <w:iCs/>
                <w:sz w:val="16"/>
                <w:szCs w:val="16"/>
                <w:lang w:val="fr-FR"/>
              </w:rPr>
              <w:t>10 (10)</w:t>
            </w:r>
          </w:p>
          <w:p w:rsidR="007D48BC" w:rsidRDefault="007D48BC" w:rsidP="007B476D">
            <w:pPr>
              <w:jc w:val="center"/>
              <w:rPr>
                <w:rFonts w:ascii="Arial" w:hAnsi="Arial" w:cs="Arial"/>
                <w:i/>
                <w:iCs/>
                <w:sz w:val="16"/>
                <w:szCs w:val="16"/>
                <w:lang w:val="fr-FR"/>
              </w:rPr>
            </w:pPr>
            <w:r>
              <w:rPr>
                <w:rFonts w:ascii="Arial" w:hAnsi="Arial" w:cs="Arial"/>
                <w:i/>
                <w:iCs/>
                <w:sz w:val="16"/>
                <w:szCs w:val="16"/>
                <w:lang w:val="fr-FR"/>
              </w:rPr>
              <w:t>0</w:t>
            </w:r>
          </w:p>
          <w:p w:rsidR="007D48BC" w:rsidRPr="006F6ABB" w:rsidRDefault="007D48BC" w:rsidP="008E4DAA">
            <w:pPr>
              <w:jc w:val="center"/>
              <w:rPr>
                <w:rFonts w:ascii="Arial" w:hAnsi="Arial" w:cs="Arial"/>
                <w:i/>
                <w:iCs/>
                <w:sz w:val="16"/>
                <w:szCs w:val="16"/>
                <w:lang w:val="fr-FR"/>
              </w:rPr>
            </w:pPr>
            <w:r>
              <w:rPr>
                <w:rFonts w:ascii="Arial" w:hAnsi="Arial" w:cs="Arial"/>
                <w:i/>
                <w:iCs/>
                <w:sz w:val="16"/>
                <w:szCs w:val="16"/>
                <w:lang w:val="fr-FR"/>
              </w:rPr>
              <w:t>29 (29)</w:t>
            </w:r>
          </w:p>
        </w:tc>
      </w:tr>
      <w:tr w:rsidR="007D48BC" w:rsidRPr="006F6ABB">
        <w:trPr>
          <w:cantSplit/>
          <w:trHeight w:val="218"/>
        </w:trPr>
        <w:tc>
          <w:tcPr>
            <w:tcW w:w="3539" w:type="dxa"/>
          </w:tcPr>
          <w:p w:rsidR="007D48BC" w:rsidRDefault="007D48BC" w:rsidP="00DF144E">
            <w:pPr>
              <w:jc w:val="both"/>
              <w:rPr>
                <w:rFonts w:ascii="Arial" w:hAnsi="Arial" w:cs="Arial"/>
                <w:sz w:val="16"/>
                <w:szCs w:val="16"/>
                <w:lang w:val="es-ES_tradnl"/>
              </w:rPr>
            </w:pPr>
            <w:r>
              <w:rPr>
                <w:rFonts w:ascii="Arial" w:hAnsi="Arial" w:cs="Arial"/>
                <w:sz w:val="16"/>
                <w:szCs w:val="16"/>
                <w:lang w:val="es-ES_tradnl"/>
              </w:rPr>
              <w:t>Síndrome de Liberación de Citoquinas</w:t>
            </w:r>
          </w:p>
          <w:p w:rsidR="007D48BC" w:rsidRDefault="007D48BC" w:rsidP="00DF144E">
            <w:pPr>
              <w:jc w:val="both"/>
              <w:rPr>
                <w:rFonts w:ascii="Arial" w:hAnsi="Arial" w:cs="Arial"/>
                <w:sz w:val="16"/>
                <w:szCs w:val="16"/>
                <w:lang w:val="es-ES_tradnl"/>
              </w:rPr>
            </w:pPr>
            <w:r>
              <w:rPr>
                <w:rFonts w:ascii="Arial" w:hAnsi="Arial" w:cs="Arial"/>
                <w:sz w:val="16"/>
                <w:szCs w:val="16"/>
                <w:lang w:val="es-ES_tradnl"/>
              </w:rPr>
              <w:t>-Cualquiera</w:t>
            </w:r>
          </w:p>
          <w:p w:rsidR="007D48BC" w:rsidRDefault="007D48BC" w:rsidP="00DF144E">
            <w:pPr>
              <w:jc w:val="both"/>
              <w:rPr>
                <w:rFonts w:ascii="Arial" w:hAnsi="Arial" w:cs="Arial"/>
                <w:sz w:val="16"/>
                <w:szCs w:val="16"/>
                <w:lang w:val="es-ES_tradnl"/>
              </w:rPr>
            </w:pPr>
            <w:r>
              <w:rPr>
                <w:rFonts w:ascii="Arial" w:hAnsi="Arial" w:cs="Arial"/>
                <w:sz w:val="16"/>
                <w:szCs w:val="16"/>
                <w:lang w:val="es-ES_tradnl"/>
              </w:rPr>
              <w:t>-Pirexia</w:t>
            </w:r>
          </w:p>
          <w:p w:rsidR="007D48BC" w:rsidRDefault="007D48BC" w:rsidP="00DF144E">
            <w:pPr>
              <w:jc w:val="both"/>
              <w:rPr>
                <w:rFonts w:ascii="Arial" w:hAnsi="Arial" w:cs="Arial"/>
                <w:sz w:val="16"/>
                <w:szCs w:val="16"/>
                <w:lang w:val="es-ES_tradnl"/>
              </w:rPr>
            </w:pPr>
            <w:r>
              <w:rPr>
                <w:rFonts w:ascii="Arial" w:hAnsi="Arial" w:cs="Arial"/>
                <w:sz w:val="16"/>
                <w:szCs w:val="16"/>
                <w:lang w:val="es-ES_tradnl"/>
              </w:rPr>
              <w:t>-Hipotensión</w:t>
            </w:r>
          </w:p>
          <w:p w:rsidR="007D48BC" w:rsidRDefault="007D48BC" w:rsidP="00DF144E">
            <w:pPr>
              <w:jc w:val="both"/>
              <w:rPr>
                <w:rFonts w:ascii="Arial" w:hAnsi="Arial" w:cs="Arial"/>
                <w:sz w:val="16"/>
                <w:szCs w:val="16"/>
                <w:lang w:val="es-ES_tradnl"/>
              </w:rPr>
            </w:pPr>
            <w:r>
              <w:rPr>
                <w:rFonts w:ascii="Arial" w:hAnsi="Arial" w:cs="Arial"/>
                <w:sz w:val="16"/>
                <w:szCs w:val="16"/>
                <w:lang w:val="es-ES_tradnl"/>
              </w:rPr>
              <w:t>-Hipoxia</w:t>
            </w:r>
          </w:p>
          <w:p w:rsidR="007D48BC" w:rsidRDefault="007D48BC" w:rsidP="00DF144E">
            <w:pPr>
              <w:jc w:val="both"/>
              <w:rPr>
                <w:rFonts w:ascii="Arial" w:hAnsi="Arial" w:cs="Arial"/>
                <w:sz w:val="16"/>
                <w:szCs w:val="16"/>
                <w:lang w:val="es-ES_tradnl"/>
              </w:rPr>
            </w:pPr>
            <w:r>
              <w:rPr>
                <w:rFonts w:ascii="Arial" w:hAnsi="Arial" w:cs="Arial"/>
                <w:sz w:val="16"/>
                <w:szCs w:val="16"/>
                <w:lang w:val="es-ES_tradnl"/>
              </w:rPr>
              <w:t>-Taquicardia</w:t>
            </w:r>
          </w:p>
          <w:p w:rsidR="007D48BC" w:rsidRDefault="007D48BC" w:rsidP="00DF144E">
            <w:pPr>
              <w:jc w:val="both"/>
              <w:rPr>
                <w:rFonts w:ascii="Arial" w:hAnsi="Arial" w:cs="Arial"/>
                <w:sz w:val="16"/>
                <w:szCs w:val="16"/>
                <w:lang w:val="es-ES_tradnl"/>
              </w:rPr>
            </w:pPr>
            <w:r>
              <w:rPr>
                <w:rFonts w:ascii="Arial" w:hAnsi="Arial" w:cs="Arial"/>
                <w:sz w:val="16"/>
                <w:szCs w:val="16"/>
                <w:lang w:val="es-ES_tradnl"/>
              </w:rPr>
              <w:t>-Escalofríos</w:t>
            </w:r>
          </w:p>
          <w:p w:rsidR="007D48BC" w:rsidRDefault="007D48BC" w:rsidP="00DF144E">
            <w:pPr>
              <w:jc w:val="both"/>
              <w:rPr>
                <w:rFonts w:ascii="Arial" w:hAnsi="Arial" w:cs="Arial"/>
                <w:sz w:val="16"/>
                <w:szCs w:val="16"/>
                <w:lang w:val="es-ES_tradnl"/>
              </w:rPr>
            </w:pPr>
            <w:r>
              <w:rPr>
                <w:rFonts w:ascii="Arial" w:hAnsi="Arial" w:cs="Arial"/>
                <w:sz w:val="16"/>
                <w:szCs w:val="16"/>
                <w:lang w:val="es-ES_tradnl"/>
              </w:rPr>
              <w:t>-Taquicardia sinusal</w:t>
            </w:r>
          </w:p>
          <w:p w:rsidR="007D48BC" w:rsidRPr="006F6ABB" w:rsidRDefault="007D48BC" w:rsidP="00DF144E">
            <w:pPr>
              <w:jc w:val="both"/>
              <w:rPr>
                <w:rFonts w:ascii="Arial" w:hAnsi="Arial" w:cs="Arial"/>
                <w:sz w:val="16"/>
                <w:szCs w:val="16"/>
                <w:lang w:val="es-ES_tradnl"/>
              </w:rPr>
            </w:pPr>
            <w:r>
              <w:rPr>
                <w:rFonts w:ascii="Arial" w:hAnsi="Arial" w:cs="Arial"/>
                <w:sz w:val="16"/>
                <w:szCs w:val="16"/>
                <w:lang w:val="es-ES_tradnl"/>
              </w:rPr>
              <w:t>-Dolor de cabeza</w:t>
            </w:r>
          </w:p>
        </w:tc>
        <w:tc>
          <w:tcPr>
            <w:tcW w:w="1418" w:type="dxa"/>
          </w:tcPr>
          <w:p w:rsidR="007D48BC" w:rsidRPr="008E4DAA" w:rsidRDefault="007D48BC" w:rsidP="008E4DAA">
            <w:pPr>
              <w:jc w:val="center"/>
              <w:rPr>
                <w:rFonts w:ascii="Arial" w:hAnsi="Arial" w:cs="Arial"/>
                <w:i/>
                <w:iCs/>
                <w:sz w:val="16"/>
                <w:szCs w:val="16"/>
                <w:lang w:val="fr-FR"/>
              </w:rPr>
            </w:pPr>
          </w:p>
          <w:p w:rsidR="007D48BC" w:rsidRDefault="007D48BC" w:rsidP="008E4DAA">
            <w:pPr>
              <w:jc w:val="center"/>
              <w:rPr>
                <w:rFonts w:ascii="Arial" w:hAnsi="Arial" w:cs="Arial"/>
                <w:i/>
                <w:iCs/>
                <w:sz w:val="16"/>
                <w:szCs w:val="16"/>
                <w:lang w:val="fr-FR"/>
              </w:rPr>
            </w:pPr>
            <w:r>
              <w:rPr>
                <w:rFonts w:ascii="Arial" w:hAnsi="Arial" w:cs="Arial"/>
                <w:i/>
                <w:iCs/>
                <w:sz w:val="16"/>
                <w:szCs w:val="16"/>
                <w:lang w:val="fr-FR"/>
              </w:rPr>
              <w:t>94 (93)</w:t>
            </w:r>
          </w:p>
          <w:p w:rsidR="007D48BC" w:rsidRDefault="007D48BC" w:rsidP="008E4DAA">
            <w:pPr>
              <w:jc w:val="center"/>
              <w:rPr>
                <w:rFonts w:ascii="Arial" w:hAnsi="Arial" w:cs="Arial"/>
                <w:i/>
                <w:iCs/>
                <w:sz w:val="16"/>
                <w:szCs w:val="16"/>
                <w:lang w:val="fr-FR"/>
              </w:rPr>
            </w:pPr>
            <w:r>
              <w:rPr>
                <w:rFonts w:ascii="Arial" w:hAnsi="Arial" w:cs="Arial"/>
                <w:i/>
                <w:iCs/>
                <w:sz w:val="16"/>
                <w:szCs w:val="16"/>
                <w:lang w:val="fr-FR"/>
              </w:rPr>
              <w:t>77 (76)</w:t>
            </w:r>
          </w:p>
          <w:p w:rsidR="007D48BC" w:rsidRDefault="007D48BC" w:rsidP="008E4DAA">
            <w:pPr>
              <w:jc w:val="center"/>
              <w:rPr>
                <w:rFonts w:ascii="Arial" w:hAnsi="Arial" w:cs="Arial"/>
                <w:i/>
                <w:iCs/>
                <w:sz w:val="16"/>
                <w:szCs w:val="16"/>
                <w:lang w:val="fr-FR"/>
              </w:rPr>
            </w:pPr>
            <w:r>
              <w:rPr>
                <w:rFonts w:ascii="Arial" w:hAnsi="Arial" w:cs="Arial"/>
                <w:i/>
                <w:iCs/>
                <w:sz w:val="16"/>
                <w:szCs w:val="16"/>
                <w:lang w:val="fr-FR"/>
              </w:rPr>
              <w:t>41 (41)</w:t>
            </w:r>
          </w:p>
          <w:p w:rsidR="007D48BC" w:rsidRDefault="007D48BC" w:rsidP="008E4DAA">
            <w:pPr>
              <w:jc w:val="center"/>
              <w:rPr>
                <w:rFonts w:ascii="Arial" w:hAnsi="Arial" w:cs="Arial"/>
                <w:i/>
                <w:iCs/>
                <w:sz w:val="16"/>
                <w:szCs w:val="16"/>
                <w:lang w:val="fr-FR"/>
              </w:rPr>
            </w:pPr>
            <w:r>
              <w:rPr>
                <w:rFonts w:ascii="Arial" w:hAnsi="Arial" w:cs="Arial"/>
                <w:i/>
                <w:iCs/>
                <w:sz w:val="16"/>
                <w:szCs w:val="16"/>
                <w:lang w:val="fr-FR"/>
              </w:rPr>
              <w:t>22 (22)</w:t>
            </w:r>
          </w:p>
          <w:p w:rsidR="007D48BC" w:rsidRDefault="007D48BC" w:rsidP="008E4DAA">
            <w:pPr>
              <w:jc w:val="center"/>
              <w:rPr>
                <w:rFonts w:ascii="Arial" w:hAnsi="Arial" w:cs="Arial"/>
                <w:i/>
                <w:iCs/>
                <w:sz w:val="16"/>
                <w:szCs w:val="16"/>
                <w:lang w:val="fr-FR"/>
              </w:rPr>
            </w:pPr>
            <w:r>
              <w:rPr>
                <w:rFonts w:ascii="Arial" w:hAnsi="Arial" w:cs="Arial"/>
                <w:i/>
                <w:iCs/>
                <w:sz w:val="16"/>
                <w:szCs w:val="16"/>
                <w:lang w:val="fr-FR"/>
              </w:rPr>
              <w:t>21 (21)</w:t>
            </w:r>
          </w:p>
          <w:p w:rsidR="007D48BC" w:rsidRDefault="007D48BC" w:rsidP="008E4DAA">
            <w:pPr>
              <w:jc w:val="center"/>
              <w:rPr>
                <w:rFonts w:ascii="Arial" w:hAnsi="Arial" w:cs="Arial"/>
                <w:i/>
                <w:iCs/>
                <w:sz w:val="16"/>
                <w:szCs w:val="16"/>
                <w:lang w:val="fr-FR"/>
              </w:rPr>
            </w:pPr>
            <w:r>
              <w:rPr>
                <w:rFonts w:ascii="Arial" w:hAnsi="Arial" w:cs="Arial"/>
                <w:i/>
                <w:iCs/>
                <w:sz w:val="16"/>
                <w:szCs w:val="16"/>
                <w:lang w:val="fr-FR"/>
              </w:rPr>
              <w:t>20 (20)</w:t>
            </w:r>
          </w:p>
          <w:p w:rsidR="007D48BC" w:rsidRDefault="007D48BC" w:rsidP="008E4DAA">
            <w:pPr>
              <w:jc w:val="center"/>
              <w:rPr>
                <w:rFonts w:ascii="Arial" w:hAnsi="Arial" w:cs="Arial"/>
                <w:i/>
                <w:iCs/>
                <w:sz w:val="16"/>
                <w:szCs w:val="16"/>
                <w:lang w:val="fr-FR"/>
              </w:rPr>
            </w:pPr>
            <w:r>
              <w:rPr>
                <w:rFonts w:ascii="Arial" w:hAnsi="Arial" w:cs="Arial"/>
                <w:i/>
                <w:iCs/>
                <w:sz w:val="16"/>
                <w:szCs w:val="16"/>
                <w:lang w:val="fr-FR"/>
              </w:rPr>
              <w:t>8 (8)</w:t>
            </w:r>
          </w:p>
          <w:p w:rsidR="007D48BC" w:rsidRPr="008E4DAA" w:rsidRDefault="007D48BC" w:rsidP="008E4DAA">
            <w:pPr>
              <w:jc w:val="center"/>
              <w:rPr>
                <w:rFonts w:ascii="Arial" w:hAnsi="Arial" w:cs="Arial"/>
                <w:i/>
                <w:iCs/>
                <w:sz w:val="16"/>
                <w:szCs w:val="16"/>
                <w:lang w:val="fr-FR"/>
              </w:rPr>
            </w:pPr>
            <w:r>
              <w:rPr>
                <w:rFonts w:ascii="Arial" w:hAnsi="Arial" w:cs="Arial"/>
                <w:i/>
                <w:iCs/>
                <w:sz w:val="16"/>
                <w:szCs w:val="16"/>
                <w:lang w:val="fr-FR"/>
              </w:rPr>
              <w:t>5 (5)</w:t>
            </w:r>
          </w:p>
        </w:tc>
        <w:tc>
          <w:tcPr>
            <w:tcW w:w="1984" w:type="dxa"/>
          </w:tcPr>
          <w:p w:rsidR="007D48BC" w:rsidRPr="008E4DAA" w:rsidRDefault="007D48BC" w:rsidP="008E4DAA">
            <w:pPr>
              <w:jc w:val="center"/>
              <w:rPr>
                <w:rFonts w:ascii="Arial" w:hAnsi="Arial" w:cs="Arial"/>
                <w:i/>
                <w:iCs/>
                <w:sz w:val="16"/>
                <w:szCs w:val="16"/>
                <w:lang w:val="fr-FR"/>
              </w:rPr>
            </w:pPr>
          </w:p>
          <w:p w:rsidR="007D48BC" w:rsidRDefault="007D48BC" w:rsidP="008E4DAA">
            <w:pPr>
              <w:jc w:val="center"/>
              <w:rPr>
                <w:rFonts w:ascii="Arial" w:hAnsi="Arial" w:cs="Arial"/>
                <w:i/>
                <w:iCs/>
                <w:sz w:val="16"/>
                <w:szCs w:val="16"/>
                <w:lang w:val="fr-FR"/>
              </w:rPr>
            </w:pPr>
            <w:r>
              <w:rPr>
                <w:rFonts w:ascii="Arial" w:hAnsi="Arial" w:cs="Arial"/>
                <w:i/>
                <w:iCs/>
                <w:sz w:val="16"/>
                <w:szCs w:val="16"/>
                <w:lang w:val="fr-FR"/>
              </w:rPr>
              <w:t>81 (80)</w:t>
            </w:r>
          </w:p>
          <w:p w:rsidR="007D48BC" w:rsidRDefault="007D48BC" w:rsidP="008E4DAA">
            <w:pPr>
              <w:jc w:val="center"/>
              <w:rPr>
                <w:rFonts w:ascii="Arial" w:hAnsi="Arial" w:cs="Arial"/>
                <w:i/>
                <w:iCs/>
                <w:sz w:val="16"/>
                <w:szCs w:val="16"/>
                <w:lang w:val="fr-FR"/>
              </w:rPr>
            </w:pPr>
            <w:r>
              <w:rPr>
                <w:rFonts w:ascii="Arial" w:hAnsi="Arial" w:cs="Arial"/>
                <w:i/>
                <w:iCs/>
                <w:sz w:val="16"/>
                <w:szCs w:val="16"/>
                <w:lang w:val="fr-FR"/>
              </w:rPr>
              <w:t>66 (65)</w:t>
            </w:r>
          </w:p>
          <w:p w:rsidR="007D48BC" w:rsidRDefault="007D48BC" w:rsidP="008E4DAA">
            <w:pPr>
              <w:jc w:val="center"/>
              <w:rPr>
                <w:rFonts w:ascii="Arial" w:hAnsi="Arial" w:cs="Arial"/>
                <w:i/>
                <w:iCs/>
                <w:sz w:val="16"/>
                <w:szCs w:val="16"/>
                <w:lang w:val="fr-FR"/>
              </w:rPr>
            </w:pPr>
            <w:r>
              <w:rPr>
                <w:rFonts w:ascii="Arial" w:hAnsi="Arial" w:cs="Arial"/>
                <w:i/>
                <w:iCs/>
                <w:sz w:val="16"/>
                <w:szCs w:val="16"/>
                <w:lang w:val="fr-FR"/>
              </w:rPr>
              <w:t>32 (32)</w:t>
            </w:r>
          </w:p>
          <w:p w:rsidR="007D48BC" w:rsidRDefault="007D48BC" w:rsidP="008E4DAA">
            <w:pPr>
              <w:jc w:val="center"/>
              <w:rPr>
                <w:rFonts w:ascii="Arial" w:hAnsi="Arial" w:cs="Arial"/>
                <w:i/>
                <w:iCs/>
                <w:sz w:val="16"/>
                <w:szCs w:val="16"/>
                <w:lang w:val="fr-FR"/>
              </w:rPr>
            </w:pPr>
            <w:r>
              <w:rPr>
                <w:rFonts w:ascii="Arial" w:hAnsi="Arial" w:cs="Arial"/>
                <w:i/>
                <w:iCs/>
                <w:sz w:val="16"/>
                <w:szCs w:val="16"/>
                <w:lang w:val="fr-FR"/>
              </w:rPr>
              <w:t>13 (13)</w:t>
            </w:r>
          </w:p>
          <w:p w:rsidR="007D48BC" w:rsidRDefault="007D48BC" w:rsidP="008E4DAA">
            <w:pPr>
              <w:jc w:val="center"/>
              <w:rPr>
                <w:rFonts w:ascii="Arial" w:hAnsi="Arial" w:cs="Arial"/>
                <w:i/>
                <w:iCs/>
                <w:sz w:val="16"/>
                <w:szCs w:val="16"/>
                <w:lang w:val="fr-FR"/>
              </w:rPr>
            </w:pPr>
            <w:r>
              <w:rPr>
                <w:rFonts w:ascii="Arial" w:hAnsi="Arial" w:cs="Arial"/>
                <w:i/>
                <w:iCs/>
                <w:sz w:val="16"/>
                <w:szCs w:val="16"/>
                <w:lang w:val="fr-FR"/>
              </w:rPr>
              <w:t>20 (20)</w:t>
            </w:r>
          </w:p>
          <w:p w:rsidR="007D48BC" w:rsidRDefault="007D48BC" w:rsidP="008E4DAA">
            <w:pPr>
              <w:jc w:val="center"/>
              <w:rPr>
                <w:rFonts w:ascii="Arial" w:hAnsi="Arial" w:cs="Arial"/>
                <w:i/>
                <w:iCs/>
                <w:sz w:val="16"/>
                <w:szCs w:val="16"/>
                <w:lang w:val="fr-FR"/>
              </w:rPr>
            </w:pPr>
            <w:r>
              <w:rPr>
                <w:rFonts w:ascii="Arial" w:hAnsi="Arial" w:cs="Arial"/>
                <w:i/>
                <w:iCs/>
                <w:sz w:val="16"/>
                <w:szCs w:val="16"/>
                <w:lang w:val="fr-FR"/>
              </w:rPr>
              <w:t>20 (20)</w:t>
            </w:r>
          </w:p>
          <w:p w:rsidR="007D48BC" w:rsidRDefault="007D48BC" w:rsidP="008E4DAA">
            <w:pPr>
              <w:jc w:val="center"/>
              <w:rPr>
                <w:rFonts w:ascii="Arial" w:hAnsi="Arial" w:cs="Arial"/>
                <w:i/>
                <w:iCs/>
                <w:sz w:val="16"/>
                <w:szCs w:val="16"/>
                <w:lang w:val="fr-FR"/>
              </w:rPr>
            </w:pPr>
            <w:r>
              <w:rPr>
                <w:rFonts w:ascii="Arial" w:hAnsi="Arial" w:cs="Arial"/>
                <w:i/>
                <w:iCs/>
                <w:sz w:val="16"/>
                <w:szCs w:val="16"/>
                <w:lang w:val="fr-FR"/>
              </w:rPr>
              <w:t>8 (8)</w:t>
            </w:r>
          </w:p>
          <w:p w:rsidR="007D48BC" w:rsidRPr="008E4DAA" w:rsidRDefault="007D48BC" w:rsidP="008E4DAA">
            <w:pPr>
              <w:jc w:val="center"/>
              <w:rPr>
                <w:rFonts w:ascii="Arial" w:hAnsi="Arial" w:cs="Arial"/>
                <w:i/>
                <w:iCs/>
                <w:sz w:val="16"/>
                <w:szCs w:val="16"/>
                <w:lang w:val="fr-FR"/>
              </w:rPr>
            </w:pPr>
            <w:r>
              <w:rPr>
                <w:rFonts w:ascii="Arial" w:hAnsi="Arial" w:cs="Arial"/>
                <w:i/>
                <w:iCs/>
                <w:sz w:val="16"/>
                <w:szCs w:val="16"/>
                <w:lang w:val="fr-FR"/>
              </w:rPr>
              <w:t>5 (5)</w:t>
            </w:r>
          </w:p>
        </w:tc>
        <w:tc>
          <w:tcPr>
            <w:tcW w:w="1788" w:type="dxa"/>
          </w:tcPr>
          <w:p w:rsidR="007D48BC" w:rsidRPr="008E4DAA" w:rsidRDefault="007D48BC" w:rsidP="008E4DAA">
            <w:pPr>
              <w:jc w:val="center"/>
              <w:rPr>
                <w:rFonts w:ascii="Arial" w:hAnsi="Arial" w:cs="Arial"/>
                <w:i/>
                <w:iCs/>
                <w:sz w:val="16"/>
                <w:szCs w:val="16"/>
                <w:lang w:val="fr-FR"/>
              </w:rPr>
            </w:pPr>
          </w:p>
          <w:p w:rsidR="007D48BC" w:rsidRDefault="007D48BC" w:rsidP="008E4DAA">
            <w:pPr>
              <w:jc w:val="center"/>
              <w:rPr>
                <w:rFonts w:ascii="Arial" w:hAnsi="Arial" w:cs="Arial"/>
                <w:i/>
                <w:iCs/>
                <w:sz w:val="16"/>
                <w:szCs w:val="16"/>
                <w:lang w:val="fr-FR"/>
              </w:rPr>
            </w:pPr>
            <w:r w:rsidRPr="008E4DAA">
              <w:rPr>
                <w:rFonts w:ascii="Arial" w:hAnsi="Arial" w:cs="Arial"/>
                <w:i/>
                <w:iCs/>
                <w:sz w:val="16"/>
                <w:szCs w:val="16"/>
                <w:lang w:val="fr-FR"/>
              </w:rPr>
              <w:t>13 (3)</w:t>
            </w:r>
          </w:p>
          <w:p w:rsidR="007D48BC" w:rsidRDefault="007D48BC" w:rsidP="008E4DAA">
            <w:pPr>
              <w:jc w:val="center"/>
              <w:rPr>
                <w:rFonts w:ascii="Arial" w:hAnsi="Arial" w:cs="Arial"/>
                <w:i/>
                <w:iCs/>
                <w:sz w:val="16"/>
                <w:szCs w:val="16"/>
                <w:lang w:val="fr-FR"/>
              </w:rPr>
            </w:pPr>
            <w:r>
              <w:rPr>
                <w:rFonts w:ascii="Arial" w:hAnsi="Arial" w:cs="Arial"/>
                <w:i/>
                <w:iCs/>
                <w:sz w:val="16"/>
                <w:szCs w:val="16"/>
                <w:lang w:val="fr-FR"/>
              </w:rPr>
              <w:t>11 (11)</w:t>
            </w:r>
          </w:p>
          <w:p w:rsidR="007D48BC" w:rsidRDefault="007D48BC" w:rsidP="008E4DAA">
            <w:pPr>
              <w:jc w:val="center"/>
              <w:rPr>
                <w:rFonts w:ascii="Arial" w:hAnsi="Arial" w:cs="Arial"/>
                <w:i/>
                <w:iCs/>
                <w:sz w:val="16"/>
                <w:szCs w:val="16"/>
                <w:lang w:val="fr-FR"/>
              </w:rPr>
            </w:pPr>
            <w:r>
              <w:rPr>
                <w:rFonts w:ascii="Arial" w:hAnsi="Arial" w:cs="Arial"/>
                <w:i/>
                <w:iCs/>
                <w:sz w:val="16"/>
                <w:szCs w:val="16"/>
                <w:lang w:val="fr-FR"/>
              </w:rPr>
              <w:t>9 (9)</w:t>
            </w:r>
          </w:p>
          <w:p w:rsidR="007D48BC" w:rsidRDefault="007D48BC" w:rsidP="008E4DAA">
            <w:pPr>
              <w:jc w:val="center"/>
              <w:rPr>
                <w:rFonts w:ascii="Arial" w:hAnsi="Arial" w:cs="Arial"/>
                <w:i/>
                <w:iCs/>
                <w:sz w:val="16"/>
                <w:szCs w:val="16"/>
                <w:lang w:val="fr-FR"/>
              </w:rPr>
            </w:pPr>
            <w:r>
              <w:rPr>
                <w:rFonts w:ascii="Arial" w:hAnsi="Arial" w:cs="Arial"/>
                <w:i/>
                <w:iCs/>
                <w:sz w:val="16"/>
                <w:szCs w:val="16"/>
                <w:lang w:val="fr-FR"/>
              </w:rPr>
              <w:t>9 (9)</w:t>
            </w:r>
          </w:p>
          <w:p w:rsidR="007D48BC" w:rsidRDefault="007D48BC" w:rsidP="008E4DAA">
            <w:pPr>
              <w:jc w:val="center"/>
              <w:rPr>
                <w:rFonts w:ascii="Arial" w:hAnsi="Arial" w:cs="Arial"/>
                <w:i/>
                <w:iCs/>
                <w:sz w:val="16"/>
                <w:szCs w:val="16"/>
                <w:lang w:val="fr-FR"/>
              </w:rPr>
            </w:pPr>
            <w:r>
              <w:rPr>
                <w:rFonts w:ascii="Arial" w:hAnsi="Arial" w:cs="Arial"/>
                <w:i/>
                <w:iCs/>
                <w:sz w:val="16"/>
                <w:szCs w:val="16"/>
                <w:lang w:val="fr-FR"/>
              </w:rPr>
              <w:t>1 (1)</w:t>
            </w:r>
          </w:p>
          <w:p w:rsidR="007D48BC" w:rsidRDefault="007D48BC" w:rsidP="008E4DAA">
            <w:pPr>
              <w:jc w:val="center"/>
              <w:rPr>
                <w:rFonts w:ascii="Arial" w:hAnsi="Arial" w:cs="Arial"/>
                <w:i/>
                <w:iCs/>
                <w:sz w:val="16"/>
                <w:szCs w:val="16"/>
                <w:lang w:val="fr-FR"/>
              </w:rPr>
            </w:pPr>
            <w:r>
              <w:rPr>
                <w:rFonts w:ascii="Arial" w:hAnsi="Arial" w:cs="Arial"/>
                <w:i/>
                <w:iCs/>
                <w:sz w:val="16"/>
                <w:szCs w:val="16"/>
                <w:lang w:val="fr-FR"/>
              </w:rPr>
              <w:t>0</w:t>
            </w:r>
          </w:p>
          <w:p w:rsidR="007D48BC" w:rsidRDefault="007D48BC" w:rsidP="008E4DAA">
            <w:pPr>
              <w:jc w:val="center"/>
              <w:rPr>
                <w:rFonts w:ascii="Arial" w:hAnsi="Arial" w:cs="Arial"/>
                <w:i/>
                <w:iCs/>
                <w:sz w:val="16"/>
                <w:szCs w:val="16"/>
                <w:lang w:val="fr-FR"/>
              </w:rPr>
            </w:pPr>
            <w:r>
              <w:rPr>
                <w:rFonts w:ascii="Arial" w:hAnsi="Arial" w:cs="Arial"/>
                <w:i/>
                <w:iCs/>
                <w:sz w:val="16"/>
                <w:szCs w:val="16"/>
                <w:lang w:val="fr-FR"/>
              </w:rPr>
              <w:t>0</w:t>
            </w:r>
          </w:p>
          <w:p w:rsidR="007D48BC" w:rsidRPr="008E4DAA" w:rsidRDefault="007D48BC" w:rsidP="008E4DAA">
            <w:pPr>
              <w:jc w:val="center"/>
              <w:rPr>
                <w:rFonts w:ascii="Arial" w:hAnsi="Arial" w:cs="Arial"/>
                <w:i/>
                <w:iCs/>
                <w:sz w:val="16"/>
                <w:szCs w:val="16"/>
                <w:lang w:val="fr-FR"/>
              </w:rPr>
            </w:pPr>
            <w:r>
              <w:rPr>
                <w:rFonts w:ascii="Arial" w:hAnsi="Arial" w:cs="Arial"/>
                <w:i/>
                <w:iCs/>
                <w:sz w:val="16"/>
                <w:szCs w:val="16"/>
                <w:lang w:val="fr-FR"/>
              </w:rPr>
              <w:t>0</w:t>
            </w:r>
          </w:p>
        </w:tc>
      </w:tr>
      <w:tr w:rsidR="007D48BC" w:rsidRPr="006F6ABB">
        <w:trPr>
          <w:cantSplit/>
          <w:trHeight w:val="218"/>
        </w:trPr>
        <w:tc>
          <w:tcPr>
            <w:tcW w:w="3539" w:type="dxa"/>
          </w:tcPr>
          <w:p w:rsidR="007D48BC" w:rsidRDefault="007D48BC" w:rsidP="00DF144E">
            <w:pPr>
              <w:jc w:val="both"/>
              <w:rPr>
                <w:rFonts w:ascii="Arial" w:hAnsi="Arial" w:cs="Arial"/>
                <w:sz w:val="16"/>
                <w:szCs w:val="16"/>
                <w:lang w:val="es-ES_tradnl"/>
              </w:rPr>
            </w:pPr>
            <w:r>
              <w:rPr>
                <w:rFonts w:ascii="Arial" w:hAnsi="Arial" w:cs="Arial"/>
                <w:sz w:val="16"/>
                <w:szCs w:val="16"/>
                <w:lang w:val="es-ES_tradnl"/>
              </w:rPr>
              <w:t>Efectos adversos Neurológicos</w:t>
            </w:r>
          </w:p>
          <w:p w:rsidR="007D48BC" w:rsidRDefault="007D48BC" w:rsidP="00DF144E">
            <w:pPr>
              <w:jc w:val="both"/>
              <w:rPr>
                <w:rFonts w:ascii="Arial" w:hAnsi="Arial" w:cs="Arial"/>
                <w:sz w:val="16"/>
                <w:szCs w:val="16"/>
                <w:lang w:val="es-ES_tradnl"/>
              </w:rPr>
            </w:pPr>
            <w:r>
              <w:rPr>
                <w:rFonts w:ascii="Arial" w:hAnsi="Arial" w:cs="Arial"/>
                <w:sz w:val="16"/>
                <w:szCs w:val="16"/>
                <w:lang w:val="es-ES_tradnl"/>
              </w:rPr>
              <w:t>-Cualquiera</w:t>
            </w:r>
          </w:p>
          <w:p w:rsidR="007D48BC" w:rsidRDefault="007D48BC" w:rsidP="00DF144E">
            <w:pPr>
              <w:jc w:val="both"/>
              <w:rPr>
                <w:rFonts w:ascii="Arial" w:hAnsi="Arial" w:cs="Arial"/>
                <w:sz w:val="16"/>
                <w:szCs w:val="16"/>
                <w:lang w:val="es-ES_tradnl"/>
              </w:rPr>
            </w:pPr>
            <w:r>
              <w:rPr>
                <w:rFonts w:ascii="Arial" w:hAnsi="Arial" w:cs="Arial"/>
                <w:sz w:val="16"/>
                <w:szCs w:val="16"/>
                <w:lang w:val="es-ES_tradnl"/>
              </w:rPr>
              <w:t>-Encefalopatía</w:t>
            </w:r>
          </w:p>
          <w:p w:rsidR="007D48BC" w:rsidRDefault="007D48BC" w:rsidP="00DF144E">
            <w:pPr>
              <w:jc w:val="both"/>
              <w:rPr>
                <w:rFonts w:ascii="Arial" w:hAnsi="Arial" w:cs="Arial"/>
                <w:sz w:val="16"/>
                <w:szCs w:val="16"/>
                <w:lang w:val="es-ES_tradnl"/>
              </w:rPr>
            </w:pPr>
            <w:r>
              <w:rPr>
                <w:rFonts w:ascii="Arial" w:hAnsi="Arial" w:cs="Arial"/>
                <w:sz w:val="16"/>
                <w:szCs w:val="16"/>
                <w:lang w:val="es-ES_tradnl"/>
              </w:rPr>
              <w:t>-Confusión</w:t>
            </w:r>
          </w:p>
          <w:p w:rsidR="007D48BC" w:rsidRDefault="007D48BC" w:rsidP="00DF144E">
            <w:pPr>
              <w:jc w:val="both"/>
              <w:rPr>
                <w:rFonts w:ascii="Arial" w:hAnsi="Arial" w:cs="Arial"/>
                <w:sz w:val="16"/>
                <w:szCs w:val="16"/>
                <w:lang w:val="es-ES_tradnl"/>
              </w:rPr>
            </w:pPr>
            <w:r>
              <w:rPr>
                <w:rFonts w:ascii="Arial" w:hAnsi="Arial" w:cs="Arial"/>
                <w:sz w:val="16"/>
                <w:szCs w:val="16"/>
                <w:lang w:val="es-ES_tradnl"/>
              </w:rPr>
              <w:t>-Temblor</w:t>
            </w:r>
          </w:p>
          <w:p w:rsidR="007D48BC" w:rsidRDefault="007D48BC" w:rsidP="00DF144E">
            <w:pPr>
              <w:jc w:val="both"/>
              <w:rPr>
                <w:rFonts w:ascii="Arial" w:hAnsi="Arial" w:cs="Arial"/>
                <w:sz w:val="16"/>
                <w:szCs w:val="16"/>
                <w:lang w:val="es-ES_tradnl"/>
              </w:rPr>
            </w:pPr>
            <w:r>
              <w:rPr>
                <w:rFonts w:ascii="Arial" w:hAnsi="Arial" w:cs="Arial"/>
                <w:sz w:val="16"/>
                <w:szCs w:val="16"/>
                <w:lang w:val="es-ES_tradnl"/>
              </w:rPr>
              <w:t>-Afasia</w:t>
            </w:r>
          </w:p>
          <w:p w:rsidR="007D48BC" w:rsidRDefault="007D48BC" w:rsidP="00DF144E">
            <w:pPr>
              <w:jc w:val="both"/>
              <w:rPr>
                <w:rFonts w:ascii="Arial" w:hAnsi="Arial" w:cs="Arial"/>
                <w:sz w:val="16"/>
                <w:szCs w:val="16"/>
                <w:lang w:val="es-ES_tradnl"/>
              </w:rPr>
            </w:pPr>
            <w:r>
              <w:rPr>
                <w:rFonts w:ascii="Arial" w:hAnsi="Arial" w:cs="Arial"/>
                <w:sz w:val="16"/>
                <w:szCs w:val="16"/>
                <w:lang w:val="es-ES_tradnl"/>
              </w:rPr>
              <w:t>-Somnolencia</w:t>
            </w:r>
          </w:p>
          <w:p w:rsidR="007D48BC" w:rsidRDefault="007D48BC" w:rsidP="00DF144E">
            <w:pPr>
              <w:jc w:val="both"/>
              <w:rPr>
                <w:rFonts w:ascii="Arial" w:hAnsi="Arial" w:cs="Arial"/>
                <w:sz w:val="16"/>
                <w:szCs w:val="16"/>
                <w:lang w:val="es-ES_tradnl"/>
              </w:rPr>
            </w:pPr>
            <w:r>
              <w:rPr>
                <w:rFonts w:ascii="Arial" w:hAnsi="Arial" w:cs="Arial"/>
                <w:sz w:val="16"/>
                <w:szCs w:val="16"/>
                <w:lang w:val="es-ES_tradnl"/>
              </w:rPr>
              <w:t>-Agitación</w:t>
            </w:r>
          </w:p>
          <w:p w:rsidR="007D48BC" w:rsidRDefault="007D48BC" w:rsidP="00DF144E">
            <w:pPr>
              <w:jc w:val="both"/>
              <w:rPr>
                <w:rFonts w:ascii="Arial" w:hAnsi="Arial" w:cs="Arial"/>
                <w:sz w:val="16"/>
                <w:szCs w:val="16"/>
                <w:lang w:val="es-ES_tradnl"/>
              </w:rPr>
            </w:pPr>
            <w:r>
              <w:rPr>
                <w:rFonts w:ascii="Arial" w:hAnsi="Arial" w:cs="Arial"/>
                <w:sz w:val="16"/>
                <w:szCs w:val="16"/>
                <w:lang w:val="es-ES_tradnl"/>
              </w:rPr>
              <w:t>-Alteraciones en la memoria</w:t>
            </w:r>
          </w:p>
          <w:p w:rsidR="007D48BC" w:rsidRDefault="007D48BC" w:rsidP="007B476D">
            <w:pPr>
              <w:jc w:val="both"/>
              <w:rPr>
                <w:rFonts w:ascii="Arial" w:hAnsi="Arial" w:cs="Arial"/>
                <w:sz w:val="16"/>
                <w:szCs w:val="16"/>
                <w:lang w:val="es-ES_tradnl"/>
              </w:rPr>
            </w:pPr>
            <w:r>
              <w:rPr>
                <w:rFonts w:ascii="Arial" w:hAnsi="Arial" w:cs="Arial"/>
                <w:sz w:val="16"/>
                <w:szCs w:val="16"/>
                <w:lang w:val="es-ES_tradnl"/>
              </w:rPr>
              <w:t>-Alteración del estado mental</w:t>
            </w:r>
          </w:p>
        </w:tc>
        <w:tc>
          <w:tcPr>
            <w:tcW w:w="1418" w:type="dxa"/>
          </w:tcPr>
          <w:p w:rsidR="007D48BC" w:rsidRDefault="007D48BC" w:rsidP="00DF144E">
            <w:pPr>
              <w:jc w:val="both"/>
              <w:rPr>
                <w:rFonts w:ascii="Arial" w:hAnsi="Arial" w:cs="Arial"/>
                <w:sz w:val="16"/>
                <w:szCs w:val="16"/>
                <w:lang w:val="es-ES_tradnl"/>
              </w:rPr>
            </w:pPr>
          </w:p>
          <w:p w:rsidR="007D48BC" w:rsidRDefault="007D48BC" w:rsidP="00C83394">
            <w:pPr>
              <w:jc w:val="center"/>
              <w:rPr>
                <w:rFonts w:ascii="Arial" w:hAnsi="Arial" w:cs="Arial"/>
                <w:sz w:val="16"/>
                <w:szCs w:val="16"/>
                <w:lang w:val="es-ES_tradnl"/>
              </w:rPr>
            </w:pPr>
            <w:r>
              <w:rPr>
                <w:rFonts w:ascii="Arial" w:hAnsi="Arial" w:cs="Arial"/>
                <w:sz w:val="16"/>
                <w:szCs w:val="16"/>
                <w:lang w:val="es-ES_tradnl"/>
              </w:rPr>
              <w:t>65 (64)</w:t>
            </w:r>
          </w:p>
          <w:p w:rsidR="007D48BC" w:rsidRDefault="007D48BC" w:rsidP="00C83394">
            <w:pPr>
              <w:jc w:val="center"/>
              <w:rPr>
                <w:rFonts w:ascii="Arial" w:hAnsi="Arial" w:cs="Arial"/>
                <w:sz w:val="16"/>
                <w:szCs w:val="16"/>
                <w:lang w:val="es-ES_tradnl"/>
              </w:rPr>
            </w:pPr>
            <w:r>
              <w:rPr>
                <w:rFonts w:ascii="Arial" w:hAnsi="Arial" w:cs="Arial"/>
                <w:sz w:val="16"/>
                <w:szCs w:val="16"/>
                <w:lang w:val="es-ES_tradnl"/>
              </w:rPr>
              <w:t>34 (34)</w:t>
            </w:r>
          </w:p>
          <w:p w:rsidR="007D48BC" w:rsidRDefault="007D48BC" w:rsidP="00C83394">
            <w:pPr>
              <w:jc w:val="center"/>
              <w:rPr>
                <w:rFonts w:ascii="Arial" w:hAnsi="Arial" w:cs="Arial"/>
                <w:sz w:val="16"/>
                <w:szCs w:val="16"/>
                <w:lang w:val="es-ES_tradnl"/>
              </w:rPr>
            </w:pPr>
            <w:r>
              <w:rPr>
                <w:rFonts w:ascii="Arial" w:hAnsi="Arial" w:cs="Arial"/>
                <w:sz w:val="16"/>
                <w:szCs w:val="16"/>
                <w:lang w:val="es-ES_tradnl"/>
              </w:rPr>
              <w:t>29 (29)</w:t>
            </w:r>
          </w:p>
          <w:p w:rsidR="007D48BC" w:rsidRDefault="007D48BC" w:rsidP="00C83394">
            <w:pPr>
              <w:jc w:val="center"/>
              <w:rPr>
                <w:rFonts w:ascii="Arial" w:hAnsi="Arial" w:cs="Arial"/>
                <w:sz w:val="16"/>
                <w:szCs w:val="16"/>
                <w:lang w:val="es-ES_tradnl"/>
              </w:rPr>
            </w:pPr>
            <w:r>
              <w:rPr>
                <w:rFonts w:ascii="Arial" w:hAnsi="Arial" w:cs="Arial"/>
                <w:sz w:val="16"/>
                <w:szCs w:val="16"/>
                <w:lang w:val="es-ES_tradnl"/>
              </w:rPr>
              <w:t>29 (29)</w:t>
            </w:r>
          </w:p>
          <w:p w:rsidR="007D48BC" w:rsidRDefault="007D48BC" w:rsidP="00C83394">
            <w:pPr>
              <w:jc w:val="center"/>
              <w:rPr>
                <w:rFonts w:ascii="Arial" w:hAnsi="Arial" w:cs="Arial"/>
                <w:sz w:val="16"/>
                <w:szCs w:val="16"/>
                <w:lang w:val="es-ES_tradnl"/>
              </w:rPr>
            </w:pPr>
            <w:r>
              <w:rPr>
                <w:rFonts w:ascii="Arial" w:hAnsi="Arial" w:cs="Arial"/>
                <w:sz w:val="16"/>
                <w:szCs w:val="16"/>
                <w:lang w:val="es-ES_tradnl"/>
              </w:rPr>
              <w:t>18 (18)</w:t>
            </w:r>
          </w:p>
          <w:p w:rsidR="007D48BC" w:rsidRDefault="007D48BC" w:rsidP="00C83394">
            <w:pPr>
              <w:jc w:val="center"/>
              <w:rPr>
                <w:rFonts w:ascii="Arial" w:hAnsi="Arial" w:cs="Arial"/>
                <w:sz w:val="16"/>
                <w:szCs w:val="16"/>
                <w:lang w:val="es-ES_tradnl"/>
              </w:rPr>
            </w:pPr>
            <w:r>
              <w:rPr>
                <w:rFonts w:ascii="Arial" w:hAnsi="Arial" w:cs="Arial"/>
                <w:sz w:val="16"/>
                <w:szCs w:val="16"/>
                <w:lang w:val="es-ES_tradnl"/>
              </w:rPr>
              <w:t>15 (15)</w:t>
            </w:r>
          </w:p>
          <w:p w:rsidR="007D48BC" w:rsidRDefault="007D48BC" w:rsidP="00C83394">
            <w:pPr>
              <w:jc w:val="center"/>
              <w:rPr>
                <w:rFonts w:ascii="Arial" w:hAnsi="Arial" w:cs="Arial"/>
                <w:sz w:val="16"/>
                <w:szCs w:val="16"/>
                <w:lang w:val="es-ES_tradnl"/>
              </w:rPr>
            </w:pPr>
            <w:r>
              <w:rPr>
                <w:rFonts w:ascii="Arial" w:hAnsi="Arial" w:cs="Arial"/>
                <w:sz w:val="16"/>
                <w:szCs w:val="16"/>
                <w:lang w:val="es-ES_tradnl"/>
              </w:rPr>
              <w:t>9 (9)</w:t>
            </w:r>
          </w:p>
          <w:p w:rsidR="007D48BC" w:rsidRDefault="007D48BC" w:rsidP="00C83394">
            <w:pPr>
              <w:jc w:val="center"/>
              <w:rPr>
                <w:rFonts w:ascii="Arial" w:hAnsi="Arial" w:cs="Arial"/>
                <w:sz w:val="16"/>
                <w:szCs w:val="16"/>
                <w:lang w:val="es-ES_tradnl"/>
              </w:rPr>
            </w:pPr>
            <w:r>
              <w:rPr>
                <w:rFonts w:ascii="Arial" w:hAnsi="Arial" w:cs="Arial"/>
                <w:sz w:val="16"/>
                <w:szCs w:val="16"/>
                <w:lang w:val="es-ES_tradnl"/>
              </w:rPr>
              <w:t>7 (7)</w:t>
            </w:r>
          </w:p>
          <w:p w:rsidR="007D48BC" w:rsidRPr="006F6ABB" w:rsidRDefault="007D48BC" w:rsidP="00C83394">
            <w:pPr>
              <w:jc w:val="center"/>
              <w:rPr>
                <w:rFonts w:ascii="Arial" w:hAnsi="Arial" w:cs="Arial"/>
                <w:sz w:val="16"/>
                <w:szCs w:val="16"/>
                <w:lang w:val="es-ES_tradnl"/>
              </w:rPr>
            </w:pPr>
            <w:r>
              <w:rPr>
                <w:rFonts w:ascii="Arial" w:hAnsi="Arial" w:cs="Arial"/>
                <w:sz w:val="16"/>
                <w:szCs w:val="16"/>
                <w:lang w:val="es-ES_tradnl"/>
              </w:rPr>
              <w:t>6 (6)</w:t>
            </w:r>
          </w:p>
        </w:tc>
        <w:tc>
          <w:tcPr>
            <w:tcW w:w="1984" w:type="dxa"/>
          </w:tcPr>
          <w:p w:rsidR="007D48BC" w:rsidRDefault="007D48BC" w:rsidP="00DF144E">
            <w:pPr>
              <w:jc w:val="both"/>
              <w:rPr>
                <w:rFonts w:ascii="Arial" w:hAnsi="Arial" w:cs="Arial"/>
                <w:sz w:val="16"/>
                <w:szCs w:val="16"/>
                <w:lang w:val="es-ES_tradnl"/>
              </w:rPr>
            </w:pPr>
          </w:p>
          <w:p w:rsidR="007D48BC" w:rsidRDefault="007D48BC" w:rsidP="00C83394">
            <w:pPr>
              <w:jc w:val="center"/>
              <w:rPr>
                <w:rFonts w:ascii="Arial" w:hAnsi="Arial" w:cs="Arial"/>
                <w:sz w:val="16"/>
                <w:szCs w:val="16"/>
                <w:lang w:val="es-ES_tradnl"/>
              </w:rPr>
            </w:pPr>
            <w:r>
              <w:rPr>
                <w:rFonts w:ascii="Arial" w:hAnsi="Arial" w:cs="Arial"/>
                <w:sz w:val="16"/>
                <w:szCs w:val="16"/>
                <w:lang w:val="es-ES_tradnl"/>
              </w:rPr>
              <w:t>37 (37)</w:t>
            </w:r>
          </w:p>
          <w:p w:rsidR="007D48BC" w:rsidRDefault="007D48BC" w:rsidP="00C83394">
            <w:pPr>
              <w:jc w:val="center"/>
              <w:rPr>
                <w:rFonts w:ascii="Arial" w:hAnsi="Arial" w:cs="Arial"/>
                <w:sz w:val="16"/>
                <w:szCs w:val="16"/>
                <w:lang w:val="es-ES_tradnl"/>
              </w:rPr>
            </w:pPr>
            <w:r>
              <w:rPr>
                <w:rFonts w:ascii="Arial" w:hAnsi="Arial" w:cs="Arial"/>
                <w:sz w:val="16"/>
                <w:szCs w:val="16"/>
                <w:lang w:val="es-ES_tradnl"/>
              </w:rPr>
              <w:t>13 (13)</w:t>
            </w:r>
          </w:p>
          <w:p w:rsidR="007D48BC" w:rsidRDefault="007D48BC" w:rsidP="00C83394">
            <w:pPr>
              <w:jc w:val="center"/>
              <w:rPr>
                <w:rFonts w:ascii="Arial" w:hAnsi="Arial" w:cs="Arial"/>
                <w:sz w:val="16"/>
                <w:szCs w:val="16"/>
                <w:lang w:val="es-ES_tradnl"/>
              </w:rPr>
            </w:pPr>
            <w:r>
              <w:rPr>
                <w:rFonts w:ascii="Arial" w:hAnsi="Arial" w:cs="Arial"/>
                <w:sz w:val="16"/>
                <w:szCs w:val="16"/>
                <w:lang w:val="es-ES_tradnl"/>
              </w:rPr>
              <w:t>20 (20)</w:t>
            </w:r>
          </w:p>
          <w:p w:rsidR="007D48BC" w:rsidRDefault="007D48BC" w:rsidP="00C83394">
            <w:pPr>
              <w:jc w:val="center"/>
              <w:rPr>
                <w:rFonts w:ascii="Arial" w:hAnsi="Arial" w:cs="Arial"/>
                <w:sz w:val="16"/>
                <w:szCs w:val="16"/>
                <w:lang w:val="es-ES_tradnl"/>
              </w:rPr>
            </w:pPr>
            <w:r>
              <w:rPr>
                <w:rFonts w:ascii="Arial" w:hAnsi="Arial" w:cs="Arial"/>
                <w:sz w:val="16"/>
                <w:szCs w:val="16"/>
                <w:lang w:val="es-ES_tradnl"/>
              </w:rPr>
              <w:t>28 (28)</w:t>
            </w:r>
          </w:p>
          <w:p w:rsidR="007D48BC" w:rsidRDefault="007D48BC" w:rsidP="00C83394">
            <w:pPr>
              <w:jc w:val="center"/>
              <w:rPr>
                <w:rFonts w:ascii="Arial" w:hAnsi="Arial" w:cs="Arial"/>
                <w:sz w:val="16"/>
                <w:szCs w:val="16"/>
                <w:lang w:val="es-ES_tradnl"/>
              </w:rPr>
            </w:pPr>
            <w:r>
              <w:rPr>
                <w:rFonts w:ascii="Arial" w:hAnsi="Arial" w:cs="Arial"/>
                <w:sz w:val="16"/>
                <w:szCs w:val="16"/>
                <w:lang w:val="es-ES_tradnl"/>
              </w:rPr>
              <w:t>11 (11)</w:t>
            </w:r>
          </w:p>
          <w:p w:rsidR="007D48BC" w:rsidRDefault="007D48BC" w:rsidP="00C83394">
            <w:pPr>
              <w:jc w:val="center"/>
              <w:rPr>
                <w:rFonts w:ascii="Arial" w:hAnsi="Arial" w:cs="Arial"/>
                <w:sz w:val="16"/>
                <w:szCs w:val="16"/>
                <w:lang w:val="es-ES_tradnl"/>
              </w:rPr>
            </w:pPr>
            <w:r>
              <w:rPr>
                <w:rFonts w:ascii="Arial" w:hAnsi="Arial" w:cs="Arial"/>
                <w:sz w:val="16"/>
                <w:szCs w:val="16"/>
                <w:lang w:val="es-ES_tradnl"/>
              </w:rPr>
              <w:t>8 (8)</w:t>
            </w:r>
          </w:p>
          <w:p w:rsidR="007D48BC" w:rsidRDefault="007D48BC" w:rsidP="00C83394">
            <w:pPr>
              <w:jc w:val="center"/>
              <w:rPr>
                <w:rFonts w:ascii="Arial" w:hAnsi="Arial" w:cs="Arial"/>
                <w:sz w:val="16"/>
                <w:szCs w:val="16"/>
                <w:lang w:val="es-ES_tradnl"/>
              </w:rPr>
            </w:pPr>
            <w:r>
              <w:rPr>
                <w:rFonts w:ascii="Arial" w:hAnsi="Arial" w:cs="Arial"/>
                <w:sz w:val="16"/>
                <w:szCs w:val="16"/>
                <w:lang w:val="es-ES_tradnl"/>
              </w:rPr>
              <w:t>5 (5)</w:t>
            </w:r>
          </w:p>
          <w:p w:rsidR="007D48BC" w:rsidRDefault="007D48BC" w:rsidP="00C83394">
            <w:pPr>
              <w:jc w:val="center"/>
              <w:rPr>
                <w:rFonts w:ascii="Arial" w:hAnsi="Arial" w:cs="Arial"/>
                <w:sz w:val="16"/>
                <w:szCs w:val="16"/>
                <w:lang w:val="es-ES_tradnl"/>
              </w:rPr>
            </w:pPr>
            <w:r>
              <w:rPr>
                <w:rFonts w:ascii="Arial" w:hAnsi="Arial" w:cs="Arial"/>
                <w:sz w:val="16"/>
                <w:szCs w:val="16"/>
                <w:lang w:val="es-ES_tradnl"/>
              </w:rPr>
              <w:t>6 (6)</w:t>
            </w:r>
          </w:p>
          <w:p w:rsidR="007D48BC" w:rsidRPr="006F6ABB" w:rsidRDefault="007D48BC" w:rsidP="00C83394">
            <w:pPr>
              <w:jc w:val="center"/>
              <w:rPr>
                <w:rFonts w:ascii="Arial" w:hAnsi="Arial" w:cs="Arial"/>
                <w:sz w:val="16"/>
                <w:szCs w:val="16"/>
                <w:lang w:val="es-ES_tradnl"/>
              </w:rPr>
            </w:pPr>
            <w:r>
              <w:rPr>
                <w:rFonts w:ascii="Arial" w:hAnsi="Arial" w:cs="Arial"/>
                <w:sz w:val="16"/>
                <w:szCs w:val="16"/>
                <w:lang w:val="es-ES_tradnl"/>
              </w:rPr>
              <w:t>4 (4)</w:t>
            </w:r>
          </w:p>
        </w:tc>
        <w:tc>
          <w:tcPr>
            <w:tcW w:w="1788" w:type="dxa"/>
          </w:tcPr>
          <w:p w:rsidR="007D48BC" w:rsidRDefault="007D48BC" w:rsidP="00DF144E">
            <w:pPr>
              <w:jc w:val="both"/>
              <w:rPr>
                <w:rFonts w:ascii="Arial" w:hAnsi="Arial" w:cs="Arial"/>
                <w:sz w:val="16"/>
                <w:szCs w:val="16"/>
                <w:lang w:val="es-ES_tradnl"/>
              </w:rPr>
            </w:pPr>
          </w:p>
          <w:p w:rsidR="007D48BC" w:rsidRDefault="007D48BC" w:rsidP="00C83394">
            <w:pPr>
              <w:jc w:val="center"/>
              <w:rPr>
                <w:rFonts w:ascii="Arial" w:hAnsi="Arial" w:cs="Arial"/>
                <w:sz w:val="16"/>
                <w:szCs w:val="16"/>
                <w:lang w:val="es-ES_tradnl"/>
              </w:rPr>
            </w:pPr>
            <w:r>
              <w:rPr>
                <w:rFonts w:ascii="Arial" w:hAnsi="Arial" w:cs="Arial"/>
                <w:sz w:val="16"/>
                <w:szCs w:val="16"/>
                <w:lang w:val="es-ES_tradnl"/>
              </w:rPr>
              <w:t>28 (28)</w:t>
            </w:r>
          </w:p>
          <w:p w:rsidR="007D48BC" w:rsidRDefault="007D48BC" w:rsidP="00C83394">
            <w:pPr>
              <w:jc w:val="center"/>
              <w:rPr>
                <w:rFonts w:ascii="Arial" w:hAnsi="Arial" w:cs="Arial"/>
                <w:sz w:val="16"/>
                <w:szCs w:val="16"/>
                <w:lang w:val="es-ES_tradnl"/>
              </w:rPr>
            </w:pPr>
            <w:r>
              <w:rPr>
                <w:rFonts w:ascii="Arial" w:hAnsi="Arial" w:cs="Arial"/>
                <w:sz w:val="16"/>
                <w:szCs w:val="16"/>
                <w:lang w:val="es-ES_tradnl"/>
              </w:rPr>
              <w:t>21 (21)</w:t>
            </w:r>
          </w:p>
          <w:p w:rsidR="007D48BC" w:rsidRDefault="007D48BC" w:rsidP="00C83394">
            <w:pPr>
              <w:jc w:val="center"/>
              <w:rPr>
                <w:rFonts w:ascii="Arial" w:hAnsi="Arial" w:cs="Arial"/>
                <w:sz w:val="16"/>
                <w:szCs w:val="16"/>
                <w:lang w:val="es-ES_tradnl"/>
              </w:rPr>
            </w:pPr>
            <w:r>
              <w:rPr>
                <w:rFonts w:ascii="Arial" w:hAnsi="Arial" w:cs="Arial"/>
                <w:sz w:val="16"/>
                <w:szCs w:val="16"/>
                <w:lang w:val="es-ES_tradnl"/>
              </w:rPr>
              <w:t>9 (9)</w:t>
            </w:r>
          </w:p>
          <w:p w:rsidR="007D48BC" w:rsidRDefault="007D48BC" w:rsidP="00C83394">
            <w:pPr>
              <w:jc w:val="center"/>
              <w:rPr>
                <w:rFonts w:ascii="Arial" w:hAnsi="Arial" w:cs="Arial"/>
                <w:sz w:val="16"/>
                <w:szCs w:val="16"/>
                <w:lang w:val="es-ES_tradnl"/>
              </w:rPr>
            </w:pPr>
            <w:r>
              <w:rPr>
                <w:rFonts w:ascii="Arial" w:hAnsi="Arial" w:cs="Arial"/>
                <w:sz w:val="16"/>
                <w:szCs w:val="16"/>
                <w:lang w:val="es-ES_tradnl"/>
              </w:rPr>
              <w:t>1 (1)</w:t>
            </w:r>
          </w:p>
          <w:p w:rsidR="007D48BC" w:rsidRDefault="007D48BC" w:rsidP="00C83394">
            <w:pPr>
              <w:jc w:val="center"/>
              <w:rPr>
                <w:rFonts w:ascii="Arial" w:hAnsi="Arial" w:cs="Arial"/>
                <w:sz w:val="16"/>
                <w:szCs w:val="16"/>
                <w:lang w:val="es-ES_tradnl"/>
              </w:rPr>
            </w:pPr>
            <w:r>
              <w:rPr>
                <w:rFonts w:ascii="Arial" w:hAnsi="Arial" w:cs="Arial"/>
                <w:sz w:val="16"/>
                <w:szCs w:val="16"/>
                <w:lang w:val="es-ES_tradnl"/>
              </w:rPr>
              <w:t>7 (7)</w:t>
            </w:r>
          </w:p>
          <w:p w:rsidR="007D48BC" w:rsidRDefault="007D48BC" w:rsidP="00C83394">
            <w:pPr>
              <w:jc w:val="center"/>
              <w:rPr>
                <w:rFonts w:ascii="Arial" w:hAnsi="Arial" w:cs="Arial"/>
                <w:sz w:val="16"/>
                <w:szCs w:val="16"/>
                <w:lang w:val="es-ES_tradnl"/>
              </w:rPr>
            </w:pPr>
            <w:r>
              <w:rPr>
                <w:rFonts w:ascii="Arial" w:hAnsi="Arial" w:cs="Arial"/>
                <w:sz w:val="16"/>
                <w:szCs w:val="16"/>
                <w:lang w:val="es-ES_tradnl"/>
              </w:rPr>
              <w:t>7 (7)</w:t>
            </w:r>
          </w:p>
          <w:p w:rsidR="007D48BC" w:rsidRDefault="007D48BC" w:rsidP="00C83394">
            <w:pPr>
              <w:jc w:val="center"/>
              <w:rPr>
                <w:rFonts w:ascii="Arial" w:hAnsi="Arial" w:cs="Arial"/>
                <w:sz w:val="16"/>
                <w:szCs w:val="16"/>
                <w:lang w:val="es-ES_tradnl"/>
              </w:rPr>
            </w:pPr>
            <w:r>
              <w:rPr>
                <w:rFonts w:ascii="Arial" w:hAnsi="Arial" w:cs="Arial"/>
                <w:sz w:val="16"/>
                <w:szCs w:val="16"/>
                <w:lang w:val="es-ES_tradnl"/>
              </w:rPr>
              <w:t>4 (4)</w:t>
            </w:r>
          </w:p>
          <w:p w:rsidR="007D48BC" w:rsidRDefault="007D48BC" w:rsidP="00C83394">
            <w:pPr>
              <w:jc w:val="center"/>
              <w:rPr>
                <w:rFonts w:ascii="Arial" w:hAnsi="Arial" w:cs="Arial"/>
                <w:sz w:val="16"/>
                <w:szCs w:val="16"/>
                <w:lang w:val="es-ES_tradnl"/>
              </w:rPr>
            </w:pPr>
            <w:r>
              <w:rPr>
                <w:rFonts w:ascii="Arial" w:hAnsi="Arial" w:cs="Arial"/>
                <w:sz w:val="16"/>
                <w:szCs w:val="16"/>
                <w:lang w:val="es-ES_tradnl"/>
              </w:rPr>
              <w:t>1 (1)</w:t>
            </w:r>
          </w:p>
          <w:p w:rsidR="007D48BC" w:rsidRPr="006F6ABB" w:rsidRDefault="007D48BC" w:rsidP="00C83394">
            <w:pPr>
              <w:jc w:val="center"/>
              <w:rPr>
                <w:rFonts w:ascii="Arial" w:hAnsi="Arial" w:cs="Arial"/>
                <w:sz w:val="16"/>
                <w:szCs w:val="16"/>
                <w:lang w:val="es-ES_tradnl"/>
              </w:rPr>
            </w:pPr>
            <w:r>
              <w:rPr>
                <w:rFonts w:ascii="Arial" w:hAnsi="Arial" w:cs="Arial"/>
                <w:sz w:val="16"/>
                <w:szCs w:val="16"/>
                <w:lang w:val="es-ES_tradnl"/>
              </w:rPr>
              <w:t>2 (2)</w:t>
            </w:r>
          </w:p>
        </w:tc>
      </w:tr>
      <w:tr w:rsidR="007D48BC" w:rsidRPr="006F6ABB">
        <w:trPr>
          <w:cantSplit/>
          <w:trHeight w:val="218"/>
        </w:trPr>
        <w:tc>
          <w:tcPr>
            <w:tcW w:w="8729" w:type="dxa"/>
            <w:gridSpan w:val="4"/>
          </w:tcPr>
          <w:p w:rsidR="007D48BC" w:rsidRPr="006F6ABB" w:rsidRDefault="007D48BC" w:rsidP="00DF144E">
            <w:pPr>
              <w:jc w:val="both"/>
              <w:rPr>
                <w:rFonts w:ascii="Arial" w:hAnsi="Arial" w:cs="Arial"/>
                <w:sz w:val="16"/>
                <w:szCs w:val="16"/>
                <w:lang w:val="es-ES_tradnl"/>
              </w:rPr>
            </w:pPr>
          </w:p>
        </w:tc>
      </w:tr>
    </w:tbl>
    <w:p w:rsidR="007D48BC" w:rsidRDefault="007D48BC" w:rsidP="000B0D88">
      <w:pPr>
        <w:jc w:val="both"/>
        <w:rPr>
          <w:rFonts w:ascii="Arial" w:hAnsi="Arial" w:cs="Arial"/>
        </w:rPr>
      </w:pPr>
    </w:p>
    <w:p w:rsidR="007D48BC" w:rsidRDefault="007D48BC" w:rsidP="000B0D88">
      <w:pPr>
        <w:jc w:val="both"/>
        <w:rPr>
          <w:rFonts w:ascii="Arial" w:hAnsi="Arial" w:cs="Arial"/>
        </w:rPr>
      </w:pPr>
    </w:p>
    <w:p w:rsidR="007D48BC" w:rsidRPr="00CF328A" w:rsidRDefault="007D48BC" w:rsidP="000B0D88">
      <w:pPr>
        <w:jc w:val="both"/>
        <w:rPr>
          <w:rFonts w:ascii="Arial" w:hAnsi="Arial" w:cs="Arial"/>
          <w:lang w:val="en-US"/>
        </w:rPr>
      </w:pPr>
      <w:r w:rsidRPr="001823C6">
        <w:rPr>
          <w:rFonts w:ascii="Arial" w:hAnsi="Arial" w:cs="Arial"/>
          <w:b/>
          <w:bCs/>
        </w:rPr>
        <w:t>Tabla 11. Eventos adversos graves ocurridos en al menos un paciente</w:t>
      </w:r>
      <w:r>
        <w:rPr>
          <w:rFonts w:ascii="Arial" w:hAnsi="Arial" w:cs="Arial"/>
          <w:b/>
          <w:bCs/>
        </w:rPr>
        <w:t>.</w:t>
      </w:r>
      <w:r>
        <w:rPr>
          <w:rFonts w:ascii="Arial" w:hAnsi="Arial" w:cs="Arial"/>
        </w:rPr>
        <w:t xml:space="preserve"> </w:t>
      </w:r>
      <w:r>
        <w:rPr>
          <w:rFonts w:ascii="Arial" w:hAnsi="Arial" w:cs="Arial"/>
          <w:lang w:val="en-US"/>
        </w:rPr>
        <w:t xml:space="preserve">Tomada de: Committee for Medicinal Products for Human Use. European Medicines Agency Yescarta </w:t>
      </w:r>
      <w:r w:rsidRPr="00AF471B">
        <w:rPr>
          <w:rFonts w:ascii="Arial" w:hAnsi="Arial" w:cs="Arial"/>
          <w:vertAlign w:val="superscript"/>
          <w:lang w:val="en-US"/>
        </w:rPr>
        <w:t>1</w:t>
      </w:r>
      <w:r>
        <w:rPr>
          <w:rFonts w:ascii="Arial" w:hAnsi="Arial" w:cs="Arial"/>
          <w:vertAlign w:val="superscript"/>
          <w:lang w:val="en-US"/>
        </w:rPr>
        <w:t>4</w:t>
      </w:r>
    </w:p>
    <w:p w:rsidR="007D48BC" w:rsidRDefault="003C496A" w:rsidP="00B63E61">
      <w:pPr>
        <w:jc w:val="center"/>
        <w:rPr>
          <w:rFonts w:ascii="Arial" w:hAnsi="Arial" w:cs="Arial"/>
        </w:rPr>
      </w:pPr>
      <w:r>
        <w:rPr>
          <w:rFonts w:ascii="Arial" w:hAnsi="Arial" w:cs="Arial"/>
          <w:noProof/>
        </w:rPr>
        <w:drawing>
          <wp:inline distT="0" distB="0" distL="0" distR="0">
            <wp:extent cx="3829050" cy="274320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829050" cy="2743200"/>
                    </a:xfrm>
                    <a:prstGeom prst="rect">
                      <a:avLst/>
                    </a:prstGeom>
                    <a:noFill/>
                    <a:ln>
                      <a:noFill/>
                    </a:ln>
                  </pic:spPr>
                </pic:pic>
              </a:graphicData>
            </a:graphic>
          </wp:inline>
        </w:drawing>
      </w:r>
    </w:p>
    <w:p w:rsidR="007D48BC" w:rsidRDefault="007D48BC" w:rsidP="000B0D88">
      <w:pPr>
        <w:jc w:val="both"/>
        <w:rPr>
          <w:rFonts w:ascii="Arial" w:hAnsi="Arial" w:cs="Arial"/>
        </w:rPr>
      </w:pPr>
    </w:p>
    <w:p w:rsidR="007D48BC" w:rsidRDefault="007D48BC" w:rsidP="000B0D88">
      <w:pPr>
        <w:jc w:val="both"/>
        <w:rPr>
          <w:rFonts w:ascii="Arial" w:hAnsi="Arial" w:cs="Arial"/>
          <w:lang w:val="en-US"/>
        </w:rPr>
      </w:pPr>
      <w:r>
        <w:rPr>
          <w:rFonts w:ascii="Arial" w:hAnsi="Arial" w:cs="Arial"/>
          <w:b/>
          <w:bCs/>
        </w:rPr>
        <w:t>Tabla 12. Muertes producidas y causas de las mismas en la población analizada.</w:t>
      </w:r>
      <w:r>
        <w:rPr>
          <w:rFonts w:ascii="Arial" w:hAnsi="Arial" w:cs="Arial"/>
        </w:rPr>
        <w:t xml:space="preserve"> </w:t>
      </w:r>
      <w:r>
        <w:rPr>
          <w:rFonts w:ascii="Arial" w:hAnsi="Arial" w:cs="Arial"/>
          <w:lang w:val="en-US"/>
        </w:rPr>
        <w:t xml:space="preserve">Tomada de: Committee for Medicinal Products for Human Use. European Medicines Agency Yescarta </w:t>
      </w:r>
      <w:r w:rsidRPr="00AF471B">
        <w:rPr>
          <w:rFonts w:ascii="Arial" w:hAnsi="Arial" w:cs="Arial"/>
          <w:vertAlign w:val="superscript"/>
          <w:lang w:val="en-US"/>
        </w:rPr>
        <w:t>1</w:t>
      </w:r>
      <w:r>
        <w:rPr>
          <w:rFonts w:ascii="Arial" w:hAnsi="Arial" w:cs="Arial"/>
          <w:vertAlign w:val="superscript"/>
          <w:lang w:val="en-US"/>
        </w:rPr>
        <w:t>4</w:t>
      </w:r>
      <w:r>
        <w:rPr>
          <w:rFonts w:ascii="Arial" w:hAnsi="Arial" w:cs="Arial"/>
          <w:lang w:val="en-US"/>
        </w:rPr>
        <w:t>.</w:t>
      </w:r>
    </w:p>
    <w:p w:rsidR="007D48BC" w:rsidRPr="00C83343" w:rsidRDefault="007D48BC" w:rsidP="000B0D88">
      <w:pPr>
        <w:jc w:val="both"/>
        <w:rPr>
          <w:rFonts w:ascii="Arial" w:hAnsi="Arial" w:cs="Arial"/>
          <w:lang w:val="en-US"/>
        </w:rPr>
      </w:pPr>
    </w:p>
    <w:p w:rsidR="007D48BC" w:rsidRDefault="003C496A" w:rsidP="00B63E61">
      <w:pPr>
        <w:jc w:val="both"/>
        <w:rPr>
          <w:rFonts w:ascii="Arial" w:hAnsi="Arial" w:cs="Arial"/>
        </w:rPr>
      </w:pPr>
      <w:r>
        <w:rPr>
          <w:rFonts w:ascii="Arial" w:hAnsi="Arial" w:cs="Arial"/>
          <w:noProof/>
        </w:rPr>
        <w:drawing>
          <wp:inline distT="0" distB="0" distL="0" distR="0">
            <wp:extent cx="5457825" cy="277177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457825" cy="2771775"/>
                    </a:xfrm>
                    <a:prstGeom prst="rect">
                      <a:avLst/>
                    </a:prstGeom>
                    <a:noFill/>
                    <a:ln>
                      <a:noFill/>
                    </a:ln>
                  </pic:spPr>
                </pic:pic>
              </a:graphicData>
            </a:graphic>
          </wp:inline>
        </w:drawing>
      </w:r>
    </w:p>
    <w:p w:rsidR="007D48BC" w:rsidRDefault="007D48BC" w:rsidP="00762EF8">
      <w:pPr>
        <w:autoSpaceDE w:val="0"/>
        <w:autoSpaceDN w:val="0"/>
        <w:adjustRightInd w:val="0"/>
        <w:spacing w:after="140" w:line="360" w:lineRule="auto"/>
        <w:jc w:val="both"/>
        <w:rPr>
          <w:rFonts w:ascii="Arial" w:hAnsi="Arial" w:cs="Arial"/>
          <w:color w:val="000000"/>
        </w:rPr>
      </w:pPr>
    </w:p>
    <w:p w:rsidR="007D48BC" w:rsidRPr="00DC0552" w:rsidRDefault="007D48BC" w:rsidP="00DC0552">
      <w:pPr>
        <w:autoSpaceDE w:val="0"/>
        <w:autoSpaceDN w:val="0"/>
        <w:adjustRightInd w:val="0"/>
        <w:spacing w:after="140" w:line="360" w:lineRule="auto"/>
        <w:jc w:val="both"/>
        <w:rPr>
          <w:rFonts w:ascii="Arial" w:hAnsi="Arial" w:cs="Arial"/>
          <w:color w:val="000000"/>
        </w:rPr>
      </w:pPr>
      <w:r w:rsidRPr="00DC710C">
        <w:rPr>
          <w:rFonts w:ascii="Arial" w:hAnsi="Arial" w:cs="Arial"/>
          <w:color w:val="000000"/>
        </w:rPr>
        <w:t xml:space="preserve">Fallecieron 4 pacientes debidos a los efectos adversos. Los investigadores relacionaron dos con el tratamiento con </w:t>
      </w:r>
      <w:bookmarkStart w:id="75" w:name="_Hlk531980231"/>
      <w:r>
        <w:rPr>
          <w:rFonts w:ascii="Arial" w:hAnsi="Arial" w:cs="Arial"/>
        </w:rPr>
        <w:t>a</w:t>
      </w:r>
      <w:r w:rsidRPr="00DC710C">
        <w:rPr>
          <w:rFonts w:ascii="Arial" w:hAnsi="Arial" w:cs="Arial"/>
        </w:rPr>
        <w:t>xicabtagen ciloleucel</w:t>
      </w:r>
      <w:bookmarkEnd w:id="75"/>
      <w:r w:rsidRPr="00DC710C">
        <w:rPr>
          <w:rFonts w:ascii="Arial" w:hAnsi="Arial" w:cs="Arial"/>
        </w:rPr>
        <w:t>. Uno debido a un SLC</w:t>
      </w:r>
      <w:r w:rsidR="005B6093">
        <w:rPr>
          <w:rFonts w:ascii="Arial" w:hAnsi="Arial" w:cs="Arial"/>
          <w:color w:val="000000"/>
        </w:rPr>
        <w:t xml:space="preserve"> </w:t>
      </w:r>
      <w:r w:rsidRPr="00DC710C">
        <w:rPr>
          <w:rFonts w:ascii="Arial" w:hAnsi="Arial" w:cs="Arial"/>
          <w:color w:val="000000"/>
        </w:rPr>
        <w:t>grave y paro cardiaco y el otro caso por el desarrollo de una linfohistocitosis hematofagoc</w:t>
      </w:r>
      <w:r>
        <w:rPr>
          <w:rFonts w:ascii="Arial" w:hAnsi="Arial" w:cs="Arial"/>
          <w:color w:val="000000"/>
        </w:rPr>
        <w:t>í</w:t>
      </w:r>
      <w:r w:rsidRPr="00DC710C">
        <w:rPr>
          <w:rFonts w:ascii="Arial" w:hAnsi="Arial" w:cs="Arial"/>
          <w:color w:val="000000"/>
        </w:rPr>
        <w:t xml:space="preserve">tica. Un caso de embolia pulmonar con desenlace fatal no se relacionó con el tratamiento.  </w:t>
      </w:r>
    </w:p>
    <w:p w:rsidR="007D48BC" w:rsidRPr="00DC710C" w:rsidRDefault="007D48BC" w:rsidP="00DC710C">
      <w:pPr>
        <w:spacing w:line="360" w:lineRule="auto"/>
        <w:jc w:val="both"/>
        <w:rPr>
          <w:rFonts w:ascii="Arial" w:hAnsi="Arial" w:cs="Arial"/>
        </w:rPr>
      </w:pPr>
      <w:r w:rsidRPr="00DC710C">
        <w:rPr>
          <w:rFonts w:ascii="Arial" w:hAnsi="Arial" w:cs="Arial"/>
        </w:rPr>
        <w:t xml:space="preserve">El tratamiento con </w:t>
      </w:r>
      <w:r>
        <w:rPr>
          <w:rFonts w:ascii="Arial" w:hAnsi="Arial" w:cs="Arial"/>
        </w:rPr>
        <w:t>a</w:t>
      </w:r>
      <w:r w:rsidRPr="00DC710C">
        <w:rPr>
          <w:rFonts w:ascii="Arial" w:hAnsi="Arial" w:cs="Arial"/>
        </w:rPr>
        <w:t>xicabtagen ciloleucel se asocia con una alta incidencia de efectos adversos graves. El síndrome de liberación de citoquinas y los efectos neurológicos se asocia</w:t>
      </w:r>
      <w:r>
        <w:rPr>
          <w:rFonts w:ascii="Arial" w:hAnsi="Arial" w:cs="Arial"/>
        </w:rPr>
        <w:t>n</w:t>
      </w:r>
      <w:r w:rsidRPr="00DC710C">
        <w:rPr>
          <w:rFonts w:ascii="Arial" w:hAnsi="Arial" w:cs="Arial"/>
        </w:rPr>
        <w:t xml:space="preserve"> al fármaco y las citopenias al tratamiento de linfodeplección. </w:t>
      </w:r>
    </w:p>
    <w:p w:rsidR="007D48BC" w:rsidRDefault="007D48BC" w:rsidP="00656013">
      <w:pPr>
        <w:spacing w:line="360" w:lineRule="auto"/>
        <w:jc w:val="both"/>
        <w:rPr>
          <w:rFonts w:ascii="Arial" w:hAnsi="Arial" w:cs="Arial"/>
        </w:rPr>
      </w:pPr>
      <w:r w:rsidRPr="00DC710C">
        <w:rPr>
          <w:rFonts w:ascii="Arial" w:hAnsi="Arial" w:cs="Arial"/>
        </w:rPr>
        <w:t>Parece necesario establecer un estudio de s</w:t>
      </w:r>
      <w:r w:rsidR="00C11756">
        <w:rPr>
          <w:rFonts w:ascii="Arial" w:hAnsi="Arial" w:cs="Arial"/>
        </w:rPr>
        <w:t xml:space="preserve">eguridad post-comercialización </w:t>
      </w:r>
      <w:r w:rsidRPr="00DC710C">
        <w:rPr>
          <w:rFonts w:ascii="Arial" w:hAnsi="Arial" w:cs="Arial"/>
        </w:rPr>
        <w:t>para conocer el perfil de efectos adversos en práctica clínica real.</w:t>
      </w:r>
    </w:p>
    <w:p w:rsidR="007D48BC" w:rsidRPr="00DC0552" w:rsidRDefault="007D48BC" w:rsidP="000B0D88">
      <w:pPr>
        <w:jc w:val="both"/>
        <w:rPr>
          <w:rFonts w:ascii="Arial" w:hAnsi="Arial" w:cs="Arial"/>
        </w:rPr>
      </w:pPr>
    </w:p>
    <w:p w:rsidR="007D48BC" w:rsidRPr="00E3472F" w:rsidRDefault="007D48BC" w:rsidP="00BC3E8E">
      <w:pPr>
        <w:pStyle w:val="Ttulo2"/>
        <w:pBdr>
          <w:top w:val="single" w:sz="4" w:space="1" w:color="auto"/>
          <w:left w:val="single" w:sz="4" w:space="4" w:color="auto"/>
          <w:bottom w:val="single" w:sz="4" w:space="1" w:color="auto"/>
          <w:right w:val="single" w:sz="4" w:space="4" w:color="auto"/>
        </w:pBdr>
        <w:shd w:val="clear" w:color="auto" w:fill="D9D9D9"/>
        <w:rPr>
          <w:sz w:val="20"/>
          <w:szCs w:val="20"/>
        </w:rPr>
      </w:pPr>
      <w:bookmarkStart w:id="76" w:name="_Toc344399653"/>
      <w:bookmarkStart w:id="77" w:name="_Toc348931384"/>
      <w:r w:rsidRPr="00117945">
        <w:rPr>
          <w:sz w:val="18"/>
          <w:szCs w:val="18"/>
        </w:rPr>
        <w:t>6.2 Ensayos Clínicos comparativos</w:t>
      </w:r>
      <w:r w:rsidRPr="00E3472F">
        <w:rPr>
          <w:sz w:val="20"/>
          <w:szCs w:val="20"/>
        </w:rPr>
        <w:t>.</w:t>
      </w:r>
      <w:bookmarkEnd w:id="76"/>
      <w:bookmarkEnd w:id="77"/>
      <w:r w:rsidRPr="00E3472F">
        <w:rPr>
          <w:sz w:val="20"/>
          <w:szCs w:val="20"/>
        </w:rPr>
        <w:t xml:space="preserve"> </w:t>
      </w:r>
    </w:p>
    <w:p w:rsidR="007D48BC" w:rsidRDefault="007D48BC" w:rsidP="00BC3E8E">
      <w:pPr>
        <w:pStyle w:val="Ttulo2"/>
        <w:rPr>
          <w:b w:val="0"/>
          <w:bCs w:val="0"/>
          <w:sz w:val="20"/>
          <w:szCs w:val="20"/>
        </w:rPr>
      </w:pPr>
    </w:p>
    <w:p w:rsidR="007D48BC" w:rsidRDefault="007D48BC" w:rsidP="004F2408">
      <w:pPr>
        <w:spacing w:line="360" w:lineRule="auto"/>
        <w:jc w:val="both"/>
        <w:rPr>
          <w:rFonts w:ascii="Arial" w:hAnsi="Arial" w:cs="Arial"/>
        </w:rPr>
      </w:pPr>
      <w:r w:rsidRPr="00C83343">
        <w:rPr>
          <w:rFonts w:ascii="Arial" w:hAnsi="Arial" w:cs="Arial"/>
        </w:rPr>
        <w:t>No existen estudio</w:t>
      </w:r>
      <w:r w:rsidR="00C11756">
        <w:rPr>
          <w:rFonts w:ascii="Arial" w:hAnsi="Arial" w:cs="Arial"/>
        </w:rPr>
        <w:t>s</w:t>
      </w:r>
      <w:r w:rsidRPr="00C83343">
        <w:rPr>
          <w:rFonts w:ascii="Arial" w:hAnsi="Arial" w:cs="Arial"/>
        </w:rPr>
        <w:t xml:space="preserve"> comparativos ni de eficacia ni de seguridad. Se acaba de poner en marcha un estudio en fase III (NCT03391466), donde se compara frente a tratamiento convencional (Esquema de rescate basado en platino seguido de QT a altas dosis y TAPH) </w:t>
      </w:r>
    </w:p>
    <w:p w:rsidR="007D48BC" w:rsidRPr="006F6ABB" w:rsidRDefault="007D48BC" w:rsidP="00DC1163">
      <w:pPr>
        <w:pStyle w:val="Ttulo2"/>
        <w:pBdr>
          <w:top w:val="single" w:sz="4" w:space="1" w:color="auto"/>
          <w:left w:val="single" w:sz="4" w:space="4" w:color="auto"/>
          <w:bottom w:val="single" w:sz="4" w:space="1" w:color="auto"/>
          <w:right w:val="single" w:sz="4" w:space="4" w:color="auto"/>
        </w:pBdr>
        <w:shd w:val="clear" w:color="auto" w:fill="D9D9D9"/>
        <w:rPr>
          <w:rFonts w:ascii="Arial" w:hAnsi="Arial" w:cs="Arial"/>
        </w:rPr>
      </w:pPr>
      <w:r>
        <w:rPr>
          <w:sz w:val="18"/>
          <w:szCs w:val="18"/>
        </w:rPr>
        <w:t>6.3. Fuentes secundarias de seguridad</w:t>
      </w:r>
      <w:r w:rsidR="00FE59AC">
        <w:rPr>
          <w:sz w:val="18"/>
          <w:szCs w:val="18"/>
        </w:rPr>
        <w:fldChar w:fldCharType="begin"/>
      </w:r>
      <w:r>
        <w:instrText>xe "</w:instrText>
      </w:r>
      <w:r w:rsidRPr="002431BC">
        <w:rPr>
          <w:sz w:val="18"/>
          <w:szCs w:val="18"/>
        </w:rPr>
        <w:instrText>6.3. Fuentes secundarias de seguridad</w:instrText>
      </w:r>
      <w:r>
        <w:instrText>"</w:instrText>
      </w:r>
      <w:r w:rsidR="00FE59AC">
        <w:rPr>
          <w:sz w:val="18"/>
          <w:szCs w:val="18"/>
        </w:rPr>
        <w:fldChar w:fldCharType="end"/>
      </w:r>
      <w:r>
        <w:rPr>
          <w:sz w:val="18"/>
          <w:szCs w:val="18"/>
        </w:rPr>
        <w:t xml:space="preserve"> </w:t>
      </w:r>
    </w:p>
    <w:p w:rsidR="007D48BC" w:rsidRPr="00C54C1B" w:rsidRDefault="007D48BC" w:rsidP="00C54C1B">
      <w:pPr>
        <w:spacing w:line="360" w:lineRule="auto"/>
        <w:jc w:val="both"/>
        <w:rPr>
          <w:rFonts w:ascii="Arial" w:hAnsi="Arial" w:cs="Arial"/>
          <w:color w:val="000000"/>
          <w:sz w:val="16"/>
          <w:szCs w:val="16"/>
        </w:rPr>
      </w:pPr>
      <w:r w:rsidRPr="00C54C1B">
        <w:rPr>
          <w:rFonts w:ascii="Arial" w:hAnsi="Arial" w:cs="Arial"/>
        </w:rPr>
        <w:t xml:space="preserve">-Informe de aprobación de la FDA </w:t>
      </w:r>
      <w:r w:rsidRPr="00C54C1B">
        <w:rPr>
          <w:rFonts w:ascii="Arial" w:hAnsi="Arial" w:cs="Arial"/>
          <w:vertAlign w:val="superscript"/>
        </w:rPr>
        <w:t>2</w:t>
      </w:r>
      <w:r>
        <w:rPr>
          <w:rFonts w:ascii="Arial" w:hAnsi="Arial" w:cs="Arial"/>
          <w:vertAlign w:val="superscript"/>
        </w:rPr>
        <w:t>4</w:t>
      </w:r>
      <w:r w:rsidRPr="00C54C1B">
        <w:rPr>
          <w:rFonts w:ascii="Arial" w:hAnsi="Arial" w:cs="Arial"/>
        </w:rPr>
        <w:t>: La incidencia de efectos adversos graves es alta en pacie</w:t>
      </w:r>
      <w:r>
        <w:rPr>
          <w:rFonts w:ascii="Arial" w:hAnsi="Arial" w:cs="Arial"/>
        </w:rPr>
        <w:t>ntes en tratamiento con a</w:t>
      </w:r>
      <w:r w:rsidRPr="00DC710C">
        <w:rPr>
          <w:rFonts w:ascii="Arial" w:hAnsi="Arial" w:cs="Arial"/>
        </w:rPr>
        <w:t>xicabtagen ciloleucel</w:t>
      </w:r>
      <w:r>
        <w:rPr>
          <w:rFonts w:ascii="Arial" w:hAnsi="Arial" w:cs="Arial"/>
        </w:rPr>
        <w:t xml:space="preserve">. </w:t>
      </w:r>
      <w:r w:rsidRPr="00C54C1B">
        <w:rPr>
          <w:rFonts w:ascii="Arial" w:hAnsi="Arial" w:cs="Arial"/>
        </w:rPr>
        <w:t>Particularmente el SLC con un 94% de pacientes y la toxicidad neurológica en el 87%</w:t>
      </w:r>
      <w:r>
        <w:rPr>
          <w:rFonts w:ascii="Arial" w:hAnsi="Arial" w:cs="Arial"/>
        </w:rPr>
        <w:t xml:space="preserve"> siendo necesaria l</w:t>
      </w:r>
      <w:r w:rsidRPr="00C54C1B">
        <w:rPr>
          <w:rFonts w:ascii="Arial" w:hAnsi="Arial" w:cs="Arial"/>
        </w:rPr>
        <w:t>a implantación de un programa de seguimiento tipo REMS</w:t>
      </w:r>
      <w:r>
        <w:rPr>
          <w:rFonts w:ascii="Arial" w:hAnsi="Arial" w:cs="Arial"/>
        </w:rPr>
        <w:t>.</w:t>
      </w:r>
    </w:p>
    <w:p w:rsidR="007D48BC" w:rsidRPr="0032665C" w:rsidRDefault="007D48BC" w:rsidP="00C54C1B">
      <w:pPr>
        <w:spacing w:line="360" w:lineRule="auto"/>
        <w:jc w:val="both"/>
        <w:rPr>
          <w:rFonts w:ascii="Arial" w:hAnsi="Arial" w:cs="Arial"/>
          <w:color w:val="000000"/>
        </w:rPr>
      </w:pPr>
      <w:r w:rsidRPr="0032665C">
        <w:rPr>
          <w:rFonts w:ascii="Arial" w:hAnsi="Arial" w:cs="Arial"/>
          <w:color w:val="000000"/>
        </w:rPr>
        <w:t xml:space="preserve">-Base de datos europea de informes de presuntas reacciones adversas, axicabtagen ciloleucel </w:t>
      </w:r>
      <w:r w:rsidRPr="0032665C">
        <w:rPr>
          <w:rFonts w:ascii="Arial" w:hAnsi="Arial" w:cs="Arial"/>
          <w:color w:val="000000"/>
          <w:vertAlign w:val="superscript"/>
        </w:rPr>
        <w:t>2</w:t>
      </w:r>
      <w:r>
        <w:rPr>
          <w:rFonts w:ascii="Arial" w:hAnsi="Arial" w:cs="Arial"/>
          <w:color w:val="000000"/>
          <w:vertAlign w:val="superscript"/>
        </w:rPr>
        <w:t>5</w:t>
      </w:r>
      <w:r w:rsidRPr="0032665C">
        <w:rPr>
          <w:rFonts w:ascii="Arial" w:hAnsi="Arial" w:cs="Arial"/>
          <w:color w:val="000000"/>
        </w:rPr>
        <w:t xml:space="preserve">: </w:t>
      </w:r>
      <w:r>
        <w:rPr>
          <w:rFonts w:ascii="Arial" w:hAnsi="Arial" w:cs="Arial"/>
          <w:color w:val="000000"/>
        </w:rPr>
        <w:t>Se notificaron 236 reacciones adversas, todas ellas graves y en zona geográfica no europea. Destacan los 157 casos de reacciones adversas neurológicas, 156 alteraciones del sistema inmune y 138 reacciones relacionadas con la administración y el lugar de inyección.</w:t>
      </w:r>
    </w:p>
    <w:p w:rsidR="007D48BC" w:rsidRDefault="007D48BC" w:rsidP="0032665C">
      <w:pPr>
        <w:snapToGrid w:val="0"/>
        <w:jc w:val="both"/>
      </w:pPr>
      <w:r w:rsidRPr="0032665C">
        <w:rPr>
          <w:rFonts w:ascii="Arial" w:hAnsi="Arial" w:cs="Arial"/>
          <w:b/>
          <w:bCs/>
          <w:color w:val="000000"/>
        </w:rPr>
        <w:t xml:space="preserve">Figura </w:t>
      </w:r>
      <w:r>
        <w:rPr>
          <w:rFonts w:ascii="Arial" w:hAnsi="Arial" w:cs="Arial"/>
          <w:b/>
          <w:bCs/>
          <w:color w:val="000000"/>
        </w:rPr>
        <w:t>5</w:t>
      </w:r>
      <w:r w:rsidRPr="0032665C">
        <w:rPr>
          <w:rFonts w:ascii="Arial" w:hAnsi="Arial" w:cs="Arial"/>
          <w:b/>
          <w:bCs/>
          <w:color w:val="000000"/>
        </w:rPr>
        <w:t xml:space="preserve">. </w:t>
      </w:r>
      <w:r>
        <w:rPr>
          <w:rFonts w:ascii="Arial" w:hAnsi="Arial" w:cs="Arial"/>
          <w:b/>
          <w:bCs/>
          <w:color w:val="000000"/>
        </w:rPr>
        <w:t>Descripción del número de casos y tipo de efecto adverso notificados en la base de datos europea de informes de presuntas reacciones adversas.</w:t>
      </w:r>
    </w:p>
    <w:p w:rsidR="007D48BC" w:rsidRDefault="007D48BC" w:rsidP="00752F54">
      <w:pPr>
        <w:jc w:val="both"/>
        <w:rPr>
          <w:rFonts w:ascii="Arial" w:hAnsi="Arial" w:cs="Arial"/>
        </w:rPr>
      </w:pPr>
    </w:p>
    <w:p w:rsidR="007D48BC" w:rsidRDefault="003C496A" w:rsidP="00752F54">
      <w:pPr>
        <w:jc w:val="both"/>
        <w:rPr>
          <w:rFonts w:ascii="Arial" w:hAnsi="Arial" w:cs="Arial"/>
        </w:rPr>
      </w:pPr>
      <w:r>
        <w:rPr>
          <w:rFonts w:ascii="Arial" w:hAnsi="Arial" w:cs="Arial"/>
          <w:noProof/>
        </w:rPr>
        <w:drawing>
          <wp:inline distT="0" distB="0" distL="0" distR="0">
            <wp:extent cx="4886325" cy="243840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886325" cy="2438400"/>
                    </a:xfrm>
                    <a:prstGeom prst="rect">
                      <a:avLst/>
                    </a:prstGeom>
                    <a:noFill/>
                    <a:ln>
                      <a:noFill/>
                    </a:ln>
                  </pic:spPr>
                </pic:pic>
              </a:graphicData>
            </a:graphic>
          </wp:inline>
        </w:drawing>
      </w:r>
    </w:p>
    <w:p w:rsidR="007D48BC" w:rsidRPr="006F6ABB" w:rsidRDefault="007D48BC" w:rsidP="00752F54">
      <w:pPr>
        <w:jc w:val="both"/>
        <w:rPr>
          <w:rFonts w:ascii="Arial" w:hAnsi="Arial" w:cs="Arial"/>
          <w:lang w:val="es-ES_tradnl"/>
        </w:rPr>
      </w:pPr>
      <w:r w:rsidRPr="006F6ABB">
        <w:rPr>
          <w:rFonts w:ascii="Arial" w:hAnsi="Arial" w:cs="Arial"/>
        </w:rPr>
        <w:t xml:space="preserve">                  </w:t>
      </w:r>
    </w:p>
    <w:p w:rsidR="007D48BC" w:rsidRPr="006F6ABB" w:rsidRDefault="007D48BC" w:rsidP="00BC3E8E">
      <w:pPr>
        <w:pStyle w:val="Ttulo2"/>
        <w:pBdr>
          <w:top w:val="single" w:sz="4" w:space="1" w:color="auto"/>
          <w:left w:val="single" w:sz="4" w:space="4" w:color="auto"/>
          <w:bottom w:val="single" w:sz="4" w:space="1" w:color="auto"/>
          <w:right w:val="single" w:sz="4" w:space="4" w:color="auto"/>
        </w:pBdr>
        <w:shd w:val="clear" w:color="auto" w:fill="D9D9D9"/>
        <w:rPr>
          <w:sz w:val="20"/>
          <w:szCs w:val="20"/>
        </w:rPr>
      </w:pPr>
      <w:bookmarkStart w:id="78" w:name="_Toc344399655"/>
      <w:bookmarkStart w:id="79" w:name="_Toc348931386"/>
      <w:r w:rsidRPr="00E3472F">
        <w:rPr>
          <w:sz w:val="20"/>
          <w:szCs w:val="20"/>
        </w:rPr>
        <w:t>6.4 Precauciones de empleo</w:t>
      </w:r>
      <w:r w:rsidRPr="006F6ABB">
        <w:rPr>
          <w:sz w:val="20"/>
          <w:szCs w:val="20"/>
        </w:rPr>
        <w:t xml:space="preserve"> </w:t>
      </w:r>
      <w:r w:rsidRPr="00E3472F">
        <w:rPr>
          <w:sz w:val="20"/>
          <w:szCs w:val="20"/>
        </w:rPr>
        <w:t>en casos especiales</w:t>
      </w:r>
      <w:bookmarkEnd w:id="78"/>
      <w:bookmarkEnd w:id="79"/>
      <w:r w:rsidR="00FE59AC">
        <w:rPr>
          <w:sz w:val="20"/>
          <w:szCs w:val="20"/>
        </w:rPr>
        <w:fldChar w:fldCharType="begin"/>
      </w:r>
      <w:r>
        <w:instrText>xe "</w:instrText>
      </w:r>
      <w:r w:rsidRPr="00F122EC">
        <w:rPr>
          <w:sz w:val="20"/>
          <w:szCs w:val="20"/>
        </w:rPr>
        <w:instrText>6.4 Precauciones de empleo en casos especiales</w:instrText>
      </w:r>
      <w:r>
        <w:instrText>"</w:instrText>
      </w:r>
      <w:r w:rsidR="00FE59AC">
        <w:rPr>
          <w:sz w:val="20"/>
          <w:szCs w:val="20"/>
        </w:rPr>
        <w:fldChar w:fldCharType="end"/>
      </w:r>
      <w:r w:rsidRPr="006F6ABB">
        <w:rPr>
          <w:sz w:val="20"/>
          <w:szCs w:val="20"/>
        </w:rPr>
        <w:t xml:space="preserve"> </w:t>
      </w:r>
    </w:p>
    <w:p w:rsidR="007D48BC" w:rsidRPr="006F6ABB" w:rsidRDefault="007D48BC" w:rsidP="00BC3E8E">
      <w:pPr>
        <w:rPr>
          <w:rFonts w:ascii="Arial" w:hAnsi="Arial" w:cs="Arial"/>
        </w:rPr>
      </w:pPr>
    </w:p>
    <w:p w:rsidR="007D48BC" w:rsidRPr="004F2408" w:rsidRDefault="007D48BC" w:rsidP="004F2408">
      <w:pPr>
        <w:pStyle w:val="Prrafodelista"/>
        <w:widowControl w:val="0"/>
        <w:autoSpaceDE w:val="0"/>
        <w:spacing w:after="120" w:line="360" w:lineRule="auto"/>
        <w:ind w:left="0"/>
        <w:jc w:val="both"/>
      </w:pPr>
      <w:r>
        <w:rPr>
          <w:rFonts w:ascii="Arial" w:hAnsi="Arial" w:cs="Arial"/>
          <w:b/>
          <w:bCs/>
        </w:rPr>
        <w:t xml:space="preserve">Poblaciones especiales: </w:t>
      </w:r>
    </w:p>
    <w:p w:rsidR="007D48BC" w:rsidRPr="004F2408" w:rsidRDefault="007D48BC" w:rsidP="004F2408">
      <w:pPr>
        <w:pStyle w:val="Prrafodelista"/>
        <w:numPr>
          <w:ilvl w:val="0"/>
          <w:numId w:val="11"/>
        </w:numPr>
        <w:spacing w:line="360" w:lineRule="auto"/>
        <w:ind w:left="284" w:hanging="284"/>
        <w:rPr>
          <w:rFonts w:ascii="Arial" w:hAnsi="Arial" w:cs="Arial"/>
        </w:rPr>
      </w:pPr>
      <w:r w:rsidRPr="004F2408">
        <w:rPr>
          <w:rFonts w:ascii="Arial" w:hAnsi="Arial" w:cs="Arial"/>
        </w:rPr>
        <w:t>Pacie</w:t>
      </w:r>
      <w:r>
        <w:rPr>
          <w:rFonts w:ascii="Arial" w:hAnsi="Arial" w:cs="Arial"/>
        </w:rPr>
        <w:t xml:space="preserve">ntes con infección por </w:t>
      </w:r>
      <w:r w:rsidRPr="004F2408">
        <w:rPr>
          <w:rFonts w:ascii="Arial" w:hAnsi="Arial" w:cs="Arial"/>
        </w:rPr>
        <w:t>VIH</w:t>
      </w:r>
      <w:r>
        <w:rPr>
          <w:rFonts w:ascii="Arial" w:hAnsi="Arial" w:cs="Arial"/>
        </w:rPr>
        <w:t xml:space="preserve">, </w:t>
      </w:r>
      <w:r w:rsidRPr="004F2408">
        <w:rPr>
          <w:rFonts w:ascii="Arial" w:hAnsi="Arial" w:cs="Arial"/>
        </w:rPr>
        <w:t xml:space="preserve">VHB y </w:t>
      </w:r>
      <w:r>
        <w:rPr>
          <w:rFonts w:ascii="Arial" w:hAnsi="Arial" w:cs="Arial"/>
        </w:rPr>
        <w:t xml:space="preserve">VHC: </w:t>
      </w:r>
    </w:p>
    <w:p w:rsidR="007D48BC" w:rsidRDefault="007D48BC" w:rsidP="00C11756">
      <w:pPr>
        <w:spacing w:line="360" w:lineRule="auto"/>
        <w:jc w:val="both"/>
        <w:rPr>
          <w:rFonts w:ascii="Arial" w:hAnsi="Arial" w:cs="Arial"/>
        </w:rPr>
      </w:pPr>
      <w:r w:rsidRPr="004F2408">
        <w:rPr>
          <w:rFonts w:ascii="Arial" w:hAnsi="Arial" w:cs="Arial"/>
        </w:rPr>
        <w:t>No se dispone de experiencia clínica en pacientes con infección activa por el VIH, VHB o VHC.</w:t>
      </w:r>
    </w:p>
    <w:p w:rsidR="007D48BC" w:rsidRPr="004F2408" w:rsidRDefault="007D48BC" w:rsidP="00C11756">
      <w:pPr>
        <w:pStyle w:val="Prrafodelista"/>
        <w:numPr>
          <w:ilvl w:val="0"/>
          <w:numId w:val="11"/>
        </w:numPr>
        <w:spacing w:line="360" w:lineRule="auto"/>
        <w:ind w:left="284" w:hanging="284"/>
        <w:jc w:val="both"/>
        <w:rPr>
          <w:rFonts w:ascii="Arial" w:hAnsi="Arial" w:cs="Arial"/>
        </w:rPr>
      </w:pPr>
      <w:r w:rsidRPr="004F2408">
        <w:rPr>
          <w:rFonts w:ascii="Arial" w:hAnsi="Arial" w:cs="Arial"/>
        </w:rPr>
        <w:t>Población pediátrica</w:t>
      </w:r>
      <w:r>
        <w:rPr>
          <w:rFonts w:ascii="Arial" w:hAnsi="Arial" w:cs="Arial"/>
        </w:rPr>
        <w:t xml:space="preserve">: </w:t>
      </w:r>
    </w:p>
    <w:p w:rsidR="007D48BC" w:rsidRPr="004F2408" w:rsidRDefault="007D48BC" w:rsidP="00C11756">
      <w:pPr>
        <w:spacing w:line="360" w:lineRule="auto"/>
        <w:jc w:val="both"/>
        <w:rPr>
          <w:rFonts w:ascii="Arial" w:hAnsi="Arial" w:cs="Arial"/>
        </w:rPr>
      </w:pPr>
      <w:r w:rsidRPr="004F2408">
        <w:rPr>
          <w:rFonts w:ascii="Arial" w:hAnsi="Arial" w:cs="Arial"/>
        </w:rPr>
        <w:t xml:space="preserve">No se ha establecido todavía la seguridad y eficacia de </w:t>
      </w:r>
      <w:r>
        <w:rPr>
          <w:rFonts w:ascii="Arial" w:hAnsi="Arial" w:cs="Arial"/>
        </w:rPr>
        <w:t>a</w:t>
      </w:r>
      <w:r w:rsidRPr="004F2408">
        <w:rPr>
          <w:rFonts w:ascii="Arial" w:hAnsi="Arial" w:cs="Arial"/>
        </w:rPr>
        <w:t>xicabtagen ciloleucel en niños y adolescentes menores de</w:t>
      </w:r>
      <w:r>
        <w:rPr>
          <w:rFonts w:ascii="Arial" w:hAnsi="Arial" w:cs="Arial"/>
        </w:rPr>
        <w:t xml:space="preserve"> </w:t>
      </w:r>
      <w:r w:rsidRPr="004F2408">
        <w:rPr>
          <w:rFonts w:ascii="Arial" w:hAnsi="Arial" w:cs="Arial"/>
        </w:rPr>
        <w:t>18 años. No se dispone de datos.</w:t>
      </w:r>
    </w:p>
    <w:p w:rsidR="007D48BC" w:rsidRPr="004F2408" w:rsidRDefault="007D48BC" w:rsidP="00C11756">
      <w:pPr>
        <w:pStyle w:val="Prrafodelista"/>
        <w:numPr>
          <w:ilvl w:val="0"/>
          <w:numId w:val="11"/>
        </w:numPr>
        <w:spacing w:line="360" w:lineRule="auto"/>
        <w:ind w:left="284" w:hanging="284"/>
        <w:jc w:val="both"/>
        <w:rPr>
          <w:rFonts w:ascii="Arial" w:hAnsi="Arial" w:cs="Arial"/>
        </w:rPr>
      </w:pPr>
      <w:r w:rsidRPr="004F2408">
        <w:rPr>
          <w:rFonts w:ascii="Arial" w:hAnsi="Arial" w:cs="Arial"/>
        </w:rPr>
        <w:t>Pacientes de edad avanzada</w:t>
      </w:r>
      <w:r w:rsidR="005B6093">
        <w:rPr>
          <w:rFonts w:ascii="Arial" w:hAnsi="Arial" w:cs="Arial"/>
        </w:rPr>
        <w:t>:</w:t>
      </w:r>
    </w:p>
    <w:p w:rsidR="007D48BC" w:rsidRDefault="007D48BC" w:rsidP="00C11756">
      <w:pPr>
        <w:spacing w:line="360" w:lineRule="auto"/>
        <w:jc w:val="both"/>
        <w:rPr>
          <w:rFonts w:ascii="Arial" w:hAnsi="Arial" w:cs="Arial"/>
        </w:rPr>
      </w:pPr>
      <w:r w:rsidRPr="004F2408">
        <w:rPr>
          <w:rFonts w:ascii="Arial" w:hAnsi="Arial" w:cs="Arial"/>
        </w:rPr>
        <w:t>No se requiere un ajuste de la dosis en pacientes ≥ 65 años de edad. La eficacia fue consistente con la</w:t>
      </w:r>
      <w:r>
        <w:rPr>
          <w:rFonts w:ascii="Arial" w:hAnsi="Arial" w:cs="Arial"/>
        </w:rPr>
        <w:t xml:space="preserve"> </w:t>
      </w:r>
      <w:r w:rsidRPr="004F2408">
        <w:rPr>
          <w:rFonts w:ascii="Arial" w:hAnsi="Arial" w:cs="Arial"/>
        </w:rPr>
        <w:t>población general de pacientes tratados.</w:t>
      </w:r>
    </w:p>
    <w:p w:rsidR="007D48BC" w:rsidRDefault="007D48BC" w:rsidP="00C11756">
      <w:pPr>
        <w:pStyle w:val="Prrafodelista"/>
        <w:widowControl w:val="0"/>
        <w:autoSpaceDE w:val="0"/>
        <w:spacing w:before="240" w:after="120"/>
        <w:ind w:left="0"/>
        <w:jc w:val="both"/>
      </w:pPr>
      <w:r>
        <w:rPr>
          <w:rFonts w:ascii="Arial" w:hAnsi="Arial" w:cs="Arial"/>
          <w:b/>
          <w:bCs/>
        </w:rPr>
        <w:t>Contraindicaciones:</w:t>
      </w:r>
    </w:p>
    <w:p w:rsidR="007D48BC" w:rsidRDefault="007D48BC" w:rsidP="00C11756">
      <w:pPr>
        <w:spacing w:line="360" w:lineRule="auto"/>
        <w:jc w:val="both"/>
        <w:rPr>
          <w:rFonts w:ascii="Arial" w:hAnsi="Arial" w:cs="Arial"/>
        </w:rPr>
      </w:pPr>
      <w:r w:rsidRPr="004F2408">
        <w:rPr>
          <w:rFonts w:ascii="Arial" w:hAnsi="Arial" w:cs="Arial"/>
        </w:rPr>
        <w:t xml:space="preserve">Hipersensibilidad al principio activo o a alguno de los excipientes </w:t>
      </w:r>
      <w:r>
        <w:rPr>
          <w:rFonts w:ascii="Arial" w:hAnsi="Arial" w:cs="Arial"/>
        </w:rPr>
        <w:t xml:space="preserve">( </w:t>
      </w:r>
      <w:r w:rsidRPr="004F2408">
        <w:rPr>
          <w:rFonts w:ascii="Arial" w:hAnsi="Arial" w:cs="Arial"/>
        </w:rPr>
        <w:t>Cryostor CS10, cloruro de sodio o albúmina humana)</w:t>
      </w:r>
      <w:r>
        <w:rPr>
          <w:rFonts w:ascii="Arial" w:hAnsi="Arial" w:cs="Arial"/>
        </w:rPr>
        <w:t xml:space="preserve">. </w:t>
      </w:r>
      <w:r w:rsidRPr="004F2408">
        <w:rPr>
          <w:rFonts w:ascii="Arial" w:hAnsi="Arial" w:cs="Arial"/>
        </w:rPr>
        <w:t>Se deben considerar las contraindicaciones de la quimioterapia de linfodepleción</w:t>
      </w:r>
      <w:r>
        <w:rPr>
          <w:rFonts w:ascii="Arial" w:hAnsi="Arial" w:cs="Arial"/>
        </w:rPr>
        <w:t xml:space="preserve">. </w:t>
      </w:r>
    </w:p>
    <w:p w:rsidR="007D48BC" w:rsidRDefault="007D48BC" w:rsidP="00752F54">
      <w:pPr>
        <w:pStyle w:val="Prrafodelista"/>
        <w:autoSpaceDE w:val="0"/>
        <w:spacing w:before="240" w:after="120"/>
        <w:ind w:left="0"/>
        <w:jc w:val="both"/>
      </w:pPr>
      <w:r>
        <w:rPr>
          <w:rFonts w:ascii="Arial" w:hAnsi="Arial" w:cs="Arial"/>
          <w:b/>
          <w:bCs/>
        </w:rPr>
        <w:t xml:space="preserve">Advertencias y precauciones especiales de empleo: </w:t>
      </w:r>
    </w:p>
    <w:p w:rsidR="007D48BC" w:rsidRPr="00500778" w:rsidRDefault="007D48BC" w:rsidP="00C11756">
      <w:pPr>
        <w:widowControl w:val="0"/>
        <w:autoSpaceDE w:val="0"/>
        <w:spacing w:after="80" w:line="360" w:lineRule="auto"/>
        <w:jc w:val="both"/>
        <w:rPr>
          <w:rFonts w:ascii="Arial" w:hAnsi="Arial" w:cs="Arial"/>
          <w:b/>
          <w:bCs/>
        </w:rPr>
      </w:pPr>
      <w:r w:rsidRPr="00500778">
        <w:rPr>
          <w:rFonts w:ascii="Arial" w:hAnsi="Arial" w:cs="Arial"/>
          <w:b/>
          <w:bCs/>
        </w:rPr>
        <w:t>Generales</w:t>
      </w:r>
    </w:p>
    <w:p w:rsidR="007D48BC" w:rsidRPr="00500778" w:rsidRDefault="007D48BC" w:rsidP="00C11756">
      <w:pPr>
        <w:spacing w:line="360" w:lineRule="auto"/>
        <w:jc w:val="both"/>
        <w:rPr>
          <w:rFonts w:ascii="Arial" w:hAnsi="Arial" w:cs="Arial"/>
        </w:rPr>
      </w:pPr>
      <w:r w:rsidRPr="00500778">
        <w:rPr>
          <w:rFonts w:ascii="Arial" w:hAnsi="Arial" w:cs="Arial"/>
        </w:rPr>
        <w:t xml:space="preserve">Debido a los riesgos asociados del tratamiento con </w:t>
      </w:r>
      <w:r>
        <w:rPr>
          <w:rFonts w:ascii="Arial" w:hAnsi="Arial" w:cs="Arial"/>
        </w:rPr>
        <w:t>a</w:t>
      </w:r>
      <w:r w:rsidRPr="004F2408">
        <w:rPr>
          <w:rFonts w:ascii="Arial" w:hAnsi="Arial" w:cs="Arial"/>
        </w:rPr>
        <w:t>xicabtagen ciloleucel</w:t>
      </w:r>
      <w:r w:rsidRPr="00500778">
        <w:rPr>
          <w:rFonts w:ascii="Arial" w:hAnsi="Arial" w:cs="Arial"/>
        </w:rPr>
        <w:t>, se debe retrasar la perfusión si un</w:t>
      </w:r>
      <w:r>
        <w:rPr>
          <w:rFonts w:ascii="Arial" w:hAnsi="Arial" w:cs="Arial"/>
        </w:rPr>
        <w:t xml:space="preserve"> </w:t>
      </w:r>
      <w:r w:rsidRPr="00500778">
        <w:rPr>
          <w:rFonts w:ascii="Arial" w:hAnsi="Arial" w:cs="Arial"/>
        </w:rPr>
        <w:t>paciente presenta alguna de las siguientes afecciones:</w:t>
      </w:r>
    </w:p>
    <w:p w:rsidR="007D48BC" w:rsidRPr="00500778" w:rsidRDefault="007D48BC" w:rsidP="00C11756">
      <w:pPr>
        <w:spacing w:line="360" w:lineRule="auto"/>
        <w:jc w:val="both"/>
        <w:rPr>
          <w:rFonts w:ascii="Arial" w:hAnsi="Arial" w:cs="Arial"/>
        </w:rPr>
      </w:pPr>
      <w:r w:rsidRPr="00500778">
        <w:rPr>
          <w:rFonts w:ascii="Arial" w:hAnsi="Arial" w:cs="Arial"/>
        </w:rPr>
        <w:t>• Reacciones adversas graves no resueltas, en especial reacciones pulmonares, reacciones cardíacas</w:t>
      </w:r>
      <w:r>
        <w:rPr>
          <w:rFonts w:ascii="Arial" w:hAnsi="Arial" w:cs="Arial"/>
        </w:rPr>
        <w:t xml:space="preserve"> </w:t>
      </w:r>
      <w:r w:rsidRPr="00500778">
        <w:rPr>
          <w:rFonts w:ascii="Arial" w:hAnsi="Arial" w:cs="Arial"/>
        </w:rPr>
        <w:t>o hipotensión, que incluyen las de quimioterapias previas.</w:t>
      </w:r>
    </w:p>
    <w:p w:rsidR="007D48BC" w:rsidRPr="00500778" w:rsidRDefault="007D48BC" w:rsidP="00C11756">
      <w:pPr>
        <w:spacing w:line="360" w:lineRule="auto"/>
        <w:jc w:val="both"/>
        <w:rPr>
          <w:rFonts w:ascii="Arial" w:hAnsi="Arial" w:cs="Arial"/>
        </w:rPr>
      </w:pPr>
      <w:r w:rsidRPr="00500778">
        <w:rPr>
          <w:rFonts w:ascii="Arial" w:hAnsi="Arial" w:cs="Arial"/>
        </w:rPr>
        <w:t>• Infección activa no controlada.</w:t>
      </w:r>
    </w:p>
    <w:p w:rsidR="007D48BC" w:rsidRDefault="007D48BC" w:rsidP="00C11756">
      <w:pPr>
        <w:spacing w:line="360" w:lineRule="auto"/>
        <w:jc w:val="both"/>
        <w:rPr>
          <w:rFonts w:ascii="Arial" w:hAnsi="Arial" w:cs="Arial"/>
        </w:rPr>
      </w:pPr>
      <w:r w:rsidRPr="00500778">
        <w:rPr>
          <w:rFonts w:ascii="Arial" w:hAnsi="Arial" w:cs="Arial"/>
        </w:rPr>
        <w:t>• Enfermedad del injerto contra el huésped (EICH) activa.</w:t>
      </w:r>
    </w:p>
    <w:p w:rsidR="007D48BC" w:rsidRDefault="007D48BC" w:rsidP="00C11756">
      <w:pPr>
        <w:widowControl w:val="0"/>
        <w:autoSpaceDE w:val="0"/>
        <w:spacing w:after="80" w:line="360" w:lineRule="auto"/>
        <w:jc w:val="both"/>
        <w:rPr>
          <w:rFonts w:ascii="Arial" w:hAnsi="Arial" w:cs="Arial"/>
        </w:rPr>
      </w:pPr>
      <w:r w:rsidRPr="00A86DB5">
        <w:rPr>
          <w:rFonts w:ascii="Arial" w:hAnsi="Arial" w:cs="Arial"/>
        </w:rPr>
        <w:t>Se debe monitorizar a los pacientes a diario para detectar signos y síntomas del SLC</w:t>
      </w:r>
      <w:r>
        <w:rPr>
          <w:rFonts w:ascii="Arial" w:hAnsi="Arial" w:cs="Arial"/>
        </w:rPr>
        <w:t xml:space="preserve"> o de reacciones neurológicas</w:t>
      </w:r>
      <w:r w:rsidRPr="00A86DB5">
        <w:rPr>
          <w:rFonts w:ascii="Arial" w:hAnsi="Arial" w:cs="Arial"/>
        </w:rPr>
        <w:t>, durante por lo menos 10 días después de la perfusió</w:t>
      </w:r>
      <w:r>
        <w:rPr>
          <w:rFonts w:ascii="Arial" w:hAnsi="Arial" w:cs="Arial"/>
        </w:rPr>
        <w:t>n</w:t>
      </w:r>
      <w:r w:rsidRPr="00A86DB5">
        <w:rPr>
          <w:rFonts w:ascii="Arial" w:hAnsi="Arial" w:cs="Arial"/>
        </w:rPr>
        <w:t xml:space="preserve">. La monitorización del paciente </w:t>
      </w:r>
      <w:r>
        <w:rPr>
          <w:rFonts w:ascii="Arial" w:hAnsi="Arial" w:cs="Arial"/>
        </w:rPr>
        <w:t>posterior</w:t>
      </w:r>
      <w:r w:rsidRPr="00A86DB5">
        <w:rPr>
          <w:rFonts w:ascii="Arial" w:hAnsi="Arial" w:cs="Arial"/>
        </w:rPr>
        <w:t xml:space="preserve"> queda a criterio del médico.</w:t>
      </w:r>
    </w:p>
    <w:p w:rsidR="007D48BC" w:rsidRDefault="007D48BC" w:rsidP="00C11756">
      <w:pPr>
        <w:widowControl w:val="0"/>
        <w:autoSpaceDE w:val="0"/>
        <w:spacing w:after="80" w:line="360" w:lineRule="auto"/>
        <w:jc w:val="both"/>
        <w:rPr>
          <w:rFonts w:ascii="Arial" w:hAnsi="Arial" w:cs="Arial"/>
        </w:rPr>
      </w:pPr>
      <w:r w:rsidRPr="008F08BE">
        <w:rPr>
          <w:rFonts w:ascii="Arial" w:hAnsi="Arial" w:cs="Arial"/>
        </w:rPr>
        <w:t>Se debe pedir al paciente que permanezca en un lugar próximo al centro médico cualificado, al menos durante las 4 semanas posteriores a la perfusión y que busque atención médica de inmediato en caso de que presente signos o síntomas de toxicidad neurológica</w:t>
      </w:r>
      <w:r>
        <w:rPr>
          <w:rFonts w:ascii="Arial" w:hAnsi="Arial" w:cs="Arial"/>
        </w:rPr>
        <w:t xml:space="preserve"> o de SLC</w:t>
      </w:r>
      <w:r w:rsidRPr="008F08BE">
        <w:rPr>
          <w:rFonts w:ascii="Arial" w:hAnsi="Arial" w:cs="Arial"/>
        </w:rPr>
        <w:t xml:space="preserve"> en cualquier momento</w:t>
      </w:r>
      <w:r>
        <w:rPr>
          <w:rFonts w:ascii="Arial" w:hAnsi="Arial" w:cs="Arial"/>
        </w:rPr>
        <w:t>.</w:t>
      </w:r>
    </w:p>
    <w:p w:rsidR="007D48BC" w:rsidRPr="00A86DB5" w:rsidRDefault="007D48BC" w:rsidP="00C11756">
      <w:pPr>
        <w:widowControl w:val="0"/>
        <w:autoSpaceDE w:val="0"/>
        <w:spacing w:after="80" w:line="360" w:lineRule="auto"/>
        <w:jc w:val="both"/>
        <w:rPr>
          <w:rFonts w:ascii="Arial" w:hAnsi="Arial" w:cs="Arial"/>
        </w:rPr>
      </w:pPr>
      <w:r w:rsidRPr="00A86DB5">
        <w:rPr>
          <w:rFonts w:ascii="Arial" w:hAnsi="Arial" w:cs="Arial"/>
        </w:rPr>
        <w:t>Se debe monitorizar a los pacientes que experimentan SLC</w:t>
      </w:r>
      <w:r>
        <w:rPr>
          <w:rFonts w:ascii="Arial" w:hAnsi="Arial" w:cs="Arial"/>
        </w:rPr>
        <w:t xml:space="preserve"> o enfermedad neurológica</w:t>
      </w:r>
      <w:r w:rsidRPr="00A86DB5">
        <w:rPr>
          <w:rFonts w:ascii="Arial" w:hAnsi="Arial" w:cs="Arial"/>
        </w:rPr>
        <w:t xml:space="preserve"> de grado</w:t>
      </w:r>
      <w:r>
        <w:rPr>
          <w:rFonts w:ascii="Arial" w:hAnsi="Arial" w:cs="Arial"/>
        </w:rPr>
        <w:t xml:space="preserve"> ≥</w:t>
      </w:r>
      <w:r w:rsidRPr="00A86DB5">
        <w:rPr>
          <w:rFonts w:ascii="Arial" w:hAnsi="Arial" w:cs="Arial"/>
        </w:rPr>
        <w:t xml:space="preserve"> 2 mediante telemetría cardíaca continua y pulsioximetría. Se debe considerar realizar un ecocardiograma para evaluar la función cardíaca a los pacientes que experimentan SLC grave</w:t>
      </w:r>
      <w:r>
        <w:rPr>
          <w:rFonts w:ascii="Arial" w:hAnsi="Arial" w:cs="Arial"/>
        </w:rPr>
        <w:t xml:space="preserve"> así como </w:t>
      </w:r>
      <w:r w:rsidRPr="00A86DB5">
        <w:rPr>
          <w:rFonts w:ascii="Arial" w:hAnsi="Arial" w:cs="Arial"/>
        </w:rPr>
        <w:t xml:space="preserve">considerar tratamiento de soporte, en cuidados intensivo. </w:t>
      </w:r>
    </w:p>
    <w:p w:rsidR="007D48BC" w:rsidRPr="006D19F1" w:rsidRDefault="007D48BC" w:rsidP="00A86DB5">
      <w:pPr>
        <w:widowControl w:val="0"/>
        <w:autoSpaceDE w:val="0"/>
        <w:spacing w:before="240" w:after="80" w:line="360" w:lineRule="auto"/>
        <w:jc w:val="both"/>
        <w:rPr>
          <w:rFonts w:ascii="Arial" w:hAnsi="Arial" w:cs="Arial"/>
          <w:b/>
          <w:bCs/>
          <w:lang w:val="it-IT"/>
        </w:rPr>
      </w:pPr>
      <w:r w:rsidRPr="006D19F1">
        <w:rPr>
          <w:rFonts w:ascii="Arial" w:hAnsi="Arial" w:cs="Arial"/>
          <w:b/>
          <w:bCs/>
          <w:lang w:val="it-IT"/>
        </w:rPr>
        <w:t>Linfoma primario del sistema nervioso central</w:t>
      </w:r>
    </w:p>
    <w:p w:rsidR="007D48BC" w:rsidRPr="00A86DB5" w:rsidRDefault="007D48BC" w:rsidP="00C11756">
      <w:pPr>
        <w:spacing w:line="360" w:lineRule="auto"/>
        <w:jc w:val="both"/>
        <w:rPr>
          <w:rFonts w:ascii="Arial" w:hAnsi="Arial" w:cs="Arial"/>
        </w:rPr>
      </w:pPr>
      <w:r w:rsidRPr="00A86DB5">
        <w:rPr>
          <w:rFonts w:ascii="Arial" w:hAnsi="Arial" w:cs="Arial"/>
        </w:rPr>
        <w:t xml:space="preserve">No existe experiencia de uso de </w:t>
      </w:r>
      <w:r>
        <w:rPr>
          <w:rFonts w:ascii="Arial" w:hAnsi="Arial" w:cs="Arial"/>
        </w:rPr>
        <w:t>a</w:t>
      </w:r>
      <w:r w:rsidRPr="004F2408">
        <w:rPr>
          <w:rFonts w:ascii="Arial" w:hAnsi="Arial" w:cs="Arial"/>
        </w:rPr>
        <w:t>xicabtagen ciloleucel</w:t>
      </w:r>
      <w:r w:rsidRPr="00A86DB5">
        <w:rPr>
          <w:rFonts w:ascii="Arial" w:hAnsi="Arial" w:cs="Arial"/>
        </w:rPr>
        <w:t xml:space="preserve"> en pacientes con linfoma primario del SNC. Por lo tanto, no se ha establecido la relación beneficio/riesgo</w:t>
      </w:r>
      <w:r>
        <w:rPr>
          <w:rFonts w:ascii="Arial" w:hAnsi="Arial" w:cs="Arial"/>
        </w:rPr>
        <w:t xml:space="preserve"> del fármaco</w:t>
      </w:r>
      <w:r w:rsidRPr="00A86DB5">
        <w:rPr>
          <w:rFonts w:ascii="Arial" w:hAnsi="Arial" w:cs="Arial"/>
        </w:rPr>
        <w:t xml:space="preserve"> en esta población.</w:t>
      </w:r>
    </w:p>
    <w:p w:rsidR="007D48BC" w:rsidRPr="00500778" w:rsidRDefault="007D48BC" w:rsidP="00752F54">
      <w:pPr>
        <w:widowControl w:val="0"/>
        <w:autoSpaceDE w:val="0"/>
        <w:spacing w:before="240" w:after="80" w:line="360" w:lineRule="auto"/>
        <w:jc w:val="both"/>
        <w:rPr>
          <w:rFonts w:ascii="Arial" w:hAnsi="Arial" w:cs="Arial"/>
          <w:b/>
          <w:bCs/>
        </w:rPr>
      </w:pPr>
      <w:r w:rsidRPr="00500778">
        <w:rPr>
          <w:rFonts w:ascii="Arial" w:hAnsi="Arial" w:cs="Arial"/>
          <w:b/>
          <w:bCs/>
        </w:rPr>
        <w:t>Síndrome de libe</w:t>
      </w:r>
      <w:r w:rsidR="005B6093">
        <w:rPr>
          <w:rFonts w:ascii="Arial" w:hAnsi="Arial" w:cs="Arial"/>
          <w:b/>
          <w:bCs/>
        </w:rPr>
        <w:t>ración de citoquinas</w:t>
      </w:r>
    </w:p>
    <w:p w:rsidR="007D48BC" w:rsidRPr="00A86DB5" w:rsidRDefault="007D48BC" w:rsidP="00A86DB5">
      <w:pPr>
        <w:widowControl w:val="0"/>
        <w:autoSpaceDE w:val="0"/>
        <w:spacing w:after="80" w:line="360" w:lineRule="auto"/>
        <w:jc w:val="both"/>
        <w:rPr>
          <w:rFonts w:ascii="Arial" w:hAnsi="Arial" w:cs="Arial"/>
        </w:rPr>
      </w:pPr>
      <w:r w:rsidRPr="00A86DB5">
        <w:rPr>
          <w:rFonts w:ascii="Arial" w:hAnsi="Arial" w:cs="Arial"/>
        </w:rPr>
        <w:t xml:space="preserve">Casi todos los pacientes experimentaron un cierto grado de SLC. Con el uso de </w:t>
      </w:r>
      <w:r>
        <w:rPr>
          <w:rFonts w:ascii="Arial" w:hAnsi="Arial" w:cs="Arial"/>
        </w:rPr>
        <w:t>a</w:t>
      </w:r>
      <w:r w:rsidRPr="004F2408">
        <w:rPr>
          <w:rFonts w:ascii="Arial" w:hAnsi="Arial" w:cs="Arial"/>
        </w:rPr>
        <w:t>xicabtagen ciloleucel</w:t>
      </w:r>
      <w:r w:rsidRPr="00A86DB5">
        <w:rPr>
          <w:rFonts w:ascii="Arial" w:hAnsi="Arial" w:cs="Arial"/>
        </w:rPr>
        <w:t xml:space="preserve"> se observó de manera muy frecuente SLC grave, incluidas reacciones potencialmente mortales</w:t>
      </w:r>
      <w:r>
        <w:rPr>
          <w:rFonts w:ascii="Arial" w:hAnsi="Arial" w:cs="Arial"/>
        </w:rPr>
        <w:t>,</w:t>
      </w:r>
      <w:r w:rsidRPr="00A86DB5">
        <w:rPr>
          <w:rFonts w:ascii="Arial" w:hAnsi="Arial" w:cs="Arial"/>
        </w:rPr>
        <w:t xml:space="preserve"> con un tiempo hasta la aparición que osciló entre 1 y 12 días.</w:t>
      </w:r>
    </w:p>
    <w:p w:rsidR="007D48BC" w:rsidRPr="00A86DB5" w:rsidRDefault="007D48BC" w:rsidP="00A86DB5">
      <w:pPr>
        <w:widowControl w:val="0"/>
        <w:autoSpaceDE w:val="0"/>
        <w:spacing w:after="80" w:line="360" w:lineRule="auto"/>
        <w:jc w:val="both"/>
        <w:rPr>
          <w:rFonts w:ascii="Arial" w:hAnsi="Arial" w:cs="Arial"/>
        </w:rPr>
      </w:pPr>
      <w:r>
        <w:rPr>
          <w:rFonts w:ascii="Arial" w:hAnsi="Arial" w:cs="Arial"/>
        </w:rPr>
        <w:t>Se debería asegurar</w:t>
      </w:r>
      <w:r w:rsidRPr="00A86DB5">
        <w:rPr>
          <w:rFonts w:ascii="Arial" w:hAnsi="Arial" w:cs="Arial"/>
        </w:rPr>
        <w:t xml:space="preserve"> que se encuentran disponibles un mínimo de 4 dosis de tocilizumab</w:t>
      </w:r>
      <w:r>
        <w:rPr>
          <w:rFonts w:ascii="Arial" w:hAnsi="Arial" w:cs="Arial"/>
        </w:rPr>
        <w:t xml:space="preserve"> (</w:t>
      </w:r>
      <w:r w:rsidRPr="00A86DB5">
        <w:rPr>
          <w:rFonts w:ascii="Arial" w:hAnsi="Arial" w:cs="Arial"/>
        </w:rPr>
        <w:t>inhibidor del receptor IL-6</w:t>
      </w:r>
      <w:r>
        <w:rPr>
          <w:rFonts w:ascii="Arial" w:hAnsi="Arial" w:cs="Arial"/>
        </w:rPr>
        <w:t>)</w:t>
      </w:r>
      <w:r w:rsidRPr="00A86DB5">
        <w:rPr>
          <w:rFonts w:ascii="Arial" w:hAnsi="Arial" w:cs="Arial"/>
        </w:rPr>
        <w:t xml:space="preserve">, para cada paciente para perfusión en las 2 horas posteriores a la perfusión de </w:t>
      </w:r>
      <w:r>
        <w:rPr>
          <w:rFonts w:ascii="Arial" w:hAnsi="Arial" w:cs="Arial"/>
        </w:rPr>
        <w:t>a</w:t>
      </w:r>
      <w:r w:rsidRPr="004F2408">
        <w:rPr>
          <w:rFonts w:ascii="Arial" w:hAnsi="Arial" w:cs="Arial"/>
        </w:rPr>
        <w:t>xicabtagen ciloleucel</w:t>
      </w:r>
      <w:r>
        <w:rPr>
          <w:rFonts w:ascii="Arial" w:hAnsi="Arial" w:cs="Arial"/>
        </w:rPr>
        <w:t>.</w:t>
      </w:r>
    </w:p>
    <w:p w:rsidR="007D48BC" w:rsidRDefault="007D48BC" w:rsidP="00A86DB5">
      <w:pPr>
        <w:widowControl w:val="0"/>
        <w:autoSpaceDE w:val="0"/>
        <w:spacing w:after="80" w:line="360" w:lineRule="auto"/>
        <w:jc w:val="both"/>
        <w:rPr>
          <w:rFonts w:ascii="Arial" w:hAnsi="Arial" w:cs="Arial"/>
        </w:rPr>
      </w:pPr>
      <w:r w:rsidRPr="00A86DB5">
        <w:rPr>
          <w:rFonts w:ascii="Arial" w:hAnsi="Arial" w:cs="Arial"/>
        </w:rPr>
        <w:t xml:space="preserve">Se han desarrollado algoritmos de tratamiento para aliviar algunos de los síntomas del SLC que experimentan los pacientes que reciben tratamiento con </w:t>
      </w:r>
      <w:r>
        <w:rPr>
          <w:rFonts w:ascii="Arial" w:hAnsi="Arial" w:cs="Arial"/>
        </w:rPr>
        <w:t>a</w:t>
      </w:r>
      <w:r w:rsidRPr="004F2408">
        <w:rPr>
          <w:rFonts w:ascii="Arial" w:hAnsi="Arial" w:cs="Arial"/>
        </w:rPr>
        <w:t>xicabtagen ciloleucel</w:t>
      </w:r>
      <w:r>
        <w:rPr>
          <w:rFonts w:ascii="Arial" w:hAnsi="Arial" w:cs="Arial"/>
        </w:rPr>
        <w:t xml:space="preserve"> (Tabla 13)</w:t>
      </w:r>
      <w:r w:rsidRPr="00A86DB5">
        <w:rPr>
          <w:rFonts w:ascii="Arial" w:hAnsi="Arial" w:cs="Arial"/>
        </w:rPr>
        <w:t xml:space="preserve">. </w:t>
      </w:r>
    </w:p>
    <w:p w:rsidR="007D48BC" w:rsidRDefault="007D48BC" w:rsidP="00A86DB5">
      <w:pPr>
        <w:widowControl w:val="0"/>
        <w:autoSpaceDE w:val="0"/>
        <w:spacing w:after="80" w:line="360" w:lineRule="auto"/>
        <w:jc w:val="both"/>
        <w:rPr>
          <w:rFonts w:ascii="Arial" w:hAnsi="Arial"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959"/>
        <w:gridCol w:w="2678"/>
        <w:gridCol w:w="3242"/>
      </w:tblGrid>
      <w:tr w:rsidR="007D48BC">
        <w:trPr>
          <w:jc w:val="center"/>
        </w:trPr>
        <w:tc>
          <w:tcPr>
            <w:tcW w:w="8879" w:type="dxa"/>
            <w:gridSpan w:val="3"/>
            <w:shd w:val="clear" w:color="auto" w:fill="CCFFCC"/>
            <w:vAlign w:val="center"/>
          </w:tcPr>
          <w:p w:rsidR="007D48BC" w:rsidRPr="00D11A6A" w:rsidRDefault="007D48BC" w:rsidP="00752F54">
            <w:pPr>
              <w:rPr>
                <w:rFonts w:ascii="Arial" w:hAnsi="Arial" w:cs="Arial"/>
                <w:b/>
                <w:bCs/>
                <w:sz w:val="18"/>
                <w:szCs w:val="18"/>
              </w:rPr>
            </w:pPr>
            <w:r w:rsidRPr="00D11A6A">
              <w:rPr>
                <w:rFonts w:ascii="Arial" w:hAnsi="Arial" w:cs="Arial"/>
                <w:b/>
                <w:bCs/>
                <w:sz w:val="18"/>
                <w:szCs w:val="18"/>
              </w:rPr>
              <w:t xml:space="preserve">Tabla </w:t>
            </w:r>
            <w:r>
              <w:rPr>
                <w:rFonts w:ascii="Arial" w:hAnsi="Arial" w:cs="Arial"/>
                <w:b/>
                <w:bCs/>
                <w:sz w:val="18"/>
                <w:szCs w:val="18"/>
              </w:rPr>
              <w:t>13</w:t>
            </w:r>
            <w:r w:rsidRPr="00D11A6A">
              <w:rPr>
                <w:rFonts w:ascii="Arial" w:hAnsi="Arial" w:cs="Arial"/>
                <w:b/>
                <w:bCs/>
                <w:sz w:val="18"/>
                <w:szCs w:val="18"/>
              </w:rPr>
              <w:t>. Manejo del SLC</w:t>
            </w:r>
          </w:p>
        </w:tc>
      </w:tr>
      <w:tr w:rsidR="007D48BC">
        <w:trPr>
          <w:jc w:val="center"/>
        </w:trPr>
        <w:tc>
          <w:tcPr>
            <w:tcW w:w="2959" w:type="dxa"/>
            <w:shd w:val="clear" w:color="auto" w:fill="CCFFCC"/>
            <w:vAlign w:val="center"/>
          </w:tcPr>
          <w:p w:rsidR="007D48BC" w:rsidRPr="00D11A6A" w:rsidRDefault="007D48BC" w:rsidP="00D11A6A">
            <w:pPr>
              <w:jc w:val="center"/>
              <w:rPr>
                <w:rFonts w:ascii="Arial" w:hAnsi="Arial" w:cs="Arial"/>
                <w:b/>
                <w:bCs/>
                <w:sz w:val="18"/>
                <w:szCs w:val="18"/>
              </w:rPr>
            </w:pPr>
            <w:r w:rsidRPr="00D11A6A">
              <w:rPr>
                <w:rFonts w:ascii="Arial" w:hAnsi="Arial" w:cs="Arial"/>
                <w:b/>
                <w:bCs/>
                <w:sz w:val="18"/>
                <w:szCs w:val="18"/>
              </w:rPr>
              <w:t>Grado del SLC (Lee, 201</w:t>
            </w:r>
            <w:r w:rsidR="005F269A">
              <w:rPr>
                <w:rFonts w:ascii="Arial" w:hAnsi="Arial" w:cs="Arial"/>
                <w:b/>
                <w:bCs/>
                <w:sz w:val="18"/>
                <w:szCs w:val="18"/>
              </w:rPr>
              <w:t>8</w:t>
            </w:r>
            <w:r w:rsidRPr="00D11A6A">
              <w:rPr>
                <w:rFonts w:ascii="Arial" w:hAnsi="Arial" w:cs="Arial"/>
                <w:b/>
                <w:bCs/>
                <w:sz w:val="18"/>
                <w:szCs w:val="18"/>
              </w:rPr>
              <w:t>)</w:t>
            </w:r>
          </w:p>
        </w:tc>
        <w:tc>
          <w:tcPr>
            <w:tcW w:w="2678" w:type="dxa"/>
            <w:shd w:val="clear" w:color="auto" w:fill="CCFFCC"/>
            <w:vAlign w:val="center"/>
          </w:tcPr>
          <w:p w:rsidR="007D48BC" w:rsidRPr="00D11A6A" w:rsidRDefault="007D48BC" w:rsidP="00D11A6A">
            <w:pPr>
              <w:jc w:val="center"/>
              <w:rPr>
                <w:rFonts w:ascii="Arial" w:hAnsi="Arial" w:cs="Arial"/>
                <w:b/>
                <w:bCs/>
                <w:sz w:val="18"/>
                <w:szCs w:val="18"/>
              </w:rPr>
            </w:pPr>
            <w:r w:rsidRPr="00D11A6A">
              <w:rPr>
                <w:rFonts w:ascii="Arial" w:hAnsi="Arial" w:cs="Arial"/>
                <w:b/>
                <w:bCs/>
                <w:sz w:val="18"/>
                <w:szCs w:val="18"/>
              </w:rPr>
              <w:t>Tocilizumab</w:t>
            </w:r>
          </w:p>
        </w:tc>
        <w:tc>
          <w:tcPr>
            <w:tcW w:w="3242" w:type="dxa"/>
            <w:shd w:val="clear" w:color="auto" w:fill="CCFFCC"/>
            <w:vAlign w:val="center"/>
          </w:tcPr>
          <w:p w:rsidR="007D48BC" w:rsidRPr="00D11A6A" w:rsidRDefault="007D48BC" w:rsidP="00D11A6A">
            <w:pPr>
              <w:jc w:val="center"/>
              <w:rPr>
                <w:rFonts w:ascii="Arial" w:hAnsi="Arial" w:cs="Arial"/>
                <w:b/>
                <w:bCs/>
                <w:sz w:val="18"/>
                <w:szCs w:val="18"/>
              </w:rPr>
            </w:pPr>
            <w:r w:rsidRPr="00D11A6A">
              <w:rPr>
                <w:rFonts w:ascii="Arial" w:hAnsi="Arial" w:cs="Arial"/>
                <w:b/>
                <w:bCs/>
                <w:sz w:val="18"/>
                <w:szCs w:val="18"/>
              </w:rPr>
              <w:t>Corticoesteroides</w:t>
            </w:r>
          </w:p>
        </w:tc>
      </w:tr>
      <w:tr w:rsidR="007D48BC">
        <w:trPr>
          <w:jc w:val="center"/>
        </w:trPr>
        <w:tc>
          <w:tcPr>
            <w:tcW w:w="2959" w:type="dxa"/>
            <w:vAlign w:val="center"/>
          </w:tcPr>
          <w:p w:rsidR="007D48BC" w:rsidRPr="00D11A6A" w:rsidRDefault="007D48BC" w:rsidP="00D11A6A">
            <w:pPr>
              <w:widowControl w:val="0"/>
              <w:autoSpaceDE w:val="0"/>
              <w:spacing w:after="80"/>
              <w:jc w:val="center"/>
              <w:rPr>
                <w:rFonts w:ascii="Arial" w:hAnsi="Arial" w:cs="Arial"/>
                <w:b/>
                <w:bCs/>
              </w:rPr>
            </w:pPr>
            <w:r w:rsidRPr="00D11A6A">
              <w:rPr>
                <w:rFonts w:ascii="Arial" w:hAnsi="Arial" w:cs="Arial"/>
                <w:b/>
                <w:bCs/>
              </w:rPr>
              <w:t>Grado 1</w:t>
            </w:r>
          </w:p>
          <w:p w:rsidR="007D48BC" w:rsidRPr="00D11A6A" w:rsidRDefault="007D48BC" w:rsidP="00D11A6A">
            <w:pPr>
              <w:widowControl w:val="0"/>
              <w:autoSpaceDE w:val="0"/>
              <w:spacing w:after="80"/>
              <w:jc w:val="center"/>
              <w:rPr>
                <w:rFonts w:ascii="Arial" w:hAnsi="Arial" w:cs="Arial"/>
              </w:rPr>
            </w:pPr>
            <w:r w:rsidRPr="00D11A6A">
              <w:rPr>
                <w:rFonts w:ascii="Arial" w:hAnsi="Arial" w:cs="Arial"/>
                <w:sz w:val="18"/>
                <w:szCs w:val="18"/>
              </w:rPr>
              <w:t>Los síntomas solo requieren tratamiento sintomático (p. ej., fiebre, náuseas, fatiga, cefalea, mialgia, malestar general).</w:t>
            </w:r>
          </w:p>
        </w:tc>
        <w:tc>
          <w:tcPr>
            <w:tcW w:w="2678" w:type="dxa"/>
            <w:vAlign w:val="center"/>
          </w:tcPr>
          <w:p w:rsidR="007D48BC" w:rsidRPr="00D11A6A" w:rsidRDefault="007D48BC" w:rsidP="00D11A6A">
            <w:pPr>
              <w:widowControl w:val="0"/>
              <w:autoSpaceDE w:val="0"/>
              <w:spacing w:after="80"/>
              <w:jc w:val="center"/>
              <w:rPr>
                <w:rFonts w:ascii="Arial" w:hAnsi="Arial" w:cs="Arial"/>
                <w:sz w:val="18"/>
                <w:szCs w:val="18"/>
              </w:rPr>
            </w:pPr>
            <w:r w:rsidRPr="00D11A6A">
              <w:rPr>
                <w:rFonts w:ascii="Arial" w:hAnsi="Arial" w:cs="Arial"/>
                <w:sz w:val="18"/>
                <w:szCs w:val="18"/>
              </w:rPr>
              <w:t>No procede/No disponible</w:t>
            </w:r>
          </w:p>
        </w:tc>
        <w:tc>
          <w:tcPr>
            <w:tcW w:w="3242" w:type="dxa"/>
            <w:vAlign w:val="center"/>
          </w:tcPr>
          <w:p w:rsidR="007D48BC" w:rsidRPr="00D11A6A" w:rsidRDefault="007D48BC" w:rsidP="00D11A6A">
            <w:pPr>
              <w:widowControl w:val="0"/>
              <w:autoSpaceDE w:val="0"/>
              <w:spacing w:after="80"/>
              <w:jc w:val="center"/>
              <w:rPr>
                <w:rFonts w:ascii="Arial" w:hAnsi="Arial" w:cs="Arial"/>
                <w:sz w:val="18"/>
                <w:szCs w:val="18"/>
              </w:rPr>
            </w:pPr>
            <w:r w:rsidRPr="00D11A6A">
              <w:rPr>
                <w:rFonts w:ascii="Arial" w:hAnsi="Arial" w:cs="Arial"/>
                <w:sz w:val="18"/>
                <w:szCs w:val="18"/>
              </w:rPr>
              <w:t>No procede/No Disponible</w:t>
            </w:r>
          </w:p>
        </w:tc>
      </w:tr>
      <w:tr w:rsidR="007D48BC">
        <w:trPr>
          <w:jc w:val="center"/>
        </w:trPr>
        <w:tc>
          <w:tcPr>
            <w:tcW w:w="2959" w:type="dxa"/>
            <w:vAlign w:val="center"/>
          </w:tcPr>
          <w:p w:rsidR="007D48BC" w:rsidRPr="00D11A6A" w:rsidRDefault="007D48BC" w:rsidP="00D11A6A">
            <w:pPr>
              <w:widowControl w:val="0"/>
              <w:autoSpaceDE w:val="0"/>
              <w:jc w:val="center"/>
              <w:rPr>
                <w:rFonts w:ascii="Arial" w:hAnsi="Arial" w:cs="Arial"/>
                <w:b/>
                <w:bCs/>
              </w:rPr>
            </w:pPr>
            <w:r w:rsidRPr="00D11A6A">
              <w:rPr>
                <w:rFonts w:ascii="Arial" w:hAnsi="Arial" w:cs="Arial"/>
                <w:b/>
                <w:bCs/>
              </w:rPr>
              <w:t>Grado 2</w:t>
            </w:r>
          </w:p>
          <w:p w:rsidR="007D48BC" w:rsidRPr="00D11A6A" w:rsidRDefault="007D48BC" w:rsidP="00D11A6A">
            <w:pPr>
              <w:widowControl w:val="0"/>
              <w:autoSpaceDE w:val="0"/>
              <w:jc w:val="center"/>
              <w:rPr>
                <w:rFonts w:ascii="Arial" w:hAnsi="Arial" w:cs="Arial"/>
                <w:sz w:val="18"/>
                <w:szCs w:val="18"/>
              </w:rPr>
            </w:pPr>
            <w:r w:rsidRPr="00D11A6A">
              <w:rPr>
                <w:rFonts w:ascii="Arial" w:hAnsi="Arial" w:cs="Arial"/>
                <w:sz w:val="18"/>
                <w:szCs w:val="18"/>
              </w:rPr>
              <w:t>Los síntomas requieren y</w:t>
            </w:r>
          </w:p>
          <w:p w:rsidR="007D48BC" w:rsidRPr="00D11A6A" w:rsidRDefault="007D48BC" w:rsidP="00D11A6A">
            <w:pPr>
              <w:widowControl w:val="0"/>
              <w:autoSpaceDE w:val="0"/>
              <w:jc w:val="center"/>
              <w:rPr>
                <w:rFonts w:ascii="Arial" w:hAnsi="Arial" w:cs="Arial"/>
                <w:sz w:val="18"/>
                <w:szCs w:val="18"/>
              </w:rPr>
            </w:pPr>
            <w:r w:rsidRPr="00D11A6A">
              <w:rPr>
                <w:rFonts w:ascii="Arial" w:hAnsi="Arial" w:cs="Arial"/>
                <w:sz w:val="18"/>
                <w:szCs w:val="18"/>
              </w:rPr>
              <w:t>responden a una intervención</w:t>
            </w:r>
          </w:p>
          <w:p w:rsidR="007D48BC" w:rsidRPr="00D11A6A" w:rsidRDefault="007D48BC" w:rsidP="00D11A6A">
            <w:pPr>
              <w:widowControl w:val="0"/>
              <w:autoSpaceDE w:val="0"/>
              <w:jc w:val="center"/>
              <w:rPr>
                <w:rFonts w:ascii="Arial" w:hAnsi="Arial" w:cs="Arial"/>
                <w:b/>
                <w:bCs/>
                <w:sz w:val="18"/>
                <w:szCs w:val="18"/>
                <w:u w:val="single"/>
              </w:rPr>
            </w:pPr>
            <w:r w:rsidRPr="00D11A6A">
              <w:rPr>
                <w:rFonts w:ascii="Arial" w:hAnsi="Arial" w:cs="Arial"/>
                <w:b/>
                <w:bCs/>
                <w:sz w:val="18"/>
                <w:szCs w:val="18"/>
                <w:u w:val="single"/>
              </w:rPr>
              <w:t>moderada.</w:t>
            </w:r>
          </w:p>
          <w:p w:rsidR="007D48BC" w:rsidRPr="00D11A6A" w:rsidRDefault="007D48BC" w:rsidP="00D11A6A">
            <w:pPr>
              <w:widowControl w:val="0"/>
              <w:autoSpaceDE w:val="0"/>
              <w:jc w:val="center"/>
              <w:rPr>
                <w:rFonts w:ascii="Arial" w:hAnsi="Arial" w:cs="Arial"/>
              </w:rPr>
            </w:pPr>
            <w:r w:rsidRPr="00D11A6A">
              <w:rPr>
                <w:rFonts w:ascii="Arial" w:hAnsi="Arial" w:cs="Arial"/>
                <w:sz w:val="18"/>
                <w:szCs w:val="18"/>
              </w:rPr>
              <w:t>Necesidad de oxígeno inferior al 40 % de FiO2 o hipotensión que responde al tratamiento con fluidoterapia o una dosis baja de un vasopresor, o toxicidad orgánica de grado 2 (b).</w:t>
            </w:r>
          </w:p>
        </w:tc>
        <w:tc>
          <w:tcPr>
            <w:tcW w:w="2678" w:type="dxa"/>
            <w:vMerge w:val="restart"/>
            <w:vAlign w:val="center"/>
          </w:tcPr>
          <w:p w:rsidR="007D48BC" w:rsidRPr="00D11A6A" w:rsidRDefault="007D48BC" w:rsidP="00D11A6A">
            <w:pPr>
              <w:widowControl w:val="0"/>
              <w:autoSpaceDE w:val="0"/>
              <w:jc w:val="center"/>
              <w:rPr>
                <w:rFonts w:ascii="Arial" w:hAnsi="Arial" w:cs="Arial"/>
                <w:sz w:val="18"/>
                <w:szCs w:val="18"/>
              </w:rPr>
            </w:pPr>
            <w:r w:rsidRPr="00D11A6A">
              <w:rPr>
                <w:rFonts w:ascii="Arial" w:hAnsi="Arial" w:cs="Arial"/>
                <w:sz w:val="18"/>
                <w:szCs w:val="18"/>
              </w:rPr>
              <w:t>Administrar 8 mg/kg de tocilizumab por vía IV durante 1 hora (no exceder dosis 800 mg).</w:t>
            </w:r>
          </w:p>
          <w:p w:rsidR="007D48BC" w:rsidRPr="00D11A6A" w:rsidRDefault="007D48BC" w:rsidP="00D11A6A">
            <w:pPr>
              <w:widowControl w:val="0"/>
              <w:autoSpaceDE w:val="0"/>
              <w:jc w:val="center"/>
              <w:rPr>
                <w:rFonts w:ascii="Arial" w:hAnsi="Arial" w:cs="Arial"/>
                <w:sz w:val="18"/>
                <w:szCs w:val="18"/>
              </w:rPr>
            </w:pPr>
            <w:r w:rsidRPr="00D11A6A">
              <w:rPr>
                <w:rFonts w:ascii="Arial" w:hAnsi="Arial" w:cs="Arial"/>
                <w:sz w:val="18"/>
                <w:szCs w:val="18"/>
              </w:rPr>
              <w:t>Repetir la administración de tocilizumab cada 8 horas en caso necesario, si no responde a la administración de líquidos por vía intravenosa o a un aumento del oxígeno suplementario. Se debe limitar a un máximo de 3 dosis en un periodo de 24 horas; 4 dosis en total como máximo si no</w:t>
            </w:r>
          </w:p>
          <w:p w:rsidR="007D48BC" w:rsidRPr="00D11A6A" w:rsidRDefault="007D48BC" w:rsidP="00D11A6A">
            <w:pPr>
              <w:widowControl w:val="0"/>
              <w:autoSpaceDE w:val="0"/>
              <w:jc w:val="center"/>
              <w:rPr>
                <w:rFonts w:ascii="Arial" w:hAnsi="Arial" w:cs="Arial"/>
                <w:sz w:val="18"/>
                <w:szCs w:val="18"/>
              </w:rPr>
            </w:pPr>
            <w:r w:rsidRPr="00D11A6A">
              <w:rPr>
                <w:rFonts w:ascii="Arial" w:hAnsi="Arial" w:cs="Arial"/>
                <w:sz w:val="18"/>
                <w:szCs w:val="18"/>
              </w:rPr>
              <w:t>se observa una mejoría clínica de los signos y síntomas del SLC.</w:t>
            </w:r>
          </w:p>
        </w:tc>
        <w:tc>
          <w:tcPr>
            <w:tcW w:w="3242" w:type="dxa"/>
            <w:vAlign w:val="center"/>
          </w:tcPr>
          <w:p w:rsidR="007D48BC" w:rsidRPr="00D11A6A" w:rsidRDefault="007D48BC" w:rsidP="00D11A6A">
            <w:pPr>
              <w:widowControl w:val="0"/>
              <w:autoSpaceDE w:val="0"/>
              <w:jc w:val="center"/>
              <w:rPr>
                <w:rFonts w:ascii="Arial" w:hAnsi="Arial" w:cs="Arial"/>
                <w:sz w:val="18"/>
                <w:szCs w:val="18"/>
              </w:rPr>
            </w:pPr>
            <w:r w:rsidRPr="00D11A6A">
              <w:rPr>
                <w:rFonts w:ascii="Arial" w:hAnsi="Arial" w:cs="Arial"/>
                <w:sz w:val="18"/>
                <w:szCs w:val="18"/>
              </w:rPr>
              <w:t>Si no se observa una mejoría</w:t>
            </w:r>
          </w:p>
          <w:p w:rsidR="007D48BC" w:rsidRPr="00D11A6A" w:rsidRDefault="007D48BC" w:rsidP="00D11A6A">
            <w:pPr>
              <w:widowControl w:val="0"/>
              <w:autoSpaceDE w:val="0"/>
              <w:jc w:val="center"/>
              <w:rPr>
                <w:rFonts w:ascii="Arial" w:hAnsi="Arial" w:cs="Arial"/>
                <w:sz w:val="18"/>
                <w:szCs w:val="18"/>
              </w:rPr>
            </w:pPr>
            <w:r w:rsidRPr="00D11A6A">
              <w:rPr>
                <w:rFonts w:ascii="Arial" w:hAnsi="Arial" w:cs="Arial"/>
                <w:sz w:val="18"/>
                <w:szCs w:val="18"/>
              </w:rPr>
              <w:t>en las 24 horas siguientes al</w:t>
            </w:r>
          </w:p>
          <w:p w:rsidR="007D48BC" w:rsidRPr="00D11A6A" w:rsidRDefault="007D48BC" w:rsidP="00D11A6A">
            <w:pPr>
              <w:widowControl w:val="0"/>
              <w:autoSpaceDE w:val="0"/>
              <w:jc w:val="center"/>
              <w:rPr>
                <w:rFonts w:ascii="Arial" w:hAnsi="Arial" w:cs="Arial"/>
                <w:sz w:val="18"/>
                <w:szCs w:val="18"/>
              </w:rPr>
            </w:pPr>
            <w:r w:rsidRPr="00D11A6A">
              <w:rPr>
                <w:rFonts w:ascii="Arial" w:hAnsi="Arial" w:cs="Arial"/>
                <w:sz w:val="18"/>
                <w:szCs w:val="18"/>
              </w:rPr>
              <w:t>comienzo de la administración</w:t>
            </w:r>
          </w:p>
          <w:p w:rsidR="007D48BC" w:rsidRPr="00D11A6A" w:rsidRDefault="007D48BC" w:rsidP="00D11A6A">
            <w:pPr>
              <w:widowControl w:val="0"/>
              <w:autoSpaceDE w:val="0"/>
              <w:jc w:val="center"/>
              <w:rPr>
                <w:rFonts w:ascii="Arial" w:hAnsi="Arial" w:cs="Arial"/>
                <w:sz w:val="18"/>
                <w:szCs w:val="18"/>
              </w:rPr>
            </w:pPr>
            <w:r w:rsidRPr="00D11A6A">
              <w:rPr>
                <w:rFonts w:ascii="Arial" w:hAnsi="Arial" w:cs="Arial"/>
                <w:sz w:val="18"/>
                <w:szCs w:val="18"/>
              </w:rPr>
              <w:t>de tocilizumab, se tratará</w:t>
            </w:r>
          </w:p>
          <w:p w:rsidR="007D48BC" w:rsidRPr="00D11A6A" w:rsidRDefault="007D48BC" w:rsidP="00D11A6A">
            <w:pPr>
              <w:widowControl w:val="0"/>
              <w:autoSpaceDE w:val="0"/>
              <w:jc w:val="center"/>
              <w:rPr>
                <w:rFonts w:ascii="Arial" w:hAnsi="Arial" w:cs="Arial"/>
                <w:sz w:val="18"/>
                <w:szCs w:val="18"/>
              </w:rPr>
            </w:pPr>
            <w:r w:rsidRPr="00D11A6A">
              <w:rPr>
                <w:rFonts w:ascii="Arial" w:hAnsi="Arial" w:cs="Arial"/>
                <w:sz w:val="18"/>
                <w:szCs w:val="18"/>
              </w:rPr>
              <w:t>conforme a las pautas para el</w:t>
            </w:r>
          </w:p>
          <w:p w:rsidR="007D48BC" w:rsidRPr="00D11A6A" w:rsidRDefault="007D48BC" w:rsidP="00D11A6A">
            <w:pPr>
              <w:widowControl w:val="0"/>
              <w:autoSpaceDE w:val="0"/>
              <w:jc w:val="center"/>
              <w:rPr>
                <w:rFonts w:ascii="Arial" w:hAnsi="Arial" w:cs="Arial"/>
                <w:sz w:val="18"/>
                <w:szCs w:val="18"/>
              </w:rPr>
            </w:pPr>
            <w:r w:rsidRPr="00D11A6A">
              <w:rPr>
                <w:rFonts w:ascii="Arial" w:hAnsi="Arial" w:cs="Arial"/>
                <w:sz w:val="18"/>
                <w:szCs w:val="18"/>
              </w:rPr>
              <w:t>grado 3.</w:t>
            </w:r>
          </w:p>
        </w:tc>
      </w:tr>
      <w:tr w:rsidR="007D48BC">
        <w:trPr>
          <w:jc w:val="center"/>
        </w:trPr>
        <w:tc>
          <w:tcPr>
            <w:tcW w:w="2959" w:type="dxa"/>
            <w:vAlign w:val="center"/>
          </w:tcPr>
          <w:p w:rsidR="007D48BC" w:rsidRPr="00D11A6A" w:rsidRDefault="007D48BC" w:rsidP="00D11A6A">
            <w:pPr>
              <w:widowControl w:val="0"/>
              <w:autoSpaceDE w:val="0"/>
              <w:jc w:val="center"/>
              <w:rPr>
                <w:rFonts w:ascii="Arial" w:hAnsi="Arial" w:cs="Arial"/>
                <w:b/>
                <w:bCs/>
              </w:rPr>
            </w:pPr>
            <w:r w:rsidRPr="00D11A6A">
              <w:rPr>
                <w:rFonts w:ascii="Arial" w:hAnsi="Arial" w:cs="Arial"/>
                <w:b/>
                <w:bCs/>
              </w:rPr>
              <w:t>Grado 3</w:t>
            </w:r>
          </w:p>
          <w:p w:rsidR="007D48BC" w:rsidRPr="00D11A6A" w:rsidRDefault="007D48BC" w:rsidP="00D11A6A">
            <w:pPr>
              <w:widowControl w:val="0"/>
              <w:autoSpaceDE w:val="0"/>
              <w:jc w:val="center"/>
              <w:rPr>
                <w:rFonts w:ascii="Arial" w:hAnsi="Arial" w:cs="Arial"/>
                <w:sz w:val="18"/>
                <w:szCs w:val="18"/>
              </w:rPr>
            </w:pPr>
            <w:r w:rsidRPr="00D11A6A">
              <w:rPr>
                <w:rFonts w:ascii="Arial" w:hAnsi="Arial" w:cs="Arial"/>
                <w:sz w:val="18"/>
                <w:szCs w:val="18"/>
              </w:rPr>
              <w:t>Los síntomas requieren y</w:t>
            </w:r>
          </w:p>
          <w:p w:rsidR="007D48BC" w:rsidRPr="00D11A6A" w:rsidRDefault="007D48BC" w:rsidP="00D11A6A">
            <w:pPr>
              <w:widowControl w:val="0"/>
              <w:autoSpaceDE w:val="0"/>
              <w:jc w:val="center"/>
              <w:rPr>
                <w:rFonts w:ascii="Arial" w:hAnsi="Arial" w:cs="Arial"/>
                <w:sz w:val="18"/>
                <w:szCs w:val="18"/>
              </w:rPr>
            </w:pPr>
            <w:r w:rsidRPr="00D11A6A">
              <w:rPr>
                <w:rFonts w:ascii="Arial" w:hAnsi="Arial" w:cs="Arial"/>
                <w:sz w:val="18"/>
                <w:szCs w:val="18"/>
              </w:rPr>
              <w:t>responden a una intervención</w:t>
            </w:r>
          </w:p>
          <w:p w:rsidR="007D48BC" w:rsidRPr="00D11A6A" w:rsidRDefault="007D48BC" w:rsidP="00D11A6A">
            <w:pPr>
              <w:widowControl w:val="0"/>
              <w:autoSpaceDE w:val="0"/>
              <w:jc w:val="center"/>
              <w:rPr>
                <w:rFonts w:ascii="Arial" w:hAnsi="Arial" w:cs="Arial"/>
                <w:b/>
                <w:bCs/>
                <w:sz w:val="18"/>
                <w:szCs w:val="18"/>
                <w:u w:val="single"/>
              </w:rPr>
            </w:pPr>
            <w:r w:rsidRPr="00D11A6A">
              <w:rPr>
                <w:rFonts w:ascii="Arial" w:hAnsi="Arial" w:cs="Arial"/>
                <w:b/>
                <w:bCs/>
                <w:sz w:val="18"/>
                <w:szCs w:val="18"/>
                <w:u w:val="single"/>
              </w:rPr>
              <w:t>agresiva.</w:t>
            </w:r>
          </w:p>
          <w:p w:rsidR="007D48BC" w:rsidRPr="00D11A6A" w:rsidRDefault="007D48BC" w:rsidP="00D11A6A">
            <w:pPr>
              <w:widowControl w:val="0"/>
              <w:autoSpaceDE w:val="0"/>
              <w:jc w:val="center"/>
              <w:rPr>
                <w:rFonts w:ascii="Arial" w:hAnsi="Arial" w:cs="Arial"/>
                <w:sz w:val="18"/>
                <w:szCs w:val="18"/>
              </w:rPr>
            </w:pPr>
            <w:r w:rsidRPr="00D11A6A">
              <w:rPr>
                <w:rFonts w:ascii="Arial" w:hAnsi="Arial" w:cs="Arial"/>
                <w:sz w:val="18"/>
                <w:szCs w:val="18"/>
              </w:rPr>
              <w:t>Necesidad de oxígeno igual o</w:t>
            </w:r>
          </w:p>
          <w:p w:rsidR="007D48BC" w:rsidRPr="00D11A6A" w:rsidRDefault="007D48BC" w:rsidP="00D11A6A">
            <w:pPr>
              <w:widowControl w:val="0"/>
              <w:autoSpaceDE w:val="0"/>
              <w:jc w:val="center"/>
              <w:rPr>
                <w:rFonts w:ascii="Arial" w:hAnsi="Arial" w:cs="Arial"/>
                <w:sz w:val="18"/>
                <w:szCs w:val="18"/>
              </w:rPr>
            </w:pPr>
            <w:r w:rsidRPr="00D11A6A">
              <w:rPr>
                <w:rFonts w:ascii="Arial" w:hAnsi="Arial" w:cs="Arial"/>
                <w:sz w:val="18"/>
                <w:szCs w:val="18"/>
              </w:rPr>
              <w:t>superior al 40 % de FiO2 o</w:t>
            </w:r>
          </w:p>
          <w:p w:rsidR="007D48BC" w:rsidRPr="00D11A6A" w:rsidRDefault="007D48BC" w:rsidP="00D11A6A">
            <w:pPr>
              <w:widowControl w:val="0"/>
              <w:autoSpaceDE w:val="0"/>
              <w:jc w:val="center"/>
              <w:rPr>
                <w:rFonts w:ascii="Arial" w:hAnsi="Arial" w:cs="Arial"/>
                <w:sz w:val="18"/>
                <w:szCs w:val="18"/>
              </w:rPr>
            </w:pPr>
            <w:r w:rsidRPr="00D11A6A">
              <w:rPr>
                <w:rFonts w:ascii="Arial" w:hAnsi="Arial" w:cs="Arial"/>
                <w:sz w:val="18"/>
                <w:szCs w:val="18"/>
              </w:rPr>
              <w:t>hipotensión que requiere tratamiento con una dosis elevada de un vasopresor o con múltiples vasopresores, o toxicidad orgánica de grado 3 o transaminasas elevadas de</w:t>
            </w:r>
          </w:p>
          <w:p w:rsidR="007D48BC" w:rsidRPr="00D11A6A" w:rsidRDefault="007D48BC" w:rsidP="00D11A6A">
            <w:pPr>
              <w:widowControl w:val="0"/>
              <w:autoSpaceDE w:val="0"/>
              <w:jc w:val="center"/>
              <w:rPr>
                <w:rFonts w:ascii="Arial" w:hAnsi="Arial" w:cs="Arial"/>
              </w:rPr>
            </w:pPr>
            <w:r w:rsidRPr="00D11A6A">
              <w:rPr>
                <w:rFonts w:ascii="Arial" w:hAnsi="Arial" w:cs="Arial"/>
                <w:sz w:val="18"/>
                <w:szCs w:val="18"/>
              </w:rPr>
              <w:t>grado 4.</w:t>
            </w:r>
          </w:p>
        </w:tc>
        <w:tc>
          <w:tcPr>
            <w:tcW w:w="2678" w:type="dxa"/>
            <w:vMerge/>
            <w:vAlign w:val="center"/>
          </w:tcPr>
          <w:p w:rsidR="007D48BC" w:rsidRPr="00D11A6A" w:rsidRDefault="007D48BC" w:rsidP="00D11A6A">
            <w:pPr>
              <w:widowControl w:val="0"/>
              <w:autoSpaceDE w:val="0"/>
              <w:spacing w:after="80"/>
              <w:jc w:val="center"/>
              <w:rPr>
                <w:rFonts w:ascii="Arial" w:hAnsi="Arial" w:cs="Arial"/>
              </w:rPr>
            </w:pPr>
          </w:p>
        </w:tc>
        <w:tc>
          <w:tcPr>
            <w:tcW w:w="3242" w:type="dxa"/>
            <w:vAlign w:val="center"/>
          </w:tcPr>
          <w:p w:rsidR="007D48BC" w:rsidRPr="00D11A6A" w:rsidRDefault="007D48BC" w:rsidP="00D11A6A">
            <w:pPr>
              <w:widowControl w:val="0"/>
              <w:autoSpaceDE w:val="0"/>
              <w:jc w:val="center"/>
              <w:rPr>
                <w:rFonts w:ascii="Arial" w:hAnsi="Arial" w:cs="Arial"/>
                <w:sz w:val="18"/>
                <w:szCs w:val="18"/>
              </w:rPr>
            </w:pPr>
            <w:r w:rsidRPr="00D11A6A">
              <w:rPr>
                <w:rFonts w:ascii="Arial" w:hAnsi="Arial" w:cs="Arial"/>
                <w:sz w:val="18"/>
                <w:szCs w:val="18"/>
              </w:rPr>
              <w:t>Administrar 1 mg/kg de</w:t>
            </w:r>
          </w:p>
          <w:p w:rsidR="007D48BC" w:rsidRPr="00D11A6A" w:rsidRDefault="007D48BC" w:rsidP="00D11A6A">
            <w:pPr>
              <w:widowControl w:val="0"/>
              <w:autoSpaceDE w:val="0"/>
              <w:jc w:val="center"/>
              <w:rPr>
                <w:rFonts w:ascii="Arial" w:hAnsi="Arial" w:cs="Arial"/>
                <w:sz w:val="18"/>
                <w:szCs w:val="18"/>
              </w:rPr>
            </w:pPr>
            <w:r w:rsidRPr="00D11A6A">
              <w:rPr>
                <w:rFonts w:ascii="Arial" w:hAnsi="Arial" w:cs="Arial"/>
                <w:sz w:val="18"/>
                <w:szCs w:val="18"/>
              </w:rPr>
              <w:t>metilprednisolona por vía</w:t>
            </w:r>
          </w:p>
          <w:p w:rsidR="007D48BC" w:rsidRPr="00D11A6A" w:rsidRDefault="007D48BC" w:rsidP="00D11A6A">
            <w:pPr>
              <w:widowControl w:val="0"/>
              <w:autoSpaceDE w:val="0"/>
              <w:jc w:val="center"/>
              <w:rPr>
                <w:rFonts w:ascii="Arial" w:hAnsi="Arial" w:cs="Arial"/>
                <w:sz w:val="18"/>
                <w:szCs w:val="18"/>
              </w:rPr>
            </w:pPr>
            <w:r w:rsidRPr="00D11A6A">
              <w:rPr>
                <w:rFonts w:ascii="Arial" w:hAnsi="Arial" w:cs="Arial"/>
                <w:sz w:val="18"/>
                <w:szCs w:val="18"/>
              </w:rPr>
              <w:t>intravenosa dos veces al día o</w:t>
            </w:r>
          </w:p>
          <w:p w:rsidR="007D48BC" w:rsidRPr="00D11A6A" w:rsidRDefault="007D48BC" w:rsidP="00D11A6A">
            <w:pPr>
              <w:widowControl w:val="0"/>
              <w:autoSpaceDE w:val="0"/>
              <w:jc w:val="center"/>
              <w:rPr>
                <w:rFonts w:ascii="Arial" w:hAnsi="Arial" w:cs="Arial"/>
                <w:sz w:val="18"/>
                <w:szCs w:val="18"/>
              </w:rPr>
            </w:pPr>
            <w:r w:rsidRPr="00D11A6A">
              <w:rPr>
                <w:rFonts w:ascii="Arial" w:hAnsi="Arial" w:cs="Arial"/>
                <w:sz w:val="18"/>
                <w:szCs w:val="18"/>
              </w:rPr>
              <w:t>el equivalente de dexametasona</w:t>
            </w:r>
          </w:p>
          <w:p w:rsidR="007D48BC" w:rsidRPr="00D11A6A" w:rsidRDefault="007D48BC" w:rsidP="00D11A6A">
            <w:pPr>
              <w:widowControl w:val="0"/>
              <w:autoSpaceDE w:val="0"/>
              <w:jc w:val="center"/>
              <w:rPr>
                <w:rFonts w:ascii="Arial" w:hAnsi="Arial" w:cs="Arial"/>
                <w:sz w:val="18"/>
                <w:szCs w:val="18"/>
              </w:rPr>
            </w:pPr>
            <w:r w:rsidRPr="00D11A6A">
              <w:rPr>
                <w:rFonts w:ascii="Arial" w:hAnsi="Arial" w:cs="Arial"/>
                <w:sz w:val="18"/>
                <w:szCs w:val="18"/>
              </w:rPr>
              <w:t>Continuar con la administración de corticoesteroides hasta que el</w:t>
            </w:r>
          </w:p>
          <w:p w:rsidR="007D48BC" w:rsidRPr="00D11A6A" w:rsidRDefault="007D48BC" w:rsidP="00D11A6A">
            <w:pPr>
              <w:widowControl w:val="0"/>
              <w:autoSpaceDE w:val="0"/>
              <w:jc w:val="center"/>
              <w:rPr>
                <w:rFonts w:ascii="Arial" w:hAnsi="Arial" w:cs="Arial"/>
                <w:sz w:val="18"/>
                <w:szCs w:val="18"/>
              </w:rPr>
            </w:pPr>
            <w:r w:rsidRPr="00D11A6A">
              <w:rPr>
                <w:rFonts w:ascii="Arial" w:hAnsi="Arial" w:cs="Arial"/>
                <w:sz w:val="18"/>
                <w:szCs w:val="18"/>
              </w:rPr>
              <w:t>acontecimiento revierta a grado 1 o inferior y después retirar de forma gradual durante un periodo de 3 días. Si no se observa una mejoría, se tratará conforme a las pautas para el grado 4.</w:t>
            </w:r>
          </w:p>
        </w:tc>
      </w:tr>
      <w:tr w:rsidR="007D48BC">
        <w:trPr>
          <w:jc w:val="center"/>
        </w:trPr>
        <w:tc>
          <w:tcPr>
            <w:tcW w:w="2959" w:type="dxa"/>
            <w:vAlign w:val="center"/>
          </w:tcPr>
          <w:p w:rsidR="007D48BC" w:rsidRPr="00D11A6A" w:rsidRDefault="007D48BC" w:rsidP="00D11A6A">
            <w:pPr>
              <w:widowControl w:val="0"/>
              <w:autoSpaceDE w:val="0"/>
              <w:jc w:val="center"/>
              <w:rPr>
                <w:rFonts w:ascii="Arial" w:hAnsi="Arial" w:cs="Arial"/>
                <w:b/>
                <w:bCs/>
              </w:rPr>
            </w:pPr>
            <w:r w:rsidRPr="00D11A6A">
              <w:rPr>
                <w:rFonts w:ascii="Arial" w:hAnsi="Arial" w:cs="Arial"/>
                <w:b/>
                <w:bCs/>
              </w:rPr>
              <w:t>Grado 4</w:t>
            </w:r>
          </w:p>
          <w:p w:rsidR="007D48BC" w:rsidRPr="00D11A6A" w:rsidRDefault="007D48BC" w:rsidP="00D11A6A">
            <w:pPr>
              <w:widowControl w:val="0"/>
              <w:autoSpaceDE w:val="0"/>
              <w:jc w:val="center"/>
              <w:rPr>
                <w:rFonts w:ascii="Arial" w:hAnsi="Arial" w:cs="Arial"/>
                <w:sz w:val="18"/>
                <w:szCs w:val="18"/>
              </w:rPr>
            </w:pPr>
            <w:r w:rsidRPr="00D11A6A">
              <w:rPr>
                <w:rFonts w:ascii="Arial" w:hAnsi="Arial" w:cs="Arial"/>
                <w:sz w:val="18"/>
                <w:szCs w:val="18"/>
              </w:rPr>
              <w:t>Síntomas potencialmente</w:t>
            </w:r>
          </w:p>
          <w:p w:rsidR="007D48BC" w:rsidRPr="00D11A6A" w:rsidRDefault="007D48BC" w:rsidP="00D11A6A">
            <w:pPr>
              <w:widowControl w:val="0"/>
              <w:autoSpaceDE w:val="0"/>
              <w:jc w:val="center"/>
              <w:rPr>
                <w:rFonts w:ascii="Arial" w:hAnsi="Arial" w:cs="Arial"/>
                <w:b/>
                <w:bCs/>
                <w:sz w:val="18"/>
                <w:szCs w:val="18"/>
                <w:u w:val="single"/>
              </w:rPr>
            </w:pPr>
            <w:r w:rsidRPr="00D11A6A">
              <w:rPr>
                <w:rFonts w:ascii="Arial" w:hAnsi="Arial" w:cs="Arial"/>
                <w:b/>
                <w:bCs/>
                <w:sz w:val="18"/>
                <w:szCs w:val="18"/>
                <w:u w:val="single"/>
              </w:rPr>
              <w:t>mortales.</w:t>
            </w:r>
          </w:p>
          <w:p w:rsidR="007D48BC" w:rsidRPr="00D11A6A" w:rsidRDefault="007D48BC" w:rsidP="00D11A6A">
            <w:pPr>
              <w:widowControl w:val="0"/>
              <w:autoSpaceDE w:val="0"/>
              <w:jc w:val="center"/>
              <w:rPr>
                <w:rFonts w:ascii="Arial" w:hAnsi="Arial" w:cs="Arial"/>
                <w:sz w:val="18"/>
                <w:szCs w:val="18"/>
              </w:rPr>
            </w:pPr>
            <w:r w:rsidRPr="00D11A6A">
              <w:rPr>
                <w:rFonts w:ascii="Arial" w:hAnsi="Arial" w:cs="Arial"/>
                <w:sz w:val="18"/>
                <w:szCs w:val="18"/>
              </w:rPr>
              <w:t>Necesidad de soporte respiratorio o hemodiálisis veno-venosa continua (HDVVC) o toxicidad</w:t>
            </w:r>
          </w:p>
          <w:p w:rsidR="007D48BC" w:rsidRPr="00D11A6A" w:rsidRDefault="007D48BC" w:rsidP="00D11A6A">
            <w:pPr>
              <w:widowControl w:val="0"/>
              <w:autoSpaceDE w:val="0"/>
              <w:jc w:val="center"/>
              <w:rPr>
                <w:rFonts w:ascii="Arial" w:hAnsi="Arial" w:cs="Arial"/>
              </w:rPr>
            </w:pPr>
            <w:r w:rsidRPr="00D11A6A">
              <w:rPr>
                <w:rFonts w:ascii="Arial" w:hAnsi="Arial" w:cs="Arial"/>
                <w:sz w:val="18"/>
                <w:szCs w:val="18"/>
              </w:rPr>
              <w:t>orgánica de grado 4 (que excluye las transaminasas elevadas).</w:t>
            </w:r>
          </w:p>
        </w:tc>
        <w:tc>
          <w:tcPr>
            <w:tcW w:w="2678" w:type="dxa"/>
            <w:vMerge/>
            <w:vAlign w:val="center"/>
          </w:tcPr>
          <w:p w:rsidR="007D48BC" w:rsidRPr="00D11A6A" w:rsidRDefault="007D48BC" w:rsidP="00D11A6A">
            <w:pPr>
              <w:widowControl w:val="0"/>
              <w:autoSpaceDE w:val="0"/>
              <w:jc w:val="center"/>
              <w:rPr>
                <w:rFonts w:ascii="Arial" w:hAnsi="Arial" w:cs="Arial"/>
              </w:rPr>
            </w:pPr>
          </w:p>
        </w:tc>
        <w:tc>
          <w:tcPr>
            <w:tcW w:w="3242" w:type="dxa"/>
            <w:vAlign w:val="center"/>
          </w:tcPr>
          <w:p w:rsidR="007D48BC" w:rsidRPr="00D11A6A" w:rsidRDefault="007D48BC" w:rsidP="00D11A6A">
            <w:pPr>
              <w:widowControl w:val="0"/>
              <w:autoSpaceDE w:val="0"/>
              <w:jc w:val="center"/>
              <w:rPr>
                <w:rFonts w:ascii="Arial" w:hAnsi="Arial" w:cs="Arial"/>
                <w:sz w:val="18"/>
                <w:szCs w:val="18"/>
              </w:rPr>
            </w:pPr>
            <w:r w:rsidRPr="00D11A6A">
              <w:rPr>
                <w:rFonts w:ascii="Arial" w:hAnsi="Arial" w:cs="Arial"/>
                <w:sz w:val="18"/>
                <w:szCs w:val="18"/>
              </w:rPr>
              <w:t>Administrar 1000 mg de</w:t>
            </w:r>
          </w:p>
          <w:p w:rsidR="007D48BC" w:rsidRPr="00D11A6A" w:rsidRDefault="007D48BC" w:rsidP="00D11A6A">
            <w:pPr>
              <w:widowControl w:val="0"/>
              <w:autoSpaceDE w:val="0"/>
              <w:jc w:val="center"/>
              <w:rPr>
                <w:rFonts w:ascii="Arial" w:hAnsi="Arial" w:cs="Arial"/>
                <w:sz w:val="18"/>
                <w:szCs w:val="18"/>
              </w:rPr>
            </w:pPr>
            <w:r w:rsidRPr="00D11A6A">
              <w:rPr>
                <w:rFonts w:ascii="Arial" w:hAnsi="Arial" w:cs="Arial"/>
                <w:sz w:val="18"/>
                <w:szCs w:val="18"/>
              </w:rPr>
              <w:t>metilprednisolona al día, por</w:t>
            </w:r>
          </w:p>
          <w:p w:rsidR="007D48BC" w:rsidRPr="00D11A6A" w:rsidRDefault="007D48BC" w:rsidP="00D11A6A">
            <w:pPr>
              <w:widowControl w:val="0"/>
              <w:autoSpaceDE w:val="0"/>
              <w:jc w:val="center"/>
              <w:rPr>
                <w:rFonts w:ascii="Arial" w:hAnsi="Arial" w:cs="Arial"/>
                <w:sz w:val="18"/>
                <w:szCs w:val="18"/>
              </w:rPr>
            </w:pPr>
            <w:r w:rsidRPr="00D11A6A">
              <w:rPr>
                <w:rFonts w:ascii="Arial" w:hAnsi="Arial" w:cs="Arial"/>
                <w:sz w:val="18"/>
                <w:szCs w:val="18"/>
              </w:rPr>
              <w:t>vía intravenosa durante 3 días;</w:t>
            </w:r>
          </w:p>
          <w:p w:rsidR="007D48BC" w:rsidRPr="00D11A6A" w:rsidRDefault="007D48BC" w:rsidP="00D11A6A">
            <w:pPr>
              <w:widowControl w:val="0"/>
              <w:autoSpaceDE w:val="0"/>
              <w:jc w:val="center"/>
              <w:rPr>
                <w:rFonts w:ascii="Arial" w:hAnsi="Arial" w:cs="Arial"/>
                <w:sz w:val="18"/>
                <w:szCs w:val="18"/>
              </w:rPr>
            </w:pPr>
            <w:r w:rsidRPr="00D11A6A">
              <w:rPr>
                <w:rFonts w:ascii="Arial" w:hAnsi="Arial" w:cs="Arial"/>
                <w:sz w:val="18"/>
                <w:szCs w:val="18"/>
              </w:rPr>
              <w:t>si se observa una mejoría, se</w:t>
            </w:r>
          </w:p>
          <w:p w:rsidR="007D48BC" w:rsidRPr="00D11A6A" w:rsidRDefault="007D48BC" w:rsidP="00D11A6A">
            <w:pPr>
              <w:widowControl w:val="0"/>
              <w:autoSpaceDE w:val="0"/>
              <w:jc w:val="center"/>
              <w:rPr>
                <w:rFonts w:ascii="Arial" w:hAnsi="Arial" w:cs="Arial"/>
                <w:sz w:val="18"/>
                <w:szCs w:val="18"/>
              </w:rPr>
            </w:pPr>
            <w:r w:rsidRPr="00D11A6A">
              <w:rPr>
                <w:rFonts w:ascii="Arial" w:hAnsi="Arial" w:cs="Arial"/>
                <w:sz w:val="18"/>
                <w:szCs w:val="18"/>
              </w:rPr>
              <w:t>tratará conforme a las pautas</w:t>
            </w:r>
          </w:p>
          <w:p w:rsidR="007D48BC" w:rsidRPr="00D11A6A" w:rsidRDefault="007D48BC" w:rsidP="00D11A6A">
            <w:pPr>
              <w:widowControl w:val="0"/>
              <w:autoSpaceDE w:val="0"/>
              <w:jc w:val="center"/>
              <w:rPr>
                <w:rFonts w:ascii="Arial" w:hAnsi="Arial" w:cs="Arial"/>
                <w:sz w:val="18"/>
                <w:szCs w:val="18"/>
              </w:rPr>
            </w:pPr>
            <w:r w:rsidRPr="00D11A6A">
              <w:rPr>
                <w:rFonts w:ascii="Arial" w:hAnsi="Arial" w:cs="Arial"/>
                <w:sz w:val="18"/>
                <w:szCs w:val="18"/>
              </w:rPr>
              <w:t>anteriores.</w:t>
            </w:r>
          </w:p>
          <w:p w:rsidR="007D48BC" w:rsidRPr="00D11A6A" w:rsidRDefault="007D48BC" w:rsidP="00D11A6A">
            <w:pPr>
              <w:widowControl w:val="0"/>
              <w:autoSpaceDE w:val="0"/>
              <w:jc w:val="center"/>
              <w:rPr>
                <w:rFonts w:ascii="Arial" w:hAnsi="Arial" w:cs="Arial"/>
                <w:sz w:val="18"/>
                <w:szCs w:val="18"/>
              </w:rPr>
            </w:pPr>
            <w:r w:rsidRPr="00D11A6A">
              <w:rPr>
                <w:rFonts w:ascii="Arial" w:hAnsi="Arial" w:cs="Arial"/>
                <w:sz w:val="18"/>
                <w:szCs w:val="18"/>
              </w:rPr>
              <w:t>Si no se observa una mejoría o</w:t>
            </w:r>
          </w:p>
          <w:p w:rsidR="007D48BC" w:rsidRPr="00D11A6A" w:rsidRDefault="007D48BC" w:rsidP="00D11A6A">
            <w:pPr>
              <w:widowControl w:val="0"/>
              <w:autoSpaceDE w:val="0"/>
              <w:jc w:val="center"/>
              <w:rPr>
                <w:rFonts w:ascii="Arial" w:hAnsi="Arial" w:cs="Arial"/>
                <w:sz w:val="18"/>
                <w:szCs w:val="18"/>
              </w:rPr>
            </w:pPr>
            <w:r w:rsidRPr="00D11A6A">
              <w:rPr>
                <w:rFonts w:ascii="Arial" w:hAnsi="Arial" w:cs="Arial"/>
                <w:sz w:val="18"/>
                <w:szCs w:val="18"/>
              </w:rPr>
              <w:t>en caso de agravamiento de la</w:t>
            </w:r>
          </w:p>
          <w:p w:rsidR="007D48BC" w:rsidRPr="00D11A6A" w:rsidRDefault="007D48BC" w:rsidP="00D11A6A">
            <w:pPr>
              <w:widowControl w:val="0"/>
              <w:autoSpaceDE w:val="0"/>
              <w:jc w:val="center"/>
              <w:rPr>
                <w:rFonts w:ascii="Arial" w:hAnsi="Arial" w:cs="Arial"/>
                <w:sz w:val="18"/>
                <w:szCs w:val="18"/>
              </w:rPr>
            </w:pPr>
            <w:r w:rsidRPr="00D11A6A">
              <w:rPr>
                <w:rFonts w:ascii="Arial" w:hAnsi="Arial" w:cs="Arial"/>
                <w:sz w:val="18"/>
                <w:szCs w:val="18"/>
              </w:rPr>
              <w:t>afección, se debe considerar el</w:t>
            </w:r>
          </w:p>
          <w:p w:rsidR="007D48BC" w:rsidRPr="00D11A6A" w:rsidRDefault="007D48BC" w:rsidP="00D11A6A">
            <w:pPr>
              <w:widowControl w:val="0"/>
              <w:autoSpaceDE w:val="0"/>
              <w:jc w:val="center"/>
              <w:rPr>
                <w:rFonts w:ascii="Arial" w:hAnsi="Arial" w:cs="Arial"/>
                <w:sz w:val="18"/>
                <w:szCs w:val="18"/>
              </w:rPr>
            </w:pPr>
            <w:r w:rsidRPr="00D11A6A">
              <w:rPr>
                <w:rFonts w:ascii="Arial" w:hAnsi="Arial" w:cs="Arial"/>
                <w:sz w:val="18"/>
                <w:szCs w:val="18"/>
              </w:rPr>
              <w:t>uso de inmunosupresores</w:t>
            </w:r>
          </w:p>
          <w:p w:rsidR="007D48BC" w:rsidRPr="00D11A6A" w:rsidRDefault="007D48BC" w:rsidP="00D11A6A">
            <w:pPr>
              <w:widowControl w:val="0"/>
              <w:autoSpaceDE w:val="0"/>
              <w:jc w:val="center"/>
              <w:rPr>
                <w:rFonts w:ascii="Arial" w:hAnsi="Arial" w:cs="Arial"/>
                <w:sz w:val="18"/>
                <w:szCs w:val="18"/>
              </w:rPr>
            </w:pPr>
            <w:r w:rsidRPr="00D11A6A">
              <w:rPr>
                <w:rFonts w:ascii="Arial" w:hAnsi="Arial" w:cs="Arial"/>
                <w:sz w:val="18"/>
                <w:szCs w:val="18"/>
              </w:rPr>
              <w:t>diferentes</w:t>
            </w:r>
          </w:p>
        </w:tc>
      </w:tr>
    </w:tbl>
    <w:p w:rsidR="007D48BC" w:rsidRPr="00A86DB5" w:rsidRDefault="007D48BC" w:rsidP="00752F54">
      <w:pPr>
        <w:widowControl w:val="0"/>
        <w:autoSpaceDE w:val="0"/>
        <w:spacing w:before="240" w:after="80" w:line="360" w:lineRule="auto"/>
        <w:jc w:val="both"/>
        <w:rPr>
          <w:rFonts w:ascii="Arial" w:hAnsi="Arial" w:cs="Arial"/>
        </w:rPr>
      </w:pPr>
      <w:r w:rsidRPr="00A86DB5">
        <w:rPr>
          <w:rFonts w:ascii="Arial" w:hAnsi="Arial" w:cs="Arial"/>
        </w:rPr>
        <w:t xml:space="preserve">No se debe administrar </w:t>
      </w:r>
      <w:r>
        <w:rPr>
          <w:rFonts w:ascii="Arial" w:hAnsi="Arial" w:cs="Arial"/>
        </w:rPr>
        <w:t>a</w:t>
      </w:r>
      <w:r w:rsidRPr="004F2408">
        <w:rPr>
          <w:rFonts w:ascii="Arial" w:hAnsi="Arial" w:cs="Arial"/>
        </w:rPr>
        <w:t>xicabtagen ciloleucel</w:t>
      </w:r>
      <w:r>
        <w:rPr>
          <w:rFonts w:ascii="Arial" w:hAnsi="Arial" w:cs="Arial"/>
        </w:rPr>
        <w:t xml:space="preserve"> </w:t>
      </w:r>
      <w:r w:rsidRPr="00A86DB5">
        <w:rPr>
          <w:rFonts w:ascii="Arial" w:hAnsi="Arial" w:cs="Arial"/>
        </w:rPr>
        <w:t>a pacientes con infecciones activas o enfermedad inflamatoria hasta la resolución de estas afecciones.</w:t>
      </w:r>
    </w:p>
    <w:p w:rsidR="007D48BC" w:rsidRPr="00A86DB5" w:rsidRDefault="007D48BC" w:rsidP="00A86DB5">
      <w:pPr>
        <w:widowControl w:val="0"/>
        <w:autoSpaceDE w:val="0"/>
        <w:spacing w:after="80" w:line="360" w:lineRule="auto"/>
        <w:jc w:val="both"/>
        <w:rPr>
          <w:rFonts w:ascii="Arial" w:hAnsi="Arial" w:cs="Arial"/>
        </w:rPr>
      </w:pPr>
      <w:r w:rsidRPr="00A86DB5">
        <w:rPr>
          <w:rFonts w:ascii="Arial" w:hAnsi="Arial" w:cs="Arial"/>
        </w:rPr>
        <w:t>Se sabe que el SLC está asociado a una disfunción orgánica (p. ej., hepática, renal, cardíaca y pulmonar). Además, también es posible que se observe un agravamiento de patologías orgánicas subyacentes en el marco del SLC. Se debe tratar a los pacientes con alteración cardíaca clínicamente significativa según las pautas habituales de cuidados intensivos y se deben considerar medidas como la ecocardiografía.</w:t>
      </w:r>
    </w:p>
    <w:p w:rsidR="007D48BC" w:rsidRPr="00A86DB5" w:rsidRDefault="007D48BC" w:rsidP="00A86DB5">
      <w:pPr>
        <w:widowControl w:val="0"/>
        <w:autoSpaceDE w:val="0"/>
        <w:spacing w:after="80" w:line="360" w:lineRule="auto"/>
        <w:jc w:val="both"/>
        <w:rPr>
          <w:rFonts w:ascii="Arial" w:hAnsi="Arial" w:cs="Arial"/>
        </w:rPr>
      </w:pPr>
      <w:r w:rsidRPr="00A86DB5">
        <w:rPr>
          <w:rFonts w:ascii="Arial" w:hAnsi="Arial" w:cs="Arial"/>
        </w:rPr>
        <w:t>Para el diagnóstico de SLC es necesario excluir otras causas alternativas de la respuesta inflamatoria sistémica, incluida la infección. En caso de neutropenia febril, se llevará a cabo una evaluación para determinar la presencia de infección y se tratará al paciente con antibióticos de amplio espectro, líquidos y tratamientos complementarios adicionales de acuerdo con las indicaciones médicas.</w:t>
      </w:r>
    </w:p>
    <w:p w:rsidR="007D48BC" w:rsidRPr="00A86DB5" w:rsidRDefault="007D48BC" w:rsidP="00A86DB5">
      <w:pPr>
        <w:widowControl w:val="0"/>
        <w:autoSpaceDE w:val="0"/>
        <w:spacing w:after="80" w:line="360" w:lineRule="auto"/>
        <w:jc w:val="both"/>
        <w:rPr>
          <w:rFonts w:ascii="Arial" w:hAnsi="Arial" w:cs="Arial"/>
        </w:rPr>
      </w:pPr>
      <w:r w:rsidRPr="00A86DB5">
        <w:rPr>
          <w:rFonts w:ascii="Arial" w:hAnsi="Arial" w:cs="Arial"/>
        </w:rPr>
        <w:t>Se considerará una evaluación para determinar la presencia de síndrome de activación</w:t>
      </w:r>
      <w:r>
        <w:rPr>
          <w:rFonts w:ascii="Arial" w:hAnsi="Arial" w:cs="Arial"/>
        </w:rPr>
        <w:t xml:space="preserve"> </w:t>
      </w:r>
      <w:r w:rsidRPr="00A86DB5">
        <w:rPr>
          <w:rFonts w:ascii="Arial" w:hAnsi="Arial" w:cs="Arial"/>
        </w:rPr>
        <w:t>macrofágica/linfohistiocitosis hemofagocítica (SAM/LHH), en el caso de pacientes con SLC grave o que no responde al tratamiento.</w:t>
      </w:r>
    </w:p>
    <w:p w:rsidR="007D48BC" w:rsidRPr="00A86DB5" w:rsidRDefault="007D48BC" w:rsidP="00A86DB5">
      <w:pPr>
        <w:widowControl w:val="0"/>
        <w:autoSpaceDE w:val="0"/>
        <w:spacing w:after="80" w:line="360" w:lineRule="auto"/>
        <w:jc w:val="both"/>
        <w:rPr>
          <w:rFonts w:ascii="Arial" w:hAnsi="Arial" w:cs="Arial"/>
        </w:rPr>
      </w:pPr>
      <w:r>
        <w:rPr>
          <w:rFonts w:ascii="Arial" w:hAnsi="Arial" w:cs="Arial"/>
        </w:rPr>
        <w:t>A</w:t>
      </w:r>
      <w:r w:rsidRPr="004F2408">
        <w:rPr>
          <w:rFonts w:ascii="Arial" w:hAnsi="Arial" w:cs="Arial"/>
        </w:rPr>
        <w:t>xicabtagen ciloleucel</w:t>
      </w:r>
      <w:r w:rsidRPr="00A86DB5">
        <w:rPr>
          <w:rFonts w:ascii="Arial" w:hAnsi="Arial" w:cs="Arial"/>
        </w:rPr>
        <w:t xml:space="preserve"> sigue expandiéndose y persiste después de la administración de tocilizumab y los corticoesteroides. No se recomienda administrar antagonistas del factor de necrosis tumoral (FNT) para tratar el síndrome de liberación de citoquinas que se asocia al tratamiento con </w:t>
      </w:r>
      <w:r>
        <w:rPr>
          <w:rFonts w:ascii="Arial" w:hAnsi="Arial" w:cs="Arial"/>
        </w:rPr>
        <w:t>a</w:t>
      </w:r>
      <w:r w:rsidRPr="004F2408">
        <w:rPr>
          <w:rFonts w:ascii="Arial" w:hAnsi="Arial" w:cs="Arial"/>
        </w:rPr>
        <w:t>xicabtagen ciloleucel</w:t>
      </w:r>
      <w:r w:rsidRPr="00A86DB5">
        <w:rPr>
          <w:rFonts w:ascii="Arial" w:hAnsi="Arial" w:cs="Arial"/>
        </w:rPr>
        <w:t>.</w:t>
      </w:r>
    </w:p>
    <w:p w:rsidR="007D48BC" w:rsidRPr="00E618CD" w:rsidRDefault="007D48BC" w:rsidP="00E618CD">
      <w:pPr>
        <w:widowControl w:val="0"/>
        <w:autoSpaceDE w:val="0"/>
        <w:spacing w:after="80" w:line="360" w:lineRule="auto"/>
        <w:jc w:val="both"/>
        <w:rPr>
          <w:rFonts w:ascii="Arial" w:hAnsi="Arial" w:cs="Arial"/>
          <w:b/>
          <w:bCs/>
        </w:rPr>
      </w:pPr>
      <w:r w:rsidRPr="00E618CD">
        <w:rPr>
          <w:rFonts w:ascii="Arial" w:hAnsi="Arial" w:cs="Arial"/>
          <w:b/>
          <w:bCs/>
        </w:rPr>
        <w:t>Reacciones adversas neurológicas</w:t>
      </w:r>
    </w:p>
    <w:p w:rsidR="007D48BC" w:rsidRPr="008F08BE" w:rsidRDefault="007D48BC" w:rsidP="00E618CD">
      <w:pPr>
        <w:widowControl w:val="0"/>
        <w:autoSpaceDE w:val="0"/>
        <w:spacing w:after="80" w:line="360" w:lineRule="auto"/>
        <w:jc w:val="both"/>
        <w:rPr>
          <w:rFonts w:ascii="Arial" w:hAnsi="Arial" w:cs="Arial"/>
        </w:rPr>
      </w:pPr>
      <w:r w:rsidRPr="008F08BE">
        <w:rPr>
          <w:rFonts w:ascii="Arial" w:hAnsi="Arial" w:cs="Arial"/>
        </w:rPr>
        <w:t xml:space="preserve">Se han observado muy frecuentemente reacciones adversas neurológicas graves que pueden ser potencialmente mortales o mortales, con el uso de </w:t>
      </w:r>
      <w:r>
        <w:rPr>
          <w:rFonts w:ascii="Arial" w:hAnsi="Arial" w:cs="Arial"/>
        </w:rPr>
        <w:t>a</w:t>
      </w:r>
      <w:r w:rsidRPr="004F2408">
        <w:rPr>
          <w:rFonts w:ascii="Arial" w:hAnsi="Arial" w:cs="Arial"/>
        </w:rPr>
        <w:t>xicabtagen ciloleucel</w:t>
      </w:r>
      <w:r w:rsidRPr="008F08BE">
        <w:rPr>
          <w:rFonts w:ascii="Arial" w:hAnsi="Arial" w:cs="Arial"/>
        </w:rPr>
        <w:t xml:space="preserve">. Es posible que los pacientes con antecedentes de trastornos del SNC, como crisis convulsivas o isquemia cerebrovascular, estén expuestos a un riesgo más elevado. Se han notificado casos de edema cerebral graves o mortales en pacientes tratados con </w:t>
      </w:r>
      <w:r>
        <w:rPr>
          <w:rFonts w:ascii="Arial" w:hAnsi="Arial" w:cs="Arial"/>
        </w:rPr>
        <w:t>este fármaco</w:t>
      </w:r>
      <w:r w:rsidRPr="008F08BE">
        <w:rPr>
          <w:rFonts w:ascii="Arial" w:hAnsi="Arial" w:cs="Arial"/>
        </w:rPr>
        <w:t xml:space="preserve">. Se debe monitorizar a los pacientes para detectar signos y síntomas de reacciones adversas neurológicas (Tabla </w:t>
      </w:r>
      <w:r>
        <w:rPr>
          <w:rFonts w:ascii="Arial" w:hAnsi="Arial" w:cs="Arial"/>
        </w:rPr>
        <w:t>14</w:t>
      </w:r>
      <w:r w:rsidRPr="008F08BE">
        <w:rPr>
          <w:rFonts w:ascii="Arial" w:hAnsi="Arial" w:cs="Arial"/>
        </w:rPr>
        <w:t>). Se considerará la necesidad de monitorizar las constantes vitales y la función orgánica, en función de la gravedad de la reacción.</w:t>
      </w:r>
    </w:p>
    <w:p w:rsidR="007D48BC" w:rsidRDefault="007D48BC" w:rsidP="00E618CD">
      <w:pPr>
        <w:widowControl w:val="0"/>
        <w:autoSpaceDE w:val="0"/>
        <w:spacing w:after="80" w:line="360" w:lineRule="auto"/>
        <w:jc w:val="both"/>
        <w:rPr>
          <w:rFonts w:ascii="Arial" w:hAnsi="Arial" w:cs="Arial"/>
        </w:rPr>
      </w:pPr>
      <w:r w:rsidRPr="008F08BE">
        <w:rPr>
          <w:rFonts w:ascii="Arial" w:hAnsi="Arial" w:cs="Arial"/>
        </w:rPr>
        <w:t xml:space="preserve">Se debe proporcionar tratamiento de soporte en cuidados intensivos en el caso de pacientes con toxicidad neurológica grave o potencialmente mortal. Se considerará la administración de fármacos anticonvulsivos sin efectos sedantes, de acuerdo con las indicaciones clínicas, en el caso de reacciones adversas de grado 2 o superior. Se han desarrollado algoritmos de tratamiento para aliviar las reacciones adversas neurológicas que experimentan los pacientes que reciben tratamiento con </w:t>
      </w:r>
      <w:r>
        <w:rPr>
          <w:rFonts w:ascii="Arial" w:hAnsi="Arial" w:cs="Arial"/>
        </w:rPr>
        <w:t>a</w:t>
      </w:r>
      <w:r w:rsidRPr="004F2408">
        <w:rPr>
          <w:rFonts w:ascii="Arial" w:hAnsi="Arial" w:cs="Arial"/>
        </w:rPr>
        <w:t>xicabtagen ciloleucel</w:t>
      </w:r>
      <w:r w:rsidRPr="008F08BE">
        <w:rPr>
          <w:rFonts w:ascii="Arial" w:hAnsi="Arial" w:cs="Arial"/>
        </w:rPr>
        <w:t xml:space="preserve">. </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668"/>
        <w:gridCol w:w="3000"/>
        <w:gridCol w:w="2301"/>
        <w:gridCol w:w="1986"/>
      </w:tblGrid>
      <w:tr w:rsidR="007D48BC">
        <w:trPr>
          <w:trHeight w:val="165"/>
        </w:trPr>
        <w:tc>
          <w:tcPr>
            <w:tcW w:w="8955" w:type="dxa"/>
            <w:gridSpan w:val="4"/>
            <w:vAlign w:val="center"/>
          </w:tcPr>
          <w:p w:rsidR="007D48BC" w:rsidRPr="00D11A6A" w:rsidRDefault="007D48BC" w:rsidP="00D11A6A">
            <w:pPr>
              <w:widowControl w:val="0"/>
              <w:autoSpaceDE w:val="0"/>
              <w:spacing w:after="80"/>
              <w:rPr>
                <w:rFonts w:ascii="Arial" w:hAnsi="Arial" w:cs="Arial"/>
              </w:rPr>
            </w:pPr>
            <w:r w:rsidRPr="00D11A6A">
              <w:rPr>
                <w:rFonts w:ascii="Arial" w:hAnsi="Arial" w:cs="Arial"/>
              </w:rPr>
              <w:t xml:space="preserve">Tabla </w:t>
            </w:r>
            <w:r>
              <w:rPr>
                <w:rFonts w:ascii="Arial" w:hAnsi="Arial" w:cs="Arial"/>
              </w:rPr>
              <w:t>14</w:t>
            </w:r>
            <w:r w:rsidRPr="00D11A6A">
              <w:rPr>
                <w:rFonts w:ascii="Arial" w:hAnsi="Arial" w:cs="Arial"/>
              </w:rPr>
              <w:t>. Manejo de reacciones adversas neurológicas</w:t>
            </w:r>
          </w:p>
        </w:tc>
      </w:tr>
      <w:tr w:rsidR="007D48BC">
        <w:tc>
          <w:tcPr>
            <w:tcW w:w="1668" w:type="dxa"/>
            <w:shd w:val="clear" w:color="auto" w:fill="CCFFCC"/>
            <w:vAlign w:val="center"/>
          </w:tcPr>
          <w:p w:rsidR="007D48BC" w:rsidRPr="00D11A6A" w:rsidRDefault="007D48BC" w:rsidP="00D11A6A">
            <w:pPr>
              <w:jc w:val="center"/>
              <w:rPr>
                <w:rFonts w:ascii="Arial" w:hAnsi="Arial" w:cs="Arial"/>
                <w:b/>
                <w:bCs/>
                <w:sz w:val="18"/>
                <w:szCs w:val="18"/>
              </w:rPr>
            </w:pPr>
            <w:r w:rsidRPr="00D11A6A">
              <w:rPr>
                <w:rFonts w:ascii="Arial" w:hAnsi="Arial" w:cs="Arial"/>
                <w:b/>
                <w:bCs/>
                <w:sz w:val="18"/>
                <w:szCs w:val="18"/>
              </w:rPr>
              <w:t>Evaluación de la clasificación</w:t>
            </w:r>
          </w:p>
        </w:tc>
        <w:tc>
          <w:tcPr>
            <w:tcW w:w="3000" w:type="dxa"/>
            <w:shd w:val="clear" w:color="auto" w:fill="CCFFCC"/>
            <w:vAlign w:val="center"/>
          </w:tcPr>
          <w:p w:rsidR="007D48BC" w:rsidRPr="00D11A6A" w:rsidRDefault="007D48BC" w:rsidP="00D11A6A">
            <w:pPr>
              <w:jc w:val="center"/>
              <w:rPr>
                <w:rFonts w:ascii="Arial" w:hAnsi="Arial" w:cs="Arial"/>
                <w:b/>
                <w:bCs/>
                <w:sz w:val="18"/>
                <w:szCs w:val="18"/>
              </w:rPr>
            </w:pPr>
            <w:r w:rsidRPr="00D11A6A">
              <w:rPr>
                <w:rFonts w:ascii="Arial" w:hAnsi="Arial" w:cs="Arial"/>
                <w:b/>
                <w:bCs/>
                <w:sz w:val="18"/>
                <w:szCs w:val="18"/>
              </w:rPr>
              <w:t>SLC recurrente</w:t>
            </w:r>
          </w:p>
        </w:tc>
        <w:tc>
          <w:tcPr>
            <w:tcW w:w="2301" w:type="dxa"/>
            <w:shd w:val="clear" w:color="auto" w:fill="CCFFCC"/>
            <w:vAlign w:val="center"/>
          </w:tcPr>
          <w:p w:rsidR="007D48BC" w:rsidRPr="00D11A6A" w:rsidRDefault="007D48BC" w:rsidP="00D11A6A">
            <w:pPr>
              <w:jc w:val="center"/>
              <w:rPr>
                <w:rFonts w:ascii="Arial" w:hAnsi="Arial" w:cs="Arial"/>
                <w:b/>
                <w:bCs/>
                <w:sz w:val="18"/>
                <w:szCs w:val="18"/>
              </w:rPr>
            </w:pPr>
            <w:r w:rsidRPr="00D11A6A">
              <w:rPr>
                <w:rFonts w:ascii="Arial" w:hAnsi="Arial" w:cs="Arial"/>
                <w:b/>
                <w:bCs/>
                <w:sz w:val="18"/>
                <w:szCs w:val="18"/>
              </w:rPr>
              <w:t>SLC No recurrente</w:t>
            </w:r>
          </w:p>
        </w:tc>
        <w:tc>
          <w:tcPr>
            <w:tcW w:w="1986" w:type="dxa"/>
            <w:shd w:val="clear" w:color="auto" w:fill="CCFFCC"/>
            <w:vAlign w:val="center"/>
          </w:tcPr>
          <w:p w:rsidR="007D48BC" w:rsidRPr="00D11A6A" w:rsidRDefault="007D48BC" w:rsidP="00D11A6A">
            <w:pPr>
              <w:jc w:val="center"/>
              <w:rPr>
                <w:rFonts w:ascii="Arial" w:hAnsi="Arial" w:cs="Arial"/>
                <w:b/>
                <w:bCs/>
                <w:sz w:val="18"/>
                <w:szCs w:val="18"/>
              </w:rPr>
            </w:pPr>
            <w:r w:rsidRPr="00D11A6A">
              <w:rPr>
                <w:rFonts w:ascii="Arial" w:hAnsi="Arial" w:cs="Arial"/>
                <w:b/>
                <w:bCs/>
                <w:sz w:val="18"/>
                <w:szCs w:val="18"/>
              </w:rPr>
              <w:t>Observaciones</w:t>
            </w:r>
          </w:p>
        </w:tc>
      </w:tr>
      <w:tr w:rsidR="007D48BC">
        <w:tc>
          <w:tcPr>
            <w:tcW w:w="1668" w:type="dxa"/>
            <w:vAlign w:val="center"/>
          </w:tcPr>
          <w:p w:rsidR="007D48BC" w:rsidRPr="00D11A6A" w:rsidRDefault="007D48BC" w:rsidP="00D11A6A">
            <w:pPr>
              <w:widowControl w:val="0"/>
              <w:autoSpaceDE w:val="0"/>
              <w:spacing w:line="360" w:lineRule="auto"/>
              <w:jc w:val="center"/>
              <w:rPr>
                <w:rFonts w:ascii="Arial" w:hAnsi="Arial" w:cs="Arial"/>
              </w:rPr>
            </w:pPr>
            <w:r w:rsidRPr="00D11A6A">
              <w:rPr>
                <w:rFonts w:ascii="Arial" w:hAnsi="Arial" w:cs="Arial"/>
              </w:rPr>
              <w:t>Grado 2</w:t>
            </w:r>
          </w:p>
        </w:tc>
        <w:tc>
          <w:tcPr>
            <w:tcW w:w="3000" w:type="dxa"/>
            <w:vAlign w:val="center"/>
          </w:tcPr>
          <w:p w:rsidR="007D48BC" w:rsidRPr="00D11A6A" w:rsidRDefault="007D48BC" w:rsidP="00D11A6A">
            <w:pPr>
              <w:widowControl w:val="0"/>
              <w:autoSpaceDE w:val="0"/>
              <w:jc w:val="center"/>
              <w:rPr>
                <w:rFonts w:ascii="Arial" w:hAnsi="Arial" w:cs="Arial"/>
                <w:sz w:val="18"/>
                <w:szCs w:val="18"/>
              </w:rPr>
            </w:pPr>
            <w:r w:rsidRPr="00D11A6A">
              <w:rPr>
                <w:rFonts w:ascii="Arial" w:hAnsi="Arial" w:cs="Arial"/>
                <w:sz w:val="18"/>
                <w:szCs w:val="18"/>
              </w:rPr>
              <w:t>Administrar tocilizumab según lo establecido en la Tabla XX para el tratamiento del SLC de grado 2.</w:t>
            </w:r>
          </w:p>
          <w:p w:rsidR="007D48BC" w:rsidRPr="00D11A6A" w:rsidRDefault="007D48BC" w:rsidP="00D11A6A">
            <w:pPr>
              <w:widowControl w:val="0"/>
              <w:autoSpaceDE w:val="0"/>
              <w:jc w:val="center"/>
              <w:rPr>
                <w:rFonts w:ascii="Arial" w:hAnsi="Arial" w:cs="Arial"/>
                <w:sz w:val="18"/>
                <w:szCs w:val="18"/>
              </w:rPr>
            </w:pPr>
            <w:r w:rsidRPr="00D11A6A">
              <w:rPr>
                <w:rFonts w:ascii="Arial" w:hAnsi="Arial" w:cs="Arial"/>
                <w:sz w:val="18"/>
                <w:szCs w:val="18"/>
              </w:rPr>
              <w:t>Si no hay mejoría en las 24 horas siguientes al comienzo de la administración de tocilizumab, administrar 10 mg de dexametasona IV</w:t>
            </w:r>
          </w:p>
          <w:p w:rsidR="007D48BC" w:rsidRPr="00D11A6A" w:rsidRDefault="007D48BC" w:rsidP="00D11A6A">
            <w:pPr>
              <w:widowControl w:val="0"/>
              <w:autoSpaceDE w:val="0"/>
              <w:jc w:val="center"/>
              <w:rPr>
                <w:rFonts w:ascii="Arial" w:hAnsi="Arial" w:cs="Arial"/>
                <w:sz w:val="18"/>
                <w:szCs w:val="18"/>
              </w:rPr>
            </w:pPr>
            <w:r w:rsidRPr="00D11A6A">
              <w:rPr>
                <w:rFonts w:ascii="Arial" w:hAnsi="Arial" w:cs="Arial"/>
                <w:sz w:val="18"/>
                <w:szCs w:val="18"/>
              </w:rPr>
              <w:t>cada 6 horas si el paciente no está tomando otros</w:t>
            </w:r>
          </w:p>
          <w:p w:rsidR="007D48BC" w:rsidRPr="00D11A6A" w:rsidRDefault="007D48BC" w:rsidP="00D11A6A">
            <w:pPr>
              <w:widowControl w:val="0"/>
              <w:autoSpaceDE w:val="0"/>
              <w:jc w:val="center"/>
              <w:rPr>
                <w:rFonts w:ascii="Arial" w:hAnsi="Arial" w:cs="Arial"/>
                <w:sz w:val="18"/>
                <w:szCs w:val="18"/>
              </w:rPr>
            </w:pPr>
            <w:r w:rsidRPr="00D11A6A">
              <w:rPr>
                <w:rFonts w:ascii="Arial" w:hAnsi="Arial" w:cs="Arial"/>
                <w:sz w:val="18"/>
                <w:szCs w:val="18"/>
              </w:rPr>
              <w:t>corticoesteroides. Continuar con la administración de</w:t>
            </w:r>
          </w:p>
          <w:p w:rsidR="007D48BC" w:rsidRPr="00D11A6A" w:rsidRDefault="007D48BC" w:rsidP="00D11A6A">
            <w:pPr>
              <w:widowControl w:val="0"/>
              <w:autoSpaceDE w:val="0"/>
              <w:jc w:val="center"/>
              <w:rPr>
                <w:rFonts w:ascii="Arial" w:hAnsi="Arial" w:cs="Arial"/>
                <w:sz w:val="18"/>
                <w:szCs w:val="18"/>
              </w:rPr>
            </w:pPr>
            <w:r w:rsidRPr="00D11A6A">
              <w:rPr>
                <w:rFonts w:ascii="Arial" w:hAnsi="Arial" w:cs="Arial"/>
                <w:sz w:val="18"/>
                <w:szCs w:val="18"/>
              </w:rPr>
              <w:t>dexametasona hasta que el acontecimiento revierta a</w:t>
            </w:r>
          </w:p>
          <w:p w:rsidR="007D48BC" w:rsidRPr="00D11A6A" w:rsidRDefault="007D48BC" w:rsidP="00D11A6A">
            <w:pPr>
              <w:widowControl w:val="0"/>
              <w:autoSpaceDE w:val="0"/>
              <w:jc w:val="center"/>
              <w:rPr>
                <w:rFonts w:ascii="Arial" w:hAnsi="Arial" w:cs="Arial"/>
                <w:sz w:val="18"/>
                <w:szCs w:val="18"/>
              </w:rPr>
            </w:pPr>
            <w:r w:rsidRPr="00D11A6A">
              <w:rPr>
                <w:rFonts w:ascii="Arial" w:hAnsi="Arial" w:cs="Arial"/>
                <w:sz w:val="18"/>
                <w:szCs w:val="18"/>
              </w:rPr>
              <w:t>grado 1 o inferior y después retirar de forma gradual</w:t>
            </w:r>
          </w:p>
          <w:p w:rsidR="007D48BC" w:rsidRPr="00D11A6A" w:rsidRDefault="007D48BC" w:rsidP="00D11A6A">
            <w:pPr>
              <w:widowControl w:val="0"/>
              <w:autoSpaceDE w:val="0"/>
              <w:jc w:val="center"/>
              <w:rPr>
                <w:rFonts w:ascii="Arial" w:hAnsi="Arial" w:cs="Arial"/>
                <w:sz w:val="18"/>
                <w:szCs w:val="18"/>
              </w:rPr>
            </w:pPr>
            <w:r w:rsidRPr="00D11A6A">
              <w:rPr>
                <w:rFonts w:ascii="Arial" w:hAnsi="Arial" w:cs="Arial"/>
                <w:sz w:val="18"/>
                <w:szCs w:val="18"/>
              </w:rPr>
              <w:t>durante un periodo de 3 días</w:t>
            </w:r>
          </w:p>
        </w:tc>
        <w:tc>
          <w:tcPr>
            <w:tcW w:w="2301" w:type="dxa"/>
            <w:vMerge w:val="restart"/>
            <w:vAlign w:val="center"/>
          </w:tcPr>
          <w:p w:rsidR="007D48BC" w:rsidRPr="00D11A6A" w:rsidRDefault="007D48BC" w:rsidP="00D11A6A">
            <w:pPr>
              <w:widowControl w:val="0"/>
              <w:autoSpaceDE w:val="0"/>
              <w:jc w:val="center"/>
              <w:rPr>
                <w:rFonts w:ascii="Arial" w:hAnsi="Arial" w:cs="Arial"/>
                <w:sz w:val="18"/>
                <w:szCs w:val="18"/>
              </w:rPr>
            </w:pPr>
            <w:r w:rsidRPr="00D11A6A">
              <w:rPr>
                <w:rFonts w:ascii="Arial" w:hAnsi="Arial" w:cs="Arial"/>
                <w:sz w:val="18"/>
                <w:szCs w:val="18"/>
              </w:rPr>
              <w:t>Administrar 10 mg de</w:t>
            </w:r>
          </w:p>
          <w:p w:rsidR="007D48BC" w:rsidRPr="00D11A6A" w:rsidRDefault="007D48BC" w:rsidP="00D11A6A">
            <w:pPr>
              <w:widowControl w:val="0"/>
              <w:autoSpaceDE w:val="0"/>
              <w:jc w:val="center"/>
              <w:rPr>
                <w:rFonts w:ascii="Arial" w:hAnsi="Arial" w:cs="Arial"/>
                <w:sz w:val="18"/>
                <w:szCs w:val="18"/>
              </w:rPr>
            </w:pPr>
            <w:r w:rsidRPr="00D11A6A">
              <w:rPr>
                <w:rFonts w:ascii="Arial" w:hAnsi="Arial" w:cs="Arial"/>
                <w:sz w:val="18"/>
                <w:szCs w:val="18"/>
              </w:rPr>
              <w:t>dexametasona por vía IV cada 6 horas.</w:t>
            </w:r>
          </w:p>
          <w:p w:rsidR="007D48BC" w:rsidRPr="00D11A6A" w:rsidRDefault="007D48BC" w:rsidP="00D11A6A">
            <w:pPr>
              <w:widowControl w:val="0"/>
              <w:autoSpaceDE w:val="0"/>
              <w:jc w:val="center"/>
              <w:rPr>
                <w:rFonts w:ascii="Arial" w:hAnsi="Arial" w:cs="Arial"/>
                <w:sz w:val="18"/>
                <w:szCs w:val="18"/>
              </w:rPr>
            </w:pPr>
            <w:r w:rsidRPr="00D11A6A">
              <w:rPr>
                <w:rFonts w:ascii="Arial" w:hAnsi="Arial" w:cs="Arial"/>
                <w:sz w:val="18"/>
                <w:szCs w:val="18"/>
              </w:rPr>
              <w:t>Continuar con la administración</w:t>
            </w:r>
          </w:p>
          <w:p w:rsidR="007D48BC" w:rsidRPr="00D11A6A" w:rsidRDefault="007D48BC" w:rsidP="00D11A6A">
            <w:pPr>
              <w:widowControl w:val="0"/>
              <w:autoSpaceDE w:val="0"/>
              <w:jc w:val="center"/>
              <w:rPr>
                <w:rFonts w:ascii="Arial" w:hAnsi="Arial" w:cs="Arial"/>
                <w:sz w:val="18"/>
                <w:szCs w:val="18"/>
              </w:rPr>
            </w:pPr>
            <w:r w:rsidRPr="00D11A6A">
              <w:rPr>
                <w:rFonts w:ascii="Arial" w:hAnsi="Arial" w:cs="Arial"/>
                <w:sz w:val="18"/>
                <w:szCs w:val="18"/>
              </w:rPr>
              <w:t>de dexametasona hasta que el</w:t>
            </w:r>
          </w:p>
          <w:p w:rsidR="007D48BC" w:rsidRPr="00D11A6A" w:rsidRDefault="007D48BC" w:rsidP="00D11A6A">
            <w:pPr>
              <w:widowControl w:val="0"/>
              <w:autoSpaceDE w:val="0"/>
              <w:jc w:val="center"/>
              <w:rPr>
                <w:rFonts w:ascii="Arial" w:hAnsi="Arial" w:cs="Arial"/>
                <w:sz w:val="18"/>
                <w:szCs w:val="18"/>
              </w:rPr>
            </w:pPr>
            <w:r w:rsidRPr="00D11A6A">
              <w:rPr>
                <w:rFonts w:ascii="Arial" w:hAnsi="Arial" w:cs="Arial"/>
                <w:sz w:val="18"/>
                <w:szCs w:val="18"/>
              </w:rPr>
              <w:t>acontecimiento revierta a grado 1 o inferior y después retirar de</w:t>
            </w:r>
          </w:p>
          <w:p w:rsidR="007D48BC" w:rsidRPr="00D11A6A" w:rsidRDefault="007D48BC" w:rsidP="00D11A6A">
            <w:pPr>
              <w:widowControl w:val="0"/>
              <w:autoSpaceDE w:val="0"/>
              <w:jc w:val="center"/>
              <w:rPr>
                <w:rFonts w:ascii="Arial" w:hAnsi="Arial" w:cs="Arial"/>
                <w:sz w:val="18"/>
                <w:szCs w:val="18"/>
              </w:rPr>
            </w:pPr>
            <w:r w:rsidRPr="00D11A6A">
              <w:rPr>
                <w:rFonts w:ascii="Arial" w:hAnsi="Arial" w:cs="Arial"/>
                <w:sz w:val="18"/>
                <w:szCs w:val="18"/>
              </w:rPr>
              <w:t>forma gradual durante un periodo de 3 días.</w:t>
            </w:r>
          </w:p>
        </w:tc>
        <w:tc>
          <w:tcPr>
            <w:tcW w:w="1986" w:type="dxa"/>
            <w:vMerge w:val="restart"/>
            <w:vAlign w:val="center"/>
          </w:tcPr>
          <w:p w:rsidR="007D48BC" w:rsidRPr="00D11A6A" w:rsidRDefault="007D48BC" w:rsidP="00D11A6A">
            <w:pPr>
              <w:widowControl w:val="0"/>
              <w:autoSpaceDE w:val="0"/>
              <w:jc w:val="center"/>
              <w:rPr>
                <w:rFonts w:ascii="Arial" w:hAnsi="Arial" w:cs="Arial"/>
                <w:sz w:val="18"/>
                <w:szCs w:val="18"/>
              </w:rPr>
            </w:pPr>
            <w:r w:rsidRPr="00D11A6A">
              <w:rPr>
                <w:rFonts w:ascii="Arial" w:hAnsi="Arial" w:cs="Arial"/>
                <w:sz w:val="18"/>
                <w:szCs w:val="18"/>
              </w:rPr>
              <w:t xml:space="preserve">Considerar la administración de fármacos anticonvulsivos sin efectos sedantes </w:t>
            </w:r>
          </w:p>
          <w:p w:rsidR="007D48BC" w:rsidRPr="00D11A6A" w:rsidRDefault="007D48BC" w:rsidP="00D11A6A">
            <w:pPr>
              <w:widowControl w:val="0"/>
              <w:autoSpaceDE w:val="0"/>
              <w:jc w:val="center"/>
              <w:rPr>
                <w:rFonts w:ascii="Arial" w:hAnsi="Arial" w:cs="Arial"/>
                <w:sz w:val="18"/>
                <w:szCs w:val="18"/>
              </w:rPr>
            </w:pPr>
            <w:r w:rsidRPr="00D11A6A">
              <w:rPr>
                <w:rFonts w:ascii="Arial" w:hAnsi="Arial" w:cs="Arial"/>
                <w:sz w:val="18"/>
                <w:szCs w:val="18"/>
              </w:rPr>
              <w:t>(p. ej.,levetiracetam) para la profilaxis de las crisis convulsivas.</w:t>
            </w:r>
          </w:p>
        </w:tc>
      </w:tr>
      <w:tr w:rsidR="007D48BC">
        <w:tc>
          <w:tcPr>
            <w:tcW w:w="1668" w:type="dxa"/>
            <w:vAlign w:val="center"/>
          </w:tcPr>
          <w:p w:rsidR="007D48BC" w:rsidRPr="00D11A6A" w:rsidRDefault="007D48BC" w:rsidP="00D11A6A">
            <w:pPr>
              <w:widowControl w:val="0"/>
              <w:autoSpaceDE w:val="0"/>
              <w:spacing w:after="80" w:line="360" w:lineRule="auto"/>
              <w:jc w:val="center"/>
              <w:rPr>
                <w:rFonts w:ascii="Arial" w:hAnsi="Arial" w:cs="Arial"/>
              </w:rPr>
            </w:pPr>
            <w:r w:rsidRPr="00D11A6A">
              <w:rPr>
                <w:rFonts w:ascii="Arial" w:hAnsi="Arial" w:cs="Arial"/>
              </w:rPr>
              <w:t>Grado 3</w:t>
            </w:r>
          </w:p>
        </w:tc>
        <w:tc>
          <w:tcPr>
            <w:tcW w:w="3000" w:type="dxa"/>
            <w:vAlign w:val="center"/>
          </w:tcPr>
          <w:p w:rsidR="007D48BC" w:rsidRPr="00D11A6A" w:rsidRDefault="007D48BC" w:rsidP="00D11A6A">
            <w:pPr>
              <w:widowControl w:val="0"/>
              <w:autoSpaceDE w:val="0"/>
              <w:jc w:val="center"/>
              <w:rPr>
                <w:rFonts w:ascii="Arial" w:hAnsi="Arial" w:cs="Arial"/>
                <w:sz w:val="18"/>
                <w:szCs w:val="18"/>
              </w:rPr>
            </w:pPr>
            <w:r w:rsidRPr="00D11A6A">
              <w:rPr>
                <w:rFonts w:ascii="Arial" w:hAnsi="Arial" w:cs="Arial"/>
                <w:sz w:val="18"/>
                <w:szCs w:val="18"/>
              </w:rPr>
              <w:t>Administrar tocilizumab según lo establecido en la Tabla XX para el tratamiento del SLC de grado 2.</w:t>
            </w:r>
          </w:p>
          <w:p w:rsidR="007D48BC" w:rsidRPr="00D11A6A" w:rsidRDefault="007D48BC" w:rsidP="00D11A6A">
            <w:pPr>
              <w:widowControl w:val="0"/>
              <w:autoSpaceDE w:val="0"/>
              <w:spacing w:after="80"/>
              <w:jc w:val="center"/>
              <w:rPr>
                <w:rFonts w:ascii="Arial" w:hAnsi="Arial" w:cs="Arial"/>
                <w:sz w:val="18"/>
                <w:szCs w:val="18"/>
              </w:rPr>
            </w:pPr>
            <w:r w:rsidRPr="00D11A6A">
              <w:rPr>
                <w:rFonts w:ascii="Arial" w:hAnsi="Arial" w:cs="Arial"/>
                <w:sz w:val="18"/>
                <w:szCs w:val="18"/>
              </w:rPr>
              <w:t>Además, administrar 10 mg de dexametasona por vía  IV con la primera dosis de tocilizumab y repetir la administración cada 6 horas. Continuar con la administración de  dexametasona hasta que el acontecimiento revierta a grado 1 o inferior y después retirar de forma gradual durante un periodo de 3 días.</w:t>
            </w:r>
          </w:p>
        </w:tc>
        <w:tc>
          <w:tcPr>
            <w:tcW w:w="2301" w:type="dxa"/>
            <w:vMerge/>
            <w:vAlign w:val="center"/>
          </w:tcPr>
          <w:p w:rsidR="007D48BC" w:rsidRPr="00D11A6A" w:rsidRDefault="007D48BC" w:rsidP="00D11A6A">
            <w:pPr>
              <w:widowControl w:val="0"/>
              <w:autoSpaceDE w:val="0"/>
              <w:spacing w:after="80" w:line="360" w:lineRule="auto"/>
              <w:jc w:val="center"/>
              <w:rPr>
                <w:rFonts w:ascii="Arial" w:hAnsi="Arial" w:cs="Arial"/>
              </w:rPr>
            </w:pPr>
          </w:p>
        </w:tc>
        <w:tc>
          <w:tcPr>
            <w:tcW w:w="1986" w:type="dxa"/>
            <w:vMerge/>
            <w:vAlign w:val="center"/>
          </w:tcPr>
          <w:p w:rsidR="007D48BC" w:rsidRPr="00D11A6A" w:rsidRDefault="007D48BC" w:rsidP="00D11A6A">
            <w:pPr>
              <w:widowControl w:val="0"/>
              <w:autoSpaceDE w:val="0"/>
              <w:spacing w:after="80" w:line="360" w:lineRule="auto"/>
              <w:jc w:val="center"/>
              <w:rPr>
                <w:rFonts w:ascii="Arial" w:hAnsi="Arial" w:cs="Arial"/>
              </w:rPr>
            </w:pPr>
          </w:p>
        </w:tc>
      </w:tr>
      <w:tr w:rsidR="007D48BC">
        <w:tc>
          <w:tcPr>
            <w:tcW w:w="1668" w:type="dxa"/>
            <w:vAlign w:val="center"/>
          </w:tcPr>
          <w:p w:rsidR="007D48BC" w:rsidRPr="00D11A6A" w:rsidRDefault="007D48BC" w:rsidP="00D11A6A">
            <w:pPr>
              <w:widowControl w:val="0"/>
              <w:autoSpaceDE w:val="0"/>
              <w:spacing w:line="360" w:lineRule="auto"/>
              <w:jc w:val="center"/>
              <w:rPr>
                <w:rFonts w:ascii="Arial" w:hAnsi="Arial" w:cs="Arial"/>
              </w:rPr>
            </w:pPr>
            <w:r w:rsidRPr="00D11A6A">
              <w:rPr>
                <w:rFonts w:ascii="Arial" w:hAnsi="Arial" w:cs="Arial"/>
              </w:rPr>
              <w:t>Grado 4</w:t>
            </w:r>
          </w:p>
        </w:tc>
        <w:tc>
          <w:tcPr>
            <w:tcW w:w="3000" w:type="dxa"/>
            <w:vAlign w:val="center"/>
          </w:tcPr>
          <w:p w:rsidR="007D48BC" w:rsidRPr="00D11A6A" w:rsidRDefault="007D48BC" w:rsidP="00D11A6A">
            <w:pPr>
              <w:widowControl w:val="0"/>
              <w:autoSpaceDE w:val="0"/>
              <w:jc w:val="center"/>
              <w:rPr>
                <w:rFonts w:ascii="Arial" w:hAnsi="Arial" w:cs="Arial"/>
                <w:sz w:val="18"/>
                <w:szCs w:val="18"/>
              </w:rPr>
            </w:pPr>
            <w:r w:rsidRPr="00D11A6A">
              <w:rPr>
                <w:rFonts w:ascii="Arial" w:hAnsi="Arial" w:cs="Arial"/>
                <w:sz w:val="18"/>
                <w:szCs w:val="18"/>
              </w:rPr>
              <w:t>Administrar tocilizumab según lo establecido en la Tabla XX para el tratamiento del SLC de grado 2.</w:t>
            </w:r>
          </w:p>
          <w:p w:rsidR="007D48BC" w:rsidRPr="00D11A6A" w:rsidRDefault="007D48BC" w:rsidP="00D11A6A">
            <w:pPr>
              <w:widowControl w:val="0"/>
              <w:autoSpaceDE w:val="0"/>
              <w:jc w:val="center"/>
              <w:rPr>
                <w:rFonts w:ascii="Arial" w:hAnsi="Arial" w:cs="Arial"/>
                <w:sz w:val="18"/>
                <w:szCs w:val="18"/>
              </w:rPr>
            </w:pPr>
            <w:r w:rsidRPr="00D11A6A">
              <w:rPr>
                <w:rFonts w:ascii="Arial" w:hAnsi="Arial" w:cs="Arial"/>
                <w:sz w:val="18"/>
                <w:szCs w:val="18"/>
              </w:rPr>
              <w:t>Administrar 1000 mg de metilprednisolona al día, por</w:t>
            </w:r>
          </w:p>
          <w:p w:rsidR="007D48BC" w:rsidRPr="00D11A6A" w:rsidRDefault="007D48BC" w:rsidP="00D11A6A">
            <w:pPr>
              <w:widowControl w:val="0"/>
              <w:autoSpaceDE w:val="0"/>
              <w:jc w:val="center"/>
              <w:rPr>
                <w:rFonts w:ascii="Arial" w:hAnsi="Arial" w:cs="Arial"/>
                <w:sz w:val="18"/>
                <w:szCs w:val="18"/>
              </w:rPr>
            </w:pPr>
            <w:r w:rsidRPr="00D11A6A">
              <w:rPr>
                <w:rFonts w:ascii="Arial" w:hAnsi="Arial" w:cs="Arial"/>
                <w:sz w:val="18"/>
                <w:szCs w:val="18"/>
              </w:rPr>
              <w:t>vía IV, con la primera dosis de tocilizumab  y continuar con la administración de 1000 mg de</w:t>
            </w:r>
          </w:p>
          <w:p w:rsidR="007D48BC" w:rsidRPr="00D11A6A" w:rsidRDefault="007D48BC" w:rsidP="00D11A6A">
            <w:pPr>
              <w:widowControl w:val="0"/>
              <w:autoSpaceDE w:val="0"/>
              <w:jc w:val="center"/>
              <w:rPr>
                <w:rFonts w:ascii="Arial" w:hAnsi="Arial" w:cs="Arial"/>
                <w:sz w:val="18"/>
                <w:szCs w:val="18"/>
              </w:rPr>
            </w:pPr>
            <w:r w:rsidRPr="00D11A6A">
              <w:rPr>
                <w:rFonts w:ascii="Arial" w:hAnsi="Arial" w:cs="Arial"/>
                <w:sz w:val="18"/>
                <w:szCs w:val="18"/>
              </w:rPr>
              <w:t>metilprednisolona al día durante 2 días más; si se observa una mejoría, se tratará conforme a las pautas anteriores.</w:t>
            </w:r>
          </w:p>
        </w:tc>
        <w:tc>
          <w:tcPr>
            <w:tcW w:w="2301" w:type="dxa"/>
            <w:vAlign w:val="center"/>
          </w:tcPr>
          <w:p w:rsidR="007D48BC" w:rsidRPr="00D11A6A" w:rsidRDefault="007D48BC" w:rsidP="00D11A6A">
            <w:pPr>
              <w:widowControl w:val="0"/>
              <w:autoSpaceDE w:val="0"/>
              <w:jc w:val="center"/>
              <w:rPr>
                <w:rFonts w:ascii="Arial" w:hAnsi="Arial" w:cs="Arial"/>
                <w:sz w:val="18"/>
                <w:szCs w:val="18"/>
              </w:rPr>
            </w:pPr>
            <w:r w:rsidRPr="00D11A6A">
              <w:rPr>
                <w:rFonts w:ascii="Arial" w:hAnsi="Arial" w:cs="Arial"/>
                <w:sz w:val="18"/>
                <w:szCs w:val="18"/>
              </w:rPr>
              <w:t>Administrar 1000 mg de metilprednisolona al día, por vía IV, durante 3 días; si se observa una mejoría, se tratará</w:t>
            </w:r>
          </w:p>
          <w:p w:rsidR="007D48BC" w:rsidRPr="00D11A6A" w:rsidRDefault="007D48BC" w:rsidP="00D11A6A">
            <w:pPr>
              <w:widowControl w:val="0"/>
              <w:autoSpaceDE w:val="0"/>
              <w:jc w:val="center"/>
              <w:rPr>
                <w:rFonts w:ascii="Arial" w:hAnsi="Arial" w:cs="Arial"/>
                <w:sz w:val="18"/>
                <w:szCs w:val="18"/>
              </w:rPr>
            </w:pPr>
            <w:r w:rsidRPr="00D11A6A">
              <w:rPr>
                <w:rFonts w:ascii="Arial" w:hAnsi="Arial" w:cs="Arial"/>
                <w:sz w:val="18"/>
                <w:szCs w:val="18"/>
              </w:rPr>
              <w:t>conforme a las pautas anteriores.</w:t>
            </w:r>
          </w:p>
        </w:tc>
        <w:tc>
          <w:tcPr>
            <w:tcW w:w="1986" w:type="dxa"/>
            <w:vMerge/>
            <w:vAlign w:val="center"/>
          </w:tcPr>
          <w:p w:rsidR="007D48BC" w:rsidRPr="00D11A6A" w:rsidRDefault="007D48BC" w:rsidP="00D11A6A">
            <w:pPr>
              <w:widowControl w:val="0"/>
              <w:autoSpaceDE w:val="0"/>
              <w:spacing w:line="360" w:lineRule="auto"/>
              <w:jc w:val="center"/>
              <w:rPr>
                <w:rFonts w:ascii="Arial" w:hAnsi="Arial" w:cs="Arial"/>
              </w:rPr>
            </w:pPr>
          </w:p>
        </w:tc>
      </w:tr>
    </w:tbl>
    <w:p w:rsidR="007D48BC" w:rsidRPr="003850C3" w:rsidRDefault="007D48BC" w:rsidP="00752F54">
      <w:pPr>
        <w:widowControl w:val="0"/>
        <w:autoSpaceDE w:val="0"/>
        <w:spacing w:before="240" w:after="80"/>
        <w:jc w:val="both"/>
        <w:rPr>
          <w:rFonts w:ascii="Arial" w:hAnsi="Arial" w:cs="Arial"/>
          <w:b/>
          <w:bCs/>
        </w:rPr>
      </w:pPr>
      <w:r w:rsidRPr="003850C3">
        <w:rPr>
          <w:rFonts w:ascii="Arial" w:hAnsi="Arial" w:cs="Arial"/>
          <w:b/>
          <w:bCs/>
        </w:rPr>
        <w:t>Infecciones y neutropenia febril</w:t>
      </w:r>
    </w:p>
    <w:p w:rsidR="007D48BC" w:rsidRPr="00166602" w:rsidRDefault="007D48BC" w:rsidP="00166602">
      <w:pPr>
        <w:widowControl w:val="0"/>
        <w:autoSpaceDE w:val="0"/>
        <w:spacing w:after="80" w:line="360" w:lineRule="auto"/>
        <w:jc w:val="both"/>
        <w:rPr>
          <w:rFonts w:ascii="Arial" w:hAnsi="Arial" w:cs="Arial"/>
        </w:rPr>
      </w:pPr>
      <w:r w:rsidRPr="00166602">
        <w:rPr>
          <w:rFonts w:ascii="Arial" w:hAnsi="Arial" w:cs="Arial"/>
        </w:rPr>
        <w:t xml:space="preserve">Se han observado de manera muy frecuente infecciones graves con el uso de </w:t>
      </w:r>
      <w:r>
        <w:rPr>
          <w:rFonts w:ascii="Arial" w:hAnsi="Arial" w:cs="Arial"/>
        </w:rPr>
        <w:t>a</w:t>
      </w:r>
      <w:r w:rsidRPr="004F2408">
        <w:rPr>
          <w:rFonts w:ascii="Arial" w:hAnsi="Arial" w:cs="Arial"/>
        </w:rPr>
        <w:t>xicabtagen ciloleucel</w:t>
      </w:r>
      <w:r w:rsidRPr="00166602">
        <w:rPr>
          <w:rFonts w:ascii="Arial" w:hAnsi="Arial" w:cs="Arial"/>
        </w:rPr>
        <w:t>. Se debe monitorizar a los pacientes para detectar signos y síntomas de infección antes,</w:t>
      </w:r>
    </w:p>
    <w:p w:rsidR="007D48BC" w:rsidRPr="00166602" w:rsidRDefault="007D48BC" w:rsidP="00166602">
      <w:pPr>
        <w:widowControl w:val="0"/>
        <w:autoSpaceDE w:val="0"/>
        <w:spacing w:after="80" w:line="360" w:lineRule="auto"/>
        <w:jc w:val="both"/>
        <w:rPr>
          <w:rFonts w:ascii="Arial" w:hAnsi="Arial" w:cs="Arial"/>
        </w:rPr>
      </w:pPr>
      <w:r w:rsidRPr="00166602">
        <w:rPr>
          <w:rFonts w:ascii="Arial" w:hAnsi="Arial" w:cs="Arial"/>
        </w:rPr>
        <w:t xml:space="preserve">durante y después de la perfusión de </w:t>
      </w:r>
      <w:r>
        <w:rPr>
          <w:rFonts w:ascii="Arial" w:hAnsi="Arial" w:cs="Arial"/>
        </w:rPr>
        <w:t>a</w:t>
      </w:r>
      <w:r w:rsidRPr="004F2408">
        <w:rPr>
          <w:rFonts w:ascii="Arial" w:hAnsi="Arial" w:cs="Arial"/>
        </w:rPr>
        <w:t>xicabtagen ciloleucel</w:t>
      </w:r>
      <w:r w:rsidRPr="00166602">
        <w:rPr>
          <w:rFonts w:ascii="Arial" w:hAnsi="Arial" w:cs="Arial"/>
        </w:rPr>
        <w:t>, y se les proporcionará el tratamiento adecuado. Se administrarán antimicrobianos para un tratamiento profiláctico, conforme a las guías del centro.</w:t>
      </w:r>
    </w:p>
    <w:p w:rsidR="007D48BC" w:rsidRPr="00166602" w:rsidRDefault="007D48BC" w:rsidP="00166602">
      <w:pPr>
        <w:widowControl w:val="0"/>
        <w:autoSpaceDE w:val="0"/>
        <w:spacing w:after="80" w:line="360" w:lineRule="auto"/>
        <w:jc w:val="both"/>
        <w:rPr>
          <w:rFonts w:ascii="Arial" w:hAnsi="Arial" w:cs="Arial"/>
        </w:rPr>
      </w:pPr>
      <w:r w:rsidRPr="00166602">
        <w:rPr>
          <w:rFonts w:ascii="Arial" w:hAnsi="Arial" w:cs="Arial"/>
        </w:rPr>
        <w:t xml:space="preserve">Se ha observado neutropenia febril en pacientes después de la perfusión de </w:t>
      </w:r>
      <w:r>
        <w:rPr>
          <w:rFonts w:ascii="Arial" w:hAnsi="Arial" w:cs="Arial"/>
        </w:rPr>
        <w:t>a</w:t>
      </w:r>
      <w:r w:rsidRPr="004F2408">
        <w:rPr>
          <w:rFonts w:ascii="Arial" w:hAnsi="Arial" w:cs="Arial"/>
        </w:rPr>
        <w:t>xicabtagen ciloleucel</w:t>
      </w:r>
      <w:r>
        <w:rPr>
          <w:rFonts w:ascii="Arial" w:hAnsi="Arial" w:cs="Arial"/>
        </w:rPr>
        <w:t xml:space="preserve"> </w:t>
      </w:r>
      <w:r w:rsidRPr="00166602">
        <w:rPr>
          <w:rFonts w:ascii="Arial" w:hAnsi="Arial" w:cs="Arial"/>
        </w:rPr>
        <w:t>y puede ser concurrente con SLC. En caso de neutropenia febril, se debe valorar la</w:t>
      </w:r>
      <w:r>
        <w:rPr>
          <w:rFonts w:ascii="Arial" w:hAnsi="Arial" w:cs="Arial"/>
        </w:rPr>
        <w:t xml:space="preserve"> </w:t>
      </w:r>
      <w:r w:rsidRPr="00166602">
        <w:rPr>
          <w:rFonts w:ascii="Arial" w:hAnsi="Arial" w:cs="Arial"/>
        </w:rPr>
        <w:t>posibilidad de infección y tratar con antibióticos de amplio espectro, líquidos y otra terapia de soporte de acuerdo con las indicaciones médicas.</w:t>
      </w:r>
    </w:p>
    <w:p w:rsidR="007D48BC" w:rsidRPr="003850C3" w:rsidRDefault="007D48BC" w:rsidP="003850C3">
      <w:pPr>
        <w:widowControl w:val="0"/>
        <w:autoSpaceDE w:val="0"/>
        <w:spacing w:after="80"/>
        <w:jc w:val="both"/>
        <w:rPr>
          <w:rFonts w:ascii="Arial" w:hAnsi="Arial" w:cs="Arial"/>
          <w:b/>
          <w:bCs/>
        </w:rPr>
      </w:pPr>
      <w:r w:rsidRPr="003850C3">
        <w:rPr>
          <w:rFonts w:ascii="Arial" w:hAnsi="Arial" w:cs="Arial"/>
          <w:b/>
          <w:bCs/>
        </w:rPr>
        <w:t>Reactivación del virus de la hepatitis B</w:t>
      </w:r>
    </w:p>
    <w:p w:rsidR="007D48BC" w:rsidRPr="00166602" w:rsidRDefault="007D48BC" w:rsidP="00166602">
      <w:pPr>
        <w:widowControl w:val="0"/>
        <w:autoSpaceDE w:val="0"/>
        <w:spacing w:after="80" w:line="360" w:lineRule="auto"/>
        <w:jc w:val="both"/>
        <w:rPr>
          <w:rFonts w:ascii="Arial" w:hAnsi="Arial" w:cs="Arial"/>
        </w:rPr>
      </w:pPr>
      <w:r w:rsidRPr="00166602">
        <w:rPr>
          <w:rFonts w:ascii="Arial" w:hAnsi="Arial" w:cs="Arial"/>
        </w:rPr>
        <w:t>Los pacientes tratados con fármacos dirigidos contra las células B podrían experimentar una reactivación del VHB que provoca, en ciertos casos, una hepatitis fulminante, insuficiencia hepática y la muerte. Se deben realizar pruebas de detección del VHB, VHC y VIH conforme a las guías clínicas</w:t>
      </w:r>
      <w:r>
        <w:rPr>
          <w:rFonts w:ascii="Arial" w:hAnsi="Arial" w:cs="Arial"/>
        </w:rPr>
        <w:t xml:space="preserve"> </w:t>
      </w:r>
      <w:r w:rsidRPr="00166602">
        <w:rPr>
          <w:rFonts w:ascii="Arial" w:hAnsi="Arial" w:cs="Arial"/>
        </w:rPr>
        <w:t>antes de que se lleve a cabo la obtención de células para la elaboración del producto.</w:t>
      </w:r>
    </w:p>
    <w:p w:rsidR="007D48BC" w:rsidRPr="00166602" w:rsidRDefault="007D48BC" w:rsidP="00166602">
      <w:pPr>
        <w:widowControl w:val="0"/>
        <w:autoSpaceDE w:val="0"/>
        <w:spacing w:after="80"/>
        <w:jc w:val="both"/>
        <w:rPr>
          <w:rFonts w:ascii="Arial" w:hAnsi="Arial" w:cs="Arial"/>
          <w:b/>
          <w:bCs/>
        </w:rPr>
      </w:pPr>
      <w:r w:rsidRPr="00166602">
        <w:rPr>
          <w:rFonts w:ascii="Arial" w:hAnsi="Arial" w:cs="Arial"/>
          <w:b/>
          <w:bCs/>
        </w:rPr>
        <w:t>Citopenias prolongadas</w:t>
      </w:r>
    </w:p>
    <w:p w:rsidR="007D48BC" w:rsidRPr="00166602" w:rsidRDefault="007D48BC" w:rsidP="00166602">
      <w:pPr>
        <w:widowControl w:val="0"/>
        <w:autoSpaceDE w:val="0"/>
        <w:spacing w:after="80" w:line="360" w:lineRule="auto"/>
        <w:jc w:val="both"/>
        <w:rPr>
          <w:rFonts w:ascii="Arial" w:hAnsi="Arial" w:cs="Arial"/>
        </w:rPr>
      </w:pPr>
      <w:r w:rsidRPr="00166602">
        <w:rPr>
          <w:rFonts w:ascii="Arial" w:hAnsi="Arial" w:cs="Arial"/>
        </w:rPr>
        <w:t>Es posible que los pacientes presenten citopenias durante varias semanas después de la quimioterapia de</w:t>
      </w:r>
      <w:r>
        <w:rPr>
          <w:rFonts w:ascii="Arial" w:hAnsi="Arial" w:cs="Arial"/>
        </w:rPr>
        <w:t xml:space="preserve"> </w:t>
      </w:r>
      <w:r w:rsidRPr="00166602">
        <w:rPr>
          <w:rFonts w:ascii="Arial" w:hAnsi="Arial" w:cs="Arial"/>
        </w:rPr>
        <w:t xml:space="preserve">linfodepleción y de la perfusión de </w:t>
      </w:r>
      <w:r>
        <w:rPr>
          <w:rFonts w:ascii="Arial" w:hAnsi="Arial" w:cs="Arial"/>
        </w:rPr>
        <w:t>a</w:t>
      </w:r>
      <w:r w:rsidRPr="004F2408">
        <w:rPr>
          <w:rFonts w:ascii="Arial" w:hAnsi="Arial" w:cs="Arial"/>
        </w:rPr>
        <w:t>xicabtagen ciloleucel</w:t>
      </w:r>
      <w:r w:rsidRPr="00166602">
        <w:rPr>
          <w:rFonts w:ascii="Arial" w:hAnsi="Arial" w:cs="Arial"/>
        </w:rPr>
        <w:t>. Se han notificado de forma muy frecuente citopenias</w:t>
      </w:r>
      <w:r>
        <w:rPr>
          <w:rFonts w:ascii="Arial" w:hAnsi="Arial" w:cs="Arial"/>
        </w:rPr>
        <w:t xml:space="preserve"> </w:t>
      </w:r>
      <w:r w:rsidRPr="00166602">
        <w:rPr>
          <w:rFonts w:ascii="Arial" w:hAnsi="Arial" w:cs="Arial"/>
        </w:rPr>
        <w:t xml:space="preserve">prolongadas de grado 3 o superior después de la perfusión de </w:t>
      </w:r>
      <w:r>
        <w:rPr>
          <w:rFonts w:ascii="Arial" w:hAnsi="Arial" w:cs="Arial"/>
        </w:rPr>
        <w:t>a</w:t>
      </w:r>
      <w:r w:rsidRPr="004F2408">
        <w:rPr>
          <w:rFonts w:ascii="Arial" w:hAnsi="Arial" w:cs="Arial"/>
        </w:rPr>
        <w:t>xicabtagen ciloleucel</w:t>
      </w:r>
      <w:r w:rsidRPr="00166602">
        <w:rPr>
          <w:rFonts w:ascii="Arial" w:hAnsi="Arial" w:cs="Arial"/>
        </w:rPr>
        <w:t>, incluidas trombocitopenia,</w:t>
      </w:r>
      <w:r>
        <w:rPr>
          <w:rFonts w:ascii="Arial" w:hAnsi="Arial" w:cs="Arial"/>
        </w:rPr>
        <w:t xml:space="preserve"> </w:t>
      </w:r>
      <w:r w:rsidRPr="00166602">
        <w:rPr>
          <w:rFonts w:ascii="Arial" w:hAnsi="Arial" w:cs="Arial"/>
        </w:rPr>
        <w:t>neutropenia y anemia. Se debe realizar un hemograma completo después de la perfusión de</w:t>
      </w:r>
      <w:r>
        <w:rPr>
          <w:rFonts w:ascii="Arial" w:hAnsi="Arial" w:cs="Arial"/>
        </w:rPr>
        <w:t xml:space="preserve"> a</w:t>
      </w:r>
      <w:r w:rsidRPr="004F2408">
        <w:rPr>
          <w:rFonts w:ascii="Arial" w:hAnsi="Arial" w:cs="Arial"/>
        </w:rPr>
        <w:t>xicabtagen ciloleucel</w:t>
      </w:r>
      <w:r w:rsidRPr="00166602">
        <w:rPr>
          <w:rFonts w:ascii="Arial" w:hAnsi="Arial" w:cs="Arial"/>
        </w:rPr>
        <w:t>.</w:t>
      </w:r>
    </w:p>
    <w:p w:rsidR="007D48BC" w:rsidRPr="00166602" w:rsidRDefault="007D48BC" w:rsidP="00166602">
      <w:pPr>
        <w:widowControl w:val="0"/>
        <w:autoSpaceDE w:val="0"/>
        <w:spacing w:after="80"/>
        <w:jc w:val="both"/>
        <w:rPr>
          <w:rFonts w:ascii="Arial" w:hAnsi="Arial" w:cs="Arial"/>
          <w:b/>
          <w:bCs/>
        </w:rPr>
      </w:pPr>
      <w:r w:rsidRPr="00166602">
        <w:rPr>
          <w:rFonts w:ascii="Arial" w:hAnsi="Arial" w:cs="Arial"/>
          <w:b/>
          <w:bCs/>
        </w:rPr>
        <w:t>Hipogammaglobulinemia</w:t>
      </w:r>
    </w:p>
    <w:p w:rsidR="007D48BC" w:rsidRPr="00166602" w:rsidRDefault="007D48BC" w:rsidP="00166602">
      <w:pPr>
        <w:widowControl w:val="0"/>
        <w:autoSpaceDE w:val="0"/>
        <w:spacing w:after="80" w:line="360" w:lineRule="auto"/>
        <w:jc w:val="both"/>
        <w:rPr>
          <w:rFonts w:ascii="Arial" w:hAnsi="Arial" w:cs="Arial"/>
        </w:rPr>
      </w:pPr>
      <w:r w:rsidRPr="00166602">
        <w:rPr>
          <w:rFonts w:ascii="Arial" w:hAnsi="Arial" w:cs="Arial"/>
        </w:rPr>
        <w:t xml:space="preserve">Los pacientes que reciben tratamiento con </w:t>
      </w:r>
      <w:r>
        <w:rPr>
          <w:rFonts w:ascii="Arial" w:hAnsi="Arial" w:cs="Arial"/>
        </w:rPr>
        <w:t>a</w:t>
      </w:r>
      <w:r w:rsidRPr="004F2408">
        <w:rPr>
          <w:rFonts w:ascii="Arial" w:hAnsi="Arial" w:cs="Arial"/>
        </w:rPr>
        <w:t>xicabtagen ciloleucel</w:t>
      </w:r>
      <w:r w:rsidRPr="00166602">
        <w:rPr>
          <w:rFonts w:ascii="Arial" w:hAnsi="Arial" w:cs="Arial"/>
        </w:rPr>
        <w:t xml:space="preserve"> pueden presentar aplasia de células B</w:t>
      </w:r>
      <w:r>
        <w:rPr>
          <w:rFonts w:ascii="Arial" w:hAnsi="Arial" w:cs="Arial"/>
        </w:rPr>
        <w:t xml:space="preserve"> </w:t>
      </w:r>
      <w:r w:rsidRPr="00166602">
        <w:rPr>
          <w:rFonts w:ascii="Arial" w:hAnsi="Arial" w:cs="Arial"/>
        </w:rPr>
        <w:t>provocando una hipogammaglobulinemia. Se ha observado de manera muy frecuente</w:t>
      </w:r>
      <w:r>
        <w:rPr>
          <w:rFonts w:ascii="Arial" w:hAnsi="Arial" w:cs="Arial"/>
        </w:rPr>
        <w:t xml:space="preserve"> </w:t>
      </w:r>
      <w:r w:rsidRPr="00166602">
        <w:rPr>
          <w:rFonts w:ascii="Arial" w:hAnsi="Arial" w:cs="Arial"/>
        </w:rPr>
        <w:t xml:space="preserve">hipogammaglobulinemia en pacientes que recibieron tratamiento con </w:t>
      </w:r>
      <w:r>
        <w:rPr>
          <w:rFonts w:ascii="Arial" w:hAnsi="Arial" w:cs="Arial"/>
        </w:rPr>
        <w:t>a</w:t>
      </w:r>
      <w:r w:rsidRPr="004F2408">
        <w:rPr>
          <w:rFonts w:ascii="Arial" w:hAnsi="Arial" w:cs="Arial"/>
        </w:rPr>
        <w:t>xicabtagen ciloleucel</w:t>
      </w:r>
      <w:r w:rsidRPr="00166602">
        <w:rPr>
          <w:rFonts w:ascii="Arial" w:hAnsi="Arial" w:cs="Arial"/>
        </w:rPr>
        <w:t>. Se deben</w:t>
      </w:r>
      <w:r>
        <w:rPr>
          <w:rFonts w:ascii="Arial" w:hAnsi="Arial" w:cs="Arial"/>
        </w:rPr>
        <w:t xml:space="preserve"> </w:t>
      </w:r>
      <w:r w:rsidRPr="00166602">
        <w:rPr>
          <w:rFonts w:ascii="Arial" w:hAnsi="Arial" w:cs="Arial"/>
        </w:rPr>
        <w:t xml:space="preserve">monitorizar los niveles de inmunoglobulinas después del tratamiento con </w:t>
      </w:r>
      <w:r>
        <w:rPr>
          <w:rFonts w:ascii="Arial" w:hAnsi="Arial" w:cs="Arial"/>
        </w:rPr>
        <w:t>a</w:t>
      </w:r>
      <w:r w:rsidRPr="004F2408">
        <w:rPr>
          <w:rFonts w:ascii="Arial" w:hAnsi="Arial" w:cs="Arial"/>
        </w:rPr>
        <w:t>xicabtagen ciloleucel</w:t>
      </w:r>
      <w:r w:rsidRPr="00166602">
        <w:rPr>
          <w:rFonts w:ascii="Arial" w:hAnsi="Arial" w:cs="Arial"/>
        </w:rPr>
        <w:t xml:space="preserve"> y se</w:t>
      </w:r>
      <w:r>
        <w:rPr>
          <w:rFonts w:ascii="Arial" w:hAnsi="Arial" w:cs="Arial"/>
        </w:rPr>
        <w:t xml:space="preserve"> </w:t>
      </w:r>
      <w:r w:rsidRPr="00166602">
        <w:rPr>
          <w:rFonts w:ascii="Arial" w:hAnsi="Arial" w:cs="Arial"/>
        </w:rPr>
        <w:t>implementarán medidas preventivas para minimizar el riesgo de infección, profilaxis antibiótica y</w:t>
      </w:r>
      <w:r>
        <w:rPr>
          <w:rFonts w:ascii="Arial" w:hAnsi="Arial" w:cs="Arial"/>
        </w:rPr>
        <w:t xml:space="preserve"> </w:t>
      </w:r>
      <w:r w:rsidRPr="00166602">
        <w:rPr>
          <w:rFonts w:ascii="Arial" w:hAnsi="Arial" w:cs="Arial"/>
        </w:rPr>
        <w:t>tratamiento restitutivo de inmunoglobulinas.</w:t>
      </w:r>
    </w:p>
    <w:p w:rsidR="007D48BC" w:rsidRPr="00166602" w:rsidRDefault="007D48BC" w:rsidP="00166602">
      <w:pPr>
        <w:widowControl w:val="0"/>
        <w:autoSpaceDE w:val="0"/>
        <w:spacing w:after="80"/>
        <w:jc w:val="both"/>
        <w:rPr>
          <w:rFonts w:ascii="Arial" w:hAnsi="Arial" w:cs="Arial"/>
          <w:b/>
          <w:bCs/>
        </w:rPr>
      </w:pPr>
      <w:r w:rsidRPr="00166602">
        <w:rPr>
          <w:rFonts w:ascii="Arial" w:hAnsi="Arial" w:cs="Arial"/>
          <w:b/>
          <w:bCs/>
        </w:rPr>
        <w:t>Reacciones de hipersensibilidad</w:t>
      </w:r>
    </w:p>
    <w:p w:rsidR="007D48BC" w:rsidRPr="00166602" w:rsidRDefault="007D48BC" w:rsidP="00166602">
      <w:pPr>
        <w:widowControl w:val="0"/>
        <w:autoSpaceDE w:val="0"/>
        <w:spacing w:after="80" w:line="360" w:lineRule="auto"/>
        <w:jc w:val="both"/>
        <w:rPr>
          <w:rFonts w:ascii="Arial" w:hAnsi="Arial" w:cs="Arial"/>
        </w:rPr>
      </w:pPr>
      <w:r w:rsidRPr="00166602">
        <w:rPr>
          <w:rFonts w:ascii="Arial" w:hAnsi="Arial" w:cs="Arial"/>
        </w:rPr>
        <w:t xml:space="preserve">Pueden ocurrir reacciones alérgicas con la perfusión de </w:t>
      </w:r>
      <w:r>
        <w:rPr>
          <w:rFonts w:ascii="Arial" w:hAnsi="Arial" w:cs="Arial"/>
        </w:rPr>
        <w:t>a</w:t>
      </w:r>
      <w:r w:rsidRPr="004F2408">
        <w:rPr>
          <w:rFonts w:ascii="Arial" w:hAnsi="Arial" w:cs="Arial"/>
        </w:rPr>
        <w:t>xicabtagen ciloleucel</w:t>
      </w:r>
      <w:r w:rsidRPr="00166602">
        <w:rPr>
          <w:rFonts w:ascii="Arial" w:hAnsi="Arial" w:cs="Arial"/>
        </w:rPr>
        <w:t>. Las reacciones de</w:t>
      </w:r>
      <w:r>
        <w:rPr>
          <w:rFonts w:ascii="Arial" w:hAnsi="Arial" w:cs="Arial"/>
        </w:rPr>
        <w:t xml:space="preserve"> </w:t>
      </w:r>
      <w:r w:rsidRPr="00166602">
        <w:rPr>
          <w:rFonts w:ascii="Arial" w:hAnsi="Arial" w:cs="Arial"/>
        </w:rPr>
        <w:t>hipersensibilidad graves, incluida la anafilaxia, se pueden deber al DMSO o a la gentamicina residual en</w:t>
      </w:r>
      <w:r>
        <w:rPr>
          <w:rFonts w:ascii="Arial" w:hAnsi="Arial" w:cs="Arial"/>
        </w:rPr>
        <w:t xml:space="preserve"> a</w:t>
      </w:r>
      <w:r w:rsidRPr="004F2408">
        <w:rPr>
          <w:rFonts w:ascii="Arial" w:hAnsi="Arial" w:cs="Arial"/>
        </w:rPr>
        <w:t>xicabtagen ciloleucel</w:t>
      </w:r>
      <w:r w:rsidRPr="00166602">
        <w:rPr>
          <w:rFonts w:ascii="Arial" w:hAnsi="Arial" w:cs="Arial"/>
        </w:rPr>
        <w:t>.</w:t>
      </w:r>
    </w:p>
    <w:p w:rsidR="007D48BC" w:rsidRPr="00166602" w:rsidRDefault="007D48BC" w:rsidP="00166602">
      <w:pPr>
        <w:widowControl w:val="0"/>
        <w:autoSpaceDE w:val="0"/>
        <w:spacing w:after="80"/>
        <w:jc w:val="both"/>
        <w:rPr>
          <w:rFonts w:ascii="Arial" w:hAnsi="Arial" w:cs="Arial"/>
          <w:b/>
          <w:bCs/>
        </w:rPr>
      </w:pPr>
      <w:r w:rsidRPr="00166602">
        <w:rPr>
          <w:rFonts w:ascii="Arial" w:hAnsi="Arial" w:cs="Arial"/>
          <w:b/>
          <w:bCs/>
        </w:rPr>
        <w:t>Neoplasias malignas secundarias</w:t>
      </w:r>
    </w:p>
    <w:p w:rsidR="007D48BC" w:rsidRPr="00166602" w:rsidRDefault="007D48BC" w:rsidP="00166602">
      <w:pPr>
        <w:widowControl w:val="0"/>
        <w:autoSpaceDE w:val="0"/>
        <w:spacing w:after="80" w:line="360" w:lineRule="auto"/>
        <w:jc w:val="both"/>
        <w:rPr>
          <w:rFonts w:ascii="Arial" w:hAnsi="Arial" w:cs="Arial"/>
        </w:rPr>
      </w:pPr>
      <w:r w:rsidRPr="00166602">
        <w:rPr>
          <w:rFonts w:ascii="Arial" w:hAnsi="Arial" w:cs="Arial"/>
        </w:rPr>
        <w:t xml:space="preserve">Los pacientes tratados con </w:t>
      </w:r>
      <w:r>
        <w:rPr>
          <w:rFonts w:ascii="Arial" w:hAnsi="Arial" w:cs="Arial"/>
        </w:rPr>
        <w:t>a</w:t>
      </w:r>
      <w:r w:rsidRPr="004F2408">
        <w:rPr>
          <w:rFonts w:ascii="Arial" w:hAnsi="Arial" w:cs="Arial"/>
        </w:rPr>
        <w:t>xicabtagen ciloleucel</w:t>
      </w:r>
      <w:r w:rsidRPr="00166602">
        <w:rPr>
          <w:rFonts w:ascii="Arial" w:hAnsi="Arial" w:cs="Arial"/>
        </w:rPr>
        <w:t xml:space="preserve"> pueden desarrollar neoplasias malignas secundarias. Se deben monitorizar las neoplasias malignas secundarias a lo largo de toda la vida. </w:t>
      </w:r>
    </w:p>
    <w:p w:rsidR="007D48BC" w:rsidRPr="009F714F" w:rsidRDefault="007D48BC" w:rsidP="00166602">
      <w:pPr>
        <w:widowControl w:val="0"/>
        <w:autoSpaceDE w:val="0"/>
        <w:spacing w:after="80"/>
        <w:jc w:val="both"/>
        <w:rPr>
          <w:rFonts w:ascii="Arial" w:hAnsi="Arial" w:cs="Arial"/>
          <w:b/>
          <w:bCs/>
        </w:rPr>
      </w:pPr>
      <w:r w:rsidRPr="009F714F">
        <w:rPr>
          <w:rFonts w:ascii="Arial" w:hAnsi="Arial" w:cs="Arial"/>
          <w:b/>
          <w:bCs/>
        </w:rPr>
        <w:t>Síndrome de lisis tumoral</w:t>
      </w:r>
    </w:p>
    <w:p w:rsidR="007D48BC" w:rsidRDefault="007D48BC" w:rsidP="00166602">
      <w:pPr>
        <w:widowControl w:val="0"/>
        <w:autoSpaceDE w:val="0"/>
        <w:spacing w:after="80" w:line="360" w:lineRule="auto"/>
        <w:jc w:val="both"/>
        <w:rPr>
          <w:rFonts w:ascii="Arial" w:hAnsi="Arial" w:cs="Arial"/>
        </w:rPr>
      </w:pPr>
      <w:r w:rsidRPr="00166602">
        <w:rPr>
          <w:rFonts w:ascii="Arial" w:hAnsi="Arial" w:cs="Arial"/>
        </w:rPr>
        <w:t>Se ha observado de forma ocasional SLT, que puede ser grave. Para minimizar el riesgo de SLT, los</w:t>
      </w:r>
      <w:r>
        <w:rPr>
          <w:rFonts w:ascii="Arial" w:hAnsi="Arial" w:cs="Arial"/>
        </w:rPr>
        <w:t xml:space="preserve"> </w:t>
      </w:r>
      <w:r w:rsidRPr="00166602">
        <w:rPr>
          <w:rFonts w:ascii="Arial" w:hAnsi="Arial" w:cs="Arial"/>
        </w:rPr>
        <w:t>pacientes con ácido úrico elevado o una carga tumoral elevada deben recibir alopurinol o profilaxis</w:t>
      </w:r>
      <w:r>
        <w:rPr>
          <w:rFonts w:ascii="Arial" w:hAnsi="Arial" w:cs="Arial"/>
        </w:rPr>
        <w:t xml:space="preserve"> </w:t>
      </w:r>
      <w:r w:rsidRPr="00166602">
        <w:rPr>
          <w:rFonts w:ascii="Arial" w:hAnsi="Arial" w:cs="Arial"/>
        </w:rPr>
        <w:t xml:space="preserve">alternativa antes de la perfusión de </w:t>
      </w:r>
      <w:r>
        <w:rPr>
          <w:rFonts w:ascii="Arial" w:hAnsi="Arial" w:cs="Arial"/>
        </w:rPr>
        <w:t>a</w:t>
      </w:r>
      <w:r w:rsidRPr="004F2408">
        <w:rPr>
          <w:rFonts w:ascii="Arial" w:hAnsi="Arial" w:cs="Arial"/>
        </w:rPr>
        <w:t>xicabtagen ciloleucel</w:t>
      </w:r>
      <w:r w:rsidRPr="00166602">
        <w:rPr>
          <w:rFonts w:ascii="Arial" w:hAnsi="Arial" w:cs="Arial"/>
        </w:rPr>
        <w:t>. Se deben monitorizar los signos y síntomas de SLT y</w:t>
      </w:r>
      <w:r>
        <w:rPr>
          <w:rFonts w:ascii="Arial" w:hAnsi="Arial" w:cs="Arial"/>
        </w:rPr>
        <w:t xml:space="preserve"> </w:t>
      </w:r>
      <w:r w:rsidRPr="00166602">
        <w:rPr>
          <w:rFonts w:ascii="Arial" w:hAnsi="Arial" w:cs="Arial"/>
        </w:rPr>
        <w:t>tratar los acontecimientos conforme a las guías del centro.</w:t>
      </w:r>
    </w:p>
    <w:p w:rsidR="007D48BC" w:rsidRPr="00166602" w:rsidRDefault="007D48BC" w:rsidP="00166602">
      <w:pPr>
        <w:widowControl w:val="0"/>
        <w:autoSpaceDE w:val="0"/>
        <w:spacing w:after="80" w:line="360" w:lineRule="auto"/>
        <w:jc w:val="both"/>
        <w:rPr>
          <w:rFonts w:ascii="Arial" w:hAnsi="Arial" w:cs="Arial"/>
          <w:b/>
          <w:bCs/>
        </w:rPr>
      </w:pPr>
      <w:r w:rsidRPr="00166602">
        <w:rPr>
          <w:rFonts w:ascii="Arial" w:hAnsi="Arial" w:cs="Arial"/>
          <w:b/>
          <w:bCs/>
        </w:rPr>
        <w:t>Tratamiento previo con terapia anti-CD19</w:t>
      </w:r>
    </w:p>
    <w:p w:rsidR="007D48BC" w:rsidRPr="00166602" w:rsidRDefault="007D48BC" w:rsidP="00166602">
      <w:pPr>
        <w:widowControl w:val="0"/>
        <w:autoSpaceDE w:val="0"/>
        <w:spacing w:after="80" w:line="360" w:lineRule="auto"/>
        <w:jc w:val="both"/>
        <w:rPr>
          <w:rFonts w:ascii="Arial" w:hAnsi="Arial" w:cs="Arial"/>
        </w:rPr>
      </w:pPr>
      <w:r w:rsidRPr="00166602">
        <w:rPr>
          <w:rFonts w:ascii="Arial" w:hAnsi="Arial" w:cs="Arial"/>
        </w:rPr>
        <w:t xml:space="preserve">Se dispone de experiencia limitada con </w:t>
      </w:r>
      <w:r>
        <w:rPr>
          <w:rFonts w:ascii="Arial" w:hAnsi="Arial" w:cs="Arial"/>
        </w:rPr>
        <w:t>a</w:t>
      </w:r>
      <w:r w:rsidRPr="004F2408">
        <w:rPr>
          <w:rFonts w:ascii="Arial" w:hAnsi="Arial" w:cs="Arial"/>
        </w:rPr>
        <w:t>xicabtagen ciloleucel</w:t>
      </w:r>
      <w:r w:rsidRPr="00166602">
        <w:rPr>
          <w:rFonts w:ascii="Arial" w:hAnsi="Arial" w:cs="Arial"/>
        </w:rPr>
        <w:t xml:space="preserve"> en pacientes expuestos previamente a terapia dirigida contra CD19. No se recomienda </w:t>
      </w:r>
      <w:r>
        <w:rPr>
          <w:rFonts w:ascii="Arial" w:hAnsi="Arial" w:cs="Arial"/>
        </w:rPr>
        <w:t>a</w:t>
      </w:r>
      <w:r w:rsidRPr="004F2408">
        <w:rPr>
          <w:rFonts w:ascii="Arial" w:hAnsi="Arial" w:cs="Arial"/>
        </w:rPr>
        <w:t>xicabtagen ciloleucel</w:t>
      </w:r>
      <w:r w:rsidRPr="00166602">
        <w:rPr>
          <w:rFonts w:ascii="Arial" w:hAnsi="Arial" w:cs="Arial"/>
        </w:rPr>
        <w:t xml:space="preserve"> si el paciente ha sufrido una recaída con enfermedad negativa para CD19 después del tratamiento previo con terapia anti-CD19.</w:t>
      </w:r>
    </w:p>
    <w:p w:rsidR="007D48BC" w:rsidRDefault="007D48BC" w:rsidP="00166602">
      <w:pPr>
        <w:widowControl w:val="0"/>
        <w:autoSpaceDE w:val="0"/>
        <w:spacing w:after="80" w:line="360" w:lineRule="auto"/>
        <w:jc w:val="both"/>
        <w:rPr>
          <w:rFonts w:ascii="Arial" w:hAnsi="Arial" w:cs="Arial"/>
          <w:b/>
          <w:bCs/>
        </w:rPr>
      </w:pPr>
      <w:r>
        <w:rPr>
          <w:rFonts w:ascii="Arial" w:hAnsi="Arial" w:cs="Arial"/>
          <w:b/>
          <w:bCs/>
        </w:rPr>
        <w:t>Interacciones:</w:t>
      </w:r>
    </w:p>
    <w:p w:rsidR="007D48BC" w:rsidRPr="00520861" w:rsidRDefault="007D48BC" w:rsidP="00520861">
      <w:pPr>
        <w:spacing w:line="360" w:lineRule="auto"/>
        <w:jc w:val="both"/>
        <w:rPr>
          <w:rFonts w:ascii="Arial" w:hAnsi="Arial" w:cs="Arial"/>
        </w:rPr>
      </w:pPr>
      <w:r w:rsidRPr="004F2408">
        <w:rPr>
          <w:rFonts w:ascii="Arial" w:hAnsi="Arial" w:cs="Arial"/>
        </w:rPr>
        <w:t xml:space="preserve">No se han realizado estudios de interacciones con </w:t>
      </w:r>
      <w:r>
        <w:rPr>
          <w:rFonts w:ascii="Arial" w:hAnsi="Arial" w:cs="Arial"/>
        </w:rPr>
        <w:t>a</w:t>
      </w:r>
      <w:r w:rsidRPr="004F2408">
        <w:rPr>
          <w:rFonts w:ascii="Arial" w:hAnsi="Arial" w:cs="Arial"/>
        </w:rPr>
        <w:t>xicabtagen ciloleucel</w:t>
      </w:r>
      <w:r>
        <w:rPr>
          <w:rFonts w:ascii="Arial" w:hAnsi="Arial" w:cs="Arial"/>
        </w:rPr>
        <w:t xml:space="preserve">. </w:t>
      </w:r>
      <w:r w:rsidRPr="004F2408">
        <w:rPr>
          <w:rFonts w:ascii="Arial" w:hAnsi="Arial" w:cs="Arial"/>
        </w:rPr>
        <w:t>No se ha estudiado la seguridad de la inmunización con vacunas con virus vivos durante o después del</w:t>
      </w:r>
      <w:r>
        <w:rPr>
          <w:rFonts w:ascii="Arial" w:hAnsi="Arial" w:cs="Arial"/>
        </w:rPr>
        <w:t xml:space="preserve"> </w:t>
      </w:r>
      <w:r w:rsidRPr="004F2408">
        <w:rPr>
          <w:rFonts w:ascii="Arial" w:hAnsi="Arial" w:cs="Arial"/>
        </w:rPr>
        <w:t xml:space="preserve">tratamiento pero no se recomienda </w:t>
      </w:r>
      <w:r>
        <w:rPr>
          <w:rFonts w:ascii="Arial" w:hAnsi="Arial" w:cs="Arial"/>
        </w:rPr>
        <w:t>su administración</w:t>
      </w:r>
      <w:r w:rsidRPr="004F2408">
        <w:rPr>
          <w:rFonts w:ascii="Arial" w:hAnsi="Arial" w:cs="Arial"/>
        </w:rPr>
        <w:t xml:space="preserve"> durante</w:t>
      </w:r>
      <w:r>
        <w:rPr>
          <w:rFonts w:ascii="Arial" w:hAnsi="Arial" w:cs="Arial"/>
        </w:rPr>
        <w:t xml:space="preserve"> </w:t>
      </w:r>
      <w:r w:rsidRPr="004F2408">
        <w:rPr>
          <w:rFonts w:ascii="Arial" w:hAnsi="Arial" w:cs="Arial"/>
        </w:rPr>
        <w:t>por lo menos las 6 semanas previas al comienzo de la quimioterapia de linfodepleción, durante el</w:t>
      </w:r>
      <w:r>
        <w:rPr>
          <w:rFonts w:ascii="Arial" w:hAnsi="Arial" w:cs="Arial"/>
        </w:rPr>
        <w:t xml:space="preserve"> </w:t>
      </w:r>
      <w:r w:rsidRPr="004F2408">
        <w:rPr>
          <w:rFonts w:ascii="Arial" w:hAnsi="Arial" w:cs="Arial"/>
        </w:rPr>
        <w:t xml:space="preserve">tratamiento con </w:t>
      </w:r>
      <w:r>
        <w:rPr>
          <w:rFonts w:ascii="Arial" w:hAnsi="Arial" w:cs="Arial"/>
        </w:rPr>
        <w:t>a</w:t>
      </w:r>
      <w:r w:rsidRPr="004F2408">
        <w:rPr>
          <w:rFonts w:ascii="Arial" w:hAnsi="Arial" w:cs="Arial"/>
        </w:rPr>
        <w:t>xicabtagen ciloleucel y hasta la recuperación del sistema inmunológico después del tratamiento</w:t>
      </w:r>
      <w:r>
        <w:rPr>
          <w:rFonts w:ascii="Arial" w:hAnsi="Arial" w:cs="Arial"/>
        </w:rPr>
        <w:t>.</w:t>
      </w:r>
    </w:p>
    <w:p w:rsidR="007D48BC" w:rsidRDefault="007D48BC" w:rsidP="00752F54">
      <w:pPr>
        <w:pStyle w:val="Prrafodelista"/>
        <w:spacing w:before="240" w:after="120" w:line="360" w:lineRule="auto"/>
        <w:ind w:left="0"/>
        <w:jc w:val="both"/>
        <w:rPr>
          <w:rFonts w:ascii="Arial" w:hAnsi="Arial" w:cs="Arial"/>
          <w:b/>
          <w:bCs/>
        </w:rPr>
      </w:pPr>
      <w:r>
        <w:rPr>
          <w:rFonts w:ascii="Arial" w:hAnsi="Arial" w:cs="Arial"/>
          <w:b/>
          <w:bCs/>
        </w:rPr>
        <w:t>Fertilidad, embarazo y lactancia</w:t>
      </w:r>
    </w:p>
    <w:p w:rsidR="007D48BC" w:rsidRDefault="007D48BC" w:rsidP="004F2408">
      <w:pPr>
        <w:pStyle w:val="Prrafodelista"/>
        <w:spacing w:after="120"/>
        <w:ind w:left="0"/>
        <w:jc w:val="both"/>
      </w:pPr>
    </w:p>
    <w:p w:rsidR="007D48BC" w:rsidRDefault="007D48BC" w:rsidP="00520861">
      <w:pPr>
        <w:pStyle w:val="Prrafodelista"/>
        <w:numPr>
          <w:ilvl w:val="0"/>
          <w:numId w:val="11"/>
        </w:numPr>
        <w:spacing w:line="360" w:lineRule="auto"/>
        <w:ind w:left="284" w:hanging="284"/>
        <w:jc w:val="both"/>
      </w:pPr>
      <w:r w:rsidRPr="00520861">
        <w:rPr>
          <w:rFonts w:ascii="Arial" w:hAnsi="Arial" w:cs="Arial"/>
        </w:rPr>
        <w:t>Mujeres en edad fértil:</w:t>
      </w:r>
    </w:p>
    <w:p w:rsidR="007D48BC" w:rsidRPr="00520861" w:rsidRDefault="007D48BC" w:rsidP="00520861">
      <w:pPr>
        <w:spacing w:line="360" w:lineRule="auto"/>
        <w:jc w:val="both"/>
        <w:rPr>
          <w:rFonts w:ascii="Arial" w:hAnsi="Arial" w:cs="Arial"/>
        </w:rPr>
      </w:pPr>
      <w:r w:rsidRPr="00520861">
        <w:rPr>
          <w:rFonts w:ascii="Arial" w:hAnsi="Arial" w:cs="Arial"/>
        </w:rPr>
        <w:t>Es necesario comprobar la presencia o ausencia de embarazo en las mujeres en edad fértil antes de comenzar el tratamiento con</w:t>
      </w:r>
      <w:r>
        <w:rPr>
          <w:rFonts w:ascii="Arial" w:hAnsi="Arial" w:cs="Arial"/>
        </w:rPr>
        <w:t xml:space="preserve"> a</w:t>
      </w:r>
      <w:r w:rsidRPr="004F2408">
        <w:rPr>
          <w:rFonts w:ascii="Arial" w:hAnsi="Arial" w:cs="Arial"/>
        </w:rPr>
        <w:t>xicabtagen ciloleucel</w:t>
      </w:r>
      <w:r w:rsidRPr="00520861">
        <w:rPr>
          <w:rFonts w:ascii="Arial" w:hAnsi="Arial" w:cs="Arial"/>
        </w:rPr>
        <w:t>.</w:t>
      </w:r>
    </w:p>
    <w:p w:rsidR="007D48BC" w:rsidRPr="00520861" w:rsidRDefault="007D48BC" w:rsidP="00520861">
      <w:pPr>
        <w:spacing w:line="360" w:lineRule="auto"/>
        <w:jc w:val="both"/>
        <w:rPr>
          <w:rFonts w:ascii="Arial" w:hAnsi="Arial" w:cs="Arial"/>
        </w:rPr>
      </w:pPr>
      <w:r w:rsidRPr="00520861">
        <w:rPr>
          <w:rFonts w:ascii="Arial" w:hAnsi="Arial" w:cs="Arial"/>
        </w:rPr>
        <w:t>No hay datos suficientes sobre la exposición para poder proporcionar una recomendación respecto a la</w:t>
      </w:r>
      <w:r>
        <w:rPr>
          <w:rFonts w:ascii="Arial" w:hAnsi="Arial" w:cs="Arial"/>
        </w:rPr>
        <w:t xml:space="preserve"> </w:t>
      </w:r>
      <w:r w:rsidRPr="00520861">
        <w:rPr>
          <w:rFonts w:ascii="Arial" w:hAnsi="Arial" w:cs="Arial"/>
        </w:rPr>
        <w:t>duración del uso de métodos anticonceptivos después del tratamiento.</w:t>
      </w:r>
    </w:p>
    <w:p w:rsidR="007D48BC" w:rsidRPr="00520861" w:rsidRDefault="007D48BC" w:rsidP="00520861">
      <w:pPr>
        <w:pStyle w:val="Prrafodelista"/>
        <w:numPr>
          <w:ilvl w:val="0"/>
          <w:numId w:val="11"/>
        </w:numPr>
        <w:spacing w:line="360" w:lineRule="auto"/>
        <w:ind w:left="284" w:hanging="284"/>
        <w:jc w:val="both"/>
        <w:rPr>
          <w:rFonts w:ascii="Arial" w:hAnsi="Arial" w:cs="Arial"/>
        </w:rPr>
      </w:pPr>
      <w:r w:rsidRPr="00520861">
        <w:rPr>
          <w:rFonts w:ascii="Arial" w:hAnsi="Arial" w:cs="Arial"/>
        </w:rPr>
        <w:t>Embarazo</w:t>
      </w:r>
    </w:p>
    <w:p w:rsidR="007D48BC" w:rsidRPr="00520861" w:rsidRDefault="007D48BC" w:rsidP="00520861">
      <w:pPr>
        <w:spacing w:line="360" w:lineRule="auto"/>
        <w:jc w:val="both"/>
        <w:rPr>
          <w:rFonts w:ascii="Arial" w:hAnsi="Arial" w:cs="Arial"/>
        </w:rPr>
      </w:pPr>
      <w:r w:rsidRPr="00520861">
        <w:rPr>
          <w:rFonts w:ascii="Arial" w:hAnsi="Arial" w:cs="Arial"/>
        </w:rPr>
        <w:t xml:space="preserve">No hay datos disponibles del uso de </w:t>
      </w:r>
      <w:r>
        <w:rPr>
          <w:rFonts w:ascii="Arial" w:hAnsi="Arial" w:cs="Arial"/>
        </w:rPr>
        <w:t>a</w:t>
      </w:r>
      <w:r w:rsidRPr="004F2408">
        <w:rPr>
          <w:rFonts w:ascii="Arial" w:hAnsi="Arial" w:cs="Arial"/>
        </w:rPr>
        <w:t>xicabtagen ciloleucel</w:t>
      </w:r>
      <w:r w:rsidRPr="00520861">
        <w:rPr>
          <w:rFonts w:ascii="Arial" w:hAnsi="Arial" w:cs="Arial"/>
        </w:rPr>
        <w:t xml:space="preserve"> en mujeres embarazadas. No se han realizado estudios</w:t>
      </w:r>
      <w:r>
        <w:rPr>
          <w:rFonts w:ascii="Arial" w:hAnsi="Arial" w:cs="Arial"/>
        </w:rPr>
        <w:t xml:space="preserve"> </w:t>
      </w:r>
      <w:r w:rsidRPr="00520861">
        <w:rPr>
          <w:rFonts w:ascii="Arial" w:hAnsi="Arial" w:cs="Arial"/>
        </w:rPr>
        <w:t xml:space="preserve">en animales sobre toxicidad para la reproducción y el desarrollo con </w:t>
      </w:r>
      <w:r>
        <w:rPr>
          <w:rFonts w:ascii="Arial" w:hAnsi="Arial" w:cs="Arial"/>
        </w:rPr>
        <w:t>a</w:t>
      </w:r>
      <w:r w:rsidRPr="004F2408">
        <w:rPr>
          <w:rFonts w:ascii="Arial" w:hAnsi="Arial" w:cs="Arial"/>
        </w:rPr>
        <w:t>xicabtagen ciloleucel</w:t>
      </w:r>
      <w:r w:rsidRPr="00520861">
        <w:rPr>
          <w:rFonts w:ascii="Arial" w:hAnsi="Arial" w:cs="Arial"/>
        </w:rPr>
        <w:t xml:space="preserve"> para evaluar su potencial de causar daños al feto cuando se administra a mujeres embarazadas. Se desconoce si </w:t>
      </w:r>
      <w:r>
        <w:rPr>
          <w:rFonts w:ascii="Arial" w:hAnsi="Arial" w:cs="Arial"/>
        </w:rPr>
        <w:t>el fármaco</w:t>
      </w:r>
      <w:r w:rsidRPr="00520861">
        <w:rPr>
          <w:rFonts w:ascii="Arial" w:hAnsi="Arial" w:cs="Arial"/>
        </w:rPr>
        <w:t xml:space="preserve"> tiene la posibilidad de pasar al feto. Teniendo en cuenta el mecanismo de acción, si las células transducidas atraviesan la barrera placentaria podrían causar toxicidad fetal, incluida linfopenia B. Por lo tanto, no se recomienda la administración de </w:t>
      </w:r>
      <w:r>
        <w:rPr>
          <w:rFonts w:ascii="Arial" w:hAnsi="Arial" w:cs="Arial"/>
        </w:rPr>
        <w:t>a</w:t>
      </w:r>
      <w:r w:rsidRPr="004F2408">
        <w:rPr>
          <w:rFonts w:ascii="Arial" w:hAnsi="Arial" w:cs="Arial"/>
        </w:rPr>
        <w:t>xicabtagen ciloleucel</w:t>
      </w:r>
      <w:r w:rsidRPr="00520861">
        <w:rPr>
          <w:rFonts w:ascii="Arial" w:hAnsi="Arial" w:cs="Arial"/>
        </w:rPr>
        <w:t xml:space="preserve"> a mujeres embarazadas, o en edad fértil que no utilicen anticonceptivos. Se debe informar a las mujeres embarazadas sobre los posibles riesgos para el feto.</w:t>
      </w:r>
    </w:p>
    <w:p w:rsidR="007D48BC" w:rsidRPr="00520861" w:rsidRDefault="007D48BC" w:rsidP="00520861">
      <w:pPr>
        <w:spacing w:line="360" w:lineRule="auto"/>
        <w:jc w:val="both"/>
        <w:rPr>
          <w:rFonts w:ascii="Arial" w:hAnsi="Arial" w:cs="Arial"/>
        </w:rPr>
      </w:pPr>
      <w:r w:rsidRPr="00520861">
        <w:rPr>
          <w:rFonts w:ascii="Arial" w:hAnsi="Arial" w:cs="Arial"/>
        </w:rPr>
        <w:t xml:space="preserve">Se debe considerar la evaluación de los niveles de inmunoglobulinas y células B en recién nacidos de madres tratadas con </w:t>
      </w:r>
      <w:r>
        <w:rPr>
          <w:rFonts w:ascii="Arial" w:hAnsi="Arial" w:cs="Arial"/>
        </w:rPr>
        <w:t>a</w:t>
      </w:r>
      <w:r w:rsidRPr="004F2408">
        <w:rPr>
          <w:rFonts w:ascii="Arial" w:hAnsi="Arial" w:cs="Arial"/>
        </w:rPr>
        <w:t>xicabtagen ciloleucel</w:t>
      </w:r>
      <w:r w:rsidRPr="00520861">
        <w:rPr>
          <w:rFonts w:ascii="Arial" w:hAnsi="Arial" w:cs="Arial"/>
        </w:rPr>
        <w:t>.</w:t>
      </w:r>
    </w:p>
    <w:p w:rsidR="007D48BC" w:rsidRPr="00520861" w:rsidRDefault="007D48BC" w:rsidP="00520861">
      <w:pPr>
        <w:pStyle w:val="Prrafodelista"/>
        <w:numPr>
          <w:ilvl w:val="0"/>
          <w:numId w:val="11"/>
        </w:numPr>
        <w:spacing w:line="360" w:lineRule="auto"/>
        <w:ind w:left="284" w:hanging="284"/>
        <w:jc w:val="both"/>
        <w:rPr>
          <w:rFonts w:ascii="Arial" w:hAnsi="Arial" w:cs="Arial"/>
        </w:rPr>
      </w:pPr>
      <w:r w:rsidRPr="00520861">
        <w:rPr>
          <w:rFonts w:ascii="Arial" w:hAnsi="Arial" w:cs="Arial"/>
        </w:rPr>
        <w:t>Lactancia</w:t>
      </w:r>
    </w:p>
    <w:p w:rsidR="007D48BC" w:rsidRPr="00752F54" w:rsidRDefault="007D48BC" w:rsidP="00752F54">
      <w:pPr>
        <w:spacing w:line="360" w:lineRule="auto"/>
        <w:jc w:val="both"/>
        <w:rPr>
          <w:rFonts w:ascii="Arial" w:hAnsi="Arial" w:cs="Arial"/>
        </w:rPr>
      </w:pPr>
      <w:r w:rsidRPr="00520861">
        <w:rPr>
          <w:rFonts w:ascii="Arial" w:hAnsi="Arial" w:cs="Arial"/>
        </w:rPr>
        <w:t xml:space="preserve">Se desconoce si </w:t>
      </w:r>
      <w:r>
        <w:rPr>
          <w:rFonts w:ascii="Arial" w:hAnsi="Arial" w:cs="Arial"/>
        </w:rPr>
        <w:t>a</w:t>
      </w:r>
      <w:r w:rsidRPr="004F2408">
        <w:rPr>
          <w:rFonts w:ascii="Arial" w:hAnsi="Arial" w:cs="Arial"/>
        </w:rPr>
        <w:t>xicabtagen ciloleucel</w:t>
      </w:r>
      <w:r w:rsidRPr="00520861">
        <w:rPr>
          <w:rFonts w:ascii="Arial" w:hAnsi="Arial" w:cs="Arial"/>
        </w:rPr>
        <w:t xml:space="preserve"> se excreta en la leche materna o si se pasa al lactante. Se debe informar a</w:t>
      </w:r>
      <w:r>
        <w:rPr>
          <w:rFonts w:ascii="Arial" w:hAnsi="Arial" w:cs="Arial"/>
        </w:rPr>
        <w:t xml:space="preserve"> </w:t>
      </w:r>
      <w:r w:rsidRPr="00520861">
        <w:rPr>
          <w:rFonts w:ascii="Arial" w:hAnsi="Arial" w:cs="Arial"/>
        </w:rPr>
        <w:t>las mujeres en periodo de lactancia sobre el riesgo potencial para el lactante.</w:t>
      </w:r>
    </w:p>
    <w:p w:rsidR="007D48BC" w:rsidRPr="00520861" w:rsidRDefault="007D48BC" w:rsidP="00520861">
      <w:pPr>
        <w:pStyle w:val="Prrafodelista"/>
        <w:numPr>
          <w:ilvl w:val="0"/>
          <w:numId w:val="11"/>
        </w:numPr>
        <w:spacing w:line="360" w:lineRule="auto"/>
        <w:ind w:left="284" w:hanging="284"/>
        <w:jc w:val="both"/>
        <w:rPr>
          <w:rFonts w:ascii="Arial" w:hAnsi="Arial" w:cs="Arial"/>
        </w:rPr>
      </w:pPr>
      <w:r w:rsidRPr="00520861">
        <w:rPr>
          <w:rFonts w:ascii="Arial" w:hAnsi="Arial" w:cs="Arial"/>
        </w:rPr>
        <w:t>Fertilidad</w:t>
      </w:r>
    </w:p>
    <w:p w:rsidR="007D48BC" w:rsidRDefault="007D48BC" w:rsidP="00520861">
      <w:pPr>
        <w:spacing w:after="120"/>
        <w:jc w:val="both"/>
      </w:pPr>
    </w:p>
    <w:p w:rsidR="007D48BC" w:rsidRPr="00520861" w:rsidRDefault="007D48BC" w:rsidP="00520861">
      <w:pPr>
        <w:spacing w:line="360" w:lineRule="auto"/>
        <w:jc w:val="both"/>
        <w:rPr>
          <w:rFonts w:ascii="Arial" w:hAnsi="Arial" w:cs="Arial"/>
        </w:rPr>
      </w:pPr>
      <w:r w:rsidRPr="00520861">
        <w:rPr>
          <w:rFonts w:ascii="Arial" w:hAnsi="Arial" w:cs="Arial"/>
        </w:rPr>
        <w:t xml:space="preserve">No se dispone de datos clínicos sobre el efecto de </w:t>
      </w:r>
      <w:r>
        <w:rPr>
          <w:rFonts w:ascii="Arial" w:hAnsi="Arial" w:cs="Arial"/>
        </w:rPr>
        <w:t>a</w:t>
      </w:r>
      <w:r w:rsidRPr="004F2408">
        <w:rPr>
          <w:rFonts w:ascii="Arial" w:hAnsi="Arial" w:cs="Arial"/>
        </w:rPr>
        <w:t>xicabtagen ciloleucel</w:t>
      </w:r>
      <w:r w:rsidRPr="00520861">
        <w:rPr>
          <w:rFonts w:ascii="Arial" w:hAnsi="Arial" w:cs="Arial"/>
        </w:rPr>
        <w:t xml:space="preserve"> en la fertilidad. En estudios realizados</w:t>
      </w:r>
      <w:r>
        <w:rPr>
          <w:rFonts w:ascii="Arial" w:hAnsi="Arial" w:cs="Arial"/>
        </w:rPr>
        <w:t xml:space="preserve"> </w:t>
      </w:r>
      <w:r w:rsidRPr="00520861">
        <w:rPr>
          <w:rFonts w:ascii="Arial" w:hAnsi="Arial" w:cs="Arial"/>
        </w:rPr>
        <w:t>en animales no se ha estudiado el efecto en la fertilidad de machos y hembras.</w:t>
      </w:r>
    </w:p>
    <w:p w:rsidR="007D48BC" w:rsidRDefault="007D48BC" w:rsidP="004F2408">
      <w:pPr>
        <w:spacing w:line="360" w:lineRule="auto"/>
        <w:rPr>
          <w:rFonts w:ascii="Arial" w:hAnsi="Arial" w:cs="Arial"/>
        </w:rPr>
      </w:pPr>
    </w:p>
    <w:p w:rsidR="007D48BC" w:rsidRPr="006F6ABB" w:rsidRDefault="007D48BC" w:rsidP="00BC3E8E">
      <w:pPr>
        <w:rPr>
          <w:rFonts w:ascii="Arial" w:hAnsi="Arial" w:cs="Arial"/>
          <w:b/>
          <w:bCs/>
        </w:rPr>
      </w:pPr>
      <w:r>
        <w:rPr>
          <w:rFonts w:ascii="Arial" w:hAnsi="Arial" w:cs="Arial"/>
          <w:b/>
          <w:bCs/>
        </w:rPr>
        <w:br w:type="page"/>
      </w:r>
    </w:p>
    <w:p w:rsidR="007D48BC" w:rsidRDefault="007D48BC" w:rsidP="00BC3E8E">
      <w:pPr>
        <w:pStyle w:val="Ttulo1"/>
        <w:shd w:val="clear" w:color="auto" w:fill="A6A6A6"/>
        <w:rPr>
          <w:rFonts w:ascii="Arial" w:hAnsi="Arial" w:cs="Arial"/>
          <w:kern w:val="0"/>
          <w:sz w:val="20"/>
          <w:szCs w:val="20"/>
        </w:rPr>
        <w:sectPr w:rsidR="007D48BC" w:rsidSect="00FB3B9C">
          <w:headerReference w:type="default" r:id="rId15"/>
          <w:footerReference w:type="default" r:id="rId16"/>
          <w:pgSz w:w="11906" w:h="16838"/>
          <w:pgMar w:top="1417" w:right="1466" w:bottom="1417" w:left="1701" w:header="708" w:footer="708" w:gutter="0"/>
          <w:cols w:space="708"/>
          <w:rtlGutter/>
          <w:docGrid w:linePitch="360"/>
        </w:sectPr>
      </w:pPr>
      <w:bookmarkStart w:id="80" w:name="_Toc344399656"/>
      <w:bookmarkStart w:id="81" w:name="_Toc348931387"/>
    </w:p>
    <w:tbl>
      <w:tblPr>
        <w:tblW w:w="14110" w:type="dxa"/>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4110"/>
      </w:tblGrid>
      <w:tr w:rsidR="007D48BC" w:rsidRPr="00DA38F3">
        <w:tc>
          <w:tcPr>
            <w:tcW w:w="14110" w:type="dxa"/>
            <w:shd w:val="clear" w:color="auto" w:fill="B3B3B3"/>
          </w:tcPr>
          <w:p w:rsidR="007D48BC" w:rsidRPr="00B746E8" w:rsidRDefault="007D48BC" w:rsidP="00BC3E8E">
            <w:pPr>
              <w:pStyle w:val="Ttulo1"/>
              <w:shd w:val="clear" w:color="auto" w:fill="A6A6A6"/>
              <w:rPr>
                <w:rFonts w:ascii="Arial" w:hAnsi="Arial" w:cs="Arial"/>
                <w:kern w:val="0"/>
                <w:sz w:val="20"/>
                <w:szCs w:val="20"/>
              </w:rPr>
            </w:pPr>
            <w:r w:rsidRPr="00B746E8">
              <w:rPr>
                <w:rFonts w:ascii="Arial" w:hAnsi="Arial" w:cs="Arial"/>
                <w:kern w:val="0"/>
                <w:sz w:val="20"/>
                <w:szCs w:val="20"/>
              </w:rPr>
              <w:t>7. ÁREA ECONÓMICA</w:t>
            </w:r>
            <w:bookmarkEnd w:id="80"/>
            <w:bookmarkEnd w:id="81"/>
            <w:r w:rsidR="00FE59AC">
              <w:rPr>
                <w:rFonts w:ascii="Arial" w:hAnsi="Arial" w:cs="Arial"/>
                <w:kern w:val="0"/>
                <w:sz w:val="20"/>
                <w:szCs w:val="20"/>
              </w:rPr>
              <w:fldChar w:fldCharType="begin"/>
            </w:r>
            <w:r>
              <w:instrText>xe "</w:instrText>
            </w:r>
            <w:r w:rsidRPr="005951D4">
              <w:rPr>
                <w:rFonts w:ascii="Arial" w:hAnsi="Arial" w:cs="Arial"/>
                <w:kern w:val="0"/>
                <w:sz w:val="20"/>
                <w:szCs w:val="20"/>
              </w:rPr>
              <w:instrText>7. ÁREA ECONÓMICA</w:instrText>
            </w:r>
            <w:r>
              <w:instrText>"</w:instrText>
            </w:r>
            <w:r w:rsidR="00FE59AC">
              <w:rPr>
                <w:rFonts w:ascii="Arial" w:hAnsi="Arial" w:cs="Arial"/>
                <w:kern w:val="0"/>
                <w:sz w:val="20"/>
                <w:szCs w:val="20"/>
              </w:rPr>
              <w:fldChar w:fldCharType="end"/>
            </w:r>
          </w:p>
        </w:tc>
      </w:tr>
    </w:tbl>
    <w:p w:rsidR="007D48BC" w:rsidRDefault="007D48BC" w:rsidP="00BC3E8E">
      <w:pPr>
        <w:jc w:val="both"/>
        <w:rPr>
          <w:rFonts w:ascii="Arial" w:hAnsi="Arial" w:cs="Arial"/>
          <w:b/>
          <w:bCs/>
          <w:shd w:val="clear" w:color="auto" w:fill="C0C0C0"/>
        </w:rPr>
      </w:pPr>
    </w:p>
    <w:p w:rsidR="007D48BC" w:rsidRPr="00B90196" w:rsidRDefault="007D48BC" w:rsidP="00CA2DC5">
      <w:pPr>
        <w:pStyle w:val="Ttulo2"/>
        <w:pBdr>
          <w:top w:val="single" w:sz="4" w:space="1" w:color="auto"/>
          <w:left w:val="single" w:sz="4" w:space="4" w:color="auto"/>
          <w:bottom w:val="single" w:sz="4" w:space="1" w:color="auto"/>
          <w:right w:val="single" w:sz="4" w:space="3" w:color="auto"/>
        </w:pBdr>
        <w:shd w:val="clear" w:color="auto" w:fill="D9D9D9"/>
        <w:rPr>
          <w:sz w:val="20"/>
          <w:szCs w:val="20"/>
        </w:rPr>
      </w:pPr>
      <w:bookmarkStart w:id="82" w:name="_Toc344399657"/>
      <w:bookmarkStart w:id="83" w:name="_Toc348931388"/>
      <w:r w:rsidRPr="00E3472F">
        <w:t>7.1 Coste</w:t>
      </w:r>
      <w:r>
        <w:t>s</w:t>
      </w:r>
      <w:r w:rsidRPr="00E3472F">
        <w:t>.</w:t>
      </w:r>
      <w:r w:rsidRPr="006F6ABB">
        <w:t xml:space="preserve"> </w:t>
      </w:r>
      <w:r w:rsidRPr="00E3472F">
        <w:t>Coste incremental</w:t>
      </w:r>
      <w:bookmarkEnd w:id="82"/>
      <w:bookmarkEnd w:id="83"/>
      <w:r w:rsidR="00FE59AC">
        <w:fldChar w:fldCharType="begin"/>
      </w:r>
      <w:r>
        <w:instrText>xe "</w:instrText>
      </w:r>
      <w:r w:rsidRPr="005F21C0">
        <w:instrText>7.1 Costes. Coste incremental</w:instrText>
      </w:r>
      <w:r>
        <w:instrText>"</w:instrText>
      </w:r>
      <w:r w:rsidR="00FE59AC">
        <w:fldChar w:fldCharType="end"/>
      </w:r>
    </w:p>
    <w:tbl>
      <w:tblPr>
        <w:tblpPr w:leftFromText="141" w:rightFromText="141" w:vertAnchor="text" w:horzAnchor="margin" w:tblpXSpec="center" w:tblpY="230"/>
        <w:tblW w:w="13280" w:type="dxa"/>
        <w:tblLayout w:type="fixed"/>
        <w:tblCellMar>
          <w:left w:w="70" w:type="dxa"/>
          <w:right w:w="70" w:type="dxa"/>
        </w:tblCellMar>
        <w:tblLook w:val="00A0"/>
      </w:tblPr>
      <w:tblGrid>
        <w:gridCol w:w="2590"/>
        <w:gridCol w:w="2630"/>
        <w:gridCol w:w="2160"/>
        <w:gridCol w:w="1870"/>
        <w:gridCol w:w="2990"/>
        <w:gridCol w:w="160"/>
        <w:gridCol w:w="880"/>
      </w:tblGrid>
      <w:tr w:rsidR="007D48BC" w:rsidRPr="001F344E">
        <w:trPr>
          <w:gridAfter w:val="2"/>
          <w:wAfter w:w="1040" w:type="dxa"/>
          <w:trHeight w:val="264"/>
        </w:trPr>
        <w:tc>
          <w:tcPr>
            <w:tcW w:w="12240" w:type="dxa"/>
            <w:gridSpan w:val="5"/>
            <w:tcBorders>
              <w:top w:val="single" w:sz="8" w:space="0" w:color="auto"/>
              <w:left w:val="single" w:sz="8" w:space="0" w:color="auto"/>
              <w:bottom w:val="nil"/>
              <w:right w:val="single" w:sz="8" w:space="0" w:color="000000"/>
            </w:tcBorders>
            <w:shd w:val="clear" w:color="000000" w:fill="B6DDE8"/>
            <w:vAlign w:val="center"/>
          </w:tcPr>
          <w:p w:rsidR="007D48BC" w:rsidRPr="001F344E" w:rsidRDefault="007D48BC" w:rsidP="00430EAB">
            <w:pPr>
              <w:jc w:val="center"/>
              <w:rPr>
                <w:rFonts w:ascii="Arial" w:hAnsi="Arial" w:cs="Arial"/>
              </w:rPr>
            </w:pPr>
            <w:r w:rsidRPr="001F344E">
              <w:rPr>
                <w:rFonts w:ascii="Arial" w:hAnsi="Arial" w:cs="Arial"/>
              </w:rPr>
              <w:t xml:space="preserve">Tabla </w:t>
            </w:r>
            <w:r>
              <w:rPr>
                <w:rFonts w:ascii="Arial" w:hAnsi="Arial" w:cs="Arial"/>
              </w:rPr>
              <w:t>15.</w:t>
            </w:r>
            <w:r w:rsidRPr="001F344E">
              <w:rPr>
                <w:rFonts w:ascii="Arial" w:hAnsi="Arial" w:cs="Arial"/>
              </w:rPr>
              <w:t xml:space="preserve"> Costes de la terapia con el medicamento y de las diferentes alternativas</w:t>
            </w:r>
          </w:p>
        </w:tc>
      </w:tr>
      <w:tr w:rsidR="007D48BC" w:rsidRPr="001F344E">
        <w:trPr>
          <w:gridAfter w:val="2"/>
          <w:wAfter w:w="1040" w:type="dxa"/>
          <w:trHeight w:val="255"/>
        </w:trPr>
        <w:tc>
          <w:tcPr>
            <w:tcW w:w="2590" w:type="dxa"/>
            <w:vMerge w:val="restart"/>
            <w:tcBorders>
              <w:top w:val="single" w:sz="4" w:space="0" w:color="auto"/>
              <w:left w:val="nil"/>
              <w:bottom w:val="single" w:sz="4" w:space="0" w:color="000000"/>
              <w:right w:val="single" w:sz="4" w:space="0" w:color="auto"/>
            </w:tcBorders>
            <w:shd w:val="clear" w:color="000000" w:fill="4F81BD"/>
            <w:vAlign w:val="center"/>
          </w:tcPr>
          <w:p w:rsidR="007D48BC" w:rsidRPr="001F344E" w:rsidRDefault="007D48BC" w:rsidP="00430EAB">
            <w:pPr>
              <w:jc w:val="center"/>
              <w:rPr>
                <w:rFonts w:ascii="Arial" w:hAnsi="Arial" w:cs="Arial"/>
                <w:color w:val="FFFFFF"/>
                <w:sz w:val="18"/>
                <w:szCs w:val="18"/>
              </w:rPr>
            </w:pPr>
          </w:p>
        </w:tc>
        <w:tc>
          <w:tcPr>
            <w:tcW w:w="2630" w:type="dxa"/>
            <w:tcBorders>
              <w:top w:val="single" w:sz="4" w:space="0" w:color="auto"/>
              <w:left w:val="single" w:sz="4" w:space="0" w:color="auto"/>
              <w:bottom w:val="single" w:sz="4" w:space="0" w:color="auto"/>
              <w:right w:val="single" w:sz="4" w:space="0" w:color="auto"/>
            </w:tcBorders>
            <w:shd w:val="clear" w:color="000000" w:fill="4F81BD"/>
            <w:vAlign w:val="center"/>
          </w:tcPr>
          <w:p w:rsidR="007D48BC" w:rsidRPr="001F344E" w:rsidRDefault="007D48BC" w:rsidP="00430EAB">
            <w:pPr>
              <w:jc w:val="center"/>
              <w:rPr>
                <w:rFonts w:ascii="Arial" w:hAnsi="Arial" w:cs="Arial"/>
                <w:color w:val="FFFFFF"/>
                <w:sz w:val="18"/>
                <w:szCs w:val="18"/>
              </w:rPr>
            </w:pPr>
            <w:r w:rsidRPr="00D318B1">
              <w:rPr>
                <w:rFonts w:ascii="Arial" w:hAnsi="Arial" w:cs="Arial"/>
                <w:b/>
                <w:bCs/>
                <w:sz w:val="16"/>
                <w:szCs w:val="16"/>
              </w:rPr>
              <w:t>Axicabtagen ciloleucel</w:t>
            </w:r>
          </w:p>
        </w:tc>
        <w:tc>
          <w:tcPr>
            <w:tcW w:w="2160" w:type="dxa"/>
            <w:tcBorders>
              <w:top w:val="single" w:sz="4" w:space="0" w:color="auto"/>
              <w:left w:val="single" w:sz="4" w:space="0" w:color="auto"/>
              <w:bottom w:val="single" w:sz="4" w:space="0" w:color="auto"/>
              <w:right w:val="single" w:sz="4" w:space="0" w:color="auto"/>
            </w:tcBorders>
            <w:shd w:val="clear" w:color="000000" w:fill="4F81BD"/>
            <w:vAlign w:val="center"/>
          </w:tcPr>
          <w:p w:rsidR="007D48BC" w:rsidRPr="001E407A" w:rsidRDefault="007D48BC" w:rsidP="00430EAB">
            <w:pPr>
              <w:jc w:val="center"/>
              <w:rPr>
                <w:rFonts w:ascii="Arial" w:hAnsi="Arial" w:cs="Arial"/>
                <w:b/>
                <w:bCs/>
                <w:sz w:val="18"/>
                <w:szCs w:val="18"/>
              </w:rPr>
            </w:pPr>
            <w:r w:rsidRPr="001E407A">
              <w:rPr>
                <w:rFonts w:ascii="Arial" w:hAnsi="Arial" w:cs="Arial"/>
                <w:b/>
                <w:bCs/>
                <w:sz w:val="18"/>
                <w:szCs w:val="18"/>
              </w:rPr>
              <w:t>Tisagenlecleucel</w:t>
            </w:r>
          </w:p>
        </w:tc>
        <w:tc>
          <w:tcPr>
            <w:tcW w:w="1870" w:type="dxa"/>
            <w:tcBorders>
              <w:top w:val="single" w:sz="4" w:space="0" w:color="auto"/>
              <w:left w:val="single" w:sz="4" w:space="0" w:color="auto"/>
              <w:bottom w:val="single" w:sz="4" w:space="0" w:color="auto"/>
              <w:right w:val="single" w:sz="4" w:space="0" w:color="auto"/>
            </w:tcBorders>
            <w:shd w:val="clear" w:color="000000" w:fill="4F81BD"/>
            <w:vAlign w:val="center"/>
          </w:tcPr>
          <w:p w:rsidR="007D48BC" w:rsidRPr="001E407A" w:rsidRDefault="007D48BC" w:rsidP="00430EAB">
            <w:pPr>
              <w:jc w:val="center"/>
              <w:rPr>
                <w:rFonts w:ascii="Arial" w:hAnsi="Arial" w:cs="Arial"/>
                <w:b/>
                <w:bCs/>
                <w:sz w:val="18"/>
                <w:szCs w:val="18"/>
              </w:rPr>
            </w:pPr>
            <w:r w:rsidRPr="001E407A">
              <w:rPr>
                <w:rFonts w:ascii="Arial" w:hAnsi="Arial" w:cs="Arial"/>
                <w:b/>
                <w:bCs/>
                <w:sz w:val="18"/>
                <w:szCs w:val="18"/>
              </w:rPr>
              <w:t>Pixantrona</w:t>
            </w:r>
          </w:p>
        </w:tc>
        <w:tc>
          <w:tcPr>
            <w:tcW w:w="2990" w:type="dxa"/>
            <w:tcBorders>
              <w:top w:val="single" w:sz="4" w:space="0" w:color="auto"/>
              <w:left w:val="single" w:sz="4" w:space="0" w:color="auto"/>
              <w:bottom w:val="single" w:sz="4" w:space="0" w:color="auto"/>
              <w:right w:val="single" w:sz="4" w:space="0" w:color="auto"/>
            </w:tcBorders>
            <w:shd w:val="clear" w:color="000000" w:fill="4F81BD"/>
            <w:vAlign w:val="center"/>
          </w:tcPr>
          <w:p w:rsidR="007D48BC" w:rsidRPr="001F344E" w:rsidRDefault="007D48BC" w:rsidP="00430EAB">
            <w:pPr>
              <w:jc w:val="center"/>
              <w:rPr>
                <w:rFonts w:ascii="Arial" w:hAnsi="Arial" w:cs="Arial"/>
                <w:color w:val="FFFFFF"/>
                <w:sz w:val="18"/>
                <w:szCs w:val="18"/>
              </w:rPr>
            </w:pPr>
            <w:r w:rsidRPr="00F0616F">
              <w:rPr>
                <w:rFonts w:ascii="Arial" w:hAnsi="Arial" w:cs="Arial"/>
                <w:b/>
                <w:bCs/>
                <w:sz w:val="16"/>
                <w:szCs w:val="16"/>
              </w:rPr>
              <w:t>R-GEMOX</w:t>
            </w:r>
          </w:p>
        </w:tc>
      </w:tr>
      <w:tr w:rsidR="007D48BC" w:rsidRPr="001F344E">
        <w:trPr>
          <w:gridAfter w:val="1"/>
          <w:wAfter w:w="880" w:type="dxa"/>
          <w:trHeight w:val="771"/>
        </w:trPr>
        <w:tc>
          <w:tcPr>
            <w:tcW w:w="2590" w:type="dxa"/>
            <w:vMerge/>
            <w:tcBorders>
              <w:top w:val="single" w:sz="4" w:space="0" w:color="auto"/>
              <w:left w:val="nil"/>
              <w:bottom w:val="single" w:sz="4" w:space="0" w:color="000000"/>
              <w:right w:val="single" w:sz="4" w:space="0" w:color="auto"/>
            </w:tcBorders>
            <w:vAlign w:val="center"/>
          </w:tcPr>
          <w:p w:rsidR="007D48BC" w:rsidRPr="001F344E" w:rsidRDefault="007D48BC" w:rsidP="00430EAB">
            <w:pPr>
              <w:jc w:val="center"/>
              <w:rPr>
                <w:rFonts w:ascii="Arial" w:hAnsi="Arial" w:cs="Arial"/>
                <w:color w:val="FFFFFF"/>
                <w:sz w:val="18"/>
                <w:szCs w:val="18"/>
              </w:rPr>
            </w:pPr>
          </w:p>
        </w:tc>
        <w:tc>
          <w:tcPr>
            <w:tcW w:w="2630" w:type="dxa"/>
            <w:tcBorders>
              <w:top w:val="single" w:sz="4" w:space="0" w:color="auto"/>
              <w:left w:val="single" w:sz="4" w:space="0" w:color="auto"/>
              <w:bottom w:val="single" w:sz="4" w:space="0" w:color="auto"/>
              <w:right w:val="single" w:sz="4" w:space="0" w:color="auto"/>
            </w:tcBorders>
            <w:shd w:val="clear" w:color="000000" w:fill="4F81BD"/>
            <w:vAlign w:val="center"/>
          </w:tcPr>
          <w:p w:rsidR="007D48BC" w:rsidRPr="00030CC6" w:rsidRDefault="007D48BC" w:rsidP="00430EAB">
            <w:pPr>
              <w:jc w:val="center"/>
              <w:rPr>
                <w:rFonts w:ascii="Arial" w:hAnsi="Arial" w:cs="Arial"/>
                <w:color w:val="FFFFFF"/>
                <w:sz w:val="18"/>
                <w:szCs w:val="18"/>
              </w:rPr>
            </w:pPr>
            <w:r w:rsidRPr="00030CC6">
              <w:rPr>
                <w:rFonts w:ascii="Arial" w:hAnsi="Arial" w:cs="Arial"/>
                <w:sz w:val="18"/>
                <w:szCs w:val="18"/>
              </w:rPr>
              <w:t>Yescarta®  2 x 10</w:t>
            </w:r>
            <w:r w:rsidRPr="00030CC6">
              <w:rPr>
                <w:rFonts w:ascii="Arial" w:hAnsi="Arial" w:cs="Arial"/>
                <w:sz w:val="18"/>
                <w:szCs w:val="18"/>
                <w:vertAlign w:val="superscript"/>
              </w:rPr>
              <w:t xml:space="preserve">8 </w:t>
            </w:r>
            <w:r w:rsidRPr="00030CC6">
              <w:rPr>
                <w:rFonts w:ascii="Arial" w:hAnsi="Arial" w:cs="Arial"/>
                <w:sz w:val="18"/>
                <w:szCs w:val="18"/>
              </w:rPr>
              <w:t>Dispersión de células para infusión</w:t>
            </w:r>
          </w:p>
        </w:tc>
        <w:tc>
          <w:tcPr>
            <w:tcW w:w="2160" w:type="dxa"/>
            <w:tcBorders>
              <w:top w:val="single" w:sz="4" w:space="0" w:color="auto"/>
              <w:left w:val="single" w:sz="4" w:space="0" w:color="auto"/>
              <w:bottom w:val="single" w:sz="4" w:space="0" w:color="auto"/>
              <w:right w:val="single" w:sz="4" w:space="0" w:color="auto"/>
            </w:tcBorders>
            <w:shd w:val="clear" w:color="000000" w:fill="4F81BD"/>
            <w:vAlign w:val="center"/>
          </w:tcPr>
          <w:p w:rsidR="007D48BC" w:rsidRPr="001E407A" w:rsidRDefault="007D48BC" w:rsidP="00430EAB">
            <w:pPr>
              <w:jc w:val="center"/>
              <w:rPr>
                <w:rFonts w:ascii="Arial" w:hAnsi="Arial" w:cs="Arial"/>
                <w:sz w:val="18"/>
                <w:szCs w:val="18"/>
              </w:rPr>
            </w:pPr>
            <w:r w:rsidRPr="001E407A">
              <w:rPr>
                <w:rFonts w:ascii="Arial" w:hAnsi="Arial" w:cs="Arial"/>
                <w:sz w:val="18"/>
                <w:szCs w:val="18"/>
              </w:rPr>
              <w:t>Kymriah® 1,2 x 10</w:t>
            </w:r>
            <w:r w:rsidRPr="001E407A">
              <w:rPr>
                <w:rFonts w:ascii="Arial" w:hAnsi="Arial" w:cs="Arial"/>
                <w:sz w:val="18"/>
                <w:szCs w:val="18"/>
                <w:vertAlign w:val="superscript"/>
              </w:rPr>
              <w:t>6</w:t>
            </w:r>
            <w:r w:rsidRPr="001E407A">
              <w:rPr>
                <w:rFonts w:ascii="Arial" w:hAnsi="Arial" w:cs="Arial"/>
                <w:sz w:val="18"/>
                <w:szCs w:val="18"/>
              </w:rPr>
              <w:t xml:space="preserve"> - 6 x 10</w:t>
            </w:r>
            <w:r w:rsidRPr="001E407A">
              <w:rPr>
                <w:rFonts w:ascii="Arial" w:hAnsi="Arial" w:cs="Arial"/>
                <w:sz w:val="18"/>
                <w:szCs w:val="18"/>
                <w:vertAlign w:val="superscript"/>
              </w:rPr>
              <w:t>8</w:t>
            </w:r>
            <w:r w:rsidRPr="001E407A">
              <w:rPr>
                <w:rFonts w:ascii="Arial" w:hAnsi="Arial" w:cs="Arial"/>
                <w:sz w:val="18"/>
                <w:szCs w:val="18"/>
              </w:rPr>
              <w:t xml:space="preserve"> Dispersión de células para infusión</w:t>
            </w:r>
          </w:p>
        </w:tc>
        <w:tc>
          <w:tcPr>
            <w:tcW w:w="1870" w:type="dxa"/>
            <w:tcBorders>
              <w:top w:val="single" w:sz="4" w:space="0" w:color="auto"/>
              <w:left w:val="single" w:sz="4" w:space="0" w:color="auto"/>
              <w:bottom w:val="single" w:sz="4" w:space="0" w:color="auto"/>
              <w:right w:val="single" w:sz="4" w:space="0" w:color="auto"/>
            </w:tcBorders>
            <w:shd w:val="clear" w:color="000000" w:fill="4F81BD"/>
            <w:vAlign w:val="center"/>
          </w:tcPr>
          <w:p w:rsidR="007D48BC" w:rsidRPr="00030CC6" w:rsidRDefault="007D48BC" w:rsidP="00430EAB">
            <w:pPr>
              <w:jc w:val="center"/>
              <w:rPr>
                <w:rFonts w:ascii="Arial" w:hAnsi="Arial" w:cs="Arial"/>
                <w:color w:val="FFFFFF"/>
                <w:sz w:val="18"/>
                <w:szCs w:val="18"/>
              </w:rPr>
            </w:pPr>
            <w:r w:rsidRPr="00030CC6">
              <w:rPr>
                <w:rFonts w:ascii="Arial" w:hAnsi="Arial" w:cs="Arial"/>
                <w:sz w:val="18"/>
                <w:szCs w:val="18"/>
              </w:rPr>
              <w:t>Pixuvri® 29 mg polvo para concentrado para solución para perfusión</w:t>
            </w:r>
          </w:p>
        </w:tc>
        <w:tc>
          <w:tcPr>
            <w:tcW w:w="2990" w:type="dxa"/>
            <w:tcBorders>
              <w:top w:val="single" w:sz="4" w:space="0" w:color="auto"/>
              <w:left w:val="single" w:sz="4" w:space="0" w:color="auto"/>
              <w:bottom w:val="single" w:sz="4" w:space="0" w:color="auto"/>
              <w:right w:val="single" w:sz="4" w:space="0" w:color="auto"/>
            </w:tcBorders>
            <w:shd w:val="clear" w:color="000000" w:fill="4F81BD"/>
            <w:vAlign w:val="center"/>
          </w:tcPr>
          <w:p w:rsidR="007D48BC" w:rsidRPr="00030CC6" w:rsidRDefault="007D48BC" w:rsidP="00430EAB">
            <w:pPr>
              <w:jc w:val="center"/>
              <w:rPr>
                <w:rFonts w:ascii="Calibri" w:hAnsi="Calibri" w:cs="Calibri"/>
                <w:color w:val="000000"/>
                <w:sz w:val="18"/>
                <w:szCs w:val="18"/>
              </w:rPr>
            </w:pPr>
            <w:r w:rsidRPr="00030CC6">
              <w:rPr>
                <w:rFonts w:ascii="Arial" w:hAnsi="Arial" w:cs="Arial"/>
                <w:sz w:val="18"/>
                <w:szCs w:val="18"/>
              </w:rPr>
              <w:t>Rituximab ± (gemcitabina, oxaliplatino)</w:t>
            </w:r>
          </w:p>
        </w:tc>
        <w:tc>
          <w:tcPr>
            <w:tcW w:w="160" w:type="dxa"/>
            <w:tcBorders>
              <w:left w:val="single" w:sz="4" w:space="0" w:color="auto"/>
            </w:tcBorders>
            <w:vAlign w:val="center"/>
          </w:tcPr>
          <w:p w:rsidR="007D48BC" w:rsidRPr="001F344E" w:rsidRDefault="007D48BC" w:rsidP="00430EAB">
            <w:pPr>
              <w:jc w:val="center"/>
              <w:rPr>
                <w:rFonts w:ascii="Calibri" w:hAnsi="Calibri" w:cs="Calibri"/>
                <w:color w:val="000000"/>
                <w:sz w:val="16"/>
                <w:szCs w:val="16"/>
              </w:rPr>
            </w:pPr>
          </w:p>
        </w:tc>
      </w:tr>
      <w:tr w:rsidR="007D48BC" w:rsidRPr="001F344E">
        <w:trPr>
          <w:trHeight w:val="763"/>
        </w:trPr>
        <w:tc>
          <w:tcPr>
            <w:tcW w:w="2590" w:type="dxa"/>
            <w:tcBorders>
              <w:top w:val="nil"/>
              <w:left w:val="single" w:sz="4" w:space="0" w:color="auto"/>
              <w:bottom w:val="single" w:sz="4" w:space="0" w:color="auto"/>
              <w:right w:val="single" w:sz="4" w:space="0" w:color="auto"/>
            </w:tcBorders>
            <w:shd w:val="clear" w:color="000000" w:fill="D9D9D9"/>
            <w:vAlign w:val="center"/>
          </w:tcPr>
          <w:p w:rsidR="007D48BC" w:rsidRPr="001F344E" w:rsidRDefault="007D48BC" w:rsidP="00430EAB">
            <w:pPr>
              <w:jc w:val="center"/>
              <w:rPr>
                <w:rFonts w:ascii="Arial" w:hAnsi="Arial" w:cs="Arial"/>
                <w:sz w:val="16"/>
                <w:szCs w:val="16"/>
              </w:rPr>
            </w:pPr>
            <w:r w:rsidRPr="001F344E">
              <w:rPr>
                <w:rFonts w:ascii="Arial" w:hAnsi="Arial" w:cs="Arial"/>
                <w:sz w:val="16"/>
                <w:szCs w:val="16"/>
              </w:rPr>
              <w:t>Precio unitario (PVL+IVA) *</w:t>
            </w:r>
          </w:p>
        </w:tc>
        <w:tc>
          <w:tcPr>
            <w:tcW w:w="2630" w:type="dxa"/>
            <w:tcBorders>
              <w:top w:val="single" w:sz="4" w:space="0" w:color="auto"/>
              <w:left w:val="nil"/>
              <w:bottom w:val="single" w:sz="4" w:space="0" w:color="auto"/>
              <w:right w:val="single" w:sz="4" w:space="0" w:color="auto"/>
            </w:tcBorders>
            <w:shd w:val="clear" w:color="000000" w:fill="D9D9D9"/>
            <w:vAlign w:val="center"/>
          </w:tcPr>
          <w:p w:rsidR="007D48BC" w:rsidRPr="001F344E" w:rsidRDefault="007D48BC" w:rsidP="00430EAB">
            <w:pPr>
              <w:jc w:val="center"/>
              <w:rPr>
                <w:rFonts w:ascii="Arial" w:hAnsi="Arial" w:cs="Arial"/>
                <w:sz w:val="16"/>
                <w:szCs w:val="16"/>
              </w:rPr>
            </w:pPr>
            <w:r>
              <w:rPr>
                <w:rFonts w:ascii="Arial" w:hAnsi="Arial" w:cs="Arial"/>
                <w:sz w:val="16"/>
                <w:szCs w:val="16"/>
              </w:rPr>
              <w:t xml:space="preserve">418.214 </w:t>
            </w:r>
            <w:r w:rsidRPr="001F344E">
              <w:rPr>
                <w:rFonts w:ascii="Arial" w:hAnsi="Arial" w:cs="Arial"/>
                <w:sz w:val="16"/>
                <w:szCs w:val="16"/>
              </w:rPr>
              <w:t>€</w:t>
            </w:r>
          </w:p>
        </w:tc>
        <w:tc>
          <w:tcPr>
            <w:tcW w:w="2160" w:type="dxa"/>
            <w:tcBorders>
              <w:top w:val="single" w:sz="4" w:space="0" w:color="auto"/>
              <w:left w:val="single" w:sz="4" w:space="0" w:color="auto"/>
              <w:bottom w:val="single" w:sz="4" w:space="0" w:color="auto"/>
              <w:right w:val="single" w:sz="4" w:space="0" w:color="auto"/>
            </w:tcBorders>
            <w:shd w:val="clear" w:color="000000" w:fill="D9D9D9"/>
            <w:vAlign w:val="center"/>
          </w:tcPr>
          <w:p w:rsidR="007D48BC" w:rsidRPr="001F344E" w:rsidRDefault="007D48BC" w:rsidP="00430EAB">
            <w:pPr>
              <w:jc w:val="center"/>
              <w:rPr>
                <w:rFonts w:ascii="Arial" w:hAnsi="Arial" w:cs="Arial"/>
                <w:sz w:val="16"/>
                <w:szCs w:val="16"/>
              </w:rPr>
            </w:pPr>
            <w:r>
              <w:rPr>
                <w:rFonts w:ascii="Arial" w:hAnsi="Arial" w:cs="Arial"/>
                <w:sz w:val="16"/>
                <w:szCs w:val="16"/>
              </w:rPr>
              <w:t>332</w:t>
            </w:r>
            <w:r w:rsidRPr="001F344E">
              <w:rPr>
                <w:rFonts w:ascii="Arial" w:hAnsi="Arial" w:cs="Arial"/>
                <w:sz w:val="16"/>
                <w:szCs w:val="16"/>
              </w:rPr>
              <w:t>.</w:t>
            </w:r>
            <w:r>
              <w:rPr>
                <w:rFonts w:ascii="Arial" w:hAnsi="Arial" w:cs="Arial"/>
                <w:sz w:val="16"/>
                <w:szCs w:val="16"/>
              </w:rPr>
              <w:t>8</w:t>
            </w:r>
            <w:r w:rsidRPr="001F344E">
              <w:rPr>
                <w:rFonts w:ascii="Arial" w:hAnsi="Arial" w:cs="Arial"/>
                <w:sz w:val="16"/>
                <w:szCs w:val="16"/>
              </w:rPr>
              <w:t>00 €</w:t>
            </w:r>
          </w:p>
        </w:tc>
        <w:tc>
          <w:tcPr>
            <w:tcW w:w="1870" w:type="dxa"/>
            <w:tcBorders>
              <w:top w:val="single" w:sz="4" w:space="0" w:color="auto"/>
              <w:left w:val="single" w:sz="4" w:space="0" w:color="auto"/>
              <w:bottom w:val="single" w:sz="4" w:space="0" w:color="auto"/>
              <w:right w:val="single" w:sz="4" w:space="0" w:color="auto"/>
            </w:tcBorders>
            <w:shd w:val="clear" w:color="000000" w:fill="D9D9D9"/>
            <w:vAlign w:val="center"/>
          </w:tcPr>
          <w:p w:rsidR="007D48BC" w:rsidRPr="001F344E" w:rsidRDefault="007D48BC" w:rsidP="00430EAB">
            <w:pPr>
              <w:jc w:val="center"/>
              <w:rPr>
                <w:rFonts w:ascii="Arial" w:hAnsi="Arial" w:cs="Arial"/>
                <w:sz w:val="16"/>
                <w:szCs w:val="16"/>
              </w:rPr>
            </w:pPr>
            <w:r>
              <w:rPr>
                <w:rFonts w:ascii="Arial" w:hAnsi="Arial" w:cs="Arial"/>
                <w:sz w:val="16"/>
                <w:szCs w:val="16"/>
              </w:rPr>
              <w:t xml:space="preserve">679,17 </w:t>
            </w:r>
            <w:r w:rsidRPr="001F344E">
              <w:rPr>
                <w:rFonts w:ascii="Arial" w:hAnsi="Arial" w:cs="Arial"/>
                <w:sz w:val="16"/>
                <w:szCs w:val="16"/>
              </w:rPr>
              <w:t>€</w:t>
            </w:r>
          </w:p>
        </w:tc>
        <w:tc>
          <w:tcPr>
            <w:tcW w:w="2990" w:type="dxa"/>
            <w:tcBorders>
              <w:top w:val="single" w:sz="4" w:space="0" w:color="auto"/>
              <w:left w:val="nil"/>
              <w:bottom w:val="single" w:sz="4" w:space="0" w:color="auto"/>
              <w:right w:val="single" w:sz="4" w:space="0" w:color="auto"/>
            </w:tcBorders>
            <w:shd w:val="clear" w:color="000000" w:fill="D9D9D9"/>
            <w:vAlign w:val="center"/>
          </w:tcPr>
          <w:p w:rsidR="007D48BC" w:rsidRDefault="007D48BC" w:rsidP="00B90196">
            <w:pPr>
              <w:jc w:val="center"/>
              <w:rPr>
                <w:rFonts w:ascii="Arial" w:hAnsi="Arial" w:cs="Arial"/>
                <w:sz w:val="16"/>
                <w:szCs w:val="16"/>
              </w:rPr>
            </w:pPr>
            <w:r>
              <w:rPr>
                <w:rFonts w:ascii="Arial" w:hAnsi="Arial" w:cs="Arial"/>
                <w:sz w:val="16"/>
                <w:szCs w:val="16"/>
              </w:rPr>
              <w:t xml:space="preserve">Rituximab 500 mg : 1027,12 </w:t>
            </w:r>
            <w:r w:rsidRPr="001F344E">
              <w:rPr>
                <w:rFonts w:ascii="Arial" w:hAnsi="Arial" w:cs="Arial"/>
                <w:sz w:val="16"/>
                <w:szCs w:val="16"/>
              </w:rPr>
              <w:t>€</w:t>
            </w:r>
          </w:p>
          <w:p w:rsidR="007D48BC" w:rsidRDefault="007D48BC" w:rsidP="00B90196">
            <w:pPr>
              <w:jc w:val="center"/>
              <w:rPr>
                <w:rFonts w:ascii="Arial" w:hAnsi="Arial" w:cs="Arial"/>
                <w:sz w:val="16"/>
                <w:szCs w:val="16"/>
              </w:rPr>
            </w:pPr>
            <w:r>
              <w:rPr>
                <w:rFonts w:ascii="Arial" w:hAnsi="Arial" w:cs="Arial"/>
                <w:sz w:val="16"/>
                <w:szCs w:val="16"/>
              </w:rPr>
              <w:t xml:space="preserve">Gemcitabina 500 mg: 45,45 </w:t>
            </w:r>
            <w:r w:rsidRPr="001F344E">
              <w:rPr>
                <w:rFonts w:ascii="Arial" w:hAnsi="Arial" w:cs="Arial"/>
                <w:sz w:val="16"/>
                <w:szCs w:val="16"/>
              </w:rPr>
              <w:t>€</w:t>
            </w:r>
          </w:p>
          <w:p w:rsidR="007D48BC" w:rsidRPr="00B90196" w:rsidRDefault="007D48BC" w:rsidP="00B90196">
            <w:pPr>
              <w:jc w:val="center"/>
              <w:rPr>
                <w:rFonts w:ascii="Arial" w:hAnsi="Arial" w:cs="Arial"/>
                <w:sz w:val="16"/>
                <w:szCs w:val="16"/>
              </w:rPr>
            </w:pPr>
            <w:r>
              <w:rPr>
                <w:rFonts w:ascii="Arial" w:hAnsi="Arial" w:cs="Arial"/>
                <w:sz w:val="16"/>
                <w:szCs w:val="16"/>
              </w:rPr>
              <w:t xml:space="preserve">Oxaliplatino 100 mg. 132,25 </w:t>
            </w:r>
            <w:r w:rsidRPr="001F344E">
              <w:rPr>
                <w:rFonts w:ascii="Arial" w:hAnsi="Arial" w:cs="Arial"/>
                <w:sz w:val="16"/>
                <w:szCs w:val="16"/>
              </w:rPr>
              <w:t>€</w:t>
            </w:r>
          </w:p>
        </w:tc>
        <w:tc>
          <w:tcPr>
            <w:tcW w:w="160" w:type="dxa"/>
            <w:vAlign w:val="center"/>
          </w:tcPr>
          <w:p w:rsidR="007D48BC" w:rsidRPr="001F344E" w:rsidRDefault="007D48BC" w:rsidP="00430EAB">
            <w:pPr>
              <w:jc w:val="center"/>
              <w:rPr>
                <w:rFonts w:ascii="Calibri" w:hAnsi="Calibri" w:cs="Calibri"/>
                <w:color w:val="000000"/>
                <w:sz w:val="16"/>
                <w:szCs w:val="16"/>
              </w:rPr>
            </w:pPr>
          </w:p>
        </w:tc>
        <w:tc>
          <w:tcPr>
            <w:tcW w:w="880" w:type="dxa"/>
            <w:vAlign w:val="center"/>
          </w:tcPr>
          <w:p w:rsidR="007D48BC" w:rsidRPr="001F344E" w:rsidRDefault="007D48BC" w:rsidP="00430EAB">
            <w:pPr>
              <w:jc w:val="center"/>
              <w:rPr>
                <w:rFonts w:ascii="Calibri" w:hAnsi="Calibri" w:cs="Calibri"/>
                <w:color w:val="000000"/>
                <w:sz w:val="16"/>
                <w:szCs w:val="16"/>
              </w:rPr>
            </w:pPr>
          </w:p>
        </w:tc>
      </w:tr>
      <w:tr w:rsidR="007D48BC" w:rsidRPr="001F344E">
        <w:trPr>
          <w:trHeight w:val="1310"/>
        </w:trPr>
        <w:tc>
          <w:tcPr>
            <w:tcW w:w="2590" w:type="dxa"/>
            <w:vMerge w:val="restart"/>
            <w:tcBorders>
              <w:top w:val="nil"/>
              <w:left w:val="single" w:sz="4" w:space="0" w:color="auto"/>
              <w:right w:val="single" w:sz="4" w:space="0" w:color="auto"/>
            </w:tcBorders>
            <w:vAlign w:val="center"/>
          </w:tcPr>
          <w:p w:rsidR="007D48BC" w:rsidRPr="001F344E" w:rsidRDefault="007D48BC" w:rsidP="00430EAB">
            <w:pPr>
              <w:jc w:val="center"/>
              <w:rPr>
                <w:rFonts w:ascii="Arial" w:hAnsi="Arial" w:cs="Arial"/>
                <w:sz w:val="16"/>
                <w:szCs w:val="16"/>
              </w:rPr>
            </w:pPr>
            <w:r w:rsidRPr="001F344E">
              <w:rPr>
                <w:rFonts w:ascii="Arial" w:hAnsi="Arial" w:cs="Arial"/>
                <w:sz w:val="16"/>
                <w:szCs w:val="16"/>
              </w:rPr>
              <w:t>Posología</w:t>
            </w:r>
          </w:p>
        </w:tc>
        <w:tc>
          <w:tcPr>
            <w:tcW w:w="2630" w:type="dxa"/>
            <w:vMerge w:val="restart"/>
            <w:tcBorders>
              <w:top w:val="single" w:sz="4" w:space="0" w:color="auto"/>
              <w:left w:val="nil"/>
              <w:right w:val="single" w:sz="4" w:space="0" w:color="auto"/>
            </w:tcBorders>
            <w:vAlign w:val="center"/>
          </w:tcPr>
          <w:p w:rsidR="007D48BC" w:rsidRDefault="007D48BC" w:rsidP="00430EAB">
            <w:pPr>
              <w:jc w:val="center"/>
              <w:rPr>
                <w:rFonts w:ascii="Arial" w:hAnsi="Arial" w:cs="Arial"/>
                <w:sz w:val="16"/>
                <w:szCs w:val="16"/>
              </w:rPr>
            </w:pPr>
            <w:r>
              <w:rPr>
                <w:rFonts w:ascii="Arial" w:hAnsi="Arial" w:cs="Arial"/>
                <w:sz w:val="16"/>
                <w:szCs w:val="16"/>
              </w:rPr>
              <w:t>2</w:t>
            </w:r>
            <w:r w:rsidRPr="001F344E">
              <w:rPr>
                <w:rFonts w:ascii="Arial" w:hAnsi="Arial" w:cs="Arial"/>
                <w:sz w:val="16"/>
                <w:szCs w:val="16"/>
              </w:rPr>
              <w:t xml:space="preserve"> x 10</w:t>
            </w:r>
            <w:r w:rsidRPr="001E407A">
              <w:rPr>
                <w:rFonts w:ascii="Arial" w:hAnsi="Arial" w:cs="Arial"/>
                <w:sz w:val="16"/>
                <w:szCs w:val="16"/>
                <w:vertAlign w:val="superscript"/>
              </w:rPr>
              <w:t xml:space="preserve">6 </w:t>
            </w:r>
            <w:r w:rsidRPr="001F344E">
              <w:rPr>
                <w:rFonts w:ascii="Arial" w:hAnsi="Arial" w:cs="Arial"/>
                <w:sz w:val="16"/>
                <w:szCs w:val="16"/>
              </w:rPr>
              <w:t xml:space="preserve">células CAR </w:t>
            </w:r>
            <w:r w:rsidR="00480033">
              <w:rPr>
                <w:rFonts w:ascii="Arial" w:hAnsi="Arial" w:cs="Arial"/>
                <w:sz w:val="16"/>
                <w:szCs w:val="16"/>
              </w:rPr>
              <w:t xml:space="preserve">T </w:t>
            </w:r>
            <w:r w:rsidRPr="001F344E">
              <w:rPr>
                <w:rFonts w:ascii="Arial" w:hAnsi="Arial" w:cs="Arial"/>
                <w:sz w:val="16"/>
                <w:szCs w:val="16"/>
              </w:rPr>
              <w:t>viables</w:t>
            </w:r>
            <w:r>
              <w:rPr>
                <w:rFonts w:ascii="Arial" w:hAnsi="Arial" w:cs="Arial"/>
                <w:sz w:val="16"/>
                <w:szCs w:val="16"/>
              </w:rPr>
              <w:t xml:space="preserve">/ Kg peso corporal </w:t>
            </w:r>
            <w:r w:rsidRPr="001F344E">
              <w:rPr>
                <w:rFonts w:ascii="Arial" w:hAnsi="Arial" w:cs="Arial"/>
                <w:sz w:val="16"/>
                <w:szCs w:val="16"/>
              </w:rPr>
              <w:t>(independiente del peso)</w:t>
            </w:r>
          </w:p>
          <w:p w:rsidR="007D48BC" w:rsidRPr="001F344E" w:rsidRDefault="007D48BC" w:rsidP="00430EAB">
            <w:pPr>
              <w:jc w:val="center"/>
              <w:rPr>
                <w:rFonts w:ascii="Arial" w:hAnsi="Arial" w:cs="Arial"/>
                <w:sz w:val="16"/>
                <w:szCs w:val="16"/>
              </w:rPr>
            </w:pPr>
          </w:p>
          <w:p w:rsidR="007D48BC" w:rsidRPr="006D19F1" w:rsidRDefault="007D48BC" w:rsidP="00430EAB">
            <w:pPr>
              <w:jc w:val="center"/>
              <w:rPr>
                <w:rFonts w:ascii="Arial" w:hAnsi="Arial" w:cs="Arial"/>
                <w:sz w:val="16"/>
                <w:szCs w:val="16"/>
                <w:u w:val="single"/>
                <w:lang w:val="pt-BR"/>
              </w:rPr>
            </w:pPr>
            <w:r w:rsidRPr="00726AE4">
              <w:rPr>
                <w:rFonts w:ascii="Arial" w:hAnsi="Arial" w:cs="Arial"/>
                <w:sz w:val="16"/>
                <w:szCs w:val="16"/>
                <w:u w:val="single"/>
                <w:lang w:val="pt-BR"/>
              </w:rPr>
              <w:t>QT Linfoablativa previa:</w:t>
            </w:r>
            <w:r w:rsidRPr="00726AE4">
              <w:rPr>
                <w:rFonts w:ascii="Arial" w:hAnsi="Arial" w:cs="Arial"/>
                <w:lang w:val="pt-BR"/>
              </w:rPr>
              <w:t xml:space="preserve"> </w:t>
            </w:r>
            <w:r>
              <w:rPr>
                <w:rFonts w:ascii="Arial" w:hAnsi="Arial" w:cs="Arial"/>
                <w:sz w:val="16"/>
                <w:szCs w:val="16"/>
                <w:lang w:val="pt-BR"/>
              </w:rPr>
              <w:t>Fludarabina 30 mg/m2</w:t>
            </w:r>
            <w:r w:rsidRPr="00726AE4">
              <w:rPr>
                <w:rFonts w:ascii="Arial" w:hAnsi="Arial" w:cs="Arial"/>
                <w:sz w:val="16"/>
                <w:szCs w:val="16"/>
                <w:lang w:val="pt-BR"/>
              </w:rPr>
              <w:t xml:space="preserve"> + Ciclofosfamida 500 mg/m2 D1-</w:t>
            </w:r>
            <w:r>
              <w:rPr>
                <w:rFonts w:ascii="Arial" w:hAnsi="Arial" w:cs="Arial"/>
                <w:sz w:val="16"/>
                <w:szCs w:val="16"/>
                <w:lang w:val="pt-BR"/>
              </w:rPr>
              <w:t>3</w:t>
            </w:r>
          </w:p>
        </w:tc>
        <w:tc>
          <w:tcPr>
            <w:tcW w:w="2160" w:type="dxa"/>
            <w:vMerge w:val="restart"/>
            <w:tcBorders>
              <w:top w:val="nil"/>
              <w:left w:val="single" w:sz="4" w:space="0" w:color="auto"/>
              <w:right w:val="single" w:sz="4" w:space="0" w:color="auto"/>
            </w:tcBorders>
            <w:vAlign w:val="center"/>
          </w:tcPr>
          <w:p w:rsidR="007D48BC" w:rsidRPr="001F344E" w:rsidRDefault="007D48BC" w:rsidP="00430EAB">
            <w:pPr>
              <w:jc w:val="center"/>
              <w:rPr>
                <w:rFonts w:ascii="Arial" w:hAnsi="Arial" w:cs="Arial"/>
                <w:sz w:val="16"/>
                <w:szCs w:val="16"/>
              </w:rPr>
            </w:pPr>
            <w:r w:rsidRPr="001F344E">
              <w:rPr>
                <w:rFonts w:ascii="Arial" w:hAnsi="Arial" w:cs="Arial"/>
                <w:sz w:val="16"/>
                <w:szCs w:val="16"/>
              </w:rPr>
              <w:t>0,</w:t>
            </w:r>
            <w:r>
              <w:rPr>
                <w:rFonts w:ascii="Arial" w:hAnsi="Arial" w:cs="Arial"/>
                <w:sz w:val="16"/>
                <w:szCs w:val="16"/>
              </w:rPr>
              <w:t>6</w:t>
            </w:r>
            <w:r w:rsidRPr="001F344E">
              <w:rPr>
                <w:rFonts w:ascii="Arial" w:hAnsi="Arial" w:cs="Arial"/>
                <w:sz w:val="16"/>
                <w:szCs w:val="16"/>
              </w:rPr>
              <w:t xml:space="preserve"> a</w:t>
            </w:r>
            <w:r>
              <w:rPr>
                <w:rFonts w:ascii="Arial" w:hAnsi="Arial" w:cs="Arial"/>
                <w:sz w:val="16"/>
                <w:szCs w:val="16"/>
              </w:rPr>
              <w:t xml:space="preserve"> 6</w:t>
            </w:r>
            <w:r w:rsidRPr="001F344E">
              <w:rPr>
                <w:rFonts w:ascii="Arial" w:hAnsi="Arial" w:cs="Arial"/>
                <w:sz w:val="16"/>
                <w:szCs w:val="16"/>
              </w:rPr>
              <w:t xml:space="preserve"> x 10</w:t>
            </w:r>
            <w:r w:rsidRPr="001E407A">
              <w:rPr>
                <w:rFonts w:ascii="Arial" w:hAnsi="Arial" w:cs="Arial"/>
                <w:sz w:val="16"/>
                <w:szCs w:val="16"/>
                <w:vertAlign w:val="superscript"/>
              </w:rPr>
              <w:t xml:space="preserve">6 </w:t>
            </w:r>
            <w:r w:rsidRPr="001F344E">
              <w:rPr>
                <w:rFonts w:ascii="Arial" w:hAnsi="Arial" w:cs="Arial"/>
                <w:sz w:val="16"/>
                <w:szCs w:val="16"/>
              </w:rPr>
              <w:t xml:space="preserve">células CAR </w:t>
            </w:r>
            <w:r w:rsidR="00480033">
              <w:rPr>
                <w:rFonts w:ascii="Arial" w:hAnsi="Arial" w:cs="Arial"/>
                <w:sz w:val="16"/>
                <w:szCs w:val="16"/>
              </w:rPr>
              <w:t xml:space="preserve">T </w:t>
            </w:r>
            <w:r w:rsidRPr="001F344E">
              <w:rPr>
                <w:rFonts w:ascii="Arial" w:hAnsi="Arial" w:cs="Arial"/>
                <w:sz w:val="16"/>
                <w:szCs w:val="16"/>
              </w:rPr>
              <w:t>viables</w:t>
            </w:r>
            <w:r>
              <w:rPr>
                <w:rFonts w:ascii="Arial" w:hAnsi="Arial" w:cs="Arial"/>
                <w:sz w:val="16"/>
                <w:szCs w:val="16"/>
              </w:rPr>
              <w:t xml:space="preserve"> </w:t>
            </w:r>
            <w:r w:rsidRPr="001F344E">
              <w:rPr>
                <w:rFonts w:ascii="Arial" w:hAnsi="Arial" w:cs="Arial"/>
                <w:sz w:val="16"/>
                <w:szCs w:val="16"/>
              </w:rPr>
              <w:t>(independiente del peso)</w:t>
            </w:r>
          </w:p>
          <w:p w:rsidR="007D48BC" w:rsidRPr="006D19F1" w:rsidRDefault="007D48BC" w:rsidP="00430EAB">
            <w:pPr>
              <w:jc w:val="center"/>
              <w:rPr>
                <w:rFonts w:ascii="Arial" w:hAnsi="Arial" w:cs="Arial"/>
                <w:sz w:val="16"/>
                <w:szCs w:val="16"/>
                <w:lang w:val="pt-BR"/>
              </w:rPr>
            </w:pPr>
            <w:r w:rsidRPr="00726AE4">
              <w:rPr>
                <w:rFonts w:ascii="Arial" w:hAnsi="Arial" w:cs="Arial"/>
                <w:sz w:val="16"/>
                <w:szCs w:val="16"/>
                <w:u w:val="single"/>
                <w:lang w:val="pt-BR"/>
              </w:rPr>
              <w:t>QT Linfoablativa previa:</w:t>
            </w:r>
            <w:r w:rsidRPr="00726AE4">
              <w:rPr>
                <w:rFonts w:ascii="Arial" w:hAnsi="Arial" w:cs="Arial"/>
                <w:lang w:val="pt-BR"/>
              </w:rPr>
              <w:t xml:space="preserve"> </w:t>
            </w:r>
            <w:r w:rsidRPr="00726AE4">
              <w:rPr>
                <w:rFonts w:ascii="Arial" w:hAnsi="Arial" w:cs="Arial"/>
                <w:sz w:val="16"/>
                <w:szCs w:val="16"/>
                <w:lang w:val="pt-BR"/>
              </w:rPr>
              <w:t>Fludarabina 30 mg/m2 D1-4 + Ciclofosfamida 500 mg/m2 D1-2</w:t>
            </w:r>
          </w:p>
        </w:tc>
        <w:tc>
          <w:tcPr>
            <w:tcW w:w="1870" w:type="dxa"/>
            <w:vMerge w:val="restart"/>
            <w:tcBorders>
              <w:top w:val="nil"/>
              <w:left w:val="single" w:sz="4" w:space="0" w:color="auto"/>
              <w:right w:val="single" w:sz="4" w:space="0" w:color="auto"/>
            </w:tcBorders>
            <w:vAlign w:val="center"/>
          </w:tcPr>
          <w:p w:rsidR="007D48BC" w:rsidRPr="001F344E" w:rsidRDefault="007D48BC" w:rsidP="00430EAB">
            <w:pPr>
              <w:jc w:val="center"/>
              <w:rPr>
                <w:rFonts w:ascii="Arial" w:hAnsi="Arial" w:cs="Arial"/>
                <w:sz w:val="16"/>
                <w:szCs w:val="16"/>
              </w:rPr>
            </w:pPr>
            <w:r w:rsidRPr="00D4690D">
              <w:rPr>
                <w:rFonts w:ascii="Arial" w:hAnsi="Arial" w:cs="Arial"/>
                <w:sz w:val="16"/>
                <w:szCs w:val="16"/>
              </w:rPr>
              <w:t>50 mg/m</w:t>
            </w:r>
            <w:r w:rsidRPr="00D4690D">
              <w:rPr>
                <w:rFonts w:ascii="Arial" w:hAnsi="Arial" w:cs="Arial"/>
                <w:sz w:val="16"/>
                <w:szCs w:val="16"/>
                <w:vertAlign w:val="superscript"/>
              </w:rPr>
              <w:t>2</w:t>
            </w:r>
            <w:r w:rsidRPr="00D4690D">
              <w:rPr>
                <w:rFonts w:ascii="Arial" w:hAnsi="Arial" w:cs="Arial"/>
                <w:sz w:val="16"/>
                <w:szCs w:val="16"/>
              </w:rPr>
              <w:t xml:space="preserve"> de p</w:t>
            </w:r>
            <w:r>
              <w:rPr>
                <w:rFonts w:ascii="Arial" w:hAnsi="Arial" w:cs="Arial"/>
                <w:sz w:val="16"/>
                <w:szCs w:val="16"/>
              </w:rPr>
              <w:t xml:space="preserve">ixantrona los días 1, 8 y 15 </w:t>
            </w:r>
            <w:r w:rsidRPr="00D4690D">
              <w:rPr>
                <w:rFonts w:ascii="Arial" w:hAnsi="Arial" w:cs="Arial"/>
                <w:sz w:val="16"/>
                <w:szCs w:val="16"/>
              </w:rPr>
              <w:t>cada 28 días</w:t>
            </w:r>
          </w:p>
        </w:tc>
        <w:tc>
          <w:tcPr>
            <w:tcW w:w="2990" w:type="dxa"/>
            <w:vMerge w:val="restart"/>
            <w:tcBorders>
              <w:top w:val="nil"/>
              <w:left w:val="nil"/>
              <w:right w:val="single" w:sz="4" w:space="0" w:color="auto"/>
            </w:tcBorders>
            <w:vAlign w:val="center"/>
          </w:tcPr>
          <w:p w:rsidR="007D48BC" w:rsidRDefault="007D48BC" w:rsidP="00430EAB">
            <w:pPr>
              <w:jc w:val="center"/>
              <w:rPr>
                <w:rFonts w:ascii="Arial" w:hAnsi="Arial" w:cs="Arial"/>
                <w:sz w:val="16"/>
                <w:szCs w:val="16"/>
              </w:rPr>
            </w:pPr>
            <w:r w:rsidRPr="008E329E">
              <w:rPr>
                <w:rFonts w:ascii="Arial" w:hAnsi="Arial" w:cs="Arial"/>
                <w:sz w:val="16"/>
                <w:szCs w:val="16"/>
              </w:rPr>
              <w:t>Rituximab 375 mg/m² IV d1,</w:t>
            </w:r>
          </w:p>
          <w:p w:rsidR="007D48BC" w:rsidRPr="008E329E" w:rsidRDefault="007D48BC" w:rsidP="00430EAB">
            <w:pPr>
              <w:jc w:val="center"/>
              <w:rPr>
                <w:rFonts w:ascii="Arial" w:hAnsi="Arial" w:cs="Arial"/>
                <w:sz w:val="16"/>
                <w:szCs w:val="16"/>
              </w:rPr>
            </w:pPr>
            <w:r w:rsidRPr="008E329E">
              <w:rPr>
                <w:rFonts w:ascii="Arial" w:hAnsi="Arial" w:cs="Arial"/>
                <w:sz w:val="16"/>
                <w:szCs w:val="16"/>
              </w:rPr>
              <w:t xml:space="preserve"> Gemcitabina 1000 mg/m</w:t>
            </w:r>
            <w:r w:rsidRPr="00B75C61">
              <w:rPr>
                <w:rFonts w:ascii="Arial" w:hAnsi="Arial" w:cs="Arial"/>
                <w:sz w:val="16"/>
                <w:szCs w:val="16"/>
                <w:vertAlign w:val="superscript"/>
              </w:rPr>
              <w:t>2</w:t>
            </w:r>
          </w:p>
          <w:p w:rsidR="007D48BC" w:rsidRPr="008E329E" w:rsidRDefault="007D48BC" w:rsidP="00430EAB">
            <w:pPr>
              <w:jc w:val="center"/>
              <w:rPr>
                <w:rFonts w:ascii="Arial" w:hAnsi="Arial" w:cs="Arial"/>
                <w:sz w:val="16"/>
                <w:szCs w:val="16"/>
              </w:rPr>
            </w:pPr>
            <w:r w:rsidRPr="008E329E">
              <w:rPr>
                <w:rFonts w:ascii="Arial" w:hAnsi="Arial" w:cs="Arial"/>
                <w:sz w:val="16"/>
                <w:szCs w:val="16"/>
              </w:rPr>
              <w:t>IV d2, Oxaliplatino 100 mg/m</w:t>
            </w:r>
            <w:r w:rsidRPr="00B75C61">
              <w:rPr>
                <w:rFonts w:ascii="Arial" w:hAnsi="Arial" w:cs="Arial"/>
                <w:sz w:val="16"/>
                <w:szCs w:val="16"/>
                <w:vertAlign w:val="superscript"/>
              </w:rPr>
              <w:t>2</w:t>
            </w:r>
            <w:r w:rsidRPr="008E329E">
              <w:rPr>
                <w:rFonts w:ascii="Arial" w:hAnsi="Arial" w:cs="Arial"/>
                <w:sz w:val="16"/>
                <w:szCs w:val="16"/>
              </w:rPr>
              <w:t xml:space="preserve"> IV d2, Dexametasona 20 mg VO d1-3, cada 2</w:t>
            </w:r>
          </w:p>
          <w:p w:rsidR="007D48BC" w:rsidRPr="001F344E" w:rsidRDefault="007D48BC" w:rsidP="00430EAB">
            <w:pPr>
              <w:jc w:val="center"/>
              <w:rPr>
                <w:rFonts w:ascii="Calibri" w:hAnsi="Calibri" w:cs="Calibri"/>
                <w:color w:val="000000"/>
                <w:sz w:val="16"/>
                <w:szCs w:val="16"/>
              </w:rPr>
            </w:pPr>
            <w:r w:rsidRPr="008E329E">
              <w:rPr>
                <w:rFonts w:ascii="Arial" w:hAnsi="Arial" w:cs="Arial"/>
                <w:sz w:val="16"/>
                <w:szCs w:val="16"/>
              </w:rPr>
              <w:t>semanas</w:t>
            </w:r>
          </w:p>
          <w:p w:rsidR="007D48BC" w:rsidRPr="001F344E" w:rsidRDefault="007D48BC" w:rsidP="00430EAB">
            <w:pPr>
              <w:jc w:val="center"/>
              <w:rPr>
                <w:rFonts w:ascii="Calibri" w:hAnsi="Calibri" w:cs="Calibri"/>
                <w:color w:val="000000"/>
                <w:sz w:val="16"/>
                <w:szCs w:val="16"/>
              </w:rPr>
            </w:pPr>
          </w:p>
        </w:tc>
        <w:tc>
          <w:tcPr>
            <w:tcW w:w="160" w:type="dxa"/>
            <w:vAlign w:val="center"/>
          </w:tcPr>
          <w:p w:rsidR="007D48BC" w:rsidRPr="001F344E" w:rsidRDefault="007D48BC" w:rsidP="00430EAB">
            <w:pPr>
              <w:jc w:val="center"/>
              <w:rPr>
                <w:rFonts w:ascii="Calibri" w:hAnsi="Calibri" w:cs="Calibri"/>
                <w:color w:val="000000"/>
                <w:sz w:val="16"/>
                <w:szCs w:val="16"/>
              </w:rPr>
            </w:pPr>
          </w:p>
        </w:tc>
        <w:tc>
          <w:tcPr>
            <w:tcW w:w="880" w:type="dxa"/>
            <w:vAlign w:val="center"/>
          </w:tcPr>
          <w:p w:rsidR="007D48BC" w:rsidRPr="001F344E" w:rsidRDefault="007D48BC" w:rsidP="00430EAB">
            <w:pPr>
              <w:jc w:val="center"/>
              <w:rPr>
                <w:rFonts w:ascii="Calibri" w:hAnsi="Calibri" w:cs="Calibri"/>
                <w:color w:val="000000"/>
                <w:sz w:val="16"/>
                <w:szCs w:val="16"/>
              </w:rPr>
            </w:pPr>
          </w:p>
        </w:tc>
      </w:tr>
      <w:tr w:rsidR="007D48BC" w:rsidRPr="00FD529F">
        <w:trPr>
          <w:trHeight w:val="435"/>
        </w:trPr>
        <w:tc>
          <w:tcPr>
            <w:tcW w:w="2590" w:type="dxa"/>
            <w:vMerge/>
            <w:tcBorders>
              <w:left w:val="single" w:sz="4" w:space="0" w:color="auto"/>
              <w:bottom w:val="single" w:sz="4" w:space="0" w:color="auto"/>
              <w:right w:val="single" w:sz="4" w:space="0" w:color="auto"/>
            </w:tcBorders>
            <w:vAlign w:val="center"/>
          </w:tcPr>
          <w:p w:rsidR="007D48BC" w:rsidRPr="001F344E" w:rsidRDefault="007D48BC" w:rsidP="00430EAB">
            <w:pPr>
              <w:jc w:val="center"/>
              <w:rPr>
                <w:rFonts w:ascii="Arial" w:hAnsi="Arial" w:cs="Arial"/>
                <w:sz w:val="16"/>
                <w:szCs w:val="16"/>
              </w:rPr>
            </w:pPr>
          </w:p>
        </w:tc>
        <w:tc>
          <w:tcPr>
            <w:tcW w:w="2630" w:type="dxa"/>
            <w:vMerge/>
            <w:tcBorders>
              <w:left w:val="nil"/>
              <w:bottom w:val="single" w:sz="4" w:space="0" w:color="auto"/>
              <w:right w:val="single" w:sz="4" w:space="0" w:color="auto"/>
            </w:tcBorders>
            <w:vAlign w:val="center"/>
          </w:tcPr>
          <w:p w:rsidR="007D48BC" w:rsidRPr="00726AE4" w:rsidRDefault="007D48BC" w:rsidP="00430EAB">
            <w:pPr>
              <w:jc w:val="center"/>
              <w:rPr>
                <w:rFonts w:ascii="Arial" w:hAnsi="Arial" w:cs="Arial"/>
                <w:sz w:val="16"/>
                <w:szCs w:val="16"/>
                <w:u w:val="single"/>
                <w:lang w:val="pt-BR"/>
              </w:rPr>
            </w:pPr>
          </w:p>
        </w:tc>
        <w:tc>
          <w:tcPr>
            <w:tcW w:w="2160" w:type="dxa"/>
            <w:vMerge/>
            <w:tcBorders>
              <w:left w:val="single" w:sz="4" w:space="0" w:color="auto"/>
              <w:bottom w:val="single" w:sz="4" w:space="0" w:color="auto"/>
              <w:right w:val="single" w:sz="4" w:space="0" w:color="auto"/>
            </w:tcBorders>
            <w:vAlign w:val="center"/>
          </w:tcPr>
          <w:p w:rsidR="007D48BC" w:rsidRPr="00726AE4" w:rsidRDefault="007D48BC" w:rsidP="00430EAB">
            <w:pPr>
              <w:jc w:val="center"/>
              <w:rPr>
                <w:rFonts w:ascii="Arial" w:hAnsi="Arial" w:cs="Arial"/>
                <w:sz w:val="16"/>
                <w:szCs w:val="16"/>
                <w:lang w:val="pt-BR"/>
              </w:rPr>
            </w:pPr>
          </w:p>
        </w:tc>
        <w:tc>
          <w:tcPr>
            <w:tcW w:w="1870" w:type="dxa"/>
            <w:vMerge/>
            <w:tcBorders>
              <w:left w:val="single" w:sz="4" w:space="0" w:color="auto"/>
              <w:bottom w:val="single" w:sz="4" w:space="0" w:color="auto"/>
              <w:right w:val="single" w:sz="4" w:space="0" w:color="auto"/>
            </w:tcBorders>
            <w:vAlign w:val="center"/>
          </w:tcPr>
          <w:p w:rsidR="007D48BC" w:rsidRPr="00726AE4" w:rsidRDefault="007D48BC" w:rsidP="00430EAB">
            <w:pPr>
              <w:jc w:val="center"/>
              <w:rPr>
                <w:rFonts w:ascii="Arial" w:hAnsi="Arial" w:cs="Arial"/>
                <w:sz w:val="16"/>
                <w:szCs w:val="16"/>
                <w:lang w:val="pt-BR"/>
              </w:rPr>
            </w:pPr>
          </w:p>
        </w:tc>
        <w:tc>
          <w:tcPr>
            <w:tcW w:w="2990" w:type="dxa"/>
            <w:vMerge/>
            <w:tcBorders>
              <w:left w:val="nil"/>
              <w:bottom w:val="single" w:sz="4" w:space="0" w:color="auto"/>
              <w:right w:val="single" w:sz="4" w:space="0" w:color="auto"/>
            </w:tcBorders>
            <w:vAlign w:val="center"/>
          </w:tcPr>
          <w:p w:rsidR="007D48BC" w:rsidRPr="00726AE4" w:rsidRDefault="007D48BC" w:rsidP="00430EAB">
            <w:pPr>
              <w:jc w:val="center"/>
              <w:rPr>
                <w:rFonts w:ascii="Arial" w:hAnsi="Arial" w:cs="Arial"/>
                <w:sz w:val="16"/>
                <w:szCs w:val="16"/>
                <w:lang w:val="pt-BR"/>
              </w:rPr>
            </w:pPr>
          </w:p>
        </w:tc>
        <w:tc>
          <w:tcPr>
            <w:tcW w:w="160" w:type="dxa"/>
            <w:vAlign w:val="center"/>
          </w:tcPr>
          <w:p w:rsidR="007D48BC" w:rsidRPr="00FD529F" w:rsidRDefault="007D48BC" w:rsidP="00430EAB">
            <w:pPr>
              <w:jc w:val="center"/>
            </w:pPr>
          </w:p>
        </w:tc>
        <w:tc>
          <w:tcPr>
            <w:tcW w:w="880" w:type="dxa"/>
            <w:vAlign w:val="center"/>
          </w:tcPr>
          <w:p w:rsidR="007D48BC" w:rsidRPr="00FD529F" w:rsidRDefault="007D48BC" w:rsidP="00430EAB">
            <w:pPr>
              <w:jc w:val="center"/>
            </w:pPr>
          </w:p>
        </w:tc>
      </w:tr>
      <w:tr w:rsidR="007D48BC" w:rsidRPr="001F344E">
        <w:trPr>
          <w:gridAfter w:val="2"/>
          <w:wAfter w:w="1040" w:type="dxa"/>
          <w:trHeight w:val="255"/>
        </w:trPr>
        <w:tc>
          <w:tcPr>
            <w:tcW w:w="2590" w:type="dxa"/>
            <w:tcBorders>
              <w:top w:val="nil"/>
              <w:left w:val="single" w:sz="4" w:space="0" w:color="auto"/>
              <w:bottom w:val="single" w:sz="4" w:space="0" w:color="auto"/>
              <w:right w:val="single" w:sz="4" w:space="0" w:color="auto"/>
            </w:tcBorders>
            <w:vAlign w:val="center"/>
          </w:tcPr>
          <w:p w:rsidR="007D48BC" w:rsidRPr="001F344E" w:rsidRDefault="007D48BC" w:rsidP="00430EAB">
            <w:pPr>
              <w:jc w:val="center"/>
              <w:rPr>
                <w:rFonts w:ascii="Arial" w:hAnsi="Arial" w:cs="Arial"/>
                <w:sz w:val="16"/>
                <w:szCs w:val="16"/>
              </w:rPr>
            </w:pPr>
            <w:r w:rsidRPr="001F344E">
              <w:rPr>
                <w:rFonts w:ascii="Arial" w:hAnsi="Arial" w:cs="Arial"/>
                <w:sz w:val="16"/>
                <w:szCs w:val="16"/>
              </w:rPr>
              <w:t>Coste 1º ciclo</w:t>
            </w:r>
          </w:p>
        </w:tc>
        <w:tc>
          <w:tcPr>
            <w:tcW w:w="2630" w:type="dxa"/>
            <w:tcBorders>
              <w:top w:val="single" w:sz="4" w:space="0" w:color="auto"/>
              <w:left w:val="nil"/>
              <w:bottom w:val="single" w:sz="4" w:space="0" w:color="auto"/>
              <w:right w:val="single" w:sz="4" w:space="0" w:color="auto"/>
            </w:tcBorders>
            <w:vAlign w:val="center"/>
          </w:tcPr>
          <w:p w:rsidR="007D48BC" w:rsidRPr="001F344E" w:rsidRDefault="007D48BC" w:rsidP="00430EAB">
            <w:pPr>
              <w:jc w:val="center"/>
              <w:rPr>
                <w:rFonts w:ascii="Arial" w:hAnsi="Arial" w:cs="Arial"/>
                <w:sz w:val="16"/>
                <w:szCs w:val="16"/>
              </w:rPr>
            </w:pPr>
            <w:r>
              <w:rPr>
                <w:rFonts w:ascii="Arial" w:hAnsi="Arial" w:cs="Arial"/>
                <w:sz w:val="16"/>
                <w:szCs w:val="16"/>
              </w:rPr>
              <w:t xml:space="preserve">418.214 </w:t>
            </w:r>
            <w:r w:rsidRPr="001F344E">
              <w:rPr>
                <w:rFonts w:ascii="Arial" w:hAnsi="Arial" w:cs="Arial"/>
                <w:sz w:val="16"/>
                <w:szCs w:val="16"/>
              </w:rPr>
              <w:t>€</w:t>
            </w:r>
          </w:p>
        </w:tc>
        <w:tc>
          <w:tcPr>
            <w:tcW w:w="2160" w:type="dxa"/>
            <w:tcBorders>
              <w:top w:val="nil"/>
              <w:left w:val="single" w:sz="4" w:space="0" w:color="auto"/>
              <w:bottom w:val="single" w:sz="4" w:space="0" w:color="auto"/>
              <w:right w:val="single" w:sz="4" w:space="0" w:color="auto"/>
            </w:tcBorders>
            <w:vAlign w:val="center"/>
          </w:tcPr>
          <w:p w:rsidR="007D48BC" w:rsidRPr="001F344E" w:rsidRDefault="007D48BC" w:rsidP="00430EAB">
            <w:pPr>
              <w:jc w:val="center"/>
              <w:rPr>
                <w:rFonts w:ascii="Arial" w:hAnsi="Arial" w:cs="Arial"/>
                <w:sz w:val="16"/>
                <w:szCs w:val="16"/>
              </w:rPr>
            </w:pPr>
            <w:r w:rsidRPr="001F344E">
              <w:rPr>
                <w:rFonts w:ascii="Arial" w:hAnsi="Arial" w:cs="Arial"/>
                <w:sz w:val="16"/>
                <w:szCs w:val="16"/>
              </w:rPr>
              <w:t>3</w:t>
            </w:r>
            <w:r>
              <w:rPr>
                <w:rFonts w:ascii="Arial" w:hAnsi="Arial" w:cs="Arial"/>
                <w:sz w:val="16"/>
                <w:szCs w:val="16"/>
              </w:rPr>
              <w:t>32</w:t>
            </w:r>
            <w:r w:rsidRPr="001F344E">
              <w:rPr>
                <w:rFonts w:ascii="Arial" w:hAnsi="Arial" w:cs="Arial"/>
                <w:sz w:val="16"/>
                <w:szCs w:val="16"/>
              </w:rPr>
              <w:t>.</w:t>
            </w:r>
            <w:r>
              <w:rPr>
                <w:rFonts w:ascii="Arial" w:hAnsi="Arial" w:cs="Arial"/>
                <w:sz w:val="16"/>
                <w:szCs w:val="16"/>
              </w:rPr>
              <w:t>800</w:t>
            </w:r>
            <w:r w:rsidRPr="001F344E">
              <w:rPr>
                <w:rFonts w:ascii="Arial" w:hAnsi="Arial" w:cs="Arial"/>
                <w:sz w:val="16"/>
                <w:szCs w:val="16"/>
              </w:rPr>
              <w:t xml:space="preserve"> €</w:t>
            </w:r>
          </w:p>
        </w:tc>
        <w:tc>
          <w:tcPr>
            <w:tcW w:w="1870" w:type="dxa"/>
            <w:tcBorders>
              <w:top w:val="nil"/>
              <w:left w:val="single" w:sz="4" w:space="0" w:color="auto"/>
              <w:bottom w:val="single" w:sz="4" w:space="0" w:color="auto"/>
              <w:right w:val="single" w:sz="4" w:space="0" w:color="auto"/>
            </w:tcBorders>
            <w:vAlign w:val="center"/>
          </w:tcPr>
          <w:p w:rsidR="007D48BC" w:rsidRPr="001F344E" w:rsidRDefault="007D48BC" w:rsidP="00430EAB">
            <w:pPr>
              <w:jc w:val="center"/>
              <w:rPr>
                <w:rFonts w:ascii="Arial" w:hAnsi="Arial" w:cs="Arial"/>
                <w:sz w:val="16"/>
                <w:szCs w:val="16"/>
              </w:rPr>
            </w:pPr>
            <w:r>
              <w:rPr>
                <w:rFonts w:ascii="Arial" w:hAnsi="Arial" w:cs="Arial"/>
                <w:sz w:val="16"/>
                <w:szCs w:val="16"/>
              </w:rPr>
              <w:t xml:space="preserve">6.076 </w:t>
            </w:r>
            <w:r w:rsidRPr="001F344E">
              <w:rPr>
                <w:rFonts w:ascii="Arial" w:hAnsi="Arial" w:cs="Arial"/>
                <w:sz w:val="16"/>
                <w:szCs w:val="16"/>
              </w:rPr>
              <w:t>€</w:t>
            </w:r>
          </w:p>
        </w:tc>
        <w:tc>
          <w:tcPr>
            <w:tcW w:w="2990" w:type="dxa"/>
            <w:tcBorders>
              <w:top w:val="nil"/>
              <w:left w:val="nil"/>
              <w:bottom w:val="single" w:sz="4" w:space="0" w:color="auto"/>
              <w:right w:val="single" w:sz="4" w:space="0" w:color="auto"/>
            </w:tcBorders>
            <w:vAlign w:val="center"/>
          </w:tcPr>
          <w:p w:rsidR="007D48BC" w:rsidRPr="001F344E" w:rsidRDefault="007D48BC" w:rsidP="00430EAB">
            <w:pPr>
              <w:jc w:val="center"/>
              <w:rPr>
                <w:rFonts w:ascii="Arial" w:hAnsi="Arial" w:cs="Arial"/>
                <w:sz w:val="16"/>
                <w:szCs w:val="16"/>
              </w:rPr>
            </w:pPr>
            <w:r>
              <w:rPr>
                <w:rFonts w:ascii="Arial" w:hAnsi="Arial" w:cs="Arial"/>
                <w:sz w:val="16"/>
                <w:szCs w:val="16"/>
              </w:rPr>
              <w:t>1.413</w:t>
            </w:r>
            <w:r w:rsidRPr="001F344E">
              <w:rPr>
                <w:rFonts w:ascii="Arial" w:hAnsi="Arial" w:cs="Arial"/>
                <w:sz w:val="16"/>
                <w:szCs w:val="16"/>
              </w:rPr>
              <w:t xml:space="preserve"> €</w:t>
            </w:r>
          </w:p>
        </w:tc>
      </w:tr>
      <w:tr w:rsidR="007D48BC" w:rsidRPr="001F344E">
        <w:trPr>
          <w:gridAfter w:val="2"/>
          <w:wAfter w:w="1040" w:type="dxa"/>
          <w:trHeight w:val="255"/>
        </w:trPr>
        <w:tc>
          <w:tcPr>
            <w:tcW w:w="2590" w:type="dxa"/>
            <w:tcBorders>
              <w:top w:val="nil"/>
              <w:left w:val="single" w:sz="4" w:space="0" w:color="auto"/>
              <w:bottom w:val="single" w:sz="4" w:space="0" w:color="auto"/>
              <w:right w:val="single" w:sz="4" w:space="0" w:color="auto"/>
            </w:tcBorders>
            <w:vAlign w:val="center"/>
          </w:tcPr>
          <w:p w:rsidR="007D48BC" w:rsidRPr="001F344E" w:rsidRDefault="007D48BC" w:rsidP="00430EAB">
            <w:pPr>
              <w:jc w:val="center"/>
              <w:rPr>
                <w:rFonts w:ascii="Arial" w:hAnsi="Arial" w:cs="Arial"/>
                <w:sz w:val="16"/>
                <w:szCs w:val="16"/>
              </w:rPr>
            </w:pPr>
            <w:r w:rsidRPr="001F344E">
              <w:rPr>
                <w:rFonts w:ascii="Arial" w:hAnsi="Arial" w:cs="Arial"/>
                <w:sz w:val="16"/>
                <w:szCs w:val="16"/>
              </w:rPr>
              <w:t>Coste ciclos posteriores</w:t>
            </w:r>
          </w:p>
        </w:tc>
        <w:tc>
          <w:tcPr>
            <w:tcW w:w="2630" w:type="dxa"/>
            <w:tcBorders>
              <w:top w:val="single" w:sz="4" w:space="0" w:color="auto"/>
              <w:left w:val="nil"/>
              <w:bottom w:val="single" w:sz="4" w:space="0" w:color="auto"/>
              <w:right w:val="single" w:sz="4" w:space="0" w:color="auto"/>
            </w:tcBorders>
            <w:vAlign w:val="center"/>
          </w:tcPr>
          <w:p w:rsidR="007D48BC" w:rsidRPr="001F344E" w:rsidRDefault="007D48BC" w:rsidP="00430EAB">
            <w:pPr>
              <w:jc w:val="center"/>
              <w:rPr>
                <w:rFonts w:ascii="Arial" w:hAnsi="Arial" w:cs="Arial"/>
                <w:sz w:val="16"/>
                <w:szCs w:val="16"/>
              </w:rPr>
            </w:pPr>
            <w:r w:rsidRPr="001F344E">
              <w:rPr>
                <w:rFonts w:ascii="Arial" w:hAnsi="Arial" w:cs="Arial"/>
                <w:sz w:val="16"/>
                <w:szCs w:val="16"/>
              </w:rPr>
              <w:t>Dosis única</w:t>
            </w:r>
          </w:p>
        </w:tc>
        <w:tc>
          <w:tcPr>
            <w:tcW w:w="2160" w:type="dxa"/>
            <w:tcBorders>
              <w:top w:val="nil"/>
              <w:left w:val="single" w:sz="4" w:space="0" w:color="auto"/>
              <w:bottom w:val="single" w:sz="4" w:space="0" w:color="auto"/>
              <w:right w:val="single" w:sz="4" w:space="0" w:color="auto"/>
            </w:tcBorders>
            <w:vAlign w:val="center"/>
          </w:tcPr>
          <w:p w:rsidR="007D48BC" w:rsidRPr="001F344E" w:rsidRDefault="007D48BC" w:rsidP="00430EAB">
            <w:pPr>
              <w:jc w:val="center"/>
              <w:rPr>
                <w:rFonts w:ascii="Arial" w:hAnsi="Arial" w:cs="Arial"/>
                <w:sz w:val="16"/>
                <w:szCs w:val="16"/>
              </w:rPr>
            </w:pPr>
            <w:r w:rsidRPr="001F344E">
              <w:rPr>
                <w:rFonts w:ascii="Arial" w:hAnsi="Arial" w:cs="Arial"/>
                <w:sz w:val="16"/>
                <w:szCs w:val="16"/>
              </w:rPr>
              <w:t>Dosis única</w:t>
            </w:r>
          </w:p>
        </w:tc>
        <w:tc>
          <w:tcPr>
            <w:tcW w:w="1870" w:type="dxa"/>
            <w:tcBorders>
              <w:top w:val="nil"/>
              <w:left w:val="single" w:sz="4" w:space="0" w:color="auto"/>
              <w:bottom w:val="single" w:sz="4" w:space="0" w:color="auto"/>
              <w:right w:val="single" w:sz="4" w:space="0" w:color="auto"/>
            </w:tcBorders>
            <w:vAlign w:val="center"/>
          </w:tcPr>
          <w:p w:rsidR="007D48BC" w:rsidRPr="001F344E" w:rsidRDefault="007D48BC" w:rsidP="00430EAB">
            <w:pPr>
              <w:jc w:val="center"/>
              <w:rPr>
                <w:rFonts w:ascii="Arial" w:hAnsi="Arial" w:cs="Arial"/>
                <w:sz w:val="16"/>
                <w:szCs w:val="16"/>
              </w:rPr>
            </w:pPr>
            <w:r>
              <w:rPr>
                <w:rFonts w:ascii="Arial" w:hAnsi="Arial" w:cs="Arial"/>
                <w:sz w:val="16"/>
                <w:szCs w:val="16"/>
              </w:rPr>
              <w:t xml:space="preserve">6.076 </w:t>
            </w:r>
            <w:r w:rsidRPr="001F344E">
              <w:rPr>
                <w:rFonts w:ascii="Arial" w:hAnsi="Arial" w:cs="Arial"/>
                <w:sz w:val="16"/>
                <w:szCs w:val="16"/>
              </w:rPr>
              <w:t>€</w:t>
            </w:r>
          </w:p>
        </w:tc>
        <w:tc>
          <w:tcPr>
            <w:tcW w:w="2990" w:type="dxa"/>
            <w:tcBorders>
              <w:top w:val="nil"/>
              <w:left w:val="nil"/>
              <w:bottom w:val="single" w:sz="4" w:space="0" w:color="auto"/>
              <w:right w:val="single" w:sz="4" w:space="0" w:color="auto"/>
            </w:tcBorders>
            <w:vAlign w:val="center"/>
          </w:tcPr>
          <w:p w:rsidR="007D48BC" w:rsidRPr="001F344E" w:rsidRDefault="007D48BC" w:rsidP="00430EAB">
            <w:pPr>
              <w:jc w:val="center"/>
              <w:rPr>
                <w:rFonts w:ascii="Arial" w:hAnsi="Arial" w:cs="Arial"/>
                <w:sz w:val="16"/>
                <w:szCs w:val="16"/>
              </w:rPr>
            </w:pPr>
            <w:r>
              <w:rPr>
                <w:rFonts w:ascii="Arial" w:hAnsi="Arial" w:cs="Arial"/>
                <w:sz w:val="16"/>
                <w:szCs w:val="16"/>
              </w:rPr>
              <w:t>1.413</w:t>
            </w:r>
            <w:r w:rsidRPr="001F344E">
              <w:rPr>
                <w:rFonts w:ascii="Arial" w:hAnsi="Arial" w:cs="Arial"/>
                <w:sz w:val="16"/>
                <w:szCs w:val="16"/>
              </w:rPr>
              <w:t xml:space="preserve"> €</w:t>
            </w:r>
          </w:p>
        </w:tc>
      </w:tr>
      <w:tr w:rsidR="007D48BC" w:rsidRPr="001F344E">
        <w:trPr>
          <w:gridAfter w:val="2"/>
          <w:wAfter w:w="1040" w:type="dxa"/>
          <w:trHeight w:val="255"/>
        </w:trPr>
        <w:tc>
          <w:tcPr>
            <w:tcW w:w="2590" w:type="dxa"/>
            <w:tcBorders>
              <w:top w:val="nil"/>
              <w:left w:val="single" w:sz="4" w:space="0" w:color="auto"/>
              <w:bottom w:val="single" w:sz="4" w:space="0" w:color="auto"/>
              <w:right w:val="single" w:sz="4" w:space="0" w:color="auto"/>
            </w:tcBorders>
            <w:vAlign w:val="center"/>
          </w:tcPr>
          <w:p w:rsidR="007D48BC" w:rsidRPr="001F344E" w:rsidRDefault="007D48BC" w:rsidP="00430EAB">
            <w:pPr>
              <w:jc w:val="center"/>
              <w:rPr>
                <w:rFonts w:ascii="Arial" w:hAnsi="Arial" w:cs="Arial"/>
                <w:sz w:val="16"/>
                <w:szCs w:val="16"/>
              </w:rPr>
            </w:pPr>
            <w:r w:rsidRPr="001F344E">
              <w:rPr>
                <w:rFonts w:ascii="Arial" w:hAnsi="Arial" w:cs="Arial"/>
                <w:sz w:val="16"/>
                <w:szCs w:val="16"/>
              </w:rPr>
              <w:t>Nº de ciclos administrados</w:t>
            </w:r>
          </w:p>
        </w:tc>
        <w:tc>
          <w:tcPr>
            <w:tcW w:w="2630" w:type="dxa"/>
            <w:tcBorders>
              <w:top w:val="single" w:sz="4" w:space="0" w:color="auto"/>
              <w:left w:val="nil"/>
              <w:bottom w:val="single" w:sz="4" w:space="0" w:color="auto"/>
              <w:right w:val="single" w:sz="4" w:space="0" w:color="auto"/>
            </w:tcBorders>
            <w:vAlign w:val="center"/>
          </w:tcPr>
          <w:p w:rsidR="007D48BC" w:rsidRPr="001F344E" w:rsidRDefault="007D48BC" w:rsidP="00430EAB">
            <w:pPr>
              <w:jc w:val="center"/>
              <w:rPr>
                <w:rFonts w:ascii="Arial" w:hAnsi="Arial" w:cs="Arial"/>
                <w:sz w:val="16"/>
                <w:szCs w:val="16"/>
              </w:rPr>
            </w:pPr>
            <w:r>
              <w:rPr>
                <w:rFonts w:ascii="Arial" w:hAnsi="Arial" w:cs="Arial"/>
                <w:sz w:val="16"/>
                <w:szCs w:val="16"/>
              </w:rPr>
              <w:t>1</w:t>
            </w:r>
          </w:p>
        </w:tc>
        <w:tc>
          <w:tcPr>
            <w:tcW w:w="2160" w:type="dxa"/>
            <w:tcBorders>
              <w:top w:val="nil"/>
              <w:left w:val="single" w:sz="4" w:space="0" w:color="auto"/>
              <w:bottom w:val="single" w:sz="4" w:space="0" w:color="auto"/>
              <w:right w:val="single" w:sz="4" w:space="0" w:color="auto"/>
            </w:tcBorders>
            <w:vAlign w:val="center"/>
          </w:tcPr>
          <w:p w:rsidR="007D48BC" w:rsidRPr="001F344E" w:rsidRDefault="007D48BC" w:rsidP="00430EAB">
            <w:pPr>
              <w:jc w:val="center"/>
              <w:rPr>
                <w:rFonts w:ascii="Arial" w:hAnsi="Arial" w:cs="Arial"/>
                <w:sz w:val="16"/>
                <w:szCs w:val="16"/>
              </w:rPr>
            </w:pPr>
            <w:r w:rsidRPr="001F344E">
              <w:rPr>
                <w:rFonts w:ascii="Arial" w:hAnsi="Arial" w:cs="Arial"/>
                <w:sz w:val="16"/>
                <w:szCs w:val="16"/>
              </w:rPr>
              <w:t>1</w:t>
            </w:r>
          </w:p>
        </w:tc>
        <w:tc>
          <w:tcPr>
            <w:tcW w:w="1870" w:type="dxa"/>
            <w:tcBorders>
              <w:top w:val="nil"/>
              <w:left w:val="single" w:sz="4" w:space="0" w:color="auto"/>
              <w:bottom w:val="single" w:sz="4" w:space="0" w:color="auto"/>
              <w:right w:val="single" w:sz="4" w:space="0" w:color="auto"/>
            </w:tcBorders>
            <w:vAlign w:val="center"/>
          </w:tcPr>
          <w:p w:rsidR="007D48BC" w:rsidRPr="001F344E" w:rsidRDefault="007D48BC" w:rsidP="00430EAB">
            <w:pPr>
              <w:jc w:val="center"/>
              <w:rPr>
                <w:rFonts w:ascii="Arial" w:hAnsi="Arial" w:cs="Arial"/>
                <w:sz w:val="16"/>
                <w:szCs w:val="16"/>
              </w:rPr>
            </w:pPr>
            <w:r>
              <w:rPr>
                <w:rFonts w:ascii="Arial" w:hAnsi="Arial" w:cs="Arial"/>
                <w:sz w:val="16"/>
                <w:szCs w:val="16"/>
              </w:rPr>
              <w:t>6</w:t>
            </w:r>
          </w:p>
        </w:tc>
        <w:tc>
          <w:tcPr>
            <w:tcW w:w="2990" w:type="dxa"/>
            <w:tcBorders>
              <w:top w:val="nil"/>
              <w:left w:val="nil"/>
              <w:bottom w:val="single" w:sz="4" w:space="0" w:color="auto"/>
              <w:right w:val="single" w:sz="4" w:space="0" w:color="auto"/>
            </w:tcBorders>
            <w:vAlign w:val="center"/>
          </w:tcPr>
          <w:p w:rsidR="007D48BC" w:rsidRPr="001F344E" w:rsidRDefault="007D48BC" w:rsidP="00430EAB">
            <w:pPr>
              <w:jc w:val="center"/>
              <w:rPr>
                <w:rFonts w:ascii="Arial" w:hAnsi="Arial" w:cs="Arial"/>
                <w:sz w:val="16"/>
                <w:szCs w:val="16"/>
              </w:rPr>
            </w:pPr>
            <w:r>
              <w:rPr>
                <w:rFonts w:ascii="Arial" w:hAnsi="Arial" w:cs="Arial"/>
                <w:sz w:val="16"/>
                <w:szCs w:val="16"/>
              </w:rPr>
              <w:t>6-8</w:t>
            </w:r>
          </w:p>
        </w:tc>
      </w:tr>
      <w:tr w:rsidR="007D48BC" w:rsidRPr="001F344E">
        <w:trPr>
          <w:gridAfter w:val="2"/>
          <w:wAfter w:w="1040" w:type="dxa"/>
          <w:trHeight w:val="255"/>
        </w:trPr>
        <w:tc>
          <w:tcPr>
            <w:tcW w:w="2590" w:type="dxa"/>
            <w:tcBorders>
              <w:top w:val="nil"/>
              <w:left w:val="single" w:sz="4" w:space="0" w:color="auto"/>
              <w:bottom w:val="single" w:sz="4" w:space="0" w:color="auto"/>
              <w:right w:val="single" w:sz="4" w:space="0" w:color="auto"/>
            </w:tcBorders>
            <w:shd w:val="clear" w:color="000000" w:fill="D9D9D9"/>
            <w:vAlign w:val="center"/>
          </w:tcPr>
          <w:p w:rsidR="007D48BC" w:rsidRPr="001F344E" w:rsidRDefault="007D48BC" w:rsidP="00430EAB">
            <w:pPr>
              <w:jc w:val="center"/>
              <w:rPr>
                <w:rFonts w:ascii="Arial" w:hAnsi="Arial" w:cs="Arial"/>
                <w:sz w:val="16"/>
                <w:szCs w:val="16"/>
              </w:rPr>
            </w:pPr>
            <w:r w:rsidRPr="001F344E">
              <w:rPr>
                <w:rFonts w:ascii="Arial" w:hAnsi="Arial" w:cs="Arial"/>
                <w:sz w:val="16"/>
                <w:szCs w:val="16"/>
              </w:rPr>
              <w:t>Coste tratamiento completo medicamento</w:t>
            </w:r>
          </w:p>
        </w:tc>
        <w:tc>
          <w:tcPr>
            <w:tcW w:w="2630" w:type="dxa"/>
            <w:tcBorders>
              <w:top w:val="single" w:sz="4" w:space="0" w:color="auto"/>
              <w:left w:val="nil"/>
              <w:bottom w:val="single" w:sz="4" w:space="0" w:color="auto"/>
              <w:right w:val="single" w:sz="4" w:space="0" w:color="auto"/>
            </w:tcBorders>
            <w:shd w:val="clear" w:color="000000" w:fill="D9D9D9"/>
            <w:vAlign w:val="center"/>
          </w:tcPr>
          <w:p w:rsidR="007D48BC" w:rsidRDefault="007D48BC" w:rsidP="00430EAB">
            <w:pPr>
              <w:jc w:val="center"/>
              <w:rPr>
                <w:rFonts w:ascii="Arial" w:hAnsi="Arial" w:cs="Arial"/>
                <w:sz w:val="16"/>
                <w:szCs w:val="16"/>
              </w:rPr>
            </w:pPr>
            <w:r>
              <w:rPr>
                <w:rFonts w:ascii="Arial" w:hAnsi="Arial" w:cs="Arial"/>
                <w:sz w:val="16"/>
                <w:szCs w:val="16"/>
              </w:rPr>
              <w:t xml:space="preserve">418.214 </w:t>
            </w:r>
            <w:r w:rsidRPr="001F344E">
              <w:rPr>
                <w:rFonts w:ascii="Arial" w:hAnsi="Arial" w:cs="Arial"/>
                <w:sz w:val="16"/>
                <w:szCs w:val="16"/>
              </w:rPr>
              <w:t>€</w:t>
            </w:r>
          </w:p>
        </w:tc>
        <w:tc>
          <w:tcPr>
            <w:tcW w:w="2160" w:type="dxa"/>
            <w:tcBorders>
              <w:top w:val="nil"/>
              <w:left w:val="single" w:sz="4" w:space="0" w:color="auto"/>
              <w:bottom w:val="single" w:sz="4" w:space="0" w:color="auto"/>
              <w:right w:val="single" w:sz="4" w:space="0" w:color="auto"/>
            </w:tcBorders>
            <w:shd w:val="clear" w:color="000000" w:fill="D9D9D9"/>
            <w:vAlign w:val="center"/>
          </w:tcPr>
          <w:p w:rsidR="007D48BC" w:rsidRPr="001F344E" w:rsidRDefault="007D48BC" w:rsidP="00430EAB">
            <w:pPr>
              <w:jc w:val="center"/>
              <w:rPr>
                <w:rFonts w:ascii="Arial" w:hAnsi="Arial" w:cs="Arial"/>
                <w:sz w:val="16"/>
                <w:szCs w:val="16"/>
              </w:rPr>
            </w:pPr>
            <w:r>
              <w:rPr>
                <w:rFonts w:ascii="Arial" w:hAnsi="Arial" w:cs="Arial"/>
                <w:sz w:val="16"/>
                <w:szCs w:val="16"/>
              </w:rPr>
              <w:t>33</w:t>
            </w:r>
            <w:r w:rsidRPr="001F344E">
              <w:rPr>
                <w:rFonts w:ascii="Arial" w:hAnsi="Arial" w:cs="Arial"/>
                <w:sz w:val="16"/>
                <w:szCs w:val="16"/>
              </w:rPr>
              <w:t>2</w:t>
            </w:r>
            <w:r>
              <w:rPr>
                <w:rFonts w:ascii="Arial" w:hAnsi="Arial" w:cs="Arial"/>
                <w:sz w:val="16"/>
                <w:szCs w:val="16"/>
              </w:rPr>
              <w:t>.800</w:t>
            </w:r>
            <w:r w:rsidRPr="001F344E">
              <w:rPr>
                <w:rFonts w:ascii="Arial" w:hAnsi="Arial" w:cs="Arial"/>
                <w:sz w:val="16"/>
                <w:szCs w:val="16"/>
              </w:rPr>
              <w:t xml:space="preserve"> €</w:t>
            </w:r>
          </w:p>
        </w:tc>
        <w:tc>
          <w:tcPr>
            <w:tcW w:w="1870" w:type="dxa"/>
            <w:tcBorders>
              <w:top w:val="nil"/>
              <w:left w:val="single" w:sz="4" w:space="0" w:color="auto"/>
              <w:bottom w:val="single" w:sz="4" w:space="0" w:color="auto"/>
              <w:right w:val="single" w:sz="4" w:space="0" w:color="auto"/>
            </w:tcBorders>
            <w:shd w:val="clear" w:color="000000" w:fill="D9D9D9"/>
            <w:vAlign w:val="center"/>
          </w:tcPr>
          <w:p w:rsidR="007D48BC" w:rsidRPr="001F344E" w:rsidRDefault="007D48BC" w:rsidP="00430EAB">
            <w:pPr>
              <w:jc w:val="center"/>
              <w:rPr>
                <w:rFonts w:ascii="Arial" w:hAnsi="Arial" w:cs="Arial"/>
                <w:sz w:val="16"/>
                <w:szCs w:val="16"/>
              </w:rPr>
            </w:pPr>
            <w:r>
              <w:rPr>
                <w:rFonts w:ascii="Arial" w:hAnsi="Arial" w:cs="Arial"/>
                <w:sz w:val="16"/>
                <w:szCs w:val="16"/>
              </w:rPr>
              <w:t xml:space="preserve">36.456 </w:t>
            </w:r>
            <w:r w:rsidRPr="001F344E">
              <w:rPr>
                <w:rFonts w:ascii="Arial" w:hAnsi="Arial" w:cs="Arial"/>
                <w:sz w:val="16"/>
                <w:szCs w:val="16"/>
              </w:rPr>
              <w:t xml:space="preserve"> €</w:t>
            </w:r>
          </w:p>
        </w:tc>
        <w:tc>
          <w:tcPr>
            <w:tcW w:w="2990" w:type="dxa"/>
            <w:tcBorders>
              <w:top w:val="nil"/>
              <w:left w:val="nil"/>
              <w:bottom w:val="single" w:sz="4" w:space="0" w:color="auto"/>
              <w:right w:val="single" w:sz="4" w:space="0" w:color="auto"/>
            </w:tcBorders>
            <w:shd w:val="clear" w:color="000000" w:fill="D9D9D9"/>
            <w:vAlign w:val="center"/>
          </w:tcPr>
          <w:p w:rsidR="007D48BC" w:rsidRPr="001F344E" w:rsidRDefault="007D48BC" w:rsidP="00430EAB">
            <w:pPr>
              <w:jc w:val="center"/>
              <w:rPr>
                <w:rFonts w:ascii="Arial" w:hAnsi="Arial" w:cs="Arial"/>
                <w:sz w:val="16"/>
                <w:szCs w:val="16"/>
              </w:rPr>
            </w:pPr>
            <w:r>
              <w:rPr>
                <w:rFonts w:ascii="Arial" w:hAnsi="Arial" w:cs="Arial"/>
                <w:sz w:val="16"/>
                <w:szCs w:val="16"/>
              </w:rPr>
              <w:t>8.478-11.304</w:t>
            </w:r>
            <w:r w:rsidRPr="001F344E">
              <w:rPr>
                <w:rFonts w:ascii="Arial" w:hAnsi="Arial" w:cs="Arial"/>
                <w:sz w:val="16"/>
                <w:szCs w:val="16"/>
              </w:rPr>
              <w:t xml:space="preserve"> €</w:t>
            </w:r>
          </w:p>
        </w:tc>
      </w:tr>
      <w:tr w:rsidR="007D48BC" w:rsidRPr="001F344E">
        <w:trPr>
          <w:gridAfter w:val="2"/>
          <w:wAfter w:w="1040" w:type="dxa"/>
          <w:trHeight w:val="128"/>
        </w:trPr>
        <w:tc>
          <w:tcPr>
            <w:tcW w:w="2590" w:type="dxa"/>
            <w:tcBorders>
              <w:top w:val="nil"/>
              <w:left w:val="single" w:sz="4" w:space="0" w:color="auto"/>
              <w:bottom w:val="single" w:sz="4" w:space="0" w:color="auto"/>
              <w:right w:val="single" w:sz="4" w:space="0" w:color="auto"/>
            </w:tcBorders>
            <w:vAlign w:val="center"/>
          </w:tcPr>
          <w:p w:rsidR="007D48BC" w:rsidRPr="001F344E" w:rsidRDefault="007D48BC" w:rsidP="00430EAB">
            <w:pPr>
              <w:jc w:val="center"/>
              <w:rPr>
                <w:rFonts w:ascii="Arial" w:hAnsi="Arial" w:cs="Arial"/>
                <w:sz w:val="16"/>
                <w:szCs w:val="16"/>
              </w:rPr>
            </w:pPr>
            <w:r w:rsidRPr="001F344E">
              <w:rPr>
                <w:rFonts w:ascii="Arial" w:hAnsi="Arial" w:cs="Arial"/>
                <w:sz w:val="16"/>
                <w:szCs w:val="16"/>
              </w:rPr>
              <w:t>Costes directos asociados ***</w:t>
            </w:r>
          </w:p>
        </w:tc>
        <w:tc>
          <w:tcPr>
            <w:tcW w:w="2630" w:type="dxa"/>
            <w:tcBorders>
              <w:top w:val="single" w:sz="4" w:space="0" w:color="auto"/>
              <w:left w:val="nil"/>
              <w:bottom w:val="single" w:sz="4" w:space="0" w:color="auto"/>
              <w:right w:val="single" w:sz="4" w:space="0" w:color="auto"/>
            </w:tcBorders>
            <w:vAlign w:val="center"/>
          </w:tcPr>
          <w:p w:rsidR="007D48BC" w:rsidRPr="001F344E" w:rsidRDefault="007D48BC" w:rsidP="001E39A3">
            <w:pPr>
              <w:jc w:val="center"/>
              <w:rPr>
                <w:rFonts w:ascii="Arial" w:hAnsi="Arial" w:cs="Arial"/>
                <w:sz w:val="16"/>
                <w:szCs w:val="16"/>
              </w:rPr>
            </w:pPr>
            <w:r>
              <w:rPr>
                <w:rFonts w:ascii="Arial" w:hAnsi="Arial" w:cs="Arial"/>
                <w:sz w:val="16"/>
                <w:szCs w:val="16"/>
              </w:rPr>
              <w:t xml:space="preserve"> 21.660,51 </w:t>
            </w:r>
            <w:r w:rsidRPr="001F344E">
              <w:rPr>
                <w:rFonts w:ascii="Arial" w:hAnsi="Arial" w:cs="Arial"/>
                <w:sz w:val="16"/>
                <w:szCs w:val="16"/>
              </w:rPr>
              <w:t>€</w:t>
            </w:r>
          </w:p>
        </w:tc>
        <w:tc>
          <w:tcPr>
            <w:tcW w:w="2160" w:type="dxa"/>
            <w:tcBorders>
              <w:top w:val="nil"/>
              <w:left w:val="single" w:sz="4" w:space="0" w:color="auto"/>
              <w:bottom w:val="single" w:sz="4" w:space="0" w:color="auto"/>
              <w:right w:val="single" w:sz="4" w:space="0" w:color="auto"/>
            </w:tcBorders>
            <w:vAlign w:val="center"/>
          </w:tcPr>
          <w:p w:rsidR="007D48BC" w:rsidRPr="001F344E" w:rsidRDefault="007D48BC" w:rsidP="00430EAB">
            <w:pPr>
              <w:jc w:val="center"/>
              <w:rPr>
                <w:rFonts w:ascii="Arial" w:hAnsi="Arial" w:cs="Arial"/>
                <w:sz w:val="16"/>
                <w:szCs w:val="16"/>
              </w:rPr>
            </w:pPr>
            <w:r w:rsidRPr="001F344E">
              <w:rPr>
                <w:rFonts w:ascii="Arial" w:hAnsi="Arial" w:cs="Arial"/>
                <w:sz w:val="16"/>
                <w:szCs w:val="16"/>
              </w:rPr>
              <w:t>22.87</w:t>
            </w:r>
            <w:r>
              <w:rPr>
                <w:rFonts w:ascii="Arial" w:hAnsi="Arial" w:cs="Arial"/>
                <w:sz w:val="16"/>
                <w:szCs w:val="16"/>
              </w:rPr>
              <w:t>7</w:t>
            </w:r>
            <w:r w:rsidRPr="001F344E">
              <w:rPr>
                <w:rFonts w:ascii="Arial" w:hAnsi="Arial" w:cs="Arial"/>
                <w:sz w:val="16"/>
                <w:szCs w:val="16"/>
              </w:rPr>
              <w:t xml:space="preserve"> €</w:t>
            </w:r>
          </w:p>
        </w:tc>
        <w:tc>
          <w:tcPr>
            <w:tcW w:w="1870" w:type="dxa"/>
            <w:tcBorders>
              <w:top w:val="nil"/>
              <w:left w:val="single" w:sz="4" w:space="0" w:color="auto"/>
              <w:bottom w:val="single" w:sz="4" w:space="0" w:color="auto"/>
              <w:right w:val="single" w:sz="4" w:space="0" w:color="auto"/>
            </w:tcBorders>
            <w:vAlign w:val="center"/>
          </w:tcPr>
          <w:p w:rsidR="007D48BC" w:rsidRPr="001F344E" w:rsidRDefault="007D48BC" w:rsidP="00430EAB">
            <w:pPr>
              <w:jc w:val="center"/>
              <w:rPr>
                <w:rFonts w:ascii="Arial" w:hAnsi="Arial" w:cs="Arial"/>
                <w:sz w:val="16"/>
                <w:szCs w:val="16"/>
              </w:rPr>
            </w:pPr>
            <w:r>
              <w:rPr>
                <w:rFonts w:ascii="Arial" w:hAnsi="Arial" w:cs="Arial"/>
                <w:sz w:val="16"/>
                <w:szCs w:val="16"/>
              </w:rPr>
              <w:t xml:space="preserve">4.829 </w:t>
            </w:r>
            <w:r w:rsidRPr="001F344E">
              <w:rPr>
                <w:rFonts w:ascii="Arial" w:hAnsi="Arial" w:cs="Arial"/>
                <w:sz w:val="16"/>
                <w:szCs w:val="16"/>
              </w:rPr>
              <w:t>€</w:t>
            </w:r>
          </w:p>
        </w:tc>
        <w:tc>
          <w:tcPr>
            <w:tcW w:w="2990" w:type="dxa"/>
            <w:tcBorders>
              <w:top w:val="nil"/>
              <w:left w:val="nil"/>
              <w:bottom w:val="single" w:sz="4" w:space="0" w:color="auto"/>
              <w:right w:val="single" w:sz="4" w:space="0" w:color="auto"/>
            </w:tcBorders>
            <w:vAlign w:val="center"/>
          </w:tcPr>
          <w:p w:rsidR="007D48BC" w:rsidRPr="001F344E" w:rsidRDefault="007D48BC" w:rsidP="00430EAB">
            <w:pPr>
              <w:jc w:val="center"/>
              <w:rPr>
                <w:rFonts w:ascii="Arial" w:hAnsi="Arial" w:cs="Arial"/>
                <w:sz w:val="16"/>
                <w:szCs w:val="16"/>
              </w:rPr>
            </w:pPr>
            <w:r>
              <w:rPr>
                <w:rFonts w:ascii="Arial" w:hAnsi="Arial" w:cs="Arial"/>
                <w:sz w:val="16"/>
                <w:szCs w:val="16"/>
              </w:rPr>
              <w:t>3.214 - 4285</w:t>
            </w:r>
            <w:r w:rsidRPr="001F344E">
              <w:rPr>
                <w:rFonts w:ascii="Arial" w:hAnsi="Arial" w:cs="Arial"/>
                <w:sz w:val="16"/>
                <w:szCs w:val="16"/>
              </w:rPr>
              <w:t xml:space="preserve"> €</w:t>
            </w:r>
          </w:p>
        </w:tc>
      </w:tr>
      <w:tr w:rsidR="007D48BC" w:rsidRPr="001F344E">
        <w:trPr>
          <w:gridAfter w:val="2"/>
          <w:wAfter w:w="1040" w:type="dxa"/>
          <w:trHeight w:val="450"/>
        </w:trPr>
        <w:tc>
          <w:tcPr>
            <w:tcW w:w="2590" w:type="dxa"/>
            <w:tcBorders>
              <w:top w:val="nil"/>
              <w:left w:val="single" w:sz="4" w:space="0" w:color="auto"/>
              <w:bottom w:val="single" w:sz="4" w:space="0" w:color="auto"/>
              <w:right w:val="single" w:sz="4" w:space="0" w:color="auto"/>
            </w:tcBorders>
            <w:vAlign w:val="center"/>
          </w:tcPr>
          <w:p w:rsidR="007D48BC" w:rsidRPr="001F344E" w:rsidRDefault="007D48BC" w:rsidP="00430EAB">
            <w:pPr>
              <w:jc w:val="center"/>
              <w:rPr>
                <w:rFonts w:ascii="Arial" w:hAnsi="Arial" w:cs="Arial"/>
                <w:sz w:val="16"/>
                <w:szCs w:val="16"/>
              </w:rPr>
            </w:pPr>
            <w:r w:rsidRPr="001F344E">
              <w:rPr>
                <w:rFonts w:ascii="Arial" w:hAnsi="Arial" w:cs="Arial"/>
                <w:sz w:val="16"/>
                <w:szCs w:val="16"/>
              </w:rPr>
              <w:t>Coste global o coste global tratamiento/año</w:t>
            </w:r>
          </w:p>
        </w:tc>
        <w:tc>
          <w:tcPr>
            <w:tcW w:w="2630" w:type="dxa"/>
            <w:tcBorders>
              <w:top w:val="single" w:sz="4" w:space="0" w:color="auto"/>
              <w:left w:val="nil"/>
              <w:bottom w:val="single" w:sz="4" w:space="0" w:color="auto"/>
              <w:right w:val="single" w:sz="4" w:space="0" w:color="auto"/>
            </w:tcBorders>
            <w:vAlign w:val="center"/>
          </w:tcPr>
          <w:p w:rsidR="007D48BC" w:rsidRPr="001E39A3" w:rsidRDefault="007D48BC" w:rsidP="00430EAB">
            <w:pPr>
              <w:jc w:val="center"/>
              <w:rPr>
                <w:rFonts w:ascii="Arial" w:hAnsi="Arial" w:cs="Arial"/>
                <w:sz w:val="16"/>
                <w:szCs w:val="16"/>
              </w:rPr>
            </w:pPr>
            <w:r w:rsidRPr="001E39A3">
              <w:rPr>
                <w:rFonts w:ascii="Arial" w:hAnsi="Arial" w:cs="Arial"/>
                <w:sz w:val="16"/>
                <w:szCs w:val="16"/>
              </w:rPr>
              <w:t>439.874,51 €</w:t>
            </w:r>
          </w:p>
        </w:tc>
        <w:tc>
          <w:tcPr>
            <w:tcW w:w="2160" w:type="dxa"/>
            <w:tcBorders>
              <w:top w:val="nil"/>
              <w:left w:val="single" w:sz="4" w:space="0" w:color="auto"/>
              <w:bottom w:val="single" w:sz="4" w:space="0" w:color="auto"/>
              <w:right w:val="single" w:sz="4" w:space="0" w:color="auto"/>
            </w:tcBorders>
            <w:vAlign w:val="center"/>
          </w:tcPr>
          <w:p w:rsidR="007D48BC" w:rsidRPr="001F344E" w:rsidRDefault="007D48BC" w:rsidP="00430EAB">
            <w:pPr>
              <w:jc w:val="center"/>
              <w:rPr>
                <w:rFonts w:ascii="Arial" w:hAnsi="Arial" w:cs="Arial"/>
                <w:sz w:val="16"/>
                <w:szCs w:val="16"/>
              </w:rPr>
            </w:pPr>
            <w:r>
              <w:rPr>
                <w:rFonts w:ascii="Arial" w:hAnsi="Arial" w:cs="Arial"/>
                <w:sz w:val="16"/>
                <w:szCs w:val="16"/>
              </w:rPr>
              <w:t>355.677</w:t>
            </w:r>
            <w:r w:rsidRPr="001F344E">
              <w:rPr>
                <w:rFonts w:ascii="Arial" w:hAnsi="Arial" w:cs="Arial"/>
                <w:sz w:val="16"/>
                <w:szCs w:val="16"/>
              </w:rPr>
              <w:t xml:space="preserve"> €</w:t>
            </w:r>
          </w:p>
        </w:tc>
        <w:tc>
          <w:tcPr>
            <w:tcW w:w="1870" w:type="dxa"/>
            <w:tcBorders>
              <w:top w:val="nil"/>
              <w:left w:val="single" w:sz="4" w:space="0" w:color="auto"/>
              <w:bottom w:val="single" w:sz="4" w:space="0" w:color="auto"/>
              <w:right w:val="single" w:sz="4" w:space="0" w:color="auto"/>
            </w:tcBorders>
            <w:vAlign w:val="center"/>
          </w:tcPr>
          <w:p w:rsidR="007D48BC" w:rsidRPr="001F344E" w:rsidRDefault="007D48BC" w:rsidP="001E39A3">
            <w:pPr>
              <w:jc w:val="center"/>
              <w:rPr>
                <w:rFonts w:ascii="Arial" w:hAnsi="Arial" w:cs="Arial"/>
                <w:sz w:val="16"/>
                <w:szCs w:val="16"/>
              </w:rPr>
            </w:pPr>
            <w:r>
              <w:rPr>
                <w:rFonts w:ascii="Arial" w:hAnsi="Arial" w:cs="Arial"/>
                <w:sz w:val="16"/>
                <w:szCs w:val="16"/>
              </w:rPr>
              <w:t xml:space="preserve">41.285 </w:t>
            </w:r>
            <w:r w:rsidRPr="001F344E">
              <w:rPr>
                <w:rFonts w:ascii="Arial" w:hAnsi="Arial" w:cs="Arial"/>
                <w:sz w:val="16"/>
                <w:szCs w:val="16"/>
              </w:rPr>
              <w:t>€</w:t>
            </w:r>
          </w:p>
        </w:tc>
        <w:tc>
          <w:tcPr>
            <w:tcW w:w="2990" w:type="dxa"/>
            <w:tcBorders>
              <w:top w:val="nil"/>
              <w:left w:val="nil"/>
              <w:bottom w:val="single" w:sz="4" w:space="0" w:color="auto"/>
              <w:right w:val="single" w:sz="4" w:space="0" w:color="auto"/>
            </w:tcBorders>
            <w:vAlign w:val="center"/>
          </w:tcPr>
          <w:p w:rsidR="007D48BC" w:rsidRPr="001F344E" w:rsidRDefault="007D48BC" w:rsidP="00430EAB">
            <w:pPr>
              <w:jc w:val="center"/>
              <w:rPr>
                <w:rFonts w:ascii="Arial" w:hAnsi="Arial" w:cs="Arial"/>
                <w:sz w:val="16"/>
                <w:szCs w:val="16"/>
              </w:rPr>
            </w:pPr>
            <w:r>
              <w:rPr>
                <w:rFonts w:ascii="Arial" w:hAnsi="Arial" w:cs="Arial"/>
                <w:sz w:val="16"/>
                <w:szCs w:val="16"/>
              </w:rPr>
              <w:t>11.692 – 15.590</w:t>
            </w:r>
            <w:r w:rsidRPr="001F344E">
              <w:rPr>
                <w:rFonts w:ascii="Arial" w:hAnsi="Arial" w:cs="Arial"/>
                <w:sz w:val="16"/>
                <w:szCs w:val="16"/>
              </w:rPr>
              <w:t xml:space="preserve"> €</w:t>
            </w:r>
          </w:p>
        </w:tc>
      </w:tr>
      <w:tr w:rsidR="007D48BC" w:rsidRPr="001F344E">
        <w:trPr>
          <w:gridAfter w:val="2"/>
          <w:wAfter w:w="1040" w:type="dxa"/>
          <w:trHeight w:val="538"/>
        </w:trPr>
        <w:tc>
          <w:tcPr>
            <w:tcW w:w="2590" w:type="dxa"/>
            <w:tcBorders>
              <w:top w:val="nil"/>
              <w:left w:val="single" w:sz="4" w:space="0" w:color="auto"/>
              <w:bottom w:val="single" w:sz="4" w:space="0" w:color="auto"/>
              <w:right w:val="single" w:sz="4" w:space="0" w:color="auto"/>
            </w:tcBorders>
            <w:shd w:val="clear" w:color="000000" w:fill="D9D9D9"/>
            <w:vAlign w:val="center"/>
          </w:tcPr>
          <w:p w:rsidR="007D48BC" w:rsidRPr="001F344E" w:rsidRDefault="007D48BC" w:rsidP="00430EAB">
            <w:pPr>
              <w:jc w:val="center"/>
              <w:rPr>
                <w:rFonts w:ascii="Arial" w:hAnsi="Arial" w:cs="Arial"/>
                <w:sz w:val="16"/>
                <w:szCs w:val="16"/>
              </w:rPr>
            </w:pPr>
            <w:r w:rsidRPr="001F344E">
              <w:rPr>
                <w:rFonts w:ascii="Arial" w:hAnsi="Arial" w:cs="Arial"/>
                <w:sz w:val="16"/>
                <w:szCs w:val="16"/>
              </w:rPr>
              <w:t>Coste incremental (diferencial) respecto a la terapia de referencia</w:t>
            </w:r>
          </w:p>
        </w:tc>
        <w:tc>
          <w:tcPr>
            <w:tcW w:w="2630" w:type="dxa"/>
            <w:tcBorders>
              <w:top w:val="single" w:sz="4" w:space="0" w:color="auto"/>
              <w:left w:val="nil"/>
              <w:bottom w:val="single" w:sz="4" w:space="0" w:color="auto"/>
              <w:right w:val="single" w:sz="4" w:space="0" w:color="auto"/>
            </w:tcBorders>
            <w:shd w:val="clear" w:color="000000" w:fill="D9D9D9"/>
            <w:vAlign w:val="center"/>
          </w:tcPr>
          <w:p w:rsidR="007D48BC" w:rsidRPr="001F344E" w:rsidRDefault="007D48BC" w:rsidP="00430EAB">
            <w:pPr>
              <w:jc w:val="center"/>
              <w:rPr>
                <w:rFonts w:ascii="Arial" w:hAnsi="Arial" w:cs="Arial"/>
                <w:b/>
                <w:bCs/>
                <w:sz w:val="16"/>
                <w:szCs w:val="16"/>
              </w:rPr>
            </w:pPr>
            <w:r>
              <w:rPr>
                <w:rFonts w:ascii="Arial" w:hAnsi="Arial" w:cs="Arial"/>
                <w:b/>
                <w:bCs/>
                <w:sz w:val="16"/>
                <w:szCs w:val="16"/>
              </w:rPr>
              <w:t>428.182,51 – 424.284,</w:t>
            </w:r>
            <w:r w:rsidRPr="00F132AD">
              <w:rPr>
                <w:rFonts w:ascii="Arial" w:hAnsi="Arial" w:cs="Arial"/>
                <w:b/>
                <w:bCs/>
                <w:sz w:val="16"/>
                <w:szCs w:val="16"/>
              </w:rPr>
              <w:t>51 €</w:t>
            </w:r>
          </w:p>
        </w:tc>
        <w:tc>
          <w:tcPr>
            <w:tcW w:w="2160" w:type="dxa"/>
            <w:tcBorders>
              <w:top w:val="nil"/>
              <w:left w:val="single" w:sz="4" w:space="0" w:color="auto"/>
              <w:bottom w:val="single" w:sz="4" w:space="0" w:color="auto"/>
              <w:right w:val="single" w:sz="4" w:space="0" w:color="auto"/>
            </w:tcBorders>
            <w:shd w:val="clear" w:color="000000" w:fill="D9D9D9"/>
            <w:vAlign w:val="center"/>
          </w:tcPr>
          <w:p w:rsidR="007D48BC" w:rsidRPr="001F344E" w:rsidRDefault="007D48BC" w:rsidP="00B960EB">
            <w:pPr>
              <w:jc w:val="center"/>
              <w:rPr>
                <w:rFonts w:ascii="Arial" w:hAnsi="Arial" w:cs="Arial"/>
                <w:sz w:val="16"/>
                <w:szCs w:val="16"/>
              </w:rPr>
            </w:pPr>
            <w:r w:rsidRPr="00B960EB">
              <w:rPr>
                <w:rFonts w:ascii="Arial" w:hAnsi="Arial" w:cs="Arial"/>
                <w:b/>
                <w:bCs/>
                <w:sz w:val="16"/>
                <w:szCs w:val="16"/>
              </w:rPr>
              <w:t>343.985 – 340.087 €</w:t>
            </w:r>
          </w:p>
        </w:tc>
        <w:tc>
          <w:tcPr>
            <w:tcW w:w="1870" w:type="dxa"/>
            <w:tcBorders>
              <w:top w:val="nil"/>
              <w:left w:val="single" w:sz="4" w:space="0" w:color="auto"/>
              <w:bottom w:val="single" w:sz="4" w:space="0" w:color="auto"/>
              <w:right w:val="single" w:sz="4" w:space="0" w:color="auto"/>
            </w:tcBorders>
            <w:shd w:val="clear" w:color="000000" w:fill="D9D9D9"/>
            <w:vAlign w:val="center"/>
          </w:tcPr>
          <w:p w:rsidR="007D48BC" w:rsidRPr="00B960EB" w:rsidRDefault="007D48BC" w:rsidP="00430EAB">
            <w:pPr>
              <w:jc w:val="center"/>
              <w:rPr>
                <w:rFonts w:ascii="Arial" w:hAnsi="Arial" w:cs="Arial"/>
                <w:b/>
                <w:bCs/>
                <w:sz w:val="16"/>
                <w:szCs w:val="16"/>
              </w:rPr>
            </w:pPr>
            <w:r w:rsidRPr="00B960EB">
              <w:rPr>
                <w:rFonts w:ascii="Arial" w:hAnsi="Arial" w:cs="Arial"/>
                <w:b/>
                <w:bCs/>
                <w:sz w:val="16"/>
                <w:szCs w:val="16"/>
              </w:rPr>
              <w:t>29.593 – 25.695 €</w:t>
            </w:r>
          </w:p>
        </w:tc>
        <w:tc>
          <w:tcPr>
            <w:tcW w:w="2990" w:type="dxa"/>
            <w:tcBorders>
              <w:top w:val="nil"/>
              <w:left w:val="nil"/>
              <w:bottom w:val="single" w:sz="4" w:space="0" w:color="auto"/>
              <w:right w:val="single" w:sz="4" w:space="0" w:color="auto"/>
            </w:tcBorders>
            <w:shd w:val="clear" w:color="000000" w:fill="D9D9D9"/>
            <w:vAlign w:val="center"/>
          </w:tcPr>
          <w:p w:rsidR="007D48BC" w:rsidRPr="00B960EB" w:rsidRDefault="00296F04" w:rsidP="00430EAB">
            <w:pPr>
              <w:jc w:val="center"/>
              <w:rPr>
                <w:rFonts w:ascii="Arial" w:hAnsi="Arial" w:cs="Arial"/>
                <w:b/>
                <w:bCs/>
                <w:sz w:val="16"/>
                <w:szCs w:val="16"/>
              </w:rPr>
            </w:pPr>
            <w:r>
              <w:rPr>
                <w:rFonts w:ascii="Arial" w:hAnsi="Arial" w:cs="Arial"/>
                <w:b/>
                <w:bCs/>
                <w:sz w:val="16"/>
                <w:szCs w:val="16"/>
              </w:rPr>
              <w:t>RE</w:t>
            </w:r>
            <w:r w:rsidR="00443325">
              <w:rPr>
                <w:rFonts w:ascii="Arial" w:hAnsi="Arial" w:cs="Arial"/>
                <w:b/>
                <w:bCs/>
                <w:sz w:val="16"/>
                <w:szCs w:val="16"/>
              </w:rPr>
              <w:t>F</w:t>
            </w:r>
          </w:p>
        </w:tc>
      </w:tr>
      <w:tr w:rsidR="007D48BC" w:rsidRPr="001F344E">
        <w:trPr>
          <w:gridAfter w:val="2"/>
          <w:wAfter w:w="1040" w:type="dxa"/>
          <w:trHeight w:val="976"/>
        </w:trPr>
        <w:tc>
          <w:tcPr>
            <w:tcW w:w="12240" w:type="dxa"/>
            <w:gridSpan w:val="5"/>
            <w:tcBorders>
              <w:top w:val="single" w:sz="4" w:space="0" w:color="auto"/>
              <w:left w:val="single" w:sz="4" w:space="0" w:color="auto"/>
              <w:right w:val="single" w:sz="4" w:space="0" w:color="auto"/>
            </w:tcBorders>
            <w:shd w:val="clear" w:color="000000" w:fill="D9D9D9"/>
            <w:vAlign w:val="center"/>
          </w:tcPr>
          <w:p w:rsidR="007D48BC" w:rsidRPr="001F344E" w:rsidRDefault="007D48BC" w:rsidP="00430EAB">
            <w:pPr>
              <w:rPr>
                <w:rFonts w:ascii="Arial" w:hAnsi="Arial" w:cs="Arial"/>
                <w:sz w:val="16"/>
                <w:szCs w:val="16"/>
              </w:rPr>
            </w:pPr>
            <w:r w:rsidRPr="001F344E">
              <w:rPr>
                <w:rFonts w:ascii="Arial" w:hAnsi="Arial" w:cs="Arial"/>
                <w:sz w:val="16"/>
                <w:szCs w:val="16"/>
              </w:rPr>
              <w:t>*</w:t>
            </w:r>
            <w:r w:rsidRPr="002F2893">
              <w:rPr>
                <w:rFonts w:ascii="Arial" w:hAnsi="Arial" w:cs="Arial"/>
                <w:sz w:val="16"/>
                <w:szCs w:val="16"/>
              </w:rPr>
              <w:t xml:space="preserve">Precio de axicabtagen ciloleucel </w:t>
            </w:r>
            <w:r>
              <w:rPr>
                <w:rFonts w:ascii="Arial" w:hAnsi="Arial" w:cs="Arial"/>
                <w:sz w:val="16"/>
                <w:szCs w:val="16"/>
              </w:rPr>
              <w:t>según FDA</w:t>
            </w:r>
          </w:p>
          <w:p w:rsidR="007D48BC" w:rsidRPr="001F344E" w:rsidRDefault="007D48BC" w:rsidP="00430EAB">
            <w:pPr>
              <w:rPr>
                <w:rFonts w:ascii="Arial" w:hAnsi="Arial" w:cs="Arial"/>
                <w:sz w:val="16"/>
                <w:szCs w:val="16"/>
              </w:rPr>
            </w:pPr>
            <w:r w:rsidRPr="001F344E">
              <w:rPr>
                <w:rFonts w:ascii="Arial" w:hAnsi="Arial" w:cs="Arial"/>
                <w:sz w:val="16"/>
                <w:szCs w:val="16"/>
              </w:rPr>
              <w:t>**Numero habitual de ciclos administrados según EPAR y ficha técnica de los medicamentos</w:t>
            </w:r>
          </w:p>
          <w:p w:rsidR="007D48BC" w:rsidRPr="001F344E" w:rsidRDefault="007D48BC" w:rsidP="00430EAB">
            <w:pPr>
              <w:rPr>
                <w:rFonts w:ascii="Arial" w:hAnsi="Arial" w:cs="Arial"/>
                <w:sz w:val="16"/>
                <w:szCs w:val="16"/>
              </w:rPr>
            </w:pPr>
            <w:r w:rsidRPr="001F344E">
              <w:rPr>
                <w:rFonts w:ascii="Arial" w:hAnsi="Arial" w:cs="Arial"/>
                <w:sz w:val="16"/>
                <w:szCs w:val="16"/>
              </w:rPr>
              <w:t>***Costes directos desglosados en la Tabla 7.1.7 (en anex</w:t>
            </w:r>
            <w:r>
              <w:rPr>
                <w:rFonts w:ascii="Arial" w:hAnsi="Arial" w:cs="Arial"/>
                <w:sz w:val="16"/>
                <w:szCs w:val="16"/>
              </w:rPr>
              <w:t>o VI</w:t>
            </w:r>
            <w:r w:rsidRPr="001F344E">
              <w:rPr>
                <w:rFonts w:ascii="Arial" w:hAnsi="Arial" w:cs="Arial"/>
                <w:sz w:val="16"/>
                <w:szCs w:val="16"/>
              </w:rPr>
              <w:t>)</w:t>
            </w:r>
          </w:p>
        </w:tc>
      </w:tr>
    </w:tbl>
    <w:p w:rsidR="007D48BC" w:rsidRDefault="007D48BC" w:rsidP="00BC3E8E">
      <w:pPr>
        <w:jc w:val="both"/>
        <w:rPr>
          <w:rFonts w:ascii="Arial" w:hAnsi="Arial" w:cs="Arial"/>
          <w:b/>
          <w:bCs/>
          <w:shd w:val="clear" w:color="auto" w:fill="C0C0C0"/>
        </w:rPr>
      </w:pPr>
    </w:p>
    <w:p w:rsidR="007D48BC" w:rsidRDefault="007D48BC" w:rsidP="00BC3E8E">
      <w:pPr>
        <w:jc w:val="both"/>
        <w:rPr>
          <w:rFonts w:ascii="Arial" w:hAnsi="Arial" w:cs="Arial"/>
          <w:b/>
          <w:bCs/>
          <w:shd w:val="clear" w:color="auto" w:fill="C0C0C0"/>
        </w:rPr>
        <w:sectPr w:rsidR="007D48BC" w:rsidSect="00430EAB">
          <w:pgSz w:w="16838" w:h="11906" w:orient="landscape"/>
          <w:pgMar w:top="1469" w:right="1418" w:bottom="1701" w:left="1418" w:header="709" w:footer="709" w:gutter="0"/>
          <w:cols w:space="708"/>
          <w:rtlGutter/>
          <w:docGrid w:linePitch="360"/>
        </w:sectPr>
      </w:pPr>
    </w:p>
    <w:p w:rsidR="007D48BC" w:rsidRDefault="007D48BC" w:rsidP="00BC3E8E">
      <w:pPr>
        <w:jc w:val="both"/>
        <w:rPr>
          <w:rFonts w:ascii="Arial" w:hAnsi="Arial" w:cs="Arial"/>
        </w:rPr>
      </w:pPr>
    </w:p>
    <w:p w:rsidR="007D48BC" w:rsidRDefault="007D48BC" w:rsidP="00CA2593">
      <w:pPr>
        <w:pStyle w:val="Ttulo2"/>
        <w:pBdr>
          <w:top w:val="single" w:sz="4" w:space="1" w:color="auto"/>
          <w:left w:val="single" w:sz="4" w:space="4" w:color="auto"/>
          <w:bottom w:val="single" w:sz="4" w:space="1" w:color="auto"/>
          <w:right w:val="single" w:sz="4" w:space="0" w:color="auto"/>
        </w:pBdr>
        <w:shd w:val="clear" w:color="auto" w:fill="D9D9D9"/>
        <w:rPr>
          <w:sz w:val="20"/>
          <w:szCs w:val="20"/>
        </w:rPr>
      </w:pPr>
      <w:bookmarkStart w:id="84" w:name="_Toc348931454"/>
      <w:r>
        <w:rPr>
          <w:sz w:val="20"/>
          <w:szCs w:val="20"/>
        </w:rPr>
        <w:t xml:space="preserve">7.2 </w:t>
      </w:r>
      <w:bookmarkEnd w:id="84"/>
      <w:r>
        <w:rPr>
          <w:sz w:val="20"/>
          <w:szCs w:val="20"/>
        </w:rPr>
        <w:t>Evaluaciones económicas publicadas</w:t>
      </w:r>
      <w:r w:rsidR="00FE59AC">
        <w:rPr>
          <w:sz w:val="20"/>
          <w:szCs w:val="20"/>
        </w:rPr>
        <w:fldChar w:fldCharType="begin"/>
      </w:r>
      <w:r>
        <w:instrText>xe "</w:instrText>
      </w:r>
      <w:r w:rsidRPr="004727A1">
        <w:rPr>
          <w:sz w:val="20"/>
          <w:szCs w:val="20"/>
        </w:rPr>
        <w:instrText>7.2 Evaluaciones económicas publicadas</w:instrText>
      </w:r>
      <w:r>
        <w:instrText>"</w:instrText>
      </w:r>
      <w:r w:rsidR="00FE59AC">
        <w:rPr>
          <w:sz w:val="20"/>
          <w:szCs w:val="20"/>
        </w:rPr>
        <w:fldChar w:fldCharType="end"/>
      </w:r>
      <w:r>
        <w:rPr>
          <w:sz w:val="20"/>
          <w:szCs w:val="20"/>
        </w:rPr>
        <w:t xml:space="preserve">  </w:t>
      </w:r>
    </w:p>
    <w:p w:rsidR="007D48BC" w:rsidRDefault="007D48BC" w:rsidP="00E770E5">
      <w:pPr>
        <w:jc w:val="both"/>
        <w:rPr>
          <w:rFonts w:ascii="Arial" w:hAnsi="Arial" w:cs="Arial"/>
        </w:rPr>
      </w:pPr>
    </w:p>
    <w:p w:rsidR="007D48BC" w:rsidRDefault="007D48BC" w:rsidP="00E770E5">
      <w:pPr>
        <w:pBdr>
          <w:top w:val="single" w:sz="4" w:space="1" w:color="auto"/>
          <w:left w:val="single" w:sz="4" w:space="0" w:color="auto"/>
          <w:bottom w:val="single" w:sz="4" w:space="1" w:color="auto"/>
          <w:right w:val="single" w:sz="4" w:space="4" w:color="auto"/>
          <w:between w:val="single" w:sz="4" w:space="1" w:color="auto"/>
        </w:pBdr>
        <w:shd w:val="clear" w:color="auto" w:fill="D9D9D9"/>
        <w:rPr>
          <w:rFonts w:ascii="Arial" w:hAnsi="Arial" w:cs="Arial"/>
          <w:b/>
          <w:bCs/>
        </w:rPr>
      </w:pPr>
      <w:r>
        <w:rPr>
          <w:rFonts w:ascii="Arial" w:hAnsi="Arial" w:cs="Arial"/>
          <w:b/>
          <w:bCs/>
        </w:rPr>
        <w:t>7.2.a Búsqueda de evaluaciones económicas publicadas</w:t>
      </w:r>
      <w:r w:rsidR="00FE59AC">
        <w:rPr>
          <w:rFonts w:ascii="Arial" w:hAnsi="Arial" w:cs="Arial"/>
          <w:b/>
          <w:bCs/>
        </w:rPr>
        <w:fldChar w:fldCharType="begin"/>
      </w:r>
      <w:r>
        <w:instrText>xe "</w:instrText>
      </w:r>
      <w:r w:rsidRPr="004727A1">
        <w:rPr>
          <w:rFonts w:ascii="Arial" w:hAnsi="Arial" w:cs="Arial"/>
          <w:b/>
          <w:bCs/>
        </w:rPr>
        <w:instrText>7.2.a Búsqueda de evaluaciones económicas publicadas</w:instrText>
      </w:r>
      <w:r>
        <w:instrText>"</w:instrText>
      </w:r>
      <w:r w:rsidR="00FE59AC">
        <w:rPr>
          <w:rFonts w:ascii="Arial" w:hAnsi="Arial" w:cs="Arial"/>
          <w:b/>
          <w:bCs/>
        </w:rPr>
        <w:fldChar w:fldCharType="end"/>
      </w:r>
    </w:p>
    <w:p w:rsidR="007D48BC" w:rsidRDefault="007D48BC" w:rsidP="00BC4139">
      <w:pPr>
        <w:autoSpaceDE w:val="0"/>
        <w:autoSpaceDN w:val="0"/>
        <w:adjustRightInd w:val="0"/>
        <w:spacing w:line="360" w:lineRule="auto"/>
        <w:jc w:val="both"/>
        <w:rPr>
          <w:rFonts w:ascii="Arial" w:hAnsi="Arial" w:cs="Arial"/>
        </w:rPr>
      </w:pPr>
    </w:p>
    <w:p w:rsidR="007D48BC" w:rsidRDefault="007D48BC" w:rsidP="00BC4139">
      <w:pPr>
        <w:autoSpaceDE w:val="0"/>
        <w:autoSpaceDN w:val="0"/>
        <w:adjustRightInd w:val="0"/>
        <w:spacing w:line="360" w:lineRule="auto"/>
        <w:jc w:val="both"/>
        <w:rPr>
          <w:rFonts w:ascii="Arial" w:hAnsi="Arial" w:cs="Arial"/>
        </w:rPr>
      </w:pPr>
      <w:r w:rsidRPr="00BC4139">
        <w:rPr>
          <w:rFonts w:ascii="Arial" w:hAnsi="Arial" w:cs="Arial"/>
        </w:rPr>
        <w:t xml:space="preserve">Con el objeto de identificar evaluaciones económicas sobre </w:t>
      </w:r>
      <w:r>
        <w:rPr>
          <w:rFonts w:ascii="Arial" w:hAnsi="Arial" w:cs="Arial"/>
        </w:rPr>
        <w:t>a</w:t>
      </w:r>
      <w:r w:rsidRPr="00BC4139">
        <w:rPr>
          <w:rFonts w:ascii="Arial" w:hAnsi="Arial" w:cs="Arial"/>
        </w:rPr>
        <w:t>xicabtagen ciloleucel</w:t>
      </w:r>
      <w:r>
        <w:rPr>
          <w:rFonts w:ascii="Arial" w:hAnsi="Arial" w:cs="Arial"/>
        </w:rPr>
        <w:t xml:space="preserve"> </w:t>
      </w:r>
      <w:r w:rsidRPr="00BC4139">
        <w:rPr>
          <w:rFonts w:ascii="Arial" w:hAnsi="Arial" w:cs="Arial"/>
        </w:rPr>
        <w:t>en L</w:t>
      </w:r>
      <w:r w:rsidR="006D2D76">
        <w:rPr>
          <w:rFonts w:ascii="Arial" w:hAnsi="Arial" w:cs="Arial"/>
        </w:rPr>
        <w:t>DCBG</w:t>
      </w:r>
      <w:r w:rsidRPr="00BC4139">
        <w:rPr>
          <w:rFonts w:ascii="Arial" w:hAnsi="Arial" w:cs="Arial"/>
        </w:rPr>
        <w:t xml:space="preserve"> refractario o en recaída, se llevó a cabo una búsqueda bibliográfica, con fecha </w:t>
      </w:r>
      <w:r>
        <w:rPr>
          <w:rFonts w:ascii="Arial" w:hAnsi="Arial" w:cs="Arial"/>
        </w:rPr>
        <w:t>14/12/2018</w:t>
      </w:r>
      <w:r w:rsidRPr="00BC4139">
        <w:rPr>
          <w:rFonts w:ascii="Arial" w:hAnsi="Arial" w:cs="Arial"/>
        </w:rPr>
        <w:t>. Se consultaron MEDLINE, Embase, las bases de datos del Centre for Reviews and Dissemination de la Universidad de York, y el Cost-Effectiveness Analysis Registry, utilizando la siguiente estrategia de búsqueda: (Axicabtagen</w:t>
      </w:r>
      <w:r w:rsidR="00C404C6">
        <w:rPr>
          <w:rFonts w:ascii="Arial" w:hAnsi="Arial" w:cs="Arial"/>
        </w:rPr>
        <w:t>e</w:t>
      </w:r>
      <w:r w:rsidRPr="00BC4139">
        <w:rPr>
          <w:rFonts w:ascii="Arial" w:hAnsi="Arial" w:cs="Arial"/>
        </w:rPr>
        <w:t xml:space="preserve"> ciloleucel) AND [(economic evaluation) OR (economic analyisis) OR (cost effectiveness) OR (cost utility)]. Adicionalmente se consultaron las páginas Web de organismos evaluadores de referencia, como el NICE y la CADTH.</w:t>
      </w:r>
    </w:p>
    <w:p w:rsidR="007D48BC" w:rsidRDefault="007D48BC" w:rsidP="008F6C7E">
      <w:pPr>
        <w:autoSpaceDE w:val="0"/>
        <w:autoSpaceDN w:val="0"/>
        <w:adjustRightInd w:val="0"/>
        <w:spacing w:line="360" w:lineRule="auto"/>
        <w:jc w:val="both"/>
        <w:rPr>
          <w:rFonts w:ascii="Arial" w:hAnsi="Arial" w:cs="Arial"/>
        </w:rPr>
      </w:pPr>
      <w:r>
        <w:rPr>
          <w:rFonts w:ascii="Arial" w:hAnsi="Arial" w:cs="Arial"/>
        </w:rPr>
        <w:t>Se dispone de 1 estudio económico sobre a</w:t>
      </w:r>
      <w:r w:rsidRPr="00BC4139">
        <w:rPr>
          <w:rFonts w:ascii="Arial" w:hAnsi="Arial" w:cs="Arial"/>
        </w:rPr>
        <w:t>xicabtagen ciloleucel</w:t>
      </w:r>
      <w:r>
        <w:rPr>
          <w:rFonts w:ascii="Arial" w:hAnsi="Arial" w:cs="Arial"/>
        </w:rPr>
        <w:t xml:space="preserve"> en la indicación evaluada en el presente informe, financiada por el laboratorio titular de la comercialización del fármaco</w:t>
      </w:r>
      <w:r w:rsidRPr="00EE6258">
        <w:rPr>
          <w:rFonts w:ascii="Arial" w:hAnsi="Arial" w:cs="Arial"/>
          <w:vertAlign w:val="superscript"/>
        </w:rPr>
        <w:t>2</w:t>
      </w:r>
      <w:r>
        <w:rPr>
          <w:rFonts w:ascii="Arial" w:hAnsi="Arial" w:cs="Arial"/>
          <w:vertAlign w:val="superscript"/>
        </w:rPr>
        <w:t>6</w:t>
      </w:r>
      <w:r>
        <w:rPr>
          <w:rFonts w:ascii="Arial" w:hAnsi="Arial" w:cs="Arial"/>
        </w:rPr>
        <w:t xml:space="preserve">. Se trata de un estudio de coste-utilidad a través de un modelo de decisión empleando datos del ensayo pivotal de un solo brazo. </w:t>
      </w:r>
    </w:p>
    <w:p w:rsidR="007D48BC" w:rsidRDefault="007D48BC" w:rsidP="008F6C7E">
      <w:pPr>
        <w:autoSpaceDE w:val="0"/>
        <w:autoSpaceDN w:val="0"/>
        <w:adjustRightInd w:val="0"/>
        <w:spacing w:line="360" w:lineRule="auto"/>
        <w:jc w:val="both"/>
        <w:rPr>
          <w:rFonts w:ascii="Arial" w:hAnsi="Arial" w:cs="Arial"/>
        </w:rPr>
      </w:pPr>
      <w:r>
        <w:rPr>
          <w:rFonts w:ascii="Arial" w:hAnsi="Arial" w:cs="Arial"/>
        </w:rPr>
        <w:t>Además, se incluye el informe de evaluación del ICER (</w:t>
      </w:r>
      <w:r w:rsidRPr="00D5540F">
        <w:rPr>
          <w:rFonts w:ascii="Arial" w:hAnsi="Arial" w:cs="Arial"/>
          <w:i/>
          <w:iCs/>
        </w:rPr>
        <w:t>Institute for clinical and economic review</w:t>
      </w:r>
      <w:r>
        <w:rPr>
          <w:rFonts w:ascii="Arial" w:hAnsi="Arial" w:cs="Arial"/>
        </w:rPr>
        <w:t xml:space="preserve">) </w:t>
      </w:r>
      <w:r w:rsidRPr="00D5540F">
        <w:rPr>
          <w:rFonts w:ascii="Arial" w:hAnsi="Arial" w:cs="Arial"/>
          <w:vertAlign w:val="superscript"/>
        </w:rPr>
        <w:t>23</w:t>
      </w:r>
      <w:r>
        <w:rPr>
          <w:rFonts w:ascii="Arial" w:hAnsi="Arial" w:cs="Arial"/>
          <w:vertAlign w:val="superscript"/>
        </w:rPr>
        <w:t xml:space="preserve"> </w:t>
      </w:r>
      <w:r>
        <w:rPr>
          <w:rFonts w:ascii="Arial" w:hAnsi="Arial" w:cs="Arial"/>
        </w:rPr>
        <w:t>de 2018 donde se repasan los aspectos más importantes de los datos económicos disponibles hasta la fecha.</w:t>
      </w:r>
    </w:p>
    <w:p w:rsidR="007D48BC" w:rsidRDefault="007D48BC" w:rsidP="008F6C7E">
      <w:pPr>
        <w:autoSpaceDE w:val="0"/>
        <w:autoSpaceDN w:val="0"/>
        <w:adjustRightInd w:val="0"/>
        <w:spacing w:line="360" w:lineRule="auto"/>
        <w:jc w:val="both"/>
        <w:rPr>
          <w:rFonts w:ascii="Arial" w:hAnsi="Arial" w:cs="Arial"/>
        </w:rPr>
      </w:pPr>
      <w:r>
        <w:rPr>
          <w:rFonts w:ascii="Arial" w:hAnsi="Arial" w:cs="Arial"/>
        </w:rPr>
        <w:t>Finalmente incluimos un resumen del informe del NICE</w:t>
      </w:r>
      <w:r w:rsidRPr="00C44C25">
        <w:rPr>
          <w:rFonts w:ascii="Arial" w:hAnsi="Arial" w:cs="Arial"/>
          <w:vertAlign w:val="superscript"/>
        </w:rPr>
        <w:t>2</w:t>
      </w:r>
      <w:r>
        <w:rPr>
          <w:rFonts w:ascii="Arial" w:hAnsi="Arial" w:cs="Arial"/>
          <w:vertAlign w:val="superscript"/>
        </w:rPr>
        <w:t>2</w:t>
      </w:r>
      <w:r>
        <w:rPr>
          <w:rFonts w:ascii="Arial" w:hAnsi="Arial" w:cs="Arial"/>
        </w:rPr>
        <w:t xml:space="preserve"> sobre el fármaco y los aspectos económicos que aborda. </w:t>
      </w:r>
    </w:p>
    <w:p w:rsidR="007D48BC" w:rsidRDefault="007D48BC" w:rsidP="00E770E5">
      <w:pPr>
        <w:jc w:val="both"/>
        <w:rPr>
          <w:rFonts w:ascii="Arial" w:hAnsi="Arial" w:cs="Arial"/>
          <w:lang w:val="es-ES_tradnl"/>
        </w:rPr>
      </w:pPr>
    </w:p>
    <w:p w:rsidR="007D48BC" w:rsidRDefault="007D48BC" w:rsidP="00E770E5">
      <w:pPr>
        <w:pBdr>
          <w:top w:val="single" w:sz="4" w:space="1" w:color="auto"/>
          <w:left w:val="single" w:sz="4" w:space="0" w:color="auto"/>
          <w:bottom w:val="single" w:sz="4" w:space="1" w:color="auto"/>
          <w:right w:val="single" w:sz="4" w:space="4" w:color="auto"/>
          <w:between w:val="single" w:sz="4" w:space="1" w:color="auto"/>
        </w:pBdr>
        <w:shd w:val="clear" w:color="auto" w:fill="D9D9D9"/>
        <w:rPr>
          <w:rFonts w:ascii="Arial" w:hAnsi="Arial" w:cs="Arial"/>
          <w:b/>
          <w:bCs/>
        </w:rPr>
      </w:pPr>
      <w:r>
        <w:rPr>
          <w:rFonts w:ascii="Arial" w:hAnsi="Arial" w:cs="Arial"/>
          <w:b/>
          <w:bCs/>
        </w:rPr>
        <w:t>7.2.b Extracción de datos de las evaluaciones económicas publicadas</w:t>
      </w:r>
      <w:r w:rsidR="00FE59AC">
        <w:rPr>
          <w:rFonts w:ascii="Arial" w:hAnsi="Arial" w:cs="Arial"/>
          <w:b/>
          <w:bCs/>
        </w:rPr>
        <w:fldChar w:fldCharType="begin"/>
      </w:r>
      <w:r>
        <w:instrText>xe "</w:instrText>
      </w:r>
      <w:r w:rsidRPr="00801322">
        <w:rPr>
          <w:rFonts w:ascii="Arial" w:hAnsi="Arial" w:cs="Arial"/>
          <w:b/>
          <w:bCs/>
        </w:rPr>
        <w:instrText>7.2.b Extracción de datos de las evaluaciones económicas publicadas</w:instrText>
      </w:r>
      <w:r>
        <w:instrText>"</w:instrText>
      </w:r>
      <w:r w:rsidR="00FE59AC">
        <w:rPr>
          <w:rFonts w:ascii="Arial" w:hAnsi="Arial" w:cs="Arial"/>
          <w:b/>
          <w:bCs/>
        </w:rPr>
        <w:fldChar w:fldCharType="end"/>
      </w:r>
    </w:p>
    <w:p w:rsidR="007D48BC" w:rsidRDefault="007D48BC" w:rsidP="006E6E91">
      <w:pPr>
        <w:jc w:val="both"/>
        <w:rPr>
          <w:rFonts w:ascii="Arial" w:hAnsi="Arial" w:cs="Arial"/>
        </w:rPr>
      </w:pPr>
    </w:p>
    <w:p w:rsidR="007D48BC" w:rsidRDefault="007D48BC" w:rsidP="00D5540F">
      <w:pPr>
        <w:spacing w:line="360" w:lineRule="auto"/>
        <w:jc w:val="both"/>
        <w:rPr>
          <w:rFonts w:ascii="Arial" w:hAnsi="Arial" w:cs="Arial"/>
        </w:rPr>
      </w:pPr>
      <w:r>
        <w:rPr>
          <w:rFonts w:ascii="Arial" w:hAnsi="Arial" w:cs="Arial"/>
        </w:rPr>
        <w:t xml:space="preserve">Roth et al </w:t>
      </w:r>
      <w:r w:rsidRPr="006E6E91">
        <w:rPr>
          <w:rFonts w:ascii="Arial" w:hAnsi="Arial" w:cs="Arial"/>
          <w:vertAlign w:val="superscript"/>
        </w:rPr>
        <w:t>2</w:t>
      </w:r>
      <w:r>
        <w:rPr>
          <w:rFonts w:ascii="Arial" w:hAnsi="Arial" w:cs="Arial"/>
          <w:vertAlign w:val="superscript"/>
        </w:rPr>
        <w:t>6</w:t>
      </w:r>
      <w:r>
        <w:rPr>
          <w:rFonts w:ascii="Arial" w:hAnsi="Arial" w:cs="Arial"/>
        </w:rPr>
        <w:t>, evaluaron el coste-efectividad de a</w:t>
      </w:r>
      <w:r w:rsidRPr="00BC4139">
        <w:rPr>
          <w:rFonts w:ascii="Arial" w:hAnsi="Arial" w:cs="Arial"/>
        </w:rPr>
        <w:t>xicabtagen ciloleuce</w:t>
      </w:r>
      <w:r>
        <w:rPr>
          <w:rFonts w:ascii="Arial" w:hAnsi="Arial" w:cs="Arial"/>
        </w:rPr>
        <w:t xml:space="preserve">l </w:t>
      </w:r>
      <w:r w:rsidR="006D2D76">
        <w:rPr>
          <w:rFonts w:ascii="Arial" w:hAnsi="Arial" w:cs="Arial"/>
        </w:rPr>
        <w:t xml:space="preserve">frente a </w:t>
      </w:r>
      <w:r>
        <w:rPr>
          <w:rFonts w:ascii="Arial" w:hAnsi="Arial" w:cs="Arial"/>
        </w:rPr>
        <w:t>tratamiento de rescate en pacientes con</w:t>
      </w:r>
      <w:r w:rsidRPr="006E6E91">
        <w:rPr>
          <w:rFonts w:ascii="Arial" w:hAnsi="Arial" w:cs="Arial"/>
        </w:rPr>
        <w:t xml:space="preserve"> </w:t>
      </w:r>
      <w:r>
        <w:rPr>
          <w:rFonts w:ascii="Arial" w:hAnsi="Arial" w:cs="Arial"/>
        </w:rPr>
        <w:t>l</w:t>
      </w:r>
      <w:r w:rsidRPr="006E6E91">
        <w:rPr>
          <w:rFonts w:ascii="Arial" w:hAnsi="Arial" w:cs="Arial"/>
        </w:rPr>
        <w:t>infoma difuso de Células B grandes refractario o en recaída</w:t>
      </w:r>
      <w:r>
        <w:rPr>
          <w:rFonts w:ascii="Arial" w:hAnsi="Arial" w:cs="Arial"/>
        </w:rPr>
        <w:t>. Para ello</w:t>
      </w:r>
      <w:r w:rsidR="006D2D76">
        <w:rPr>
          <w:rFonts w:ascii="Arial" w:hAnsi="Arial" w:cs="Arial"/>
        </w:rPr>
        <w:t xml:space="preserve"> utilizaron un modelo </w:t>
      </w:r>
      <w:r>
        <w:rPr>
          <w:rFonts w:ascii="Arial" w:hAnsi="Arial" w:cs="Arial"/>
        </w:rPr>
        <w:t xml:space="preserve">de decisión basado en la estratificación de la </w:t>
      </w:r>
      <w:r w:rsidRPr="006E6E91">
        <w:rPr>
          <w:rFonts w:ascii="Arial" w:hAnsi="Arial" w:cs="Arial"/>
        </w:rPr>
        <w:t>supervivencia, en el que se consideraron tres estados de salud mutuamente excluyentes: pre-progresión, post-progresión y muerte.</w:t>
      </w:r>
      <w:r w:rsidRPr="005A16B9">
        <w:rPr>
          <w:rFonts w:ascii="Arial" w:hAnsi="Arial" w:cs="Arial"/>
        </w:rPr>
        <w:t xml:space="preserve"> El tiempo en cada estado de salud fue estimado a través de métodos de supervivencia de partición (área bajo las curvas de supervivencia).</w:t>
      </w:r>
    </w:p>
    <w:p w:rsidR="007D48BC" w:rsidRDefault="007D48BC" w:rsidP="00D5540F">
      <w:pPr>
        <w:spacing w:line="360" w:lineRule="auto"/>
        <w:jc w:val="both"/>
        <w:rPr>
          <w:rFonts w:ascii="Arial" w:hAnsi="Arial" w:cs="Arial"/>
        </w:rPr>
      </w:pPr>
      <w:r>
        <w:rPr>
          <w:rFonts w:ascii="Arial" w:hAnsi="Arial" w:cs="Arial"/>
        </w:rPr>
        <w:t>Las fuentes de datos de eficacia fueron los estudios ZUMA-1 y SCHOLAR-1.</w:t>
      </w:r>
    </w:p>
    <w:p w:rsidR="007D48BC" w:rsidRDefault="007D48BC" w:rsidP="00D5540F">
      <w:pPr>
        <w:spacing w:line="360" w:lineRule="auto"/>
        <w:jc w:val="both"/>
        <w:rPr>
          <w:rFonts w:ascii="Arial" w:hAnsi="Arial" w:cs="Arial"/>
        </w:rPr>
      </w:pPr>
    </w:p>
    <w:p w:rsidR="007D48BC" w:rsidRDefault="007D48BC" w:rsidP="006E6E91">
      <w:pPr>
        <w:jc w:val="both"/>
        <w:rPr>
          <w:rFonts w:ascii="Arial" w:hAnsi="Arial" w:cs="Arial"/>
        </w:rPr>
      </w:pPr>
    </w:p>
    <w:p w:rsidR="007D48BC" w:rsidRDefault="007D48BC" w:rsidP="006E6E91">
      <w:pPr>
        <w:jc w:val="both"/>
        <w:rPr>
          <w:rFonts w:ascii="Arial" w:hAnsi="Arial" w:cs="Arial"/>
        </w:rPr>
      </w:pPr>
    </w:p>
    <w:tbl>
      <w:tblPr>
        <w:tblW w:w="8931" w:type="dxa"/>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127"/>
        <w:gridCol w:w="1417"/>
        <w:gridCol w:w="1278"/>
        <w:gridCol w:w="4109"/>
      </w:tblGrid>
      <w:tr w:rsidR="007D48BC" w:rsidRPr="00E770E5">
        <w:trPr>
          <w:cantSplit/>
        </w:trPr>
        <w:tc>
          <w:tcPr>
            <w:tcW w:w="8931" w:type="dxa"/>
            <w:gridSpan w:val="4"/>
            <w:shd w:val="clear" w:color="auto" w:fill="C6D9F1"/>
          </w:tcPr>
          <w:p w:rsidR="007D48BC" w:rsidRPr="00E770E5" w:rsidRDefault="007D48BC" w:rsidP="00DD11A7">
            <w:pPr>
              <w:rPr>
                <w:rFonts w:ascii="Arial" w:hAnsi="Arial" w:cs="Arial"/>
                <w:b/>
                <w:bCs/>
                <w:sz w:val="16"/>
                <w:szCs w:val="16"/>
              </w:rPr>
            </w:pPr>
            <w:r>
              <w:rPr>
                <w:rFonts w:ascii="Arial" w:hAnsi="Arial" w:cs="Arial"/>
              </w:rPr>
              <w:br w:type="page"/>
            </w:r>
            <w:r w:rsidRPr="00117945">
              <w:rPr>
                <w:rFonts w:ascii="Arial" w:hAnsi="Arial" w:cs="Arial"/>
                <w:b/>
                <w:bCs/>
                <w:sz w:val="18"/>
                <w:szCs w:val="18"/>
              </w:rPr>
              <w:t xml:space="preserve">Tabla </w:t>
            </w:r>
            <w:r>
              <w:rPr>
                <w:rFonts w:ascii="Arial" w:hAnsi="Arial" w:cs="Arial"/>
                <w:b/>
                <w:bCs/>
                <w:sz w:val="18"/>
                <w:szCs w:val="18"/>
              </w:rPr>
              <w:t>16</w:t>
            </w:r>
            <w:r w:rsidRPr="00117945">
              <w:rPr>
                <w:rFonts w:ascii="Arial" w:hAnsi="Arial" w:cs="Arial"/>
                <w:b/>
                <w:bCs/>
                <w:sz w:val="18"/>
                <w:szCs w:val="18"/>
              </w:rPr>
              <w:t>. Tabla de extracción de datos de una evaluación económica publicada</w:t>
            </w:r>
          </w:p>
        </w:tc>
      </w:tr>
      <w:tr w:rsidR="007D48BC" w:rsidRPr="007F523B">
        <w:trPr>
          <w:cantSplit/>
        </w:trPr>
        <w:tc>
          <w:tcPr>
            <w:tcW w:w="8931" w:type="dxa"/>
            <w:gridSpan w:val="4"/>
            <w:shd w:val="clear" w:color="auto" w:fill="D9D9D9"/>
          </w:tcPr>
          <w:p w:rsidR="007D48BC" w:rsidRPr="00EE6258" w:rsidRDefault="007D48BC" w:rsidP="00EE6258">
            <w:pPr>
              <w:spacing w:line="360" w:lineRule="auto"/>
              <w:jc w:val="both"/>
              <w:rPr>
                <w:rFonts w:ascii="Arial" w:hAnsi="Arial" w:cs="Arial"/>
                <w:color w:val="000000"/>
                <w:sz w:val="16"/>
                <w:szCs w:val="16"/>
                <w:lang w:val="en-US"/>
              </w:rPr>
            </w:pPr>
            <w:r w:rsidRPr="00EE6258">
              <w:rPr>
                <w:rFonts w:ascii="Arial" w:hAnsi="Arial" w:cs="Arial"/>
                <w:b/>
                <w:bCs/>
                <w:sz w:val="16"/>
                <w:szCs w:val="16"/>
                <w:lang w:val="en-US"/>
              </w:rPr>
              <w:t>Referencia: Roth JA, Sullivan SD, Lin VW, Bansal A, Purdum AG, Navale L, Cheng P, Ramsey SD. Cost-effectiveness of axicabtagen</w:t>
            </w:r>
            <w:r w:rsidR="007A3DBC">
              <w:rPr>
                <w:rFonts w:ascii="Arial" w:hAnsi="Arial" w:cs="Arial"/>
                <w:b/>
                <w:bCs/>
                <w:sz w:val="16"/>
                <w:szCs w:val="16"/>
                <w:lang w:val="en-US"/>
              </w:rPr>
              <w:t>e</w:t>
            </w:r>
            <w:r w:rsidRPr="00EE6258">
              <w:rPr>
                <w:rFonts w:ascii="Arial" w:hAnsi="Arial" w:cs="Arial"/>
                <w:b/>
                <w:bCs/>
                <w:sz w:val="16"/>
                <w:szCs w:val="16"/>
                <w:lang w:val="en-US"/>
              </w:rPr>
              <w:t xml:space="preserve"> ciloleucel for adult patients with relapsed or refractory large B-cell lymphoma in the United States. J Med Econ. 2018 Dec;21(12):1238-1245. doi: 10.1080/13696998.2018.1529674. Epub 2018 Oct 16.  Erratum in: J Med Econ. 2018 Dec;21(12):1255.</w:t>
            </w:r>
          </w:p>
        </w:tc>
      </w:tr>
      <w:tr w:rsidR="007D48BC">
        <w:trPr>
          <w:cantSplit/>
        </w:trPr>
        <w:tc>
          <w:tcPr>
            <w:tcW w:w="8931" w:type="dxa"/>
            <w:gridSpan w:val="4"/>
          </w:tcPr>
          <w:p w:rsidR="007D48BC" w:rsidRPr="005F07C7" w:rsidRDefault="007D48BC" w:rsidP="00DD11A7">
            <w:pPr>
              <w:rPr>
                <w:rFonts w:ascii="Arial" w:hAnsi="Arial" w:cs="Arial"/>
                <w:sz w:val="16"/>
                <w:szCs w:val="16"/>
              </w:rPr>
            </w:pPr>
            <w:r w:rsidRPr="005F07C7">
              <w:rPr>
                <w:rFonts w:ascii="Arial" w:hAnsi="Arial" w:cs="Arial"/>
                <w:sz w:val="16"/>
                <w:szCs w:val="16"/>
              </w:rPr>
              <w:t>- Tipo de estudio: Coste-efectividad</w:t>
            </w:r>
          </w:p>
          <w:p w:rsidR="007D48BC" w:rsidRPr="005F07C7" w:rsidRDefault="007D48BC" w:rsidP="00DD11A7">
            <w:pPr>
              <w:rPr>
                <w:rFonts w:ascii="Arial" w:hAnsi="Arial" w:cs="Arial"/>
                <w:sz w:val="16"/>
                <w:szCs w:val="16"/>
              </w:rPr>
            </w:pPr>
            <w:r w:rsidRPr="005F07C7">
              <w:rPr>
                <w:rFonts w:ascii="Arial" w:hAnsi="Arial" w:cs="Arial"/>
                <w:sz w:val="16"/>
                <w:szCs w:val="16"/>
              </w:rPr>
              <w:t>- Fuente de datos: axicabtagen ciloleucel: Ensayo ZUMA-1, pivotal. Comparadores: Quimioterapia de rescate (SCHOLAR-1)</w:t>
            </w:r>
          </w:p>
          <w:p w:rsidR="007D48BC" w:rsidRPr="005F07C7" w:rsidRDefault="007D48BC" w:rsidP="00DD11A7">
            <w:pPr>
              <w:rPr>
                <w:rFonts w:ascii="Arial" w:hAnsi="Arial" w:cs="Arial"/>
                <w:sz w:val="16"/>
                <w:szCs w:val="16"/>
              </w:rPr>
            </w:pPr>
            <w:r w:rsidRPr="005F07C7">
              <w:rPr>
                <w:rFonts w:ascii="Arial" w:hAnsi="Arial" w:cs="Arial"/>
                <w:sz w:val="16"/>
                <w:szCs w:val="16"/>
              </w:rPr>
              <w:t xml:space="preserve"> Modelización: Árbol de decisión</w:t>
            </w:r>
          </w:p>
          <w:p w:rsidR="007D48BC" w:rsidRPr="005F07C7" w:rsidRDefault="007D48BC" w:rsidP="00DD11A7">
            <w:pPr>
              <w:rPr>
                <w:rFonts w:ascii="Arial" w:hAnsi="Arial" w:cs="Arial"/>
                <w:sz w:val="16"/>
                <w:szCs w:val="16"/>
              </w:rPr>
            </w:pPr>
            <w:r w:rsidRPr="005F07C7">
              <w:rPr>
                <w:rFonts w:ascii="Arial" w:hAnsi="Arial" w:cs="Arial"/>
                <w:sz w:val="16"/>
                <w:szCs w:val="16"/>
              </w:rPr>
              <w:t>- Perspectiva: Sistema Sanitario de EEUU</w:t>
            </w:r>
          </w:p>
          <w:p w:rsidR="007D48BC" w:rsidRPr="005F07C7" w:rsidRDefault="007D48BC" w:rsidP="00DD11A7">
            <w:pPr>
              <w:rPr>
                <w:rFonts w:ascii="Arial" w:hAnsi="Arial" w:cs="Arial"/>
                <w:sz w:val="16"/>
                <w:szCs w:val="16"/>
              </w:rPr>
            </w:pPr>
            <w:r w:rsidRPr="005F07C7">
              <w:rPr>
                <w:rFonts w:ascii="Arial" w:hAnsi="Arial" w:cs="Arial"/>
                <w:sz w:val="16"/>
                <w:szCs w:val="16"/>
              </w:rPr>
              <w:t>- Población del escenario base (datos clínicos del ensayo ZUMA-1): Pacientes adultos con Linfoma difuso de Células B grandes refractario o en recaída</w:t>
            </w:r>
          </w:p>
          <w:p w:rsidR="007D48BC" w:rsidRPr="005F07C7" w:rsidRDefault="007D48BC" w:rsidP="00DD11A7">
            <w:pPr>
              <w:rPr>
                <w:rFonts w:ascii="Arial" w:hAnsi="Arial" w:cs="Arial"/>
                <w:sz w:val="16"/>
                <w:szCs w:val="16"/>
              </w:rPr>
            </w:pPr>
            <w:r w:rsidRPr="005F07C7">
              <w:rPr>
                <w:rFonts w:ascii="Arial" w:hAnsi="Arial" w:cs="Arial"/>
                <w:sz w:val="16"/>
                <w:szCs w:val="16"/>
              </w:rPr>
              <w:t>- Variables principales de resultado: coste incremental por año de vida (AV) ganado y coste incremental por año de vida ajustado por calidad (AVAC) ganado.</w:t>
            </w:r>
          </w:p>
          <w:p w:rsidR="007D48BC" w:rsidRPr="005F07C7" w:rsidRDefault="007D48BC" w:rsidP="00DD11A7">
            <w:pPr>
              <w:rPr>
                <w:rFonts w:ascii="Arial" w:hAnsi="Arial" w:cs="Arial"/>
                <w:sz w:val="16"/>
                <w:szCs w:val="16"/>
              </w:rPr>
            </w:pPr>
            <w:r w:rsidRPr="005F07C7">
              <w:rPr>
                <w:rFonts w:ascii="Arial" w:hAnsi="Arial" w:cs="Arial"/>
                <w:sz w:val="16"/>
                <w:szCs w:val="16"/>
              </w:rPr>
              <w:t>- Horizonte temporal: Vitalicio</w:t>
            </w:r>
          </w:p>
          <w:p w:rsidR="007D48BC" w:rsidRPr="005F07C7" w:rsidRDefault="007D48BC" w:rsidP="00DD11A7">
            <w:pPr>
              <w:rPr>
                <w:rFonts w:ascii="Arial" w:hAnsi="Arial" w:cs="Arial"/>
                <w:sz w:val="16"/>
                <w:szCs w:val="16"/>
              </w:rPr>
            </w:pPr>
            <w:r w:rsidRPr="005F07C7">
              <w:rPr>
                <w:rFonts w:ascii="Arial" w:hAnsi="Arial" w:cs="Arial"/>
                <w:sz w:val="16"/>
                <w:szCs w:val="16"/>
              </w:rPr>
              <w:t>- Costes incluidos en el estudio: Costes de adquisición y preparación del fármaco, Quimioterapia linfoablativa, ingreso para realizar el procedimiento y posterior observación, costes de administración del fármaco y costes relacionados con el manejo de efectos adversos y visitas posteriores al alta.</w:t>
            </w:r>
          </w:p>
          <w:p w:rsidR="007D48BC" w:rsidRPr="005F07C7" w:rsidRDefault="007D48BC" w:rsidP="00DD11A7">
            <w:pPr>
              <w:rPr>
                <w:rFonts w:ascii="Arial" w:hAnsi="Arial" w:cs="Arial"/>
                <w:sz w:val="16"/>
                <w:szCs w:val="16"/>
              </w:rPr>
            </w:pPr>
            <w:r w:rsidRPr="005F07C7">
              <w:rPr>
                <w:rFonts w:ascii="Arial" w:hAnsi="Arial" w:cs="Arial"/>
                <w:sz w:val="16"/>
                <w:szCs w:val="16"/>
              </w:rPr>
              <w:t>- Fuente de costes unitarios (GRD, e-Salud): Consultas a expertos y bases de datos de costes sanitarios</w:t>
            </w:r>
          </w:p>
          <w:p w:rsidR="007D48BC" w:rsidRPr="005F07C7" w:rsidRDefault="007D48BC" w:rsidP="00DD11A7">
            <w:pPr>
              <w:rPr>
                <w:rFonts w:ascii="Arial" w:hAnsi="Arial" w:cs="Arial"/>
                <w:sz w:val="16"/>
                <w:szCs w:val="16"/>
              </w:rPr>
            </w:pPr>
            <w:r w:rsidRPr="005F07C7">
              <w:rPr>
                <w:rFonts w:ascii="Arial" w:hAnsi="Arial" w:cs="Arial"/>
                <w:sz w:val="16"/>
                <w:szCs w:val="16"/>
              </w:rPr>
              <w:t>- Tasa de descuento aplicada en costes y en resultados de salud: 3%</w:t>
            </w:r>
          </w:p>
          <w:p w:rsidR="007D48BC" w:rsidRPr="005F07C7" w:rsidRDefault="007D48BC" w:rsidP="00DD11A7">
            <w:pPr>
              <w:rPr>
                <w:rFonts w:ascii="Arial" w:hAnsi="Arial" w:cs="Arial"/>
                <w:sz w:val="16"/>
                <w:szCs w:val="16"/>
              </w:rPr>
            </w:pPr>
            <w:r w:rsidRPr="005F07C7">
              <w:rPr>
                <w:rFonts w:ascii="Arial" w:hAnsi="Arial" w:cs="Arial"/>
                <w:sz w:val="16"/>
                <w:szCs w:val="16"/>
              </w:rPr>
              <w:t>- Valores de utilidad considerados: La utilidad de un paciente en tratamiento se considera (0.740), en remisión &lt; 6 meses de tratamiento (0.782) con datos obtenidos de media de EQ-5D-5L de pacientes en la cohorte ZUMA-1 y para remisión &gt;6 meses (0.823) EQ-5D-5L de un estudio previo. Para el comparador (0.673) durante el tratamiento y en progresión (0.390)</w:t>
            </w:r>
          </w:p>
          <w:p w:rsidR="007D48BC" w:rsidRPr="005F07C7" w:rsidRDefault="007D48BC" w:rsidP="00DD11A7">
            <w:pPr>
              <w:rPr>
                <w:rFonts w:ascii="Arial" w:hAnsi="Arial" w:cs="Arial"/>
                <w:sz w:val="16"/>
                <w:szCs w:val="16"/>
              </w:rPr>
            </w:pPr>
            <w:r w:rsidRPr="005F07C7">
              <w:rPr>
                <w:rFonts w:ascii="Arial" w:hAnsi="Arial" w:cs="Arial"/>
                <w:sz w:val="16"/>
                <w:szCs w:val="16"/>
              </w:rPr>
              <w:t>- Análisis de sensibilidad: Análisis univariante y probabilístico.</w:t>
            </w:r>
          </w:p>
          <w:p w:rsidR="007D48BC" w:rsidRDefault="007D48BC" w:rsidP="00DD11A7">
            <w:pPr>
              <w:rPr>
                <w:rFonts w:ascii="Arial" w:hAnsi="Arial" w:cs="Arial"/>
                <w:b/>
                <w:bCs/>
                <w:sz w:val="16"/>
                <w:szCs w:val="16"/>
              </w:rPr>
            </w:pPr>
            <w:r w:rsidRPr="005F07C7">
              <w:rPr>
                <w:rFonts w:ascii="Arial" w:hAnsi="Arial" w:cs="Arial"/>
                <w:sz w:val="16"/>
                <w:szCs w:val="16"/>
              </w:rPr>
              <w:t>- Conflicto de intereses: El estudio está financiado por KITE, perteneciente a GILEAD.</w:t>
            </w:r>
          </w:p>
        </w:tc>
      </w:tr>
      <w:tr w:rsidR="007D48BC">
        <w:trPr>
          <w:cantSplit/>
        </w:trPr>
        <w:tc>
          <w:tcPr>
            <w:tcW w:w="2127" w:type="dxa"/>
            <w:shd w:val="clear" w:color="auto" w:fill="D9D9D9"/>
            <w:vAlign w:val="center"/>
          </w:tcPr>
          <w:p w:rsidR="007D48BC" w:rsidRDefault="007D48BC" w:rsidP="005A16B9">
            <w:pPr>
              <w:jc w:val="center"/>
              <w:rPr>
                <w:rFonts w:ascii="Arial" w:hAnsi="Arial" w:cs="Arial"/>
                <w:b/>
                <w:bCs/>
                <w:sz w:val="16"/>
                <w:szCs w:val="16"/>
              </w:rPr>
            </w:pPr>
            <w:r>
              <w:rPr>
                <w:rFonts w:ascii="Arial" w:hAnsi="Arial" w:cs="Arial"/>
                <w:b/>
                <w:bCs/>
                <w:sz w:val="16"/>
                <w:szCs w:val="16"/>
              </w:rPr>
              <w:t xml:space="preserve">COSTES </w:t>
            </w:r>
          </w:p>
        </w:tc>
        <w:tc>
          <w:tcPr>
            <w:tcW w:w="1417" w:type="dxa"/>
            <w:shd w:val="clear" w:color="auto" w:fill="D9D9D9"/>
            <w:vAlign w:val="center"/>
          </w:tcPr>
          <w:p w:rsidR="007D48BC" w:rsidRDefault="007D48BC" w:rsidP="00FA1840">
            <w:pPr>
              <w:jc w:val="center"/>
              <w:rPr>
                <w:rFonts w:ascii="Arial" w:hAnsi="Arial" w:cs="Arial"/>
                <w:b/>
                <w:bCs/>
                <w:sz w:val="16"/>
                <w:szCs w:val="16"/>
              </w:rPr>
            </w:pPr>
            <w:r>
              <w:rPr>
                <w:rFonts w:ascii="Arial" w:hAnsi="Arial" w:cs="Arial"/>
                <w:b/>
                <w:bCs/>
                <w:sz w:val="16"/>
                <w:szCs w:val="16"/>
              </w:rPr>
              <w:t>A</w:t>
            </w:r>
            <w:r w:rsidRPr="00BA5C9F">
              <w:rPr>
                <w:rFonts w:ascii="Arial" w:hAnsi="Arial" w:cs="Arial"/>
                <w:b/>
                <w:bCs/>
                <w:sz w:val="16"/>
                <w:szCs w:val="16"/>
              </w:rPr>
              <w:t>xicabtagen ciloleucel</w:t>
            </w:r>
          </w:p>
        </w:tc>
        <w:tc>
          <w:tcPr>
            <w:tcW w:w="1278" w:type="dxa"/>
            <w:shd w:val="clear" w:color="auto" w:fill="D9D9D9"/>
            <w:vAlign w:val="center"/>
          </w:tcPr>
          <w:p w:rsidR="007D48BC" w:rsidRDefault="007D48BC" w:rsidP="005A16B9">
            <w:pPr>
              <w:jc w:val="center"/>
              <w:rPr>
                <w:rFonts w:ascii="Arial" w:hAnsi="Arial" w:cs="Arial"/>
                <w:b/>
                <w:bCs/>
                <w:sz w:val="16"/>
                <w:szCs w:val="16"/>
              </w:rPr>
            </w:pPr>
            <w:r>
              <w:rPr>
                <w:rFonts w:ascii="Arial" w:hAnsi="Arial" w:cs="Arial"/>
                <w:b/>
                <w:bCs/>
                <w:sz w:val="16"/>
                <w:szCs w:val="16"/>
              </w:rPr>
              <w:t>Quimioterapia de rescate</w:t>
            </w:r>
          </w:p>
        </w:tc>
        <w:tc>
          <w:tcPr>
            <w:tcW w:w="4109" w:type="dxa"/>
            <w:shd w:val="clear" w:color="auto" w:fill="D9D9D9"/>
            <w:vAlign w:val="center"/>
          </w:tcPr>
          <w:p w:rsidR="007D48BC" w:rsidRDefault="007D48BC" w:rsidP="005A16B9">
            <w:pPr>
              <w:jc w:val="center"/>
              <w:rPr>
                <w:rFonts w:ascii="Arial" w:hAnsi="Arial" w:cs="Arial"/>
                <w:b/>
                <w:bCs/>
                <w:sz w:val="16"/>
                <w:szCs w:val="16"/>
              </w:rPr>
            </w:pPr>
            <w:r>
              <w:rPr>
                <w:rFonts w:ascii="Arial" w:hAnsi="Arial" w:cs="Arial"/>
                <w:b/>
                <w:bCs/>
                <w:sz w:val="16"/>
                <w:szCs w:val="16"/>
              </w:rPr>
              <w:t>Incrementos</w:t>
            </w:r>
          </w:p>
        </w:tc>
      </w:tr>
      <w:tr w:rsidR="007D48BC">
        <w:trPr>
          <w:cantSplit/>
        </w:trPr>
        <w:tc>
          <w:tcPr>
            <w:tcW w:w="2127" w:type="dxa"/>
            <w:vAlign w:val="center"/>
          </w:tcPr>
          <w:p w:rsidR="007D48BC" w:rsidRDefault="007D48BC" w:rsidP="005A16B9">
            <w:pPr>
              <w:jc w:val="center"/>
              <w:rPr>
                <w:rFonts w:ascii="Arial" w:hAnsi="Arial" w:cs="Arial"/>
                <w:sz w:val="16"/>
                <w:szCs w:val="16"/>
              </w:rPr>
            </w:pPr>
            <w:r>
              <w:rPr>
                <w:rFonts w:ascii="Arial" w:hAnsi="Arial" w:cs="Arial"/>
                <w:sz w:val="16"/>
                <w:szCs w:val="16"/>
              </w:rPr>
              <w:t xml:space="preserve">Coste del tratamiento con el fármaco </w:t>
            </w:r>
          </w:p>
        </w:tc>
        <w:tc>
          <w:tcPr>
            <w:tcW w:w="1417" w:type="dxa"/>
            <w:vAlign w:val="center"/>
          </w:tcPr>
          <w:p w:rsidR="007D48BC" w:rsidRPr="00481FEB" w:rsidRDefault="007D48BC" w:rsidP="005A16B9">
            <w:pPr>
              <w:jc w:val="center"/>
              <w:rPr>
                <w:rFonts w:ascii="Arial" w:hAnsi="Arial" w:cs="Arial"/>
                <w:b/>
                <w:bCs/>
                <w:sz w:val="16"/>
                <w:szCs w:val="16"/>
              </w:rPr>
            </w:pPr>
            <w:r w:rsidRPr="00481FEB">
              <w:rPr>
                <w:rFonts w:ascii="Arial" w:hAnsi="Arial" w:cs="Arial"/>
                <w:b/>
                <w:bCs/>
                <w:sz w:val="16"/>
                <w:szCs w:val="16"/>
              </w:rPr>
              <w:t>$</w:t>
            </w:r>
            <w:r>
              <w:rPr>
                <w:rFonts w:ascii="Arial" w:hAnsi="Arial" w:cs="Arial"/>
                <w:b/>
                <w:bCs/>
                <w:sz w:val="16"/>
                <w:szCs w:val="16"/>
              </w:rPr>
              <w:t xml:space="preserve"> </w:t>
            </w:r>
            <w:r w:rsidRPr="00481FEB">
              <w:rPr>
                <w:rFonts w:ascii="Arial" w:hAnsi="Arial" w:cs="Arial"/>
                <w:b/>
                <w:bCs/>
                <w:sz w:val="16"/>
                <w:szCs w:val="16"/>
              </w:rPr>
              <w:t>426.548</w:t>
            </w:r>
          </w:p>
        </w:tc>
        <w:tc>
          <w:tcPr>
            <w:tcW w:w="1278" w:type="dxa"/>
            <w:vAlign w:val="center"/>
          </w:tcPr>
          <w:p w:rsidR="007D48BC" w:rsidRPr="00481FEB" w:rsidRDefault="007D48BC" w:rsidP="005A16B9">
            <w:pPr>
              <w:jc w:val="center"/>
              <w:rPr>
                <w:rFonts w:ascii="Arial" w:hAnsi="Arial" w:cs="Arial"/>
                <w:b/>
                <w:bCs/>
                <w:sz w:val="16"/>
                <w:szCs w:val="16"/>
              </w:rPr>
            </w:pPr>
            <w:r w:rsidRPr="00481FEB">
              <w:rPr>
                <w:rFonts w:ascii="Arial" w:hAnsi="Arial" w:cs="Arial"/>
                <w:b/>
                <w:bCs/>
                <w:sz w:val="16"/>
                <w:szCs w:val="16"/>
              </w:rPr>
              <w:t>$ 48.403</w:t>
            </w:r>
          </w:p>
        </w:tc>
        <w:tc>
          <w:tcPr>
            <w:tcW w:w="4109" w:type="dxa"/>
            <w:vAlign w:val="center"/>
          </w:tcPr>
          <w:p w:rsidR="007D48BC" w:rsidRPr="00481FEB" w:rsidRDefault="007D48BC" w:rsidP="005A16B9">
            <w:pPr>
              <w:jc w:val="center"/>
              <w:rPr>
                <w:rFonts w:ascii="Arial" w:hAnsi="Arial" w:cs="Arial"/>
                <w:b/>
                <w:bCs/>
                <w:sz w:val="16"/>
                <w:szCs w:val="16"/>
              </w:rPr>
            </w:pPr>
            <w:r w:rsidRPr="00481FEB">
              <w:rPr>
                <w:rFonts w:ascii="Arial" w:hAnsi="Arial" w:cs="Arial"/>
                <w:b/>
                <w:bCs/>
                <w:sz w:val="16"/>
                <w:szCs w:val="16"/>
              </w:rPr>
              <w:t>Coste incremental del fármaco   + $ 326.276</w:t>
            </w:r>
          </w:p>
        </w:tc>
      </w:tr>
      <w:tr w:rsidR="007D48BC">
        <w:trPr>
          <w:cantSplit/>
        </w:trPr>
        <w:tc>
          <w:tcPr>
            <w:tcW w:w="2127" w:type="dxa"/>
            <w:vAlign w:val="center"/>
          </w:tcPr>
          <w:p w:rsidR="007D48BC" w:rsidRPr="00A25027" w:rsidRDefault="007D48BC" w:rsidP="005A16B9">
            <w:pPr>
              <w:jc w:val="center"/>
              <w:rPr>
                <w:rFonts w:ascii="Arial" w:hAnsi="Arial" w:cs="Arial"/>
                <w:b/>
                <w:bCs/>
                <w:sz w:val="16"/>
                <w:szCs w:val="16"/>
              </w:rPr>
            </w:pPr>
            <w:r w:rsidRPr="00A25027">
              <w:rPr>
                <w:rFonts w:ascii="Arial" w:hAnsi="Arial" w:cs="Arial"/>
                <w:b/>
                <w:bCs/>
                <w:sz w:val="16"/>
                <w:szCs w:val="16"/>
              </w:rPr>
              <w:t>Coste total del paciente</w:t>
            </w:r>
          </w:p>
        </w:tc>
        <w:tc>
          <w:tcPr>
            <w:tcW w:w="1417" w:type="dxa"/>
            <w:vAlign w:val="center"/>
          </w:tcPr>
          <w:p w:rsidR="007D48BC" w:rsidRPr="00481FEB" w:rsidRDefault="007D48BC" w:rsidP="005A16B9">
            <w:pPr>
              <w:jc w:val="center"/>
              <w:rPr>
                <w:rFonts w:ascii="Arial" w:hAnsi="Arial" w:cs="Arial"/>
                <w:b/>
                <w:bCs/>
                <w:sz w:val="16"/>
                <w:szCs w:val="16"/>
              </w:rPr>
            </w:pPr>
            <w:r w:rsidRPr="00481FEB">
              <w:rPr>
                <w:rFonts w:ascii="Arial" w:hAnsi="Arial" w:cs="Arial"/>
                <w:b/>
                <w:bCs/>
                <w:sz w:val="16"/>
                <w:szCs w:val="16"/>
              </w:rPr>
              <w:t>$</w:t>
            </w:r>
            <w:r>
              <w:rPr>
                <w:rFonts w:ascii="Arial" w:hAnsi="Arial" w:cs="Arial"/>
                <w:b/>
                <w:bCs/>
                <w:sz w:val="16"/>
                <w:szCs w:val="16"/>
              </w:rPr>
              <w:t xml:space="preserve"> 552.921</w:t>
            </w:r>
          </w:p>
        </w:tc>
        <w:tc>
          <w:tcPr>
            <w:tcW w:w="1278" w:type="dxa"/>
            <w:vAlign w:val="center"/>
          </w:tcPr>
          <w:p w:rsidR="007D48BC" w:rsidRPr="00481FEB" w:rsidRDefault="007D48BC" w:rsidP="005A16B9">
            <w:pPr>
              <w:jc w:val="center"/>
              <w:rPr>
                <w:rFonts w:ascii="Arial" w:hAnsi="Arial" w:cs="Arial"/>
                <w:b/>
                <w:bCs/>
                <w:sz w:val="16"/>
                <w:szCs w:val="16"/>
              </w:rPr>
            </w:pPr>
            <w:r w:rsidRPr="00481FEB">
              <w:rPr>
                <w:rFonts w:ascii="Arial" w:hAnsi="Arial" w:cs="Arial"/>
                <w:b/>
                <w:bCs/>
                <w:sz w:val="16"/>
                <w:szCs w:val="16"/>
              </w:rPr>
              <w:t>$</w:t>
            </w:r>
            <w:r>
              <w:rPr>
                <w:rFonts w:ascii="Arial" w:hAnsi="Arial" w:cs="Arial"/>
                <w:b/>
                <w:bCs/>
                <w:sz w:val="16"/>
                <w:szCs w:val="16"/>
              </w:rPr>
              <w:t xml:space="preserve"> 172.737</w:t>
            </w:r>
          </w:p>
        </w:tc>
        <w:tc>
          <w:tcPr>
            <w:tcW w:w="4109" w:type="dxa"/>
            <w:vAlign w:val="center"/>
          </w:tcPr>
          <w:p w:rsidR="007D48BC" w:rsidRPr="00481FEB" w:rsidRDefault="007D48BC" w:rsidP="005A16B9">
            <w:pPr>
              <w:jc w:val="center"/>
              <w:rPr>
                <w:rFonts w:ascii="Arial" w:hAnsi="Arial" w:cs="Arial"/>
                <w:b/>
                <w:bCs/>
                <w:sz w:val="16"/>
                <w:szCs w:val="16"/>
              </w:rPr>
            </w:pPr>
            <w:r w:rsidRPr="00A25027">
              <w:rPr>
                <w:rFonts w:ascii="Arial" w:hAnsi="Arial" w:cs="Arial"/>
                <w:b/>
                <w:bCs/>
                <w:sz w:val="16"/>
                <w:szCs w:val="16"/>
              </w:rPr>
              <w:t>Coste incremental por paciente</w:t>
            </w:r>
            <w:r>
              <w:rPr>
                <w:rFonts w:ascii="Arial" w:hAnsi="Arial" w:cs="Arial"/>
                <w:b/>
                <w:bCs/>
                <w:sz w:val="16"/>
                <w:szCs w:val="16"/>
              </w:rPr>
              <w:t xml:space="preserve"> + $ 380.184</w:t>
            </w:r>
          </w:p>
        </w:tc>
      </w:tr>
      <w:tr w:rsidR="007D48BC">
        <w:trPr>
          <w:cantSplit/>
        </w:trPr>
        <w:tc>
          <w:tcPr>
            <w:tcW w:w="2127" w:type="dxa"/>
            <w:vAlign w:val="center"/>
          </w:tcPr>
          <w:p w:rsidR="007D48BC" w:rsidRDefault="007D48BC" w:rsidP="005A16B9">
            <w:pPr>
              <w:jc w:val="center"/>
              <w:rPr>
                <w:rFonts w:ascii="Arial" w:hAnsi="Arial" w:cs="Arial"/>
                <w:sz w:val="16"/>
                <w:szCs w:val="16"/>
              </w:rPr>
            </w:pPr>
            <w:r>
              <w:rPr>
                <w:rFonts w:ascii="Arial" w:hAnsi="Arial" w:cs="Arial"/>
                <w:sz w:val="16"/>
                <w:szCs w:val="16"/>
              </w:rPr>
              <w:t>Efectos adversos</w:t>
            </w:r>
          </w:p>
        </w:tc>
        <w:tc>
          <w:tcPr>
            <w:tcW w:w="1417" w:type="dxa"/>
            <w:vAlign w:val="center"/>
          </w:tcPr>
          <w:p w:rsidR="007D48BC" w:rsidRPr="00A25027" w:rsidRDefault="007D48BC" w:rsidP="005A16B9">
            <w:pPr>
              <w:jc w:val="center"/>
              <w:rPr>
                <w:rFonts w:ascii="Arial" w:hAnsi="Arial" w:cs="Arial"/>
                <w:sz w:val="16"/>
                <w:szCs w:val="16"/>
              </w:rPr>
            </w:pPr>
            <w:r w:rsidRPr="00A25027">
              <w:rPr>
                <w:rFonts w:ascii="Arial" w:hAnsi="Arial" w:cs="Arial"/>
                <w:sz w:val="16"/>
                <w:szCs w:val="16"/>
              </w:rPr>
              <w:t>$ 3.745</w:t>
            </w:r>
          </w:p>
        </w:tc>
        <w:tc>
          <w:tcPr>
            <w:tcW w:w="1278" w:type="dxa"/>
            <w:vAlign w:val="center"/>
          </w:tcPr>
          <w:p w:rsidR="007D48BC" w:rsidRPr="00A25027" w:rsidRDefault="007D48BC" w:rsidP="005A16B9">
            <w:pPr>
              <w:jc w:val="center"/>
              <w:rPr>
                <w:rFonts w:ascii="Arial" w:hAnsi="Arial" w:cs="Arial"/>
                <w:sz w:val="16"/>
                <w:szCs w:val="16"/>
              </w:rPr>
            </w:pPr>
            <w:r w:rsidRPr="00A25027">
              <w:rPr>
                <w:rFonts w:ascii="Arial" w:hAnsi="Arial" w:cs="Arial"/>
                <w:sz w:val="16"/>
                <w:szCs w:val="16"/>
              </w:rPr>
              <w:t>$ 4.337</w:t>
            </w:r>
          </w:p>
        </w:tc>
        <w:tc>
          <w:tcPr>
            <w:tcW w:w="4109" w:type="dxa"/>
            <w:vAlign w:val="center"/>
          </w:tcPr>
          <w:p w:rsidR="007D48BC" w:rsidRPr="00A25027" w:rsidRDefault="007D48BC" w:rsidP="005A16B9">
            <w:pPr>
              <w:jc w:val="center"/>
              <w:rPr>
                <w:rFonts w:ascii="Arial" w:hAnsi="Arial" w:cs="Arial"/>
                <w:sz w:val="16"/>
                <w:szCs w:val="16"/>
              </w:rPr>
            </w:pPr>
            <w:r w:rsidRPr="00A25027">
              <w:rPr>
                <w:rFonts w:ascii="Arial" w:hAnsi="Arial" w:cs="Arial"/>
                <w:sz w:val="16"/>
                <w:szCs w:val="16"/>
              </w:rPr>
              <w:t>$ 5.592</w:t>
            </w:r>
          </w:p>
        </w:tc>
      </w:tr>
      <w:tr w:rsidR="007D48BC">
        <w:trPr>
          <w:cantSplit/>
        </w:trPr>
        <w:tc>
          <w:tcPr>
            <w:tcW w:w="2127" w:type="dxa"/>
            <w:vAlign w:val="center"/>
          </w:tcPr>
          <w:p w:rsidR="007D48BC" w:rsidRDefault="007D48BC" w:rsidP="005A16B9">
            <w:pPr>
              <w:jc w:val="center"/>
              <w:rPr>
                <w:rFonts w:ascii="Arial" w:hAnsi="Arial" w:cs="Arial"/>
                <w:sz w:val="16"/>
                <w:szCs w:val="16"/>
              </w:rPr>
            </w:pPr>
            <w:r>
              <w:rPr>
                <w:rFonts w:ascii="Arial" w:hAnsi="Arial" w:cs="Arial"/>
                <w:sz w:val="16"/>
                <w:szCs w:val="16"/>
              </w:rPr>
              <w:t>TPH</w:t>
            </w:r>
          </w:p>
        </w:tc>
        <w:tc>
          <w:tcPr>
            <w:tcW w:w="1417" w:type="dxa"/>
            <w:vAlign w:val="center"/>
          </w:tcPr>
          <w:p w:rsidR="007D48BC" w:rsidRPr="00A25027" w:rsidRDefault="007D48BC" w:rsidP="005A16B9">
            <w:pPr>
              <w:jc w:val="center"/>
              <w:rPr>
                <w:rFonts w:ascii="Arial" w:hAnsi="Arial" w:cs="Arial"/>
                <w:sz w:val="16"/>
                <w:szCs w:val="16"/>
              </w:rPr>
            </w:pPr>
            <w:r w:rsidRPr="00A25027">
              <w:rPr>
                <w:rFonts w:ascii="Arial" w:hAnsi="Arial" w:cs="Arial"/>
                <w:sz w:val="16"/>
                <w:szCs w:val="16"/>
              </w:rPr>
              <w:t>$ 19.310</w:t>
            </w:r>
          </w:p>
        </w:tc>
        <w:tc>
          <w:tcPr>
            <w:tcW w:w="1278" w:type="dxa"/>
            <w:vAlign w:val="center"/>
          </w:tcPr>
          <w:p w:rsidR="007D48BC" w:rsidRPr="00A25027" w:rsidRDefault="007D48BC" w:rsidP="005A16B9">
            <w:pPr>
              <w:jc w:val="center"/>
              <w:rPr>
                <w:rFonts w:ascii="Arial" w:hAnsi="Arial" w:cs="Arial"/>
                <w:sz w:val="16"/>
                <w:szCs w:val="16"/>
              </w:rPr>
            </w:pPr>
            <w:r w:rsidRPr="00A25027">
              <w:rPr>
                <w:rFonts w:ascii="Arial" w:hAnsi="Arial" w:cs="Arial"/>
                <w:sz w:val="16"/>
                <w:szCs w:val="16"/>
              </w:rPr>
              <w:t>$ 48.100</w:t>
            </w:r>
          </w:p>
        </w:tc>
        <w:tc>
          <w:tcPr>
            <w:tcW w:w="4109" w:type="dxa"/>
            <w:vAlign w:val="center"/>
          </w:tcPr>
          <w:p w:rsidR="007D48BC" w:rsidRPr="00A25027" w:rsidRDefault="007D48BC" w:rsidP="005A16B9">
            <w:pPr>
              <w:jc w:val="center"/>
              <w:rPr>
                <w:rFonts w:ascii="Arial" w:hAnsi="Arial" w:cs="Arial"/>
                <w:sz w:val="16"/>
                <w:szCs w:val="16"/>
              </w:rPr>
            </w:pPr>
            <w:r w:rsidRPr="00A25027">
              <w:rPr>
                <w:rFonts w:ascii="Arial" w:hAnsi="Arial" w:cs="Arial"/>
                <w:sz w:val="16"/>
                <w:szCs w:val="16"/>
              </w:rPr>
              <w:t>$ 28.790</w:t>
            </w:r>
          </w:p>
        </w:tc>
      </w:tr>
      <w:tr w:rsidR="007D48BC">
        <w:trPr>
          <w:cantSplit/>
        </w:trPr>
        <w:tc>
          <w:tcPr>
            <w:tcW w:w="2127" w:type="dxa"/>
            <w:vAlign w:val="center"/>
          </w:tcPr>
          <w:p w:rsidR="007D48BC" w:rsidRDefault="007D48BC" w:rsidP="005A16B9">
            <w:pPr>
              <w:jc w:val="center"/>
              <w:rPr>
                <w:rFonts w:ascii="Arial" w:hAnsi="Arial" w:cs="Arial"/>
                <w:sz w:val="16"/>
                <w:szCs w:val="16"/>
              </w:rPr>
            </w:pPr>
            <w:r>
              <w:rPr>
                <w:rFonts w:ascii="Arial" w:hAnsi="Arial" w:cs="Arial"/>
                <w:sz w:val="16"/>
                <w:szCs w:val="16"/>
              </w:rPr>
              <w:t>Remisión</w:t>
            </w:r>
          </w:p>
        </w:tc>
        <w:tc>
          <w:tcPr>
            <w:tcW w:w="1417" w:type="dxa"/>
            <w:vAlign w:val="center"/>
          </w:tcPr>
          <w:p w:rsidR="007D48BC" w:rsidRPr="00A25027" w:rsidRDefault="007D48BC" w:rsidP="005A16B9">
            <w:pPr>
              <w:jc w:val="center"/>
              <w:rPr>
                <w:rFonts w:ascii="Arial" w:hAnsi="Arial" w:cs="Arial"/>
                <w:sz w:val="16"/>
                <w:szCs w:val="16"/>
              </w:rPr>
            </w:pPr>
            <w:r w:rsidRPr="00A25027">
              <w:rPr>
                <w:rFonts w:ascii="Arial" w:hAnsi="Arial" w:cs="Arial"/>
                <w:sz w:val="16"/>
                <w:szCs w:val="16"/>
              </w:rPr>
              <w:t>$ 67.063</w:t>
            </w:r>
          </w:p>
        </w:tc>
        <w:tc>
          <w:tcPr>
            <w:tcW w:w="1278" w:type="dxa"/>
            <w:vAlign w:val="center"/>
          </w:tcPr>
          <w:p w:rsidR="007D48BC" w:rsidRPr="00A25027" w:rsidRDefault="007D48BC" w:rsidP="005A16B9">
            <w:pPr>
              <w:jc w:val="center"/>
              <w:rPr>
                <w:rFonts w:ascii="Arial" w:hAnsi="Arial" w:cs="Arial"/>
                <w:sz w:val="16"/>
                <w:szCs w:val="16"/>
              </w:rPr>
            </w:pPr>
            <w:r w:rsidRPr="00A25027">
              <w:rPr>
                <w:rFonts w:ascii="Arial" w:hAnsi="Arial" w:cs="Arial"/>
                <w:sz w:val="16"/>
                <w:szCs w:val="16"/>
              </w:rPr>
              <w:t>$ 56.457</w:t>
            </w:r>
          </w:p>
        </w:tc>
        <w:tc>
          <w:tcPr>
            <w:tcW w:w="4109" w:type="dxa"/>
            <w:vAlign w:val="center"/>
          </w:tcPr>
          <w:p w:rsidR="007D48BC" w:rsidRPr="00A25027" w:rsidRDefault="007D48BC" w:rsidP="005A16B9">
            <w:pPr>
              <w:jc w:val="center"/>
              <w:rPr>
                <w:rFonts w:ascii="Arial" w:hAnsi="Arial" w:cs="Arial"/>
                <w:sz w:val="16"/>
                <w:szCs w:val="16"/>
              </w:rPr>
            </w:pPr>
            <w:r w:rsidRPr="00A25027">
              <w:rPr>
                <w:rFonts w:ascii="Arial" w:hAnsi="Arial" w:cs="Arial"/>
                <w:sz w:val="16"/>
                <w:szCs w:val="16"/>
              </w:rPr>
              <w:t>$ 60.606</w:t>
            </w:r>
          </w:p>
        </w:tc>
      </w:tr>
      <w:tr w:rsidR="007D48BC">
        <w:trPr>
          <w:cantSplit/>
        </w:trPr>
        <w:tc>
          <w:tcPr>
            <w:tcW w:w="2127" w:type="dxa"/>
            <w:vAlign w:val="center"/>
          </w:tcPr>
          <w:p w:rsidR="007D48BC" w:rsidRPr="00A25027" w:rsidRDefault="007D48BC" w:rsidP="005A16B9">
            <w:pPr>
              <w:jc w:val="center"/>
              <w:rPr>
                <w:rFonts w:ascii="Arial" w:hAnsi="Arial" w:cs="Arial"/>
                <w:sz w:val="16"/>
                <w:szCs w:val="16"/>
              </w:rPr>
            </w:pPr>
            <w:r>
              <w:rPr>
                <w:rFonts w:ascii="Arial" w:hAnsi="Arial" w:cs="Arial"/>
                <w:sz w:val="16"/>
                <w:szCs w:val="16"/>
              </w:rPr>
              <w:t>Cuidados paliativos</w:t>
            </w:r>
          </w:p>
        </w:tc>
        <w:tc>
          <w:tcPr>
            <w:tcW w:w="1417" w:type="dxa"/>
            <w:vAlign w:val="center"/>
          </w:tcPr>
          <w:p w:rsidR="007D48BC" w:rsidRPr="00A25027" w:rsidRDefault="007D48BC" w:rsidP="005A16B9">
            <w:pPr>
              <w:jc w:val="center"/>
              <w:rPr>
                <w:rFonts w:ascii="Arial" w:hAnsi="Arial" w:cs="Arial"/>
                <w:sz w:val="16"/>
                <w:szCs w:val="16"/>
              </w:rPr>
            </w:pPr>
            <w:r w:rsidRPr="00A25027">
              <w:rPr>
                <w:rFonts w:ascii="Arial" w:hAnsi="Arial" w:cs="Arial"/>
                <w:sz w:val="16"/>
                <w:szCs w:val="16"/>
              </w:rPr>
              <w:t>$ 36.256</w:t>
            </w:r>
          </w:p>
        </w:tc>
        <w:tc>
          <w:tcPr>
            <w:tcW w:w="1278" w:type="dxa"/>
            <w:vAlign w:val="center"/>
          </w:tcPr>
          <w:p w:rsidR="007D48BC" w:rsidRPr="00A25027" w:rsidRDefault="007D48BC" w:rsidP="005A16B9">
            <w:pPr>
              <w:jc w:val="center"/>
              <w:rPr>
                <w:rFonts w:ascii="Arial" w:hAnsi="Arial" w:cs="Arial"/>
                <w:sz w:val="16"/>
                <w:szCs w:val="16"/>
              </w:rPr>
            </w:pPr>
            <w:r w:rsidRPr="00A25027">
              <w:rPr>
                <w:rFonts w:ascii="Arial" w:hAnsi="Arial" w:cs="Arial"/>
                <w:sz w:val="16"/>
                <w:szCs w:val="16"/>
              </w:rPr>
              <w:t>$ 65.438</w:t>
            </w:r>
          </w:p>
        </w:tc>
        <w:tc>
          <w:tcPr>
            <w:tcW w:w="4109" w:type="dxa"/>
            <w:vAlign w:val="center"/>
          </w:tcPr>
          <w:p w:rsidR="007D48BC" w:rsidRPr="00A25027" w:rsidRDefault="007D48BC" w:rsidP="005A16B9">
            <w:pPr>
              <w:jc w:val="center"/>
              <w:rPr>
                <w:rFonts w:ascii="Arial" w:hAnsi="Arial" w:cs="Arial"/>
                <w:sz w:val="16"/>
                <w:szCs w:val="16"/>
              </w:rPr>
            </w:pPr>
            <w:r w:rsidRPr="00A25027">
              <w:rPr>
                <w:rFonts w:ascii="Arial" w:hAnsi="Arial" w:cs="Arial"/>
                <w:sz w:val="16"/>
                <w:szCs w:val="16"/>
              </w:rPr>
              <w:t>$ 29.182</w:t>
            </w:r>
          </w:p>
        </w:tc>
      </w:tr>
      <w:tr w:rsidR="007D48BC">
        <w:trPr>
          <w:cantSplit/>
        </w:trPr>
        <w:tc>
          <w:tcPr>
            <w:tcW w:w="2127" w:type="dxa"/>
            <w:shd w:val="clear" w:color="auto" w:fill="D9D9D9"/>
            <w:vAlign w:val="center"/>
          </w:tcPr>
          <w:p w:rsidR="007D48BC" w:rsidRDefault="007D48BC" w:rsidP="005A16B9">
            <w:pPr>
              <w:jc w:val="center"/>
              <w:rPr>
                <w:rFonts w:ascii="Arial" w:hAnsi="Arial" w:cs="Arial"/>
                <w:b/>
                <w:bCs/>
                <w:sz w:val="16"/>
                <w:szCs w:val="16"/>
              </w:rPr>
            </w:pPr>
            <w:r>
              <w:rPr>
                <w:rFonts w:ascii="Arial" w:hAnsi="Arial" w:cs="Arial"/>
                <w:b/>
                <w:bCs/>
                <w:sz w:val="16"/>
                <w:szCs w:val="16"/>
              </w:rPr>
              <w:t xml:space="preserve">EFECTOS </w:t>
            </w:r>
          </w:p>
        </w:tc>
        <w:tc>
          <w:tcPr>
            <w:tcW w:w="1417" w:type="dxa"/>
            <w:shd w:val="clear" w:color="auto" w:fill="D9D9D9"/>
            <w:vAlign w:val="center"/>
          </w:tcPr>
          <w:p w:rsidR="007D48BC" w:rsidRDefault="007D48BC" w:rsidP="005A16B9">
            <w:pPr>
              <w:jc w:val="center"/>
              <w:rPr>
                <w:rFonts w:ascii="Arial" w:hAnsi="Arial" w:cs="Arial"/>
                <w:b/>
                <w:bCs/>
                <w:sz w:val="16"/>
                <w:szCs w:val="16"/>
              </w:rPr>
            </w:pPr>
            <w:r>
              <w:rPr>
                <w:rFonts w:ascii="Arial" w:hAnsi="Arial" w:cs="Arial"/>
                <w:b/>
                <w:bCs/>
                <w:sz w:val="16"/>
                <w:szCs w:val="16"/>
              </w:rPr>
              <w:t>A</w:t>
            </w:r>
            <w:r w:rsidRPr="00BA5C9F">
              <w:rPr>
                <w:rFonts w:ascii="Arial" w:hAnsi="Arial" w:cs="Arial"/>
                <w:b/>
                <w:bCs/>
                <w:sz w:val="16"/>
                <w:szCs w:val="16"/>
              </w:rPr>
              <w:t>xicabtagene ciloleucel</w:t>
            </w:r>
          </w:p>
        </w:tc>
        <w:tc>
          <w:tcPr>
            <w:tcW w:w="1278" w:type="dxa"/>
            <w:shd w:val="clear" w:color="auto" w:fill="D9D9D9"/>
            <w:vAlign w:val="center"/>
          </w:tcPr>
          <w:p w:rsidR="007D48BC" w:rsidRDefault="007D48BC" w:rsidP="005A16B9">
            <w:pPr>
              <w:jc w:val="center"/>
              <w:rPr>
                <w:rFonts w:ascii="Arial" w:hAnsi="Arial" w:cs="Arial"/>
                <w:b/>
                <w:bCs/>
                <w:sz w:val="16"/>
                <w:szCs w:val="16"/>
              </w:rPr>
            </w:pPr>
            <w:r>
              <w:rPr>
                <w:rFonts w:ascii="Arial" w:hAnsi="Arial" w:cs="Arial"/>
                <w:b/>
                <w:bCs/>
                <w:sz w:val="16"/>
                <w:szCs w:val="16"/>
              </w:rPr>
              <w:t>Quimioterapia de rescate</w:t>
            </w:r>
          </w:p>
        </w:tc>
        <w:tc>
          <w:tcPr>
            <w:tcW w:w="4109" w:type="dxa"/>
            <w:shd w:val="clear" w:color="auto" w:fill="D9D9D9"/>
            <w:vAlign w:val="center"/>
          </w:tcPr>
          <w:p w:rsidR="007D48BC" w:rsidRDefault="007D48BC" w:rsidP="005A16B9">
            <w:pPr>
              <w:jc w:val="center"/>
              <w:rPr>
                <w:rFonts w:ascii="Arial" w:hAnsi="Arial" w:cs="Arial"/>
                <w:b/>
                <w:bCs/>
                <w:sz w:val="16"/>
                <w:szCs w:val="16"/>
              </w:rPr>
            </w:pPr>
            <w:r>
              <w:rPr>
                <w:rFonts w:ascii="Arial" w:hAnsi="Arial" w:cs="Arial"/>
                <w:b/>
                <w:bCs/>
                <w:sz w:val="16"/>
                <w:szCs w:val="16"/>
              </w:rPr>
              <w:t xml:space="preserve">Incrementos </w:t>
            </w:r>
          </w:p>
        </w:tc>
      </w:tr>
      <w:tr w:rsidR="007D48BC">
        <w:trPr>
          <w:cantSplit/>
        </w:trPr>
        <w:tc>
          <w:tcPr>
            <w:tcW w:w="2127" w:type="dxa"/>
            <w:vAlign w:val="center"/>
          </w:tcPr>
          <w:p w:rsidR="007D48BC" w:rsidRDefault="007D48BC" w:rsidP="005A16B9">
            <w:pPr>
              <w:jc w:val="center"/>
              <w:rPr>
                <w:rFonts w:ascii="Arial" w:hAnsi="Arial" w:cs="Arial"/>
                <w:sz w:val="16"/>
                <w:szCs w:val="16"/>
              </w:rPr>
            </w:pPr>
            <w:r>
              <w:rPr>
                <w:rFonts w:ascii="Arial" w:hAnsi="Arial" w:cs="Arial"/>
                <w:sz w:val="16"/>
                <w:szCs w:val="16"/>
              </w:rPr>
              <w:t>AV</w:t>
            </w:r>
          </w:p>
        </w:tc>
        <w:tc>
          <w:tcPr>
            <w:tcW w:w="1417" w:type="dxa"/>
            <w:vAlign w:val="center"/>
          </w:tcPr>
          <w:p w:rsidR="007D48BC" w:rsidRDefault="007D48BC" w:rsidP="005A16B9">
            <w:pPr>
              <w:jc w:val="center"/>
              <w:rPr>
                <w:rFonts w:ascii="Arial" w:hAnsi="Arial" w:cs="Arial"/>
                <w:sz w:val="16"/>
                <w:szCs w:val="16"/>
              </w:rPr>
            </w:pPr>
            <w:r>
              <w:rPr>
                <w:rFonts w:ascii="Arial" w:hAnsi="Arial" w:cs="Arial"/>
                <w:sz w:val="16"/>
                <w:szCs w:val="16"/>
              </w:rPr>
              <w:t>9.49 AV</w:t>
            </w:r>
          </w:p>
        </w:tc>
        <w:tc>
          <w:tcPr>
            <w:tcW w:w="1278" w:type="dxa"/>
            <w:vAlign w:val="center"/>
          </w:tcPr>
          <w:p w:rsidR="007D48BC" w:rsidRDefault="007D48BC" w:rsidP="005A16B9">
            <w:pPr>
              <w:jc w:val="center"/>
              <w:rPr>
                <w:rFonts w:ascii="Arial" w:hAnsi="Arial" w:cs="Arial"/>
                <w:sz w:val="16"/>
                <w:szCs w:val="16"/>
              </w:rPr>
            </w:pPr>
            <w:r>
              <w:rPr>
                <w:rFonts w:ascii="Arial" w:hAnsi="Arial" w:cs="Arial"/>
                <w:sz w:val="16"/>
                <w:szCs w:val="16"/>
              </w:rPr>
              <w:t>2.6 AV</w:t>
            </w:r>
          </w:p>
        </w:tc>
        <w:tc>
          <w:tcPr>
            <w:tcW w:w="4109" w:type="dxa"/>
            <w:vAlign w:val="center"/>
          </w:tcPr>
          <w:p w:rsidR="007D48BC" w:rsidRDefault="007D48BC" w:rsidP="005A16B9">
            <w:pPr>
              <w:jc w:val="center"/>
              <w:rPr>
                <w:rFonts w:ascii="Arial" w:hAnsi="Arial" w:cs="Arial"/>
                <w:sz w:val="16"/>
                <w:szCs w:val="16"/>
              </w:rPr>
            </w:pPr>
            <w:r>
              <w:rPr>
                <w:rFonts w:ascii="Arial" w:hAnsi="Arial" w:cs="Arial"/>
                <w:sz w:val="16"/>
                <w:szCs w:val="16"/>
              </w:rPr>
              <w:t>Incremento AV por paciente      6.90 AV ganados</w:t>
            </w:r>
          </w:p>
        </w:tc>
      </w:tr>
      <w:tr w:rsidR="007D48BC">
        <w:trPr>
          <w:cantSplit/>
        </w:trPr>
        <w:tc>
          <w:tcPr>
            <w:tcW w:w="2127" w:type="dxa"/>
            <w:vAlign w:val="center"/>
          </w:tcPr>
          <w:p w:rsidR="007D48BC" w:rsidRDefault="007D48BC" w:rsidP="005A16B9">
            <w:pPr>
              <w:jc w:val="center"/>
              <w:rPr>
                <w:rFonts w:ascii="Arial" w:hAnsi="Arial" w:cs="Arial"/>
                <w:sz w:val="16"/>
                <w:szCs w:val="16"/>
              </w:rPr>
            </w:pPr>
            <w:r>
              <w:rPr>
                <w:rFonts w:ascii="Arial" w:hAnsi="Arial" w:cs="Arial"/>
                <w:sz w:val="16"/>
                <w:szCs w:val="16"/>
              </w:rPr>
              <w:t>AVAC</w:t>
            </w:r>
          </w:p>
        </w:tc>
        <w:tc>
          <w:tcPr>
            <w:tcW w:w="1417" w:type="dxa"/>
            <w:vAlign w:val="center"/>
          </w:tcPr>
          <w:p w:rsidR="007D48BC" w:rsidRDefault="007D48BC" w:rsidP="005A16B9">
            <w:pPr>
              <w:jc w:val="center"/>
              <w:rPr>
                <w:rFonts w:ascii="Arial" w:hAnsi="Arial" w:cs="Arial"/>
                <w:strike/>
                <w:sz w:val="16"/>
                <w:szCs w:val="16"/>
              </w:rPr>
            </w:pPr>
            <w:r>
              <w:rPr>
                <w:rFonts w:ascii="Arial" w:hAnsi="Arial" w:cs="Arial"/>
                <w:sz w:val="16"/>
                <w:szCs w:val="16"/>
              </w:rPr>
              <w:t>7.67 AVAC</w:t>
            </w:r>
          </w:p>
        </w:tc>
        <w:tc>
          <w:tcPr>
            <w:tcW w:w="1278" w:type="dxa"/>
            <w:vAlign w:val="center"/>
          </w:tcPr>
          <w:p w:rsidR="007D48BC" w:rsidRDefault="007D48BC" w:rsidP="005A16B9">
            <w:pPr>
              <w:jc w:val="center"/>
              <w:rPr>
                <w:rFonts w:ascii="Arial" w:hAnsi="Arial" w:cs="Arial"/>
                <w:sz w:val="16"/>
                <w:szCs w:val="16"/>
              </w:rPr>
            </w:pPr>
            <w:r>
              <w:rPr>
                <w:rFonts w:ascii="Arial" w:hAnsi="Arial" w:cs="Arial"/>
                <w:sz w:val="16"/>
                <w:szCs w:val="16"/>
              </w:rPr>
              <w:t>1.13 AVAC</w:t>
            </w:r>
          </w:p>
        </w:tc>
        <w:tc>
          <w:tcPr>
            <w:tcW w:w="4109" w:type="dxa"/>
            <w:vAlign w:val="center"/>
          </w:tcPr>
          <w:p w:rsidR="007D48BC" w:rsidRDefault="007D48BC" w:rsidP="005A16B9">
            <w:pPr>
              <w:jc w:val="center"/>
              <w:rPr>
                <w:rFonts w:ascii="Arial" w:hAnsi="Arial" w:cs="Arial"/>
                <w:sz w:val="16"/>
                <w:szCs w:val="16"/>
              </w:rPr>
            </w:pPr>
            <w:r>
              <w:rPr>
                <w:rFonts w:ascii="Arial" w:hAnsi="Arial" w:cs="Arial"/>
                <w:sz w:val="16"/>
                <w:szCs w:val="16"/>
              </w:rPr>
              <w:t>Incremento AVAC por paciente    6.54 AVAC ganados</w:t>
            </w:r>
          </w:p>
        </w:tc>
      </w:tr>
      <w:tr w:rsidR="007D48BC">
        <w:trPr>
          <w:cantSplit/>
        </w:trPr>
        <w:tc>
          <w:tcPr>
            <w:tcW w:w="2127" w:type="dxa"/>
            <w:vAlign w:val="center"/>
          </w:tcPr>
          <w:p w:rsidR="007D48BC" w:rsidRDefault="007D48BC" w:rsidP="005A16B9">
            <w:pPr>
              <w:jc w:val="center"/>
              <w:rPr>
                <w:rFonts w:ascii="Arial" w:hAnsi="Arial" w:cs="Arial"/>
                <w:sz w:val="16"/>
                <w:szCs w:val="16"/>
              </w:rPr>
            </w:pPr>
            <w:r>
              <w:rPr>
                <w:rFonts w:ascii="Arial" w:hAnsi="Arial" w:cs="Arial"/>
                <w:sz w:val="16"/>
                <w:szCs w:val="16"/>
              </w:rPr>
              <w:t>Utilidad calculada</w:t>
            </w:r>
          </w:p>
        </w:tc>
        <w:tc>
          <w:tcPr>
            <w:tcW w:w="1417" w:type="dxa"/>
            <w:vAlign w:val="center"/>
          </w:tcPr>
          <w:p w:rsidR="007D48BC" w:rsidRDefault="007D48BC" w:rsidP="005A16B9">
            <w:pPr>
              <w:jc w:val="center"/>
              <w:rPr>
                <w:rFonts w:ascii="Arial" w:hAnsi="Arial" w:cs="Arial"/>
                <w:sz w:val="16"/>
                <w:szCs w:val="16"/>
              </w:rPr>
            </w:pPr>
            <w:r>
              <w:rPr>
                <w:rFonts w:ascii="Arial" w:hAnsi="Arial" w:cs="Arial"/>
                <w:sz w:val="16"/>
                <w:szCs w:val="16"/>
              </w:rPr>
              <w:t>0.80</w:t>
            </w:r>
          </w:p>
        </w:tc>
        <w:tc>
          <w:tcPr>
            <w:tcW w:w="1278" w:type="dxa"/>
            <w:vAlign w:val="center"/>
          </w:tcPr>
          <w:p w:rsidR="007D48BC" w:rsidRDefault="007D48BC" w:rsidP="005A16B9">
            <w:pPr>
              <w:jc w:val="center"/>
              <w:rPr>
                <w:rFonts w:ascii="Arial" w:hAnsi="Arial" w:cs="Arial"/>
                <w:sz w:val="16"/>
                <w:szCs w:val="16"/>
              </w:rPr>
            </w:pPr>
            <w:r>
              <w:rPr>
                <w:rFonts w:ascii="Arial" w:hAnsi="Arial" w:cs="Arial"/>
                <w:sz w:val="16"/>
                <w:szCs w:val="16"/>
              </w:rPr>
              <w:t>0.43</w:t>
            </w:r>
          </w:p>
        </w:tc>
        <w:tc>
          <w:tcPr>
            <w:tcW w:w="4109" w:type="dxa"/>
            <w:vAlign w:val="center"/>
          </w:tcPr>
          <w:p w:rsidR="007D48BC" w:rsidRDefault="007D48BC" w:rsidP="005A16B9">
            <w:pPr>
              <w:jc w:val="center"/>
              <w:rPr>
                <w:rFonts w:ascii="Arial" w:hAnsi="Arial" w:cs="Arial"/>
                <w:sz w:val="16"/>
                <w:szCs w:val="16"/>
              </w:rPr>
            </w:pPr>
            <w:r>
              <w:rPr>
                <w:rFonts w:ascii="Arial" w:hAnsi="Arial" w:cs="Arial"/>
                <w:sz w:val="16"/>
                <w:szCs w:val="16"/>
              </w:rPr>
              <w:t>--</w:t>
            </w:r>
          </w:p>
        </w:tc>
      </w:tr>
      <w:tr w:rsidR="007D48BC">
        <w:trPr>
          <w:cantSplit/>
        </w:trPr>
        <w:tc>
          <w:tcPr>
            <w:tcW w:w="4822" w:type="dxa"/>
            <w:gridSpan w:val="3"/>
            <w:shd w:val="clear" w:color="auto" w:fill="D9D9D9"/>
            <w:vAlign w:val="center"/>
          </w:tcPr>
          <w:p w:rsidR="007D48BC" w:rsidRDefault="007D48BC" w:rsidP="005A16B9">
            <w:pPr>
              <w:jc w:val="center"/>
              <w:rPr>
                <w:rFonts w:ascii="Arial" w:hAnsi="Arial" w:cs="Arial"/>
                <w:b/>
                <w:bCs/>
                <w:sz w:val="16"/>
                <w:szCs w:val="16"/>
              </w:rPr>
            </w:pPr>
            <w:r>
              <w:rPr>
                <w:rFonts w:ascii="Arial" w:hAnsi="Arial" w:cs="Arial"/>
                <w:b/>
                <w:bCs/>
                <w:sz w:val="16"/>
                <w:szCs w:val="16"/>
              </w:rPr>
              <w:t xml:space="preserve">RATIO DE COSTE EFECTIVIDAD INCREMENTAL </w:t>
            </w:r>
          </w:p>
        </w:tc>
        <w:tc>
          <w:tcPr>
            <w:tcW w:w="4109" w:type="dxa"/>
            <w:shd w:val="clear" w:color="auto" w:fill="D9D9D9"/>
            <w:vAlign w:val="center"/>
          </w:tcPr>
          <w:p w:rsidR="007D48BC" w:rsidRDefault="007D48BC" w:rsidP="005A16B9">
            <w:pPr>
              <w:jc w:val="center"/>
              <w:rPr>
                <w:rFonts w:ascii="Arial" w:hAnsi="Arial" w:cs="Arial"/>
                <w:b/>
                <w:bCs/>
                <w:sz w:val="16"/>
                <w:szCs w:val="16"/>
              </w:rPr>
            </w:pPr>
            <w:r>
              <w:rPr>
                <w:rFonts w:ascii="Arial" w:hAnsi="Arial" w:cs="Arial"/>
                <w:b/>
                <w:bCs/>
                <w:sz w:val="16"/>
                <w:szCs w:val="16"/>
              </w:rPr>
              <w:t>RCEI</w:t>
            </w:r>
          </w:p>
        </w:tc>
      </w:tr>
      <w:tr w:rsidR="007D48BC">
        <w:trPr>
          <w:cantSplit/>
          <w:trHeight w:val="408"/>
        </w:trPr>
        <w:tc>
          <w:tcPr>
            <w:tcW w:w="4822" w:type="dxa"/>
            <w:gridSpan w:val="3"/>
            <w:vAlign w:val="center"/>
          </w:tcPr>
          <w:p w:rsidR="007D48BC" w:rsidRDefault="007D48BC" w:rsidP="005A16B9">
            <w:pPr>
              <w:jc w:val="center"/>
              <w:rPr>
                <w:rFonts w:ascii="Arial" w:hAnsi="Arial" w:cs="Arial"/>
                <w:sz w:val="16"/>
                <w:szCs w:val="16"/>
              </w:rPr>
            </w:pPr>
            <w:r>
              <w:rPr>
                <w:rFonts w:ascii="Arial" w:hAnsi="Arial" w:cs="Arial"/>
                <w:sz w:val="16"/>
                <w:szCs w:val="16"/>
              </w:rPr>
              <w:t>Caso base</w:t>
            </w:r>
          </w:p>
        </w:tc>
        <w:tc>
          <w:tcPr>
            <w:tcW w:w="4109" w:type="dxa"/>
            <w:vAlign w:val="center"/>
          </w:tcPr>
          <w:p w:rsidR="007D48BC" w:rsidRDefault="007D48BC" w:rsidP="005A16B9">
            <w:pPr>
              <w:jc w:val="center"/>
              <w:rPr>
                <w:rFonts w:ascii="Arial" w:hAnsi="Arial" w:cs="Arial"/>
                <w:sz w:val="16"/>
                <w:szCs w:val="16"/>
              </w:rPr>
            </w:pPr>
            <w:r>
              <w:rPr>
                <w:rFonts w:ascii="Arial" w:hAnsi="Arial" w:cs="Arial"/>
                <w:sz w:val="16"/>
                <w:szCs w:val="16"/>
              </w:rPr>
              <w:t>$ 55.128 / AV ganado ó $ 58.146 / AVAC ganado</w:t>
            </w:r>
          </w:p>
        </w:tc>
      </w:tr>
      <w:tr w:rsidR="007D48BC">
        <w:trPr>
          <w:cantSplit/>
        </w:trPr>
        <w:tc>
          <w:tcPr>
            <w:tcW w:w="8931" w:type="dxa"/>
            <w:gridSpan w:val="4"/>
            <w:shd w:val="clear" w:color="auto" w:fill="DDDDDD"/>
            <w:vAlign w:val="center"/>
          </w:tcPr>
          <w:p w:rsidR="007D48BC" w:rsidRDefault="007D48BC" w:rsidP="005A16B9">
            <w:pPr>
              <w:jc w:val="center"/>
              <w:rPr>
                <w:rFonts w:ascii="Arial" w:hAnsi="Arial" w:cs="Arial"/>
                <w:sz w:val="16"/>
                <w:szCs w:val="16"/>
              </w:rPr>
            </w:pPr>
            <w:r w:rsidRPr="0085065F">
              <w:rPr>
                <w:rFonts w:ascii="Arial" w:hAnsi="Arial" w:cs="Arial"/>
                <w:sz w:val="16"/>
                <w:szCs w:val="16"/>
              </w:rPr>
              <w:t xml:space="preserve">AV: años de vida. AVAC: años de vida ajustados por calidad. </w:t>
            </w:r>
            <w:r w:rsidRPr="0085065F">
              <w:rPr>
                <w:rFonts w:ascii="Arial" w:hAnsi="Arial" w:cs="Arial"/>
                <w:sz w:val="16"/>
                <w:szCs w:val="16"/>
                <w:lang w:val="en-US"/>
              </w:rPr>
              <w:t xml:space="preserve">EQ-5D: European Quality of Life-5 Dimensions. </w:t>
            </w:r>
            <w:r w:rsidRPr="0085065F">
              <w:rPr>
                <w:rFonts w:ascii="Arial" w:hAnsi="Arial" w:cs="Arial"/>
                <w:sz w:val="16"/>
                <w:szCs w:val="16"/>
              </w:rPr>
              <w:t xml:space="preserve">RCEI: ratio coste-efectividad incremental. </w:t>
            </w:r>
            <w:r>
              <w:rPr>
                <w:rFonts w:ascii="Arial" w:hAnsi="Arial" w:cs="Arial"/>
                <w:sz w:val="16"/>
                <w:szCs w:val="16"/>
              </w:rPr>
              <w:t xml:space="preserve">TAPH: </w:t>
            </w:r>
            <w:r w:rsidRPr="00A56BE4">
              <w:rPr>
                <w:rFonts w:ascii="Arial" w:hAnsi="Arial" w:cs="Arial"/>
                <w:sz w:val="16"/>
                <w:szCs w:val="16"/>
              </w:rPr>
              <w:t>Trasplante autólogo de progenitores hematopoyéticos</w:t>
            </w:r>
            <w:r>
              <w:rPr>
                <w:rFonts w:ascii="Arial" w:hAnsi="Arial" w:cs="Arial"/>
                <w:sz w:val="16"/>
                <w:szCs w:val="16"/>
              </w:rPr>
              <w:t xml:space="preserve"> </w:t>
            </w:r>
          </w:p>
        </w:tc>
      </w:tr>
    </w:tbl>
    <w:p w:rsidR="007D48BC" w:rsidRDefault="007D48BC" w:rsidP="00BC3E8E">
      <w:pPr>
        <w:jc w:val="both"/>
        <w:rPr>
          <w:rFonts w:ascii="Arial" w:hAnsi="Arial" w:cs="Arial"/>
        </w:rPr>
      </w:pPr>
    </w:p>
    <w:p w:rsidR="007D48BC" w:rsidRDefault="007D48BC" w:rsidP="00D5540F">
      <w:pPr>
        <w:spacing w:line="360" w:lineRule="auto"/>
        <w:jc w:val="both"/>
        <w:rPr>
          <w:rFonts w:ascii="Arial" w:hAnsi="Arial" w:cs="Arial"/>
        </w:rPr>
      </w:pPr>
      <w:r>
        <w:rPr>
          <w:rFonts w:ascii="Arial" w:hAnsi="Arial" w:cs="Arial"/>
        </w:rPr>
        <w:t xml:space="preserve">Este estudio compara </w:t>
      </w:r>
      <w:r w:rsidRPr="0046385B">
        <w:rPr>
          <w:rFonts w:ascii="Arial" w:hAnsi="Arial" w:cs="Arial"/>
        </w:rPr>
        <w:t xml:space="preserve">axicabtagen ciloleucel con quimioterapia de rescate (R-DHAP). </w:t>
      </w:r>
      <w:r>
        <w:rPr>
          <w:rFonts w:ascii="Arial" w:hAnsi="Arial" w:cs="Arial"/>
        </w:rPr>
        <w:t xml:space="preserve">Las fuentes de los datos son el estudio pivotal (ZUMA-1) no comparativo y para el comparador un estudio de revisión de una cohorte histórica con pacientes con </w:t>
      </w:r>
      <w:r w:rsidRPr="0046385B">
        <w:rPr>
          <w:rFonts w:ascii="Arial" w:hAnsi="Arial" w:cs="Arial"/>
        </w:rPr>
        <w:t>Linfoma difuso de Células B grandes</w:t>
      </w:r>
      <w:r>
        <w:rPr>
          <w:rFonts w:ascii="Arial" w:hAnsi="Arial" w:cs="Arial"/>
        </w:rPr>
        <w:t xml:space="preserve"> (SCHOLAR-1) similar a la población del ZUMA-1.</w:t>
      </w:r>
    </w:p>
    <w:p w:rsidR="007D48BC" w:rsidRDefault="007D48BC" w:rsidP="00D5540F">
      <w:pPr>
        <w:spacing w:line="360" w:lineRule="auto"/>
        <w:jc w:val="both"/>
        <w:rPr>
          <w:rFonts w:ascii="Arial" w:hAnsi="Arial" w:cs="Arial"/>
        </w:rPr>
      </w:pPr>
      <w:r>
        <w:rPr>
          <w:rFonts w:ascii="Arial" w:hAnsi="Arial" w:cs="Arial"/>
        </w:rPr>
        <w:t xml:space="preserve">El comparador empleado es la quimioterapia de rescate con el esquema </w:t>
      </w:r>
      <w:r w:rsidRPr="0046385B">
        <w:rPr>
          <w:rFonts w:ascii="Arial" w:hAnsi="Arial" w:cs="Arial"/>
        </w:rPr>
        <w:t>R-DHAP</w:t>
      </w:r>
      <w:r>
        <w:rPr>
          <w:rFonts w:ascii="Arial" w:hAnsi="Arial" w:cs="Arial"/>
        </w:rPr>
        <w:t>. No se incluyen otras posibles opciones de tratamiento en línea de recaída o refractarios incluidos en las principales guías de práctica clínica.</w:t>
      </w:r>
    </w:p>
    <w:p w:rsidR="00205D56" w:rsidRDefault="007D48BC" w:rsidP="00205D56">
      <w:pPr>
        <w:spacing w:line="360" w:lineRule="auto"/>
        <w:jc w:val="both"/>
        <w:rPr>
          <w:rFonts w:ascii="Arial" w:hAnsi="Arial" w:cs="Arial"/>
        </w:rPr>
      </w:pPr>
      <w:r>
        <w:rPr>
          <w:rFonts w:ascii="Arial" w:hAnsi="Arial" w:cs="Arial"/>
        </w:rPr>
        <w:t xml:space="preserve">En cuanto al diseño del estudio, emplea un árbol de decisión con 3 niveles de supervivencia: pacientes antes de progresión, pacientes tras la progresión y muerte. Para el análisis de supervivencia se realizaron curvas </w:t>
      </w:r>
      <w:r w:rsidRPr="0047716D">
        <w:rPr>
          <w:rFonts w:ascii="Arial" w:hAnsi="Arial" w:cs="Arial"/>
        </w:rPr>
        <w:t>Kaplan-Meier extrapoladas a 5 años tras el inicio del tratamiento. En ese momento los pacientes con respuesta se consideraban curados.</w:t>
      </w:r>
      <w:r>
        <w:rPr>
          <w:rFonts w:ascii="Arial" w:hAnsi="Arial" w:cs="Arial"/>
        </w:rPr>
        <w:t xml:space="preserve"> </w:t>
      </w:r>
      <w:r w:rsidRPr="0047716D">
        <w:rPr>
          <w:rFonts w:ascii="Arial" w:hAnsi="Arial" w:cs="Arial"/>
        </w:rPr>
        <w:t xml:space="preserve">Se estimó que la mortalidad de los pacientes </w:t>
      </w:r>
      <w:r w:rsidR="00443325">
        <w:rPr>
          <w:rFonts w:ascii="Arial" w:hAnsi="Arial" w:cs="Arial"/>
        </w:rPr>
        <w:t xml:space="preserve">con respuesta </w:t>
      </w:r>
      <w:r w:rsidRPr="0047716D">
        <w:rPr>
          <w:rFonts w:ascii="Arial" w:hAnsi="Arial" w:cs="Arial"/>
        </w:rPr>
        <w:t>tras 5 a</w:t>
      </w:r>
      <w:r>
        <w:rPr>
          <w:rFonts w:ascii="Arial" w:hAnsi="Arial" w:cs="Arial"/>
        </w:rPr>
        <w:t>ños se asemejaba a la población base.</w:t>
      </w:r>
      <w:r w:rsidR="00205D56">
        <w:rPr>
          <w:rFonts w:ascii="Arial" w:hAnsi="Arial" w:cs="Arial"/>
        </w:rPr>
        <w:t xml:space="preserve"> </w:t>
      </w:r>
    </w:p>
    <w:p w:rsidR="007D48BC" w:rsidRPr="0047716D" w:rsidRDefault="007D48BC" w:rsidP="0047716D">
      <w:pPr>
        <w:spacing w:line="360" w:lineRule="auto"/>
        <w:jc w:val="both"/>
        <w:rPr>
          <w:rFonts w:ascii="Arial" w:hAnsi="Arial" w:cs="Arial"/>
        </w:rPr>
      </w:pPr>
    </w:p>
    <w:p w:rsidR="007D48BC" w:rsidRDefault="007D48BC" w:rsidP="005C1F36">
      <w:pPr>
        <w:spacing w:line="360" w:lineRule="auto"/>
        <w:jc w:val="both"/>
        <w:rPr>
          <w:rFonts w:ascii="Arial" w:hAnsi="Arial" w:cs="Arial"/>
        </w:rPr>
      </w:pPr>
      <w:r>
        <w:rPr>
          <w:rFonts w:ascii="Arial" w:hAnsi="Arial" w:cs="Arial"/>
        </w:rPr>
        <w:t>Esta aproximación intenta solucionar el problema de la inmadurez de los datos del estudio pivotal donde no se alcanza la mediana de supervivencia global</w:t>
      </w:r>
      <w:r w:rsidR="0076570B">
        <w:rPr>
          <w:rFonts w:ascii="Arial" w:hAnsi="Arial" w:cs="Arial"/>
        </w:rPr>
        <w:t xml:space="preserve"> en los pacientes con respuesta completa</w:t>
      </w:r>
      <w:r>
        <w:rPr>
          <w:rFonts w:ascii="Arial" w:hAnsi="Arial" w:cs="Arial"/>
        </w:rPr>
        <w:t>. Además, la consideración de los pacientes que no han recaído como curados y su estimación de la tasa de mortalidad no incluye algunos aspectos relacionados con los efectos de la aplasia de células B y con el posible aumento de la mortalidad.</w:t>
      </w:r>
    </w:p>
    <w:p w:rsidR="007D48BC" w:rsidRPr="0047716D" w:rsidRDefault="007D48BC" w:rsidP="005C1F36">
      <w:pPr>
        <w:spacing w:line="360" w:lineRule="auto"/>
        <w:jc w:val="both"/>
        <w:rPr>
          <w:rFonts w:ascii="Arial" w:hAnsi="Arial" w:cs="Arial"/>
        </w:rPr>
      </w:pPr>
      <w:r>
        <w:rPr>
          <w:rFonts w:ascii="Arial" w:hAnsi="Arial" w:cs="Arial"/>
        </w:rPr>
        <w:t>Los costes y recursos consumidos se encuentran correctamente identificados e incluyen: el coste del fármaco, la quimioterapia linfoablativa, el procedimiento de infusión del fármaco, el periodo de hospitalización tras el procedimiento y las visitas de seguimiento. Además incluye los costes del manejo de los efectos adversos, el posible trasplante tras el tratamiento y otros costes como el manejo paliativo en algunos casos.</w:t>
      </w:r>
    </w:p>
    <w:p w:rsidR="007D48BC" w:rsidRPr="00BE59AE" w:rsidRDefault="007D48BC" w:rsidP="00BE59AE">
      <w:pPr>
        <w:spacing w:line="360" w:lineRule="auto"/>
        <w:jc w:val="both"/>
        <w:rPr>
          <w:rFonts w:ascii="Arial" w:hAnsi="Arial" w:cs="Arial"/>
        </w:rPr>
      </w:pPr>
      <w:r>
        <w:rPr>
          <w:rFonts w:ascii="Arial" w:hAnsi="Arial" w:cs="Arial"/>
        </w:rPr>
        <w:t xml:space="preserve">En cuanto a los resultados del modelo, </w:t>
      </w:r>
      <w:r w:rsidRPr="0046385B">
        <w:rPr>
          <w:rFonts w:ascii="Arial" w:hAnsi="Arial" w:cs="Arial"/>
        </w:rPr>
        <w:t>axicabtagen ciloleucel</w:t>
      </w:r>
      <w:r>
        <w:rPr>
          <w:rFonts w:ascii="Arial" w:hAnsi="Arial" w:cs="Arial"/>
        </w:rPr>
        <w:t xml:space="preserve"> presenta un coste total de </w:t>
      </w:r>
      <w:r w:rsidRPr="00BE59AE">
        <w:rPr>
          <w:rFonts w:ascii="Arial" w:hAnsi="Arial" w:cs="Arial"/>
        </w:rPr>
        <w:t>$ 552.921 con una ganancia de 9.49 AV y 7.67 AVAC. E</w:t>
      </w:r>
      <w:r>
        <w:rPr>
          <w:rFonts w:ascii="Arial" w:hAnsi="Arial" w:cs="Arial"/>
        </w:rPr>
        <w:t>sto supone una ratio</w:t>
      </w:r>
      <w:r w:rsidRPr="00BE59AE">
        <w:rPr>
          <w:rFonts w:ascii="Arial" w:hAnsi="Arial" w:cs="Arial"/>
        </w:rPr>
        <w:t xml:space="preserve"> de coste efectividad incremental </w:t>
      </w:r>
      <w:r>
        <w:rPr>
          <w:rFonts w:ascii="Arial" w:hAnsi="Arial" w:cs="Arial"/>
        </w:rPr>
        <w:t xml:space="preserve">de </w:t>
      </w:r>
      <w:r w:rsidRPr="00BE59AE">
        <w:rPr>
          <w:rFonts w:ascii="Arial" w:hAnsi="Arial" w:cs="Arial"/>
        </w:rPr>
        <w:t>$ 58.146 / AVAC ganado</w:t>
      </w:r>
      <w:r>
        <w:rPr>
          <w:rFonts w:ascii="Arial" w:hAnsi="Arial" w:cs="Arial"/>
        </w:rPr>
        <w:t xml:space="preserve"> (51.151 € /AVAC según conversión a euro en fecha de 19/01/2019).</w:t>
      </w:r>
    </w:p>
    <w:p w:rsidR="007D48BC" w:rsidRDefault="007D48BC" w:rsidP="00BE59AE">
      <w:pPr>
        <w:spacing w:line="360" w:lineRule="auto"/>
        <w:jc w:val="both"/>
        <w:rPr>
          <w:rFonts w:ascii="Arial" w:hAnsi="Arial" w:cs="Arial"/>
        </w:rPr>
      </w:pPr>
      <w:r>
        <w:rPr>
          <w:rFonts w:ascii="Arial" w:hAnsi="Arial" w:cs="Arial"/>
        </w:rPr>
        <w:t xml:space="preserve">Se realizó el análisis teniendo en cuenta otros supuestos: </w:t>
      </w:r>
    </w:p>
    <w:p w:rsidR="007D48BC" w:rsidRDefault="007D48BC" w:rsidP="008F5F0D">
      <w:pPr>
        <w:pStyle w:val="Prrafodelista"/>
        <w:numPr>
          <w:ilvl w:val="0"/>
          <w:numId w:val="17"/>
        </w:numPr>
        <w:spacing w:line="360" w:lineRule="auto"/>
        <w:jc w:val="both"/>
        <w:rPr>
          <w:rFonts w:ascii="Arial" w:hAnsi="Arial" w:cs="Arial"/>
        </w:rPr>
      </w:pPr>
      <w:r>
        <w:rPr>
          <w:rFonts w:ascii="Arial" w:hAnsi="Arial" w:cs="Arial"/>
        </w:rPr>
        <w:t xml:space="preserve">La mortalidad de los pacientes con respuesta de larga duración se incrementó un 10% y un 20% respecto a la población general. </w:t>
      </w:r>
    </w:p>
    <w:p w:rsidR="007D48BC" w:rsidRDefault="007D48BC" w:rsidP="008F5F0D">
      <w:pPr>
        <w:pStyle w:val="Prrafodelista"/>
        <w:numPr>
          <w:ilvl w:val="0"/>
          <w:numId w:val="17"/>
        </w:numPr>
        <w:spacing w:line="360" w:lineRule="auto"/>
        <w:jc w:val="both"/>
        <w:rPr>
          <w:rFonts w:ascii="Arial" w:hAnsi="Arial" w:cs="Arial"/>
        </w:rPr>
      </w:pPr>
      <w:r>
        <w:rPr>
          <w:rFonts w:ascii="Arial" w:hAnsi="Arial" w:cs="Arial"/>
        </w:rPr>
        <w:t>Se realizó el análisis por ITT y se incluyó a todos los pacientes que no se pudieron administrar el fármaco por efectos adversos, progresión de la enfermedad o problemas a la hora de disponer del fármaco.</w:t>
      </w:r>
    </w:p>
    <w:p w:rsidR="007D48BC" w:rsidRPr="000E29A5" w:rsidRDefault="007D48BC" w:rsidP="000E29A5">
      <w:pPr>
        <w:spacing w:line="360" w:lineRule="auto"/>
        <w:ind w:left="360"/>
        <w:jc w:val="both"/>
        <w:rPr>
          <w:rFonts w:ascii="Arial" w:hAnsi="Arial" w:cs="Arial"/>
        </w:rPr>
      </w:pPr>
    </w:p>
    <w:p w:rsidR="007D48BC" w:rsidRPr="00376C9F" w:rsidRDefault="007D48BC" w:rsidP="00202FE8">
      <w:pPr>
        <w:pStyle w:val="Epgrafe"/>
        <w:keepNext/>
        <w:rPr>
          <w:rFonts w:ascii="Arial" w:hAnsi="Arial" w:cs="Arial"/>
        </w:rPr>
      </w:pPr>
      <w:r w:rsidRPr="00376C9F">
        <w:rPr>
          <w:rFonts w:ascii="Arial" w:hAnsi="Arial" w:cs="Arial"/>
        </w:rPr>
        <w:t xml:space="preserve">Tabla </w:t>
      </w:r>
      <w:r w:rsidR="00FE59AC" w:rsidRPr="00376C9F">
        <w:rPr>
          <w:rFonts w:ascii="Arial" w:hAnsi="Arial" w:cs="Arial"/>
          <w:noProof/>
        </w:rPr>
        <w:fldChar w:fldCharType="begin"/>
      </w:r>
      <w:r w:rsidRPr="00376C9F">
        <w:rPr>
          <w:rFonts w:ascii="Arial" w:hAnsi="Arial" w:cs="Arial"/>
          <w:noProof/>
        </w:rPr>
        <w:instrText xml:space="preserve"> SEQ Tabla \* ARABIC </w:instrText>
      </w:r>
      <w:r w:rsidR="00FE59AC" w:rsidRPr="00376C9F">
        <w:rPr>
          <w:rFonts w:ascii="Arial" w:hAnsi="Arial" w:cs="Arial"/>
          <w:noProof/>
        </w:rPr>
        <w:fldChar w:fldCharType="separate"/>
      </w:r>
      <w:r w:rsidR="002F7B58">
        <w:rPr>
          <w:rFonts w:ascii="Arial" w:hAnsi="Arial" w:cs="Arial"/>
          <w:noProof/>
        </w:rPr>
        <w:t>1</w:t>
      </w:r>
      <w:r w:rsidR="00FE59AC" w:rsidRPr="00376C9F">
        <w:rPr>
          <w:rFonts w:ascii="Arial" w:hAnsi="Arial" w:cs="Arial"/>
          <w:noProof/>
        </w:rPr>
        <w:fldChar w:fldCharType="end"/>
      </w:r>
      <w:r w:rsidRPr="00376C9F">
        <w:rPr>
          <w:rFonts w:ascii="Arial" w:hAnsi="Arial" w:cs="Arial"/>
        </w:rPr>
        <w:t xml:space="preserve">6. </w:t>
      </w:r>
      <w:r>
        <w:rPr>
          <w:rFonts w:ascii="Arial" w:hAnsi="Arial" w:cs="Arial"/>
        </w:rPr>
        <w:t>Diferentes escenarios de coste-efectividad analizados en el estudio</w:t>
      </w:r>
    </w:p>
    <w:tbl>
      <w:tblPr>
        <w:tblW w:w="5092" w:type="pct"/>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130"/>
        <w:gridCol w:w="1078"/>
        <w:gridCol w:w="1078"/>
        <w:gridCol w:w="1895"/>
        <w:gridCol w:w="1935"/>
        <w:gridCol w:w="1926"/>
      </w:tblGrid>
      <w:tr w:rsidR="007D48BC">
        <w:trPr>
          <w:cantSplit/>
          <w:trHeight w:val="412"/>
        </w:trPr>
        <w:tc>
          <w:tcPr>
            <w:tcW w:w="625" w:type="pct"/>
            <w:shd w:val="clear" w:color="auto" w:fill="C6D9F1"/>
            <w:vAlign w:val="center"/>
          </w:tcPr>
          <w:p w:rsidR="007D48BC" w:rsidRDefault="007D48BC" w:rsidP="00745C84">
            <w:pPr>
              <w:jc w:val="center"/>
              <w:rPr>
                <w:rFonts w:ascii="Arial" w:hAnsi="Arial" w:cs="Arial"/>
                <w:b/>
                <w:bCs/>
                <w:sz w:val="16"/>
                <w:szCs w:val="16"/>
              </w:rPr>
            </w:pPr>
            <w:r>
              <w:rPr>
                <w:rFonts w:ascii="Arial" w:hAnsi="Arial" w:cs="Arial"/>
                <w:b/>
                <w:bCs/>
                <w:sz w:val="16"/>
                <w:szCs w:val="16"/>
              </w:rPr>
              <w:t>ESCENARIO</w:t>
            </w:r>
          </w:p>
        </w:tc>
        <w:tc>
          <w:tcPr>
            <w:tcW w:w="596" w:type="pct"/>
            <w:shd w:val="clear" w:color="auto" w:fill="C6D9F1"/>
            <w:vAlign w:val="center"/>
          </w:tcPr>
          <w:p w:rsidR="007D48BC" w:rsidRDefault="007D48BC" w:rsidP="00745C84">
            <w:pPr>
              <w:jc w:val="center"/>
              <w:rPr>
                <w:rFonts w:ascii="Arial" w:hAnsi="Arial" w:cs="Arial"/>
                <w:b/>
                <w:bCs/>
                <w:sz w:val="16"/>
                <w:szCs w:val="16"/>
              </w:rPr>
            </w:pPr>
            <w:r>
              <w:rPr>
                <w:rFonts w:ascii="Arial" w:hAnsi="Arial" w:cs="Arial"/>
                <w:b/>
                <w:bCs/>
                <w:sz w:val="16"/>
                <w:szCs w:val="16"/>
              </w:rPr>
              <w:t>AV Incremental</w:t>
            </w:r>
          </w:p>
        </w:tc>
        <w:tc>
          <w:tcPr>
            <w:tcW w:w="596" w:type="pct"/>
            <w:shd w:val="clear" w:color="auto" w:fill="C6D9F1"/>
            <w:vAlign w:val="center"/>
          </w:tcPr>
          <w:p w:rsidR="007D48BC" w:rsidRDefault="007D48BC" w:rsidP="00745C84">
            <w:pPr>
              <w:jc w:val="center"/>
              <w:rPr>
                <w:rFonts w:ascii="Arial" w:hAnsi="Arial" w:cs="Arial"/>
                <w:b/>
                <w:bCs/>
                <w:sz w:val="16"/>
                <w:szCs w:val="16"/>
              </w:rPr>
            </w:pPr>
            <w:r>
              <w:rPr>
                <w:rFonts w:ascii="Arial" w:hAnsi="Arial" w:cs="Arial"/>
                <w:b/>
                <w:bCs/>
                <w:sz w:val="16"/>
                <w:szCs w:val="16"/>
              </w:rPr>
              <w:t>AVAC</w:t>
            </w:r>
          </w:p>
          <w:p w:rsidR="007D48BC" w:rsidRDefault="007D48BC" w:rsidP="00745C84">
            <w:pPr>
              <w:jc w:val="center"/>
              <w:rPr>
                <w:rFonts w:ascii="Arial" w:hAnsi="Arial" w:cs="Arial"/>
                <w:b/>
                <w:bCs/>
                <w:sz w:val="16"/>
                <w:szCs w:val="16"/>
              </w:rPr>
            </w:pPr>
            <w:r>
              <w:rPr>
                <w:rFonts w:ascii="Arial" w:hAnsi="Arial" w:cs="Arial"/>
                <w:b/>
                <w:bCs/>
                <w:sz w:val="16"/>
                <w:szCs w:val="16"/>
              </w:rPr>
              <w:t>Incremental</w:t>
            </w:r>
          </w:p>
        </w:tc>
        <w:tc>
          <w:tcPr>
            <w:tcW w:w="1048" w:type="pct"/>
            <w:shd w:val="clear" w:color="auto" w:fill="C6D9F1"/>
            <w:vAlign w:val="center"/>
          </w:tcPr>
          <w:p w:rsidR="007D48BC" w:rsidRDefault="007D48BC" w:rsidP="00745C84">
            <w:pPr>
              <w:jc w:val="center"/>
              <w:rPr>
                <w:rFonts w:ascii="Arial" w:hAnsi="Arial" w:cs="Arial"/>
                <w:b/>
                <w:bCs/>
                <w:sz w:val="16"/>
                <w:szCs w:val="16"/>
              </w:rPr>
            </w:pPr>
            <w:r>
              <w:rPr>
                <w:rFonts w:ascii="Arial" w:hAnsi="Arial" w:cs="Arial"/>
                <w:b/>
                <w:bCs/>
                <w:sz w:val="16"/>
                <w:szCs w:val="16"/>
              </w:rPr>
              <w:t>Coste Incremental</w:t>
            </w:r>
          </w:p>
        </w:tc>
        <w:tc>
          <w:tcPr>
            <w:tcW w:w="1070" w:type="pct"/>
            <w:shd w:val="clear" w:color="auto" w:fill="C6D9F1"/>
            <w:vAlign w:val="center"/>
          </w:tcPr>
          <w:p w:rsidR="007D48BC" w:rsidRDefault="007D48BC" w:rsidP="00745C84">
            <w:pPr>
              <w:jc w:val="center"/>
              <w:rPr>
                <w:rFonts w:ascii="Arial" w:hAnsi="Arial" w:cs="Arial"/>
                <w:b/>
                <w:bCs/>
                <w:sz w:val="16"/>
                <w:szCs w:val="16"/>
              </w:rPr>
            </w:pPr>
            <w:r>
              <w:rPr>
                <w:rFonts w:ascii="Arial" w:hAnsi="Arial" w:cs="Arial"/>
                <w:b/>
                <w:bCs/>
                <w:sz w:val="16"/>
                <w:szCs w:val="16"/>
              </w:rPr>
              <w:t>RCEI/ AV ganado</w:t>
            </w:r>
          </w:p>
        </w:tc>
        <w:tc>
          <w:tcPr>
            <w:tcW w:w="1065" w:type="pct"/>
            <w:shd w:val="clear" w:color="auto" w:fill="C6D9F1"/>
            <w:vAlign w:val="center"/>
          </w:tcPr>
          <w:p w:rsidR="007D48BC" w:rsidRDefault="007D48BC" w:rsidP="00745C84">
            <w:pPr>
              <w:jc w:val="center"/>
              <w:rPr>
                <w:rFonts w:ascii="Arial" w:hAnsi="Arial" w:cs="Arial"/>
                <w:b/>
                <w:bCs/>
                <w:sz w:val="16"/>
                <w:szCs w:val="16"/>
              </w:rPr>
            </w:pPr>
            <w:r>
              <w:rPr>
                <w:rFonts w:ascii="Arial" w:hAnsi="Arial" w:cs="Arial"/>
                <w:b/>
                <w:bCs/>
                <w:sz w:val="16"/>
                <w:szCs w:val="16"/>
              </w:rPr>
              <w:t>RCEI/ AVAC ganado</w:t>
            </w:r>
          </w:p>
        </w:tc>
      </w:tr>
      <w:tr w:rsidR="007D48BC" w:rsidRPr="00481FEB">
        <w:trPr>
          <w:cantSplit/>
          <w:trHeight w:val="417"/>
        </w:trPr>
        <w:tc>
          <w:tcPr>
            <w:tcW w:w="625" w:type="pct"/>
            <w:vAlign w:val="center"/>
          </w:tcPr>
          <w:p w:rsidR="007D48BC" w:rsidRPr="00745C84" w:rsidRDefault="007D48BC" w:rsidP="00745C84">
            <w:pPr>
              <w:jc w:val="center"/>
              <w:rPr>
                <w:rFonts w:ascii="Arial" w:hAnsi="Arial" w:cs="Arial"/>
                <w:b/>
                <w:bCs/>
                <w:sz w:val="16"/>
                <w:szCs w:val="16"/>
              </w:rPr>
            </w:pPr>
            <w:r w:rsidRPr="00745C84">
              <w:rPr>
                <w:rFonts w:ascii="Arial" w:hAnsi="Arial" w:cs="Arial"/>
                <w:b/>
                <w:bCs/>
                <w:sz w:val="16"/>
                <w:szCs w:val="16"/>
              </w:rPr>
              <w:t>10% Mortalidad</w:t>
            </w:r>
          </w:p>
        </w:tc>
        <w:tc>
          <w:tcPr>
            <w:tcW w:w="596" w:type="pct"/>
            <w:vAlign w:val="center"/>
          </w:tcPr>
          <w:p w:rsidR="007D48BC" w:rsidRPr="00745C84" w:rsidRDefault="007D48BC" w:rsidP="00745C84">
            <w:pPr>
              <w:jc w:val="center"/>
              <w:rPr>
                <w:rFonts w:ascii="Arial" w:hAnsi="Arial" w:cs="Arial"/>
                <w:sz w:val="16"/>
                <w:szCs w:val="16"/>
              </w:rPr>
            </w:pPr>
            <w:r w:rsidRPr="00745C84">
              <w:rPr>
                <w:rFonts w:ascii="Arial" w:hAnsi="Arial" w:cs="Arial"/>
                <w:sz w:val="16"/>
                <w:szCs w:val="16"/>
              </w:rPr>
              <w:t>6.39</w:t>
            </w:r>
          </w:p>
        </w:tc>
        <w:tc>
          <w:tcPr>
            <w:tcW w:w="596" w:type="pct"/>
            <w:vAlign w:val="center"/>
          </w:tcPr>
          <w:p w:rsidR="007D48BC" w:rsidRPr="00745C84" w:rsidRDefault="007D48BC" w:rsidP="00745C84">
            <w:pPr>
              <w:jc w:val="center"/>
              <w:rPr>
                <w:rFonts w:ascii="Arial" w:hAnsi="Arial" w:cs="Arial"/>
                <w:sz w:val="16"/>
                <w:szCs w:val="16"/>
              </w:rPr>
            </w:pPr>
            <w:r w:rsidRPr="00745C84">
              <w:rPr>
                <w:rFonts w:ascii="Arial" w:hAnsi="Arial" w:cs="Arial"/>
                <w:sz w:val="16"/>
                <w:szCs w:val="16"/>
              </w:rPr>
              <w:t>6.12</w:t>
            </w:r>
          </w:p>
        </w:tc>
        <w:tc>
          <w:tcPr>
            <w:tcW w:w="1048" w:type="pct"/>
            <w:vAlign w:val="center"/>
          </w:tcPr>
          <w:p w:rsidR="007D48BC" w:rsidRPr="00745C84" w:rsidRDefault="007D48BC" w:rsidP="00745C84">
            <w:pPr>
              <w:jc w:val="center"/>
              <w:rPr>
                <w:rFonts w:ascii="Arial" w:hAnsi="Arial" w:cs="Arial"/>
                <w:sz w:val="16"/>
                <w:szCs w:val="16"/>
              </w:rPr>
            </w:pPr>
            <w:r w:rsidRPr="00745C84">
              <w:rPr>
                <w:rFonts w:ascii="Arial" w:hAnsi="Arial" w:cs="Arial"/>
                <w:sz w:val="16"/>
                <w:szCs w:val="16"/>
              </w:rPr>
              <w:t>$ 376.569</w:t>
            </w:r>
          </w:p>
        </w:tc>
        <w:tc>
          <w:tcPr>
            <w:tcW w:w="1070" w:type="pct"/>
            <w:vAlign w:val="center"/>
          </w:tcPr>
          <w:p w:rsidR="007D48BC" w:rsidRPr="00745C84" w:rsidRDefault="007D48BC" w:rsidP="00745C84">
            <w:pPr>
              <w:jc w:val="center"/>
              <w:rPr>
                <w:rFonts w:ascii="Arial" w:hAnsi="Arial" w:cs="Arial"/>
                <w:b/>
                <w:bCs/>
                <w:sz w:val="16"/>
                <w:szCs w:val="16"/>
              </w:rPr>
            </w:pPr>
            <w:r w:rsidRPr="00745C84">
              <w:rPr>
                <w:rFonts w:ascii="Arial" w:hAnsi="Arial" w:cs="Arial"/>
                <w:b/>
                <w:bCs/>
                <w:sz w:val="16"/>
                <w:szCs w:val="16"/>
              </w:rPr>
              <w:t>$ 58.906</w:t>
            </w:r>
          </w:p>
        </w:tc>
        <w:tc>
          <w:tcPr>
            <w:tcW w:w="1065" w:type="pct"/>
            <w:vAlign w:val="center"/>
          </w:tcPr>
          <w:p w:rsidR="007D48BC" w:rsidRPr="00745C84" w:rsidRDefault="007D48BC" w:rsidP="00745C84">
            <w:pPr>
              <w:jc w:val="center"/>
              <w:rPr>
                <w:rFonts w:ascii="Arial" w:hAnsi="Arial" w:cs="Arial"/>
                <w:b/>
                <w:bCs/>
                <w:sz w:val="16"/>
                <w:szCs w:val="16"/>
              </w:rPr>
            </w:pPr>
            <w:r w:rsidRPr="00745C84">
              <w:rPr>
                <w:rFonts w:ascii="Arial" w:hAnsi="Arial" w:cs="Arial"/>
                <w:b/>
                <w:bCs/>
                <w:sz w:val="16"/>
                <w:szCs w:val="16"/>
              </w:rPr>
              <w:t>$ 61.492</w:t>
            </w:r>
          </w:p>
        </w:tc>
      </w:tr>
      <w:tr w:rsidR="007D48BC" w:rsidRPr="00481FEB">
        <w:trPr>
          <w:cantSplit/>
          <w:trHeight w:val="268"/>
        </w:trPr>
        <w:tc>
          <w:tcPr>
            <w:tcW w:w="625" w:type="pct"/>
            <w:vAlign w:val="center"/>
          </w:tcPr>
          <w:p w:rsidR="007D48BC" w:rsidRPr="00745C84" w:rsidRDefault="007D48BC" w:rsidP="00745C84">
            <w:pPr>
              <w:jc w:val="center"/>
              <w:rPr>
                <w:rFonts w:ascii="Arial" w:hAnsi="Arial" w:cs="Arial"/>
                <w:b/>
                <w:bCs/>
                <w:sz w:val="16"/>
                <w:szCs w:val="16"/>
              </w:rPr>
            </w:pPr>
            <w:r w:rsidRPr="00745C84">
              <w:rPr>
                <w:rFonts w:ascii="Arial" w:hAnsi="Arial" w:cs="Arial"/>
                <w:b/>
                <w:bCs/>
                <w:sz w:val="16"/>
                <w:szCs w:val="16"/>
              </w:rPr>
              <w:t>20% Mortalidad</w:t>
            </w:r>
          </w:p>
        </w:tc>
        <w:tc>
          <w:tcPr>
            <w:tcW w:w="596" w:type="pct"/>
            <w:vAlign w:val="center"/>
          </w:tcPr>
          <w:p w:rsidR="007D48BC" w:rsidRPr="00745C84" w:rsidRDefault="007D48BC" w:rsidP="00745C84">
            <w:pPr>
              <w:jc w:val="center"/>
              <w:rPr>
                <w:rFonts w:ascii="Arial" w:hAnsi="Arial" w:cs="Arial"/>
                <w:sz w:val="16"/>
                <w:szCs w:val="16"/>
              </w:rPr>
            </w:pPr>
            <w:r w:rsidRPr="00745C84">
              <w:rPr>
                <w:rFonts w:ascii="Arial" w:hAnsi="Arial" w:cs="Arial"/>
                <w:sz w:val="16"/>
                <w:szCs w:val="16"/>
              </w:rPr>
              <w:t>6.01</w:t>
            </w:r>
          </w:p>
        </w:tc>
        <w:tc>
          <w:tcPr>
            <w:tcW w:w="596" w:type="pct"/>
            <w:vAlign w:val="center"/>
          </w:tcPr>
          <w:p w:rsidR="007D48BC" w:rsidRPr="00745C84" w:rsidRDefault="007D48BC" w:rsidP="00745C84">
            <w:pPr>
              <w:jc w:val="center"/>
              <w:rPr>
                <w:rFonts w:ascii="Arial" w:hAnsi="Arial" w:cs="Arial"/>
                <w:sz w:val="16"/>
                <w:szCs w:val="16"/>
              </w:rPr>
            </w:pPr>
            <w:r w:rsidRPr="00745C84">
              <w:rPr>
                <w:rFonts w:ascii="Arial" w:hAnsi="Arial" w:cs="Arial"/>
                <w:sz w:val="16"/>
                <w:szCs w:val="16"/>
              </w:rPr>
              <w:t>5.81</w:t>
            </w:r>
          </w:p>
        </w:tc>
        <w:tc>
          <w:tcPr>
            <w:tcW w:w="1048" w:type="pct"/>
            <w:vAlign w:val="center"/>
          </w:tcPr>
          <w:p w:rsidR="007D48BC" w:rsidRPr="00745C84" w:rsidRDefault="007D48BC" w:rsidP="00745C84">
            <w:pPr>
              <w:jc w:val="center"/>
              <w:rPr>
                <w:rFonts w:ascii="Arial" w:hAnsi="Arial" w:cs="Arial"/>
                <w:sz w:val="16"/>
                <w:szCs w:val="16"/>
              </w:rPr>
            </w:pPr>
            <w:r w:rsidRPr="00745C84">
              <w:rPr>
                <w:rFonts w:ascii="Arial" w:hAnsi="Arial" w:cs="Arial"/>
                <w:sz w:val="16"/>
                <w:szCs w:val="16"/>
              </w:rPr>
              <w:t>$ 373.855</w:t>
            </w:r>
          </w:p>
        </w:tc>
        <w:tc>
          <w:tcPr>
            <w:tcW w:w="1070" w:type="pct"/>
            <w:vAlign w:val="center"/>
          </w:tcPr>
          <w:p w:rsidR="007D48BC" w:rsidRPr="00745C84" w:rsidRDefault="007D48BC" w:rsidP="00745C84">
            <w:pPr>
              <w:jc w:val="center"/>
              <w:rPr>
                <w:rFonts w:ascii="Arial" w:hAnsi="Arial" w:cs="Arial"/>
                <w:b/>
                <w:bCs/>
                <w:sz w:val="16"/>
                <w:szCs w:val="16"/>
              </w:rPr>
            </w:pPr>
            <w:r w:rsidRPr="00745C84">
              <w:rPr>
                <w:rFonts w:ascii="Arial" w:hAnsi="Arial" w:cs="Arial"/>
                <w:b/>
                <w:bCs/>
                <w:sz w:val="16"/>
                <w:szCs w:val="16"/>
              </w:rPr>
              <w:t>$ 62.219</w:t>
            </w:r>
          </w:p>
        </w:tc>
        <w:tc>
          <w:tcPr>
            <w:tcW w:w="1065" w:type="pct"/>
            <w:vAlign w:val="center"/>
          </w:tcPr>
          <w:p w:rsidR="007D48BC" w:rsidRPr="00745C84" w:rsidRDefault="007D48BC" w:rsidP="00745C84">
            <w:pPr>
              <w:jc w:val="center"/>
              <w:rPr>
                <w:rFonts w:ascii="Arial" w:hAnsi="Arial" w:cs="Arial"/>
                <w:b/>
                <w:bCs/>
                <w:sz w:val="16"/>
                <w:szCs w:val="16"/>
              </w:rPr>
            </w:pPr>
            <w:r w:rsidRPr="00745C84">
              <w:rPr>
                <w:rFonts w:ascii="Arial" w:hAnsi="Arial" w:cs="Arial"/>
                <w:b/>
                <w:bCs/>
                <w:sz w:val="16"/>
                <w:szCs w:val="16"/>
              </w:rPr>
              <w:t>$ 64.370</w:t>
            </w:r>
          </w:p>
        </w:tc>
      </w:tr>
      <w:tr w:rsidR="007D48BC" w:rsidRPr="00481FEB">
        <w:trPr>
          <w:cantSplit/>
          <w:trHeight w:val="316"/>
        </w:trPr>
        <w:tc>
          <w:tcPr>
            <w:tcW w:w="625" w:type="pct"/>
            <w:vAlign w:val="center"/>
          </w:tcPr>
          <w:p w:rsidR="007D48BC" w:rsidRPr="00745C84" w:rsidRDefault="007D48BC" w:rsidP="00745C84">
            <w:pPr>
              <w:jc w:val="center"/>
              <w:rPr>
                <w:rFonts w:ascii="Arial" w:hAnsi="Arial" w:cs="Arial"/>
                <w:b/>
                <w:bCs/>
                <w:sz w:val="16"/>
                <w:szCs w:val="16"/>
              </w:rPr>
            </w:pPr>
            <w:r w:rsidRPr="00745C84">
              <w:rPr>
                <w:rFonts w:ascii="Arial" w:hAnsi="Arial" w:cs="Arial"/>
                <w:b/>
                <w:bCs/>
                <w:sz w:val="16"/>
                <w:szCs w:val="16"/>
              </w:rPr>
              <w:t>ITT</w:t>
            </w:r>
          </w:p>
        </w:tc>
        <w:tc>
          <w:tcPr>
            <w:tcW w:w="596" w:type="pct"/>
            <w:vAlign w:val="center"/>
          </w:tcPr>
          <w:p w:rsidR="007D48BC" w:rsidRPr="00745C84" w:rsidRDefault="007D48BC" w:rsidP="00745C84">
            <w:pPr>
              <w:jc w:val="center"/>
              <w:rPr>
                <w:rFonts w:ascii="Arial" w:hAnsi="Arial" w:cs="Arial"/>
                <w:sz w:val="16"/>
                <w:szCs w:val="16"/>
              </w:rPr>
            </w:pPr>
            <w:r w:rsidRPr="00745C84">
              <w:rPr>
                <w:rFonts w:ascii="Arial" w:hAnsi="Arial" w:cs="Arial"/>
                <w:sz w:val="16"/>
                <w:szCs w:val="16"/>
              </w:rPr>
              <w:t>6.28</w:t>
            </w:r>
          </w:p>
        </w:tc>
        <w:tc>
          <w:tcPr>
            <w:tcW w:w="596" w:type="pct"/>
            <w:vAlign w:val="center"/>
          </w:tcPr>
          <w:p w:rsidR="007D48BC" w:rsidRPr="00745C84" w:rsidRDefault="007D48BC" w:rsidP="00745C84">
            <w:pPr>
              <w:jc w:val="center"/>
              <w:rPr>
                <w:rFonts w:ascii="Arial" w:hAnsi="Arial" w:cs="Arial"/>
                <w:sz w:val="16"/>
                <w:szCs w:val="16"/>
              </w:rPr>
            </w:pPr>
            <w:r w:rsidRPr="00745C84">
              <w:rPr>
                <w:rFonts w:ascii="Arial" w:hAnsi="Arial" w:cs="Arial"/>
                <w:sz w:val="16"/>
                <w:szCs w:val="16"/>
              </w:rPr>
              <w:t>5.95</w:t>
            </w:r>
          </w:p>
        </w:tc>
        <w:tc>
          <w:tcPr>
            <w:tcW w:w="1048" w:type="pct"/>
            <w:vAlign w:val="center"/>
          </w:tcPr>
          <w:p w:rsidR="007D48BC" w:rsidRPr="00745C84" w:rsidRDefault="007D48BC" w:rsidP="00745C84">
            <w:pPr>
              <w:jc w:val="center"/>
              <w:rPr>
                <w:rFonts w:ascii="Arial" w:hAnsi="Arial" w:cs="Arial"/>
                <w:sz w:val="16"/>
                <w:szCs w:val="16"/>
              </w:rPr>
            </w:pPr>
            <w:r w:rsidRPr="00745C84">
              <w:rPr>
                <w:rFonts w:ascii="Arial" w:hAnsi="Arial" w:cs="Arial"/>
                <w:sz w:val="16"/>
                <w:szCs w:val="16"/>
              </w:rPr>
              <w:t>$ 345.967</w:t>
            </w:r>
          </w:p>
        </w:tc>
        <w:tc>
          <w:tcPr>
            <w:tcW w:w="1070" w:type="pct"/>
            <w:vAlign w:val="center"/>
          </w:tcPr>
          <w:p w:rsidR="007D48BC" w:rsidRPr="00745C84" w:rsidRDefault="007D48BC" w:rsidP="00745C84">
            <w:pPr>
              <w:jc w:val="center"/>
              <w:rPr>
                <w:rFonts w:ascii="Arial" w:hAnsi="Arial" w:cs="Arial"/>
                <w:b/>
                <w:bCs/>
                <w:sz w:val="16"/>
                <w:szCs w:val="16"/>
              </w:rPr>
            </w:pPr>
            <w:r w:rsidRPr="00745C84">
              <w:rPr>
                <w:rFonts w:ascii="Arial" w:hAnsi="Arial" w:cs="Arial"/>
                <w:b/>
                <w:bCs/>
                <w:sz w:val="16"/>
                <w:szCs w:val="16"/>
              </w:rPr>
              <w:t>$ 55.128</w:t>
            </w:r>
          </w:p>
        </w:tc>
        <w:tc>
          <w:tcPr>
            <w:tcW w:w="1065" w:type="pct"/>
            <w:vAlign w:val="center"/>
          </w:tcPr>
          <w:p w:rsidR="007D48BC" w:rsidRPr="00745C84" w:rsidRDefault="007D48BC" w:rsidP="00745C84">
            <w:pPr>
              <w:jc w:val="center"/>
              <w:rPr>
                <w:rFonts w:ascii="Arial" w:hAnsi="Arial" w:cs="Arial"/>
                <w:b/>
                <w:bCs/>
                <w:sz w:val="16"/>
                <w:szCs w:val="16"/>
              </w:rPr>
            </w:pPr>
            <w:r w:rsidRPr="00745C84">
              <w:rPr>
                <w:rFonts w:ascii="Arial" w:hAnsi="Arial" w:cs="Arial"/>
                <w:b/>
                <w:bCs/>
                <w:sz w:val="16"/>
                <w:szCs w:val="16"/>
              </w:rPr>
              <w:t>$ 58.146</w:t>
            </w:r>
          </w:p>
        </w:tc>
      </w:tr>
    </w:tbl>
    <w:p w:rsidR="007D48BC" w:rsidRDefault="007D48BC" w:rsidP="008F5F0D">
      <w:pPr>
        <w:spacing w:line="360" w:lineRule="auto"/>
        <w:jc w:val="both"/>
        <w:rPr>
          <w:rFonts w:ascii="Arial" w:hAnsi="Arial" w:cs="Arial"/>
        </w:rPr>
      </w:pPr>
    </w:p>
    <w:p w:rsidR="007D48BC" w:rsidRDefault="007D48BC" w:rsidP="00BE59AE">
      <w:pPr>
        <w:spacing w:line="360" w:lineRule="auto"/>
        <w:jc w:val="both"/>
        <w:rPr>
          <w:rFonts w:ascii="Arial" w:hAnsi="Arial" w:cs="Arial"/>
        </w:rPr>
      </w:pPr>
      <w:r>
        <w:rPr>
          <w:rFonts w:ascii="Arial" w:hAnsi="Arial" w:cs="Arial"/>
        </w:rPr>
        <w:t xml:space="preserve">Se realizó un análisis de sensibilidad probabilístico. </w:t>
      </w:r>
    </w:p>
    <w:p w:rsidR="007D48BC" w:rsidRPr="0085065F" w:rsidRDefault="007D48BC" w:rsidP="0085065F">
      <w:pPr>
        <w:pStyle w:val="Epgrafe"/>
        <w:keepNext/>
        <w:jc w:val="both"/>
        <w:rPr>
          <w:rFonts w:ascii="Arial" w:hAnsi="Arial" w:cs="Arial"/>
        </w:rPr>
      </w:pPr>
      <w:r w:rsidRPr="0085065F">
        <w:rPr>
          <w:rFonts w:ascii="Arial" w:hAnsi="Arial" w:cs="Arial"/>
        </w:rPr>
        <w:t>Figura 6</w:t>
      </w:r>
      <w:r>
        <w:rPr>
          <w:rFonts w:ascii="Arial" w:hAnsi="Arial" w:cs="Arial"/>
        </w:rPr>
        <w:t>. Diagrama Tornado del análisis de sensibilidad probabilístico y univariante</w:t>
      </w:r>
    </w:p>
    <w:p w:rsidR="007D48BC" w:rsidRDefault="003C496A" w:rsidP="00BE59AE">
      <w:pPr>
        <w:spacing w:line="360" w:lineRule="auto"/>
        <w:jc w:val="both"/>
        <w:rPr>
          <w:rFonts w:ascii="Arial" w:hAnsi="Arial" w:cs="Arial"/>
        </w:rPr>
      </w:pPr>
      <w:r>
        <w:rPr>
          <w:rFonts w:ascii="Arial" w:hAnsi="Arial" w:cs="Arial"/>
          <w:noProof/>
        </w:rPr>
        <w:drawing>
          <wp:inline distT="0" distB="0" distL="0" distR="0">
            <wp:extent cx="6353175" cy="2428875"/>
            <wp:effectExtent l="0" t="0" r="0" b="0"/>
            <wp:docPr id="8"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353175" cy="2428875"/>
                    </a:xfrm>
                    <a:prstGeom prst="rect">
                      <a:avLst/>
                    </a:prstGeom>
                    <a:noFill/>
                    <a:ln>
                      <a:noFill/>
                    </a:ln>
                  </pic:spPr>
                </pic:pic>
              </a:graphicData>
            </a:graphic>
          </wp:inline>
        </w:drawing>
      </w:r>
    </w:p>
    <w:p w:rsidR="007D48BC" w:rsidRPr="0047716D" w:rsidRDefault="007D48BC" w:rsidP="00BE59AE">
      <w:pPr>
        <w:spacing w:line="360" w:lineRule="auto"/>
        <w:jc w:val="both"/>
        <w:rPr>
          <w:rFonts w:ascii="Arial" w:hAnsi="Arial" w:cs="Arial"/>
        </w:rPr>
      </w:pPr>
      <w:r>
        <w:rPr>
          <w:rFonts w:ascii="Arial" w:hAnsi="Arial" w:cs="Arial"/>
        </w:rPr>
        <w:t xml:space="preserve">Los parámetros del modelo que más influyeron en los resultados fueron la fracción de remisión con el tratamiento, la tasa de descuento anual y el precio de </w:t>
      </w:r>
      <w:r w:rsidRPr="0046385B">
        <w:rPr>
          <w:rFonts w:ascii="Arial" w:hAnsi="Arial" w:cs="Arial"/>
        </w:rPr>
        <w:t>axicabtagen ciloleucel</w:t>
      </w:r>
      <w:r>
        <w:rPr>
          <w:rFonts w:ascii="Arial" w:hAnsi="Arial" w:cs="Arial"/>
        </w:rPr>
        <w:t>.</w:t>
      </w:r>
    </w:p>
    <w:p w:rsidR="007D48BC" w:rsidRPr="0047716D" w:rsidRDefault="007D48BC" w:rsidP="009E5916">
      <w:pPr>
        <w:jc w:val="both"/>
        <w:rPr>
          <w:rFonts w:ascii="Arial" w:hAnsi="Arial" w:cs="Arial"/>
        </w:rPr>
      </w:pPr>
    </w:p>
    <w:p w:rsidR="007D48BC" w:rsidRDefault="007D48BC" w:rsidP="008A48C1">
      <w:pPr>
        <w:jc w:val="both"/>
        <w:rPr>
          <w:rFonts w:ascii="Arial" w:hAnsi="Arial" w:cs="Arial"/>
        </w:rPr>
      </w:pPr>
      <w:r>
        <w:rPr>
          <w:rFonts w:ascii="Arial" w:hAnsi="Arial" w:cs="Arial"/>
        </w:rPr>
        <w:t>VALIDEZ INTERNA</w:t>
      </w:r>
    </w:p>
    <w:p w:rsidR="007D48BC" w:rsidRDefault="007D48BC" w:rsidP="008A48C1">
      <w:pPr>
        <w:jc w:val="both"/>
        <w:rPr>
          <w:rFonts w:ascii="Arial" w:hAnsi="Arial" w:cs="Arial"/>
        </w:rPr>
      </w:pPr>
    </w:p>
    <w:p w:rsidR="007D48BC" w:rsidRDefault="007D48BC" w:rsidP="003B4D7C">
      <w:pPr>
        <w:spacing w:line="360" w:lineRule="auto"/>
        <w:jc w:val="both"/>
        <w:rPr>
          <w:rFonts w:ascii="Arial" w:hAnsi="Arial" w:cs="Arial"/>
        </w:rPr>
      </w:pPr>
      <w:r>
        <w:rPr>
          <w:rFonts w:ascii="Arial" w:hAnsi="Arial" w:cs="Arial"/>
        </w:rPr>
        <w:t xml:space="preserve">El principal inconveniente de estos estudios radica en que solo tienen un único brazo y pueden introducir numerosos sesgos. Además está el inconveniente del horizonte temporal que considera el estudio comparado con los datos inmaduros del estudio pivotal. </w:t>
      </w:r>
    </w:p>
    <w:p w:rsidR="007D48BC" w:rsidRDefault="007D48BC" w:rsidP="008A48C1">
      <w:pPr>
        <w:jc w:val="both"/>
        <w:rPr>
          <w:rFonts w:ascii="Arial" w:hAnsi="Arial" w:cs="Arial"/>
        </w:rPr>
      </w:pPr>
    </w:p>
    <w:p w:rsidR="007D48BC" w:rsidRDefault="007D48BC" w:rsidP="008A48C1">
      <w:pPr>
        <w:jc w:val="both"/>
        <w:rPr>
          <w:rFonts w:ascii="Arial" w:hAnsi="Arial" w:cs="Arial"/>
        </w:rPr>
      </w:pPr>
      <w:r>
        <w:rPr>
          <w:rFonts w:ascii="Arial" w:hAnsi="Arial" w:cs="Arial"/>
        </w:rPr>
        <w:t>VALIDEZ EXTERNA</w:t>
      </w:r>
    </w:p>
    <w:p w:rsidR="007D48BC" w:rsidRDefault="007D48BC" w:rsidP="008A48C1">
      <w:pPr>
        <w:jc w:val="both"/>
        <w:rPr>
          <w:rFonts w:ascii="Arial" w:hAnsi="Arial" w:cs="Arial"/>
        </w:rPr>
      </w:pPr>
    </w:p>
    <w:p w:rsidR="007D48BC" w:rsidRPr="008A48C1" w:rsidRDefault="007D48BC" w:rsidP="008A48C1">
      <w:pPr>
        <w:spacing w:line="360" w:lineRule="auto"/>
        <w:jc w:val="both"/>
        <w:rPr>
          <w:rFonts w:ascii="Arial" w:hAnsi="Arial" w:cs="Arial"/>
        </w:rPr>
      </w:pPr>
      <w:r>
        <w:rPr>
          <w:rFonts w:ascii="Arial" w:hAnsi="Arial" w:cs="Arial"/>
        </w:rPr>
        <w:t xml:space="preserve">Los principales aspectos que podrían comprometer la aplicabilidad de los resultados a nuestro medio son: la ausencia de comparación frente a otras alternativas utilizadas en la práctica clínica, los costes unitarios considerados para los medicamentos </w:t>
      </w:r>
      <w:r w:rsidR="006D2D76">
        <w:rPr>
          <w:rFonts w:ascii="Arial" w:hAnsi="Arial" w:cs="Arial"/>
        </w:rPr>
        <w:t xml:space="preserve">y otras intervenciones </w:t>
      </w:r>
      <w:r>
        <w:rPr>
          <w:rFonts w:ascii="Arial" w:hAnsi="Arial" w:cs="Arial"/>
        </w:rPr>
        <w:t xml:space="preserve">(precio americano), los valores de utilidad asignados a los diferentes estados de salud del modelo (obtenidos en población diferente a la española), y el umbral de disponibilidad a pagar considerado (muy superior al comúnmente aceptado en la Unión Europea). </w:t>
      </w:r>
    </w:p>
    <w:p w:rsidR="007D48BC" w:rsidRDefault="007D48BC" w:rsidP="009E5916">
      <w:pPr>
        <w:jc w:val="both"/>
        <w:rPr>
          <w:rFonts w:ascii="Arial" w:hAnsi="Arial" w:cs="Arial"/>
        </w:rPr>
      </w:pPr>
    </w:p>
    <w:p w:rsidR="007D48BC" w:rsidRDefault="007D48BC" w:rsidP="00775DF5">
      <w:pPr>
        <w:spacing w:line="360" w:lineRule="auto"/>
        <w:jc w:val="both"/>
        <w:rPr>
          <w:rFonts w:ascii="Arial" w:hAnsi="Arial" w:cs="Arial"/>
        </w:rPr>
      </w:pPr>
      <w:r>
        <w:rPr>
          <w:rFonts w:ascii="Arial" w:hAnsi="Arial" w:cs="Arial"/>
        </w:rPr>
        <w:t>En relación con el informe de evaluación del ICER</w:t>
      </w:r>
      <w:r w:rsidRPr="003B4D7C">
        <w:rPr>
          <w:rFonts w:ascii="Arial" w:hAnsi="Arial" w:cs="Arial"/>
          <w:vertAlign w:val="superscript"/>
        </w:rPr>
        <w:t>23</w:t>
      </w:r>
      <w:r>
        <w:rPr>
          <w:rFonts w:ascii="Arial" w:hAnsi="Arial" w:cs="Arial"/>
        </w:rPr>
        <w:t xml:space="preserve">, </w:t>
      </w:r>
      <w:r w:rsidR="006D2D76">
        <w:rPr>
          <w:rFonts w:ascii="Arial" w:hAnsi="Arial" w:cs="Arial"/>
        </w:rPr>
        <w:t xml:space="preserve">destacan que </w:t>
      </w:r>
      <w:r w:rsidRPr="00775DF5">
        <w:rPr>
          <w:rFonts w:ascii="Arial" w:hAnsi="Arial" w:cs="Arial"/>
        </w:rPr>
        <w:t xml:space="preserve">el uso de </w:t>
      </w:r>
      <w:r w:rsidRPr="0046385B">
        <w:rPr>
          <w:rFonts w:ascii="Arial" w:hAnsi="Arial" w:cs="Arial"/>
        </w:rPr>
        <w:t>axicabtagen ciloleucel</w:t>
      </w:r>
      <w:r w:rsidRPr="00775DF5">
        <w:rPr>
          <w:rFonts w:ascii="Arial" w:hAnsi="Arial" w:cs="Arial"/>
        </w:rPr>
        <w:t xml:space="preserve"> en el linfoma de células B proporciona un beneficio clínico en cuanto </w:t>
      </w:r>
      <w:r w:rsidR="006D2D76">
        <w:rPr>
          <w:rFonts w:ascii="Arial" w:hAnsi="Arial" w:cs="Arial"/>
        </w:rPr>
        <w:t>a AVAC</w:t>
      </w:r>
      <w:r w:rsidRPr="00775DF5">
        <w:rPr>
          <w:rFonts w:ascii="Arial" w:hAnsi="Arial" w:cs="Arial"/>
        </w:rPr>
        <w:t xml:space="preserve"> y la supervivencia general sobre la quimioterapia</w:t>
      </w:r>
      <w:r>
        <w:rPr>
          <w:rFonts w:ascii="Arial" w:hAnsi="Arial" w:cs="Arial"/>
        </w:rPr>
        <w:t xml:space="preserve"> de rescate</w:t>
      </w:r>
      <w:r w:rsidRPr="00775DF5">
        <w:rPr>
          <w:rFonts w:ascii="Arial" w:hAnsi="Arial" w:cs="Arial"/>
        </w:rPr>
        <w:t>. Esto se tradujo en estimaciones de cost</w:t>
      </w:r>
      <w:r>
        <w:rPr>
          <w:rFonts w:ascii="Arial" w:hAnsi="Arial" w:cs="Arial"/>
        </w:rPr>
        <w:t>e</w:t>
      </w:r>
      <w:r w:rsidRPr="00775DF5">
        <w:rPr>
          <w:rFonts w:ascii="Arial" w:hAnsi="Arial" w:cs="Arial"/>
        </w:rPr>
        <w:t>-efectividad que cumplieron con los umbrales citados en la cohorte de linfoma de células B recidivante/refractario en adultos bajo los supuestos actuales utilizados en el análisis de</w:t>
      </w:r>
      <w:r>
        <w:rPr>
          <w:rFonts w:ascii="Arial" w:hAnsi="Arial" w:cs="Arial"/>
        </w:rPr>
        <w:t>l</w:t>
      </w:r>
      <w:r w:rsidRPr="00775DF5">
        <w:rPr>
          <w:rFonts w:ascii="Arial" w:hAnsi="Arial" w:cs="Arial"/>
        </w:rPr>
        <w:t xml:space="preserve"> caso base. Dada la incertidumbre de los parámetros cuantificada mediante análisis de sensibilidad unidireccionales y probabilísticos, algunos coeficientes de rentabilidad superan los </w:t>
      </w:r>
      <w:r>
        <w:rPr>
          <w:rFonts w:ascii="Arial" w:hAnsi="Arial" w:cs="Arial"/>
        </w:rPr>
        <w:t xml:space="preserve">$ </w:t>
      </w:r>
      <w:r w:rsidRPr="00775DF5">
        <w:rPr>
          <w:rFonts w:ascii="Arial" w:hAnsi="Arial" w:cs="Arial"/>
        </w:rPr>
        <w:t xml:space="preserve">150.000 por </w:t>
      </w:r>
      <w:r>
        <w:rPr>
          <w:rFonts w:ascii="Arial" w:hAnsi="Arial" w:cs="Arial"/>
        </w:rPr>
        <w:t xml:space="preserve">AVAC </w:t>
      </w:r>
      <w:r w:rsidRPr="00775DF5">
        <w:rPr>
          <w:rFonts w:ascii="Arial" w:hAnsi="Arial" w:cs="Arial"/>
        </w:rPr>
        <w:t>obtenido. Los resultados fueron más sensibles a la tasa de descuento de los resultados, la utilidad</w:t>
      </w:r>
      <w:r>
        <w:rPr>
          <w:rFonts w:ascii="Arial" w:hAnsi="Arial" w:cs="Arial"/>
        </w:rPr>
        <w:t xml:space="preserve"> en remisión</w:t>
      </w:r>
      <w:r w:rsidRPr="00775DF5">
        <w:rPr>
          <w:rFonts w:ascii="Arial" w:hAnsi="Arial" w:cs="Arial"/>
        </w:rPr>
        <w:t xml:space="preserve"> y la respuesta al estado de salud del tratamiento, el porcentaje de margen hospitalario para el </w:t>
      </w:r>
      <w:r>
        <w:rPr>
          <w:rFonts w:ascii="Arial" w:hAnsi="Arial" w:cs="Arial"/>
        </w:rPr>
        <w:t>fármaco</w:t>
      </w:r>
      <w:r w:rsidRPr="00775DF5">
        <w:rPr>
          <w:rFonts w:ascii="Arial" w:hAnsi="Arial" w:cs="Arial"/>
        </w:rPr>
        <w:t xml:space="preserve">, la tasa de mortalidad estandarizada, la duración de la </w:t>
      </w:r>
      <w:r w:rsidR="006D2D76">
        <w:rPr>
          <w:rFonts w:ascii="Arial" w:hAnsi="Arial" w:cs="Arial"/>
        </w:rPr>
        <w:t>i</w:t>
      </w:r>
      <w:r>
        <w:rPr>
          <w:rFonts w:ascii="Arial" w:hAnsi="Arial" w:cs="Arial"/>
        </w:rPr>
        <w:t xml:space="preserve">nmunoglobulina </w:t>
      </w:r>
      <w:r w:rsidRPr="00775DF5">
        <w:rPr>
          <w:rFonts w:ascii="Arial" w:hAnsi="Arial" w:cs="Arial"/>
        </w:rPr>
        <w:t xml:space="preserve">IV y los supuestos de supervivencia. </w:t>
      </w:r>
    </w:p>
    <w:p w:rsidR="007D48BC" w:rsidRDefault="007D48BC" w:rsidP="00375161">
      <w:pPr>
        <w:pStyle w:val="Epgrafe"/>
        <w:keepNext/>
        <w:rPr>
          <w:rFonts w:ascii="Arial" w:hAnsi="Arial" w:cs="Arial"/>
        </w:rPr>
      </w:pPr>
      <w:r w:rsidRPr="00BB5F27">
        <w:rPr>
          <w:rFonts w:ascii="Arial" w:hAnsi="Arial" w:cs="Arial"/>
        </w:rPr>
        <w:t xml:space="preserve">Figura </w:t>
      </w:r>
      <w:r>
        <w:rPr>
          <w:rFonts w:ascii="Arial" w:hAnsi="Arial" w:cs="Arial"/>
        </w:rPr>
        <w:t>7. Evaluación económica incluida en el ICER</w:t>
      </w:r>
    </w:p>
    <w:p w:rsidR="007D48BC" w:rsidRPr="00BB5F27" w:rsidRDefault="007D48BC" w:rsidP="00375161"/>
    <w:p w:rsidR="007D48BC" w:rsidRDefault="003C496A" w:rsidP="00375161">
      <w:pPr>
        <w:jc w:val="center"/>
        <w:rPr>
          <w:rFonts w:ascii="Arial" w:hAnsi="Arial" w:cs="Arial"/>
          <w:b/>
          <w:bCs/>
        </w:rPr>
      </w:pPr>
      <w:r>
        <w:rPr>
          <w:rFonts w:ascii="Arial" w:hAnsi="Arial" w:cs="Arial"/>
          <w:b/>
          <w:bCs/>
          <w:noProof/>
        </w:rPr>
        <w:drawing>
          <wp:inline distT="0" distB="0" distL="0" distR="0">
            <wp:extent cx="5495925" cy="1543050"/>
            <wp:effectExtent l="0" t="0" r="0" b="0"/>
            <wp:docPr id="9"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495925" cy="1543050"/>
                    </a:xfrm>
                    <a:prstGeom prst="rect">
                      <a:avLst/>
                    </a:prstGeom>
                    <a:noFill/>
                    <a:ln>
                      <a:noFill/>
                    </a:ln>
                  </pic:spPr>
                </pic:pic>
              </a:graphicData>
            </a:graphic>
          </wp:inline>
        </w:drawing>
      </w:r>
    </w:p>
    <w:p w:rsidR="007D48BC" w:rsidRDefault="007D48BC" w:rsidP="00375161">
      <w:pPr>
        <w:rPr>
          <w:rFonts w:ascii="Arial" w:hAnsi="Arial" w:cs="Arial"/>
          <w:b/>
          <w:bCs/>
        </w:rPr>
      </w:pPr>
    </w:p>
    <w:p w:rsidR="007D48BC" w:rsidRDefault="003C496A" w:rsidP="00375161">
      <w:pPr>
        <w:spacing w:line="360" w:lineRule="auto"/>
        <w:jc w:val="both"/>
        <w:rPr>
          <w:rFonts w:ascii="Arial" w:hAnsi="Arial" w:cs="Arial"/>
        </w:rPr>
      </w:pPr>
      <w:r>
        <w:rPr>
          <w:rFonts w:ascii="Arial" w:hAnsi="Arial" w:cs="Arial"/>
          <w:noProof/>
        </w:rPr>
        <w:drawing>
          <wp:inline distT="0" distB="0" distL="0" distR="0">
            <wp:extent cx="5534025" cy="1323975"/>
            <wp:effectExtent l="0" t="0" r="0" b="0"/>
            <wp:docPr id="10"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534025" cy="1323975"/>
                    </a:xfrm>
                    <a:prstGeom prst="rect">
                      <a:avLst/>
                    </a:prstGeom>
                    <a:noFill/>
                    <a:ln>
                      <a:noFill/>
                    </a:ln>
                  </pic:spPr>
                </pic:pic>
              </a:graphicData>
            </a:graphic>
          </wp:inline>
        </w:drawing>
      </w:r>
    </w:p>
    <w:p w:rsidR="007D48BC" w:rsidRPr="0021340C" w:rsidRDefault="007D48BC" w:rsidP="00775DF5">
      <w:pPr>
        <w:spacing w:line="360" w:lineRule="auto"/>
        <w:jc w:val="both"/>
        <w:rPr>
          <w:rFonts w:ascii="Arial" w:hAnsi="Arial" w:cs="Arial"/>
        </w:rPr>
      </w:pPr>
      <w:r w:rsidRPr="00775DF5">
        <w:rPr>
          <w:rFonts w:ascii="Arial" w:hAnsi="Arial" w:cs="Arial"/>
        </w:rPr>
        <w:t xml:space="preserve">Después de un horizonte de tiempo del modelo de 24 años, la relación costo-efectividad incremental para </w:t>
      </w:r>
      <w:r w:rsidRPr="0046385B">
        <w:rPr>
          <w:rFonts w:ascii="Arial" w:hAnsi="Arial" w:cs="Arial"/>
        </w:rPr>
        <w:t>axicabtagen ciloleucel</w:t>
      </w:r>
      <w:r w:rsidRPr="00775DF5">
        <w:rPr>
          <w:rFonts w:ascii="Arial" w:hAnsi="Arial" w:cs="Arial"/>
        </w:rPr>
        <w:t xml:space="preserve"> </w:t>
      </w:r>
      <w:r w:rsidR="006D2D76">
        <w:rPr>
          <w:rFonts w:ascii="Arial" w:hAnsi="Arial" w:cs="Arial"/>
        </w:rPr>
        <w:t>frente a</w:t>
      </w:r>
      <w:r w:rsidRPr="00775DF5">
        <w:rPr>
          <w:rFonts w:ascii="Arial" w:hAnsi="Arial" w:cs="Arial"/>
        </w:rPr>
        <w:t xml:space="preserve"> quimioterapia fue de menos de $150,000 por cada </w:t>
      </w:r>
      <w:r>
        <w:rPr>
          <w:rFonts w:ascii="Arial" w:hAnsi="Arial" w:cs="Arial"/>
        </w:rPr>
        <w:t>AVAC</w:t>
      </w:r>
      <w:r w:rsidRPr="00775DF5">
        <w:rPr>
          <w:rFonts w:ascii="Arial" w:hAnsi="Arial" w:cs="Arial"/>
        </w:rPr>
        <w:t xml:space="preserve"> ganado. Por lo tanto, si se acepta que los pacientes </w:t>
      </w:r>
      <w:r>
        <w:rPr>
          <w:rFonts w:ascii="Arial" w:hAnsi="Arial" w:cs="Arial"/>
        </w:rPr>
        <w:t>en remisión</w:t>
      </w:r>
      <w:r w:rsidRPr="00775DF5">
        <w:rPr>
          <w:rFonts w:ascii="Arial" w:hAnsi="Arial" w:cs="Arial"/>
        </w:rPr>
        <w:t xml:space="preserve"> y responden al tratamiento a los cinco años están efectivamente curados, y que los otros supuestos del modelo se mantienen durante al menos </w:t>
      </w:r>
      <w:r w:rsidRPr="0021340C">
        <w:rPr>
          <w:rFonts w:ascii="Arial" w:hAnsi="Arial" w:cs="Arial"/>
        </w:rPr>
        <w:t xml:space="preserve">24 años después del tratamiento sin diferencias en los costes o resultados más allá de esa duración, el fármaco cumpliría con los umbrales de coste-efectividad que se consideran habitualmente, aunque muy superiores a los aceptados en nuestro país. </w:t>
      </w:r>
      <w:r w:rsidR="00E43DDD" w:rsidRPr="0021340C">
        <w:rPr>
          <w:rFonts w:ascii="Arial" w:hAnsi="Arial" w:cs="Arial"/>
        </w:rPr>
        <w:t>Esta consideración se basa en la asunción de que los respondedores a 5 años tienen una supervivencia similar a la población general, lo cual no se ha demostrado. Además llama la atención la estimación de años de vida aportados por axicabtagen ciloleucel (7,35 AV) cuando la mediana del SG es de 17,4 meses.</w:t>
      </w:r>
    </w:p>
    <w:p w:rsidR="007D48BC" w:rsidRPr="00375161" w:rsidRDefault="007D48BC" w:rsidP="00375161">
      <w:pPr>
        <w:spacing w:line="360" w:lineRule="auto"/>
        <w:jc w:val="both"/>
        <w:rPr>
          <w:rFonts w:ascii="Arial" w:hAnsi="Arial" w:cs="Arial"/>
        </w:rPr>
      </w:pPr>
      <w:r w:rsidRPr="0021340C">
        <w:rPr>
          <w:rFonts w:ascii="Arial" w:hAnsi="Arial" w:cs="Arial"/>
        </w:rPr>
        <w:t>Concluyen que los resultados del análisis sugieren que las terapias CAR-T en esta revisión proporcionan mejoras</w:t>
      </w:r>
      <w:r w:rsidRPr="00775DF5">
        <w:rPr>
          <w:rFonts w:ascii="Arial" w:hAnsi="Arial" w:cs="Arial"/>
        </w:rPr>
        <w:t xml:space="preserve"> en la supervivencia general y ajustada por calidad</w:t>
      </w:r>
      <w:r>
        <w:rPr>
          <w:rFonts w:ascii="Arial" w:hAnsi="Arial" w:cs="Arial"/>
        </w:rPr>
        <w:t xml:space="preserve"> de vida</w:t>
      </w:r>
      <w:r w:rsidRPr="00775DF5">
        <w:rPr>
          <w:rFonts w:ascii="Arial" w:hAnsi="Arial" w:cs="Arial"/>
        </w:rPr>
        <w:t xml:space="preserve"> sobre las </w:t>
      </w:r>
      <w:r>
        <w:rPr>
          <w:rFonts w:ascii="Arial" w:hAnsi="Arial" w:cs="Arial"/>
        </w:rPr>
        <w:t>otras</w:t>
      </w:r>
      <w:r w:rsidRPr="00775DF5">
        <w:rPr>
          <w:rFonts w:ascii="Arial" w:hAnsi="Arial" w:cs="Arial"/>
        </w:rPr>
        <w:t xml:space="preserve"> alternativas. Con la evidencia disponible en este momento, estas terapias parecen tener un precio alineado con los beneficios clínicos durante un horizonte de tiempo de por vida. Los análisis de escenarios detallados en el informe principal mostraron, sin embargo, que la rentabilidad era sensible al horizonte temporal y a la previsión de beneficios a largo plazo de los tratamientos.</w:t>
      </w:r>
    </w:p>
    <w:p w:rsidR="007D48BC" w:rsidRPr="00E147C6" w:rsidRDefault="007D48BC" w:rsidP="00E147C6">
      <w:pPr>
        <w:spacing w:line="360" w:lineRule="auto"/>
        <w:jc w:val="both"/>
        <w:rPr>
          <w:rFonts w:ascii="Arial" w:hAnsi="Arial" w:cs="Arial"/>
        </w:rPr>
      </w:pPr>
      <w:r w:rsidRPr="00E147C6">
        <w:rPr>
          <w:rFonts w:ascii="Arial" w:hAnsi="Arial" w:cs="Arial"/>
        </w:rPr>
        <w:t>Finalmente, el NICE</w:t>
      </w:r>
      <w:r w:rsidRPr="00C44C25">
        <w:rPr>
          <w:rFonts w:ascii="Arial" w:hAnsi="Arial" w:cs="Arial"/>
          <w:vertAlign w:val="superscript"/>
        </w:rPr>
        <w:t>2</w:t>
      </w:r>
      <w:r>
        <w:rPr>
          <w:rFonts w:ascii="Arial" w:hAnsi="Arial" w:cs="Arial"/>
          <w:vertAlign w:val="superscript"/>
        </w:rPr>
        <w:t>2</w:t>
      </w:r>
      <w:r w:rsidRPr="00E147C6">
        <w:rPr>
          <w:rFonts w:ascii="Arial" w:hAnsi="Arial" w:cs="Arial"/>
        </w:rPr>
        <w:t xml:space="preserve"> en su informe recoge aspectos económicos y de costes que resumimos a continuación: </w:t>
      </w:r>
    </w:p>
    <w:p w:rsidR="007D48BC" w:rsidRDefault="007D48BC" w:rsidP="00E147C6">
      <w:pPr>
        <w:spacing w:line="360" w:lineRule="auto"/>
        <w:jc w:val="both"/>
        <w:rPr>
          <w:rFonts w:ascii="Arial" w:hAnsi="Arial" w:cs="Arial"/>
        </w:rPr>
      </w:pPr>
      <w:r w:rsidRPr="00E147C6">
        <w:rPr>
          <w:rFonts w:ascii="Arial" w:hAnsi="Arial" w:cs="Arial"/>
        </w:rPr>
        <w:t>Todos los análisis coste</w:t>
      </w:r>
      <w:r>
        <w:rPr>
          <w:rFonts w:ascii="Arial" w:hAnsi="Arial" w:cs="Arial"/>
        </w:rPr>
        <w:t>-</w:t>
      </w:r>
      <w:r w:rsidRPr="00E147C6">
        <w:rPr>
          <w:rFonts w:ascii="Arial" w:hAnsi="Arial" w:cs="Arial"/>
        </w:rPr>
        <w:t>efectividad aportados por el fabricante se basan en datos con el comparador del estudio SCHOLAR-1, que es quimioterapia de rescate. A pesar de que el modelo seleccionado es correcto las suposiciones que rodean al SCHOLAR 1 hacen que los resultados sean poco fiables</w:t>
      </w:r>
    </w:p>
    <w:p w:rsidR="007D48BC" w:rsidRDefault="007D48BC" w:rsidP="00E147C6">
      <w:pPr>
        <w:spacing w:line="360" w:lineRule="auto"/>
        <w:jc w:val="both"/>
        <w:rPr>
          <w:rFonts w:ascii="Arial" w:hAnsi="Arial" w:cs="Arial"/>
        </w:rPr>
      </w:pPr>
      <w:r>
        <w:rPr>
          <w:rFonts w:ascii="Arial" w:hAnsi="Arial" w:cs="Arial"/>
        </w:rPr>
        <w:t>La extrapolación de los datos de supervivencia a largo plazo no es apropiada debido a los datos inmaduros que nos proporciona el ZUMA-1.</w:t>
      </w:r>
    </w:p>
    <w:p w:rsidR="007D48BC" w:rsidRDefault="007D48BC" w:rsidP="00E147C6">
      <w:pPr>
        <w:spacing w:line="360" w:lineRule="auto"/>
        <w:jc w:val="both"/>
        <w:rPr>
          <w:rFonts w:ascii="Arial" w:hAnsi="Arial" w:cs="Arial"/>
        </w:rPr>
      </w:pPr>
      <w:r>
        <w:rPr>
          <w:rFonts w:ascii="Arial" w:hAnsi="Arial" w:cs="Arial"/>
        </w:rPr>
        <w:t>En el estudio ZUMA-1 existen paciente tratados</w:t>
      </w:r>
      <w:r w:rsidR="006D2D76">
        <w:rPr>
          <w:rFonts w:ascii="Arial" w:hAnsi="Arial" w:cs="Arial"/>
        </w:rPr>
        <w:t xml:space="preserve"> más de una vez</w:t>
      </w:r>
      <w:r>
        <w:rPr>
          <w:rFonts w:ascii="Arial" w:hAnsi="Arial" w:cs="Arial"/>
        </w:rPr>
        <w:t xml:space="preserve"> con el mismo fármaco y este escenario no se contempla actualmente en la práctica clínica.</w:t>
      </w:r>
    </w:p>
    <w:p w:rsidR="007D48BC" w:rsidRDefault="007D48BC" w:rsidP="00E147C6">
      <w:pPr>
        <w:spacing w:line="360" w:lineRule="auto"/>
        <w:jc w:val="both"/>
        <w:rPr>
          <w:rFonts w:ascii="Arial" w:hAnsi="Arial" w:cs="Arial"/>
        </w:rPr>
      </w:pPr>
      <w:r>
        <w:rPr>
          <w:rFonts w:ascii="Arial" w:hAnsi="Arial" w:cs="Arial"/>
        </w:rPr>
        <w:t>Se asume que los pacientes que están en remisión tienen una supervivencia similar al resto de la población.</w:t>
      </w:r>
    </w:p>
    <w:p w:rsidR="007D48BC" w:rsidRDefault="007D48BC" w:rsidP="00E147C6">
      <w:pPr>
        <w:spacing w:line="360" w:lineRule="auto"/>
        <w:jc w:val="both"/>
        <w:rPr>
          <w:rFonts w:ascii="Arial" w:hAnsi="Arial" w:cs="Arial"/>
        </w:rPr>
      </w:pPr>
      <w:r>
        <w:rPr>
          <w:rFonts w:ascii="Arial" w:hAnsi="Arial" w:cs="Arial"/>
        </w:rPr>
        <w:t>Los datos de SG y SLP de la población del comparador con el tratamiento de rescate no son del todo claros, ya que la población del SCHOLAR 1 no es similar a la de la práctica habitual.</w:t>
      </w:r>
    </w:p>
    <w:p w:rsidR="007D48BC" w:rsidRPr="00376C9F" w:rsidRDefault="007D48BC" w:rsidP="00376C9F">
      <w:pPr>
        <w:spacing w:line="360" w:lineRule="auto"/>
        <w:jc w:val="both"/>
        <w:rPr>
          <w:rFonts w:ascii="Arial" w:hAnsi="Arial" w:cs="Arial"/>
        </w:rPr>
      </w:pPr>
      <w:r>
        <w:rPr>
          <w:rFonts w:ascii="Arial" w:hAnsi="Arial" w:cs="Arial"/>
        </w:rPr>
        <w:t xml:space="preserve">Se consideran valores de coste </w:t>
      </w:r>
      <w:r w:rsidR="006D2D76">
        <w:rPr>
          <w:rFonts w:ascii="Arial" w:hAnsi="Arial" w:cs="Arial"/>
        </w:rPr>
        <w:t>efectividad sobre 50.000 libras</w:t>
      </w:r>
      <w:r>
        <w:rPr>
          <w:rFonts w:ascii="Arial" w:hAnsi="Arial" w:cs="Arial"/>
        </w:rPr>
        <w:t>/AVAC pero tras algunas modificaciones en el modelo realizadas por un grupo de expertos revisores adaptando el modelo a las premisas previas, el valor puede superar los 100.000 libras /AVAC.</w:t>
      </w:r>
    </w:p>
    <w:p w:rsidR="007D48BC" w:rsidRPr="00E3472F" w:rsidRDefault="007D48BC" w:rsidP="00BC3E8E">
      <w:pPr>
        <w:pStyle w:val="Ttulo2"/>
        <w:pBdr>
          <w:top w:val="single" w:sz="4" w:space="1" w:color="auto"/>
          <w:left w:val="single" w:sz="4" w:space="4" w:color="auto"/>
          <w:bottom w:val="single" w:sz="4" w:space="1" w:color="auto"/>
          <w:right w:val="single" w:sz="4" w:space="4" w:color="auto"/>
        </w:pBdr>
        <w:shd w:val="clear" w:color="auto" w:fill="D9D9D9"/>
        <w:rPr>
          <w:sz w:val="20"/>
          <w:szCs w:val="20"/>
        </w:rPr>
      </w:pPr>
      <w:bookmarkStart w:id="85" w:name="_Toc344399659"/>
      <w:bookmarkStart w:id="86" w:name="_Toc348931390"/>
      <w:r w:rsidRPr="00E3472F">
        <w:rPr>
          <w:sz w:val="20"/>
          <w:szCs w:val="20"/>
        </w:rPr>
        <w:t>7.</w:t>
      </w:r>
      <w:r>
        <w:rPr>
          <w:sz w:val="20"/>
          <w:szCs w:val="20"/>
        </w:rPr>
        <w:t>3</w:t>
      </w:r>
      <w:r w:rsidRPr="00E3472F">
        <w:rPr>
          <w:sz w:val="20"/>
          <w:szCs w:val="20"/>
        </w:rPr>
        <w:t xml:space="preserve"> </w:t>
      </w:r>
      <w:bookmarkEnd w:id="85"/>
      <w:bookmarkEnd w:id="86"/>
      <w:r>
        <w:rPr>
          <w:sz w:val="20"/>
          <w:szCs w:val="20"/>
        </w:rPr>
        <w:t>Evaluación económica de elaboración propia</w:t>
      </w:r>
      <w:r w:rsidR="00FE59AC">
        <w:rPr>
          <w:sz w:val="20"/>
          <w:szCs w:val="20"/>
        </w:rPr>
        <w:fldChar w:fldCharType="begin"/>
      </w:r>
      <w:r>
        <w:instrText>xe "</w:instrText>
      </w:r>
      <w:r w:rsidRPr="001A1718">
        <w:rPr>
          <w:sz w:val="20"/>
          <w:szCs w:val="20"/>
        </w:rPr>
        <w:instrText>7.3 Evaluación económica de elaboración propia</w:instrText>
      </w:r>
      <w:r>
        <w:instrText>"</w:instrText>
      </w:r>
      <w:r w:rsidR="00FE59AC">
        <w:rPr>
          <w:sz w:val="20"/>
          <w:szCs w:val="20"/>
        </w:rPr>
        <w:fldChar w:fldCharType="end"/>
      </w:r>
    </w:p>
    <w:p w:rsidR="007D48BC" w:rsidRDefault="007D48BC" w:rsidP="009E5916">
      <w:pPr>
        <w:jc w:val="both"/>
        <w:rPr>
          <w:rFonts w:ascii="Arial" w:hAnsi="Arial" w:cs="Arial"/>
        </w:rPr>
      </w:pPr>
    </w:p>
    <w:p w:rsidR="007D48BC" w:rsidRDefault="007D48BC" w:rsidP="00430EAB">
      <w:pPr>
        <w:spacing w:line="360" w:lineRule="auto"/>
        <w:jc w:val="both"/>
        <w:rPr>
          <w:rFonts w:ascii="Arial" w:hAnsi="Arial" w:cs="Arial"/>
          <w:color w:val="000000"/>
        </w:rPr>
      </w:pPr>
      <w:r>
        <w:rPr>
          <w:rFonts w:ascii="Arial" w:hAnsi="Arial" w:cs="Arial"/>
          <w:color w:val="000000"/>
        </w:rPr>
        <w:t>Al disponer únicamente de ensayos clínicos con un solo brazo resulta imposible realizar una evaluación económica de minimización de costes, coste-efectividad o coste-utilidad. Por tanto, en la siguiente tabla se exponen los costes y resultados en salud del fármaco y de sus alternativas. Los resultados en salud de a</w:t>
      </w:r>
      <w:r w:rsidRPr="00AC18C5">
        <w:rPr>
          <w:rFonts w:ascii="Arial" w:hAnsi="Arial" w:cs="Arial"/>
          <w:color w:val="000000"/>
        </w:rPr>
        <w:t>xicabtagen ciloleucel</w:t>
      </w:r>
      <w:r>
        <w:rPr>
          <w:rFonts w:ascii="Arial" w:hAnsi="Arial" w:cs="Arial"/>
          <w:color w:val="000000"/>
        </w:rPr>
        <w:t>, tisagenlecleucel y de pixantrona se han obtenido del ensayo pivotal del fármaco</w:t>
      </w:r>
      <w:r w:rsidR="00C349B4">
        <w:rPr>
          <w:rFonts w:ascii="Arial" w:hAnsi="Arial" w:cs="Arial"/>
          <w:color w:val="000000"/>
        </w:rPr>
        <w:t>, mientras que los resultados de R-GEMOX proceden del estudio principal de esta combinación.</w:t>
      </w:r>
      <w:r w:rsidR="00521F4C">
        <w:rPr>
          <w:rFonts w:ascii="Arial" w:hAnsi="Arial" w:cs="Arial"/>
          <w:color w:val="000000"/>
        </w:rPr>
        <w:t xml:space="preserve"> </w:t>
      </w:r>
    </w:p>
    <w:p w:rsidR="007D48BC" w:rsidRDefault="007D48BC" w:rsidP="00202FE8">
      <w:pPr>
        <w:pStyle w:val="Epgrafe"/>
        <w:keepNext/>
      </w:pPr>
    </w:p>
    <w:tbl>
      <w:tblPr>
        <w:tblW w:w="8779" w:type="dxa"/>
        <w:tblInd w:w="-68" w:type="dxa"/>
        <w:tblLayout w:type="fixed"/>
        <w:tblCellMar>
          <w:left w:w="70" w:type="dxa"/>
          <w:right w:w="70" w:type="dxa"/>
        </w:tblCellMar>
        <w:tblLook w:val="00A0"/>
      </w:tblPr>
      <w:tblGrid>
        <w:gridCol w:w="1331"/>
        <w:gridCol w:w="1494"/>
        <w:gridCol w:w="1984"/>
        <w:gridCol w:w="1985"/>
        <w:gridCol w:w="1985"/>
      </w:tblGrid>
      <w:tr w:rsidR="007D48BC" w:rsidRPr="001F344E">
        <w:trPr>
          <w:trHeight w:val="210"/>
        </w:trPr>
        <w:tc>
          <w:tcPr>
            <w:tcW w:w="8779" w:type="dxa"/>
            <w:gridSpan w:val="5"/>
            <w:tcBorders>
              <w:top w:val="single" w:sz="4" w:space="0" w:color="auto"/>
              <w:left w:val="single" w:sz="4" w:space="0" w:color="auto"/>
              <w:bottom w:val="single" w:sz="4" w:space="0" w:color="auto"/>
              <w:right w:val="single" w:sz="4" w:space="0" w:color="auto"/>
            </w:tcBorders>
            <w:shd w:val="clear" w:color="auto" w:fill="B6DDE8"/>
            <w:vAlign w:val="bottom"/>
          </w:tcPr>
          <w:p w:rsidR="007D48BC" w:rsidRDefault="007D48BC" w:rsidP="00A709BB">
            <w:pPr>
              <w:rPr>
                <w:rFonts w:ascii="Arial" w:hAnsi="Arial" w:cs="Arial"/>
              </w:rPr>
            </w:pPr>
          </w:p>
          <w:p w:rsidR="007D48BC" w:rsidRPr="00A709BB" w:rsidRDefault="007D48BC" w:rsidP="00A709BB">
            <w:pPr>
              <w:rPr>
                <w:rFonts w:ascii="Arial" w:hAnsi="Arial" w:cs="Arial"/>
              </w:rPr>
            </w:pPr>
            <w:r w:rsidRPr="00A709BB">
              <w:rPr>
                <w:rFonts w:ascii="Arial" w:hAnsi="Arial" w:cs="Arial"/>
              </w:rPr>
              <w:t xml:space="preserve">Tabla 17. Resultados diferenciales de interés entre los tratamientos </w:t>
            </w:r>
          </w:p>
          <w:p w:rsidR="007D48BC" w:rsidRPr="001F344E" w:rsidRDefault="007D48BC" w:rsidP="00375161">
            <w:pPr>
              <w:jc w:val="center"/>
              <w:rPr>
                <w:rFonts w:ascii="Arial" w:hAnsi="Arial" w:cs="Arial"/>
                <w:b/>
                <w:bCs/>
                <w:sz w:val="18"/>
                <w:szCs w:val="18"/>
                <w:highlight w:val="yellow"/>
              </w:rPr>
            </w:pPr>
            <w:r w:rsidRPr="001F344E">
              <w:rPr>
                <w:rFonts w:ascii="Arial" w:hAnsi="Arial" w:cs="Arial"/>
              </w:rPr>
              <w:t> </w:t>
            </w:r>
          </w:p>
        </w:tc>
      </w:tr>
      <w:tr w:rsidR="007D48BC" w:rsidRPr="001F344E">
        <w:trPr>
          <w:trHeight w:val="209"/>
        </w:trPr>
        <w:tc>
          <w:tcPr>
            <w:tcW w:w="2825" w:type="dxa"/>
            <w:gridSpan w:val="2"/>
            <w:tcBorders>
              <w:left w:val="single" w:sz="4" w:space="0" w:color="auto"/>
              <w:bottom w:val="single" w:sz="4" w:space="0" w:color="auto"/>
              <w:right w:val="single" w:sz="4" w:space="0" w:color="auto"/>
            </w:tcBorders>
            <w:shd w:val="clear" w:color="auto" w:fill="B6DDE8"/>
            <w:vAlign w:val="bottom"/>
          </w:tcPr>
          <w:p w:rsidR="007D48BC" w:rsidRPr="001F344E" w:rsidRDefault="007D48BC" w:rsidP="00375161">
            <w:pPr>
              <w:jc w:val="center"/>
              <w:rPr>
                <w:rFonts w:ascii="Arial" w:hAnsi="Arial" w:cs="Arial"/>
              </w:rPr>
            </w:pPr>
          </w:p>
        </w:tc>
        <w:tc>
          <w:tcPr>
            <w:tcW w:w="1984" w:type="dxa"/>
            <w:tcBorders>
              <w:top w:val="single" w:sz="4" w:space="0" w:color="auto"/>
              <w:left w:val="single" w:sz="4" w:space="0" w:color="auto"/>
              <w:bottom w:val="nil"/>
              <w:right w:val="single" w:sz="4" w:space="0" w:color="auto"/>
            </w:tcBorders>
            <w:shd w:val="clear" w:color="auto" w:fill="B6DDE8"/>
            <w:vAlign w:val="center"/>
          </w:tcPr>
          <w:p w:rsidR="007D48BC" w:rsidRPr="000F17A7" w:rsidRDefault="007D48BC" w:rsidP="007F787B">
            <w:pPr>
              <w:jc w:val="center"/>
              <w:rPr>
                <w:rFonts w:ascii="Arial" w:hAnsi="Arial" w:cs="Arial"/>
                <w:b/>
                <w:bCs/>
                <w:i/>
                <w:iCs/>
                <w:sz w:val="18"/>
                <w:szCs w:val="18"/>
              </w:rPr>
            </w:pPr>
            <w:r w:rsidRPr="000F17A7">
              <w:rPr>
                <w:rFonts w:ascii="Arial" w:hAnsi="Arial" w:cs="Arial"/>
                <w:b/>
                <w:bCs/>
                <w:i/>
                <w:iCs/>
                <w:sz w:val="18"/>
                <w:szCs w:val="18"/>
              </w:rPr>
              <w:t>Axicabtagen ciloleucel</w:t>
            </w:r>
          </w:p>
        </w:tc>
        <w:tc>
          <w:tcPr>
            <w:tcW w:w="1985" w:type="dxa"/>
            <w:tcBorders>
              <w:top w:val="single" w:sz="4" w:space="0" w:color="auto"/>
              <w:left w:val="nil"/>
              <w:bottom w:val="nil"/>
              <w:right w:val="single" w:sz="4" w:space="0" w:color="auto"/>
            </w:tcBorders>
            <w:shd w:val="clear" w:color="auto" w:fill="B6DDE8"/>
            <w:vAlign w:val="center"/>
          </w:tcPr>
          <w:p w:rsidR="007D48BC" w:rsidRPr="000F17A7" w:rsidRDefault="007D48BC" w:rsidP="007F787B">
            <w:pPr>
              <w:jc w:val="center"/>
              <w:rPr>
                <w:rFonts w:ascii="Arial" w:hAnsi="Arial" w:cs="Arial"/>
                <w:b/>
                <w:bCs/>
                <w:i/>
                <w:iCs/>
                <w:sz w:val="18"/>
                <w:szCs w:val="18"/>
              </w:rPr>
            </w:pPr>
            <w:r w:rsidRPr="000F17A7">
              <w:rPr>
                <w:rFonts w:ascii="Arial" w:hAnsi="Arial" w:cs="Arial"/>
                <w:b/>
                <w:bCs/>
                <w:i/>
                <w:iCs/>
                <w:sz w:val="18"/>
                <w:szCs w:val="18"/>
              </w:rPr>
              <w:t>Axicabtagen ciloleucel</w:t>
            </w:r>
          </w:p>
        </w:tc>
        <w:tc>
          <w:tcPr>
            <w:tcW w:w="1985" w:type="dxa"/>
            <w:tcBorders>
              <w:top w:val="single" w:sz="4" w:space="0" w:color="auto"/>
              <w:left w:val="nil"/>
              <w:bottom w:val="nil"/>
              <w:right w:val="single" w:sz="8" w:space="0" w:color="auto"/>
            </w:tcBorders>
            <w:shd w:val="clear" w:color="auto" w:fill="B6DDE8"/>
            <w:vAlign w:val="center"/>
          </w:tcPr>
          <w:p w:rsidR="007D48BC" w:rsidRPr="001F344E" w:rsidRDefault="007D48BC" w:rsidP="00375161">
            <w:pPr>
              <w:jc w:val="center"/>
              <w:rPr>
                <w:rFonts w:ascii="Arial" w:hAnsi="Arial" w:cs="Arial"/>
                <w:b/>
                <w:bCs/>
                <w:sz w:val="18"/>
                <w:szCs w:val="18"/>
              </w:rPr>
            </w:pPr>
            <w:r w:rsidRPr="001F344E">
              <w:rPr>
                <w:rFonts w:ascii="Arial" w:hAnsi="Arial" w:cs="Arial"/>
                <w:b/>
                <w:bCs/>
                <w:sz w:val="18"/>
                <w:szCs w:val="18"/>
              </w:rPr>
              <w:t>Tisagenlecleucel</w:t>
            </w:r>
          </w:p>
        </w:tc>
      </w:tr>
      <w:tr w:rsidR="007D48BC" w:rsidRPr="001F344E">
        <w:trPr>
          <w:trHeight w:val="795"/>
        </w:trPr>
        <w:tc>
          <w:tcPr>
            <w:tcW w:w="2825" w:type="dxa"/>
            <w:gridSpan w:val="2"/>
            <w:tcBorders>
              <w:top w:val="single" w:sz="4" w:space="0" w:color="auto"/>
              <w:left w:val="single" w:sz="8" w:space="0" w:color="auto"/>
              <w:bottom w:val="single" w:sz="8" w:space="0" w:color="000000"/>
              <w:right w:val="single" w:sz="4" w:space="0" w:color="000000"/>
            </w:tcBorders>
            <w:shd w:val="clear" w:color="auto" w:fill="B6DDE8"/>
            <w:vAlign w:val="center"/>
          </w:tcPr>
          <w:p w:rsidR="007D48BC" w:rsidRPr="001F344E" w:rsidRDefault="007D48BC" w:rsidP="00375161">
            <w:pPr>
              <w:rPr>
                <w:rFonts w:ascii="Arial" w:hAnsi="Arial" w:cs="Arial"/>
              </w:rPr>
            </w:pPr>
          </w:p>
        </w:tc>
        <w:tc>
          <w:tcPr>
            <w:tcW w:w="1984" w:type="dxa"/>
            <w:tcBorders>
              <w:top w:val="nil"/>
              <w:left w:val="nil"/>
              <w:bottom w:val="single" w:sz="8" w:space="0" w:color="auto"/>
              <w:right w:val="single" w:sz="4" w:space="0" w:color="auto"/>
            </w:tcBorders>
            <w:shd w:val="clear" w:color="auto" w:fill="B6DDE8"/>
            <w:vAlign w:val="center"/>
          </w:tcPr>
          <w:p w:rsidR="007D48BC" w:rsidRPr="001F344E" w:rsidRDefault="007D48BC" w:rsidP="00375161">
            <w:pPr>
              <w:jc w:val="center"/>
              <w:rPr>
                <w:rFonts w:ascii="Arial" w:hAnsi="Arial" w:cs="Arial"/>
                <w:sz w:val="18"/>
                <w:szCs w:val="18"/>
              </w:rPr>
            </w:pPr>
            <w:r w:rsidRPr="00030CC6">
              <w:rPr>
                <w:rFonts w:ascii="Arial" w:hAnsi="Arial" w:cs="Arial"/>
                <w:sz w:val="18"/>
                <w:szCs w:val="18"/>
              </w:rPr>
              <w:t>Yescarta® 2 x 10</w:t>
            </w:r>
            <w:r w:rsidRPr="00030CC6">
              <w:rPr>
                <w:rFonts w:ascii="Arial" w:hAnsi="Arial" w:cs="Arial"/>
                <w:sz w:val="18"/>
                <w:szCs w:val="18"/>
                <w:vertAlign w:val="superscript"/>
              </w:rPr>
              <w:t xml:space="preserve">8 </w:t>
            </w:r>
            <w:r w:rsidRPr="00030CC6">
              <w:rPr>
                <w:rFonts w:ascii="Arial" w:hAnsi="Arial" w:cs="Arial"/>
                <w:sz w:val="18"/>
                <w:szCs w:val="18"/>
              </w:rPr>
              <w:t>Dispersión de células para infusión</w:t>
            </w:r>
          </w:p>
        </w:tc>
        <w:tc>
          <w:tcPr>
            <w:tcW w:w="1985" w:type="dxa"/>
            <w:tcBorders>
              <w:top w:val="nil"/>
              <w:left w:val="nil"/>
              <w:bottom w:val="single" w:sz="8" w:space="0" w:color="auto"/>
              <w:right w:val="single" w:sz="4" w:space="0" w:color="auto"/>
            </w:tcBorders>
            <w:shd w:val="clear" w:color="auto" w:fill="B6DDE8"/>
            <w:vAlign w:val="center"/>
          </w:tcPr>
          <w:p w:rsidR="007D48BC" w:rsidRPr="001F344E" w:rsidRDefault="007D48BC" w:rsidP="00375161">
            <w:pPr>
              <w:jc w:val="center"/>
              <w:rPr>
                <w:rFonts w:ascii="Arial" w:hAnsi="Arial" w:cs="Arial"/>
                <w:sz w:val="18"/>
                <w:szCs w:val="18"/>
              </w:rPr>
            </w:pPr>
            <w:r w:rsidRPr="00030CC6">
              <w:rPr>
                <w:rFonts w:ascii="Arial" w:hAnsi="Arial" w:cs="Arial"/>
                <w:sz w:val="18"/>
                <w:szCs w:val="18"/>
              </w:rPr>
              <w:t>Yescarta® 2 x 10</w:t>
            </w:r>
            <w:r w:rsidRPr="00030CC6">
              <w:rPr>
                <w:rFonts w:ascii="Arial" w:hAnsi="Arial" w:cs="Arial"/>
                <w:sz w:val="18"/>
                <w:szCs w:val="18"/>
                <w:vertAlign w:val="superscript"/>
              </w:rPr>
              <w:t xml:space="preserve">8 </w:t>
            </w:r>
            <w:r w:rsidRPr="00030CC6">
              <w:rPr>
                <w:rFonts w:ascii="Arial" w:hAnsi="Arial" w:cs="Arial"/>
                <w:sz w:val="18"/>
                <w:szCs w:val="18"/>
              </w:rPr>
              <w:t>Dispersión de células para infusión</w:t>
            </w:r>
          </w:p>
        </w:tc>
        <w:tc>
          <w:tcPr>
            <w:tcW w:w="1985" w:type="dxa"/>
            <w:tcBorders>
              <w:top w:val="nil"/>
              <w:left w:val="nil"/>
              <w:bottom w:val="nil"/>
              <w:right w:val="single" w:sz="8" w:space="0" w:color="auto"/>
            </w:tcBorders>
            <w:shd w:val="clear" w:color="auto" w:fill="B6DDE8"/>
            <w:vAlign w:val="center"/>
          </w:tcPr>
          <w:p w:rsidR="007D48BC" w:rsidRPr="001F344E" w:rsidRDefault="007D48BC" w:rsidP="00375161">
            <w:pPr>
              <w:jc w:val="center"/>
              <w:rPr>
                <w:rFonts w:ascii="Arial" w:hAnsi="Arial" w:cs="Arial"/>
                <w:sz w:val="18"/>
                <w:szCs w:val="18"/>
              </w:rPr>
            </w:pPr>
            <w:r w:rsidRPr="001F344E">
              <w:rPr>
                <w:rFonts w:ascii="Arial" w:hAnsi="Arial" w:cs="Arial"/>
                <w:sz w:val="18"/>
                <w:szCs w:val="18"/>
              </w:rPr>
              <w:t>Kymriah® 1,2 x 10</w:t>
            </w:r>
            <w:r w:rsidRPr="001F344E">
              <w:rPr>
                <w:rFonts w:ascii="Arial" w:hAnsi="Arial" w:cs="Arial"/>
                <w:sz w:val="18"/>
                <w:szCs w:val="18"/>
                <w:vertAlign w:val="superscript"/>
              </w:rPr>
              <w:t>6</w:t>
            </w:r>
            <w:r w:rsidRPr="001F344E">
              <w:rPr>
                <w:rFonts w:ascii="Arial" w:hAnsi="Arial" w:cs="Arial"/>
                <w:sz w:val="18"/>
                <w:szCs w:val="18"/>
              </w:rPr>
              <w:t xml:space="preserve"> - 6 x 10</w:t>
            </w:r>
            <w:r w:rsidRPr="001F344E">
              <w:rPr>
                <w:rFonts w:ascii="Arial" w:hAnsi="Arial" w:cs="Arial"/>
                <w:sz w:val="18"/>
                <w:szCs w:val="18"/>
                <w:vertAlign w:val="superscript"/>
              </w:rPr>
              <w:t>8</w:t>
            </w:r>
            <w:r w:rsidRPr="001F344E">
              <w:rPr>
                <w:rFonts w:ascii="Arial" w:hAnsi="Arial" w:cs="Arial"/>
                <w:sz w:val="18"/>
                <w:szCs w:val="18"/>
              </w:rPr>
              <w:t xml:space="preserve"> Dispersión de células para infusión</w:t>
            </w:r>
          </w:p>
        </w:tc>
      </w:tr>
      <w:tr w:rsidR="007D48BC" w:rsidRPr="001F344E">
        <w:trPr>
          <w:trHeight w:val="255"/>
        </w:trPr>
        <w:tc>
          <w:tcPr>
            <w:tcW w:w="1331" w:type="dxa"/>
            <w:vMerge w:val="restart"/>
            <w:tcBorders>
              <w:top w:val="nil"/>
              <w:left w:val="single" w:sz="8" w:space="0" w:color="auto"/>
              <w:bottom w:val="single" w:sz="4" w:space="0" w:color="auto"/>
              <w:right w:val="single" w:sz="4" w:space="0" w:color="auto"/>
            </w:tcBorders>
            <w:vAlign w:val="center"/>
          </w:tcPr>
          <w:p w:rsidR="007D48BC" w:rsidRPr="001F344E" w:rsidRDefault="007D48BC" w:rsidP="00375161">
            <w:pPr>
              <w:jc w:val="center"/>
              <w:rPr>
                <w:rFonts w:ascii="Arial" w:hAnsi="Arial" w:cs="Arial"/>
                <w:b/>
                <w:bCs/>
              </w:rPr>
            </w:pPr>
            <w:r w:rsidRPr="001F344E">
              <w:rPr>
                <w:rFonts w:ascii="Arial" w:hAnsi="Arial" w:cs="Arial"/>
                <w:b/>
                <w:bCs/>
              </w:rPr>
              <w:t>Datos Económicos</w:t>
            </w:r>
          </w:p>
        </w:tc>
        <w:tc>
          <w:tcPr>
            <w:tcW w:w="1494" w:type="dxa"/>
            <w:tcBorders>
              <w:top w:val="nil"/>
              <w:left w:val="nil"/>
              <w:bottom w:val="single" w:sz="4" w:space="0" w:color="auto"/>
              <w:right w:val="single" w:sz="4" w:space="0" w:color="auto"/>
            </w:tcBorders>
            <w:shd w:val="clear" w:color="000000" w:fill="FFFFFF"/>
            <w:vAlign w:val="center"/>
          </w:tcPr>
          <w:p w:rsidR="007D48BC" w:rsidRPr="001F344E" w:rsidRDefault="007D48BC" w:rsidP="00375161">
            <w:pPr>
              <w:rPr>
                <w:rFonts w:ascii="Arial" w:hAnsi="Arial" w:cs="Arial"/>
                <w:b/>
                <w:bCs/>
                <w:sz w:val="16"/>
                <w:szCs w:val="16"/>
              </w:rPr>
            </w:pPr>
            <w:r w:rsidRPr="001F344E">
              <w:rPr>
                <w:rFonts w:ascii="Arial" w:hAnsi="Arial" w:cs="Arial"/>
                <w:b/>
                <w:bCs/>
                <w:sz w:val="16"/>
                <w:szCs w:val="16"/>
              </w:rPr>
              <w:t>Precio unitario (PVL+IVA)</w:t>
            </w:r>
          </w:p>
        </w:tc>
        <w:tc>
          <w:tcPr>
            <w:tcW w:w="1984" w:type="dxa"/>
            <w:tcBorders>
              <w:top w:val="nil"/>
              <w:left w:val="nil"/>
              <w:bottom w:val="single" w:sz="4" w:space="0" w:color="auto"/>
              <w:right w:val="single" w:sz="4" w:space="0" w:color="auto"/>
            </w:tcBorders>
            <w:shd w:val="clear" w:color="000000" w:fill="FFFFFF"/>
            <w:vAlign w:val="center"/>
          </w:tcPr>
          <w:p w:rsidR="007D48BC" w:rsidRPr="001F344E" w:rsidRDefault="007D48BC" w:rsidP="00375161">
            <w:pPr>
              <w:jc w:val="center"/>
              <w:rPr>
                <w:rFonts w:ascii="Arial" w:hAnsi="Arial" w:cs="Arial"/>
                <w:b/>
                <w:bCs/>
                <w:sz w:val="16"/>
                <w:szCs w:val="16"/>
              </w:rPr>
            </w:pPr>
            <w:r>
              <w:rPr>
                <w:rFonts w:ascii="Arial" w:hAnsi="Arial" w:cs="Arial"/>
                <w:sz w:val="16"/>
                <w:szCs w:val="16"/>
              </w:rPr>
              <w:t xml:space="preserve">418.214 </w:t>
            </w:r>
            <w:r w:rsidRPr="001F344E">
              <w:rPr>
                <w:rFonts w:ascii="Arial" w:hAnsi="Arial" w:cs="Arial"/>
                <w:sz w:val="16"/>
                <w:szCs w:val="16"/>
              </w:rPr>
              <w:t>€</w:t>
            </w:r>
          </w:p>
        </w:tc>
        <w:tc>
          <w:tcPr>
            <w:tcW w:w="1985" w:type="dxa"/>
            <w:tcBorders>
              <w:top w:val="nil"/>
              <w:left w:val="nil"/>
              <w:bottom w:val="single" w:sz="4" w:space="0" w:color="auto"/>
              <w:right w:val="single" w:sz="4" w:space="0" w:color="auto"/>
            </w:tcBorders>
            <w:shd w:val="clear" w:color="000000" w:fill="FFFFFF"/>
            <w:vAlign w:val="center"/>
          </w:tcPr>
          <w:p w:rsidR="007D48BC" w:rsidRPr="001F344E" w:rsidRDefault="007D48BC" w:rsidP="00375161">
            <w:pPr>
              <w:jc w:val="center"/>
              <w:rPr>
                <w:rFonts w:ascii="Arial" w:hAnsi="Arial" w:cs="Arial"/>
                <w:b/>
                <w:bCs/>
                <w:sz w:val="16"/>
                <w:szCs w:val="16"/>
              </w:rPr>
            </w:pPr>
            <w:r>
              <w:rPr>
                <w:rFonts w:ascii="Arial" w:hAnsi="Arial" w:cs="Arial"/>
                <w:sz w:val="16"/>
                <w:szCs w:val="16"/>
              </w:rPr>
              <w:t xml:space="preserve">418.214 </w:t>
            </w:r>
            <w:r w:rsidRPr="001F344E">
              <w:rPr>
                <w:rFonts w:ascii="Arial" w:hAnsi="Arial" w:cs="Arial"/>
                <w:sz w:val="16"/>
                <w:szCs w:val="16"/>
              </w:rPr>
              <w:t>€</w:t>
            </w:r>
          </w:p>
        </w:tc>
        <w:tc>
          <w:tcPr>
            <w:tcW w:w="1985" w:type="dxa"/>
            <w:tcBorders>
              <w:top w:val="single" w:sz="8" w:space="0" w:color="auto"/>
              <w:left w:val="nil"/>
              <w:bottom w:val="single" w:sz="4" w:space="0" w:color="auto"/>
              <w:right w:val="single" w:sz="8" w:space="0" w:color="auto"/>
            </w:tcBorders>
            <w:shd w:val="clear" w:color="000000" w:fill="FFFFFF"/>
            <w:vAlign w:val="center"/>
          </w:tcPr>
          <w:p w:rsidR="007D48BC" w:rsidRPr="001F344E" w:rsidRDefault="007D48BC" w:rsidP="00375161">
            <w:pPr>
              <w:jc w:val="center"/>
              <w:rPr>
                <w:rFonts w:ascii="Arial" w:hAnsi="Arial" w:cs="Arial"/>
                <w:b/>
                <w:bCs/>
                <w:sz w:val="16"/>
                <w:szCs w:val="16"/>
              </w:rPr>
            </w:pPr>
            <w:r w:rsidRPr="001F344E">
              <w:rPr>
                <w:rFonts w:ascii="Arial" w:hAnsi="Arial" w:cs="Arial"/>
                <w:b/>
                <w:bCs/>
                <w:sz w:val="16"/>
                <w:szCs w:val="16"/>
              </w:rPr>
              <w:t>332.800 €</w:t>
            </w:r>
          </w:p>
        </w:tc>
      </w:tr>
      <w:tr w:rsidR="007D48BC" w:rsidRPr="001F344E">
        <w:trPr>
          <w:trHeight w:val="255"/>
        </w:trPr>
        <w:tc>
          <w:tcPr>
            <w:tcW w:w="1331" w:type="dxa"/>
            <w:vMerge/>
            <w:tcBorders>
              <w:top w:val="nil"/>
              <w:left w:val="single" w:sz="8" w:space="0" w:color="auto"/>
              <w:bottom w:val="single" w:sz="4" w:space="0" w:color="auto"/>
              <w:right w:val="single" w:sz="4" w:space="0" w:color="auto"/>
            </w:tcBorders>
            <w:vAlign w:val="center"/>
          </w:tcPr>
          <w:p w:rsidR="007D48BC" w:rsidRPr="001F344E" w:rsidRDefault="007D48BC" w:rsidP="00375161">
            <w:pPr>
              <w:rPr>
                <w:rFonts w:ascii="Arial" w:hAnsi="Arial" w:cs="Arial"/>
                <w:b/>
                <w:bCs/>
              </w:rPr>
            </w:pPr>
          </w:p>
        </w:tc>
        <w:tc>
          <w:tcPr>
            <w:tcW w:w="1494" w:type="dxa"/>
            <w:tcBorders>
              <w:top w:val="nil"/>
              <w:left w:val="nil"/>
              <w:bottom w:val="single" w:sz="4" w:space="0" w:color="auto"/>
              <w:right w:val="single" w:sz="4" w:space="0" w:color="auto"/>
            </w:tcBorders>
            <w:shd w:val="clear" w:color="000000" w:fill="FFFFFF"/>
            <w:vAlign w:val="center"/>
          </w:tcPr>
          <w:p w:rsidR="007D48BC" w:rsidRPr="001F344E" w:rsidRDefault="007D48BC" w:rsidP="00375161">
            <w:pPr>
              <w:rPr>
                <w:rFonts w:ascii="Arial" w:hAnsi="Arial" w:cs="Arial"/>
                <w:sz w:val="16"/>
                <w:szCs w:val="16"/>
              </w:rPr>
            </w:pPr>
            <w:r w:rsidRPr="001F344E">
              <w:rPr>
                <w:rFonts w:ascii="Arial" w:hAnsi="Arial" w:cs="Arial"/>
                <w:sz w:val="16"/>
                <w:szCs w:val="16"/>
              </w:rPr>
              <w:t>Coste tratamiento completo</w:t>
            </w:r>
          </w:p>
        </w:tc>
        <w:tc>
          <w:tcPr>
            <w:tcW w:w="1984" w:type="dxa"/>
            <w:tcBorders>
              <w:top w:val="nil"/>
              <w:left w:val="nil"/>
              <w:bottom w:val="single" w:sz="4" w:space="0" w:color="auto"/>
              <w:right w:val="single" w:sz="4" w:space="0" w:color="auto"/>
            </w:tcBorders>
            <w:shd w:val="clear" w:color="000000" w:fill="FFFFFF"/>
            <w:vAlign w:val="center"/>
          </w:tcPr>
          <w:p w:rsidR="007D48BC" w:rsidRPr="001F344E" w:rsidRDefault="007D48BC" w:rsidP="00375161">
            <w:pPr>
              <w:jc w:val="center"/>
              <w:rPr>
                <w:rFonts w:ascii="Arial" w:hAnsi="Arial" w:cs="Arial"/>
                <w:sz w:val="16"/>
                <w:szCs w:val="16"/>
              </w:rPr>
            </w:pPr>
            <w:r>
              <w:rPr>
                <w:rFonts w:ascii="Arial" w:hAnsi="Arial" w:cs="Arial"/>
                <w:sz w:val="16"/>
                <w:szCs w:val="16"/>
              </w:rPr>
              <w:t xml:space="preserve">418.214 </w:t>
            </w:r>
            <w:r w:rsidRPr="001F344E">
              <w:rPr>
                <w:rFonts w:ascii="Arial" w:hAnsi="Arial" w:cs="Arial"/>
                <w:sz w:val="16"/>
                <w:szCs w:val="16"/>
              </w:rPr>
              <w:t>€</w:t>
            </w:r>
          </w:p>
        </w:tc>
        <w:tc>
          <w:tcPr>
            <w:tcW w:w="1985" w:type="dxa"/>
            <w:tcBorders>
              <w:top w:val="nil"/>
              <w:left w:val="nil"/>
              <w:bottom w:val="single" w:sz="4" w:space="0" w:color="auto"/>
              <w:right w:val="single" w:sz="4" w:space="0" w:color="auto"/>
            </w:tcBorders>
            <w:shd w:val="clear" w:color="000000" w:fill="FFFFFF"/>
            <w:vAlign w:val="center"/>
          </w:tcPr>
          <w:p w:rsidR="007D48BC" w:rsidRPr="001F344E" w:rsidRDefault="007D48BC" w:rsidP="00375161">
            <w:pPr>
              <w:jc w:val="center"/>
              <w:rPr>
                <w:rFonts w:ascii="Arial" w:hAnsi="Arial" w:cs="Arial"/>
                <w:sz w:val="16"/>
                <w:szCs w:val="16"/>
              </w:rPr>
            </w:pPr>
            <w:r>
              <w:rPr>
                <w:rFonts w:ascii="Arial" w:hAnsi="Arial" w:cs="Arial"/>
                <w:sz w:val="16"/>
                <w:szCs w:val="16"/>
              </w:rPr>
              <w:t xml:space="preserve">418.214 </w:t>
            </w:r>
            <w:r w:rsidRPr="001F344E">
              <w:rPr>
                <w:rFonts w:ascii="Arial" w:hAnsi="Arial" w:cs="Arial"/>
                <w:sz w:val="16"/>
                <w:szCs w:val="16"/>
              </w:rPr>
              <w:t>€</w:t>
            </w:r>
          </w:p>
        </w:tc>
        <w:tc>
          <w:tcPr>
            <w:tcW w:w="1985" w:type="dxa"/>
            <w:tcBorders>
              <w:top w:val="nil"/>
              <w:left w:val="nil"/>
              <w:bottom w:val="single" w:sz="4" w:space="0" w:color="auto"/>
              <w:right w:val="single" w:sz="8" w:space="0" w:color="auto"/>
            </w:tcBorders>
            <w:shd w:val="clear" w:color="000000" w:fill="FFFFFF"/>
            <w:vAlign w:val="center"/>
          </w:tcPr>
          <w:p w:rsidR="007D48BC" w:rsidRPr="001F344E" w:rsidRDefault="007D48BC" w:rsidP="00375161">
            <w:pPr>
              <w:jc w:val="center"/>
              <w:rPr>
                <w:rFonts w:ascii="Arial" w:hAnsi="Arial" w:cs="Arial"/>
                <w:sz w:val="16"/>
                <w:szCs w:val="16"/>
              </w:rPr>
            </w:pPr>
            <w:r w:rsidRPr="001F344E">
              <w:rPr>
                <w:rFonts w:ascii="Arial" w:hAnsi="Arial" w:cs="Arial"/>
                <w:sz w:val="16"/>
                <w:szCs w:val="16"/>
              </w:rPr>
              <w:t>332.800 €</w:t>
            </w:r>
          </w:p>
        </w:tc>
      </w:tr>
      <w:tr w:rsidR="007D48BC" w:rsidRPr="001F344E">
        <w:trPr>
          <w:trHeight w:val="255"/>
        </w:trPr>
        <w:tc>
          <w:tcPr>
            <w:tcW w:w="1331" w:type="dxa"/>
            <w:vMerge/>
            <w:tcBorders>
              <w:top w:val="nil"/>
              <w:left w:val="single" w:sz="8" w:space="0" w:color="auto"/>
              <w:bottom w:val="single" w:sz="4" w:space="0" w:color="auto"/>
              <w:right w:val="single" w:sz="4" w:space="0" w:color="auto"/>
            </w:tcBorders>
            <w:vAlign w:val="center"/>
          </w:tcPr>
          <w:p w:rsidR="007D48BC" w:rsidRPr="001F344E" w:rsidRDefault="007D48BC" w:rsidP="00375161">
            <w:pPr>
              <w:rPr>
                <w:rFonts w:ascii="Arial" w:hAnsi="Arial" w:cs="Arial"/>
                <w:b/>
                <w:bCs/>
              </w:rPr>
            </w:pPr>
          </w:p>
        </w:tc>
        <w:tc>
          <w:tcPr>
            <w:tcW w:w="1494" w:type="dxa"/>
            <w:tcBorders>
              <w:top w:val="nil"/>
              <w:left w:val="nil"/>
              <w:bottom w:val="single" w:sz="4" w:space="0" w:color="auto"/>
              <w:right w:val="single" w:sz="4" w:space="0" w:color="auto"/>
            </w:tcBorders>
            <w:shd w:val="clear" w:color="000000" w:fill="FFFFFF"/>
            <w:vAlign w:val="center"/>
          </w:tcPr>
          <w:p w:rsidR="007D48BC" w:rsidRPr="001F344E" w:rsidRDefault="007D48BC" w:rsidP="00375161">
            <w:pPr>
              <w:rPr>
                <w:rFonts w:ascii="Arial" w:hAnsi="Arial" w:cs="Arial"/>
                <w:b/>
                <w:bCs/>
                <w:sz w:val="16"/>
                <w:szCs w:val="16"/>
              </w:rPr>
            </w:pPr>
            <w:r w:rsidRPr="001F344E">
              <w:rPr>
                <w:rFonts w:ascii="Arial" w:hAnsi="Arial" w:cs="Arial"/>
                <w:b/>
                <w:bCs/>
                <w:sz w:val="16"/>
                <w:szCs w:val="16"/>
              </w:rPr>
              <w:t xml:space="preserve">Costes directos asociados </w:t>
            </w:r>
          </w:p>
        </w:tc>
        <w:tc>
          <w:tcPr>
            <w:tcW w:w="1984" w:type="dxa"/>
            <w:tcBorders>
              <w:top w:val="nil"/>
              <w:left w:val="nil"/>
              <w:bottom w:val="single" w:sz="4" w:space="0" w:color="auto"/>
              <w:right w:val="single" w:sz="4" w:space="0" w:color="auto"/>
            </w:tcBorders>
            <w:shd w:val="clear" w:color="000000" w:fill="FFFFFF"/>
            <w:vAlign w:val="center"/>
          </w:tcPr>
          <w:p w:rsidR="007D48BC" w:rsidRPr="001F344E" w:rsidRDefault="007D48BC" w:rsidP="00375161">
            <w:pPr>
              <w:jc w:val="center"/>
              <w:rPr>
                <w:rFonts w:ascii="Arial" w:hAnsi="Arial" w:cs="Arial"/>
                <w:sz w:val="16"/>
                <w:szCs w:val="16"/>
              </w:rPr>
            </w:pPr>
            <w:r>
              <w:rPr>
                <w:rFonts w:ascii="Arial" w:hAnsi="Arial" w:cs="Arial"/>
                <w:sz w:val="16"/>
                <w:szCs w:val="16"/>
              </w:rPr>
              <w:t xml:space="preserve">21.660,51 </w:t>
            </w:r>
            <w:r w:rsidRPr="001F344E">
              <w:rPr>
                <w:rFonts w:ascii="Arial" w:hAnsi="Arial" w:cs="Arial"/>
                <w:sz w:val="16"/>
                <w:szCs w:val="16"/>
              </w:rPr>
              <w:t>€</w:t>
            </w:r>
          </w:p>
        </w:tc>
        <w:tc>
          <w:tcPr>
            <w:tcW w:w="1985" w:type="dxa"/>
            <w:tcBorders>
              <w:top w:val="nil"/>
              <w:left w:val="nil"/>
              <w:bottom w:val="single" w:sz="4" w:space="0" w:color="auto"/>
              <w:right w:val="single" w:sz="4" w:space="0" w:color="auto"/>
            </w:tcBorders>
            <w:shd w:val="clear" w:color="000000" w:fill="FFFFFF"/>
            <w:vAlign w:val="center"/>
          </w:tcPr>
          <w:p w:rsidR="007D48BC" w:rsidRPr="001F344E" w:rsidRDefault="007D48BC" w:rsidP="00375161">
            <w:pPr>
              <w:jc w:val="center"/>
              <w:rPr>
                <w:rFonts w:ascii="Arial" w:hAnsi="Arial" w:cs="Arial"/>
                <w:sz w:val="16"/>
                <w:szCs w:val="16"/>
              </w:rPr>
            </w:pPr>
            <w:r>
              <w:rPr>
                <w:rFonts w:ascii="Arial" w:hAnsi="Arial" w:cs="Arial"/>
                <w:sz w:val="16"/>
                <w:szCs w:val="16"/>
              </w:rPr>
              <w:t xml:space="preserve">21.660,51 </w:t>
            </w:r>
            <w:r w:rsidRPr="001F344E">
              <w:rPr>
                <w:rFonts w:ascii="Arial" w:hAnsi="Arial" w:cs="Arial"/>
                <w:sz w:val="16"/>
                <w:szCs w:val="16"/>
              </w:rPr>
              <w:t>€</w:t>
            </w:r>
          </w:p>
        </w:tc>
        <w:tc>
          <w:tcPr>
            <w:tcW w:w="1985" w:type="dxa"/>
            <w:tcBorders>
              <w:top w:val="nil"/>
              <w:left w:val="nil"/>
              <w:bottom w:val="single" w:sz="4" w:space="0" w:color="auto"/>
              <w:right w:val="single" w:sz="8" w:space="0" w:color="auto"/>
            </w:tcBorders>
            <w:shd w:val="clear" w:color="000000" w:fill="FFFFFF"/>
            <w:vAlign w:val="center"/>
          </w:tcPr>
          <w:p w:rsidR="007D48BC" w:rsidRPr="001F344E" w:rsidRDefault="007D48BC" w:rsidP="00375161">
            <w:pPr>
              <w:jc w:val="center"/>
              <w:rPr>
                <w:rFonts w:ascii="Arial" w:hAnsi="Arial" w:cs="Arial"/>
                <w:sz w:val="16"/>
                <w:szCs w:val="16"/>
              </w:rPr>
            </w:pPr>
            <w:r w:rsidRPr="001F344E">
              <w:rPr>
                <w:rFonts w:ascii="Arial" w:hAnsi="Arial" w:cs="Arial"/>
                <w:sz w:val="16"/>
                <w:szCs w:val="16"/>
              </w:rPr>
              <w:t>22.878 €</w:t>
            </w:r>
          </w:p>
        </w:tc>
      </w:tr>
      <w:tr w:rsidR="007D48BC" w:rsidRPr="001F344E">
        <w:trPr>
          <w:trHeight w:val="270"/>
        </w:trPr>
        <w:tc>
          <w:tcPr>
            <w:tcW w:w="1331" w:type="dxa"/>
            <w:vMerge/>
            <w:tcBorders>
              <w:top w:val="nil"/>
              <w:left w:val="single" w:sz="8" w:space="0" w:color="auto"/>
              <w:bottom w:val="single" w:sz="4" w:space="0" w:color="auto"/>
              <w:right w:val="single" w:sz="4" w:space="0" w:color="auto"/>
            </w:tcBorders>
            <w:vAlign w:val="center"/>
          </w:tcPr>
          <w:p w:rsidR="007D48BC" w:rsidRPr="001F344E" w:rsidRDefault="007D48BC" w:rsidP="00375161">
            <w:pPr>
              <w:rPr>
                <w:rFonts w:ascii="Arial" w:hAnsi="Arial" w:cs="Arial"/>
                <w:b/>
                <w:bCs/>
              </w:rPr>
            </w:pPr>
          </w:p>
        </w:tc>
        <w:tc>
          <w:tcPr>
            <w:tcW w:w="1494" w:type="dxa"/>
            <w:tcBorders>
              <w:top w:val="nil"/>
              <w:left w:val="nil"/>
              <w:bottom w:val="nil"/>
              <w:right w:val="single" w:sz="4" w:space="0" w:color="auto"/>
            </w:tcBorders>
            <w:shd w:val="clear" w:color="000000" w:fill="D9D9D9"/>
            <w:vAlign w:val="center"/>
          </w:tcPr>
          <w:p w:rsidR="007D48BC" w:rsidRPr="001F344E" w:rsidRDefault="007D48BC" w:rsidP="00375161">
            <w:pPr>
              <w:rPr>
                <w:rFonts w:ascii="Arial" w:hAnsi="Arial" w:cs="Arial"/>
                <w:b/>
                <w:bCs/>
                <w:sz w:val="16"/>
                <w:szCs w:val="16"/>
              </w:rPr>
            </w:pPr>
            <w:r w:rsidRPr="001F344E">
              <w:rPr>
                <w:rFonts w:ascii="Arial" w:hAnsi="Arial" w:cs="Arial"/>
                <w:b/>
                <w:bCs/>
                <w:sz w:val="16"/>
                <w:szCs w:val="16"/>
              </w:rPr>
              <w:t>Coste global del tratamiento</w:t>
            </w:r>
          </w:p>
        </w:tc>
        <w:tc>
          <w:tcPr>
            <w:tcW w:w="1984" w:type="dxa"/>
            <w:tcBorders>
              <w:top w:val="nil"/>
              <w:left w:val="nil"/>
              <w:bottom w:val="nil"/>
              <w:right w:val="single" w:sz="4" w:space="0" w:color="auto"/>
            </w:tcBorders>
            <w:shd w:val="clear" w:color="000000" w:fill="D9D9D9"/>
            <w:vAlign w:val="center"/>
          </w:tcPr>
          <w:p w:rsidR="007D48BC" w:rsidRPr="00C35A0E" w:rsidRDefault="007D48BC" w:rsidP="00375161">
            <w:pPr>
              <w:jc w:val="center"/>
              <w:rPr>
                <w:rFonts w:ascii="Arial" w:hAnsi="Arial" w:cs="Arial"/>
                <w:b/>
                <w:bCs/>
                <w:sz w:val="16"/>
                <w:szCs w:val="16"/>
              </w:rPr>
            </w:pPr>
            <w:r w:rsidRPr="00C35A0E">
              <w:rPr>
                <w:rFonts w:ascii="Arial" w:hAnsi="Arial" w:cs="Arial"/>
                <w:b/>
                <w:bCs/>
                <w:sz w:val="16"/>
                <w:szCs w:val="16"/>
              </w:rPr>
              <w:t>439.874,51 €</w:t>
            </w:r>
          </w:p>
        </w:tc>
        <w:tc>
          <w:tcPr>
            <w:tcW w:w="1985" w:type="dxa"/>
            <w:tcBorders>
              <w:top w:val="nil"/>
              <w:left w:val="nil"/>
              <w:bottom w:val="nil"/>
              <w:right w:val="single" w:sz="4" w:space="0" w:color="auto"/>
            </w:tcBorders>
            <w:shd w:val="clear" w:color="000000" w:fill="D9D9D9"/>
            <w:vAlign w:val="center"/>
          </w:tcPr>
          <w:p w:rsidR="007D48BC" w:rsidRPr="001F344E" w:rsidRDefault="007D48BC" w:rsidP="00375161">
            <w:pPr>
              <w:jc w:val="center"/>
              <w:rPr>
                <w:rFonts w:ascii="Arial" w:hAnsi="Arial" w:cs="Arial"/>
                <w:b/>
                <w:bCs/>
                <w:sz w:val="16"/>
                <w:szCs w:val="16"/>
              </w:rPr>
            </w:pPr>
            <w:r w:rsidRPr="00C35A0E">
              <w:rPr>
                <w:rFonts w:ascii="Arial" w:hAnsi="Arial" w:cs="Arial"/>
                <w:b/>
                <w:bCs/>
                <w:sz w:val="16"/>
                <w:szCs w:val="16"/>
              </w:rPr>
              <w:t>439.874,51 €</w:t>
            </w:r>
          </w:p>
        </w:tc>
        <w:tc>
          <w:tcPr>
            <w:tcW w:w="1985" w:type="dxa"/>
            <w:tcBorders>
              <w:top w:val="nil"/>
              <w:left w:val="nil"/>
              <w:bottom w:val="nil"/>
              <w:right w:val="single" w:sz="8" w:space="0" w:color="auto"/>
            </w:tcBorders>
            <w:shd w:val="clear" w:color="000000" w:fill="D9D9D9"/>
            <w:vAlign w:val="center"/>
          </w:tcPr>
          <w:p w:rsidR="007D48BC" w:rsidRPr="001F344E" w:rsidRDefault="007D48BC" w:rsidP="00375161">
            <w:pPr>
              <w:jc w:val="center"/>
              <w:rPr>
                <w:rFonts w:ascii="Arial" w:hAnsi="Arial" w:cs="Arial"/>
                <w:sz w:val="16"/>
                <w:szCs w:val="16"/>
              </w:rPr>
            </w:pPr>
            <w:r w:rsidRPr="001F344E">
              <w:rPr>
                <w:rFonts w:ascii="Arial" w:hAnsi="Arial" w:cs="Arial"/>
                <w:sz w:val="16"/>
                <w:szCs w:val="16"/>
              </w:rPr>
              <w:t>355.678 €</w:t>
            </w:r>
          </w:p>
        </w:tc>
      </w:tr>
      <w:tr w:rsidR="007D48BC" w:rsidRPr="001F344E">
        <w:trPr>
          <w:trHeight w:val="255"/>
        </w:trPr>
        <w:tc>
          <w:tcPr>
            <w:tcW w:w="1331" w:type="dxa"/>
            <w:vMerge w:val="restart"/>
            <w:tcBorders>
              <w:top w:val="single" w:sz="8" w:space="0" w:color="auto"/>
              <w:left w:val="single" w:sz="8" w:space="0" w:color="auto"/>
              <w:bottom w:val="single" w:sz="8" w:space="0" w:color="000000"/>
              <w:right w:val="single" w:sz="4" w:space="0" w:color="auto"/>
            </w:tcBorders>
            <w:vAlign w:val="center"/>
          </w:tcPr>
          <w:p w:rsidR="007D48BC" w:rsidRPr="001F344E" w:rsidRDefault="007D48BC" w:rsidP="00375161">
            <w:pPr>
              <w:jc w:val="center"/>
              <w:rPr>
                <w:rFonts w:ascii="Arial" w:hAnsi="Arial" w:cs="Arial"/>
                <w:b/>
                <w:bCs/>
              </w:rPr>
            </w:pPr>
            <w:r w:rsidRPr="001F344E">
              <w:rPr>
                <w:rFonts w:ascii="Arial" w:hAnsi="Arial" w:cs="Arial"/>
                <w:b/>
                <w:bCs/>
              </w:rPr>
              <w:t>Datos de eficacia</w:t>
            </w:r>
          </w:p>
        </w:tc>
        <w:tc>
          <w:tcPr>
            <w:tcW w:w="1494" w:type="dxa"/>
            <w:tcBorders>
              <w:top w:val="single" w:sz="8" w:space="0" w:color="auto"/>
              <w:left w:val="nil"/>
              <w:bottom w:val="single" w:sz="4" w:space="0" w:color="auto"/>
              <w:right w:val="single" w:sz="4" w:space="0" w:color="auto"/>
            </w:tcBorders>
            <w:shd w:val="clear" w:color="auto" w:fill="B6DDE8"/>
            <w:vAlign w:val="center"/>
          </w:tcPr>
          <w:p w:rsidR="007D48BC" w:rsidRPr="001F344E" w:rsidRDefault="007D48BC" w:rsidP="00375161">
            <w:pPr>
              <w:rPr>
                <w:rFonts w:ascii="Arial" w:hAnsi="Arial" w:cs="Arial"/>
                <w:b/>
                <w:bCs/>
                <w:sz w:val="16"/>
                <w:szCs w:val="16"/>
              </w:rPr>
            </w:pPr>
            <w:r w:rsidRPr="001F344E">
              <w:rPr>
                <w:rFonts w:ascii="Arial" w:hAnsi="Arial" w:cs="Arial"/>
                <w:b/>
                <w:bCs/>
                <w:sz w:val="16"/>
                <w:szCs w:val="16"/>
              </w:rPr>
              <w:t> </w:t>
            </w:r>
          </w:p>
        </w:tc>
        <w:tc>
          <w:tcPr>
            <w:tcW w:w="1984" w:type="dxa"/>
            <w:tcBorders>
              <w:top w:val="single" w:sz="8" w:space="0" w:color="auto"/>
              <w:left w:val="nil"/>
              <w:bottom w:val="single" w:sz="4" w:space="0" w:color="auto"/>
              <w:right w:val="single" w:sz="4" w:space="0" w:color="auto"/>
            </w:tcBorders>
            <w:shd w:val="clear" w:color="auto" w:fill="B6DDE8"/>
            <w:vAlign w:val="center"/>
          </w:tcPr>
          <w:p w:rsidR="007D48BC" w:rsidRDefault="007D48BC" w:rsidP="00375161">
            <w:pPr>
              <w:jc w:val="center"/>
              <w:rPr>
                <w:rFonts w:ascii="Arial" w:hAnsi="Arial" w:cs="Arial"/>
                <w:b/>
                <w:bCs/>
                <w:i/>
                <w:iCs/>
                <w:sz w:val="16"/>
                <w:szCs w:val="16"/>
                <w:lang w:val="en-US"/>
              </w:rPr>
            </w:pPr>
            <w:r w:rsidRPr="007D0128">
              <w:rPr>
                <w:rFonts w:ascii="Arial" w:hAnsi="Arial" w:cs="Arial"/>
                <w:b/>
                <w:bCs/>
                <w:i/>
                <w:iCs/>
                <w:sz w:val="16"/>
                <w:szCs w:val="16"/>
                <w:lang w:val="en-US"/>
              </w:rPr>
              <w:t>Axicabtagen Ciloleucel</w:t>
            </w:r>
          </w:p>
          <w:p w:rsidR="007D48BC" w:rsidRPr="001F344E" w:rsidRDefault="007D48BC" w:rsidP="00375161">
            <w:pPr>
              <w:jc w:val="center"/>
              <w:rPr>
                <w:rFonts w:ascii="Arial" w:hAnsi="Arial" w:cs="Arial"/>
                <w:b/>
                <w:bCs/>
                <w:sz w:val="16"/>
                <w:szCs w:val="16"/>
              </w:rPr>
            </w:pPr>
            <w:r>
              <w:rPr>
                <w:rFonts w:ascii="Arial" w:hAnsi="Arial" w:cs="Arial"/>
                <w:b/>
                <w:bCs/>
                <w:i/>
                <w:iCs/>
                <w:sz w:val="16"/>
                <w:szCs w:val="16"/>
                <w:lang w:val="en-US"/>
              </w:rPr>
              <w:t>(N=</w:t>
            </w:r>
            <w:r w:rsidR="007F4AB6">
              <w:rPr>
                <w:rFonts w:ascii="Arial" w:hAnsi="Arial" w:cs="Arial"/>
                <w:b/>
                <w:bCs/>
                <w:i/>
                <w:iCs/>
                <w:sz w:val="16"/>
                <w:szCs w:val="16"/>
                <w:lang w:val="en-US"/>
              </w:rPr>
              <w:t>81</w:t>
            </w:r>
            <w:r>
              <w:rPr>
                <w:rFonts w:ascii="Arial" w:hAnsi="Arial" w:cs="Arial"/>
                <w:b/>
                <w:bCs/>
                <w:i/>
                <w:iCs/>
                <w:sz w:val="16"/>
                <w:szCs w:val="16"/>
                <w:lang w:val="en-US"/>
              </w:rPr>
              <w:t xml:space="preserve">) </w:t>
            </w:r>
            <w:r w:rsidR="008258E3">
              <w:rPr>
                <w:rFonts w:ascii="Arial" w:hAnsi="Arial" w:cs="Arial"/>
                <w:b/>
                <w:bCs/>
                <w:i/>
                <w:iCs/>
                <w:sz w:val="16"/>
                <w:szCs w:val="16"/>
                <w:lang w:val="en-US"/>
              </w:rPr>
              <w:t>LDCBG</w:t>
            </w:r>
            <w:r w:rsidRPr="0050122C">
              <w:rPr>
                <w:rFonts w:ascii="Arial" w:hAnsi="Arial" w:cs="Arial"/>
                <w:b/>
                <w:bCs/>
                <w:i/>
                <w:iCs/>
                <w:sz w:val="16"/>
                <w:szCs w:val="16"/>
                <w:vertAlign w:val="superscript"/>
                <w:lang w:val="en-US"/>
              </w:rPr>
              <w:t>16</w:t>
            </w:r>
          </w:p>
        </w:tc>
        <w:tc>
          <w:tcPr>
            <w:tcW w:w="1985" w:type="dxa"/>
            <w:tcBorders>
              <w:top w:val="single" w:sz="8" w:space="0" w:color="auto"/>
              <w:left w:val="nil"/>
              <w:bottom w:val="single" w:sz="4" w:space="0" w:color="auto"/>
              <w:right w:val="single" w:sz="4" w:space="0" w:color="auto"/>
            </w:tcBorders>
            <w:shd w:val="clear" w:color="auto" w:fill="B6DDE8"/>
            <w:vAlign w:val="center"/>
          </w:tcPr>
          <w:p w:rsidR="007D48BC" w:rsidRPr="00575A85" w:rsidRDefault="007D48BC" w:rsidP="00375161">
            <w:pPr>
              <w:jc w:val="center"/>
              <w:rPr>
                <w:rFonts w:ascii="Arial" w:hAnsi="Arial" w:cs="Arial"/>
                <w:b/>
                <w:bCs/>
                <w:i/>
                <w:iCs/>
                <w:sz w:val="16"/>
                <w:szCs w:val="16"/>
                <w:lang w:val="pt-BR"/>
              </w:rPr>
            </w:pPr>
            <w:r w:rsidRPr="00575A85">
              <w:rPr>
                <w:rFonts w:ascii="Arial" w:hAnsi="Arial" w:cs="Arial"/>
                <w:b/>
                <w:bCs/>
                <w:i/>
                <w:iCs/>
                <w:sz w:val="16"/>
                <w:szCs w:val="16"/>
                <w:lang w:val="pt-BR"/>
              </w:rPr>
              <w:t>Axicabtagen Ciloleucel</w:t>
            </w:r>
          </w:p>
          <w:p w:rsidR="007D48BC" w:rsidRPr="00575A85" w:rsidRDefault="0009464B" w:rsidP="00375161">
            <w:pPr>
              <w:jc w:val="center"/>
              <w:rPr>
                <w:rFonts w:ascii="Arial" w:hAnsi="Arial" w:cs="Arial"/>
                <w:b/>
                <w:bCs/>
                <w:sz w:val="16"/>
                <w:szCs w:val="16"/>
                <w:lang w:val="pt-BR"/>
              </w:rPr>
            </w:pPr>
            <w:r>
              <w:rPr>
                <w:rFonts w:ascii="Arial" w:hAnsi="Arial" w:cs="Arial"/>
                <w:b/>
                <w:bCs/>
                <w:i/>
                <w:iCs/>
                <w:sz w:val="16"/>
                <w:szCs w:val="16"/>
                <w:lang w:val="pt-BR"/>
              </w:rPr>
              <w:t>(N=30</w:t>
            </w:r>
            <w:r w:rsidR="007D48BC" w:rsidRPr="00575A85">
              <w:rPr>
                <w:rFonts w:ascii="Arial" w:hAnsi="Arial" w:cs="Arial"/>
                <w:b/>
                <w:bCs/>
                <w:i/>
                <w:iCs/>
                <w:sz w:val="16"/>
                <w:szCs w:val="16"/>
                <w:lang w:val="pt-BR"/>
              </w:rPr>
              <w:t>) LBPM + Transf Folicular</w:t>
            </w:r>
            <w:r w:rsidR="007D48BC" w:rsidRPr="00575A85">
              <w:rPr>
                <w:rFonts w:ascii="Arial" w:hAnsi="Arial" w:cs="Arial"/>
                <w:b/>
                <w:bCs/>
                <w:i/>
                <w:iCs/>
                <w:sz w:val="16"/>
                <w:szCs w:val="16"/>
                <w:vertAlign w:val="superscript"/>
                <w:lang w:val="pt-BR"/>
              </w:rPr>
              <w:t>16</w:t>
            </w:r>
          </w:p>
        </w:tc>
        <w:tc>
          <w:tcPr>
            <w:tcW w:w="1985" w:type="dxa"/>
            <w:tcBorders>
              <w:top w:val="single" w:sz="8" w:space="0" w:color="auto"/>
              <w:left w:val="nil"/>
              <w:bottom w:val="single" w:sz="4" w:space="0" w:color="auto"/>
              <w:right w:val="single" w:sz="8" w:space="0" w:color="auto"/>
            </w:tcBorders>
            <w:shd w:val="clear" w:color="auto" w:fill="B6DDE8"/>
            <w:vAlign w:val="center"/>
          </w:tcPr>
          <w:p w:rsidR="007D48BC" w:rsidRPr="001F344E" w:rsidRDefault="007D48BC" w:rsidP="00B65EE7">
            <w:pPr>
              <w:jc w:val="center"/>
              <w:rPr>
                <w:rFonts w:ascii="Arial" w:hAnsi="Arial" w:cs="Arial"/>
                <w:b/>
                <w:bCs/>
                <w:sz w:val="16"/>
                <w:szCs w:val="16"/>
              </w:rPr>
            </w:pPr>
            <w:r w:rsidRPr="001F344E">
              <w:rPr>
                <w:rFonts w:ascii="Arial" w:hAnsi="Arial" w:cs="Arial"/>
                <w:b/>
                <w:bCs/>
                <w:sz w:val="16"/>
                <w:szCs w:val="16"/>
              </w:rPr>
              <w:t>Tisagenlecleucel</w:t>
            </w:r>
            <w:r w:rsidR="000731B0">
              <w:rPr>
                <w:rFonts w:ascii="Arial" w:hAnsi="Arial" w:cs="Arial"/>
                <w:b/>
                <w:bCs/>
                <w:sz w:val="16"/>
                <w:szCs w:val="16"/>
              </w:rPr>
              <w:t>*</w:t>
            </w:r>
            <w:r w:rsidRPr="001F344E">
              <w:rPr>
                <w:rFonts w:ascii="Arial" w:hAnsi="Arial" w:cs="Arial"/>
                <w:b/>
                <w:bCs/>
                <w:sz w:val="16"/>
                <w:szCs w:val="16"/>
              </w:rPr>
              <w:t xml:space="preserve"> (N=</w:t>
            </w:r>
            <w:r w:rsidR="0009464B">
              <w:rPr>
                <w:rFonts w:ascii="Arial" w:hAnsi="Arial" w:cs="Arial"/>
                <w:b/>
                <w:bCs/>
                <w:sz w:val="16"/>
                <w:szCs w:val="16"/>
              </w:rPr>
              <w:t>165</w:t>
            </w:r>
            <w:r w:rsidRPr="001F344E">
              <w:rPr>
                <w:rFonts w:ascii="Arial" w:hAnsi="Arial" w:cs="Arial"/>
                <w:b/>
                <w:bCs/>
                <w:sz w:val="16"/>
                <w:szCs w:val="16"/>
              </w:rPr>
              <w:t>)</w:t>
            </w:r>
            <w:r w:rsidR="009B3EF9">
              <w:rPr>
                <w:rFonts w:ascii="Arial" w:hAnsi="Arial" w:cs="Arial"/>
                <w:b/>
                <w:bCs/>
                <w:sz w:val="16"/>
                <w:szCs w:val="16"/>
                <w:vertAlign w:val="superscript"/>
              </w:rPr>
              <w:t>12</w:t>
            </w:r>
          </w:p>
        </w:tc>
      </w:tr>
      <w:tr w:rsidR="007D48BC" w:rsidRPr="001F344E">
        <w:trPr>
          <w:trHeight w:val="255"/>
        </w:trPr>
        <w:tc>
          <w:tcPr>
            <w:tcW w:w="1331" w:type="dxa"/>
            <w:vMerge/>
            <w:tcBorders>
              <w:top w:val="single" w:sz="8" w:space="0" w:color="auto"/>
              <w:left w:val="single" w:sz="8" w:space="0" w:color="auto"/>
              <w:bottom w:val="single" w:sz="8" w:space="0" w:color="000000"/>
              <w:right w:val="single" w:sz="4" w:space="0" w:color="auto"/>
            </w:tcBorders>
            <w:vAlign w:val="center"/>
          </w:tcPr>
          <w:p w:rsidR="007D48BC" w:rsidRPr="001F344E" w:rsidRDefault="007D48BC" w:rsidP="00375161">
            <w:pPr>
              <w:rPr>
                <w:rFonts w:ascii="Arial" w:hAnsi="Arial" w:cs="Arial"/>
                <w:b/>
                <w:bCs/>
              </w:rPr>
            </w:pPr>
          </w:p>
        </w:tc>
        <w:tc>
          <w:tcPr>
            <w:tcW w:w="1494" w:type="dxa"/>
            <w:tcBorders>
              <w:top w:val="nil"/>
              <w:left w:val="nil"/>
              <w:bottom w:val="single" w:sz="4" w:space="0" w:color="auto"/>
              <w:right w:val="single" w:sz="4" w:space="0" w:color="auto"/>
            </w:tcBorders>
            <w:shd w:val="clear" w:color="000000" w:fill="FFFFFF"/>
            <w:vAlign w:val="center"/>
          </w:tcPr>
          <w:p w:rsidR="007D48BC" w:rsidRPr="001F344E" w:rsidRDefault="00BD3013" w:rsidP="00375161">
            <w:pPr>
              <w:rPr>
                <w:rFonts w:ascii="Arial" w:hAnsi="Arial" w:cs="Arial"/>
                <w:sz w:val="16"/>
                <w:szCs w:val="16"/>
              </w:rPr>
            </w:pPr>
            <w:r>
              <w:rPr>
                <w:rFonts w:ascii="Arial" w:hAnsi="Arial" w:cs="Arial"/>
                <w:sz w:val="16"/>
                <w:szCs w:val="16"/>
              </w:rPr>
              <w:t>Tasa de respuesta</w:t>
            </w:r>
          </w:p>
        </w:tc>
        <w:tc>
          <w:tcPr>
            <w:tcW w:w="1984" w:type="dxa"/>
            <w:tcBorders>
              <w:top w:val="nil"/>
              <w:left w:val="nil"/>
              <w:bottom w:val="single" w:sz="4" w:space="0" w:color="auto"/>
              <w:right w:val="single" w:sz="4" w:space="0" w:color="auto"/>
            </w:tcBorders>
            <w:shd w:val="clear" w:color="000000" w:fill="FFFFFF"/>
            <w:vAlign w:val="center"/>
          </w:tcPr>
          <w:p w:rsidR="007D48BC" w:rsidRPr="001F344E" w:rsidRDefault="007D48BC" w:rsidP="00375161">
            <w:pPr>
              <w:jc w:val="center"/>
              <w:rPr>
                <w:rFonts w:ascii="Arial" w:hAnsi="Arial" w:cs="Arial"/>
                <w:sz w:val="16"/>
                <w:szCs w:val="16"/>
              </w:rPr>
            </w:pPr>
            <w:r w:rsidRPr="00E1375D">
              <w:rPr>
                <w:rFonts w:ascii="Arial" w:hAnsi="Arial" w:cs="Arial"/>
                <w:i/>
                <w:iCs/>
                <w:sz w:val="16"/>
                <w:szCs w:val="16"/>
              </w:rPr>
              <w:t>64</w:t>
            </w:r>
            <w:r>
              <w:rPr>
                <w:rFonts w:ascii="Arial" w:hAnsi="Arial" w:cs="Arial"/>
                <w:i/>
                <w:iCs/>
                <w:sz w:val="16"/>
                <w:szCs w:val="16"/>
              </w:rPr>
              <w:t>%</w:t>
            </w:r>
            <w:r w:rsidRPr="00E1375D">
              <w:rPr>
                <w:rFonts w:ascii="Arial" w:hAnsi="Arial" w:cs="Arial"/>
                <w:i/>
                <w:iCs/>
                <w:sz w:val="16"/>
                <w:szCs w:val="16"/>
              </w:rPr>
              <w:t xml:space="preserve"> (53-75)</w:t>
            </w:r>
            <w:r>
              <w:rPr>
                <w:rFonts w:ascii="Arial" w:hAnsi="Arial" w:cs="Arial"/>
                <w:i/>
                <w:iCs/>
                <w:sz w:val="16"/>
                <w:szCs w:val="16"/>
              </w:rPr>
              <w:t xml:space="preserve"> a los 12 meses</w:t>
            </w:r>
          </w:p>
        </w:tc>
        <w:tc>
          <w:tcPr>
            <w:tcW w:w="1985" w:type="dxa"/>
            <w:tcBorders>
              <w:top w:val="nil"/>
              <w:left w:val="nil"/>
              <w:bottom w:val="single" w:sz="4" w:space="0" w:color="auto"/>
              <w:right w:val="single" w:sz="4" w:space="0" w:color="auto"/>
            </w:tcBorders>
            <w:shd w:val="clear" w:color="000000" w:fill="FFFFFF"/>
            <w:vAlign w:val="center"/>
          </w:tcPr>
          <w:p w:rsidR="007D48BC" w:rsidRPr="001F344E" w:rsidRDefault="007D48BC" w:rsidP="00375161">
            <w:pPr>
              <w:jc w:val="center"/>
              <w:rPr>
                <w:rFonts w:ascii="Arial" w:hAnsi="Arial" w:cs="Arial"/>
                <w:sz w:val="16"/>
                <w:szCs w:val="16"/>
              </w:rPr>
            </w:pPr>
            <w:r w:rsidRPr="00E1375D">
              <w:rPr>
                <w:rFonts w:ascii="Arial" w:hAnsi="Arial" w:cs="Arial"/>
                <w:i/>
                <w:iCs/>
                <w:sz w:val="16"/>
                <w:szCs w:val="16"/>
              </w:rPr>
              <w:t>70</w:t>
            </w:r>
            <w:r>
              <w:rPr>
                <w:rFonts w:ascii="Arial" w:hAnsi="Arial" w:cs="Arial"/>
                <w:i/>
                <w:iCs/>
                <w:sz w:val="16"/>
                <w:szCs w:val="16"/>
              </w:rPr>
              <w:t>%</w:t>
            </w:r>
            <w:r w:rsidRPr="00E1375D">
              <w:rPr>
                <w:rFonts w:ascii="Arial" w:hAnsi="Arial" w:cs="Arial"/>
                <w:i/>
                <w:iCs/>
                <w:sz w:val="16"/>
                <w:szCs w:val="16"/>
              </w:rPr>
              <w:t xml:space="preserve"> (51-85)</w:t>
            </w:r>
          </w:p>
        </w:tc>
        <w:tc>
          <w:tcPr>
            <w:tcW w:w="1985" w:type="dxa"/>
            <w:tcBorders>
              <w:top w:val="nil"/>
              <w:left w:val="nil"/>
              <w:bottom w:val="single" w:sz="4" w:space="0" w:color="auto"/>
              <w:right w:val="single" w:sz="8" w:space="0" w:color="auto"/>
            </w:tcBorders>
            <w:shd w:val="clear" w:color="000000" w:fill="FFFFFF"/>
            <w:vAlign w:val="center"/>
          </w:tcPr>
          <w:p w:rsidR="007D48BC" w:rsidRPr="00BD3013" w:rsidRDefault="007D48BC" w:rsidP="006F4F2B">
            <w:pPr>
              <w:jc w:val="center"/>
              <w:rPr>
                <w:rFonts w:ascii="Arial" w:hAnsi="Arial" w:cs="Arial"/>
                <w:i/>
                <w:sz w:val="16"/>
                <w:szCs w:val="16"/>
              </w:rPr>
            </w:pPr>
            <w:r w:rsidRPr="00BD3013">
              <w:rPr>
                <w:rFonts w:ascii="Arial" w:hAnsi="Arial" w:cs="Arial"/>
                <w:i/>
                <w:sz w:val="16"/>
                <w:szCs w:val="16"/>
              </w:rPr>
              <w:t>33,9% (IC 95% 26,8-41,7%)</w:t>
            </w:r>
          </w:p>
        </w:tc>
      </w:tr>
      <w:tr w:rsidR="007D48BC" w:rsidRPr="001F344E">
        <w:trPr>
          <w:trHeight w:val="450"/>
        </w:trPr>
        <w:tc>
          <w:tcPr>
            <w:tcW w:w="1331" w:type="dxa"/>
            <w:vMerge/>
            <w:tcBorders>
              <w:top w:val="single" w:sz="8" w:space="0" w:color="auto"/>
              <w:left w:val="single" w:sz="8" w:space="0" w:color="auto"/>
              <w:bottom w:val="single" w:sz="8" w:space="0" w:color="000000"/>
              <w:right w:val="single" w:sz="4" w:space="0" w:color="auto"/>
            </w:tcBorders>
            <w:vAlign w:val="center"/>
          </w:tcPr>
          <w:p w:rsidR="007D48BC" w:rsidRPr="001F344E" w:rsidRDefault="007D48BC" w:rsidP="00375161">
            <w:pPr>
              <w:rPr>
                <w:rFonts w:ascii="Arial" w:hAnsi="Arial" w:cs="Arial"/>
                <w:b/>
                <w:bCs/>
              </w:rPr>
            </w:pPr>
          </w:p>
        </w:tc>
        <w:tc>
          <w:tcPr>
            <w:tcW w:w="1494" w:type="dxa"/>
            <w:tcBorders>
              <w:top w:val="nil"/>
              <w:left w:val="nil"/>
              <w:bottom w:val="single" w:sz="4" w:space="0" w:color="auto"/>
              <w:right w:val="single" w:sz="4" w:space="0" w:color="auto"/>
            </w:tcBorders>
            <w:shd w:val="clear" w:color="000000" w:fill="FFFFFF"/>
            <w:vAlign w:val="center"/>
          </w:tcPr>
          <w:p w:rsidR="007D48BC" w:rsidRPr="001F344E" w:rsidRDefault="007D48BC" w:rsidP="00375161">
            <w:pPr>
              <w:rPr>
                <w:rFonts w:ascii="Arial" w:hAnsi="Arial" w:cs="Arial"/>
                <w:sz w:val="16"/>
                <w:szCs w:val="16"/>
              </w:rPr>
            </w:pPr>
            <w:r w:rsidRPr="001F344E">
              <w:rPr>
                <w:rFonts w:ascii="Arial" w:hAnsi="Arial" w:cs="Arial"/>
                <w:sz w:val="16"/>
                <w:szCs w:val="16"/>
              </w:rPr>
              <w:t>Mediana de SLP (meses)</w:t>
            </w:r>
          </w:p>
        </w:tc>
        <w:tc>
          <w:tcPr>
            <w:tcW w:w="1984" w:type="dxa"/>
            <w:tcBorders>
              <w:top w:val="nil"/>
              <w:left w:val="nil"/>
              <w:bottom w:val="single" w:sz="4" w:space="0" w:color="auto"/>
              <w:right w:val="single" w:sz="4" w:space="0" w:color="auto"/>
            </w:tcBorders>
            <w:shd w:val="clear" w:color="000000" w:fill="FFFFFF"/>
            <w:vAlign w:val="center"/>
          </w:tcPr>
          <w:p w:rsidR="007D48BC" w:rsidRPr="00537B26" w:rsidRDefault="007D48BC" w:rsidP="00375161">
            <w:pPr>
              <w:jc w:val="center"/>
              <w:rPr>
                <w:rFonts w:ascii="Arial" w:hAnsi="Arial" w:cs="Arial"/>
                <w:sz w:val="16"/>
                <w:szCs w:val="16"/>
              </w:rPr>
            </w:pPr>
            <w:r w:rsidRPr="00537B26">
              <w:rPr>
                <w:rFonts w:ascii="Arial" w:hAnsi="Arial" w:cs="Arial"/>
                <w:i/>
                <w:iCs/>
                <w:sz w:val="16"/>
                <w:szCs w:val="16"/>
              </w:rPr>
              <w:t>7.3 (5.2-12.4) a los 12 meses</w:t>
            </w:r>
          </w:p>
        </w:tc>
        <w:tc>
          <w:tcPr>
            <w:tcW w:w="1985" w:type="dxa"/>
            <w:tcBorders>
              <w:top w:val="nil"/>
              <w:left w:val="nil"/>
              <w:bottom w:val="single" w:sz="4" w:space="0" w:color="auto"/>
              <w:right w:val="single" w:sz="4" w:space="0" w:color="auto"/>
            </w:tcBorders>
            <w:shd w:val="clear" w:color="000000" w:fill="FFFFFF"/>
            <w:vAlign w:val="center"/>
          </w:tcPr>
          <w:p w:rsidR="007D48BC" w:rsidRPr="00537B26" w:rsidRDefault="007D48BC" w:rsidP="00375161">
            <w:pPr>
              <w:jc w:val="center"/>
              <w:rPr>
                <w:rFonts w:ascii="Arial" w:hAnsi="Arial" w:cs="Arial"/>
                <w:sz w:val="16"/>
                <w:szCs w:val="16"/>
              </w:rPr>
            </w:pPr>
            <w:r w:rsidRPr="00537B26">
              <w:rPr>
                <w:rFonts w:ascii="Arial" w:hAnsi="Arial" w:cs="Arial"/>
                <w:i/>
                <w:iCs/>
                <w:sz w:val="16"/>
                <w:szCs w:val="16"/>
              </w:rPr>
              <w:t>12.9 (4.5-NE) a los 12 meses</w:t>
            </w:r>
          </w:p>
        </w:tc>
        <w:tc>
          <w:tcPr>
            <w:tcW w:w="1985" w:type="dxa"/>
            <w:tcBorders>
              <w:top w:val="nil"/>
              <w:left w:val="nil"/>
              <w:bottom w:val="single" w:sz="4" w:space="0" w:color="auto"/>
              <w:right w:val="single" w:sz="8" w:space="0" w:color="auto"/>
            </w:tcBorders>
            <w:shd w:val="clear" w:color="000000" w:fill="FFFFFF"/>
            <w:vAlign w:val="center"/>
          </w:tcPr>
          <w:p w:rsidR="007D48BC" w:rsidRPr="00BD3013" w:rsidRDefault="00B705C4" w:rsidP="006F4F2B">
            <w:pPr>
              <w:jc w:val="center"/>
              <w:rPr>
                <w:rFonts w:ascii="Arial" w:hAnsi="Arial" w:cs="Arial"/>
                <w:i/>
                <w:sz w:val="16"/>
                <w:szCs w:val="16"/>
              </w:rPr>
            </w:pPr>
            <w:r w:rsidRPr="00BD3013">
              <w:rPr>
                <w:rFonts w:ascii="Arial" w:hAnsi="Arial" w:cs="Arial"/>
                <w:i/>
                <w:sz w:val="16"/>
                <w:szCs w:val="16"/>
              </w:rPr>
              <w:t>4,4 (</w:t>
            </w:r>
            <w:r w:rsidR="00FF36AA" w:rsidRPr="00BD3013">
              <w:rPr>
                <w:rFonts w:ascii="Arial" w:hAnsi="Arial" w:cs="Arial"/>
                <w:i/>
                <w:sz w:val="16"/>
                <w:szCs w:val="16"/>
              </w:rPr>
              <w:t>3,6 – 5,1)</w:t>
            </w:r>
          </w:p>
        </w:tc>
      </w:tr>
      <w:tr w:rsidR="007D48BC" w:rsidRPr="001F344E">
        <w:trPr>
          <w:trHeight w:val="255"/>
        </w:trPr>
        <w:tc>
          <w:tcPr>
            <w:tcW w:w="1331" w:type="dxa"/>
            <w:vMerge/>
            <w:tcBorders>
              <w:top w:val="single" w:sz="8" w:space="0" w:color="auto"/>
              <w:left w:val="single" w:sz="8" w:space="0" w:color="auto"/>
              <w:bottom w:val="single" w:sz="8" w:space="0" w:color="000000"/>
              <w:right w:val="single" w:sz="4" w:space="0" w:color="auto"/>
            </w:tcBorders>
            <w:vAlign w:val="center"/>
          </w:tcPr>
          <w:p w:rsidR="007D48BC" w:rsidRPr="001F344E" w:rsidRDefault="007D48BC" w:rsidP="00375161">
            <w:pPr>
              <w:rPr>
                <w:rFonts w:ascii="Arial" w:hAnsi="Arial" w:cs="Arial"/>
                <w:b/>
                <w:bCs/>
              </w:rPr>
            </w:pPr>
          </w:p>
        </w:tc>
        <w:tc>
          <w:tcPr>
            <w:tcW w:w="1494" w:type="dxa"/>
            <w:tcBorders>
              <w:top w:val="nil"/>
              <w:left w:val="nil"/>
              <w:bottom w:val="single" w:sz="4" w:space="0" w:color="auto"/>
              <w:right w:val="single" w:sz="4" w:space="0" w:color="auto"/>
            </w:tcBorders>
            <w:vAlign w:val="center"/>
          </w:tcPr>
          <w:p w:rsidR="007D48BC" w:rsidRPr="001F344E" w:rsidRDefault="007D48BC" w:rsidP="00375161">
            <w:pPr>
              <w:rPr>
                <w:rFonts w:ascii="Arial" w:hAnsi="Arial" w:cs="Arial"/>
                <w:sz w:val="16"/>
                <w:szCs w:val="16"/>
              </w:rPr>
            </w:pPr>
            <w:r w:rsidRPr="001F344E">
              <w:rPr>
                <w:rFonts w:ascii="Arial" w:hAnsi="Arial" w:cs="Arial"/>
                <w:sz w:val="16"/>
                <w:szCs w:val="16"/>
              </w:rPr>
              <w:t>Mediana de SG (meses)</w:t>
            </w:r>
          </w:p>
        </w:tc>
        <w:tc>
          <w:tcPr>
            <w:tcW w:w="1984" w:type="dxa"/>
            <w:tcBorders>
              <w:top w:val="nil"/>
              <w:left w:val="nil"/>
              <w:bottom w:val="single" w:sz="4" w:space="0" w:color="auto"/>
              <w:right w:val="single" w:sz="4" w:space="0" w:color="auto"/>
            </w:tcBorders>
            <w:shd w:val="clear" w:color="000000" w:fill="FFFFFF"/>
            <w:vAlign w:val="center"/>
          </w:tcPr>
          <w:p w:rsidR="007D48BC" w:rsidRPr="001F344E" w:rsidRDefault="007D48BC" w:rsidP="00375161">
            <w:pPr>
              <w:jc w:val="center"/>
              <w:rPr>
                <w:rFonts w:ascii="Arial" w:hAnsi="Arial" w:cs="Arial"/>
                <w:b/>
                <w:bCs/>
                <w:sz w:val="16"/>
                <w:szCs w:val="16"/>
              </w:rPr>
            </w:pPr>
            <w:r w:rsidRPr="00E1375D">
              <w:rPr>
                <w:rFonts w:ascii="Arial" w:hAnsi="Arial" w:cs="Arial"/>
                <w:i/>
                <w:iCs/>
                <w:sz w:val="16"/>
                <w:szCs w:val="16"/>
              </w:rPr>
              <w:t>15.4 (11.1-NE)</w:t>
            </w:r>
            <w:r>
              <w:rPr>
                <w:rFonts w:ascii="Arial" w:hAnsi="Arial" w:cs="Arial"/>
                <w:i/>
                <w:iCs/>
                <w:sz w:val="16"/>
                <w:szCs w:val="16"/>
              </w:rPr>
              <w:t xml:space="preserve"> a los 12 meses</w:t>
            </w:r>
          </w:p>
        </w:tc>
        <w:tc>
          <w:tcPr>
            <w:tcW w:w="1985" w:type="dxa"/>
            <w:tcBorders>
              <w:top w:val="nil"/>
              <w:left w:val="nil"/>
              <w:bottom w:val="single" w:sz="4" w:space="0" w:color="auto"/>
              <w:right w:val="single" w:sz="4" w:space="0" w:color="auto"/>
            </w:tcBorders>
            <w:shd w:val="clear" w:color="000000" w:fill="FFFFFF"/>
            <w:vAlign w:val="center"/>
          </w:tcPr>
          <w:p w:rsidR="007D48BC" w:rsidRPr="001F344E" w:rsidRDefault="007D48BC" w:rsidP="00375161">
            <w:pPr>
              <w:jc w:val="center"/>
              <w:rPr>
                <w:rFonts w:ascii="Arial" w:hAnsi="Arial" w:cs="Arial"/>
                <w:sz w:val="16"/>
                <w:szCs w:val="16"/>
              </w:rPr>
            </w:pPr>
            <w:r w:rsidRPr="00E1375D">
              <w:rPr>
                <w:rFonts w:ascii="Arial" w:hAnsi="Arial" w:cs="Arial"/>
                <w:i/>
                <w:iCs/>
                <w:sz w:val="16"/>
                <w:szCs w:val="16"/>
              </w:rPr>
              <w:t>NE (10.9-NE)</w:t>
            </w:r>
            <w:r>
              <w:rPr>
                <w:rFonts w:ascii="Arial" w:hAnsi="Arial" w:cs="Arial"/>
                <w:i/>
                <w:iCs/>
                <w:sz w:val="16"/>
                <w:szCs w:val="16"/>
              </w:rPr>
              <w:t xml:space="preserve"> </w:t>
            </w:r>
            <w:r w:rsidRPr="00A320FB">
              <w:rPr>
                <w:rFonts w:ascii="Arial" w:hAnsi="Arial" w:cs="Arial"/>
                <w:i/>
                <w:iCs/>
                <w:sz w:val="16"/>
                <w:szCs w:val="16"/>
              </w:rPr>
              <w:t>a los 12 meses</w:t>
            </w:r>
          </w:p>
        </w:tc>
        <w:tc>
          <w:tcPr>
            <w:tcW w:w="1985" w:type="dxa"/>
            <w:tcBorders>
              <w:top w:val="nil"/>
              <w:left w:val="nil"/>
              <w:bottom w:val="single" w:sz="4" w:space="0" w:color="auto"/>
              <w:right w:val="single" w:sz="8" w:space="0" w:color="auto"/>
            </w:tcBorders>
            <w:shd w:val="clear" w:color="000000" w:fill="FFFFFF"/>
            <w:vAlign w:val="center"/>
          </w:tcPr>
          <w:p w:rsidR="007D48BC" w:rsidRPr="00BD3013" w:rsidRDefault="007D48BC" w:rsidP="006F4F2B">
            <w:pPr>
              <w:jc w:val="center"/>
              <w:rPr>
                <w:rFonts w:ascii="Arial" w:hAnsi="Arial" w:cs="Arial"/>
                <w:i/>
                <w:sz w:val="16"/>
                <w:szCs w:val="16"/>
              </w:rPr>
            </w:pPr>
            <w:r w:rsidRPr="00BD3013">
              <w:rPr>
                <w:rFonts w:ascii="Arial" w:hAnsi="Arial" w:cs="Arial"/>
                <w:b/>
                <w:bCs/>
                <w:i/>
                <w:sz w:val="16"/>
                <w:szCs w:val="16"/>
              </w:rPr>
              <w:t>8,2</w:t>
            </w:r>
            <w:r w:rsidR="00B705C4" w:rsidRPr="00BD3013">
              <w:rPr>
                <w:rFonts w:ascii="Arial" w:hAnsi="Arial" w:cs="Arial"/>
                <w:b/>
                <w:bCs/>
                <w:i/>
                <w:sz w:val="16"/>
                <w:szCs w:val="16"/>
              </w:rPr>
              <w:t xml:space="preserve"> (</w:t>
            </w:r>
            <w:r w:rsidRPr="00BD3013">
              <w:rPr>
                <w:rFonts w:ascii="Arial" w:hAnsi="Arial" w:cs="Arial"/>
                <w:b/>
                <w:bCs/>
                <w:i/>
                <w:sz w:val="16"/>
                <w:szCs w:val="16"/>
              </w:rPr>
              <w:t>5,8-11,7)</w:t>
            </w:r>
          </w:p>
        </w:tc>
      </w:tr>
      <w:tr w:rsidR="007D48BC" w:rsidRPr="001F344E">
        <w:trPr>
          <w:trHeight w:val="465"/>
        </w:trPr>
        <w:tc>
          <w:tcPr>
            <w:tcW w:w="1331" w:type="dxa"/>
            <w:vMerge/>
            <w:tcBorders>
              <w:top w:val="single" w:sz="8" w:space="0" w:color="auto"/>
              <w:left w:val="single" w:sz="8" w:space="0" w:color="auto"/>
              <w:bottom w:val="single" w:sz="8" w:space="0" w:color="auto"/>
              <w:right w:val="single" w:sz="4" w:space="0" w:color="auto"/>
            </w:tcBorders>
            <w:vAlign w:val="center"/>
          </w:tcPr>
          <w:p w:rsidR="007D48BC" w:rsidRPr="001F344E" w:rsidRDefault="007D48BC" w:rsidP="00375161">
            <w:pPr>
              <w:rPr>
                <w:rFonts w:ascii="Arial" w:hAnsi="Arial" w:cs="Arial"/>
                <w:b/>
                <w:bCs/>
              </w:rPr>
            </w:pPr>
          </w:p>
        </w:tc>
        <w:tc>
          <w:tcPr>
            <w:tcW w:w="1494" w:type="dxa"/>
            <w:tcBorders>
              <w:top w:val="nil"/>
              <w:left w:val="nil"/>
              <w:bottom w:val="nil"/>
              <w:right w:val="single" w:sz="4" w:space="0" w:color="auto"/>
            </w:tcBorders>
            <w:shd w:val="clear" w:color="000000" w:fill="FFFFFF"/>
            <w:vAlign w:val="center"/>
          </w:tcPr>
          <w:p w:rsidR="007D48BC" w:rsidRPr="001F344E" w:rsidRDefault="007D48BC" w:rsidP="00375161">
            <w:pPr>
              <w:rPr>
                <w:rFonts w:ascii="Arial" w:hAnsi="Arial" w:cs="Arial"/>
                <w:sz w:val="16"/>
                <w:szCs w:val="16"/>
              </w:rPr>
            </w:pPr>
            <w:r w:rsidRPr="001F344E">
              <w:rPr>
                <w:rFonts w:ascii="Arial" w:hAnsi="Arial" w:cs="Arial"/>
                <w:sz w:val="16"/>
                <w:szCs w:val="16"/>
              </w:rPr>
              <w:t>Mediana de duración de la respuesta</w:t>
            </w:r>
            <w:r>
              <w:rPr>
                <w:rFonts w:ascii="Arial" w:hAnsi="Arial" w:cs="Arial"/>
                <w:sz w:val="16"/>
                <w:szCs w:val="16"/>
              </w:rPr>
              <w:t xml:space="preserve"> (meses)</w:t>
            </w:r>
          </w:p>
        </w:tc>
        <w:tc>
          <w:tcPr>
            <w:tcW w:w="1984" w:type="dxa"/>
            <w:tcBorders>
              <w:top w:val="nil"/>
              <w:left w:val="nil"/>
              <w:bottom w:val="nil"/>
              <w:right w:val="single" w:sz="4" w:space="0" w:color="auto"/>
            </w:tcBorders>
            <w:shd w:val="clear" w:color="000000" w:fill="FFFFFF"/>
            <w:vAlign w:val="center"/>
          </w:tcPr>
          <w:p w:rsidR="007D48BC" w:rsidRPr="001F344E" w:rsidRDefault="007D48BC" w:rsidP="00375161">
            <w:pPr>
              <w:jc w:val="center"/>
              <w:rPr>
                <w:rFonts w:ascii="Arial" w:hAnsi="Arial" w:cs="Arial"/>
                <w:sz w:val="16"/>
                <w:szCs w:val="16"/>
              </w:rPr>
            </w:pPr>
            <w:r w:rsidRPr="00E1375D">
              <w:rPr>
                <w:rFonts w:ascii="Arial" w:hAnsi="Arial" w:cs="Arial"/>
                <w:i/>
                <w:iCs/>
                <w:sz w:val="16"/>
                <w:szCs w:val="16"/>
              </w:rPr>
              <w:t>10.9 (5.4-NE)</w:t>
            </w:r>
            <w:r>
              <w:rPr>
                <w:rFonts w:ascii="Arial" w:hAnsi="Arial" w:cs="Arial"/>
                <w:i/>
                <w:iCs/>
                <w:sz w:val="16"/>
                <w:szCs w:val="16"/>
              </w:rPr>
              <w:t xml:space="preserve"> a los 12 meses</w:t>
            </w:r>
          </w:p>
        </w:tc>
        <w:tc>
          <w:tcPr>
            <w:tcW w:w="1985" w:type="dxa"/>
            <w:tcBorders>
              <w:top w:val="nil"/>
              <w:left w:val="nil"/>
              <w:bottom w:val="nil"/>
              <w:right w:val="single" w:sz="4" w:space="0" w:color="auto"/>
            </w:tcBorders>
            <w:vAlign w:val="center"/>
          </w:tcPr>
          <w:p w:rsidR="007D48BC" w:rsidRPr="001F344E" w:rsidRDefault="007D48BC" w:rsidP="00375161">
            <w:pPr>
              <w:jc w:val="center"/>
              <w:rPr>
                <w:rFonts w:ascii="Arial" w:hAnsi="Arial" w:cs="Arial"/>
                <w:sz w:val="16"/>
                <w:szCs w:val="16"/>
              </w:rPr>
            </w:pPr>
            <w:r w:rsidRPr="00E1375D">
              <w:rPr>
                <w:rFonts w:ascii="Arial" w:hAnsi="Arial" w:cs="Arial"/>
                <w:i/>
                <w:iCs/>
                <w:sz w:val="16"/>
                <w:szCs w:val="16"/>
              </w:rPr>
              <w:t>NE (11.1-NE)</w:t>
            </w:r>
            <w:r>
              <w:rPr>
                <w:rFonts w:ascii="Arial" w:hAnsi="Arial" w:cs="Arial"/>
                <w:i/>
                <w:iCs/>
                <w:sz w:val="16"/>
                <w:szCs w:val="16"/>
              </w:rPr>
              <w:t xml:space="preserve"> </w:t>
            </w:r>
            <w:r w:rsidRPr="00A320FB">
              <w:rPr>
                <w:rFonts w:ascii="Arial" w:hAnsi="Arial" w:cs="Arial"/>
                <w:i/>
                <w:iCs/>
                <w:sz w:val="16"/>
                <w:szCs w:val="16"/>
              </w:rPr>
              <w:t>a los 12 meses</w:t>
            </w:r>
          </w:p>
        </w:tc>
        <w:tc>
          <w:tcPr>
            <w:tcW w:w="1985" w:type="dxa"/>
            <w:tcBorders>
              <w:top w:val="nil"/>
              <w:left w:val="nil"/>
              <w:bottom w:val="nil"/>
              <w:right w:val="single" w:sz="8" w:space="0" w:color="auto"/>
            </w:tcBorders>
            <w:vAlign w:val="center"/>
          </w:tcPr>
          <w:p w:rsidR="007D48BC" w:rsidRPr="00BD3013" w:rsidRDefault="00B705C4" w:rsidP="006F4F2B">
            <w:pPr>
              <w:jc w:val="center"/>
              <w:rPr>
                <w:rFonts w:ascii="Arial" w:hAnsi="Arial" w:cs="Arial"/>
                <w:i/>
                <w:sz w:val="16"/>
                <w:szCs w:val="16"/>
              </w:rPr>
            </w:pPr>
            <w:r w:rsidRPr="00BD3013">
              <w:rPr>
                <w:rFonts w:ascii="Arial" w:hAnsi="Arial" w:cs="Arial"/>
                <w:i/>
                <w:sz w:val="16"/>
                <w:szCs w:val="16"/>
              </w:rPr>
              <w:t>NE (10,0 – NE)</w:t>
            </w:r>
          </w:p>
        </w:tc>
      </w:tr>
      <w:tr w:rsidR="007D48BC" w:rsidRPr="006D19F1">
        <w:trPr>
          <w:trHeight w:val="156"/>
        </w:trPr>
        <w:tc>
          <w:tcPr>
            <w:tcW w:w="8779" w:type="dxa"/>
            <w:gridSpan w:val="5"/>
            <w:tcBorders>
              <w:top w:val="single" w:sz="8" w:space="0" w:color="auto"/>
              <w:left w:val="single" w:sz="8" w:space="0" w:color="auto"/>
              <w:bottom w:val="single" w:sz="8" w:space="0" w:color="000000"/>
              <w:right w:val="single" w:sz="8" w:space="0" w:color="auto"/>
            </w:tcBorders>
            <w:shd w:val="clear" w:color="auto" w:fill="E7E6E6"/>
            <w:vAlign w:val="center"/>
          </w:tcPr>
          <w:p w:rsidR="007D48BC" w:rsidRPr="00575A85" w:rsidRDefault="007D48BC" w:rsidP="00375161">
            <w:pPr>
              <w:rPr>
                <w:rFonts w:ascii="Arial" w:hAnsi="Arial" w:cs="Arial"/>
                <w:i/>
                <w:iCs/>
                <w:sz w:val="16"/>
                <w:szCs w:val="16"/>
                <w:lang w:val="pt-BR"/>
              </w:rPr>
            </w:pPr>
            <w:r w:rsidRPr="00575A85">
              <w:rPr>
                <w:rFonts w:ascii="Arial" w:hAnsi="Arial" w:cs="Arial"/>
                <w:i/>
                <w:iCs/>
                <w:sz w:val="16"/>
                <w:szCs w:val="16"/>
                <w:lang w:val="pt-BR"/>
              </w:rPr>
              <w:t>NA: No alcanzado; N/E: No especificado.</w:t>
            </w:r>
          </w:p>
        </w:tc>
      </w:tr>
      <w:tr w:rsidR="007D48BC" w:rsidRPr="001F344E">
        <w:trPr>
          <w:gridAfter w:val="1"/>
          <w:wAfter w:w="1985" w:type="dxa"/>
          <w:trHeight w:val="255"/>
        </w:trPr>
        <w:tc>
          <w:tcPr>
            <w:tcW w:w="2825" w:type="dxa"/>
            <w:gridSpan w:val="2"/>
            <w:vMerge w:val="restart"/>
            <w:tcBorders>
              <w:top w:val="single" w:sz="8" w:space="0" w:color="auto"/>
              <w:left w:val="single" w:sz="8" w:space="0" w:color="auto"/>
              <w:bottom w:val="single" w:sz="8" w:space="0" w:color="000000"/>
              <w:right w:val="single" w:sz="4" w:space="0" w:color="000000"/>
            </w:tcBorders>
            <w:shd w:val="clear" w:color="auto" w:fill="B6DDE8"/>
            <w:vAlign w:val="bottom"/>
          </w:tcPr>
          <w:p w:rsidR="007D48BC" w:rsidRPr="00575A85" w:rsidRDefault="007D48BC" w:rsidP="00375161">
            <w:pPr>
              <w:jc w:val="center"/>
              <w:rPr>
                <w:rFonts w:ascii="Arial" w:hAnsi="Arial" w:cs="Arial"/>
                <w:lang w:val="pt-BR"/>
              </w:rPr>
            </w:pPr>
            <w:r w:rsidRPr="00575A85">
              <w:rPr>
                <w:rFonts w:ascii="Arial" w:hAnsi="Arial" w:cs="Arial"/>
                <w:lang w:val="pt-BR"/>
              </w:rPr>
              <w:t> </w:t>
            </w:r>
          </w:p>
        </w:tc>
        <w:tc>
          <w:tcPr>
            <w:tcW w:w="1984" w:type="dxa"/>
            <w:tcBorders>
              <w:top w:val="single" w:sz="8" w:space="0" w:color="auto"/>
              <w:left w:val="nil"/>
              <w:bottom w:val="nil"/>
              <w:right w:val="single" w:sz="4" w:space="0" w:color="auto"/>
            </w:tcBorders>
            <w:shd w:val="clear" w:color="auto" w:fill="B6DDE8"/>
            <w:vAlign w:val="center"/>
          </w:tcPr>
          <w:p w:rsidR="007D48BC" w:rsidRPr="001F344E" w:rsidRDefault="007D48BC" w:rsidP="00375161">
            <w:pPr>
              <w:ind w:left="708" w:hanging="708"/>
              <w:jc w:val="center"/>
              <w:rPr>
                <w:rFonts w:ascii="Arial" w:hAnsi="Arial" w:cs="Arial"/>
                <w:b/>
                <w:bCs/>
                <w:sz w:val="18"/>
                <w:szCs w:val="18"/>
              </w:rPr>
            </w:pPr>
            <w:r>
              <w:rPr>
                <w:rFonts w:ascii="Arial" w:hAnsi="Arial" w:cs="Arial"/>
                <w:b/>
                <w:bCs/>
                <w:sz w:val="18"/>
                <w:szCs w:val="18"/>
              </w:rPr>
              <w:t>Pixantrona</w:t>
            </w:r>
          </w:p>
        </w:tc>
        <w:tc>
          <w:tcPr>
            <w:tcW w:w="1985" w:type="dxa"/>
            <w:tcBorders>
              <w:top w:val="single" w:sz="8" w:space="0" w:color="auto"/>
              <w:left w:val="nil"/>
              <w:bottom w:val="nil"/>
              <w:right w:val="single" w:sz="8" w:space="0" w:color="auto"/>
            </w:tcBorders>
            <w:shd w:val="clear" w:color="auto" w:fill="B6DDE8"/>
            <w:vAlign w:val="center"/>
          </w:tcPr>
          <w:p w:rsidR="007D48BC" w:rsidRPr="001F344E" w:rsidRDefault="007D48BC" w:rsidP="00375161">
            <w:pPr>
              <w:ind w:left="708" w:hanging="708"/>
              <w:jc w:val="center"/>
              <w:rPr>
                <w:rFonts w:ascii="Arial" w:hAnsi="Arial" w:cs="Arial"/>
                <w:b/>
                <w:bCs/>
                <w:sz w:val="18"/>
                <w:szCs w:val="18"/>
              </w:rPr>
            </w:pPr>
            <w:r>
              <w:rPr>
                <w:rFonts w:ascii="Arial" w:hAnsi="Arial" w:cs="Arial"/>
                <w:b/>
                <w:bCs/>
                <w:sz w:val="18"/>
                <w:szCs w:val="18"/>
              </w:rPr>
              <w:t>R-GEMOX</w:t>
            </w:r>
          </w:p>
        </w:tc>
      </w:tr>
      <w:tr w:rsidR="007D48BC" w:rsidRPr="001F344E">
        <w:trPr>
          <w:gridAfter w:val="1"/>
          <w:wAfter w:w="1985" w:type="dxa"/>
          <w:trHeight w:val="795"/>
        </w:trPr>
        <w:tc>
          <w:tcPr>
            <w:tcW w:w="2825" w:type="dxa"/>
            <w:gridSpan w:val="2"/>
            <w:vMerge/>
            <w:tcBorders>
              <w:top w:val="single" w:sz="8" w:space="0" w:color="auto"/>
              <w:left w:val="single" w:sz="8" w:space="0" w:color="auto"/>
              <w:bottom w:val="single" w:sz="8" w:space="0" w:color="000000"/>
              <w:right w:val="single" w:sz="4" w:space="0" w:color="000000"/>
            </w:tcBorders>
            <w:shd w:val="clear" w:color="auto" w:fill="B6DDE8"/>
            <w:vAlign w:val="center"/>
          </w:tcPr>
          <w:p w:rsidR="007D48BC" w:rsidRPr="001F344E" w:rsidRDefault="007D48BC" w:rsidP="00375161">
            <w:pPr>
              <w:rPr>
                <w:rFonts w:ascii="Arial" w:hAnsi="Arial" w:cs="Arial"/>
              </w:rPr>
            </w:pPr>
          </w:p>
        </w:tc>
        <w:tc>
          <w:tcPr>
            <w:tcW w:w="1984" w:type="dxa"/>
            <w:tcBorders>
              <w:top w:val="nil"/>
              <w:left w:val="nil"/>
              <w:bottom w:val="single" w:sz="8" w:space="0" w:color="auto"/>
              <w:right w:val="single" w:sz="4" w:space="0" w:color="auto"/>
            </w:tcBorders>
            <w:shd w:val="clear" w:color="auto" w:fill="B6DDE8"/>
            <w:vAlign w:val="center"/>
          </w:tcPr>
          <w:p w:rsidR="007D48BC" w:rsidRPr="001F344E" w:rsidRDefault="007D48BC" w:rsidP="00375161">
            <w:pPr>
              <w:jc w:val="center"/>
              <w:rPr>
                <w:rFonts w:ascii="Arial" w:hAnsi="Arial" w:cs="Arial"/>
                <w:sz w:val="18"/>
                <w:szCs w:val="18"/>
              </w:rPr>
            </w:pPr>
            <w:r w:rsidRPr="001F344E">
              <w:rPr>
                <w:rFonts w:ascii="Arial" w:hAnsi="Arial" w:cs="Arial"/>
                <w:sz w:val="18"/>
                <w:szCs w:val="18"/>
              </w:rPr>
              <w:t>Vial 2</w:t>
            </w:r>
            <w:r>
              <w:rPr>
                <w:rFonts w:ascii="Arial" w:hAnsi="Arial" w:cs="Arial"/>
                <w:sz w:val="18"/>
                <w:szCs w:val="18"/>
              </w:rPr>
              <w:t>9</w:t>
            </w:r>
            <w:r w:rsidRPr="001F344E">
              <w:rPr>
                <w:rFonts w:ascii="Arial" w:hAnsi="Arial" w:cs="Arial"/>
                <w:sz w:val="18"/>
                <w:szCs w:val="18"/>
              </w:rPr>
              <w:t xml:space="preserve"> mg</w:t>
            </w:r>
          </w:p>
        </w:tc>
        <w:tc>
          <w:tcPr>
            <w:tcW w:w="1985" w:type="dxa"/>
            <w:tcBorders>
              <w:top w:val="nil"/>
              <w:left w:val="nil"/>
              <w:bottom w:val="nil"/>
              <w:right w:val="single" w:sz="8" w:space="0" w:color="auto"/>
            </w:tcBorders>
            <w:shd w:val="clear" w:color="auto" w:fill="B6DDE8"/>
            <w:vAlign w:val="center"/>
          </w:tcPr>
          <w:p w:rsidR="007D48BC" w:rsidRDefault="007D48BC" w:rsidP="00375161">
            <w:pPr>
              <w:rPr>
                <w:rFonts w:ascii="Arial" w:hAnsi="Arial" w:cs="Arial"/>
                <w:sz w:val="16"/>
                <w:szCs w:val="16"/>
              </w:rPr>
            </w:pPr>
            <w:r>
              <w:rPr>
                <w:rFonts w:ascii="Arial" w:hAnsi="Arial" w:cs="Arial"/>
                <w:sz w:val="16"/>
                <w:szCs w:val="16"/>
              </w:rPr>
              <w:t>Rituximab 500 mg vial</w:t>
            </w:r>
          </w:p>
          <w:p w:rsidR="007D48BC" w:rsidRDefault="007D48BC" w:rsidP="00375161">
            <w:pPr>
              <w:jc w:val="center"/>
              <w:rPr>
                <w:rFonts w:ascii="Arial" w:hAnsi="Arial" w:cs="Arial"/>
                <w:sz w:val="16"/>
                <w:szCs w:val="16"/>
              </w:rPr>
            </w:pPr>
            <w:r>
              <w:rPr>
                <w:rFonts w:ascii="Arial" w:hAnsi="Arial" w:cs="Arial"/>
                <w:sz w:val="16"/>
                <w:szCs w:val="16"/>
              </w:rPr>
              <w:t>Gemcitabina 500 mg vial</w:t>
            </w:r>
          </w:p>
          <w:p w:rsidR="007D48BC" w:rsidRPr="001F344E" w:rsidRDefault="007D48BC" w:rsidP="00375161">
            <w:pPr>
              <w:jc w:val="center"/>
              <w:rPr>
                <w:rFonts w:ascii="Arial" w:hAnsi="Arial" w:cs="Arial"/>
                <w:sz w:val="18"/>
                <w:szCs w:val="18"/>
              </w:rPr>
            </w:pPr>
            <w:r>
              <w:rPr>
                <w:rFonts w:ascii="Arial" w:hAnsi="Arial" w:cs="Arial"/>
                <w:sz w:val="16"/>
                <w:szCs w:val="16"/>
              </w:rPr>
              <w:t>Oxaliplatino 100 mg.vial</w:t>
            </w:r>
          </w:p>
        </w:tc>
      </w:tr>
      <w:tr w:rsidR="007D48BC" w:rsidRPr="001F344E">
        <w:trPr>
          <w:gridAfter w:val="1"/>
          <w:wAfter w:w="1985" w:type="dxa"/>
          <w:trHeight w:val="255"/>
        </w:trPr>
        <w:tc>
          <w:tcPr>
            <w:tcW w:w="1331" w:type="dxa"/>
            <w:vMerge w:val="restart"/>
            <w:tcBorders>
              <w:top w:val="nil"/>
              <w:left w:val="single" w:sz="8" w:space="0" w:color="auto"/>
              <w:bottom w:val="single" w:sz="4" w:space="0" w:color="auto"/>
              <w:right w:val="single" w:sz="4" w:space="0" w:color="auto"/>
            </w:tcBorders>
            <w:vAlign w:val="center"/>
          </w:tcPr>
          <w:p w:rsidR="007D48BC" w:rsidRPr="001F344E" w:rsidRDefault="007D48BC" w:rsidP="00375161">
            <w:pPr>
              <w:jc w:val="center"/>
              <w:rPr>
                <w:rFonts w:ascii="Arial" w:hAnsi="Arial" w:cs="Arial"/>
                <w:b/>
                <w:bCs/>
              </w:rPr>
            </w:pPr>
            <w:r w:rsidRPr="001F344E">
              <w:rPr>
                <w:rFonts w:ascii="Arial" w:hAnsi="Arial" w:cs="Arial"/>
                <w:b/>
                <w:bCs/>
              </w:rPr>
              <w:t>Datos Económicos</w:t>
            </w:r>
          </w:p>
        </w:tc>
        <w:tc>
          <w:tcPr>
            <w:tcW w:w="1494" w:type="dxa"/>
            <w:tcBorders>
              <w:top w:val="nil"/>
              <w:left w:val="nil"/>
              <w:bottom w:val="single" w:sz="4" w:space="0" w:color="auto"/>
              <w:right w:val="single" w:sz="4" w:space="0" w:color="auto"/>
            </w:tcBorders>
            <w:shd w:val="clear" w:color="000000" w:fill="FFFFFF"/>
            <w:vAlign w:val="center"/>
          </w:tcPr>
          <w:p w:rsidR="007D48BC" w:rsidRPr="001F344E" w:rsidRDefault="007D48BC" w:rsidP="00375161">
            <w:pPr>
              <w:rPr>
                <w:rFonts w:ascii="Arial" w:hAnsi="Arial" w:cs="Arial"/>
                <w:b/>
                <w:bCs/>
                <w:sz w:val="16"/>
                <w:szCs w:val="16"/>
              </w:rPr>
            </w:pPr>
            <w:r w:rsidRPr="001F344E">
              <w:rPr>
                <w:rFonts w:ascii="Arial" w:hAnsi="Arial" w:cs="Arial"/>
                <w:b/>
                <w:bCs/>
                <w:sz w:val="16"/>
                <w:szCs w:val="16"/>
              </w:rPr>
              <w:t>Precio unitario (PVL+IVA)</w:t>
            </w:r>
          </w:p>
        </w:tc>
        <w:tc>
          <w:tcPr>
            <w:tcW w:w="1984" w:type="dxa"/>
            <w:tcBorders>
              <w:top w:val="nil"/>
              <w:left w:val="nil"/>
              <w:bottom w:val="single" w:sz="4" w:space="0" w:color="auto"/>
              <w:right w:val="single" w:sz="4" w:space="0" w:color="auto"/>
            </w:tcBorders>
            <w:shd w:val="clear" w:color="000000" w:fill="FFFFFF"/>
            <w:vAlign w:val="center"/>
          </w:tcPr>
          <w:p w:rsidR="007D48BC" w:rsidRPr="001F344E" w:rsidRDefault="007D48BC" w:rsidP="00375161">
            <w:pPr>
              <w:jc w:val="center"/>
              <w:rPr>
                <w:rFonts w:ascii="Arial" w:hAnsi="Arial" w:cs="Arial"/>
                <w:b/>
                <w:bCs/>
                <w:sz w:val="16"/>
                <w:szCs w:val="16"/>
              </w:rPr>
            </w:pPr>
            <w:r>
              <w:rPr>
                <w:rFonts w:ascii="Arial" w:hAnsi="Arial" w:cs="Arial"/>
                <w:b/>
                <w:bCs/>
                <w:sz w:val="16"/>
                <w:szCs w:val="16"/>
              </w:rPr>
              <w:t xml:space="preserve">679,17 </w:t>
            </w:r>
            <w:r w:rsidRPr="001F344E">
              <w:rPr>
                <w:rFonts w:ascii="Arial" w:hAnsi="Arial" w:cs="Arial"/>
                <w:b/>
                <w:bCs/>
                <w:sz w:val="16"/>
                <w:szCs w:val="16"/>
              </w:rPr>
              <w:t>€</w:t>
            </w:r>
          </w:p>
        </w:tc>
        <w:tc>
          <w:tcPr>
            <w:tcW w:w="1985" w:type="dxa"/>
            <w:tcBorders>
              <w:top w:val="single" w:sz="8" w:space="0" w:color="auto"/>
              <w:left w:val="nil"/>
              <w:bottom w:val="single" w:sz="4" w:space="0" w:color="auto"/>
              <w:right w:val="single" w:sz="8" w:space="0" w:color="auto"/>
            </w:tcBorders>
            <w:shd w:val="clear" w:color="000000" w:fill="FFFFFF"/>
            <w:vAlign w:val="center"/>
          </w:tcPr>
          <w:p w:rsidR="007D48BC" w:rsidRPr="001F344E" w:rsidRDefault="007D48BC" w:rsidP="00375161">
            <w:pPr>
              <w:jc w:val="center"/>
              <w:rPr>
                <w:rFonts w:ascii="Arial" w:hAnsi="Arial" w:cs="Arial"/>
                <w:b/>
                <w:bCs/>
                <w:sz w:val="16"/>
                <w:szCs w:val="16"/>
              </w:rPr>
            </w:pPr>
            <w:r>
              <w:rPr>
                <w:rFonts w:ascii="Arial" w:hAnsi="Arial" w:cs="Arial"/>
                <w:b/>
                <w:bCs/>
                <w:sz w:val="16"/>
                <w:szCs w:val="16"/>
              </w:rPr>
              <w:t>*</w:t>
            </w:r>
          </w:p>
        </w:tc>
      </w:tr>
      <w:tr w:rsidR="007D48BC" w:rsidRPr="001F344E">
        <w:trPr>
          <w:gridAfter w:val="1"/>
          <w:wAfter w:w="1985" w:type="dxa"/>
          <w:trHeight w:val="255"/>
        </w:trPr>
        <w:tc>
          <w:tcPr>
            <w:tcW w:w="1331" w:type="dxa"/>
            <w:vMerge/>
            <w:tcBorders>
              <w:top w:val="nil"/>
              <w:left w:val="single" w:sz="8" w:space="0" w:color="auto"/>
              <w:bottom w:val="single" w:sz="4" w:space="0" w:color="auto"/>
              <w:right w:val="single" w:sz="4" w:space="0" w:color="auto"/>
            </w:tcBorders>
            <w:vAlign w:val="center"/>
          </w:tcPr>
          <w:p w:rsidR="007D48BC" w:rsidRPr="001F344E" w:rsidRDefault="007D48BC" w:rsidP="00375161">
            <w:pPr>
              <w:rPr>
                <w:rFonts w:ascii="Arial" w:hAnsi="Arial" w:cs="Arial"/>
                <w:b/>
                <w:bCs/>
              </w:rPr>
            </w:pPr>
          </w:p>
        </w:tc>
        <w:tc>
          <w:tcPr>
            <w:tcW w:w="1494" w:type="dxa"/>
            <w:tcBorders>
              <w:top w:val="nil"/>
              <w:left w:val="nil"/>
              <w:bottom w:val="single" w:sz="4" w:space="0" w:color="auto"/>
              <w:right w:val="single" w:sz="4" w:space="0" w:color="auto"/>
            </w:tcBorders>
            <w:shd w:val="clear" w:color="000000" w:fill="FFFFFF"/>
            <w:vAlign w:val="center"/>
          </w:tcPr>
          <w:p w:rsidR="007D48BC" w:rsidRPr="001F344E" w:rsidRDefault="007D48BC" w:rsidP="00375161">
            <w:pPr>
              <w:rPr>
                <w:rFonts w:ascii="Arial" w:hAnsi="Arial" w:cs="Arial"/>
                <w:sz w:val="16"/>
                <w:szCs w:val="16"/>
              </w:rPr>
            </w:pPr>
            <w:r w:rsidRPr="001F344E">
              <w:rPr>
                <w:rFonts w:ascii="Arial" w:hAnsi="Arial" w:cs="Arial"/>
                <w:sz w:val="16"/>
                <w:szCs w:val="16"/>
              </w:rPr>
              <w:t>Coste tratamiento completo</w:t>
            </w:r>
          </w:p>
        </w:tc>
        <w:tc>
          <w:tcPr>
            <w:tcW w:w="1984" w:type="dxa"/>
            <w:tcBorders>
              <w:top w:val="nil"/>
              <w:left w:val="nil"/>
              <w:bottom w:val="single" w:sz="4" w:space="0" w:color="auto"/>
              <w:right w:val="single" w:sz="4" w:space="0" w:color="auto"/>
            </w:tcBorders>
            <w:shd w:val="clear" w:color="000000" w:fill="FFFFFF"/>
            <w:vAlign w:val="center"/>
          </w:tcPr>
          <w:p w:rsidR="007D48BC" w:rsidRPr="001F344E" w:rsidRDefault="007D48BC" w:rsidP="00375161">
            <w:pPr>
              <w:jc w:val="center"/>
              <w:rPr>
                <w:rFonts w:ascii="Arial" w:hAnsi="Arial" w:cs="Arial"/>
                <w:sz w:val="16"/>
                <w:szCs w:val="16"/>
              </w:rPr>
            </w:pPr>
            <w:r>
              <w:rPr>
                <w:rFonts w:ascii="Arial" w:hAnsi="Arial" w:cs="Arial"/>
                <w:sz w:val="16"/>
                <w:szCs w:val="16"/>
              </w:rPr>
              <w:t xml:space="preserve">36.456 </w:t>
            </w:r>
            <w:r w:rsidRPr="001F344E">
              <w:rPr>
                <w:rFonts w:ascii="Arial" w:hAnsi="Arial" w:cs="Arial"/>
                <w:sz w:val="16"/>
                <w:szCs w:val="16"/>
              </w:rPr>
              <w:t xml:space="preserve"> €</w:t>
            </w:r>
          </w:p>
        </w:tc>
        <w:tc>
          <w:tcPr>
            <w:tcW w:w="1985" w:type="dxa"/>
            <w:tcBorders>
              <w:top w:val="nil"/>
              <w:left w:val="nil"/>
              <w:bottom w:val="single" w:sz="4" w:space="0" w:color="auto"/>
              <w:right w:val="single" w:sz="8" w:space="0" w:color="auto"/>
            </w:tcBorders>
            <w:shd w:val="clear" w:color="000000" w:fill="FFFFFF"/>
            <w:vAlign w:val="center"/>
          </w:tcPr>
          <w:p w:rsidR="007D48BC" w:rsidRPr="001F344E" w:rsidRDefault="007D48BC" w:rsidP="00375161">
            <w:pPr>
              <w:jc w:val="center"/>
              <w:rPr>
                <w:rFonts w:ascii="Arial" w:hAnsi="Arial" w:cs="Arial"/>
                <w:sz w:val="16"/>
                <w:szCs w:val="16"/>
              </w:rPr>
            </w:pPr>
            <w:r>
              <w:rPr>
                <w:rFonts w:ascii="Arial" w:hAnsi="Arial" w:cs="Arial"/>
                <w:sz w:val="16"/>
                <w:szCs w:val="16"/>
              </w:rPr>
              <w:t>8.478-11.304</w:t>
            </w:r>
            <w:r w:rsidRPr="001F344E">
              <w:rPr>
                <w:rFonts w:ascii="Arial" w:hAnsi="Arial" w:cs="Arial"/>
                <w:sz w:val="16"/>
                <w:szCs w:val="16"/>
              </w:rPr>
              <w:t xml:space="preserve"> €</w:t>
            </w:r>
          </w:p>
        </w:tc>
      </w:tr>
      <w:tr w:rsidR="007D48BC" w:rsidRPr="001F344E">
        <w:trPr>
          <w:gridAfter w:val="1"/>
          <w:wAfter w:w="1985" w:type="dxa"/>
          <w:trHeight w:val="255"/>
        </w:trPr>
        <w:tc>
          <w:tcPr>
            <w:tcW w:w="1331" w:type="dxa"/>
            <w:vMerge/>
            <w:tcBorders>
              <w:top w:val="nil"/>
              <w:left w:val="single" w:sz="8" w:space="0" w:color="auto"/>
              <w:bottom w:val="single" w:sz="4" w:space="0" w:color="auto"/>
              <w:right w:val="single" w:sz="4" w:space="0" w:color="auto"/>
            </w:tcBorders>
            <w:vAlign w:val="center"/>
          </w:tcPr>
          <w:p w:rsidR="007D48BC" w:rsidRPr="001F344E" w:rsidRDefault="007D48BC" w:rsidP="00375161">
            <w:pPr>
              <w:rPr>
                <w:rFonts w:ascii="Arial" w:hAnsi="Arial" w:cs="Arial"/>
                <w:b/>
                <w:bCs/>
              </w:rPr>
            </w:pPr>
          </w:p>
        </w:tc>
        <w:tc>
          <w:tcPr>
            <w:tcW w:w="1494" w:type="dxa"/>
            <w:tcBorders>
              <w:top w:val="nil"/>
              <w:left w:val="nil"/>
              <w:bottom w:val="single" w:sz="4" w:space="0" w:color="auto"/>
              <w:right w:val="single" w:sz="4" w:space="0" w:color="auto"/>
            </w:tcBorders>
            <w:shd w:val="clear" w:color="000000" w:fill="FFFFFF"/>
            <w:vAlign w:val="center"/>
          </w:tcPr>
          <w:p w:rsidR="007D48BC" w:rsidRPr="001F344E" w:rsidRDefault="007D48BC" w:rsidP="00375161">
            <w:pPr>
              <w:rPr>
                <w:rFonts w:ascii="Arial" w:hAnsi="Arial" w:cs="Arial"/>
                <w:b/>
                <w:bCs/>
                <w:sz w:val="16"/>
                <w:szCs w:val="16"/>
              </w:rPr>
            </w:pPr>
            <w:r w:rsidRPr="001F344E">
              <w:rPr>
                <w:rFonts w:ascii="Arial" w:hAnsi="Arial" w:cs="Arial"/>
                <w:b/>
                <w:bCs/>
                <w:sz w:val="16"/>
                <w:szCs w:val="16"/>
              </w:rPr>
              <w:t xml:space="preserve">Costes directos asociados </w:t>
            </w:r>
          </w:p>
        </w:tc>
        <w:tc>
          <w:tcPr>
            <w:tcW w:w="1984" w:type="dxa"/>
            <w:tcBorders>
              <w:top w:val="nil"/>
              <w:left w:val="nil"/>
              <w:bottom w:val="single" w:sz="4" w:space="0" w:color="auto"/>
              <w:right w:val="single" w:sz="4" w:space="0" w:color="auto"/>
            </w:tcBorders>
            <w:shd w:val="clear" w:color="000000" w:fill="FFFFFF"/>
            <w:vAlign w:val="center"/>
          </w:tcPr>
          <w:p w:rsidR="007D48BC" w:rsidRPr="001F344E" w:rsidRDefault="007D48BC" w:rsidP="00375161">
            <w:pPr>
              <w:jc w:val="center"/>
              <w:rPr>
                <w:rFonts w:ascii="Arial" w:hAnsi="Arial" w:cs="Arial"/>
                <w:sz w:val="16"/>
                <w:szCs w:val="16"/>
              </w:rPr>
            </w:pPr>
            <w:r>
              <w:rPr>
                <w:rFonts w:ascii="Arial" w:hAnsi="Arial" w:cs="Arial"/>
                <w:sz w:val="16"/>
                <w:szCs w:val="16"/>
              </w:rPr>
              <w:t xml:space="preserve">4.829 </w:t>
            </w:r>
            <w:r w:rsidRPr="001F344E">
              <w:rPr>
                <w:rFonts w:ascii="Arial" w:hAnsi="Arial" w:cs="Arial"/>
                <w:sz w:val="16"/>
                <w:szCs w:val="16"/>
              </w:rPr>
              <w:t>€</w:t>
            </w:r>
          </w:p>
        </w:tc>
        <w:tc>
          <w:tcPr>
            <w:tcW w:w="1985" w:type="dxa"/>
            <w:tcBorders>
              <w:top w:val="nil"/>
              <w:left w:val="nil"/>
              <w:bottom w:val="single" w:sz="4" w:space="0" w:color="auto"/>
              <w:right w:val="single" w:sz="8" w:space="0" w:color="auto"/>
            </w:tcBorders>
            <w:shd w:val="clear" w:color="000000" w:fill="FFFFFF"/>
            <w:vAlign w:val="center"/>
          </w:tcPr>
          <w:p w:rsidR="007D48BC" w:rsidRPr="001F344E" w:rsidRDefault="007D48BC" w:rsidP="00375161">
            <w:pPr>
              <w:jc w:val="center"/>
              <w:rPr>
                <w:rFonts w:ascii="Arial" w:hAnsi="Arial" w:cs="Arial"/>
                <w:sz w:val="16"/>
                <w:szCs w:val="16"/>
              </w:rPr>
            </w:pPr>
            <w:r>
              <w:rPr>
                <w:rFonts w:ascii="Arial" w:hAnsi="Arial" w:cs="Arial"/>
                <w:sz w:val="16"/>
                <w:szCs w:val="16"/>
              </w:rPr>
              <w:t>3.214 - 4285</w:t>
            </w:r>
            <w:r w:rsidRPr="001F344E">
              <w:rPr>
                <w:rFonts w:ascii="Arial" w:hAnsi="Arial" w:cs="Arial"/>
                <w:sz w:val="16"/>
                <w:szCs w:val="16"/>
              </w:rPr>
              <w:t xml:space="preserve"> €</w:t>
            </w:r>
          </w:p>
        </w:tc>
      </w:tr>
      <w:tr w:rsidR="007D48BC" w:rsidRPr="00332D68">
        <w:trPr>
          <w:gridAfter w:val="1"/>
          <w:wAfter w:w="1985" w:type="dxa"/>
          <w:trHeight w:val="270"/>
        </w:trPr>
        <w:tc>
          <w:tcPr>
            <w:tcW w:w="1331" w:type="dxa"/>
            <w:vMerge/>
            <w:tcBorders>
              <w:top w:val="nil"/>
              <w:left w:val="single" w:sz="8" w:space="0" w:color="auto"/>
              <w:bottom w:val="single" w:sz="4" w:space="0" w:color="auto"/>
              <w:right w:val="single" w:sz="4" w:space="0" w:color="auto"/>
            </w:tcBorders>
            <w:vAlign w:val="center"/>
          </w:tcPr>
          <w:p w:rsidR="007D48BC" w:rsidRPr="001F344E" w:rsidRDefault="007D48BC" w:rsidP="00375161">
            <w:pPr>
              <w:rPr>
                <w:rFonts w:ascii="Arial" w:hAnsi="Arial" w:cs="Arial"/>
                <w:b/>
                <w:bCs/>
              </w:rPr>
            </w:pPr>
          </w:p>
        </w:tc>
        <w:tc>
          <w:tcPr>
            <w:tcW w:w="1494" w:type="dxa"/>
            <w:tcBorders>
              <w:top w:val="nil"/>
              <w:left w:val="nil"/>
              <w:bottom w:val="nil"/>
              <w:right w:val="single" w:sz="4" w:space="0" w:color="auto"/>
            </w:tcBorders>
            <w:shd w:val="clear" w:color="000000" w:fill="D9D9D9"/>
            <w:vAlign w:val="center"/>
          </w:tcPr>
          <w:p w:rsidR="007D48BC" w:rsidRPr="001F344E" w:rsidRDefault="007D48BC" w:rsidP="00375161">
            <w:pPr>
              <w:rPr>
                <w:rFonts w:ascii="Arial" w:hAnsi="Arial" w:cs="Arial"/>
                <w:b/>
                <w:bCs/>
                <w:sz w:val="16"/>
                <w:szCs w:val="16"/>
              </w:rPr>
            </w:pPr>
            <w:r w:rsidRPr="001F344E">
              <w:rPr>
                <w:rFonts w:ascii="Arial" w:hAnsi="Arial" w:cs="Arial"/>
                <w:b/>
                <w:bCs/>
                <w:sz w:val="16"/>
                <w:szCs w:val="16"/>
              </w:rPr>
              <w:t>Coste global del tratamiento</w:t>
            </w:r>
          </w:p>
        </w:tc>
        <w:tc>
          <w:tcPr>
            <w:tcW w:w="1984" w:type="dxa"/>
            <w:tcBorders>
              <w:top w:val="nil"/>
              <w:left w:val="nil"/>
              <w:bottom w:val="nil"/>
              <w:right w:val="single" w:sz="4" w:space="0" w:color="auto"/>
            </w:tcBorders>
            <w:shd w:val="clear" w:color="000000" w:fill="D9D9D9"/>
            <w:vAlign w:val="center"/>
          </w:tcPr>
          <w:p w:rsidR="007D48BC" w:rsidRPr="00332D68" w:rsidRDefault="007D48BC" w:rsidP="00375161">
            <w:pPr>
              <w:jc w:val="center"/>
              <w:rPr>
                <w:rFonts w:ascii="Arial" w:hAnsi="Arial" w:cs="Arial"/>
                <w:sz w:val="16"/>
                <w:szCs w:val="16"/>
                <w:lang w:val="pt-BR"/>
              </w:rPr>
            </w:pPr>
            <w:r>
              <w:rPr>
                <w:rFonts w:ascii="Arial" w:hAnsi="Arial" w:cs="Arial"/>
                <w:sz w:val="16"/>
                <w:szCs w:val="16"/>
                <w:lang w:val="pt-BR"/>
              </w:rPr>
              <w:t>41.285</w:t>
            </w:r>
            <w:r w:rsidRPr="00332D68">
              <w:rPr>
                <w:rFonts w:ascii="Arial" w:hAnsi="Arial" w:cs="Arial"/>
                <w:sz w:val="16"/>
                <w:szCs w:val="16"/>
                <w:lang w:val="pt-BR"/>
              </w:rPr>
              <w:t xml:space="preserve"> €</w:t>
            </w:r>
          </w:p>
        </w:tc>
        <w:tc>
          <w:tcPr>
            <w:tcW w:w="1985" w:type="dxa"/>
            <w:tcBorders>
              <w:top w:val="nil"/>
              <w:left w:val="nil"/>
              <w:bottom w:val="nil"/>
              <w:right w:val="single" w:sz="8" w:space="0" w:color="auto"/>
            </w:tcBorders>
            <w:shd w:val="clear" w:color="000000" w:fill="D9D9D9"/>
            <w:vAlign w:val="center"/>
          </w:tcPr>
          <w:p w:rsidR="007D48BC" w:rsidRPr="00332D68" w:rsidRDefault="007D48BC" w:rsidP="00375161">
            <w:pPr>
              <w:jc w:val="center"/>
              <w:rPr>
                <w:rFonts w:ascii="Arial" w:hAnsi="Arial" w:cs="Arial"/>
                <w:sz w:val="16"/>
                <w:szCs w:val="16"/>
                <w:lang w:val="pt-BR"/>
              </w:rPr>
            </w:pPr>
            <w:r w:rsidRPr="00332D68">
              <w:rPr>
                <w:rFonts w:ascii="Arial" w:hAnsi="Arial" w:cs="Arial"/>
                <w:sz w:val="16"/>
                <w:szCs w:val="16"/>
                <w:lang w:val="pt-BR"/>
              </w:rPr>
              <w:t>11.692 – 15.590 €</w:t>
            </w:r>
          </w:p>
        </w:tc>
      </w:tr>
      <w:tr w:rsidR="007D48BC" w:rsidRPr="001F344E">
        <w:trPr>
          <w:gridAfter w:val="1"/>
          <w:wAfter w:w="1985" w:type="dxa"/>
          <w:trHeight w:val="255"/>
        </w:trPr>
        <w:tc>
          <w:tcPr>
            <w:tcW w:w="1331" w:type="dxa"/>
            <w:vMerge w:val="restart"/>
            <w:tcBorders>
              <w:top w:val="single" w:sz="8" w:space="0" w:color="auto"/>
              <w:left w:val="single" w:sz="8" w:space="0" w:color="auto"/>
              <w:bottom w:val="single" w:sz="8" w:space="0" w:color="000000"/>
              <w:right w:val="single" w:sz="4" w:space="0" w:color="auto"/>
            </w:tcBorders>
            <w:vAlign w:val="center"/>
          </w:tcPr>
          <w:p w:rsidR="007D48BC" w:rsidRPr="00332D68" w:rsidRDefault="007D48BC" w:rsidP="00375161">
            <w:pPr>
              <w:jc w:val="center"/>
              <w:rPr>
                <w:rFonts w:ascii="Arial" w:hAnsi="Arial" w:cs="Arial"/>
                <w:b/>
                <w:bCs/>
                <w:lang w:val="pt-BR"/>
              </w:rPr>
            </w:pPr>
            <w:r w:rsidRPr="00332D68">
              <w:rPr>
                <w:rFonts w:ascii="Arial" w:hAnsi="Arial" w:cs="Arial"/>
                <w:b/>
                <w:bCs/>
                <w:lang w:val="pt-BR"/>
              </w:rPr>
              <w:t>Datos de eficacia</w:t>
            </w:r>
          </w:p>
        </w:tc>
        <w:tc>
          <w:tcPr>
            <w:tcW w:w="1494" w:type="dxa"/>
            <w:tcBorders>
              <w:top w:val="single" w:sz="8" w:space="0" w:color="auto"/>
              <w:left w:val="nil"/>
              <w:bottom w:val="single" w:sz="4" w:space="0" w:color="auto"/>
              <w:right w:val="single" w:sz="4" w:space="0" w:color="auto"/>
            </w:tcBorders>
            <w:shd w:val="clear" w:color="auto" w:fill="B6DDE8"/>
            <w:vAlign w:val="center"/>
          </w:tcPr>
          <w:p w:rsidR="007D48BC" w:rsidRPr="00332D68" w:rsidRDefault="007D48BC" w:rsidP="00375161">
            <w:pPr>
              <w:rPr>
                <w:rFonts w:ascii="Arial" w:hAnsi="Arial" w:cs="Arial"/>
                <w:b/>
                <w:bCs/>
                <w:sz w:val="16"/>
                <w:szCs w:val="16"/>
                <w:lang w:val="pt-BR"/>
              </w:rPr>
            </w:pPr>
            <w:r w:rsidRPr="00332D68">
              <w:rPr>
                <w:rFonts w:ascii="Arial" w:hAnsi="Arial" w:cs="Arial"/>
                <w:b/>
                <w:bCs/>
                <w:sz w:val="16"/>
                <w:szCs w:val="16"/>
                <w:lang w:val="pt-BR"/>
              </w:rPr>
              <w:t> </w:t>
            </w:r>
          </w:p>
        </w:tc>
        <w:tc>
          <w:tcPr>
            <w:tcW w:w="1984" w:type="dxa"/>
            <w:tcBorders>
              <w:top w:val="single" w:sz="8" w:space="0" w:color="auto"/>
              <w:left w:val="nil"/>
              <w:bottom w:val="single" w:sz="4" w:space="0" w:color="auto"/>
              <w:right w:val="single" w:sz="4" w:space="0" w:color="auto"/>
            </w:tcBorders>
            <w:shd w:val="clear" w:color="auto" w:fill="B6DDE8"/>
            <w:vAlign w:val="center"/>
          </w:tcPr>
          <w:p w:rsidR="007D48BC" w:rsidRPr="00332D68" w:rsidRDefault="007D48BC" w:rsidP="00B65EE7">
            <w:pPr>
              <w:jc w:val="center"/>
              <w:rPr>
                <w:rFonts w:ascii="Arial" w:hAnsi="Arial" w:cs="Arial"/>
                <w:b/>
                <w:bCs/>
                <w:sz w:val="16"/>
                <w:szCs w:val="16"/>
                <w:lang w:val="pt-BR"/>
              </w:rPr>
            </w:pPr>
            <w:r w:rsidRPr="00332D68">
              <w:rPr>
                <w:rFonts w:ascii="Arial" w:hAnsi="Arial" w:cs="Arial"/>
                <w:b/>
                <w:bCs/>
                <w:sz w:val="16"/>
                <w:szCs w:val="16"/>
                <w:lang w:val="pt-BR"/>
              </w:rPr>
              <w:t>Pixantrona (N=</w:t>
            </w:r>
            <w:r w:rsidR="001147CA">
              <w:rPr>
                <w:rFonts w:ascii="Arial" w:hAnsi="Arial" w:cs="Arial"/>
                <w:b/>
                <w:bCs/>
                <w:sz w:val="16"/>
                <w:szCs w:val="16"/>
                <w:lang w:val="pt-BR"/>
              </w:rPr>
              <w:t>70</w:t>
            </w:r>
            <w:r w:rsidRPr="00332D68">
              <w:rPr>
                <w:rFonts w:ascii="Arial" w:hAnsi="Arial" w:cs="Arial"/>
                <w:b/>
                <w:bCs/>
                <w:sz w:val="16"/>
                <w:szCs w:val="16"/>
                <w:lang w:val="pt-BR"/>
              </w:rPr>
              <w:t>)</w:t>
            </w:r>
            <w:r w:rsidRPr="00332D68">
              <w:rPr>
                <w:rFonts w:ascii="Arial" w:hAnsi="Arial" w:cs="Arial"/>
                <w:b/>
                <w:bCs/>
                <w:sz w:val="16"/>
                <w:szCs w:val="16"/>
                <w:vertAlign w:val="superscript"/>
                <w:lang w:val="pt-BR"/>
              </w:rPr>
              <w:t>28</w:t>
            </w:r>
          </w:p>
        </w:tc>
        <w:tc>
          <w:tcPr>
            <w:tcW w:w="1985" w:type="dxa"/>
            <w:tcBorders>
              <w:top w:val="single" w:sz="8" w:space="0" w:color="auto"/>
              <w:left w:val="nil"/>
              <w:bottom w:val="single" w:sz="4" w:space="0" w:color="auto"/>
              <w:right w:val="single" w:sz="8" w:space="0" w:color="auto"/>
            </w:tcBorders>
            <w:shd w:val="clear" w:color="auto" w:fill="B6DDE8"/>
            <w:vAlign w:val="center"/>
          </w:tcPr>
          <w:p w:rsidR="007D48BC" w:rsidRPr="001F344E" w:rsidRDefault="007D48BC" w:rsidP="00B65EE7">
            <w:pPr>
              <w:jc w:val="center"/>
              <w:rPr>
                <w:rFonts w:ascii="Arial" w:hAnsi="Arial" w:cs="Arial"/>
                <w:b/>
                <w:bCs/>
                <w:sz w:val="16"/>
                <w:szCs w:val="16"/>
              </w:rPr>
            </w:pPr>
            <w:r w:rsidRPr="00332D68">
              <w:rPr>
                <w:rFonts w:ascii="Arial" w:hAnsi="Arial" w:cs="Arial"/>
                <w:b/>
                <w:bCs/>
                <w:sz w:val="16"/>
                <w:szCs w:val="16"/>
                <w:lang w:val="pt-BR"/>
              </w:rPr>
              <w:t>R-GEMOX (N=</w:t>
            </w:r>
            <w:r w:rsidR="00083128">
              <w:rPr>
                <w:rFonts w:ascii="Arial" w:hAnsi="Arial" w:cs="Arial"/>
                <w:b/>
                <w:bCs/>
                <w:sz w:val="16"/>
                <w:szCs w:val="16"/>
                <w:lang w:val="pt-BR"/>
              </w:rPr>
              <w:t>49</w:t>
            </w:r>
            <w:r w:rsidRPr="00332D68">
              <w:rPr>
                <w:rFonts w:ascii="Arial" w:hAnsi="Arial" w:cs="Arial"/>
                <w:b/>
                <w:bCs/>
                <w:sz w:val="16"/>
                <w:szCs w:val="16"/>
                <w:lang w:val="pt-BR"/>
              </w:rPr>
              <w:t>)</w:t>
            </w:r>
            <w:r w:rsidR="00FE59AC" w:rsidRPr="00332D68">
              <w:rPr>
                <w:rFonts w:ascii="Arial" w:hAnsi="Arial" w:cs="Arial"/>
                <w:b/>
                <w:bCs/>
                <w:sz w:val="16"/>
                <w:szCs w:val="16"/>
                <w:lang w:val="pt-BR"/>
              </w:rPr>
              <w:fldChar w:fldCharType="begin" w:fldLock="1"/>
            </w:r>
            <w:r w:rsidRPr="00332D68">
              <w:rPr>
                <w:rFonts w:ascii="Arial" w:hAnsi="Arial" w:cs="Arial"/>
                <w:b/>
                <w:bCs/>
                <w:sz w:val="16"/>
                <w:szCs w:val="16"/>
                <w:lang w:val="pt-BR"/>
              </w:rPr>
              <w:instrText>ADDIN CSL_CITATION {"citationItems":[{"id":"ITEM-1"</w:instrText>
            </w:r>
            <w:r w:rsidRPr="001F344E">
              <w:rPr>
                <w:rFonts w:ascii="Arial" w:hAnsi="Arial" w:cs="Arial"/>
                <w:b/>
                <w:bCs/>
                <w:sz w:val="16"/>
                <w:szCs w:val="16"/>
              </w:rPr>
              <w:instrText>,"itemData":{"DOI":"10.1200/JCO.2005.03.8554","ISSN":"0732-183X","PMID":"16622268","abstract":"PURPOSE To evaluate the efficacy and safety of clofarabine, a novel deoxyadenosine analog, in pediatric patients with refractory or relapsed acute lymphoblastic leukemia (ALL). PATIENTS AND METHODS In a phase II, open-label, multicenter study, 61 pediatric patients with refractory or relapsed ALL received clofarabine 52 mg/m2 intravenously over 2 hours daily for 5 days, every 2 to 6 weeks. The median age was 12 years (range, 1 to 20 years), and the median number of prior regimens was three (range, two to six regimens). RESULTS The response rate was 30%, consisting of seven complete remissions (CR), five CRs without platelet recovery (CRp), and six partial remissions. Remissions were durable enough to allow patients to proceed to hematopoietic stem-cell transplantation (HSCT) after clofarabine. Median CR duration in patients who did not receive HSCT was 6 weeks, with four patients maintaining CR or CRp for 8 weeks or more (8+, 12, 37+, and 48 weeks) on clofarabine therapy alone. The most common adverse events of grade &gt; or = 3 were febrile neutropenia, anorexia, hypotension, and nausea. CONCLUSION Clofarabine is active as a single agent in pediatric patients with multiple relapsed or refractory ALL. The toxicity profile is as expected in this heavily pretreated patient population. Studies exploring rational combinations of clofarabine with other agents are ongoing in an effort to maximize clinical benefit.","author":[{"dropping-particle":"","family":"Jeha","given":"Sima","non-dropping-particle":"","parse-names":false,"suffix":""},{"dropping-particle":"","family":"Gaynon","given":"Paul S","non-dropping-particle":"","parse-names":false,"suffix":""},{"dropping-particle":"","family":"Razzouk","given":"Bassem I","non-dropping-particle":"","parse-names":false,"suffix":""},{"dropping-particle":"","family":"Franklin","given":"Janet","non-dropping-particle":"","parse-names":false,"suffix":""},{"dropping-particle":"","family":"Kadota","given":"Richard","non-dropping-particle":"","parse-names":false,"suffix":""},{"dropping-particle":"","family":"Shen","given":"Violet","non-dropping-particle":"","parse-names":false,"suffix":""},{"dropping-particle":"","family":"Luchtman-Jones","given":"Lori","non-dropping-particle":"","parse-names":false,"suffix":""},{"dropping-particle":"","family":"Rytting","given":"Michael","non-dropping-particle":"","parse-names":false,"suffix":""},{"dropping-particle":"","family":"Bomgaars","given":"Lisa R","non-dropping-particle":"","parse-names":false,"suffix":""},{"dropping-particle":"","family":"Rheingold","given":"Susan","non-dropping-particle":"","parse-names":false,"suffix":""},{"dropping-particle":"","family":"Ritchey","given":"Kim","non-dropping-particle":"","parse-names":false,"suffix":""},{"dropping-particle":"","family":"Albano","given":"Edythe","non-dropping-particle":"","parse-names":false,"suffix":""},{"dropping-particle":"","family":"Arceci","given":"Robert J","non-dropping-particle":"","parse-names":false,"suffix":""},{"dropping-particle":"","family":"Goldman","given":"Stewart","non-dropping-particle":"","parse-names":false,"suffix":""},{"dropping-particle":"","family":"Griffin","given":"Timothy","non-dropping-particle":"","parse-names":false,"suffix":""},{"dropping-particle":"","family":"Altman","given":"Arnold","non-dropping-particle":"","parse-names":false,"suffix":""},{"dropping-particle":"","family":"Gordon","given":"Bruce","non-dropping-particle":"","parse-names":false,"suffix":""},{"dropping-particle":"","family":"Steinherz","given":"Laurel","non-dropping-particle":"","parse-names":false,"suffix":""},{"dropping-particle":"","family":"Weitman","given":"Steven","non-dropping-particle":"","parse-names":false,"suffix":""},{"dropping-particle":"","family":"Steinherz","given":"Peter","non-dropping-particle":"","parse-names":false,"suffix":""}],"container-title":"Journal of Clinical Oncology","id":"ITEM-1","issue":"12","issued":{"date-parts":[["2006","4","20"]]},"page":"1917-1923","title":"Phase II Study of Clofarabine in Pediatric Patients With Refractory or Relapsed Acute Lymphoblastic Leukemia","type":"article-journal","volume":"24"},"uris":["http://www.mendeley.com/documents/?uuid=ebc6ae78-058e-386d-af42-56de5ebd0093"]}],"mendeley":{"formattedCitation":"&lt;sup&gt;22&lt;/sup&gt;","plainTextFormattedCitation":"22","previouslyFormattedCitation":"&lt;sup&gt;22&lt;/sup&gt;"},"properties":{"noteIndex":0},"schema":"https://github.com/citation-style-language/schema/raw/master/csl-citation.json"}</w:instrText>
            </w:r>
            <w:r w:rsidR="00FE59AC" w:rsidRPr="00332D68">
              <w:rPr>
                <w:rFonts w:ascii="Arial" w:hAnsi="Arial" w:cs="Arial"/>
                <w:b/>
                <w:bCs/>
                <w:sz w:val="16"/>
                <w:szCs w:val="16"/>
                <w:lang w:val="pt-BR"/>
              </w:rPr>
              <w:fldChar w:fldCharType="separate"/>
            </w:r>
            <w:r w:rsidRPr="001F344E">
              <w:rPr>
                <w:rFonts w:ascii="Arial" w:hAnsi="Arial" w:cs="Arial"/>
                <w:sz w:val="16"/>
                <w:szCs w:val="16"/>
                <w:vertAlign w:val="superscript"/>
              </w:rPr>
              <w:t>2</w:t>
            </w:r>
            <w:r w:rsidR="00FE59AC" w:rsidRPr="00332D68">
              <w:rPr>
                <w:rFonts w:ascii="Arial" w:hAnsi="Arial" w:cs="Arial"/>
                <w:b/>
                <w:bCs/>
                <w:sz w:val="16"/>
                <w:szCs w:val="16"/>
                <w:lang w:val="pt-BR"/>
              </w:rPr>
              <w:fldChar w:fldCharType="end"/>
            </w:r>
            <w:r w:rsidRPr="00B65EE7">
              <w:rPr>
                <w:rFonts w:ascii="Arial" w:hAnsi="Arial" w:cs="Arial"/>
                <w:b/>
                <w:bCs/>
                <w:sz w:val="16"/>
                <w:szCs w:val="16"/>
                <w:vertAlign w:val="superscript"/>
              </w:rPr>
              <w:t>9</w:t>
            </w:r>
          </w:p>
        </w:tc>
      </w:tr>
      <w:tr w:rsidR="007D48BC" w:rsidRPr="001F344E">
        <w:trPr>
          <w:gridAfter w:val="1"/>
          <w:wAfter w:w="1985" w:type="dxa"/>
          <w:trHeight w:val="255"/>
        </w:trPr>
        <w:tc>
          <w:tcPr>
            <w:tcW w:w="1331" w:type="dxa"/>
            <w:vMerge/>
            <w:tcBorders>
              <w:top w:val="single" w:sz="8" w:space="0" w:color="auto"/>
              <w:left w:val="single" w:sz="8" w:space="0" w:color="auto"/>
              <w:bottom w:val="single" w:sz="8" w:space="0" w:color="000000"/>
              <w:right w:val="single" w:sz="4" w:space="0" w:color="auto"/>
            </w:tcBorders>
            <w:vAlign w:val="center"/>
          </w:tcPr>
          <w:p w:rsidR="007D48BC" w:rsidRPr="001F344E" w:rsidRDefault="007D48BC" w:rsidP="00375161">
            <w:pPr>
              <w:rPr>
                <w:rFonts w:ascii="Arial" w:hAnsi="Arial" w:cs="Arial"/>
                <w:b/>
                <w:bCs/>
              </w:rPr>
            </w:pPr>
          </w:p>
        </w:tc>
        <w:tc>
          <w:tcPr>
            <w:tcW w:w="1494" w:type="dxa"/>
            <w:tcBorders>
              <w:top w:val="nil"/>
              <w:left w:val="nil"/>
              <w:bottom w:val="single" w:sz="4" w:space="0" w:color="auto"/>
              <w:right w:val="single" w:sz="4" w:space="0" w:color="auto"/>
            </w:tcBorders>
            <w:shd w:val="clear" w:color="000000" w:fill="FFFFFF"/>
            <w:vAlign w:val="center"/>
          </w:tcPr>
          <w:p w:rsidR="007D48BC" w:rsidRPr="001F344E" w:rsidRDefault="007D48BC" w:rsidP="00375161">
            <w:pPr>
              <w:rPr>
                <w:rFonts w:ascii="Arial" w:hAnsi="Arial" w:cs="Arial"/>
                <w:sz w:val="16"/>
                <w:szCs w:val="16"/>
              </w:rPr>
            </w:pPr>
            <w:r w:rsidRPr="001F344E">
              <w:rPr>
                <w:rFonts w:ascii="Arial" w:hAnsi="Arial" w:cs="Arial"/>
                <w:sz w:val="16"/>
                <w:szCs w:val="16"/>
              </w:rPr>
              <w:t xml:space="preserve">Tasa de </w:t>
            </w:r>
            <w:r w:rsidR="001147CA">
              <w:rPr>
                <w:rFonts w:ascii="Arial" w:hAnsi="Arial" w:cs="Arial"/>
                <w:sz w:val="16"/>
                <w:szCs w:val="16"/>
              </w:rPr>
              <w:t>respue</w:t>
            </w:r>
            <w:r w:rsidR="00083128">
              <w:rPr>
                <w:rFonts w:ascii="Arial" w:hAnsi="Arial" w:cs="Arial"/>
                <w:sz w:val="16"/>
                <w:szCs w:val="16"/>
              </w:rPr>
              <w:t>s</w:t>
            </w:r>
            <w:r w:rsidR="001147CA">
              <w:rPr>
                <w:rFonts w:ascii="Arial" w:hAnsi="Arial" w:cs="Arial"/>
                <w:sz w:val="16"/>
                <w:szCs w:val="16"/>
              </w:rPr>
              <w:t>ta</w:t>
            </w:r>
          </w:p>
        </w:tc>
        <w:tc>
          <w:tcPr>
            <w:tcW w:w="1984" w:type="dxa"/>
            <w:tcBorders>
              <w:top w:val="nil"/>
              <w:left w:val="nil"/>
              <w:bottom w:val="single" w:sz="4" w:space="0" w:color="auto"/>
              <w:right w:val="single" w:sz="4" w:space="0" w:color="auto"/>
            </w:tcBorders>
            <w:shd w:val="clear" w:color="000000" w:fill="FFFFFF"/>
            <w:vAlign w:val="center"/>
          </w:tcPr>
          <w:p w:rsidR="007D48BC" w:rsidRPr="00461D55" w:rsidRDefault="001147CA" w:rsidP="00DE468B">
            <w:pPr>
              <w:jc w:val="center"/>
              <w:rPr>
                <w:rFonts w:ascii="Arial" w:hAnsi="Arial" w:cs="Arial"/>
                <w:sz w:val="16"/>
                <w:szCs w:val="16"/>
              </w:rPr>
            </w:pPr>
            <w:r>
              <w:rPr>
                <w:rFonts w:ascii="Arial" w:hAnsi="Arial" w:cs="Arial"/>
                <w:i/>
                <w:iCs/>
                <w:sz w:val="16"/>
                <w:szCs w:val="16"/>
              </w:rPr>
              <w:t>40,0% (28,5 – 52,4)</w:t>
            </w:r>
          </w:p>
        </w:tc>
        <w:tc>
          <w:tcPr>
            <w:tcW w:w="1985" w:type="dxa"/>
            <w:tcBorders>
              <w:top w:val="nil"/>
              <w:left w:val="nil"/>
              <w:bottom w:val="single" w:sz="4" w:space="0" w:color="auto"/>
              <w:right w:val="single" w:sz="8" w:space="0" w:color="auto"/>
            </w:tcBorders>
            <w:shd w:val="clear" w:color="000000" w:fill="FFFFFF"/>
            <w:vAlign w:val="center"/>
          </w:tcPr>
          <w:p w:rsidR="007D48BC" w:rsidRPr="001F344E" w:rsidRDefault="00083128" w:rsidP="00DE468B">
            <w:pPr>
              <w:jc w:val="center"/>
              <w:rPr>
                <w:rFonts w:ascii="Arial" w:hAnsi="Arial" w:cs="Arial"/>
                <w:sz w:val="16"/>
                <w:szCs w:val="16"/>
              </w:rPr>
            </w:pPr>
            <w:r>
              <w:rPr>
                <w:rFonts w:ascii="Arial" w:hAnsi="Arial" w:cs="Arial"/>
                <w:sz w:val="16"/>
                <w:szCs w:val="16"/>
              </w:rPr>
              <w:t>61% (45-74)</w:t>
            </w:r>
          </w:p>
        </w:tc>
      </w:tr>
      <w:tr w:rsidR="007D48BC" w:rsidRPr="001F344E">
        <w:trPr>
          <w:gridAfter w:val="1"/>
          <w:wAfter w:w="1985" w:type="dxa"/>
          <w:trHeight w:val="450"/>
        </w:trPr>
        <w:tc>
          <w:tcPr>
            <w:tcW w:w="1331" w:type="dxa"/>
            <w:vMerge/>
            <w:tcBorders>
              <w:top w:val="single" w:sz="8" w:space="0" w:color="auto"/>
              <w:left w:val="single" w:sz="8" w:space="0" w:color="auto"/>
              <w:bottom w:val="single" w:sz="8" w:space="0" w:color="000000"/>
              <w:right w:val="single" w:sz="4" w:space="0" w:color="auto"/>
            </w:tcBorders>
            <w:vAlign w:val="center"/>
          </w:tcPr>
          <w:p w:rsidR="007D48BC" w:rsidRPr="001F344E" w:rsidRDefault="007D48BC" w:rsidP="00375161">
            <w:pPr>
              <w:rPr>
                <w:rFonts w:ascii="Arial" w:hAnsi="Arial" w:cs="Arial"/>
                <w:b/>
                <w:bCs/>
              </w:rPr>
            </w:pPr>
          </w:p>
        </w:tc>
        <w:tc>
          <w:tcPr>
            <w:tcW w:w="1494" w:type="dxa"/>
            <w:tcBorders>
              <w:top w:val="nil"/>
              <w:left w:val="nil"/>
              <w:bottom w:val="single" w:sz="4" w:space="0" w:color="auto"/>
              <w:right w:val="single" w:sz="4" w:space="0" w:color="auto"/>
            </w:tcBorders>
            <w:shd w:val="clear" w:color="000000" w:fill="FFFFFF"/>
            <w:vAlign w:val="center"/>
          </w:tcPr>
          <w:p w:rsidR="007D48BC" w:rsidRPr="001F344E" w:rsidRDefault="007D48BC" w:rsidP="00375161">
            <w:pPr>
              <w:rPr>
                <w:rFonts w:ascii="Arial" w:hAnsi="Arial" w:cs="Arial"/>
                <w:sz w:val="16"/>
                <w:szCs w:val="16"/>
              </w:rPr>
            </w:pPr>
            <w:r w:rsidRPr="001F344E">
              <w:rPr>
                <w:rFonts w:ascii="Arial" w:hAnsi="Arial" w:cs="Arial"/>
                <w:sz w:val="16"/>
                <w:szCs w:val="16"/>
              </w:rPr>
              <w:t>Mediana de SLP (meses)</w:t>
            </w:r>
          </w:p>
        </w:tc>
        <w:tc>
          <w:tcPr>
            <w:tcW w:w="1984" w:type="dxa"/>
            <w:tcBorders>
              <w:top w:val="nil"/>
              <w:left w:val="nil"/>
              <w:bottom w:val="single" w:sz="4" w:space="0" w:color="auto"/>
              <w:right w:val="single" w:sz="4" w:space="0" w:color="auto"/>
            </w:tcBorders>
            <w:shd w:val="clear" w:color="000000" w:fill="FFFFFF"/>
            <w:vAlign w:val="center"/>
          </w:tcPr>
          <w:p w:rsidR="007D48BC" w:rsidRPr="00461D55" w:rsidRDefault="007D48BC" w:rsidP="00DE468B">
            <w:pPr>
              <w:jc w:val="center"/>
              <w:rPr>
                <w:rFonts w:ascii="Arial" w:hAnsi="Arial" w:cs="Arial"/>
                <w:sz w:val="16"/>
                <w:szCs w:val="16"/>
              </w:rPr>
            </w:pPr>
            <w:r w:rsidRPr="00461D55">
              <w:rPr>
                <w:rFonts w:ascii="Arial" w:hAnsi="Arial" w:cs="Arial"/>
                <w:i/>
                <w:iCs/>
                <w:sz w:val="16"/>
                <w:szCs w:val="16"/>
              </w:rPr>
              <w:t>5,3 (2,3–6,2) a los 18 meses</w:t>
            </w:r>
          </w:p>
        </w:tc>
        <w:tc>
          <w:tcPr>
            <w:tcW w:w="1985" w:type="dxa"/>
            <w:tcBorders>
              <w:top w:val="nil"/>
              <w:left w:val="nil"/>
              <w:bottom w:val="single" w:sz="4" w:space="0" w:color="auto"/>
              <w:right w:val="single" w:sz="8" w:space="0" w:color="auto"/>
            </w:tcBorders>
            <w:shd w:val="clear" w:color="000000" w:fill="FFFFFF"/>
            <w:vAlign w:val="center"/>
          </w:tcPr>
          <w:p w:rsidR="007D48BC" w:rsidRPr="001F344E" w:rsidRDefault="007D48BC" w:rsidP="008F5D01">
            <w:pPr>
              <w:jc w:val="center"/>
              <w:rPr>
                <w:rFonts w:ascii="Arial" w:hAnsi="Arial" w:cs="Arial"/>
                <w:sz w:val="16"/>
                <w:szCs w:val="16"/>
              </w:rPr>
            </w:pPr>
            <w:r>
              <w:rPr>
                <w:rFonts w:ascii="Arial" w:hAnsi="Arial" w:cs="Arial"/>
                <w:sz w:val="16"/>
                <w:szCs w:val="16"/>
              </w:rPr>
              <w:t>Tasa SLP</w:t>
            </w:r>
            <w:r w:rsidRPr="008F5D01">
              <w:rPr>
                <w:rFonts w:ascii="Arial" w:hAnsi="Arial" w:cs="Arial"/>
                <w:sz w:val="16"/>
                <w:szCs w:val="16"/>
              </w:rPr>
              <w:t xml:space="preserve"> 13% (</w:t>
            </w:r>
            <w:r>
              <w:rPr>
                <w:rFonts w:ascii="Arial" w:hAnsi="Arial" w:cs="Arial"/>
                <w:sz w:val="16"/>
                <w:szCs w:val="16"/>
              </w:rPr>
              <w:t>5-</w:t>
            </w:r>
            <w:r w:rsidRPr="008F5D01">
              <w:rPr>
                <w:rFonts w:ascii="Arial" w:hAnsi="Arial" w:cs="Arial"/>
                <w:sz w:val="16"/>
                <w:szCs w:val="16"/>
              </w:rPr>
              <w:t>24; median</w:t>
            </w:r>
            <w:r>
              <w:rPr>
                <w:rFonts w:ascii="Arial" w:hAnsi="Arial" w:cs="Arial"/>
                <w:sz w:val="16"/>
                <w:szCs w:val="16"/>
              </w:rPr>
              <w:t>a, 5 meses</w:t>
            </w:r>
            <w:r w:rsidRPr="008F5D01">
              <w:rPr>
                <w:rFonts w:ascii="Arial" w:hAnsi="Arial" w:cs="Arial"/>
                <w:sz w:val="16"/>
                <w:szCs w:val="16"/>
              </w:rPr>
              <w:t>)</w:t>
            </w:r>
            <w:r>
              <w:rPr>
                <w:rFonts w:ascii="Arial" w:hAnsi="Arial" w:cs="Arial"/>
                <w:sz w:val="16"/>
                <w:szCs w:val="16"/>
              </w:rPr>
              <w:t xml:space="preserve"> a los 5 años</w:t>
            </w:r>
          </w:p>
        </w:tc>
      </w:tr>
      <w:tr w:rsidR="007D48BC" w:rsidRPr="001F344E">
        <w:trPr>
          <w:gridAfter w:val="1"/>
          <w:wAfter w:w="1985" w:type="dxa"/>
          <w:trHeight w:val="255"/>
        </w:trPr>
        <w:tc>
          <w:tcPr>
            <w:tcW w:w="1331" w:type="dxa"/>
            <w:vMerge/>
            <w:tcBorders>
              <w:top w:val="single" w:sz="8" w:space="0" w:color="auto"/>
              <w:left w:val="single" w:sz="8" w:space="0" w:color="auto"/>
              <w:bottom w:val="single" w:sz="8" w:space="0" w:color="000000"/>
              <w:right w:val="single" w:sz="4" w:space="0" w:color="auto"/>
            </w:tcBorders>
            <w:vAlign w:val="center"/>
          </w:tcPr>
          <w:p w:rsidR="007D48BC" w:rsidRPr="001F344E" w:rsidRDefault="007D48BC" w:rsidP="00375161">
            <w:pPr>
              <w:rPr>
                <w:rFonts w:ascii="Arial" w:hAnsi="Arial" w:cs="Arial"/>
                <w:b/>
                <w:bCs/>
              </w:rPr>
            </w:pPr>
          </w:p>
        </w:tc>
        <w:tc>
          <w:tcPr>
            <w:tcW w:w="1494" w:type="dxa"/>
            <w:tcBorders>
              <w:top w:val="nil"/>
              <w:left w:val="nil"/>
              <w:bottom w:val="single" w:sz="4" w:space="0" w:color="auto"/>
              <w:right w:val="single" w:sz="4" w:space="0" w:color="auto"/>
            </w:tcBorders>
            <w:vAlign w:val="center"/>
          </w:tcPr>
          <w:p w:rsidR="007D48BC" w:rsidRPr="001F344E" w:rsidRDefault="007D48BC" w:rsidP="00375161">
            <w:pPr>
              <w:rPr>
                <w:rFonts w:ascii="Arial" w:hAnsi="Arial" w:cs="Arial"/>
                <w:sz w:val="16"/>
                <w:szCs w:val="16"/>
              </w:rPr>
            </w:pPr>
            <w:r w:rsidRPr="001F344E">
              <w:rPr>
                <w:rFonts w:ascii="Arial" w:hAnsi="Arial" w:cs="Arial"/>
                <w:sz w:val="16"/>
                <w:szCs w:val="16"/>
              </w:rPr>
              <w:t>Mediana de SG (meses)</w:t>
            </w:r>
          </w:p>
        </w:tc>
        <w:tc>
          <w:tcPr>
            <w:tcW w:w="1984" w:type="dxa"/>
            <w:tcBorders>
              <w:top w:val="nil"/>
              <w:left w:val="nil"/>
              <w:bottom w:val="single" w:sz="4" w:space="0" w:color="auto"/>
              <w:right w:val="single" w:sz="4" w:space="0" w:color="auto"/>
            </w:tcBorders>
            <w:shd w:val="clear" w:color="000000" w:fill="FFFFFF"/>
            <w:vAlign w:val="center"/>
          </w:tcPr>
          <w:p w:rsidR="007D48BC" w:rsidRPr="00461D55" w:rsidRDefault="007D48BC" w:rsidP="00DE468B">
            <w:pPr>
              <w:jc w:val="center"/>
              <w:rPr>
                <w:rFonts w:ascii="Arial" w:hAnsi="Arial" w:cs="Arial"/>
                <w:b/>
                <w:bCs/>
                <w:sz w:val="16"/>
                <w:szCs w:val="16"/>
              </w:rPr>
            </w:pPr>
            <w:r w:rsidRPr="00461D55">
              <w:rPr>
                <w:rFonts w:ascii="Arial" w:hAnsi="Arial" w:cs="Arial"/>
                <w:b/>
                <w:bCs/>
                <w:i/>
                <w:iCs/>
                <w:sz w:val="16"/>
                <w:szCs w:val="16"/>
              </w:rPr>
              <w:t xml:space="preserve">10,2 (6,4–15,7) </w:t>
            </w:r>
            <w:r w:rsidRPr="00461D55">
              <w:rPr>
                <w:rFonts w:ascii="Arial" w:hAnsi="Arial" w:cs="Arial"/>
                <w:i/>
                <w:iCs/>
                <w:sz w:val="16"/>
                <w:szCs w:val="16"/>
              </w:rPr>
              <w:t>a los 18 meses</w:t>
            </w:r>
          </w:p>
        </w:tc>
        <w:tc>
          <w:tcPr>
            <w:tcW w:w="1985" w:type="dxa"/>
            <w:tcBorders>
              <w:top w:val="nil"/>
              <w:left w:val="nil"/>
              <w:bottom w:val="single" w:sz="4" w:space="0" w:color="auto"/>
              <w:right w:val="single" w:sz="8" w:space="0" w:color="auto"/>
            </w:tcBorders>
            <w:shd w:val="clear" w:color="000000" w:fill="FFFFFF"/>
            <w:vAlign w:val="center"/>
          </w:tcPr>
          <w:p w:rsidR="007D48BC" w:rsidRPr="001F344E" w:rsidRDefault="007D48BC" w:rsidP="008F5D01">
            <w:pPr>
              <w:jc w:val="center"/>
              <w:rPr>
                <w:rFonts w:ascii="Arial" w:hAnsi="Arial" w:cs="Arial"/>
                <w:sz w:val="16"/>
                <w:szCs w:val="16"/>
              </w:rPr>
            </w:pPr>
            <w:r>
              <w:rPr>
                <w:rFonts w:ascii="Arial" w:hAnsi="Arial" w:cs="Arial"/>
                <w:sz w:val="16"/>
                <w:szCs w:val="16"/>
              </w:rPr>
              <w:t xml:space="preserve">Tasa SG: </w:t>
            </w:r>
            <w:r w:rsidRPr="008F5D01">
              <w:rPr>
                <w:rFonts w:ascii="Arial" w:hAnsi="Arial" w:cs="Arial"/>
                <w:sz w:val="16"/>
                <w:szCs w:val="16"/>
              </w:rPr>
              <w:t>14% (6</w:t>
            </w:r>
            <w:r>
              <w:rPr>
                <w:rFonts w:ascii="Arial" w:hAnsi="Arial" w:cs="Arial"/>
                <w:sz w:val="16"/>
                <w:szCs w:val="16"/>
              </w:rPr>
              <w:t>-</w:t>
            </w:r>
            <w:r w:rsidRPr="008F5D01">
              <w:rPr>
                <w:rFonts w:ascii="Arial" w:hAnsi="Arial" w:cs="Arial"/>
                <w:sz w:val="16"/>
                <w:szCs w:val="16"/>
              </w:rPr>
              <w:t>26; median</w:t>
            </w:r>
            <w:r>
              <w:rPr>
                <w:rFonts w:ascii="Arial" w:hAnsi="Arial" w:cs="Arial"/>
                <w:sz w:val="16"/>
                <w:szCs w:val="16"/>
              </w:rPr>
              <w:t>a</w:t>
            </w:r>
            <w:r w:rsidRPr="008F5D01">
              <w:rPr>
                <w:rFonts w:ascii="Arial" w:hAnsi="Arial" w:cs="Arial"/>
                <w:sz w:val="16"/>
                <w:szCs w:val="16"/>
              </w:rPr>
              <w:t>, 11 m</w:t>
            </w:r>
            <w:r>
              <w:rPr>
                <w:rFonts w:ascii="Arial" w:hAnsi="Arial" w:cs="Arial"/>
                <w:sz w:val="16"/>
                <w:szCs w:val="16"/>
              </w:rPr>
              <w:t>eses</w:t>
            </w:r>
            <w:r w:rsidRPr="008F5D01">
              <w:rPr>
                <w:rFonts w:ascii="Arial" w:hAnsi="Arial" w:cs="Arial"/>
                <w:sz w:val="16"/>
                <w:szCs w:val="16"/>
              </w:rPr>
              <w:t>)</w:t>
            </w:r>
            <w:r>
              <w:rPr>
                <w:rFonts w:ascii="Arial" w:hAnsi="Arial" w:cs="Arial"/>
                <w:sz w:val="16"/>
                <w:szCs w:val="16"/>
              </w:rPr>
              <w:t xml:space="preserve"> a los 5 años</w:t>
            </w:r>
          </w:p>
        </w:tc>
      </w:tr>
      <w:tr w:rsidR="007D48BC" w:rsidRPr="001F344E">
        <w:trPr>
          <w:gridAfter w:val="1"/>
          <w:wAfter w:w="1985" w:type="dxa"/>
          <w:trHeight w:val="465"/>
        </w:trPr>
        <w:tc>
          <w:tcPr>
            <w:tcW w:w="1331" w:type="dxa"/>
            <w:vMerge/>
            <w:tcBorders>
              <w:top w:val="single" w:sz="8" w:space="0" w:color="auto"/>
              <w:left w:val="single" w:sz="8" w:space="0" w:color="auto"/>
              <w:bottom w:val="single" w:sz="8" w:space="0" w:color="auto"/>
              <w:right w:val="single" w:sz="4" w:space="0" w:color="auto"/>
            </w:tcBorders>
            <w:vAlign w:val="center"/>
          </w:tcPr>
          <w:p w:rsidR="007D48BC" w:rsidRPr="001F344E" w:rsidRDefault="007D48BC" w:rsidP="00375161">
            <w:pPr>
              <w:rPr>
                <w:rFonts w:ascii="Arial" w:hAnsi="Arial" w:cs="Arial"/>
                <w:b/>
                <w:bCs/>
              </w:rPr>
            </w:pPr>
          </w:p>
        </w:tc>
        <w:tc>
          <w:tcPr>
            <w:tcW w:w="1494" w:type="dxa"/>
            <w:tcBorders>
              <w:top w:val="nil"/>
              <w:left w:val="nil"/>
              <w:bottom w:val="nil"/>
              <w:right w:val="single" w:sz="4" w:space="0" w:color="auto"/>
            </w:tcBorders>
            <w:shd w:val="clear" w:color="000000" w:fill="FFFFFF"/>
            <w:vAlign w:val="center"/>
          </w:tcPr>
          <w:p w:rsidR="007D48BC" w:rsidRPr="001F344E" w:rsidRDefault="007D48BC" w:rsidP="00375161">
            <w:pPr>
              <w:rPr>
                <w:rFonts w:ascii="Arial" w:hAnsi="Arial" w:cs="Arial"/>
                <w:sz w:val="16"/>
                <w:szCs w:val="16"/>
              </w:rPr>
            </w:pPr>
            <w:r w:rsidRPr="001F344E">
              <w:rPr>
                <w:rFonts w:ascii="Arial" w:hAnsi="Arial" w:cs="Arial"/>
                <w:sz w:val="16"/>
                <w:szCs w:val="16"/>
              </w:rPr>
              <w:t>Mediana de duración de la respuesta</w:t>
            </w:r>
            <w:r>
              <w:rPr>
                <w:rFonts w:ascii="Arial" w:hAnsi="Arial" w:cs="Arial"/>
                <w:sz w:val="16"/>
                <w:szCs w:val="16"/>
              </w:rPr>
              <w:t xml:space="preserve"> (meses)</w:t>
            </w:r>
          </w:p>
        </w:tc>
        <w:tc>
          <w:tcPr>
            <w:tcW w:w="1984" w:type="dxa"/>
            <w:tcBorders>
              <w:top w:val="nil"/>
              <w:left w:val="nil"/>
              <w:bottom w:val="nil"/>
              <w:right w:val="single" w:sz="4" w:space="0" w:color="auto"/>
            </w:tcBorders>
            <w:shd w:val="clear" w:color="000000" w:fill="FFFFFF"/>
            <w:vAlign w:val="center"/>
          </w:tcPr>
          <w:p w:rsidR="007D48BC" w:rsidRPr="00461D55" w:rsidRDefault="007D48BC" w:rsidP="00DE468B">
            <w:pPr>
              <w:jc w:val="center"/>
              <w:rPr>
                <w:rFonts w:ascii="Arial" w:hAnsi="Arial" w:cs="Arial"/>
                <w:sz w:val="16"/>
                <w:szCs w:val="16"/>
              </w:rPr>
            </w:pPr>
            <w:r w:rsidRPr="00461D55">
              <w:rPr>
                <w:rFonts w:ascii="Arial" w:hAnsi="Arial" w:cs="Arial"/>
                <w:i/>
                <w:iCs/>
                <w:sz w:val="16"/>
                <w:szCs w:val="16"/>
              </w:rPr>
              <w:t>9</w:t>
            </w:r>
            <w:r>
              <w:rPr>
                <w:rFonts w:ascii="Arial" w:hAnsi="Arial" w:cs="Arial"/>
                <w:i/>
                <w:iCs/>
                <w:sz w:val="16"/>
                <w:szCs w:val="16"/>
              </w:rPr>
              <w:t>,</w:t>
            </w:r>
            <w:r w:rsidRPr="00461D55">
              <w:rPr>
                <w:rFonts w:ascii="Arial" w:hAnsi="Arial" w:cs="Arial"/>
                <w:i/>
                <w:iCs/>
                <w:sz w:val="16"/>
                <w:szCs w:val="16"/>
              </w:rPr>
              <w:t>6 (4,0–20,8) a los 18 meses</w:t>
            </w:r>
          </w:p>
        </w:tc>
        <w:tc>
          <w:tcPr>
            <w:tcW w:w="1985" w:type="dxa"/>
            <w:tcBorders>
              <w:top w:val="nil"/>
              <w:left w:val="nil"/>
              <w:bottom w:val="nil"/>
              <w:right w:val="single" w:sz="8" w:space="0" w:color="auto"/>
            </w:tcBorders>
            <w:vAlign w:val="center"/>
          </w:tcPr>
          <w:p w:rsidR="007D48BC" w:rsidRPr="001F344E" w:rsidRDefault="007D48BC" w:rsidP="00375161">
            <w:pPr>
              <w:jc w:val="center"/>
              <w:rPr>
                <w:rFonts w:ascii="Arial" w:hAnsi="Arial" w:cs="Arial"/>
                <w:sz w:val="16"/>
                <w:szCs w:val="16"/>
              </w:rPr>
            </w:pPr>
            <w:r>
              <w:rPr>
                <w:rFonts w:ascii="Arial" w:hAnsi="Arial" w:cs="Arial"/>
                <w:sz w:val="16"/>
                <w:szCs w:val="16"/>
              </w:rPr>
              <w:t>10 no disponemos datos de IC95%</w:t>
            </w:r>
          </w:p>
        </w:tc>
      </w:tr>
      <w:tr w:rsidR="007D48BC" w:rsidRPr="001F344E">
        <w:trPr>
          <w:trHeight w:val="156"/>
        </w:trPr>
        <w:tc>
          <w:tcPr>
            <w:tcW w:w="8779" w:type="dxa"/>
            <w:gridSpan w:val="5"/>
            <w:tcBorders>
              <w:top w:val="single" w:sz="8" w:space="0" w:color="auto"/>
              <w:left w:val="single" w:sz="8" w:space="0" w:color="auto"/>
              <w:bottom w:val="single" w:sz="8" w:space="0" w:color="000000"/>
              <w:right w:val="single" w:sz="8" w:space="0" w:color="auto"/>
            </w:tcBorders>
            <w:shd w:val="clear" w:color="auto" w:fill="E7E6E6"/>
            <w:vAlign w:val="center"/>
          </w:tcPr>
          <w:p w:rsidR="007D48BC" w:rsidRPr="001B7610" w:rsidRDefault="007D48BC" w:rsidP="00375161">
            <w:pPr>
              <w:rPr>
                <w:rFonts w:ascii="Arial" w:hAnsi="Arial" w:cs="Arial"/>
                <w:i/>
                <w:iCs/>
                <w:sz w:val="16"/>
                <w:szCs w:val="16"/>
              </w:rPr>
            </w:pPr>
            <w:r w:rsidRPr="001B7610">
              <w:rPr>
                <w:rFonts w:ascii="Arial" w:hAnsi="Arial" w:cs="Arial"/>
                <w:i/>
                <w:iCs/>
                <w:sz w:val="16"/>
                <w:szCs w:val="16"/>
              </w:rPr>
              <w:t>NA: Not avai</w:t>
            </w:r>
            <w:r w:rsidR="00FF36AA" w:rsidRPr="001B7610">
              <w:rPr>
                <w:rFonts w:ascii="Arial" w:hAnsi="Arial" w:cs="Arial"/>
                <w:i/>
                <w:iCs/>
                <w:sz w:val="16"/>
                <w:szCs w:val="16"/>
              </w:rPr>
              <w:t>la</w:t>
            </w:r>
            <w:r w:rsidRPr="001B7610">
              <w:rPr>
                <w:rFonts w:ascii="Arial" w:hAnsi="Arial" w:cs="Arial"/>
                <w:i/>
                <w:iCs/>
                <w:sz w:val="16"/>
                <w:szCs w:val="16"/>
              </w:rPr>
              <w:t>ble ( No disponible) NE: Not estima</w:t>
            </w:r>
            <w:r w:rsidR="00FF36AA" w:rsidRPr="001B7610">
              <w:rPr>
                <w:rFonts w:ascii="Arial" w:hAnsi="Arial" w:cs="Arial"/>
                <w:i/>
                <w:iCs/>
                <w:sz w:val="16"/>
                <w:szCs w:val="16"/>
              </w:rPr>
              <w:t>ble (No</w:t>
            </w:r>
            <w:r w:rsidRPr="001B7610">
              <w:rPr>
                <w:rFonts w:ascii="Arial" w:hAnsi="Arial" w:cs="Arial"/>
                <w:i/>
                <w:iCs/>
                <w:sz w:val="16"/>
                <w:szCs w:val="16"/>
              </w:rPr>
              <w:t xml:space="preserve"> alcanzado</w:t>
            </w:r>
            <w:r w:rsidR="00FF36AA" w:rsidRPr="001B7610">
              <w:rPr>
                <w:rFonts w:ascii="Arial" w:hAnsi="Arial" w:cs="Arial"/>
                <w:i/>
                <w:iCs/>
                <w:sz w:val="16"/>
                <w:szCs w:val="16"/>
              </w:rPr>
              <w:t>)</w:t>
            </w:r>
            <w:r w:rsidRPr="001B7610">
              <w:rPr>
                <w:rFonts w:ascii="Arial" w:hAnsi="Arial" w:cs="Arial"/>
                <w:i/>
                <w:iCs/>
                <w:sz w:val="16"/>
                <w:szCs w:val="16"/>
              </w:rPr>
              <w:t>. * ver anexo VI</w:t>
            </w:r>
          </w:p>
          <w:p w:rsidR="0009464B" w:rsidRPr="001F344E" w:rsidRDefault="0009464B" w:rsidP="00375161">
            <w:pPr>
              <w:rPr>
                <w:rFonts w:ascii="Arial" w:hAnsi="Arial" w:cs="Arial"/>
                <w:i/>
                <w:iCs/>
                <w:sz w:val="16"/>
                <w:szCs w:val="16"/>
              </w:rPr>
            </w:pPr>
            <w:r w:rsidRPr="001B7610">
              <w:rPr>
                <w:rFonts w:ascii="Arial" w:hAnsi="Arial" w:cs="Arial"/>
                <w:i/>
                <w:iCs/>
                <w:sz w:val="16"/>
                <w:szCs w:val="16"/>
              </w:rPr>
              <w:t>Datos de eficacia basados en los resultados por ITT, disponibles en los EPAR de cada medicamento</w:t>
            </w:r>
          </w:p>
        </w:tc>
      </w:tr>
    </w:tbl>
    <w:p w:rsidR="00AD741D" w:rsidRPr="000435F8" w:rsidRDefault="000435F8" w:rsidP="00205D56">
      <w:pPr>
        <w:jc w:val="both"/>
        <w:rPr>
          <w:rFonts w:ascii="Arial" w:hAnsi="Arial" w:cs="Arial"/>
        </w:rPr>
      </w:pPr>
      <w:r w:rsidRPr="000435F8">
        <w:rPr>
          <w:rFonts w:ascii="Arial" w:hAnsi="Arial" w:cs="Arial"/>
        </w:rPr>
        <w:t>*E</w:t>
      </w:r>
      <w:r>
        <w:rPr>
          <w:rFonts w:ascii="Arial" w:hAnsi="Arial" w:cs="Arial"/>
        </w:rPr>
        <w:t>n</w:t>
      </w:r>
      <w:r w:rsidRPr="000435F8">
        <w:rPr>
          <w:rFonts w:ascii="Arial" w:hAnsi="Arial" w:cs="Arial"/>
        </w:rPr>
        <w:t xml:space="preserve"> </w:t>
      </w:r>
      <w:r>
        <w:rPr>
          <w:rFonts w:ascii="Arial" w:hAnsi="Arial" w:cs="Arial"/>
        </w:rPr>
        <w:t>el estudio de tisagenlecleucel para esta indicación hay un 33% de los pacientes reclutados que no llegan a infundirse el medicamento, por lo que los resultados por ITT ofrecen valores pobres. La mediana de SG en los pacientes infundidos es de 1</w:t>
      </w:r>
      <w:r w:rsidR="007F2D12">
        <w:rPr>
          <w:rFonts w:ascii="Arial" w:hAnsi="Arial" w:cs="Arial"/>
        </w:rPr>
        <w:t>2,9</w:t>
      </w:r>
      <w:r>
        <w:rPr>
          <w:rFonts w:ascii="Arial" w:hAnsi="Arial" w:cs="Arial"/>
        </w:rPr>
        <w:t xml:space="preserve"> meses (frente a 8,2 meses en el análisis ITT)</w:t>
      </w:r>
      <w:r w:rsidR="00AD741D">
        <w:rPr>
          <w:rFonts w:ascii="Arial" w:hAnsi="Arial" w:cs="Arial"/>
        </w:rPr>
        <w:t>.</w:t>
      </w:r>
      <w:r w:rsidR="001B7610">
        <w:rPr>
          <w:rFonts w:ascii="Arial" w:hAnsi="Arial" w:cs="Arial"/>
        </w:rPr>
        <w:t xml:space="preserve"> </w:t>
      </w:r>
      <w:r w:rsidR="00AD741D">
        <w:rPr>
          <w:rFonts w:ascii="Arial" w:hAnsi="Arial" w:cs="Arial"/>
        </w:rPr>
        <w:t>La tasa de respu</w:t>
      </w:r>
      <w:r w:rsidR="001B7610">
        <w:rPr>
          <w:rFonts w:ascii="Arial" w:hAnsi="Arial" w:cs="Arial"/>
        </w:rPr>
        <w:t>esta indicada es la que aparece en el análisis posterior publicada en el EPAR, con una mediana de seguimiento de 11,4 meses</w:t>
      </w:r>
    </w:p>
    <w:p w:rsidR="007D48BC" w:rsidRDefault="007D48BC" w:rsidP="00BB5F27">
      <w:pPr>
        <w:jc w:val="both"/>
        <w:rPr>
          <w:rFonts w:ascii="Arial" w:hAnsi="Arial" w:cs="Arial"/>
          <w:highlight w:val="yellow"/>
        </w:rPr>
      </w:pPr>
    </w:p>
    <w:p w:rsidR="007D48BC" w:rsidRDefault="007D48BC" w:rsidP="00BB5F27">
      <w:pPr>
        <w:pBdr>
          <w:top w:val="single" w:sz="4" w:space="1" w:color="auto"/>
          <w:left w:val="single" w:sz="4" w:space="0" w:color="auto"/>
          <w:bottom w:val="single" w:sz="4" w:space="1" w:color="auto"/>
          <w:right w:val="single" w:sz="4" w:space="4" w:color="auto"/>
          <w:between w:val="single" w:sz="4" w:space="1" w:color="auto"/>
        </w:pBdr>
        <w:shd w:val="clear" w:color="auto" w:fill="D9D9D9"/>
        <w:rPr>
          <w:rFonts w:ascii="Arial" w:hAnsi="Arial" w:cs="Arial"/>
          <w:b/>
          <w:bCs/>
        </w:rPr>
      </w:pPr>
      <w:r>
        <w:rPr>
          <w:rFonts w:ascii="Arial" w:hAnsi="Arial" w:cs="Arial"/>
          <w:b/>
          <w:bCs/>
        </w:rPr>
        <w:t>7.3.1. Análisis de minimización de costes. Estudios propios</w:t>
      </w:r>
      <w:r w:rsidR="00FE59AC">
        <w:rPr>
          <w:rFonts w:ascii="Arial" w:hAnsi="Arial" w:cs="Arial"/>
          <w:b/>
          <w:bCs/>
        </w:rPr>
        <w:fldChar w:fldCharType="begin"/>
      </w:r>
      <w:r>
        <w:instrText>xe "</w:instrText>
      </w:r>
      <w:r w:rsidRPr="00E30D1F">
        <w:rPr>
          <w:rFonts w:ascii="Arial" w:hAnsi="Arial" w:cs="Arial"/>
          <w:b/>
          <w:bCs/>
        </w:rPr>
        <w:instrText>7.3.1. Análisis de minimización de costes. Estudios propios</w:instrText>
      </w:r>
      <w:r>
        <w:instrText>"</w:instrText>
      </w:r>
      <w:r w:rsidR="00FE59AC">
        <w:rPr>
          <w:rFonts w:ascii="Arial" w:hAnsi="Arial" w:cs="Arial"/>
          <w:b/>
          <w:bCs/>
        </w:rPr>
        <w:fldChar w:fldCharType="end"/>
      </w:r>
    </w:p>
    <w:p w:rsidR="007D48BC" w:rsidRDefault="007D48BC" w:rsidP="00BB5F27">
      <w:pPr>
        <w:snapToGrid w:val="0"/>
        <w:jc w:val="both"/>
        <w:rPr>
          <w:rFonts w:ascii="Arial" w:hAnsi="Arial" w:cs="Arial"/>
        </w:rPr>
      </w:pPr>
    </w:p>
    <w:p w:rsidR="007D48BC" w:rsidRDefault="007D48BC" w:rsidP="00BB5F27">
      <w:pPr>
        <w:snapToGrid w:val="0"/>
        <w:jc w:val="both"/>
        <w:rPr>
          <w:rFonts w:ascii="Arial" w:hAnsi="Arial" w:cs="Arial"/>
        </w:rPr>
      </w:pPr>
      <w:r>
        <w:rPr>
          <w:rFonts w:ascii="Arial" w:hAnsi="Arial" w:cs="Arial"/>
        </w:rPr>
        <w:t>No procede</w:t>
      </w:r>
    </w:p>
    <w:p w:rsidR="007D48BC" w:rsidRDefault="007D48BC" w:rsidP="00BB5F27">
      <w:pPr>
        <w:snapToGrid w:val="0"/>
        <w:rPr>
          <w:rFonts w:ascii="Arial" w:hAnsi="Arial" w:cs="Arial"/>
        </w:rPr>
      </w:pPr>
    </w:p>
    <w:p w:rsidR="007D48BC" w:rsidRDefault="007D48BC" w:rsidP="00BB5F27">
      <w:pPr>
        <w:pBdr>
          <w:top w:val="single" w:sz="4" w:space="1" w:color="auto"/>
          <w:left w:val="single" w:sz="4" w:space="0" w:color="auto"/>
          <w:bottom w:val="single" w:sz="4" w:space="1" w:color="auto"/>
          <w:right w:val="single" w:sz="4" w:space="4" w:color="auto"/>
          <w:between w:val="single" w:sz="4" w:space="1" w:color="auto"/>
        </w:pBdr>
        <w:shd w:val="clear" w:color="auto" w:fill="D9D9D9"/>
        <w:rPr>
          <w:rFonts w:ascii="Arial" w:hAnsi="Arial" w:cs="Arial"/>
          <w:b/>
          <w:bCs/>
        </w:rPr>
      </w:pPr>
      <w:r>
        <w:rPr>
          <w:rFonts w:ascii="Arial" w:hAnsi="Arial" w:cs="Arial"/>
          <w:b/>
          <w:bCs/>
        </w:rPr>
        <w:t>7.3.2. Coste-efectividad. Estudios propios</w:t>
      </w:r>
      <w:r w:rsidR="00FE59AC">
        <w:rPr>
          <w:rFonts w:ascii="Arial" w:hAnsi="Arial" w:cs="Arial"/>
          <w:b/>
          <w:bCs/>
        </w:rPr>
        <w:fldChar w:fldCharType="begin"/>
      </w:r>
      <w:r>
        <w:instrText>xe "</w:instrText>
      </w:r>
      <w:r w:rsidRPr="0040661E">
        <w:rPr>
          <w:rFonts w:ascii="Arial" w:hAnsi="Arial" w:cs="Arial"/>
          <w:b/>
          <w:bCs/>
        </w:rPr>
        <w:instrText>7.3.2. Coste-efectividad. Estudios propios</w:instrText>
      </w:r>
      <w:r>
        <w:instrText>"</w:instrText>
      </w:r>
      <w:r w:rsidR="00FE59AC">
        <w:rPr>
          <w:rFonts w:ascii="Arial" w:hAnsi="Arial" w:cs="Arial"/>
          <w:b/>
          <w:bCs/>
        </w:rPr>
        <w:fldChar w:fldCharType="end"/>
      </w:r>
    </w:p>
    <w:p w:rsidR="007D48BC" w:rsidRDefault="007D48BC" w:rsidP="00BB5F27">
      <w:pPr>
        <w:jc w:val="both"/>
        <w:rPr>
          <w:rFonts w:ascii="Arial" w:hAnsi="Arial" w:cs="Arial"/>
          <w:color w:val="FF0000"/>
        </w:rPr>
      </w:pPr>
    </w:p>
    <w:p w:rsidR="007D48BC" w:rsidRPr="00BB5F27" w:rsidRDefault="007D48BC" w:rsidP="00BB5F27">
      <w:pPr>
        <w:pStyle w:val="Encabezado"/>
        <w:tabs>
          <w:tab w:val="clear" w:pos="4252"/>
          <w:tab w:val="clear" w:pos="8504"/>
        </w:tabs>
        <w:rPr>
          <w:rFonts w:ascii="Arial" w:hAnsi="Arial" w:cs="Arial"/>
          <w:sz w:val="20"/>
          <w:szCs w:val="20"/>
        </w:rPr>
      </w:pPr>
      <w:r w:rsidRPr="00BB5F27">
        <w:rPr>
          <w:rFonts w:ascii="Arial" w:hAnsi="Arial" w:cs="Arial"/>
          <w:sz w:val="20"/>
          <w:szCs w:val="20"/>
        </w:rPr>
        <w:t xml:space="preserve">No procede </w:t>
      </w:r>
    </w:p>
    <w:p w:rsidR="007D48BC" w:rsidRDefault="007D48BC" w:rsidP="00BB5F27">
      <w:pPr>
        <w:pStyle w:val="Encabezado"/>
        <w:tabs>
          <w:tab w:val="clear" w:pos="4252"/>
          <w:tab w:val="clear" w:pos="8504"/>
        </w:tabs>
        <w:rPr>
          <w:rFonts w:ascii="Arial" w:hAnsi="Arial" w:cs="Arial"/>
        </w:rPr>
      </w:pPr>
    </w:p>
    <w:p w:rsidR="007D48BC" w:rsidRDefault="007D48BC" w:rsidP="00BB5F27">
      <w:pPr>
        <w:pStyle w:val="Ttulo2"/>
        <w:pBdr>
          <w:top w:val="single" w:sz="4" w:space="1" w:color="auto"/>
          <w:left w:val="single" w:sz="4" w:space="4" w:color="auto"/>
          <w:bottom w:val="single" w:sz="4" w:space="1" w:color="auto"/>
          <w:right w:val="single" w:sz="4" w:space="4" w:color="auto"/>
        </w:pBdr>
        <w:shd w:val="clear" w:color="auto" w:fill="D9D9D9"/>
        <w:rPr>
          <w:sz w:val="20"/>
          <w:szCs w:val="20"/>
        </w:rPr>
      </w:pPr>
      <w:bookmarkStart w:id="87" w:name="_Toc348931455"/>
      <w:r>
        <w:rPr>
          <w:sz w:val="20"/>
          <w:szCs w:val="20"/>
        </w:rPr>
        <w:t>7.3.3 Coste-utilidad. Estudios propios</w:t>
      </w:r>
      <w:bookmarkEnd w:id="87"/>
      <w:r w:rsidR="00FE59AC">
        <w:rPr>
          <w:sz w:val="20"/>
          <w:szCs w:val="20"/>
        </w:rPr>
        <w:fldChar w:fldCharType="begin"/>
      </w:r>
      <w:r>
        <w:instrText>xe "</w:instrText>
      </w:r>
      <w:r w:rsidRPr="00A14839">
        <w:rPr>
          <w:sz w:val="20"/>
          <w:szCs w:val="20"/>
        </w:rPr>
        <w:instrText>7.3.3 Coste-utilidad. Estudios propios</w:instrText>
      </w:r>
      <w:r>
        <w:instrText>"</w:instrText>
      </w:r>
      <w:r w:rsidR="00FE59AC">
        <w:rPr>
          <w:sz w:val="20"/>
          <w:szCs w:val="20"/>
        </w:rPr>
        <w:fldChar w:fldCharType="end"/>
      </w:r>
    </w:p>
    <w:p w:rsidR="007D48BC" w:rsidRDefault="007D48BC" w:rsidP="00BB5F27">
      <w:pPr>
        <w:pStyle w:val="Encabezado"/>
        <w:tabs>
          <w:tab w:val="clear" w:pos="4252"/>
          <w:tab w:val="clear" w:pos="8504"/>
        </w:tabs>
        <w:rPr>
          <w:rFonts w:ascii="Arial" w:hAnsi="Arial" w:cs="Arial"/>
        </w:rPr>
      </w:pPr>
    </w:p>
    <w:p w:rsidR="007D48BC" w:rsidRPr="00BB5F27" w:rsidRDefault="007D48BC" w:rsidP="00BB5F27">
      <w:pPr>
        <w:pStyle w:val="Encabezado"/>
        <w:tabs>
          <w:tab w:val="clear" w:pos="4252"/>
          <w:tab w:val="clear" w:pos="8504"/>
        </w:tabs>
        <w:jc w:val="both"/>
        <w:rPr>
          <w:rFonts w:ascii="Arial" w:hAnsi="Arial" w:cs="Arial"/>
          <w:sz w:val="20"/>
          <w:szCs w:val="20"/>
        </w:rPr>
      </w:pPr>
      <w:r w:rsidRPr="00BB5F27">
        <w:rPr>
          <w:rFonts w:ascii="Arial" w:hAnsi="Arial" w:cs="Arial"/>
          <w:sz w:val="20"/>
          <w:szCs w:val="20"/>
        </w:rPr>
        <w:t>No procede</w:t>
      </w:r>
    </w:p>
    <w:p w:rsidR="007D48BC" w:rsidRDefault="007D48BC" w:rsidP="00BB5F27">
      <w:pPr>
        <w:pStyle w:val="Encabezado"/>
        <w:tabs>
          <w:tab w:val="clear" w:pos="4252"/>
          <w:tab w:val="clear" w:pos="8504"/>
        </w:tabs>
        <w:jc w:val="both"/>
        <w:rPr>
          <w:rFonts w:ascii="Arial" w:hAnsi="Arial" w:cs="Arial"/>
        </w:rPr>
      </w:pPr>
    </w:p>
    <w:p w:rsidR="007D48BC" w:rsidRDefault="007D48BC" w:rsidP="00BB5F27">
      <w:pPr>
        <w:pStyle w:val="Ttulo2"/>
        <w:pBdr>
          <w:top w:val="single" w:sz="4" w:space="1" w:color="auto"/>
          <w:left w:val="single" w:sz="4" w:space="4" w:color="auto"/>
          <w:bottom w:val="single" w:sz="4" w:space="1" w:color="auto"/>
          <w:right w:val="single" w:sz="4" w:space="4" w:color="auto"/>
        </w:pBdr>
        <w:shd w:val="clear" w:color="auto" w:fill="D9D9D9"/>
        <w:rPr>
          <w:sz w:val="20"/>
          <w:szCs w:val="20"/>
        </w:rPr>
      </w:pPr>
      <w:r w:rsidRPr="0029195A">
        <w:rPr>
          <w:sz w:val="20"/>
          <w:szCs w:val="20"/>
        </w:rPr>
        <w:t>7.3.4. Análisis de sensibilidad</w:t>
      </w:r>
      <w:r w:rsidR="00FE59AC">
        <w:rPr>
          <w:sz w:val="20"/>
          <w:szCs w:val="20"/>
        </w:rPr>
        <w:fldChar w:fldCharType="begin"/>
      </w:r>
      <w:r>
        <w:instrText>xe "</w:instrText>
      </w:r>
      <w:r w:rsidRPr="003019DF">
        <w:rPr>
          <w:sz w:val="20"/>
          <w:szCs w:val="20"/>
        </w:rPr>
        <w:instrText>7.3.4. Análisis de sensibilidad</w:instrText>
      </w:r>
      <w:r>
        <w:instrText>"</w:instrText>
      </w:r>
      <w:r w:rsidR="00FE59AC">
        <w:rPr>
          <w:sz w:val="20"/>
          <w:szCs w:val="20"/>
        </w:rPr>
        <w:fldChar w:fldCharType="end"/>
      </w:r>
    </w:p>
    <w:p w:rsidR="007D48BC" w:rsidRDefault="007D48BC" w:rsidP="00BB5F27">
      <w:pPr>
        <w:pStyle w:val="Encabezado"/>
        <w:tabs>
          <w:tab w:val="clear" w:pos="4252"/>
          <w:tab w:val="clear" w:pos="8504"/>
        </w:tabs>
        <w:ind w:left="360"/>
        <w:rPr>
          <w:rFonts w:ascii="Arial" w:hAnsi="Arial" w:cs="Arial"/>
        </w:rPr>
      </w:pPr>
    </w:p>
    <w:p w:rsidR="007D48BC" w:rsidRPr="005A4729" w:rsidRDefault="007D48BC" w:rsidP="00EB3E08">
      <w:pPr>
        <w:snapToGrid w:val="0"/>
        <w:spacing w:line="360" w:lineRule="auto"/>
        <w:jc w:val="both"/>
        <w:rPr>
          <w:rFonts w:ascii="Arial" w:hAnsi="Arial" w:cs="Arial"/>
        </w:rPr>
      </w:pPr>
      <w:r w:rsidRPr="005A4729">
        <w:rPr>
          <w:rFonts w:ascii="Arial" w:hAnsi="Arial" w:cs="Arial"/>
        </w:rPr>
        <w:t xml:space="preserve">Uno de los principales puntos de incertidumbre en este tratamiento es el porcentaje de pacientes que no llegan a recibir el fármaco debido a problemas en el proceso de elaboración de este o a que fallecen antes de que esté listo. Al realizar un análisis de sensibilidad con los datos de eficacia para el total de pacientes incluidos en el ensayo la tasa de </w:t>
      </w:r>
      <w:r w:rsidR="00C349B4">
        <w:rPr>
          <w:rFonts w:ascii="Arial" w:hAnsi="Arial" w:cs="Arial"/>
        </w:rPr>
        <w:t xml:space="preserve">respuestas según el investigador </w:t>
      </w:r>
      <w:r w:rsidRPr="005A4729">
        <w:rPr>
          <w:rFonts w:ascii="Arial" w:hAnsi="Arial" w:cs="Arial"/>
        </w:rPr>
        <w:t xml:space="preserve">disminuye al </w:t>
      </w:r>
      <w:r w:rsidRPr="00ED514B">
        <w:rPr>
          <w:rFonts w:ascii="Arial" w:hAnsi="Arial" w:cs="Arial"/>
        </w:rPr>
        <w:t>77% (IC 95% 69-85%)</w:t>
      </w:r>
      <w:r w:rsidR="00C349B4">
        <w:rPr>
          <w:rFonts w:ascii="Arial" w:hAnsi="Arial" w:cs="Arial"/>
        </w:rPr>
        <w:t xml:space="preserve"> ITT (resultado principal en los pacientes infundidos, tasa de respuesta según el investigador 83% (IC 95% 74-90%)</w:t>
      </w:r>
    </w:p>
    <w:p w:rsidR="007D48BC" w:rsidRDefault="007D48BC" w:rsidP="00471A41">
      <w:pPr>
        <w:pStyle w:val="Encabezado"/>
        <w:tabs>
          <w:tab w:val="clear" w:pos="4252"/>
          <w:tab w:val="clear" w:pos="8504"/>
        </w:tabs>
        <w:jc w:val="both"/>
        <w:rPr>
          <w:rFonts w:ascii="Arial" w:hAnsi="Arial" w:cs="Arial"/>
        </w:rPr>
      </w:pPr>
    </w:p>
    <w:p w:rsidR="007D48BC" w:rsidRDefault="007D48BC" w:rsidP="00C845C0">
      <w:pPr>
        <w:pBdr>
          <w:top w:val="single" w:sz="4" w:space="1" w:color="auto"/>
          <w:left w:val="single" w:sz="4" w:space="4" w:color="auto"/>
          <w:bottom w:val="single" w:sz="4" w:space="1" w:color="auto"/>
          <w:right w:val="single" w:sz="4" w:space="4" w:color="auto"/>
        </w:pBdr>
        <w:shd w:val="clear" w:color="auto" w:fill="D9D9D9"/>
        <w:rPr>
          <w:rFonts w:ascii="Arial" w:hAnsi="Arial" w:cs="Arial"/>
        </w:rPr>
      </w:pPr>
      <w:r>
        <w:rPr>
          <w:rFonts w:ascii="Arial" w:hAnsi="Arial" w:cs="Arial"/>
          <w:b/>
          <w:bCs/>
        </w:rPr>
        <w:t>7.4. Estimación del impacto presupuestario y de los beneficios esperados en salud</w:t>
      </w:r>
      <w:r w:rsidR="00FE59AC">
        <w:rPr>
          <w:rFonts w:ascii="Arial" w:hAnsi="Arial" w:cs="Arial"/>
          <w:b/>
          <w:bCs/>
        </w:rPr>
        <w:fldChar w:fldCharType="begin"/>
      </w:r>
      <w:r>
        <w:instrText>xe "</w:instrText>
      </w:r>
      <w:r w:rsidRPr="008542CB">
        <w:rPr>
          <w:rFonts w:ascii="Arial" w:hAnsi="Arial" w:cs="Arial"/>
          <w:b/>
          <w:bCs/>
        </w:rPr>
        <w:instrText>7.4. Estimación del impacto presupuestario y de los beneficios esperados en salud</w:instrText>
      </w:r>
      <w:r>
        <w:instrText>"</w:instrText>
      </w:r>
      <w:r w:rsidR="00FE59AC">
        <w:rPr>
          <w:rFonts w:ascii="Arial" w:hAnsi="Arial" w:cs="Arial"/>
          <w:b/>
          <w:bCs/>
        </w:rPr>
        <w:fldChar w:fldCharType="end"/>
      </w:r>
    </w:p>
    <w:p w:rsidR="007D48BC" w:rsidRDefault="007D48BC" w:rsidP="00C845C0">
      <w:pPr>
        <w:jc w:val="both"/>
        <w:rPr>
          <w:rFonts w:ascii="Arial" w:hAnsi="Arial" w:cs="Arial"/>
        </w:rPr>
      </w:pPr>
    </w:p>
    <w:p w:rsidR="007D48BC" w:rsidRDefault="007D48BC" w:rsidP="00C845C0">
      <w:pPr>
        <w:pBdr>
          <w:top w:val="single" w:sz="4" w:space="1" w:color="auto"/>
          <w:left w:val="single" w:sz="4" w:space="4" w:color="auto"/>
          <w:bottom w:val="single" w:sz="4" w:space="1" w:color="auto"/>
          <w:right w:val="single" w:sz="4" w:space="4" w:color="auto"/>
        </w:pBdr>
        <w:shd w:val="clear" w:color="auto" w:fill="D9D9D9"/>
        <w:rPr>
          <w:rFonts w:ascii="Arial" w:hAnsi="Arial" w:cs="Arial"/>
          <w:b/>
          <w:bCs/>
        </w:rPr>
      </w:pPr>
      <w:r>
        <w:rPr>
          <w:rFonts w:ascii="Arial" w:hAnsi="Arial" w:cs="Arial"/>
          <w:b/>
          <w:bCs/>
        </w:rPr>
        <w:t>7.4.1. Estimación de la población diana</w:t>
      </w:r>
      <w:r w:rsidR="00FE59AC">
        <w:rPr>
          <w:rFonts w:ascii="Arial" w:hAnsi="Arial" w:cs="Arial"/>
          <w:b/>
          <w:bCs/>
        </w:rPr>
        <w:fldChar w:fldCharType="begin"/>
      </w:r>
      <w:r>
        <w:instrText>xe "</w:instrText>
      </w:r>
      <w:r w:rsidRPr="00023AD4">
        <w:rPr>
          <w:rFonts w:ascii="Arial" w:hAnsi="Arial" w:cs="Arial"/>
          <w:b/>
          <w:bCs/>
        </w:rPr>
        <w:instrText>7.4.1. Estimación de la población diana</w:instrText>
      </w:r>
      <w:r>
        <w:instrText>"</w:instrText>
      </w:r>
      <w:r w:rsidR="00FE59AC">
        <w:rPr>
          <w:rFonts w:ascii="Arial" w:hAnsi="Arial" w:cs="Arial"/>
          <w:b/>
          <w:bCs/>
        </w:rPr>
        <w:fldChar w:fldCharType="end"/>
      </w:r>
    </w:p>
    <w:p w:rsidR="007D48BC" w:rsidRDefault="007D48BC" w:rsidP="00CC505C">
      <w:pPr>
        <w:jc w:val="both"/>
        <w:rPr>
          <w:rFonts w:ascii="Arial" w:hAnsi="Arial" w:cs="Arial"/>
        </w:rPr>
      </w:pPr>
    </w:p>
    <w:tbl>
      <w:tblPr>
        <w:tblW w:w="8931" w:type="dxa"/>
        <w:tblInd w:w="-68" w:type="dxa"/>
        <w:tblLayout w:type="fixed"/>
        <w:tblCellMar>
          <w:left w:w="70" w:type="dxa"/>
          <w:right w:w="70" w:type="dxa"/>
        </w:tblCellMar>
        <w:tblLook w:val="00A0"/>
      </w:tblPr>
      <w:tblGrid>
        <w:gridCol w:w="7718"/>
        <w:gridCol w:w="1213"/>
      </w:tblGrid>
      <w:tr w:rsidR="007D48BC" w:rsidRPr="00202FE8">
        <w:trPr>
          <w:trHeight w:val="360"/>
        </w:trPr>
        <w:tc>
          <w:tcPr>
            <w:tcW w:w="8931" w:type="dxa"/>
            <w:gridSpan w:val="2"/>
            <w:tcBorders>
              <w:top w:val="single" w:sz="4" w:space="0" w:color="auto"/>
              <w:left w:val="single" w:sz="4" w:space="0" w:color="auto"/>
              <w:bottom w:val="single" w:sz="4" w:space="0" w:color="auto"/>
              <w:right w:val="single" w:sz="4" w:space="0" w:color="auto"/>
            </w:tcBorders>
            <w:shd w:val="clear" w:color="000000" w:fill="B6DDE8"/>
            <w:vAlign w:val="center"/>
          </w:tcPr>
          <w:p w:rsidR="007D48BC" w:rsidRPr="00202FE8" w:rsidRDefault="007D48BC" w:rsidP="00202FE8">
            <w:pPr>
              <w:spacing w:after="160" w:line="259" w:lineRule="auto"/>
              <w:rPr>
                <w:rFonts w:ascii="Arial" w:eastAsia="等?" w:hAnsi="Arial" w:cs="Arial"/>
                <w:b/>
                <w:bCs/>
              </w:rPr>
            </w:pPr>
            <w:bookmarkStart w:id="88" w:name="RANGE_A1"/>
            <w:r w:rsidRPr="00202FE8">
              <w:rPr>
                <w:rFonts w:ascii="Arial" w:eastAsia="等?" w:hAnsi="Arial" w:cs="Arial"/>
                <w:b/>
                <w:bCs/>
              </w:rPr>
              <w:t xml:space="preserve">Tabla </w:t>
            </w:r>
            <w:r>
              <w:rPr>
                <w:rFonts w:ascii="Arial" w:eastAsia="等?" w:hAnsi="Arial" w:cs="Arial"/>
                <w:b/>
                <w:bCs/>
              </w:rPr>
              <w:t>18</w:t>
            </w:r>
            <w:r w:rsidRPr="00202FE8">
              <w:rPr>
                <w:rFonts w:ascii="Arial" w:eastAsia="等?" w:hAnsi="Arial" w:cs="Arial"/>
                <w:b/>
                <w:bCs/>
              </w:rPr>
              <w:t xml:space="preserve">. Estimación de la población diana en tratamientos de duración limitada.       </w:t>
            </w:r>
            <w:bookmarkEnd w:id="88"/>
          </w:p>
        </w:tc>
      </w:tr>
      <w:tr w:rsidR="007D48BC" w:rsidRPr="00202FE8">
        <w:trPr>
          <w:trHeight w:val="255"/>
        </w:trPr>
        <w:tc>
          <w:tcPr>
            <w:tcW w:w="8931" w:type="dxa"/>
            <w:gridSpan w:val="2"/>
            <w:tcBorders>
              <w:top w:val="single" w:sz="4" w:space="0" w:color="auto"/>
              <w:left w:val="single" w:sz="4" w:space="0" w:color="auto"/>
              <w:bottom w:val="single" w:sz="4" w:space="0" w:color="auto"/>
              <w:right w:val="single" w:sz="4" w:space="0" w:color="auto"/>
            </w:tcBorders>
            <w:vAlign w:val="center"/>
          </w:tcPr>
          <w:p w:rsidR="007D48BC" w:rsidRPr="00A43963" w:rsidRDefault="007D48BC" w:rsidP="00542A13">
            <w:pPr>
              <w:spacing w:line="259" w:lineRule="auto"/>
              <w:rPr>
                <w:rFonts w:ascii="Arial" w:eastAsia="等?" w:hAnsi="Arial" w:cs="Arial"/>
                <w:b/>
                <w:bCs/>
              </w:rPr>
            </w:pPr>
            <w:r w:rsidRPr="00A43963">
              <w:rPr>
                <w:rFonts w:ascii="Arial" w:eastAsia="等?" w:hAnsi="Arial" w:cs="Arial"/>
                <w:b/>
                <w:bCs/>
              </w:rPr>
              <w:t xml:space="preserve">Fármaco e indicación: Axicabtagen </w:t>
            </w:r>
            <w:r>
              <w:rPr>
                <w:rFonts w:ascii="Arial" w:eastAsia="等?" w:hAnsi="Arial" w:cs="Arial"/>
                <w:b/>
                <w:bCs/>
              </w:rPr>
              <w:t>c</w:t>
            </w:r>
            <w:r w:rsidRPr="00A43963">
              <w:rPr>
                <w:rFonts w:ascii="Arial" w:eastAsia="等?" w:hAnsi="Arial" w:cs="Arial"/>
                <w:b/>
                <w:bCs/>
              </w:rPr>
              <w:t xml:space="preserve">iloleucel en </w:t>
            </w:r>
            <w:r w:rsidR="008258E3">
              <w:rPr>
                <w:rFonts w:ascii="Arial" w:eastAsia="等?" w:hAnsi="Arial" w:cs="Arial"/>
                <w:b/>
                <w:bCs/>
              </w:rPr>
              <w:t>LDCBG</w:t>
            </w:r>
            <w:r w:rsidRPr="00A43963">
              <w:rPr>
                <w:rFonts w:ascii="Arial" w:eastAsia="等?" w:hAnsi="Arial" w:cs="Arial"/>
                <w:b/>
                <w:bCs/>
              </w:rPr>
              <w:t xml:space="preserve"> R/R</w:t>
            </w:r>
          </w:p>
        </w:tc>
      </w:tr>
      <w:tr w:rsidR="007D48BC" w:rsidRPr="00202FE8">
        <w:trPr>
          <w:trHeight w:val="225"/>
        </w:trPr>
        <w:tc>
          <w:tcPr>
            <w:tcW w:w="8931" w:type="dxa"/>
            <w:gridSpan w:val="2"/>
            <w:tcBorders>
              <w:top w:val="single" w:sz="4" w:space="0" w:color="auto"/>
              <w:left w:val="single" w:sz="4" w:space="0" w:color="auto"/>
              <w:bottom w:val="single" w:sz="4" w:space="0" w:color="auto"/>
              <w:right w:val="single" w:sz="4" w:space="0" w:color="auto"/>
            </w:tcBorders>
            <w:vAlign w:val="center"/>
          </w:tcPr>
          <w:p w:rsidR="007D48BC" w:rsidRPr="00A43963" w:rsidRDefault="007D48BC" w:rsidP="00A43963">
            <w:pPr>
              <w:spacing w:line="259" w:lineRule="auto"/>
              <w:rPr>
                <w:rFonts w:ascii="Arial" w:eastAsia="等?" w:hAnsi="Arial" w:cs="Arial"/>
              </w:rPr>
            </w:pPr>
            <w:r w:rsidRPr="00A43963">
              <w:rPr>
                <w:rFonts w:ascii="Arial" w:eastAsia="等?" w:hAnsi="Arial" w:cs="Arial"/>
                <w:b/>
                <w:bCs/>
              </w:rPr>
              <w:t>Escenario</w:t>
            </w:r>
            <w:r w:rsidRPr="00A43963">
              <w:rPr>
                <w:rFonts w:ascii="Arial" w:eastAsia="等?" w:hAnsi="Arial" w:cs="Arial"/>
              </w:rPr>
              <w:t xml:space="preserve">: </w:t>
            </w:r>
            <w:r w:rsidR="008258E3">
              <w:rPr>
                <w:rFonts w:ascii="Arial" w:eastAsia="等?" w:hAnsi="Arial" w:cs="Arial"/>
              </w:rPr>
              <w:t>LDCBG</w:t>
            </w:r>
            <w:r w:rsidRPr="00A43963">
              <w:rPr>
                <w:rFonts w:ascii="Arial" w:eastAsia="等?" w:hAnsi="Arial" w:cs="Arial"/>
              </w:rPr>
              <w:t xml:space="preserve"> en recaída tras fracaso a </w:t>
            </w:r>
            <w:r>
              <w:rPr>
                <w:rFonts w:ascii="Arial" w:eastAsia="等?" w:hAnsi="Arial" w:cs="Arial"/>
              </w:rPr>
              <w:t>2</w:t>
            </w:r>
            <w:r w:rsidRPr="00A43963">
              <w:rPr>
                <w:rFonts w:ascii="Arial" w:eastAsia="等?" w:hAnsi="Arial" w:cs="Arial"/>
              </w:rPr>
              <w:t>ª línea con esquema habitual</w:t>
            </w:r>
          </w:p>
        </w:tc>
      </w:tr>
      <w:tr w:rsidR="007D48BC" w:rsidRPr="00202FE8">
        <w:trPr>
          <w:trHeight w:val="435"/>
        </w:trPr>
        <w:tc>
          <w:tcPr>
            <w:tcW w:w="8931" w:type="dxa"/>
            <w:gridSpan w:val="2"/>
            <w:tcBorders>
              <w:top w:val="single" w:sz="4" w:space="0" w:color="auto"/>
              <w:left w:val="single" w:sz="4" w:space="0" w:color="auto"/>
              <w:bottom w:val="single" w:sz="4" w:space="0" w:color="auto"/>
              <w:right w:val="single" w:sz="4" w:space="0" w:color="auto"/>
            </w:tcBorders>
            <w:vAlign w:val="center"/>
          </w:tcPr>
          <w:p w:rsidR="007D48BC" w:rsidRPr="00A43963" w:rsidRDefault="007D48BC" w:rsidP="00A43963">
            <w:pPr>
              <w:spacing w:line="259" w:lineRule="auto"/>
              <w:rPr>
                <w:rFonts w:ascii="Arial" w:eastAsia="等?" w:hAnsi="Arial" w:cs="Arial"/>
              </w:rPr>
            </w:pPr>
            <w:r w:rsidRPr="00A43963">
              <w:rPr>
                <w:rFonts w:ascii="Arial" w:eastAsia="等?" w:hAnsi="Arial" w:cs="Arial"/>
                <w:b/>
                <w:bCs/>
              </w:rPr>
              <w:t>Ámbito y horizonte temporal</w:t>
            </w:r>
            <w:r w:rsidRPr="00A43963">
              <w:rPr>
                <w:rFonts w:ascii="Arial" w:eastAsia="等?" w:hAnsi="Arial" w:cs="Arial"/>
              </w:rPr>
              <w:t>: Ámbito estatal (España). Anual</w:t>
            </w:r>
          </w:p>
        </w:tc>
      </w:tr>
      <w:tr w:rsidR="007D48BC" w:rsidRPr="00202FE8">
        <w:trPr>
          <w:trHeight w:val="420"/>
        </w:trPr>
        <w:tc>
          <w:tcPr>
            <w:tcW w:w="8931" w:type="dxa"/>
            <w:gridSpan w:val="2"/>
            <w:tcBorders>
              <w:top w:val="single" w:sz="4" w:space="0" w:color="auto"/>
              <w:left w:val="single" w:sz="4" w:space="0" w:color="auto"/>
              <w:bottom w:val="single" w:sz="4" w:space="0" w:color="auto"/>
              <w:right w:val="single" w:sz="4" w:space="0" w:color="auto"/>
            </w:tcBorders>
            <w:vAlign w:val="center"/>
          </w:tcPr>
          <w:p w:rsidR="007D48BC" w:rsidRPr="00A43963" w:rsidRDefault="007D48BC" w:rsidP="00A43963">
            <w:pPr>
              <w:spacing w:line="259" w:lineRule="auto"/>
              <w:rPr>
                <w:rFonts w:ascii="Arial" w:eastAsia="等?" w:hAnsi="Arial" w:cs="Arial"/>
              </w:rPr>
            </w:pPr>
            <w:r w:rsidRPr="00A43963">
              <w:rPr>
                <w:rFonts w:ascii="Arial" w:eastAsia="等?" w:hAnsi="Arial" w:cs="Arial"/>
                <w:b/>
                <w:bCs/>
              </w:rPr>
              <w:t>Estimación:</w:t>
            </w:r>
            <w:r w:rsidRPr="00A43963">
              <w:rPr>
                <w:rFonts w:ascii="Arial" w:eastAsia="等?" w:hAnsi="Arial" w:cs="Arial"/>
              </w:rPr>
              <w:t xml:space="preserve"> Se extraen los datos de la </w:t>
            </w:r>
            <w:r>
              <w:rPr>
                <w:rFonts w:ascii="Arial" w:eastAsia="等?" w:hAnsi="Arial" w:cs="Arial"/>
              </w:rPr>
              <w:t>prevalencia de l</w:t>
            </w:r>
            <w:r w:rsidRPr="00A43963">
              <w:rPr>
                <w:rFonts w:ascii="Arial" w:eastAsia="等?" w:hAnsi="Arial" w:cs="Arial"/>
              </w:rPr>
              <w:t xml:space="preserve">as cifras del cáncer en España (SEOM). Datos de 2015 (1), </w:t>
            </w:r>
          </w:p>
        </w:tc>
      </w:tr>
      <w:tr w:rsidR="007D48BC" w:rsidRPr="00202FE8">
        <w:trPr>
          <w:trHeight w:val="435"/>
        </w:trPr>
        <w:tc>
          <w:tcPr>
            <w:tcW w:w="7718" w:type="dxa"/>
            <w:tcBorders>
              <w:top w:val="nil"/>
              <w:left w:val="single" w:sz="4" w:space="0" w:color="auto"/>
              <w:bottom w:val="single" w:sz="4" w:space="0" w:color="auto"/>
              <w:right w:val="single" w:sz="4" w:space="0" w:color="auto"/>
            </w:tcBorders>
            <w:shd w:val="clear" w:color="000000" w:fill="D9D9D9"/>
            <w:vAlign w:val="center"/>
          </w:tcPr>
          <w:p w:rsidR="007D48BC" w:rsidRPr="00A43963" w:rsidRDefault="007D48BC" w:rsidP="00A43963">
            <w:pPr>
              <w:spacing w:line="259" w:lineRule="auto"/>
              <w:rPr>
                <w:rFonts w:ascii="Arial" w:eastAsia="等?" w:hAnsi="Arial" w:cs="Arial"/>
                <w:b/>
                <w:bCs/>
              </w:rPr>
            </w:pPr>
            <w:r w:rsidRPr="00A43963">
              <w:rPr>
                <w:rFonts w:ascii="Arial" w:eastAsia="等?" w:hAnsi="Arial" w:cs="Arial"/>
                <w:b/>
                <w:bCs/>
              </w:rPr>
              <w:t>Ámbito</w:t>
            </w:r>
          </w:p>
        </w:tc>
        <w:tc>
          <w:tcPr>
            <w:tcW w:w="1213" w:type="dxa"/>
            <w:tcBorders>
              <w:top w:val="nil"/>
              <w:left w:val="nil"/>
              <w:bottom w:val="single" w:sz="4" w:space="0" w:color="auto"/>
              <w:right w:val="single" w:sz="4" w:space="0" w:color="auto"/>
            </w:tcBorders>
            <w:shd w:val="clear" w:color="000000" w:fill="D9D9D9"/>
            <w:vAlign w:val="center"/>
          </w:tcPr>
          <w:p w:rsidR="007D48BC" w:rsidRPr="00A43963" w:rsidRDefault="007D48BC" w:rsidP="00A43963">
            <w:pPr>
              <w:spacing w:line="259" w:lineRule="auto"/>
              <w:ind w:hanging="125"/>
              <w:jc w:val="center"/>
              <w:rPr>
                <w:rFonts w:ascii="Arial" w:eastAsia="等?" w:hAnsi="Arial" w:cs="Arial"/>
              </w:rPr>
            </w:pPr>
            <w:r w:rsidRPr="00A43963">
              <w:rPr>
                <w:rFonts w:ascii="Arial" w:eastAsia="等?" w:hAnsi="Arial" w:cs="Arial"/>
              </w:rPr>
              <w:t>España</w:t>
            </w:r>
          </w:p>
        </w:tc>
      </w:tr>
      <w:tr w:rsidR="007D48BC" w:rsidRPr="00202FE8">
        <w:trPr>
          <w:trHeight w:val="255"/>
        </w:trPr>
        <w:tc>
          <w:tcPr>
            <w:tcW w:w="7718" w:type="dxa"/>
            <w:tcBorders>
              <w:top w:val="nil"/>
              <w:left w:val="single" w:sz="4" w:space="0" w:color="auto"/>
              <w:bottom w:val="single" w:sz="4" w:space="0" w:color="auto"/>
              <w:right w:val="single" w:sz="4" w:space="0" w:color="auto"/>
            </w:tcBorders>
            <w:vAlign w:val="center"/>
          </w:tcPr>
          <w:p w:rsidR="007D48BC" w:rsidRPr="0084050B" w:rsidRDefault="007D48BC" w:rsidP="0084050B">
            <w:pPr>
              <w:spacing w:line="259" w:lineRule="auto"/>
              <w:rPr>
                <w:rFonts w:ascii="Arial" w:eastAsia="等?" w:hAnsi="Arial" w:cs="Arial"/>
              </w:rPr>
            </w:pPr>
            <w:r w:rsidRPr="0084050B">
              <w:rPr>
                <w:rFonts w:ascii="Arial" w:eastAsia="等?" w:hAnsi="Arial" w:cs="Arial"/>
              </w:rPr>
              <w:t>0. Población de referencia</w:t>
            </w:r>
          </w:p>
        </w:tc>
        <w:tc>
          <w:tcPr>
            <w:tcW w:w="1213" w:type="dxa"/>
            <w:tcBorders>
              <w:top w:val="nil"/>
              <w:left w:val="nil"/>
              <w:bottom w:val="single" w:sz="4" w:space="0" w:color="auto"/>
              <w:right w:val="single" w:sz="4" w:space="0" w:color="auto"/>
            </w:tcBorders>
            <w:vAlign w:val="center"/>
          </w:tcPr>
          <w:p w:rsidR="007D48BC" w:rsidRPr="00154133" w:rsidRDefault="007D48BC" w:rsidP="0084050B">
            <w:pPr>
              <w:spacing w:before="30"/>
              <w:ind w:right="60"/>
              <w:jc w:val="center"/>
              <w:rPr>
                <w:rFonts w:ascii="Arial" w:hAnsi="Arial" w:cs="Arial"/>
                <w:color w:val="333333"/>
                <w:sz w:val="19"/>
                <w:szCs w:val="19"/>
              </w:rPr>
            </w:pPr>
            <w:r w:rsidRPr="00154133">
              <w:rPr>
                <w:rFonts w:ascii="Arial" w:hAnsi="Arial" w:cs="Arial"/>
                <w:color w:val="333333"/>
              </w:rPr>
              <w:t>46.733.038</w:t>
            </w:r>
          </w:p>
        </w:tc>
      </w:tr>
      <w:tr w:rsidR="007D48BC" w:rsidRPr="00202FE8">
        <w:trPr>
          <w:trHeight w:val="255"/>
        </w:trPr>
        <w:tc>
          <w:tcPr>
            <w:tcW w:w="7718" w:type="dxa"/>
            <w:tcBorders>
              <w:top w:val="nil"/>
              <w:left w:val="single" w:sz="4" w:space="0" w:color="auto"/>
              <w:bottom w:val="single" w:sz="4" w:space="0" w:color="auto"/>
              <w:right w:val="single" w:sz="4" w:space="0" w:color="auto"/>
            </w:tcBorders>
            <w:vAlign w:val="center"/>
          </w:tcPr>
          <w:p w:rsidR="007D48BC" w:rsidRPr="0084050B" w:rsidRDefault="007D48BC" w:rsidP="0084050B">
            <w:pPr>
              <w:spacing w:line="259" w:lineRule="auto"/>
              <w:rPr>
                <w:rFonts w:ascii="Arial" w:eastAsia="等?" w:hAnsi="Arial" w:cs="Arial"/>
              </w:rPr>
            </w:pPr>
            <w:r w:rsidRPr="0084050B">
              <w:rPr>
                <w:rFonts w:ascii="Arial" w:eastAsia="等?" w:hAnsi="Arial" w:cs="Arial"/>
              </w:rPr>
              <w:t>1. Linfoma no Hodgkin (2)</w:t>
            </w:r>
          </w:p>
        </w:tc>
        <w:tc>
          <w:tcPr>
            <w:tcW w:w="1213" w:type="dxa"/>
            <w:tcBorders>
              <w:top w:val="nil"/>
              <w:left w:val="nil"/>
              <w:bottom w:val="single" w:sz="4" w:space="0" w:color="auto"/>
              <w:right w:val="single" w:sz="4" w:space="0" w:color="auto"/>
            </w:tcBorders>
            <w:vAlign w:val="center"/>
          </w:tcPr>
          <w:p w:rsidR="007D48BC" w:rsidRPr="00154133" w:rsidRDefault="007D48BC" w:rsidP="0084050B">
            <w:pPr>
              <w:spacing w:before="30"/>
              <w:ind w:right="60"/>
              <w:jc w:val="center"/>
              <w:rPr>
                <w:rFonts w:ascii="Arial" w:hAnsi="Arial" w:cs="Arial"/>
                <w:color w:val="333333"/>
              </w:rPr>
            </w:pPr>
            <w:r>
              <w:rPr>
                <w:rFonts w:ascii="Arial" w:hAnsi="Arial" w:cs="Arial"/>
                <w:color w:val="333333"/>
              </w:rPr>
              <w:t>7.670</w:t>
            </w:r>
          </w:p>
        </w:tc>
      </w:tr>
      <w:tr w:rsidR="007D48BC" w:rsidRPr="00202FE8">
        <w:trPr>
          <w:trHeight w:val="360"/>
        </w:trPr>
        <w:tc>
          <w:tcPr>
            <w:tcW w:w="7718" w:type="dxa"/>
            <w:tcBorders>
              <w:top w:val="nil"/>
              <w:left w:val="single" w:sz="4" w:space="0" w:color="auto"/>
              <w:bottom w:val="single" w:sz="4" w:space="0" w:color="auto"/>
              <w:right w:val="single" w:sz="4" w:space="0" w:color="auto"/>
            </w:tcBorders>
            <w:vAlign w:val="center"/>
          </w:tcPr>
          <w:p w:rsidR="007D48BC" w:rsidRPr="000114E3" w:rsidRDefault="007D48BC" w:rsidP="0084050B">
            <w:pPr>
              <w:spacing w:line="259" w:lineRule="auto"/>
              <w:rPr>
                <w:rFonts w:ascii="Arial" w:eastAsia="等?" w:hAnsi="Arial"/>
              </w:rPr>
            </w:pPr>
            <w:r w:rsidRPr="000114E3">
              <w:rPr>
                <w:rFonts w:ascii="Arial" w:eastAsia="等?" w:hAnsi="Arial" w:cs="Arial"/>
              </w:rPr>
              <w:t xml:space="preserve">A. Diagnósticos de </w:t>
            </w:r>
            <w:r w:rsidR="008258E3">
              <w:rPr>
                <w:rFonts w:ascii="Arial" w:eastAsia="等?" w:hAnsi="Arial" w:cs="Arial"/>
              </w:rPr>
              <w:t>LDCBG</w:t>
            </w:r>
            <w:r w:rsidRPr="000114E3">
              <w:rPr>
                <w:rFonts w:ascii="Arial" w:eastAsia="等?" w:hAnsi="Arial" w:cs="Arial"/>
              </w:rPr>
              <w:t xml:space="preserve"> (3) (30%)</w:t>
            </w:r>
          </w:p>
        </w:tc>
        <w:tc>
          <w:tcPr>
            <w:tcW w:w="1213" w:type="dxa"/>
            <w:tcBorders>
              <w:top w:val="nil"/>
              <w:left w:val="nil"/>
              <w:bottom w:val="single" w:sz="4" w:space="0" w:color="auto"/>
              <w:right w:val="single" w:sz="4" w:space="0" w:color="auto"/>
            </w:tcBorders>
            <w:vAlign w:val="center"/>
          </w:tcPr>
          <w:p w:rsidR="007D48BC" w:rsidRPr="00154133" w:rsidRDefault="007D48BC" w:rsidP="0084050B">
            <w:pPr>
              <w:spacing w:before="30"/>
              <w:ind w:right="60"/>
              <w:jc w:val="center"/>
              <w:rPr>
                <w:rFonts w:ascii="Arial" w:hAnsi="Arial" w:cs="Arial"/>
                <w:color w:val="333333"/>
              </w:rPr>
            </w:pPr>
            <w:r w:rsidRPr="00154133">
              <w:rPr>
                <w:rFonts w:ascii="Arial" w:hAnsi="Arial" w:cs="Arial"/>
                <w:color w:val="333333"/>
              </w:rPr>
              <w:t>2.301</w:t>
            </w:r>
          </w:p>
        </w:tc>
      </w:tr>
      <w:tr w:rsidR="007D48BC" w:rsidRPr="00202FE8">
        <w:trPr>
          <w:trHeight w:val="168"/>
        </w:trPr>
        <w:tc>
          <w:tcPr>
            <w:tcW w:w="7718" w:type="dxa"/>
            <w:tcBorders>
              <w:top w:val="nil"/>
              <w:left w:val="single" w:sz="4" w:space="0" w:color="auto"/>
              <w:bottom w:val="single" w:sz="4" w:space="0" w:color="auto"/>
              <w:right w:val="single" w:sz="4" w:space="0" w:color="auto"/>
            </w:tcBorders>
            <w:vAlign w:val="center"/>
          </w:tcPr>
          <w:p w:rsidR="007D48BC" w:rsidRPr="000114E3" w:rsidRDefault="007D48BC" w:rsidP="0084050B">
            <w:pPr>
              <w:spacing w:line="259" w:lineRule="auto"/>
              <w:rPr>
                <w:rFonts w:ascii="Arial" w:eastAsia="等?" w:hAnsi="Arial"/>
                <w:b/>
                <w:bCs/>
                <w:highlight w:val="yellow"/>
              </w:rPr>
            </w:pPr>
            <w:r w:rsidRPr="000114E3">
              <w:rPr>
                <w:rFonts w:ascii="Arial" w:eastAsia="等?" w:hAnsi="Arial" w:cs="Arial"/>
                <w:b/>
                <w:bCs/>
              </w:rPr>
              <w:t xml:space="preserve">B. </w:t>
            </w:r>
            <w:r w:rsidRPr="000114E3">
              <w:rPr>
                <w:rFonts w:ascii="Arial" w:eastAsia="等?" w:hAnsi="Arial" w:cs="Arial"/>
              </w:rPr>
              <w:t>Pacientes con recidiva o recaída (35%)</w:t>
            </w:r>
          </w:p>
        </w:tc>
        <w:tc>
          <w:tcPr>
            <w:tcW w:w="1213" w:type="dxa"/>
            <w:tcBorders>
              <w:top w:val="nil"/>
              <w:left w:val="nil"/>
              <w:bottom w:val="single" w:sz="4" w:space="0" w:color="auto"/>
              <w:right w:val="single" w:sz="4" w:space="0" w:color="auto"/>
            </w:tcBorders>
            <w:vAlign w:val="center"/>
          </w:tcPr>
          <w:p w:rsidR="007D48BC" w:rsidRPr="00154133" w:rsidRDefault="007D48BC" w:rsidP="0084050B">
            <w:pPr>
              <w:spacing w:before="30"/>
              <w:ind w:right="60"/>
              <w:jc w:val="center"/>
              <w:rPr>
                <w:rFonts w:ascii="Arial" w:hAnsi="Arial" w:cs="Arial"/>
                <w:color w:val="333333"/>
              </w:rPr>
            </w:pPr>
            <w:r>
              <w:rPr>
                <w:rFonts w:ascii="Arial" w:hAnsi="Arial" w:cs="Arial"/>
                <w:color w:val="333333"/>
              </w:rPr>
              <w:t>805</w:t>
            </w:r>
          </w:p>
        </w:tc>
      </w:tr>
      <w:tr w:rsidR="007D48BC" w:rsidRPr="00202FE8">
        <w:trPr>
          <w:trHeight w:val="192"/>
        </w:trPr>
        <w:tc>
          <w:tcPr>
            <w:tcW w:w="8931"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7D48BC" w:rsidRPr="00AD0E7D" w:rsidRDefault="007D48BC" w:rsidP="00AD0E7D">
            <w:pPr>
              <w:spacing w:after="160" w:line="259" w:lineRule="auto"/>
              <w:rPr>
                <w:rFonts w:ascii="Arial" w:eastAsia="等?" w:hAnsi="Arial"/>
              </w:rPr>
            </w:pPr>
            <w:r w:rsidRPr="000114E3">
              <w:rPr>
                <w:rFonts w:ascii="Arial" w:eastAsia="等?" w:hAnsi="Arial" w:cs="Arial"/>
                <w:b/>
                <w:bCs/>
              </w:rPr>
              <w:t>C.</w:t>
            </w:r>
            <w:r w:rsidRPr="000114E3">
              <w:rPr>
                <w:rFonts w:ascii="Arial" w:eastAsia="等?" w:hAnsi="Arial" w:cs="Arial"/>
              </w:rPr>
              <w:t xml:space="preserve"> </w:t>
            </w:r>
            <w:r w:rsidRPr="000114E3">
              <w:rPr>
                <w:rFonts w:ascii="Arial" w:eastAsia="等?" w:hAnsi="Arial" w:cs="Arial"/>
                <w:b/>
                <w:bCs/>
              </w:rPr>
              <w:t>POBLACIÓN DIANA:</w:t>
            </w:r>
            <w:r w:rsidRPr="000114E3">
              <w:rPr>
                <w:rFonts w:ascii="Arial" w:eastAsia="等?" w:hAnsi="Arial" w:cs="Arial"/>
              </w:rPr>
              <w:t xml:space="preserve"> </w:t>
            </w:r>
          </w:p>
        </w:tc>
      </w:tr>
      <w:tr w:rsidR="007D48BC" w:rsidRPr="00202FE8">
        <w:trPr>
          <w:trHeight w:val="70"/>
        </w:trPr>
        <w:tc>
          <w:tcPr>
            <w:tcW w:w="7718" w:type="dxa"/>
            <w:tcBorders>
              <w:top w:val="single" w:sz="4" w:space="0" w:color="auto"/>
              <w:left w:val="single" w:sz="4" w:space="0" w:color="auto"/>
              <w:bottom w:val="single" w:sz="4" w:space="0" w:color="auto"/>
              <w:right w:val="single" w:sz="4" w:space="0" w:color="auto"/>
            </w:tcBorders>
            <w:vAlign w:val="center"/>
          </w:tcPr>
          <w:p w:rsidR="007D48BC" w:rsidRPr="00AD0E7D" w:rsidRDefault="007D48BC" w:rsidP="00A43963">
            <w:pPr>
              <w:spacing w:line="276" w:lineRule="auto"/>
              <w:rPr>
                <w:rFonts w:ascii="Arial" w:eastAsia="等?" w:hAnsi="Arial"/>
              </w:rPr>
            </w:pPr>
            <w:r w:rsidRPr="000114E3">
              <w:rPr>
                <w:rFonts w:ascii="Arial" w:eastAsia="等?" w:hAnsi="Arial" w:cs="Arial"/>
              </w:rPr>
              <w:t xml:space="preserve">Pacientes no aptos para trasplante y no respondedores a 2 líneas de rescate (4) </w:t>
            </w:r>
            <w:r>
              <w:rPr>
                <w:rFonts w:ascii="Arial" w:eastAsia="等?" w:hAnsi="Arial" w:cs="Arial"/>
              </w:rPr>
              <w:t>(2</w:t>
            </w:r>
            <w:r w:rsidRPr="000114E3">
              <w:rPr>
                <w:rFonts w:ascii="Arial" w:eastAsia="等?" w:hAnsi="Arial" w:cs="Arial"/>
              </w:rPr>
              <w:t>4%)</w:t>
            </w:r>
          </w:p>
        </w:tc>
        <w:tc>
          <w:tcPr>
            <w:tcW w:w="1213" w:type="dxa"/>
            <w:tcBorders>
              <w:top w:val="nil"/>
              <w:left w:val="nil"/>
              <w:bottom w:val="single" w:sz="4" w:space="0" w:color="auto"/>
              <w:right w:val="single" w:sz="4" w:space="0" w:color="auto"/>
            </w:tcBorders>
            <w:vAlign w:val="center"/>
          </w:tcPr>
          <w:p w:rsidR="007D48BC" w:rsidRPr="00AD0E7D" w:rsidRDefault="007D48BC" w:rsidP="00A43963">
            <w:pPr>
              <w:spacing w:line="276" w:lineRule="auto"/>
              <w:jc w:val="center"/>
              <w:rPr>
                <w:rFonts w:ascii="Arial" w:eastAsia="等?" w:hAnsi="Arial" w:cs="Arial"/>
              </w:rPr>
            </w:pPr>
            <w:r w:rsidRPr="00AD0E7D">
              <w:rPr>
                <w:rFonts w:ascii="Arial" w:eastAsia="等?" w:hAnsi="Arial" w:cs="Arial"/>
              </w:rPr>
              <w:t>197</w:t>
            </w:r>
          </w:p>
        </w:tc>
      </w:tr>
      <w:tr w:rsidR="007D48BC" w:rsidRPr="00202FE8">
        <w:trPr>
          <w:trHeight w:val="376"/>
        </w:trPr>
        <w:tc>
          <w:tcPr>
            <w:tcW w:w="7718" w:type="dxa"/>
            <w:tcBorders>
              <w:top w:val="single" w:sz="4" w:space="0" w:color="auto"/>
              <w:left w:val="single" w:sz="4" w:space="0" w:color="auto"/>
              <w:bottom w:val="single" w:sz="4" w:space="0" w:color="auto"/>
              <w:right w:val="single" w:sz="4" w:space="0" w:color="auto"/>
            </w:tcBorders>
            <w:vAlign w:val="center"/>
          </w:tcPr>
          <w:p w:rsidR="007D48BC" w:rsidRPr="00AD0E7D" w:rsidRDefault="007D48BC" w:rsidP="00A43963">
            <w:pPr>
              <w:spacing w:line="276" w:lineRule="auto"/>
              <w:rPr>
                <w:rFonts w:ascii="Arial" w:eastAsia="等?" w:hAnsi="Arial"/>
              </w:rPr>
            </w:pPr>
            <w:r w:rsidRPr="000114E3">
              <w:rPr>
                <w:rFonts w:ascii="Arial" w:eastAsia="等?" w:hAnsi="Arial" w:cs="Arial"/>
              </w:rPr>
              <w:t>Pacientes aptos para trasplantes y no respondedores a 2 líneas de rescate (4) (24%)</w:t>
            </w:r>
          </w:p>
        </w:tc>
        <w:tc>
          <w:tcPr>
            <w:tcW w:w="1213" w:type="dxa"/>
            <w:tcBorders>
              <w:top w:val="nil"/>
              <w:left w:val="nil"/>
              <w:bottom w:val="single" w:sz="4" w:space="0" w:color="auto"/>
              <w:right w:val="single" w:sz="4" w:space="0" w:color="auto"/>
            </w:tcBorders>
            <w:vAlign w:val="center"/>
          </w:tcPr>
          <w:p w:rsidR="007D48BC" w:rsidRPr="00AD0E7D" w:rsidRDefault="007D48BC" w:rsidP="00A43963">
            <w:pPr>
              <w:spacing w:line="276" w:lineRule="auto"/>
              <w:jc w:val="center"/>
              <w:rPr>
                <w:rFonts w:ascii="Arial" w:eastAsia="等?" w:hAnsi="Arial" w:cs="Arial"/>
              </w:rPr>
            </w:pPr>
            <w:r w:rsidRPr="00AD0E7D">
              <w:rPr>
                <w:rFonts w:ascii="Arial" w:eastAsia="等?" w:hAnsi="Arial" w:cs="Arial"/>
              </w:rPr>
              <w:t>197</w:t>
            </w:r>
          </w:p>
        </w:tc>
      </w:tr>
      <w:tr w:rsidR="007D48BC" w:rsidRPr="00202FE8">
        <w:trPr>
          <w:trHeight w:val="466"/>
        </w:trPr>
        <w:tc>
          <w:tcPr>
            <w:tcW w:w="7718" w:type="dxa"/>
            <w:tcBorders>
              <w:top w:val="single" w:sz="4" w:space="0" w:color="auto"/>
              <w:left w:val="single" w:sz="4" w:space="0" w:color="auto"/>
              <w:bottom w:val="single" w:sz="4" w:space="0" w:color="auto"/>
              <w:right w:val="single" w:sz="4" w:space="0" w:color="auto"/>
            </w:tcBorders>
            <w:vAlign w:val="center"/>
          </w:tcPr>
          <w:p w:rsidR="007D48BC" w:rsidRPr="00AD0E7D" w:rsidRDefault="007D48BC" w:rsidP="00A43963">
            <w:pPr>
              <w:spacing w:line="276" w:lineRule="auto"/>
              <w:rPr>
                <w:rFonts w:ascii="Arial" w:eastAsia="等?" w:hAnsi="Arial"/>
              </w:rPr>
            </w:pPr>
            <w:r w:rsidRPr="000114E3">
              <w:rPr>
                <w:rFonts w:ascii="Arial" w:eastAsia="等?" w:hAnsi="Arial" w:cs="Arial"/>
              </w:rPr>
              <w:t xml:space="preserve">Pacientes que tras respuesta a líneas de rescate y trasplante autólogo no consiguen la remisión (4) </w:t>
            </w:r>
            <w:r>
              <w:rPr>
                <w:rFonts w:ascii="Arial" w:eastAsia="等?" w:hAnsi="Arial" w:cs="Arial"/>
              </w:rPr>
              <w:t>(</w:t>
            </w:r>
            <w:r w:rsidRPr="000114E3">
              <w:rPr>
                <w:rFonts w:ascii="Arial" w:eastAsia="等?" w:hAnsi="Arial" w:cs="Arial"/>
              </w:rPr>
              <w:t>12%)</w:t>
            </w:r>
          </w:p>
        </w:tc>
        <w:tc>
          <w:tcPr>
            <w:tcW w:w="1213" w:type="dxa"/>
            <w:tcBorders>
              <w:top w:val="nil"/>
              <w:left w:val="nil"/>
              <w:bottom w:val="single" w:sz="4" w:space="0" w:color="auto"/>
              <w:right w:val="single" w:sz="4" w:space="0" w:color="auto"/>
            </w:tcBorders>
            <w:vAlign w:val="center"/>
          </w:tcPr>
          <w:p w:rsidR="007D48BC" w:rsidRPr="00AD0E7D" w:rsidRDefault="007D48BC" w:rsidP="00A43963">
            <w:pPr>
              <w:spacing w:line="276" w:lineRule="auto"/>
              <w:jc w:val="center"/>
              <w:rPr>
                <w:rFonts w:ascii="Arial" w:eastAsia="等?" w:hAnsi="Arial" w:cs="Arial"/>
              </w:rPr>
            </w:pPr>
            <w:r w:rsidRPr="00AD0E7D">
              <w:rPr>
                <w:rFonts w:ascii="Arial" w:eastAsia="等?" w:hAnsi="Arial" w:cs="Arial"/>
              </w:rPr>
              <w:t>96</w:t>
            </w:r>
          </w:p>
        </w:tc>
      </w:tr>
      <w:tr w:rsidR="007D48BC" w:rsidRPr="00202FE8">
        <w:trPr>
          <w:trHeight w:val="338"/>
        </w:trPr>
        <w:tc>
          <w:tcPr>
            <w:tcW w:w="7718" w:type="dxa"/>
            <w:tcBorders>
              <w:top w:val="single" w:sz="4" w:space="0" w:color="auto"/>
              <w:left w:val="single" w:sz="4" w:space="0" w:color="auto"/>
              <w:bottom w:val="single" w:sz="4" w:space="0" w:color="auto"/>
              <w:right w:val="single" w:sz="4" w:space="0" w:color="auto"/>
            </w:tcBorders>
            <w:vAlign w:val="center"/>
          </w:tcPr>
          <w:p w:rsidR="007D48BC" w:rsidRPr="00AD0E7D" w:rsidRDefault="007D48BC" w:rsidP="00A43963">
            <w:pPr>
              <w:spacing w:line="259" w:lineRule="auto"/>
              <w:rPr>
                <w:rFonts w:ascii="Arial" w:eastAsia="等?" w:hAnsi="Arial" w:cs="Arial"/>
                <w:b/>
                <w:bCs/>
              </w:rPr>
            </w:pPr>
            <w:r w:rsidRPr="00AD0E7D">
              <w:rPr>
                <w:rFonts w:ascii="Arial" w:eastAsia="等?" w:hAnsi="Arial" w:cs="Arial"/>
                <w:b/>
                <w:bCs/>
              </w:rPr>
              <w:t>Total</w:t>
            </w:r>
          </w:p>
        </w:tc>
        <w:tc>
          <w:tcPr>
            <w:tcW w:w="1213" w:type="dxa"/>
            <w:tcBorders>
              <w:top w:val="nil"/>
              <w:left w:val="nil"/>
              <w:bottom w:val="single" w:sz="4" w:space="0" w:color="auto"/>
              <w:right w:val="single" w:sz="4" w:space="0" w:color="auto"/>
            </w:tcBorders>
            <w:vAlign w:val="center"/>
          </w:tcPr>
          <w:p w:rsidR="007D48BC" w:rsidRPr="00AD0E7D" w:rsidRDefault="007D48BC" w:rsidP="00A43963">
            <w:pPr>
              <w:spacing w:line="276" w:lineRule="auto"/>
              <w:jc w:val="center"/>
              <w:rPr>
                <w:rFonts w:ascii="Arial" w:eastAsia="等?" w:hAnsi="Arial" w:cs="Arial"/>
                <w:b/>
                <w:bCs/>
              </w:rPr>
            </w:pPr>
            <w:r w:rsidRPr="00AD0E7D">
              <w:rPr>
                <w:rFonts w:ascii="Arial" w:eastAsia="等?" w:hAnsi="Arial" w:cs="Arial"/>
                <w:b/>
                <w:bCs/>
              </w:rPr>
              <w:t>490</w:t>
            </w:r>
          </w:p>
        </w:tc>
      </w:tr>
      <w:tr w:rsidR="007D48BC" w:rsidRPr="00202FE8">
        <w:trPr>
          <w:trHeight w:val="255"/>
        </w:trPr>
        <w:tc>
          <w:tcPr>
            <w:tcW w:w="8931" w:type="dxa"/>
            <w:gridSpan w:val="2"/>
            <w:tcBorders>
              <w:top w:val="single" w:sz="4" w:space="0" w:color="auto"/>
              <w:left w:val="single" w:sz="4" w:space="0" w:color="auto"/>
              <w:bottom w:val="nil"/>
              <w:right w:val="single" w:sz="4" w:space="0" w:color="000000"/>
            </w:tcBorders>
            <w:shd w:val="clear" w:color="000000" w:fill="D9D9D9"/>
            <w:vAlign w:val="center"/>
          </w:tcPr>
          <w:p w:rsidR="007D48BC" w:rsidRPr="00202FE8" w:rsidRDefault="007D48BC" w:rsidP="00202FE8">
            <w:pPr>
              <w:spacing w:after="160" w:line="259" w:lineRule="auto"/>
              <w:rPr>
                <w:rFonts w:ascii="Arial" w:eastAsia="等?" w:hAnsi="Arial" w:cs="Arial"/>
                <w:b/>
                <w:bCs/>
                <w:sz w:val="16"/>
                <w:szCs w:val="16"/>
              </w:rPr>
            </w:pPr>
            <w:r w:rsidRPr="00202FE8">
              <w:rPr>
                <w:rFonts w:ascii="Arial" w:eastAsia="等?" w:hAnsi="Arial" w:cs="Arial"/>
                <w:b/>
                <w:bCs/>
                <w:sz w:val="16"/>
                <w:szCs w:val="16"/>
              </w:rPr>
              <w:t>Referencias:</w:t>
            </w:r>
          </w:p>
        </w:tc>
      </w:tr>
      <w:tr w:rsidR="007D48BC" w:rsidRPr="00C6014E">
        <w:trPr>
          <w:trHeight w:val="2488"/>
        </w:trPr>
        <w:tc>
          <w:tcPr>
            <w:tcW w:w="8931" w:type="dxa"/>
            <w:gridSpan w:val="2"/>
            <w:tcBorders>
              <w:top w:val="nil"/>
              <w:left w:val="single" w:sz="4" w:space="0" w:color="auto"/>
              <w:bottom w:val="single" w:sz="4" w:space="0" w:color="auto"/>
              <w:right w:val="single" w:sz="4" w:space="0" w:color="000000"/>
            </w:tcBorders>
            <w:shd w:val="clear" w:color="000000" w:fill="D9D9D9"/>
            <w:vAlign w:val="center"/>
          </w:tcPr>
          <w:p w:rsidR="007D48BC" w:rsidRDefault="007D48BC" w:rsidP="00154133">
            <w:pPr>
              <w:pStyle w:val="Prrafodelista"/>
              <w:numPr>
                <w:ilvl w:val="0"/>
                <w:numId w:val="18"/>
              </w:numPr>
              <w:spacing w:after="160" w:line="259" w:lineRule="auto"/>
              <w:rPr>
                <w:rFonts w:ascii="Arial" w:eastAsia="等?" w:hAnsi="Arial"/>
                <w:sz w:val="16"/>
                <w:szCs w:val="16"/>
              </w:rPr>
            </w:pPr>
            <w:r w:rsidRPr="00154133">
              <w:rPr>
                <w:rFonts w:ascii="Arial" w:eastAsia="等?" w:hAnsi="Arial" w:cs="Arial"/>
                <w:sz w:val="16"/>
                <w:szCs w:val="16"/>
              </w:rPr>
              <w:t xml:space="preserve">Las cifras del cáncer en España 2017. Datos de 2015. Sociedad Españoa de Oncología médica. Disponible en : </w:t>
            </w:r>
            <w:hyperlink r:id="rId20" w:history="1">
              <w:r w:rsidRPr="000E4DFE">
                <w:rPr>
                  <w:rStyle w:val="Hipervnculo"/>
                  <w:rFonts w:ascii="Arial" w:eastAsia="等?" w:hAnsi="Arial" w:cs="Arial"/>
                  <w:sz w:val="16"/>
                  <w:szCs w:val="16"/>
                </w:rPr>
                <w:t>https://seom.org/seomcms/images/stories/recursos/Las_cifras_del_cancer_en_Esp_2017.pdf</w:t>
              </w:r>
            </w:hyperlink>
          </w:p>
          <w:p w:rsidR="007D48BC" w:rsidRDefault="007D48BC" w:rsidP="00154133">
            <w:pPr>
              <w:pStyle w:val="Prrafodelista"/>
              <w:numPr>
                <w:ilvl w:val="0"/>
                <w:numId w:val="18"/>
              </w:numPr>
              <w:spacing w:after="160" w:line="259" w:lineRule="auto"/>
              <w:rPr>
                <w:rFonts w:ascii="Arial" w:eastAsia="等?" w:hAnsi="Arial"/>
                <w:sz w:val="16"/>
                <w:szCs w:val="16"/>
              </w:rPr>
            </w:pPr>
            <w:r w:rsidRPr="00154133">
              <w:rPr>
                <w:rFonts w:ascii="Arial" w:eastAsia="等?" w:hAnsi="Arial" w:cs="Arial"/>
                <w:sz w:val="16"/>
                <w:szCs w:val="16"/>
              </w:rPr>
              <w:t xml:space="preserve">Datos del 1 julio de 2018 (provisional). Disponible en: </w:t>
            </w:r>
            <w:hyperlink r:id="rId21" w:history="1">
              <w:r w:rsidRPr="000E4DFE">
                <w:rPr>
                  <w:rStyle w:val="Hipervnculo"/>
                  <w:rFonts w:ascii="Arial" w:eastAsia="等?" w:hAnsi="Arial" w:cs="Arial"/>
                  <w:sz w:val="16"/>
                  <w:szCs w:val="16"/>
                </w:rPr>
                <w:t>https://www.ine.es/dyngs/INEbase/es/operacion.htm?c=Estadistica_C&amp;cid=1254736176951&amp;menu=ultiDatos&amp;idp=1254735572981</w:t>
              </w:r>
            </w:hyperlink>
          </w:p>
          <w:p w:rsidR="007D48BC" w:rsidRPr="0061605E" w:rsidRDefault="007D48BC" w:rsidP="00154133">
            <w:pPr>
              <w:pStyle w:val="Prrafodelista"/>
              <w:numPr>
                <w:ilvl w:val="0"/>
                <w:numId w:val="18"/>
              </w:numPr>
              <w:spacing w:after="160" w:line="259" w:lineRule="auto"/>
              <w:rPr>
                <w:rFonts w:ascii="Arial" w:eastAsia="等?" w:hAnsi="Arial"/>
                <w:sz w:val="16"/>
                <w:szCs w:val="16"/>
              </w:rPr>
            </w:pPr>
            <w:r w:rsidRPr="0061605E">
              <w:rPr>
                <w:rFonts w:ascii="Arial" w:eastAsia="等?" w:hAnsi="Arial" w:cs="Arial"/>
                <w:sz w:val="16"/>
                <w:szCs w:val="16"/>
              </w:rPr>
              <w:t xml:space="preserve">Se incluyen todos los </w:t>
            </w:r>
            <w:r w:rsidR="008258E3">
              <w:rPr>
                <w:rFonts w:ascii="Arial" w:eastAsia="等?" w:hAnsi="Arial" w:cs="Arial"/>
                <w:sz w:val="16"/>
                <w:szCs w:val="16"/>
              </w:rPr>
              <w:t>LDCBG</w:t>
            </w:r>
            <w:r w:rsidRPr="0061605E">
              <w:rPr>
                <w:rFonts w:ascii="Arial" w:eastAsia="等?" w:hAnsi="Arial" w:cs="Arial"/>
                <w:sz w:val="16"/>
                <w:szCs w:val="16"/>
              </w:rPr>
              <w:t>, tanto sin otra especificación como</w:t>
            </w:r>
            <w:r>
              <w:rPr>
                <w:rFonts w:ascii="Arial" w:eastAsia="等?" w:hAnsi="Arial" w:cs="Arial"/>
                <w:sz w:val="16"/>
                <w:szCs w:val="16"/>
              </w:rPr>
              <w:t xml:space="preserve"> los </w:t>
            </w:r>
            <w:r w:rsidRPr="0061605E">
              <w:rPr>
                <w:rFonts w:ascii="Arial" w:eastAsia="等?" w:hAnsi="Arial" w:cs="Arial"/>
                <w:sz w:val="16"/>
                <w:szCs w:val="16"/>
              </w:rPr>
              <w:t>LBPM</w:t>
            </w:r>
            <w:r>
              <w:rPr>
                <w:rFonts w:ascii="Arial" w:eastAsia="等?" w:hAnsi="Arial" w:cs="Arial"/>
                <w:sz w:val="16"/>
                <w:szCs w:val="16"/>
              </w:rPr>
              <w:t>, los linfomas de células B de alto grado, y los trasformados de linfoma folicular.</w:t>
            </w:r>
          </w:p>
          <w:p w:rsidR="007D48BC" w:rsidRPr="00C6014E" w:rsidRDefault="007D48BC" w:rsidP="00154133">
            <w:pPr>
              <w:pStyle w:val="Prrafodelista"/>
              <w:numPr>
                <w:ilvl w:val="0"/>
                <w:numId w:val="18"/>
              </w:numPr>
              <w:spacing w:after="160" w:line="259" w:lineRule="auto"/>
              <w:rPr>
                <w:rFonts w:ascii="Arial" w:eastAsia="等?" w:hAnsi="Arial"/>
                <w:sz w:val="16"/>
                <w:szCs w:val="16"/>
              </w:rPr>
            </w:pPr>
            <w:r w:rsidRPr="00C6014E">
              <w:rPr>
                <w:rFonts w:ascii="Arial" w:eastAsia="等?" w:hAnsi="Arial" w:cs="Arial"/>
                <w:sz w:val="16"/>
                <w:szCs w:val="16"/>
              </w:rPr>
              <w:t>Adaptación del informe del c</w:t>
            </w:r>
            <w:r>
              <w:rPr>
                <w:rFonts w:ascii="Arial" w:eastAsia="等?" w:hAnsi="Arial" w:cs="Arial"/>
                <w:sz w:val="16"/>
                <w:szCs w:val="16"/>
              </w:rPr>
              <w:t xml:space="preserve">álculo de impacto presupuestario del ICER </w:t>
            </w:r>
            <w:r w:rsidRPr="0061605E">
              <w:rPr>
                <w:rFonts w:ascii="Arial" w:eastAsia="等?" w:hAnsi="Arial" w:cs="Arial"/>
                <w:sz w:val="16"/>
                <w:szCs w:val="16"/>
                <w:vertAlign w:val="superscript"/>
              </w:rPr>
              <w:t>23</w:t>
            </w:r>
            <w:r>
              <w:rPr>
                <w:rFonts w:ascii="Arial" w:eastAsia="等?" w:hAnsi="Arial" w:cs="Arial"/>
                <w:sz w:val="16"/>
                <w:szCs w:val="16"/>
              </w:rPr>
              <w:t xml:space="preserve"> a la población española. Disponible en: </w:t>
            </w:r>
            <w:r w:rsidRPr="00EB3E08">
              <w:rPr>
                <w:rFonts w:ascii="Arial" w:eastAsia="等?" w:hAnsi="Arial" w:cs="Arial"/>
                <w:sz w:val="16"/>
                <w:szCs w:val="16"/>
              </w:rPr>
              <w:t>https://icer-review.org/wp-content/uploads/2017/07/ICER_CAR_T_Final_Evidence_Report_032318.pdf</w:t>
            </w:r>
          </w:p>
        </w:tc>
      </w:tr>
    </w:tbl>
    <w:p w:rsidR="007D48BC" w:rsidRDefault="007D48BC" w:rsidP="00CC505C">
      <w:pPr>
        <w:jc w:val="both"/>
        <w:rPr>
          <w:rFonts w:ascii="Arial" w:hAnsi="Arial" w:cs="Arial"/>
        </w:rPr>
      </w:pPr>
    </w:p>
    <w:p w:rsidR="007D48BC" w:rsidRDefault="007D48BC" w:rsidP="000114E3">
      <w:pPr>
        <w:spacing w:line="360" w:lineRule="auto"/>
        <w:jc w:val="both"/>
        <w:rPr>
          <w:rFonts w:ascii="Arial" w:hAnsi="Arial" w:cs="Arial"/>
        </w:rPr>
      </w:pPr>
      <w:r w:rsidRPr="0061605E">
        <w:rPr>
          <w:rFonts w:ascii="Arial" w:hAnsi="Arial" w:cs="Arial"/>
        </w:rPr>
        <w:t>L</w:t>
      </w:r>
      <w:r>
        <w:rPr>
          <w:rFonts w:ascii="Arial" w:hAnsi="Arial" w:cs="Arial"/>
        </w:rPr>
        <w:t>os pacientes diagnosticados de linfoma no Hodgkin en España en 2015 fueron 7670. El 30% de estos linfomas son linfomas de células B (2.301)</w:t>
      </w:r>
      <w:r w:rsidRPr="004A7732">
        <w:rPr>
          <w:rFonts w:ascii="Arial" w:hAnsi="Arial" w:cs="Arial"/>
          <w:vertAlign w:val="superscript"/>
        </w:rPr>
        <w:t>4</w:t>
      </w:r>
      <w:r>
        <w:rPr>
          <w:rFonts w:ascii="Arial" w:hAnsi="Arial" w:cs="Arial"/>
        </w:rPr>
        <w:t xml:space="preserve">. </w:t>
      </w:r>
      <w:r w:rsidRPr="0061605E">
        <w:rPr>
          <w:rFonts w:ascii="Arial" w:hAnsi="Arial" w:cs="Arial"/>
        </w:rPr>
        <w:t xml:space="preserve">De ellos se estima que un </w:t>
      </w:r>
      <w:r>
        <w:rPr>
          <w:rFonts w:ascii="Arial" w:hAnsi="Arial" w:cs="Arial"/>
        </w:rPr>
        <w:t>3</w:t>
      </w:r>
      <w:r w:rsidRPr="0061605E">
        <w:rPr>
          <w:rFonts w:ascii="Arial" w:hAnsi="Arial" w:cs="Arial"/>
        </w:rPr>
        <w:t>5% sufrirán una recaída</w:t>
      </w:r>
      <w:r>
        <w:rPr>
          <w:rFonts w:ascii="Arial" w:hAnsi="Arial" w:cs="Arial"/>
        </w:rPr>
        <w:t xml:space="preserve"> (805) </w:t>
      </w:r>
      <w:r>
        <w:rPr>
          <w:rFonts w:ascii="Arial" w:hAnsi="Arial" w:cs="Arial"/>
          <w:vertAlign w:val="superscript"/>
        </w:rPr>
        <w:t>30,31</w:t>
      </w:r>
      <w:r w:rsidRPr="00B65EE7">
        <w:rPr>
          <w:rFonts w:ascii="Arial" w:hAnsi="Arial" w:cs="Arial"/>
        </w:rPr>
        <w:t xml:space="preserve">. </w:t>
      </w:r>
    </w:p>
    <w:p w:rsidR="007D48BC" w:rsidRDefault="007D48BC" w:rsidP="000114E3">
      <w:pPr>
        <w:spacing w:line="360" w:lineRule="auto"/>
        <w:jc w:val="both"/>
        <w:rPr>
          <w:rFonts w:ascii="Arial" w:hAnsi="Arial" w:cs="Arial"/>
        </w:rPr>
      </w:pPr>
      <w:r>
        <w:rPr>
          <w:rFonts w:ascii="Arial" w:hAnsi="Arial" w:cs="Arial"/>
        </w:rPr>
        <w:t xml:space="preserve">De estos pacientes el 50% no son candidatos a trasplante (402) </w:t>
      </w:r>
      <w:r>
        <w:rPr>
          <w:rFonts w:ascii="Arial" w:hAnsi="Arial" w:cs="Arial"/>
          <w:vertAlign w:val="superscript"/>
        </w:rPr>
        <w:t>32</w:t>
      </w:r>
      <w:r>
        <w:rPr>
          <w:rFonts w:ascii="Arial" w:hAnsi="Arial" w:cs="Arial"/>
        </w:rPr>
        <w:t>, y de los no candidatos un 49% no responderán a la terapia de rescate y serán candidatos al tratamiento con a</w:t>
      </w:r>
      <w:r w:rsidRPr="009A38E4">
        <w:rPr>
          <w:rFonts w:ascii="Arial" w:hAnsi="Arial" w:cs="Arial"/>
        </w:rPr>
        <w:t>xicabtagen</w:t>
      </w:r>
      <w:r>
        <w:rPr>
          <w:rFonts w:ascii="Arial" w:hAnsi="Arial" w:cs="Arial"/>
        </w:rPr>
        <w:t xml:space="preserve"> c</w:t>
      </w:r>
      <w:r w:rsidRPr="009A38E4">
        <w:rPr>
          <w:rFonts w:ascii="Arial" w:hAnsi="Arial" w:cs="Arial"/>
        </w:rPr>
        <w:t>iloleucel</w:t>
      </w:r>
      <w:r>
        <w:rPr>
          <w:rFonts w:ascii="Arial" w:hAnsi="Arial" w:cs="Arial"/>
        </w:rPr>
        <w:t xml:space="preserve"> (197). De los 50% que sí son candidatos a trasplante (402), el 49% no responderán al tratamiento de rescate y serán candidatos al fármaco (197). Del 51% de pacientes que sí responden al tratamiento y pueden hacerse el trasplante (205), el 47% que responde al tratamiento de quimioterapia de rescate, se somete a un autotrasplante y finalmente no consigue la remisión (96) </w:t>
      </w:r>
      <w:r w:rsidRPr="00B65EE7">
        <w:rPr>
          <w:rFonts w:ascii="Arial" w:hAnsi="Arial" w:cs="Arial"/>
          <w:vertAlign w:val="superscript"/>
        </w:rPr>
        <w:t>3</w:t>
      </w:r>
      <w:r>
        <w:rPr>
          <w:rFonts w:ascii="Arial" w:hAnsi="Arial" w:cs="Arial"/>
          <w:vertAlign w:val="superscript"/>
        </w:rPr>
        <w:t>2,33</w:t>
      </w:r>
      <w:r w:rsidRPr="00321AE4">
        <w:rPr>
          <w:rFonts w:ascii="Arial" w:hAnsi="Arial" w:cs="Arial"/>
          <w:vertAlign w:val="superscript"/>
        </w:rPr>
        <w:t>.</w:t>
      </w:r>
    </w:p>
    <w:p w:rsidR="007D48BC" w:rsidRDefault="007D48BC" w:rsidP="0084050B">
      <w:pPr>
        <w:spacing w:line="360" w:lineRule="auto"/>
        <w:jc w:val="both"/>
        <w:rPr>
          <w:rFonts w:ascii="Arial" w:hAnsi="Arial" w:cs="Arial"/>
        </w:rPr>
      </w:pPr>
      <w:r>
        <w:rPr>
          <w:rFonts w:ascii="Arial" w:hAnsi="Arial" w:cs="Arial"/>
        </w:rPr>
        <w:t xml:space="preserve">De todos estos pacientes, </w:t>
      </w:r>
      <w:r w:rsidRPr="00EB3E08">
        <w:rPr>
          <w:rFonts w:ascii="Arial" w:hAnsi="Arial" w:cs="Arial"/>
        </w:rPr>
        <w:t xml:space="preserve">si el 50% de los pacientes que llegan a esta situación fueran candidatos para recibir tratamiento con </w:t>
      </w:r>
      <w:r>
        <w:rPr>
          <w:rFonts w:ascii="Arial" w:hAnsi="Arial" w:cs="Arial"/>
        </w:rPr>
        <w:t>a</w:t>
      </w:r>
      <w:r w:rsidRPr="009A38E4">
        <w:rPr>
          <w:rFonts w:ascii="Arial" w:hAnsi="Arial" w:cs="Arial"/>
        </w:rPr>
        <w:t>xicabtagen</w:t>
      </w:r>
      <w:r>
        <w:rPr>
          <w:rFonts w:ascii="Arial" w:hAnsi="Arial" w:cs="Arial"/>
        </w:rPr>
        <w:t xml:space="preserve"> c</w:t>
      </w:r>
      <w:r w:rsidRPr="009A38E4">
        <w:rPr>
          <w:rFonts w:ascii="Arial" w:hAnsi="Arial" w:cs="Arial"/>
        </w:rPr>
        <w:t>iloleucel</w:t>
      </w:r>
      <w:r w:rsidRPr="00EB3E08">
        <w:rPr>
          <w:rFonts w:ascii="Arial" w:hAnsi="Arial" w:cs="Arial"/>
        </w:rPr>
        <w:t>, el número de pacientes a tratar sería</w:t>
      </w:r>
      <w:r>
        <w:rPr>
          <w:rFonts w:ascii="Arial" w:hAnsi="Arial" w:cs="Arial"/>
        </w:rPr>
        <w:t xml:space="preserve"> 245.</w:t>
      </w:r>
    </w:p>
    <w:p w:rsidR="007D48BC" w:rsidRDefault="007D48BC" w:rsidP="0084050B">
      <w:pPr>
        <w:spacing w:line="360" w:lineRule="auto"/>
        <w:jc w:val="both"/>
        <w:rPr>
          <w:rFonts w:ascii="Arial" w:hAnsi="Arial" w:cs="Arial"/>
        </w:rPr>
      </w:pPr>
      <w:r>
        <w:rPr>
          <w:rFonts w:ascii="Arial" w:hAnsi="Arial" w:cs="Arial"/>
        </w:rPr>
        <w:t xml:space="preserve">La estimación de los casos se ha realizado de manera análoga a la realizada por el ICER en su informe de revisión de eficacia y costes </w:t>
      </w:r>
      <w:r w:rsidRPr="004A7732">
        <w:rPr>
          <w:rFonts w:ascii="Arial" w:hAnsi="Arial" w:cs="Arial"/>
          <w:vertAlign w:val="superscript"/>
        </w:rPr>
        <w:t>23</w:t>
      </w:r>
      <w:r>
        <w:rPr>
          <w:rFonts w:ascii="Arial" w:hAnsi="Arial" w:cs="Arial"/>
        </w:rPr>
        <w:t xml:space="preserve">. </w:t>
      </w:r>
    </w:p>
    <w:p w:rsidR="007D48BC" w:rsidRDefault="007D48BC" w:rsidP="009476C2">
      <w:pPr>
        <w:pBdr>
          <w:top w:val="single" w:sz="4" w:space="1" w:color="auto"/>
          <w:left w:val="single" w:sz="4" w:space="4" w:color="auto"/>
          <w:bottom w:val="single" w:sz="4" w:space="1" w:color="auto"/>
          <w:right w:val="single" w:sz="4" w:space="4" w:color="auto"/>
        </w:pBdr>
        <w:shd w:val="clear" w:color="auto" w:fill="D9D9D9"/>
        <w:rPr>
          <w:rFonts w:ascii="Arial" w:hAnsi="Arial" w:cs="Arial"/>
          <w:b/>
          <w:bCs/>
        </w:rPr>
      </w:pPr>
      <w:r w:rsidRPr="00A060AB">
        <w:rPr>
          <w:rFonts w:ascii="Arial" w:hAnsi="Arial" w:cs="Arial"/>
          <w:b/>
          <w:bCs/>
        </w:rPr>
        <w:t>7.4.3. Estimación propia de impacto presupuestario y beneficios en salud</w:t>
      </w:r>
      <w:r w:rsidR="00FE59AC">
        <w:rPr>
          <w:rFonts w:ascii="Arial" w:hAnsi="Arial" w:cs="Arial"/>
          <w:b/>
          <w:bCs/>
        </w:rPr>
        <w:fldChar w:fldCharType="begin"/>
      </w:r>
      <w:r>
        <w:instrText>xe "</w:instrText>
      </w:r>
      <w:r w:rsidRPr="00576D76">
        <w:rPr>
          <w:rFonts w:ascii="Arial" w:hAnsi="Arial" w:cs="Arial"/>
          <w:b/>
          <w:bCs/>
        </w:rPr>
        <w:instrText>7.4.3. Estimación propia de impacto presupuestario y beneficios en salud</w:instrText>
      </w:r>
      <w:r>
        <w:instrText>"</w:instrText>
      </w:r>
      <w:r w:rsidR="00FE59AC">
        <w:rPr>
          <w:rFonts w:ascii="Arial" w:hAnsi="Arial" w:cs="Arial"/>
          <w:b/>
          <w:bCs/>
        </w:rPr>
        <w:fldChar w:fldCharType="end"/>
      </w:r>
    </w:p>
    <w:p w:rsidR="007D48BC" w:rsidRDefault="007D48BC" w:rsidP="009476C2">
      <w:pPr>
        <w:jc w:val="both"/>
        <w:rPr>
          <w:rFonts w:ascii="Arial" w:hAnsi="Arial" w:cs="Arial"/>
        </w:rPr>
      </w:pPr>
    </w:p>
    <w:p w:rsidR="007D48BC" w:rsidRDefault="007D48BC" w:rsidP="009476C2">
      <w:pPr>
        <w:pBdr>
          <w:top w:val="single" w:sz="4" w:space="0" w:color="auto"/>
          <w:left w:val="single" w:sz="4" w:space="4" w:color="auto"/>
          <w:bottom w:val="single" w:sz="4" w:space="1" w:color="auto"/>
          <w:right w:val="single" w:sz="4" w:space="4" w:color="auto"/>
        </w:pBdr>
        <w:shd w:val="clear" w:color="auto" w:fill="D9D9D9"/>
        <w:rPr>
          <w:rFonts w:ascii="Arial" w:hAnsi="Arial" w:cs="Arial"/>
          <w:b/>
          <w:bCs/>
        </w:rPr>
      </w:pPr>
      <w:r>
        <w:rPr>
          <w:rFonts w:ascii="Arial" w:hAnsi="Arial" w:cs="Arial"/>
          <w:b/>
          <w:bCs/>
        </w:rPr>
        <w:t>7.4.3.1. Estimación propia de impacto presupuestario y beneficios en salud en el hospital</w:t>
      </w:r>
      <w:r w:rsidR="00FE59AC">
        <w:rPr>
          <w:rFonts w:ascii="Arial" w:hAnsi="Arial" w:cs="Arial"/>
          <w:b/>
          <w:bCs/>
        </w:rPr>
        <w:fldChar w:fldCharType="begin"/>
      </w:r>
      <w:r>
        <w:instrText>xe "</w:instrText>
      </w:r>
      <w:r w:rsidRPr="009E1341">
        <w:rPr>
          <w:rFonts w:ascii="Arial" w:hAnsi="Arial" w:cs="Arial"/>
          <w:b/>
          <w:bCs/>
        </w:rPr>
        <w:instrText>7.4.3.1. Estimación propia de impacto presupuestario y beneficios en salud en el hospital</w:instrText>
      </w:r>
      <w:r>
        <w:instrText>"</w:instrText>
      </w:r>
      <w:r w:rsidR="00FE59AC">
        <w:rPr>
          <w:rFonts w:ascii="Arial" w:hAnsi="Arial" w:cs="Arial"/>
          <w:b/>
          <w:bCs/>
        </w:rPr>
        <w:fldChar w:fldCharType="end"/>
      </w:r>
    </w:p>
    <w:p w:rsidR="007D48BC" w:rsidRDefault="007D48BC" w:rsidP="009476C2">
      <w:pPr>
        <w:jc w:val="both"/>
        <w:rPr>
          <w:rFonts w:ascii="Arial" w:hAnsi="Arial" w:cs="Arial"/>
        </w:rPr>
      </w:pPr>
    </w:p>
    <w:p w:rsidR="007D48BC" w:rsidRDefault="007D48BC" w:rsidP="00EB3E08">
      <w:pPr>
        <w:spacing w:line="360" w:lineRule="auto"/>
        <w:jc w:val="both"/>
        <w:rPr>
          <w:rFonts w:ascii="Arial" w:hAnsi="Arial" w:cs="Arial"/>
        </w:rPr>
      </w:pPr>
      <w:r w:rsidRPr="005A4729">
        <w:rPr>
          <w:rFonts w:ascii="Arial" w:hAnsi="Arial" w:cs="Arial"/>
        </w:rPr>
        <w:t xml:space="preserve">Al no disponer de un ensayo clínico comparativo no se </w:t>
      </w:r>
      <w:r w:rsidRPr="005A4729">
        <w:rPr>
          <w:rFonts w:ascii="Arial" w:hAnsi="Arial" w:cs="Arial"/>
        </w:rPr>
        <w:tab/>
        <w:t>ha podido establecer ninguna ratio de coste eficacia incremental (RCEI), por lo que se presentan los datos de respuesta al tratamiento del ensayo clínico pivotal y se calculan los pacientes que presentarán respuesta completa (con o sin recuperación hematológica) al año.</w:t>
      </w:r>
    </w:p>
    <w:tbl>
      <w:tblPr>
        <w:tblW w:w="8816" w:type="dxa"/>
        <w:tblInd w:w="-68" w:type="dxa"/>
        <w:tblLayout w:type="fixed"/>
        <w:tblCellMar>
          <w:left w:w="70" w:type="dxa"/>
          <w:right w:w="70" w:type="dxa"/>
        </w:tblCellMar>
        <w:tblLook w:val="00A0"/>
      </w:tblPr>
      <w:tblGrid>
        <w:gridCol w:w="858"/>
        <w:gridCol w:w="1123"/>
        <w:gridCol w:w="851"/>
        <w:gridCol w:w="780"/>
        <w:gridCol w:w="781"/>
        <w:gridCol w:w="1348"/>
        <w:gridCol w:w="1061"/>
        <w:gridCol w:w="1001"/>
        <w:gridCol w:w="1001"/>
        <w:gridCol w:w="12"/>
      </w:tblGrid>
      <w:tr w:rsidR="007D48BC" w:rsidRPr="001F344E">
        <w:trPr>
          <w:trHeight w:val="600"/>
        </w:trPr>
        <w:tc>
          <w:tcPr>
            <w:tcW w:w="8816" w:type="dxa"/>
            <w:gridSpan w:val="10"/>
            <w:tcBorders>
              <w:top w:val="single" w:sz="4" w:space="0" w:color="auto"/>
              <w:left w:val="single" w:sz="4" w:space="0" w:color="auto"/>
              <w:bottom w:val="single" w:sz="4" w:space="0" w:color="auto"/>
              <w:right w:val="single" w:sz="4" w:space="0" w:color="auto"/>
            </w:tcBorders>
            <w:shd w:val="clear" w:color="000000" w:fill="B6DDE8"/>
            <w:vAlign w:val="center"/>
          </w:tcPr>
          <w:p w:rsidR="007D48BC" w:rsidRPr="001F344E" w:rsidRDefault="007D48BC" w:rsidP="00AE2274">
            <w:pPr>
              <w:rPr>
                <w:rFonts w:ascii="Arial" w:hAnsi="Arial" w:cs="Arial"/>
                <w:b/>
                <w:bCs/>
              </w:rPr>
            </w:pPr>
            <w:r w:rsidRPr="001F344E">
              <w:rPr>
                <w:rFonts w:ascii="Arial" w:hAnsi="Arial" w:cs="Arial"/>
                <w:b/>
                <w:bCs/>
              </w:rPr>
              <w:t xml:space="preserve">Tabla </w:t>
            </w:r>
            <w:r>
              <w:rPr>
                <w:rFonts w:ascii="Arial" w:hAnsi="Arial" w:cs="Arial"/>
                <w:b/>
                <w:bCs/>
              </w:rPr>
              <w:t>19</w:t>
            </w:r>
            <w:r w:rsidRPr="001F344E">
              <w:rPr>
                <w:rFonts w:ascii="Arial" w:hAnsi="Arial" w:cs="Arial"/>
                <w:b/>
                <w:bCs/>
              </w:rPr>
              <w:t xml:space="preserve">. Estimación propia de impacto presupuestario y beneficios en salud estatales anuales en el caso de variables de eficacia continuas.    </w:t>
            </w:r>
          </w:p>
        </w:tc>
      </w:tr>
      <w:tr w:rsidR="007D48BC" w:rsidRPr="001F344E">
        <w:trPr>
          <w:trHeight w:val="255"/>
        </w:trPr>
        <w:tc>
          <w:tcPr>
            <w:tcW w:w="8816" w:type="dxa"/>
            <w:gridSpan w:val="10"/>
            <w:tcBorders>
              <w:top w:val="single" w:sz="4" w:space="0" w:color="auto"/>
              <w:left w:val="single" w:sz="4" w:space="0" w:color="auto"/>
              <w:bottom w:val="single" w:sz="4" w:space="0" w:color="auto"/>
              <w:right w:val="single" w:sz="4" w:space="0" w:color="auto"/>
            </w:tcBorders>
            <w:vAlign w:val="center"/>
          </w:tcPr>
          <w:p w:rsidR="007D48BC" w:rsidRPr="001F344E" w:rsidRDefault="007D48BC" w:rsidP="00AE2274">
            <w:pPr>
              <w:rPr>
                <w:rFonts w:ascii="Arial" w:hAnsi="Arial" w:cs="Arial"/>
                <w:b/>
                <w:bCs/>
                <w:sz w:val="16"/>
                <w:szCs w:val="16"/>
              </w:rPr>
            </w:pPr>
            <w:r w:rsidRPr="001F344E">
              <w:rPr>
                <w:rFonts w:ascii="Arial" w:hAnsi="Arial" w:cs="Arial"/>
                <w:b/>
                <w:bCs/>
                <w:sz w:val="16"/>
                <w:szCs w:val="16"/>
              </w:rPr>
              <w:t xml:space="preserve">Medicamento e indicación: </w:t>
            </w:r>
            <w:r w:rsidRPr="0063131C">
              <w:rPr>
                <w:rFonts w:ascii="Arial" w:hAnsi="Arial" w:cs="Arial"/>
                <w:sz w:val="16"/>
                <w:szCs w:val="16"/>
              </w:rPr>
              <w:t xml:space="preserve">Axicabtagen Ciloleucel en </w:t>
            </w:r>
            <w:r w:rsidR="008258E3">
              <w:rPr>
                <w:rFonts w:ascii="Arial" w:hAnsi="Arial" w:cs="Arial"/>
                <w:sz w:val="16"/>
                <w:szCs w:val="16"/>
              </w:rPr>
              <w:t>LDCBG</w:t>
            </w:r>
            <w:r w:rsidRPr="0063131C">
              <w:rPr>
                <w:rFonts w:ascii="Arial" w:hAnsi="Arial" w:cs="Arial"/>
                <w:sz w:val="16"/>
                <w:szCs w:val="16"/>
              </w:rPr>
              <w:t xml:space="preserve"> R/R</w:t>
            </w:r>
          </w:p>
        </w:tc>
      </w:tr>
      <w:tr w:rsidR="007D48BC" w:rsidRPr="001F344E">
        <w:trPr>
          <w:trHeight w:val="255"/>
        </w:trPr>
        <w:tc>
          <w:tcPr>
            <w:tcW w:w="8816" w:type="dxa"/>
            <w:gridSpan w:val="10"/>
            <w:tcBorders>
              <w:top w:val="single" w:sz="4" w:space="0" w:color="auto"/>
              <w:left w:val="single" w:sz="4" w:space="0" w:color="auto"/>
              <w:bottom w:val="single" w:sz="4" w:space="0" w:color="auto"/>
              <w:right w:val="single" w:sz="4" w:space="0" w:color="auto"/>
            </w:tcBorders>
            <w:vAlign w:val="center"/>
          </w:tcPr>
          <w:p w:rsidR="007D48BC" w:rsidRPr="001F344E" w:rsidRDefault="007D48BC" w:rsidP="00AE2274">
            <w:pPr>
              <w:rPr>
                <w:rFonts w:ascii="Arial" w:hAnsi="Arial" w:cs="Arial"/>
                <w:b/>
                <w:bCs/>
                <w:sz w:val="16"/>
                <w:szCs w:val="16"/>
              </w:rPr>
            </w:pPr>
            <w:r w:rsidRPr="001F344E">
              <w:rPr>
                <w:rFonts w:ascii="Arial" w:hAnsi="Arial" w:cs="Arial"/>
                <w:b/>
                <w:bCs/>
                <w:sz w:val="16"/>
                <w:szCs w:val="16"/>
              </w:rPr>
              <w:t xml:space="preserve">Variable evaluada y comparador: </w:t>
            </w:r>
            <w:r w:rsidRPr="001F344E">
              <w:rPr>
                <w:rFonts w:ascii="Arial" w:hAnsi="Arial" w:cs="Arial"/>
                <w:sz w:val="16"/>
                <w:szCs w:val="16"/>
              </w:rPr>
              <w:t>tasa de respuesta completa al tratamiento. No existe comparador (ensayo no controlado)</w:t>
            </w:r>
          </w:p>
        </w:tc>
      </w:tr>
      <w:tr w:rsidR="007D48BC" w:rsidRPr="001F344E">
        <w:trPr>
          <w:trHeight w:val="255"/>
        </w:trPr>
        <w:tc>
          <w:tcPr>
            <w:tcW w:w="8816" w:type="dxa"/>
            <w:gridSpan w:val="10"/>
            <w:tcBorders>
              <w:top w:val="single" w:sz="4" w:space="0" w:color="auto"/>
              <w:left w:val="single" w:sz="4" w:space="0" w:color="auto"/>
              <w:bottom w:val="single" w:sz="4" w:space="0" w:color="auto"/>
              <w:right w:val="single" w:sz="4" w:space="0" w:color="auto"/>
            </w:tcBorders>
            <w:vAlign w:val="center"/>
          </w:tcPr>
          <w:p w:rsidR="007D48BC" w:rsidRPr="001F344E" w:rsidRDefault="007D48BC" w:rsidP="00AE2274">
            <w:pPr>
              <w:rPr>
                <w:rFonts w:ascii="Arial" w:hAnsi="Arial" w:cs="Arial"/>
                <w:b/>
                <w:bCs/>
                <w:sz w:val="16"/>
                <w:szCs w:val="16"/>
              </w:rPr>
            </w:pPr>
            <w:r w:rsidRPr="001F344E">
              <w:rPr>
                <w:rFonts w:ascii="Arial" w:hAnsi="Arial" w:cs="Arial"/>
                <w:b/>
                <w:bCs/>
                <w:sz w:val="16"/>
                <w:szCs w:val="16"/>
              </w:rPr>
              <w:t xml:space="preserve">Escenario y ámbito: </w:t>
            </w:r>
            <w:r w:rsidRPr="001F344E">
              <w:rPr>
                <w:rFonts w:ascii="Arial" w:hAnsi="Arial" w:cs="Arial"/>
                <w:sz w:val="16"/>
                <w:szCs w:val="16"/>
              </w:rPr>
              <w:t>Ámbito estatal (España)</w:t>
            </w:r>
            <w:r>
              <w:rPr>
                <w:rFonts w:ascii="Arial" w:hAnsi="Arial" w:cs="Arial"/>
                <w:sz w:val="16"/>
                <w:szCs w:val="16"/>
              </w:rPr>
              <w:t xml:space="preserve"> anual</w:t>
            </w:r>
          </w:p>
        </w:tc>
      </w:tr>
      <w:tr w:rsidR="007D48BC" w:rsidRPr="001F344E">
        <w:trPr>
          <w:trHeight w:val="660"/>
        </w:trPr>
        <w:tc>
          <w:tcPr>
            <w:tcW w:w="858" w:type="dxa"/>
            <w:vMerge w:val="restart"/>
            <w:tcBorders>
              <w:top w:val="nil"/>
              <w:left w:val="single" w:sz="4" w:space="0" w:color="auto"/>
              <w:bottom w:val="single" w:sz="4" w:space="0" w:color="000000"/>
              <w:right w:val="single" w:sz="4" w:space="0" w:color="auto"/>
            </w:tcBorders>
            <w:shd w:val="clear" w:color="000000" w:fill="D9D9D9"/>
            <w:vAlign w:val="center"/>
          </w:tcPr>
          <w:p w:rsidR="007D48BC" w:rsidRPr="001F344E" w:rsidRDefault="007D48BC" w:rsidP="00AE2274">
            <w:pPr>
              <w:jc w:val="center"/>
              <w:rPr>
                <w:rFonts w:ascii="Arial" w:hAnsi="Arial" w:cs="Arial"/>
                <w:sz w:val="16"/>
                <w:szCs w:val="16"/>
              </w:rPr>
            </w:pPr>
            <w:r w:rsidRPr="001F344E">
              <w:rPr>
                <w:rFonts w:ascii="Arial" w:hAnsi="Arial" w:cs="Arial"/>
                <w:sz w:val="16"/>
                <w:szCs w:val="16"/>
              </w:rPr>
              <w:t>Nº anual de pacientes</w:t>
            </w:r>
          </w:p>
        </w:tc>
        <w:tc>
          <w:tcPr>
            <w:tcW w:w="1123" w:type="dxa"/>
            <w:vMerge w:val="restart"/>
            <w:tcBorders>
              <w:top w:val="nil"/>
              <w:left w:val="single" w:sz="4" w:space="0" w:color="auto"/>
              <w:bottom w:val="single" w:sz="4" w:space="0" w:color="000000"/>
              <w:right w:val="single" w:sz="4" w:space="0" w:color="auto"/>
            </w:tcBorders>
            <w:shd w:val="clear" w:color="000000" w:fill="D9D9D9"/>
            <w:vAlign w:val="center"/>
          </w:tcPr>
          <w:p w:rsidR="007D48BC" w:rsidRPr="001F344E" w:rsidRDefault="007D48BC" w:rsidP="00AE2274">
            <w:pPr>
              <w:jc w:val="center"/>
              <w:rPr>
                <w:rFonts w:ascii="Arial" w:hAnsi="Arial" w:cs="Arial"/>
                <w:sz w:val="16"/>
                <w:szCs w:val="16"/>
              </w:rPr>
            </w:pPr>
            <w:r w:rsidRPr="001F344E">
              <w:rPr>
                <w:rFonts w:ascii="Arial" w:hAnsi="Arial" w:cs="Arial"/>
                <w:sz w:val="16"/>
                <w:szCs w:val="16"/>
              </w:rPr>
              <w:t>Coste por pacientes</w:t>
            </w:r>
          </w:p>
        </w:tc>
        <w:tc>
          <w:tcPr>
            <w:tcW w:w="2412" w:type="dxa"/>
            <w:gridSpan w:val="3"/>
            <w:tcBorders>
              <w:top w:val="single" w:sz="4" w:space="0" w:color="auto"/>
              <w:left w:val="nil"/>
              <w:bottom w:val="single" w:sz="4" w:space="0" w:color="auto"/>
              <w:right w:val="single" w:sz="4" w:space="0" w:color="auto"/>
            </w:tcBorders>
            <w:shd w:val="clear" w:color="000000" w:fill="D9D9D9"/>
            <w:vAlign w:val="center"/>
          </w:tcPr>
          <w:p w:rsidR="007D48BC" w:rsidRPr="001F344E" w:rsidRDefault="007D48BC" w:rsidP="00AE2274">
            <w:pPr>
              <w:jc w:val="center"/>
              <w:rPr>
                <w:rFonts w:ascii="Arial" w:hAnsi="Arial" w:cs="Arial"/>
                <w:sz w:val="16"/>
                <w:szCs w:val="16"/>
              </w:rPr>
            </w:pPr>
            <w:r w:rsidRPr="001F344E">
              <w:rPr>
                <w:rFonts w:ascii="Arial" w:hAnsi="Arial" w:cs="Arial"/>
                <w:sz w:val="16"/>
                <w:szCs w:val="16"/>
              </w:rPr>
              <w:t>% de respuesta al tratamiento</w:t>
            </w:r>
            <w:r w:rsidR="00FE59AC" w:rsidRPr="001F344E">
              <w:rPr>
                <w:rFonts w:ascii="Arial" w:hAnsi="Arial" w:cs="Arial"/>
                <w:sz w:val="16"/>
                <w:szCs w:val="16"/>
              </w:rPr>
              <w:fldChar w:fldCharType="begin" w:fldLock="1"/>
            </w:r>
            <w:r w:rsidRPr="001F344E">
              <w:rPr>
                <w:rFonts w:ascii="Arial" w:hAnsi="Arial" w:cs="Arial"/>
                <w:sz w:val="16"/>
                <w:szCs w:val="16"/>
              </w:rPr>
              <w:instrText>ADDIN CSL_CITATION {"citationItems":[{"id":"ITEM-1","itemData":{"DOI":"10.1056/NEJMoa1709866","ISBN":"0028-4793","ISSN":"0028-4793","PMID":"29385370","abstract":"BACKGROUND In a single-center phase 1-2a study, the anti-CD19 chimeric antigen receptor (CAR) T-cell therapy tisagenlecleucel produced high rates of complete remission and was associated with serious but mainly reversible toxic effects in children and young adults with relapsed or refractory B-cell acute lymphoblastic leukemia (ALL). METHODS We conducted a phase 2, single-cohort, 25-center, global study of tisagenlecleucel in pediatric and young adult patients with CD19+ relapsed or refractory B-cell ALL. The primary end point was the overall remission rate (the rate of complete remission or complete remission with incomplete hematologic recovery) within 3 months. RESULTS For this planned analysis, 75 patients received an infusion of tisagenlecleucel and could be evaluated for efficacy. The overall remission rate within 3 months was 81%, with all patients who had a response to treatment found to be negative for minimal residual disease, as assessed by means of flow cytometry. The rates of event-free survival and overall survival were 73% (95% confidence interval [CI], 60 to 82) and 90% (95% CI, 81 to 95), respectively, at 6 months and 50% (95% CI, 35 to 64) and 76% (95% CI, 63 to 86) at 12 months. The median duration of remission was not reached. Persistence of tisagenlecleucel in the blood was observed for as long as 20 months. Grade 3 or 4 adverse events that were suspected to be related to tisagenlecleucel occurred in 73% of patients. The cytokine release syndrome occurred in 77% of patients, 48% of whom received tocilizumab. Neurologic events occurred in 40% of patients and were managed with supportive care, and no cerebral edema was reported. CONCLUSIONS In this global study of CAR T-cell therapy, a single infusion of tisagenlecleucel provided durable remission with long-term persistence in pediatric and young adult patients with relapsed or refractory B-cell ALL, with transient high-grade toxic effects. (Funded by Novartis Pharmaceuticals; ClinicalTrials.gov number, NCT02435849 .).","author":[{"dropping-particle":"","family":"Maude","given":"Shannon L.","non-dropping-particle":"","parse-names":false,"suffix":""},{"dropping-particle":"","family":"Laetsch","given":"Theodore W.","non-dropping-particle":"","parse-names":false,"suffix":""},{"dropping-particle":"","family":"Buechner","given":"Jochen","non-dropping-particle":"","parse-names":false,"suffix":""},{"dropping-particle":"","family":"Rives","given":"Susana","non-dropping-particle":"","parse-names":false,"suffix":""},{"dropping-particle":"","family":"Boyer","given":"Michael","non-dropping-particle":"","parse-names":false,"suffix":""},{"dropping-particle":"","family":"Bittencourt","given":"Henrique","non-dropping-particle":"","parse-names":false,"suffix":""},{"dropping-particle":"","family":"Bader","given":"Peter","non-dropping-particle":"","parse-names":false,"suffix":""},{"dropping-particle":"","family":"Verneris","given":"Michael R.","non-dropping-particle":"","parse-names":false,"suffix":""},{"dropping-particle":"","family":"Stefanski","given":"Heather E.","non-dropping-particle":"","parse-names":false,"suffix":""},{"dropping-particle":"","family":"Myers","given":"Gary D.","non-dropping-particle":"","parse-names":false,"suffix":""},{"dropping-particle":"","family":"Qayed","given":"Muna","non-dropping-particle":"","parse-names":false,"suffix":""},{"dropping-particle":"","family":"Moerloose","given":"Barbara","non-dropping-particle":"De","parse-names":false,"suffix":""},{"dropping-particle":"","family":"Hiramatsu","given":"Hidefumi","non-dropping-particle":"","parse-names":false,"suffix":""},{"dropping-particle":"","family":"Schlis","given":"Krysta","non-dropping-particle":"","parse-names":false,"suffix":""},{"dropping-particle":"","family":"Davis","given":"Kara L.","non-dropping-particle":"","parse-names":false,"suffix":""},{"dropping-particle":"","family":"Martin","given":"Paul L.","non-dropping-particle":"","parse-names":false,"suffix":""},{"dropping-particle":"","family":"Nemecek","given":"Eneida R.","non-dropping-particle":"","parse-names":false,"suffix":""},{"dropping-particle":"","family":"Yanik","given":"Gregory A.","non-dropping-particle":"","parse-names":false,"suffix":""},{"dropping-particle":"","family":"Peters","given":"Christina","non-dropping-particle":"","parse-names":false,"suffix":""},{"dropping-particle":"","family":"Baruchel","given":"Andre","non-dropping-particle":"","parse-names":false,"suffix":""},{"dropping-particle":"","family":"Boissel","given":"Nicolas","non-dropping-particle":"","parse-names":false,"suffix":""},{"dropping-particle":"","family":"Mechinaud","given":"Francoise","non-dropping-particle":"","parse-names":false,"suffix":""},{"dropping-particle":"","family":"Balduzzi","given":"Adriana","non-dropping-particle":"","parse-names":false,"suffix":""},{"dropping-particle":"","family":"Krueger","given":"Joerg","non-dropping-particle":"","parse-names":false,"suffix":""},{"dropping-particle":"","family":"June","given":"Carl H.","non-dropping-particle":"","parse-names":false,"suffix":""},{"dropping-particle":"","family":"Levine","given":"Bruce L.","non-dropping-particle":"","parse-names":false,"suffix":""},{"dropping-particle":"","family":"Wood","given":"Patricia","non-dropping-particle":"","parse-names":false,"suffix":""},{"dropping-particle":"","family":"Taran","given":"Tetiana","non-dropping-particle":"","parse-names":false,"suffix":""},{"dropping-particle":"","family":"Leung","given":"Mimi","non-dropping-particle":"","parse-names":false,"suffix":""},{"dropping-particle":"","family":"Mueller","given":"Karen T.","non-dropping-particle":"","parse-names":false,"suffix":""},{"dropping-particle":"","family":"Zhang","given":"Yiyun","non-dropping-particle":"","parse-names":false,"suffix":""},{"dropping-particle":"","family":"Sen","given":"Kapildeb","non-dropping-particle":"","parse-names":false,"suffix":""},{"dropping-particle":"","family":"Lebwohl","given":"David","non-dropping-particle":"","parse-names":false,"suffix":""},{"dropping-particle":"","family":"Pulsipher","given":"Michael A.","non-dropping-particle":"","parse-names":false,"suffix":""},{"dropping-particle":"","family":"Grupp","given":"Stephan A.","non-dropping-particle":"","parse-names":false,"suffix":""}],"container-title":"New England Journal of Medicine","id":"ITEM-1","issue":"5","issued":{"date-parts":[["2018"]]},"page":"439-448","title":"Tisagenlecleucel in Children and Young Adults with B-Cell Lymphoblastic Leukemia","type":"article-journal","volume":"378"},"uris":["http://www.mendeley.com/documents/?uuid=088c4eff-adcb-4ce5-bd7f-692a59c2b3be"]}],"mendeley":{"formattedCitation":"&lt;sup&gt;11&lt;/sup&gt;","plainTextFormattedCitation":"11","previouslyFormattedCitation":"&lt;sup&gt;11&lt;/sup&gt;"},"properties":{"noteIndex":0},"schema":"https://github.com/citation-style-language/schema/raw/master/csl-citation.json"}</w:instrText>
            </w:r>
            <w:r w:rsidR="00FE59AC" w:rsidRPr="001F344E">
              <w:rPr>
                <w:rFonts w:ascii="Arial" w:hAnsi="Arial" w:cs="Arial"/>
                <w:sz w:val="16"/>
                <w:szCs w:val="16"/>
              </w:rPr>
              <w:fldChar w:fldCharType="separate"/>
            </w:r>
            <w:r w:rsidRPr="001F344E">
              <w:rPr>
                <w:rFonts w:ascii="Arial" w:hAnsi="Arial" w:cs="Arial"/>
                <w:noProof/>
                <w:sz w:val="16"/>
                <w:szCs w:val="16"/>
                <w:vertAlign w:val="superscript"/>
              </w:rPr>
              <w:t>1</w:t>
            </w:r>
            <w:r w:rsidR="00FE59AC" w:rsidRPr="001F344E">
              <w:rPr>
                <w:rFonts w:ascii="Arial" w:hAnsi="Arial" w:cs="Arial"/>
                <w:sz w:val="16"/>
                <w:szCs w:val="16"/>
              </w:rPr>
              <w:fldChar w:fldCharType="end"/>
            </w:r>
            <w:r w:rsidRPr="001F344E">
              <w:rPr>
                <w:rFonts w:ascii="Arial" w:hAnsi="Arial" w:cs="Arial"/>
                <w:sz w:val="16"/>
                <w:szCs w:val="16"/>
              </w:rPr>
              <w:t>*</w:t>
            </w:r>
          </w:p>
        </w:tc>
        <w:tc>
          <w:tcPr>
            <w:tcW w:w="1348" w:type="dxa"/>
            <w:vMerge w:val="restart"/>
            <w:tcBorders>
              <w:top w:val="nil"/>
              <w:left w:val="single" w:sz="4" w:space="0" w:color="auto"/>
              <w:right w:val="single" w:sz="4" w:space="0" w:color="auto"/>
            </w:tcBorders>
            <w:shd w:val="clear" w:color="000000" w:fill="D9D9D9"/>
            <w:vAlign w:val="center"/>
          </w:tcPr>
          <w:p w:rsidR="007D48BC" w:rsidRPr="001F344E" w:rsidRDefault="007D48BC" w:rsidP="00AE2274">
            <w:pPr>
              <w:jc w:val="center"/>
              <w:rPr>
                <w:rFonts w:ascii="Arial" w:hAnsi="Arial" w:cs="Arial"/>
                <w:sz w:val="16"/>
                <w:szCs w:val="16"/>
              </w:rPr>
            </w:pPr>
            <w:r w:rsidRPr="001F344E">
              <w:rPr>
                <w:rFonts w:ascii="Arial" w:hAnsi="Arial" w:cs="Arial"/>
                <w:sz w:val="16"/>
                <w:szCs w:val="16"/>
              </w:rPr>
              <w:t>Impacto económico anual</w:t>
            </w:r>
          </w:p>
        </w:tc>
        <w:tc>
          <w:tcPr>
            <w:tcW w:w="3075" w:type="dxa"/>
            <w:gridSpan w:val="4"/>
            <w:tcBorders>
              <w:top w:val="single" w:sz="4" w:space="0" w:color="auto"/>
              <w:left w:val="nil"/>
              <w:bottom w:val="nil"/>
              <w:right w:val="single" w:sz="4" w:space="0" w:color="000000"/>
            </w:tcBorders>
            <w:shd w:val="clear" w:color="000000" w:fill="D9D9D9"/>
            <w:vAlign w:val="center"/>
          </w:tcPr>
          <w:p w:rsidR="007D48BC" w:rsidRPr="001F344E" w:rsidRDefault="007D48BC" w:rsidP="00AE2274">
            <w:pPr>
              <w:jc w:val="center"/>
              <w:rPr>
                <w:rFonts w:ascii="Arial" w:hAnsi="Arial" w:cs="Arial"/>
                <w:sz w:val="16"/>
                <w:szCs w:val="16"/>
              </w:rPr>
            </w:pPr>
            <w:r w:rsidRPr="001F344E">
              <w:rPr>
                <w:rFonts w:ascii="Arial" w:hAnsi="Arial" w:cs="Arial"/>
                <w:sz w:val="16"/>
                <w:szCs w:val="16"/>
              </w:rPr>
              <w:t>Pacientes con RC/RCi al tratamiento</w:t>
            </w:r>
          </w:p>
        </w:tc>
      </w:tr>
      <w:tr w:rsidR="007D48BC" w:rsidRPr="001F344E">
        <w:trPr>
          <w:trHeight w:val="465"/>
        </w:trPr>
        <w:tc>
          <w:tcPr>
            <w:tcW w:w="858" w:type="dxa"/>
            <w:vMerge/>
            <w:tcBorders>
              <w:top w:val="nil"/>
              <w:left w:val="single" w:sz="4" w:space="0" w:color="auto"/>
              <w:bottom w:val="single" w:sz="4" w:space="0" w:color="000000"/>
              <w:right w:val="single" w:sz="4" w:space="0" w:color="auto"/>
            </w:tcBorders>
            <w:vAlign w:val="center"/>
          </w:tcPr>
          <w:p w:rsidR="007D48BC" w:rsidRPr="001F344E" w:rsidRDefault="007D48BC" w:rsidP="00AE2274">
            <w:pPr>
              <w:rPr>
                <w:rFonts w:ascii="Arial" w:hAnsi="Arial" w:cs="Arial"/>
                <w:sz w:val="16"/>
                <w:szCs w:val="16"/>
              </w:rPr>
            </w:pPr>
          </w:p>
        </w:tc>
        <w:tc>
          <w:tcPr>
            <w:tcW w:w="1123" w:type="dxa"/>
            <w:vMerge/>
            <w:tcBorders>
              <w:top w:val="nil"/>
              <w:left w:val="single" w:sz="4" w:space="0" w:color="auto"/>
              <w:bottom w:val="single" w:sz="4" w:space="0" w:color="000000"/>
              <w:right w:val="single" w:sz="4" w:space="0" w:color="auto"/>
            </w:tcBorders>
            <w:vAlign w:val="center"/>
          </w:tcPr>
          <w:p w:rsidR="007D48BC" w:rsidRPr="001F344E" w:rsidRDefault="007D48BC" w:rsidP="00AE2274">
            <w:pPr>
              <w:rPr>
                <w:rFonts w:ascii="Arial" w:hAnsi="Arial" w:cs="Arial"/>
                <w:sz w:val="16"/>
                <w:szCs w:val="16"/>
              </w:rPr>
            </w:pPr>
          </w:p>
        </w:tc>
        <w:tc>
          <w:tcPr>
            <w:tcW w:w="851" w:type="dxa"/>
            <w:tcBorders>
              <w:top w:val="nil"/>
              <w:left w:val="nil"/>
              <w:bottom w:val="single" w:sz="4" w:space="0" w:color="auto"/>
              <w:right w:val="single" w:sz="4" w:space="0" w:color="auto"/>
            </w:tcBorders>
            <w:shd w:val="clear" w:color="000000" w:fill="D9D9D9"/>
            <w:vAlign w:val="center"/>
          </w:tcPr>
          <w:p w:rsidR="007D48BC" w:rsidRPr="001F344E" w:rsidRDefault="007D48BC" w:rsidP="00AE2274">
            <w:pPr>
              <w:jc w:val="center"/>
              <w:rPr>
                <w:rFonts w:ascii="Arial" w:hAnsi="Arial" w:cs="Arial"/>
                <w:sz w:val="16"/>
                <w:szCs w:val="16"/>
              </w:rPr>
            </w:pPr>
            <w:r w:rsidRPr="001F344E">
              <w:rPr>
                <w:rFonts w:ascii="Arial" w:hAnsi="Arial" w:cs="Arial"/>
                <w:sz w:val="16"/>
                <w:szCs w:val="16"/>
              </w:rPr>
              <w:t>Valor</w:t>
            </w:r>
          </w:p>
        </w:tc>
        <w:tc>
          <w:tcPr>
            <w:tcW w:w="1561" w:type="dxa"/>
            <w:gridSpan w:val="2"/>
            <w:tcBorders>
              <w:top w:val="single" w:sz="4" w:space="0" w:color="auto"/>
              <w:left w:val="nil"/>
              <w:bottom w:val="single" w:sz="4" w:space="0" w:color="auto"/>
              <w:right w:val="single" w:sz="4" w:space="0" w:color="000000"/>
            </w:tcBorders>
            <w:shd w:val="clear" w:color="000000" w:fill="D9D9D9"/>
            <w:vAlign w:val="center"/>
          </w:tcPr>
          <w:p w:rsidR="007D48BC" w:rsidRPr="001F344E" w:rsidRDefault="007D48BC" w:rsidP="00AE2274">
            <w:pPr>
              <w:jc w:val="center"/>
              <w:rPr>
                <w:rFonts w:ascii="Arial" w:hAnsi="Arial" w:cs="Arial"/>
                <w:sz w:val="16"/>
                <w:szCs w:val="16"/>
              </w:rPr>
            </w:pPr>
            <w:r w:rsidRPr="001F344E">
              <w:rPr>
                <w:rFonts w:ascii="Arial" w:hAnsi="Arial" w:cs="Arial"/>
                <w:sz w:val="16"/>
                <w:szCs w:val="16"/>
              </w:rPr>
              <w:t>95% IC: min-max</w:t>
            </w:r>
          </w:p>
        </w:tc>
        <w:tc>
          <w:tcPr>
            <w:tcW w:w="1348" w:type="dxa"/>
            <w:vMerge/>
            <w:tcBorders>
              <w:left w:val="single" w:sz="4" w:space="0" w:color="auto"/>
              <w:bottom w:val="single" w:sz="4" w:space="0" w:color="000000"/>
              <w:right w:val="single" w:sz="4" w:space="0" w:color="auto"/>
            </w:tcBorders>
            <w:vAlign w:val="center"/>
          </w:tcPr>
          <w:p w:rsidR="007D48BC" w:rsidRPr="001F344E" w:rsidRDefault="007D48BC" w:rsidP="00AE2274">
            <w:pPr>
              <w:rPr>
                <w:rFonts w:ascii="Arial" w:hAnsi="Arial" w:cs="Arial"/>
                <w:sz w:val="16"/>
                <w:szCs w:val="16"/>
              </w:rPr>
            </w:pPr>
          </w:p>
        </w:tc>
        <w:tc>
          <w:tcPr>
            <w:tcW w:w="1061" w:type="dxa"/>
            <w:tcBorders>
              <w:top w:val="single" w:sz="4" w:space="0" w:color="auto"/>
              <w:left w:val="nil"/>
              <w:bottom w:val="single" w:sz="4" w:space="0" w:color="auto"/>
              <w:right w:val="single" w:sz="4" w:space="0" w:color="auto"/>
            </w:tcBorders>
            <w:shd w:val="clear" w:color="000000" w:fill="D9D9D9"/>
            <w:vAlign w:val="center"/>
          </w:tcPr>
          <w:p w:rsidR="007D48BC" w:rsidRPr="001F344E" w:rsidRDefault="007D48BC" w:rsidP="00AE2274">
            <w:pPr>
              <w:jc w:val="center"/>
              <w:rPr>
                <w:rFonts w:ascii="Arial" w:hAnsi="Arial" w:cs="Arial"/>
                <w:sz w:val="16"/>
                <w:szCs w:val="16"/>
              </w:rPr>
            </w:pPr>
            <w:r w:rsidRPr="001F344E">
              <w:rPr>
                <w:rFonts w:ascii="Arial" w:hAnsi="Arial" w:cs="Arial"/>
                <w:sz w:val="16"/>
                <w:szCs w:val="16"/>
              </w:rPr>
              <w:t>Valor</w:t>
            </w:r>
          </w:p>
        </w:tc>
        <w:tc>
          <w:tcPr>
            <w:tcW w:w="2014" w:type="dxa"/>
            <w:gridSpan w:val="3"/>
            <w:tcBorders>
              <w:top w:val="single" w:sz="4" w:space="0" w:color="auto"/>
              <w:left w:val="nil"/>
              <w:bottom w:val="single" w:sz="4" w:space="0" w:color="auto"/>
              <w:right w:val="single" w:sz="4" w:space="0" w:color="000000"/>
            </w:tcBorders>
            <w:shd w:val="clear" w:color="000000" w:fill="D9D9D9"/>
            <w:vAlign w:val="center"/>
          </w:tcPr>
          <w:p w:rsidR="007D48BC" w:rsidRPr="001F344E" w:rsidRDefault="007D48BC" w:rsidP="00AE2274">
            <w:pPr>
              <w:jc w:val="center"/>
              <w:rPr>
                <w:rFonts w:ascii="Arial" w:hAnsi="Arial" w:cs="Arial"/>
                <w:sz w:val="16"/>
                <w:szCs w:val="16"/>
              </w:rPr>
            </w:pPr>
            <w:r w:rsidRPr="001F344E">
              <w:rPr>
                <w:rFonts w:ascii="Arial" w:hAnsi="Arial" w:cs="Arial"/>
                <w:sz w:val="16"/>
                <w:szCs w:val="16"/>
              </w:rPr>
              <w:t>95% IC: min-max</w:t>
            </w:r>
          </w:p>
        </w:tc>
      </w:tr>
      <w:tr w:rsidR="007D48BC" w:rsidRPr="001F344E">
        <w:trPr>
          <w:gridAfter w:val="1"/>
          <w:wAfter w:w="12" w:type="dxa"/>
          <w:trHeight w:val="375"/>
        </w:trPr>
        <w:tc>
          <w:tcPr>
            <w:tcW w:w="858" w:type="dxa"/>
            <w:tcBorders>
              <w:top w:val="nil"/>
              <w:left w:val="single" w:sz="4" w:space="0" w:color="auto"/>
              <w:bottom w:val="single" w:sz="4" w:space="0" w:color="auto"/>
              <w:right w:val="single" w:sz="4" w:space="0" w:color="auto"/>
            </w:tcBorders>
            <w:shd w:val="clear" w:color="000000" w:fill="FFFFFF"/>
            <w:vAlign w:val="center"/>
          </w:tcPr>
          <w:p w:rsidR="007D48BC" w:rsidRPr="001F344E" w:rsidRDefault="007D48BC" w:rsidP="00AE2274">
            <w:pPr>
              <w:jc w:val="center"/>
              <w:rPr>
                <w:rFonts w:ascii="Arial" w:hAnsi="Arial" w:cs="Arial"/>
                <w:sz w:val="16"/>
                <w:szCs w:val="16"/>
              </w:rPr>
            </w:pPr>
            <w:r>
              <w:rPr>
                <w:rFonts w:ascii="Arial" w:hAnsi="Arial" w:cs="Arial"/>
                <w:sz w:val="16"/>
                <w:szCs w:val="16"/>
              </w:rPr>
              <w:t>490</w:t>
            </w:r>
          </w:p>
        </w:tc>
        <w:tc>
          <w:tcPr>
            <w:tcW w:w="1123" w:type="dxa"/>
            <w:tcBorders>
              <w:top w:val="nil"/>
              <w:left w:val="nil"/>
              <w:bottom w:val="single" w:sz="4" w:space="0" w:color="auto"/>
              <w:right w:val="single" w:sz="4" w:space="0" w:color="auto"/>
            </w:tcBorders>
            <w:shd w:val="clear" w:color="000000" w:fill="FFFFFF"/>
            <w:vAlign w:val="center"/>
          </w:tcPr>
          <w:p w:rsidR="007D48BC" w:rsidRPr="001F344E" w:rsidRDefault="007D48BC" w:rsidP="00AE2274">
            <w:pPr>
              <w:jc w:val="center"/>
              <w:rPr>
                <w:rFonts w:ascii="Arial" w:hAnsi="Arial" w:cs="Arial"/>
                <w:sz w:val="16"/>
                <w:szCs w:val="16"/>
              </w:rPr>
            </w:pPr>
            <w:r w:rsidRPr="00C35A0E">
              <w:rPr>
                <w:rFonts w:ascii="Arial" w:hAnsi="Arial" w:cs="Arial"/>
                <w:b/>
                <w:bCs/>
                <w:sz w:val="16"/>
                <w:szCs w:val="16"/>
              </w:rPr>
              <w:t>439.874</w:t>
            </w:r>
            <w:r>
              <w:rPr>
                <w:rFonts w:ascii="Arial" w:hAnsi="Arial" w:cs="Arial"/>
                <w:b/>
                <w:bCs/>
                <w:sz w:val="16"/>
                <w:szCs w:val="16"/>
              </w:rPr>
              <w:t>.</w:t>
            </w:r>
            <w:r w:rsidRPr="00C35A0E">
              <w:rPr>
                <w:rFonts w:ascii="Arial" w:hAnsi="Arial" w:cs="Arial"/>
                <w:b/>
                <w:bCs/>
                <w:sz w:val="16"/>
                <w:szCs w:val="16"/>
              </w:rPr>
              <w:t>51 €</w:t>
            </w:r>
          </w:p>
        </w:tc>
        <w:tc>
          <w:tcPr>
            <w:tcW w:w="851" w:type="dxa"/>
            <w:tcBorders>
              <w:top w:val="nil"/>
              <w:left w:val="nil"/>
              <w:bottom w:val="single" w:sz="4" w:space="0" w:color="auto"/>
              <w:right w:val="single" w:sz="4" w:space="0" w:color="auto"/>
            </w:tcBorders>
            <w:shd w:val="clear" w:color="000000" w:fill="FFFFFF"/>
            <w:vAlign w:val="center"/>
          </w:tcPr>
          <w:p w:rsidR="007D48BC" w:rsidRPr="001F344E" w:rsidRDefault="007D48BC" w:rsidP="00AE2274">
            <w:pPr>
              <w:jc w:val="center"/>
              <w:rPr>
                <w:rFonts w:ascii="Arial" w:hAnsi="Arial" w:cs="Arial"/>
                <w:sz w:val="16"/>
                <w:szCs w:val="16"/>
              </w:rPr>
            </w:pPr>
            <w:r w:rsidRPr="001F344E">
              <w:rPr>
                <w:rFonts w:ascii="Arial" w:hAnsi="Arial" w:cs="Arial"/>
                <w:sz w:val="16"/>
                <w:szCs w:val="16"/>
              </w:rPr>
              <w:t>6</w:t>
            </w:r>
            <w:r>
              <w:rPr>
                <w:rFonts w:ascii="Arial" w:hAnsi="Arial" w:cs="Arial"/>
                <w:sz w:val="16"/>
                <w:szCs w:val="16"/>
              </w:rPr>
              <w:t>4</w:t>
            </w:r>
            <w:r w:rsidRPr="001F344E">
              <w:rPr>
                <w:rFonts w:ascii="Arial" w:hAnsi="Arial" w:cs="Arial"/>
                <w:sz w:val="16"/>
                <w:szCs w:val="16"/>
              </w:rPr>
              <w:t>%</w:t>
            </w:r>
          </w:p>
        </w:tc>
        <w:tc>
          <w:tcPr>
            <w:tcW w:w="780" w:type="dxa"/>
            <w:tcBorders>
              <w:top w:val="nil"/>
              <w:left w:val="nil"/>
              <w:bottom w:val="single" w:sz="4" w:space="0" w:color="auto"/>
              <w:right w:val="single" w:sz="4" w:space="0" w:color="auto"/>
            </w:tcBorders>
            <w:shd w:val="clear" w:color="000000" w:fill="FFFFFF"/>
            <w:vAlign w:val="center"/>
          </w:tcPr>
          <w:p w:rsidR="007D48BC" w:rsidRPr="001F344E" w:rsidRDefault="007D48BC" w:rsidP="00AE2274">
            <w:pPr>
              <w:jc w:val="center"/>
              <w:rPr>
                <w:rFonts w:ascii="Arial" w:hAnsi="Arial" w:cs="Arial"/>
                <w:sz w:val="16"/>
                <w:szCs w:val="16"/>
              </w:rPr>
            </w:pPr>
            <w:r>
              <w:rPr>
                <w:rFonts w:ascii="Arial" w:hAnsi="Arial" w:cs="Arial"/>
                <w:sz w:val="16"/>
                <w:szCs w:val="16"/>
              </w:rPr>
              <w:t>53</w:t>
            </w:r>
            <w:r w:rsidRPr="001F344E">
              <w:rPr>
                <w:rFonts w:ascii="Arial" w:hAnsi="Arial" w:cs="Arial"/>
                <w:sz w:val="16"/>
                <w:szCs w:val="16"/>
              </w:rPr>
              <w:t>%</w:t>
            </w:r>
          </w:p>
        </w:tc>
        <w:tc>
          <w:tcPr>
            <w:tcW w:w="781" w:type="dxa"/>
            <w:tcBorders>
              <w:top w:val="nil"/>
              <w:left w:val="nil"/>
              <w:bottom w:val="single" w:sz="4" w:space="0" w:color="auto"/>
              <w:right w:val="single" w:sz="4" w:space="0" w:color="auto"/>
            </w:tcBorders>
            <w:shd w:val="clear" w:color="000000" w:fill="FFFFFF"/>
            <w:vAlign w:val="center"/>
          </w:tcPr>
          <w:p w:rsidR="007D48BC" w:rsidRPr="001F344E" w:rsidRDefault="007D48BC" w:rsidP="00AE2274">
            <w:pPr>
              <w:jc w:val="center"/>
              <w:rPr>
                <w:rFonts w:ascii="Arial" w:hAnsi="Arial" w:cs="Arial"/>
                <w:sz w:val="16"/>
                <w:szCs w:val="16"/>
              </w:rPr>
            </w:pPr>
            <w:r>
              <w:rPr>
                <w:rFonts w:ascii="Arial" w:hAnsi="Arial" w:cs="Arial"/>
                <w:sz w:val="16"/>
                <w:szCs w:val="16"/>
              </w:rPr>
              <w:t>75</w:t>
            </w:r>
            <w:r w:rsidRPr="001F344E">
              <w:rPr>
                <w:rFonts w:ascii="Arial" w:hAnsi="Arial" w:cs="Arial"/>
                <w:sz w:val="16"/>
                <w:szCs w:val="16"/>
              </w:rPr>
              <w:t>%</w:t>
            </w:r>
          </w:p>
        </w:tc>
        <w:tc>
          <w:tcPr>
            <w:tcW w:w="1348" w:type="dxa"/>
            <w:tcBorders>
              <w:top w:val="nil"/>
              <w:left w:val="nil"/>
              <w:bottom w:val="single" w:sz="4" w:space="0" w:color="auto"/>
              <w:right w:val="single" w:sz="4" w:space="0" w:color="auto"/>
            </w:tcBorders>
            <w:shd w:val="clear" w:color="000000" w:fill="FFFFFF"/>
            <w:vAlign w:val="center"/>
          </w:tcPr>
          <w:p w:rsidR="007D48BC" w:rsidRPr="001F344E" w:rsidRDefault="007D48BC" w:rsidP="00AE2274">
            <w:pPr>
              <w:jc w:val="center"/>
              <w:rPr>
                <w:rFonts w:ascii="Arial" w:hAnsi="Arial" w:cs="Arial"/>
                <w:sz w:val="16"/>
                <w:szCs w:val="16"/>
              </w:rPr>
            </w:pPr>
            <w:r w:rsidRPr="001F344E">
              <w:rPr>
                <w:rFonts w:ascii="Arial" w:hAnsi="Arial" w:cs="Arial"/>
                <w:sz w:val="16"/>
                <w:szCs w:val="16"/>
              </w:rPr>
              <w:t xml:space="preserve">   2</w:t>
            </w:r>
            <w:r>
              <w:rPr>
                <w:rFonts w:ascii="Arial" w:hAnsi="Arial" w:cs="Arial"/>
                <w:sz w:val="16"/>
                <w:szCs w:val="16"/>
              </w:rPr>
              <w:t>15</w:t>
            </w:r>
            <w:r w:rsidRPr="001F344E">
              <w:rPr>
                <w:rFonts w:ascii="Arial" w:hAnsi="Arial" w:cs="Arial"/>
                <w:sz w:val="16"/>
                <w:szCs w:val="16"/>
              </w:rPr>
              <w:t>.</w:t>
            </w:r>
            <w:r>
              <w:rPr>
                <w:rFonts w:ascii="Arial" w:hAnsi="Arial" w:cs="Arial"/>
                <w:sz w:val="16"/>
                <w:szCs w:val="16"/>
              </w:rPr>
              <w:t>538.260</w:t>
            </w:r>
            <w:r w:rsidRPr="001F344E">
              <w:rPr>
                <w:rFonts w:ascii="Arial" w:hAnsi="Arial" w:cs="Arial"/>
                <w:sz w:val="16"/>
                <w:szCs w:val="16"/>
              </w:rPr>
              <w:t xml:space="preserve"> € </w:t>
            </w:r>
          </w:p>
        </w:tc>
        <w:tc>
          <w:tcPr>
            <w:tcW w:w="1061" w:type="dxa"/>
            <w:tcBorders>
              <w:top w:val="nil"/>
              <w:left w:val="nil"/>
              <w:bottom w:val="single" w:sz="4" w:space="0" w:color="auto"/>
              <w:right w:val="single" w:sz="4" w:space="0" w:color="auto"/>
            </w:tcBorders>
            <w:shd w:val="clear" w:color="000000" w:fill="FFFFFF"/>
            <w:vAlign w:val="center"/>
          </w:tcPr>
          <w:p w:rsidR="007D48BC" w:rsidRPr="001F344E" w:rsidRDefault="007D48BC" w:rsidP="00AE2274">
            <w:pPr>
              <w:jc w:val="center"/>
              <w:rPr>
                <w:rFonts w:ascii="Arial" w:hAnsi="Arial" w:cs="Arial"/>
                <w:sz w:val="16"/>
                <w:szCs w:val="16"/>
              </w:rPr>
            </w:pPr>
            <w:r w:rsidRPr="001F344E">
              <w:rPr>
                <w:rFonts w:ascii="Arial" w:hAnsi="Arial" w:cs="Arial"/>
                <w:sz w:val="16"/>
                <w:szCs w:val="16"/>
              </w:rPr>
              <w:t xml:space="preserve"> 3</w:t>
            </w:r>
            <w:r>
              <w:rPr>
                <w:rFonts w:ascii="Arial" w:hAnsi="Arial" w:cs="Arial"/>
                <w:sz w:val="16"/>
                <w:szCs w:val="16"/>
              </w:rPr>
              <w:t>13</w:t>
            </w:r>
            <w:r w:rsidRPr="001F344E">
              <w:rPr>
                <w:rFonts w:ascii="Arial" w:hAnsi="Arial" w:cs="Arial"/>
                <w:sz w:val="16"/>
                <w:szCs w:val="16"/>
              </w:rPr>
              <w:t xml:space="preserve"> pac/año </w:t>
            </w:r>
          </w:p>
        </w:tc>
        <w:tc>
          <w:tcPr>
            <w:tcW w:w="1001" w:type="dxa"/>
            <w:tcBorders>
              <w:top w:val="nil"/>
              <w:left w:val="nil"/>
              <w:bottom w:val="single" w:sz="4" w:space="0" w:color="auto"/>
              <w:right w:val="single" w:sz="4" w:space="0" w:color="auto"/>
            </w:tcBorders>
            <w:shd w:val="clear" w:color="000000" w:fill="FFFFFF"/>
            <w:vAlign w:val="center"/>
          </w:tcPr>
          <w:p w:rsidR="007D48BC" w:rsidRPr="001F344E" w:rsidRDefault="007D48BC" w:rsidP="00AE2274">
            <w:pPr>
              <w:jc w:val="center"/>
              <w:rPr>
                <w:rFonts w:ascii="Arial" w:hAnsi="Arial" w:cs="Arial"/>
                <w:sz w:val="16"/>
                <w:szCs w:val="16"/>
              </w:rPr>
            </w:pPr>
            <w:r>
              <w:rPr>
                <w:rFonts w:ascii="Arial" w:hAnsi="Arial" w:cs="Arial"/>
                <w:sz w:val="16"/>
                <w:szCs w:val="16"/>
              </w:rPr>
              <w:t xml:space="preserve"> 260</w:t>
            </w:r>
            <w:r w:rsidRPr="001F344E">
              <w:rPr>
                <w:rFonts w:ascii="Arial" w:hAnsi="Arial" w:cs="Arial"/>
                <w:sz w:val="16"/>
                <w:szCs w:val="16"/>
              </w:rPr>
              <w:t xml:space="preserve"> pac/año </w:t>
            </w:r>
          </w:p>
        </w:tc>
        <w:tc>
          <w:tcPr>
            <w:tcW w:w="1001" w:type="dxa"/>
            <w:tcBorders>
              <w:top w:val="nil"/>
              <w:left w:val="nil"/>
              <w:bottom w:val="single" w:sz="4" w:space="0" w:color="auto"/>
              <w:right w:val="single" w:sz="4" w:space="0" w:color="auto"/>
            </w:tcBorders>
            <w:shd w:val="clear" w:color="000000" w:fill="FFFFFF"/>
            <w:vAlign w:val="center"/>
          </w:tcPr>
          <w:p w:rsidR="007D48BC" w:rsidRPr="001F344E" w:rsidRDefault="007D48BC" w:rsidP="00AE2274">
            <w:pPr>
              <w:jc w:val="center"/>
              <w:rPr>
                <w:rFonts w:ascii="Arial" w:hAnsi="Arial" w:cs="Arial"/>
                <w:sz w:val="16"/>
                <w:szCs w:val="16"/>
              </w:rPr>
            </w:pPr>
            <w:r>
              <w:rPr>
                <w:rFonts w:ascii="Arial" w:hAnsi="Arial" w:cs="Arial"/>
                <w:sz w:val="16"/>
                <w:szCs w:val="16"/>
              </w:rPr>
              <w:t xml:space="preserve"> 367</w:t>
            </w:r>
            <w:r w:rsidRPr="001F344E">
              <w:rPr>
                <w:rFonts w:ascii="Arial" w:hAnsi="Arial" w:cs="Arial"/>
                <w:sz w:val="16"/>
                <w:szCs w:val="16"/>
              </w:rPr>
              <w:t xml:space="preserve"> pac/año </w:t>
            </w:r>
          </w:p>
        </w:tc>
      </w:tr>
      <w:tr w:rsidR="007D48BC" w:rsidRPr="001F344E">
        <w:trPr>
          <w:trHeight w:val="599"/>
        </w:trPr>
        <w:tc>
          <w:tcPr>
            <w:tcW w:w="8816" w:type="dxa"/>
            <w:gridSpan w:val="10"/>
            <w:tcBorders>
              <w:top w:val="single" w:sz="4" w:space="0" w:color="auto"/>
              <w:left w:val="single" w:sz="4" w:space="0" w:color="auto"/>
              <w:bottom w:val="single" w:sz="4" w:space="0" w:color="auto"/>
              <w:right w:val="single" w:sz="4" w:space="0" w:color="auto"/>
            </w:tcBorders>
            <w:shd w:val="clear" w:color="000000" w:fill="D9D9D9"/>
            <w:vAlign w:val="center"/>
          </w:tcPr>
          <w:p w:rsidR="007D48BC" w:rsidRPr="001F344E" w:rsidRDefault="007D48BC" w:rsidP="00AE2274">
            <w:pPr>
              <w:rPr>
                <w:rFonts w:ascii="Arial" w:hAnsi="Arial" w:cs="Arial"/>
                <w:sz w:val="16"/>
                <w:szCs w:val="16"/>
              </w:rPr>
            </w:pPr>
            <w:r w:rsidRPr="001F344E">
              <w:rPr>
                <w:rFonts w:ascii="Arial" w:hAnsi="Arial" w:cs="Arial"/>
                <w:sz w:val="16"/>
                <w:szCs w:val="16"/>
              </w:rPr>
              <w:t>*Se utilizan los valores del análisis de sensibilidad del pivotal ya que consideran a todos los pacientes incluidos en el ensayo pivotal y no solo a los que recibieron la infusión del fármaco</w:t>
            </w:r>
          </w:p>
        </w:tc>
      </w:tr>
    </w:tbl>
    <w:p w:rsidR="007D48BC" w:rsidRDefault="007D48BC" w:rsidP="0025168B">
      <w:pPr>
        <w:spacing w:line="360" w:lineRule="auto"/>
        <w:jc w:val="both"/>
        <w:rPr>
          <w:rFonts w:ascii="Arial" w:hAnsi="Arial" w:cs="Arial"/>
        </w:rPr>
      </w:pPr>
      <w:r>
        <w:rPr>
          <w:rFonts w:ascii="Arial" w:hAnsi="Arial" w:cs="Arial"/>
        </w:rPr>
        <w:t>Se estima que durante un año serán tratados un total de 490 pacientes con el nuevo  fármaco. El coste adicional para el hospital será de</w:t>
      </w:r>
      <w:r w:rsidRPr="003841B9">
        <w:rPr>
          <w:rFonts w:ascii="Arial" w:hAnsi="Arial" w:cs="Arial"/>
        </w:rPr>
        <w:t xml:space="preserve"> 215.538.260 €</w:t>
      </w:r>
      <w:r>
        <w:rPr>
          <w:rFonts w:ascii="Arial" w:hAnsi="Arial" w:cs="Arial"/>
        </w:rPr>
        <w:t xml:space="preserve">. El beneficio global que se obtendrá será de 313 pacientes con respuesta </w:t>
      </w:r>
      <w:r w:rsidR="00B52C86">
        <w:rPr>
          <w:rFonts w:ascii="Arial" w:hAnsi="Arial" w:cs="Arial"/>
        </w:rPr>
        <w:t xml:space="preserve">parcial o </w:t>
      </w:r>
      <w:r>
        <w:rPr>
          <w:rFonts w:ascii="Arial" w:hAnsi="Arial" w:cs="Arial"/>
        </w:rPr>
        <w:t>completa.</w:t>
      </w:r>
    </w:p>
    <w:tbl>
      <w:tblPr>
        <w:tblW w:w="8816" w:type="dxa"/>
        <w:tblInd w:w="-68" w:type="dxa"/>
        <w:tblLayout w:type="fixed"/>
        <w:tblCellMar>
          <w:left w:w="70" w:type="dxa"/>
          <w:right w:w="70" w:type="dxa"/>
        </w:tblCellMar>
        <w:tblLook w:val="00A0"/>
      </w:tblPr>
      <w:tblGrid>
        <w:gridCol w:w="858"/>
        <w:gridCol w:w="1123"/>
        <w:gridCol w:w="851"/>
        <w:gridCol w:w="780"/>
        <w:gridCol w:w="781"/>
        <w:gridCol w:w="1348"/>
        <w:gridCol w:w="1061"/>
        <w:gridCol w:w="1001"/>
        <w:gridCol w:w="1001"/>
        <w:gridCol w:w="12"/>
      </w:tblGrid>
      <w:tr w:rsidR="007D48BC" w:rsidRPr="001F344E">
        <w:trPr>
          <w:trHeight w:val="600"/>
        </w:trPr>
        <w:tc>
          <w:tcPr>
            <w:tcW w:w="8816" w:type="dxa"/>
            <w:gridSpan w:val="10"/>
            <w:tcBorders>
              <w:top w:val="single" w:sz="4" w:space="0" w:color="auto"/>
              <w:left w:val="single" w:sz="4" w:space="0" w:color="auto"/>
              <w:bottom w:val="single" w:sz="4" w:space="0" w:color="auto"/>
              <w:right w:val="single" w:sz="4" w:space="0" w:color="auto"/>
            </w:tcBorders>
            <w:shd w:val="clear" w:color="000000" w:fill="B6DDE8"/>
            <w:vAlign w:val="center"/>
          </w:tcPr>
          <w:p w:rsidR="007D48BC" w:rsidRPr="001F344E" w:rsidRDefault="007D48BC" w:rsidP="0042501D">
            <w:pPr>
              <w:rPr>
                <w:rFonts w:ascii="Arial" w:hAnsi="Arial" w:cs="Arial"/>
                <w:b/>
                <w:bCs/>
              </w:rPr>
            </w:pPr>
            <w:r w:rsidRPr="001F344E">
              <w:rPr>
                <w:rFonts w:ascii="Arial" w:hAnsi="Arial" w:cs="Arial"/>
                <w:b/>
                <w:bCs/>
              </w:rPr>
              <w:t xml:space="preserve">Tabla </w:t>
            </w:r>
            <w:r>
              <w:rPr>
                <w:rFonts w:ascii="Arial" w:hAnsi="Arial" w:cs="Arial"/>
                <w:b/>
                <w:bCs/>
              </w:rPr>
              <w:t>19</w:t>
            </w:r>
            <w:r w:rsidRPr="001F344E">
              <w:rPr>
                <w:rFonts w:ascii="Arial" w:hAnsi="Arial" w:cs="Arial"/>
                <w:b/>
                <w:bCs/>
              </w:rPr>
              <w:t xml:space="preserve">. Estimación propia de impacto presupuestario y beneficios en salud estatales anuales en el caso de variables de eficacia continuas.    </w:t>
            </w:r>
          </w:p>
        </w:tc>
      </w:tr>
      <w:tr w:rsidR="007D48BC" w:rsidRPr="001F344E">
        <w:trPr>
          <w:trHeight w:val="255"/>
        </w:trPr>
        <w:tc>
          <w:tcPr>
            <w:tcW w:w="8816" w:type="dxa"/>
            <w:gridSpan w:val="10"/>
            <w:tcBorders>
              <w:top w:val="single" w:sz="4" w:space="0" w:color="auto"/>
              <w:left w:val="single" w:sz="4" w:space="0" w:color="auto"/>
              <w:bottom w:val="single" w:sz="4" w:space="0" w:color="auto"/>
              <w:right w:val="single" w:sz="4" w:space="0" w:color="auto"/>
            </w:tcBorders>
            <w:vAlign w:val="center"/>
          </w:tcPr>
          <w:p w:rsidR="007D48BC" w:rsidRPr="001F344E" w:rsidRDefault="007D48BC" w:rsidP="0042501D">
            <w:pPr>
              <w:rPr>
                <w:rFonts w:ascii="Arial" w:hAnsi="Arial" w:cs="Arial"/>
                <w:b/>
                <w:bCs/>
                <w:sz w:val="16"/>
                <w:szCs w:val="16"/>
              </w:rPr>
            </w:pPr>
            <w:r w:rsidRPr="001F344E">
              <w:rPr>
                <w:rFonts w:ascii="Arial" w:hAnsi="Arial" w:cs="Arial"/>
                <w:b/>
                <w:bCs/>
                <w:sz w:val="16"/>
                <w:szCs w:val="16"/>
              </w:rPr>
              <w:t xml:space="preserve">Medicamento e indicación: </w:t>
            </w:r>
            <w:r w:rsidRPr="0063131C">
              <w:rPr>
                <w:rFonts w:ascii="Arial" w:hAnsi="Arial" w:cs="Arial"/>
                <w:sz w:val="16"/>
                <w:szCs w:val="16"/>
              </w:rPr>
              <w:t xml:space="preserve">Axicabtagen Ciloleucel en </w:t>
            </w:r>
            <w:r w:rsidR="008258E3">
              <w:rPr>
                <w:rFonts w:ascii="Arial" w:hAnsi="Arial" w:cs="Arial"/>
                <w:sz w:val="16"/>
                <w:szCs w:val="16"/>
              </w:rPr>
              <w:t>LDCBG</w:t>
            </w:r>
            <w:r w:rsidRPr="0063131C">
              <w:rPr>
                <w:rFonts w:ascii="Arial" w:hAnsi="Arial" w:cs="Arial"/>
                <w:sz w:val="16"/>
                <w:szCs w:val="16"/>
              </w:rPr>
              <w:t xml:space="preserve"> R/R</w:t>
            </w:r>
          </w:p>
        </w:tc>
      </w:tr>
      <w:tr w:rsidR="007D48BC" w:rsidRPr="001F344E">
        <w:trPr>
          <w:trHeight w:val="255"/>
        </w:trPr>
        <w:tc>
          <w:tcPr>
            <w:tcW w:w="8816" w:type="dxa"/>
            <w:gridSpan w:val="10"/>
            <w:tcBorders>
              <w:top w:val="single" w:sz="4" w:space="0" w:color="auto"/>
              <w:left w:val="single" w:sz="4" w:space="0" w:color="auto"/>
              <w:bottom w:val="single" w:sz="4" w:space="0" w:color="auto"/>
              <w:right w:val="single" w:sz="4" w:space="0" w:color="auto"/>
            </w:tcBorders>
            <w:vAlign w:val="center"/>
          </w:tcPr>
          <w:p w:rsidR="007D48BC" w:rsidRPr="001F344E" w:rsidRDefault="007D48BC" w:rsidP="0042501D">
            <w:pPr>
              <w:rPr>
                <w:rFonts w:ascii="Arial" w:hAnsi="Arial" w:cs="Arial"/>
                <w:b/>
                <w:bCs/>
                <w:sz w:val="16"/>
                <w:szCs w:val="16"/>
              </w:rPr>
            </w:pPr>
            <w:r w:rsidRPr="001F344E">
              <w:rPr>
                <w:rFonts w:ascii="Arial" w:hAnsi="Arial" w:cs="Arial"/>
                <w:b/>
                <w:bCs/>
                <w:sz w:val="16"/>
                <w:szCs w:val="16"/>
              </w:rPr>
              <w:t xml:space="preserve">Variable evaluada y comparador: </w:t>
            </w:r>
            <w:r w:rsidRPr="001F344E">
              <w:rPr>
                <w:rFonts w:ascii="Arial" w:hAnsi="Arial" w:cs="Arial"/>
                <w:sz w:val="16"/>
                <w:szCs w:val="16"/>
              </w:rPr>
              <w:t>tasa de respuesta completa al tratamiento. No existe comparador (ensayo no controlado)</w:t>
            </w:r>
          </w:p>
        </w:tc>
      </w:tr>
      <w:tr w:rsidR="007D48BC" w:rsidRPr="001F344E">
        <w:trPr>
          <w:trHeight w:val="255"/>
        </w:trPr>
        <w:tc>
          <w:tcPr>
            <w:tcW w:w="8816" w:type="dxa"/>
            <w:gridSpan w:val="10"/>
            <w:tcBorders>
              <w:top w:val="single" w:sz="4" w:space="0" w:color="auto"/>
              <w:left w:val="single" w:sz="4" w:space="0" w:color="auto"/>
              <w:bottom w:val="single" w:sz="4" w:space="0" w:color="auto"/>
              <w:right w:val="single" w:sz="4" w:space="0" w:color="auto"/>
            </w:tcBorders>
            <w:vAlign w:val="center"/>
          </w:tcPr>
          <w:p w:rsidR="007D48BC" w:rsidRPr="001F344E" w:rsidRDefault="007D48BC" w:rsidP="0042501D">
            <w:pPr>
              <w:rPr>
                <w:rFonts w:ascii="Arial" w:hAnsi="Arial" w:cs="Arial"/>
                <w:b/>
                <w:bCs/>
                <w:sz w:val="16"/>
                <w:szCs w:val="16"/>
              </w:rPr>
            </w:pPr>
            <w:r w:rsidRPr="001F344E">
              <w:rPr>
                <w:rFonts w:ascii="Arial" w:hAnsi="Arial" w:cs="Arial"/>
                <w:b/>
                <w:bCs/>
                <w:sz w:val="16"/>
                <w:szCs w:val="16"/>
              </w:rPr>
              <w:t xml:space="preserve">Escenario y ámbito: </w:t>
            </w:r>
            <w:r w:rsidRPr="001F344E">
              <w:rPr>
                <w:rFonts w:ascii="Arial" w:hAnsi="Arial" w:cs="Arial"/>
                <w:sz w:val="16"/>
                <w:szCs w:val="16"/>
              </w:rPr>
              <w:t>Ámbito estatal (España)</w:t>
            </w:r>
            <w:r>
              <w:rPr>
                <w:rFonts w:ascii="Arial" w:hAnsi="Arial" w:cs="Arial"/>
                <w:sz w:val="16"/>
                <w:szCs w:val="16"/>
              </w:rPr>
              <w:t xml:space="preserve"> anual</w:t>
            </w:r>
          </w:p>
        </w:tc>
      </w:tr>
      <w:tr w:rsidR="007D48BC" w:rsidRPr="001F344E">
        <w:trPr>
          <w:trHeight w:val="660"/>
        </w:trPr>
        <w:tc>
          <w:tcPr>
            <w:tcW w:w="858" w:type="dxa"/>
            <w:vMerge w:val="restart"/>
            <w:tcBorders>
              <w:top w:val="nil"/>
              <w:left w:val="single" w:sz="4" w:space="0" w:color="auto"/>
              <w:bottom w:val="single" w:sz="4" w:space="0" w:color="000000"/>
              <w:right w:val="single" w:sz="4" w:space="0" w:color="auto"/>
            </w:tcBorders>
            <w:shd w:val="clear" w:color="000000" w:fill="D9D9D9"/>
            <w:vAlign w:val="center"/>
          </w:tcPr>
          <w:p w:rsidR="007D48BC" w:rsidRPr="001F344E" w:rsidRDefault="007D48BC" w:rsidP="0042501D">
            <w:pPr>
              <w:jc w:val="center"/>
              <w:rPr>
                <w:rFonts w:ascii="Arial" w:hAnsi="Arial" w:cs="Arial"/>
                <w:sz w:val="16"/>
                <w:szCs w:val="16"/>
              </w:rPr>
            </w:pPr>
            <w:r w:rsidRPr="001F344E">
              <w:rPr>
                <w:rFonts w:ascii="Arial" w:hAnsi="Arial" w:cs="Arial"/>
                <w:sz w:val="16"/>
                <w:szCs w:val="16"/>
              </w:rPr>
              <w:t>Nº anual de pacientes</w:t>
            </w:r>
          </w:p>
        </w:tc>
        <w:tc>
          <w:tcPr>
            <w:tcW w:w="1123" w:type="dxa"/>
            <w:vMerge w:val="restart"/>
            <w:tcBorders>
              <w:top w:val="nil"/>
              <w:left w:val="single" w:sz="4" w:space="0" w:color="auto"/>
              <w:bottom w:val="single" w:sz="4" w:space="0" w:color="000000"/>
              <w:right w:val="single" w:sz="4" w:space="0" w:color="auto"/>
            </w:tcBorders>
            <w:shd w:val="clear" w:color="000000" w:fill="D9D9D9"/>
            <w:vAlign w:val="center"/>
          </w:tcPr>
          <w:p w:rsidR="007D48BC" w:rsidRPr="001F344E" w:rsidRDefault="007D48BC" w:rsidP="0042501D">
            <w:pPr>
              <w:jc w:val="center"/>
              <w:rPr>
                <w:rFonts w:ascii="Arial" w:hAnsi="Arial" w:cs="Arial"/>
                <w:sz w:val="16"/>
                <w:szCs w:val="16"/>
              </w:rPr>
            </w:pPr>
            <w:r w:rsidRPr="001F344E">
              <w:rPr>
                <w:rFonts w:ascii="Arial" w:hAnsi="Arial" w:cs="Arial"/>
                <w:sz w:val="16"/>
                <w:szCs w:val="16"/>
              </w:rPr>
              <w:t>Coste por pacientes</w:t>
            </w:r>
          </w:p>
        </w:tc>
        <w:tc>
          <w:tcPr>
            <w:tcW w:w="2412" w:type="dxa"/>
            <w:gridSpan w:val="3"/>
            <w:tcBorders>
              <w:top w:val="single" w:sz="4" w:space="0" w:color="auto"/>
              <w:left w:val="nil"/>
              <w:bottom w:val="single" w:sz="4" w:space="0" w:color="auto"/>
              <w:right w:val="single" w:sz="4" w:space="0" w:color="auto"/>
            </w:tcBorders>
            <w:shd w:val="clear" w:color="000000" w:fill="D9D9D9"/>
            <w:vAlign w:val="center"/>
          </w:tcPr>
          <w:p w:rsidR="007D48BC" w:rsidRPr="001F344E" w:rsidRDefault="007D48BC" w:rsidP="0042501D">
            <w:pPr>
              <w:jc w:val="center"/>
              <w:rPr>
                <w:rFonts w:ascii="Arial" w:hAnsi="Arial" w:cs="Arial"/>
                <w:sz w:val="16"/>
                <w:szCs w:val="16"/>
              </w:rPr>
            </w:pPr>
            <w:r w:rsidRPr="001F344E">
              <w:rPr>
                <w:rFonts w:ascii="Arial" w:hAnsi="Arial" w:cs="Arial"/>
                <w:sz w:val="16"/>
                <w:szCs w:val="16"/>
              </w:rPr>
              <w:t>% de respuesta al tratamiento</w:t>
            </w:r>
            <w:r w:rsidR="00FE59AC" w:rsidRPr="001F344E">
              <w:rPr>
                <w:rFonts w:ascii="Arial" w:hAnsi="Arial" w:cs="Arial"/>
                <w:sz w:val="16"/>
                <w:szCs w:val="16"/>
              </w:rPr>
              <w:fldChar w:fldCharType="begin" w:fldLock="1"/>
            </w:r>
            <w:r w:rsidRPr="001F344E">
              <w:rPr>
                <w:rFonts w:ascii="Arial" w:hAnsi="Arial" w:cs="Arial"/>
                <w:sz w:val="16"/>
                <w:szCs w:val="16"/>
              </w:rPr>
              <w:instrText>ADDIN CSL_CITATION {"citationItems":[{"id":"ITEM-1","itemData":{"DOI":"10.1056/NEJMoa1709866","ISBN":"0028-4793","ISSN":"0028-4793","PMID":"29385370","abstract":"BACKGROUND In a single-center phase 1-2a study, the anti-CD19 chimeric antigen receptor (CAR) T-cell therapy tisagenlecleucel produced high rates of complete remission and was associated with serious but mainly reversible toxic effects in children and young adults with relapsed or refractory B-cell acute lymphoblastic leukemia (ALL). METHODS We conducted a phase 2, single-cohort, 25-center, global study of tisagenlecleucel in pediatric and young adult patients with CD19+ relapsed or refractory B-cell ALL. The primary end point was the overall remission rate (the rate of complete remission or complete remission with incomplete hematologic recovery) within 3 months. RESULTS For this planned analysis, 75 patients received an infusion of tisagenlecleucel and could be evaluated for efficacy. The overall remission rate within 3 months was 81%, with all patients who had a response to treatment found to be negative for minimal residual disease, as assessed by means of flow cytometry. The rates of event-free survival and overall survival were 73% (95% confidence interval [CI], 60 to 82) and 90% (95% CI, 81 to 95), respectively, at 6 months and 50% (95% CI, 35 to 64) and 76% (95% CI, 63 to 86) at 12 months. The median duration of remission was not reached. Persistence of tisagenlecleucel in the blood was observed for as long as 20 months. Grade 3 or 4 adverse events that were suspected to be related to tisagenlecleucel occurred in 73% of patients. The cytokine release syndrome occurred in 77% of patients, 48% of whom received tocilizumab. Neurologic events occurred in 40% of patients and were managed with supportive care, and no cerebral edema was reported. CONCLUSIONS In this global study of CAR T-cell therapy, a single infusion of tisagenlecleucel provided durable remission with long-term persistence in pediatric and young adult patients with relapsed or refractory B-cell ALL, with transient high-grade toxic effects. (Funded by Novartis Pharmaceuticals; ClinicalTrials.gov number, NCT02435849 .).","author":[{"dropping-particle":"","family":"Maude","given":"Shannon L.","non-dropping-particle":"","parse-names":false,"suffix":""},{"dropping-particle":"","family":"Laetsch","given":"Theodore W.","non-dropping-particle":"","parse-names":false,"suffix":""},{"dropping-particle":"","family":"Buechner","given":"Jochen","non-dropping-particle":"","parse-names":false,"suffix":""},{"dropping-particle":"","family":"Rives","given":"Susana","non-dropping-particle":"","parse-names":false,"suffix":""},{"dropping-particle":"","family":"Boyer","given":"Michael","non-dropping-particle":"","parse-names":false,"suffix":""},{"dropping-particle":"","family":"Bittencourt","given":"Henrique","non-dropping-particle":"","parse-names":false,"suffix":""},{"dropping-particle":"","family":"Bader","given":"Peter","non-dropping-particle":"","parse-names":false,"suffix":""},{"dropping-particle":"","family":"Verneris","given":"Michael R.","non-dropping-particle":"","parse-names":false,"suffix":""},{"dropping-particle":"","family":"Stefanski","given":"Heather E.","non-dropping-particle":"","parse-names":false,"suffix":""},{"dropping-particle":"","family":"Myers","given":"Gary D.","non-dropping-particle":"","parse-names":false,"suffix":""},{"dropping-particle":"","family":"Qayed","given":"Muna","non-dropping-particle":"","parse-names":false,"suffix":""},{"dropping-particle":"","family":"Moerloose","given":"Barbara","non-dropping-particle":"De","parse-names":false,"suffix":""},{"dropping-particle":"","family":"Hiramatsu","given":"Hidefumi","non-dropping-particle":"","parse-names":false,"suffix":""},{"dropping-particle":"","family":"Schlis","given":"Krysta","non-dropping-particle":"","parse-names":false,"suffix":""},{"dropping-particle":"","family":"Davis","given":"Kara L.","non-dropping-particle":"","parse-names":false,"suffix":""},{"dropping-particle":"","family":"Martin","given":"Paul L.","non-dropping-particle":"","parse-names":false,"suffix":""},{"dropping-particle":"","family":"Nemecek","given":"Eneida R.","non-dropping-particle":"","parse-names":false,"suffix":""},{"dropping-particle":"","family":"Yanik","given":"Gregory A.","non-dropping-particle":"","parse-names":false,"suffix":""},{"dropping-particle":"","family":"Peters","given":"Christina","non-dropping-particle":"","parse-names":false,"suffix":""},{"dropping-particle":"","family":"Baruchel","given":"Andre","non-dropping-particle":"","parse-names":false,"suffix":""},{"dropping-particle":"","family":"Boissel","given":"Nicolas","non-dropping-particle":"","parse-names":false,"suffix":""},{"dropping-particle":"","family":"Mechinaud","given":"Francoise","non-dropping-particle":"","parse-names":false,"suffix":""},{"dropping-particle":"","family":"Balduzzi","given":"Adriana","non-dropping-particle":"","parse-names":false,"suffix":""},{"dropping-particle":"","family":"Krueger","given":"Joerg","non-dropping-particle":"","parse-names":false,"suffix":""},{"dropping-particle":"","family":"June","given":"Carl H.","non-dropping-particle":"","parse-names":false,"suffix":""},{"dropping-particle":"","family":"Levine","given":"Bruce L.","non-dropping-particle":"","parse-names":false,"suffix":""},{"dropping-particle":"","family":"Wood","given":"Patricia","non-dropping-particle":"","parse-names":false,"suffix":""},{"dropping-particle":"","family":"Taran","given":"Tetiana","non-dropping-particle":"","parse-names":false,"suffix":""},{"dropping-particle":"","family":"Leung","given":"Mimi","non-dropping-particle":"","parse-names":false,"suffix":""},{"dropping-particle":"","family":"Mueller","given":"Karen T.","non-dropping-particle":"","parse-names":false,"suffix":""},{"dropping-particle":"","family":"Zhang","given":"Yiyun","non-dropping-particle":"","parse-names":false,"suffix":""},{"dropping-particle":"","family":"Sen","given":"Kapildeb","non-dropping-particle":"","parse-names":false,"suffix":""},{"dropping-particle":"","family":"Lebwohl","given":"David","non-dropping-particle":"","parse-names":false,"suffix":""},{"dropping-particle":"","family":"Pulsipher","given":"Michael A.","non-dropping-particle":"","parse-names":false,"suffix":""},{"dropping-particle":"","family":"Grupp","given":"Stephan A.","non-dropping-particle":"","parse-names":false,"suffix":""}],"container-title":"New England Journal of Medicine","id":"ITEM-1","issue":"5","issued":{"date-parts":[["2018"]]},"page":"439-448","title":"Tisagenlecleucel in Children and Young Adults with B-Cell Lymphoblastic Leukemia","type":"article-journal","volume":"378"},"uris":["http://www.mendeley.com/documents/?uuid=088c4eff-adcb-4ce5-bd7f-692a59c2b3be"]}],"mendeley":{"formattedCitation":"&lt;sup&gt;11&lt;/sup&gt;","plainTextFormattedCitation":"11","previouslyFormattedCitation":"&lt;sup&gt;11&lt;/sup&gt;"},"properties":{"noteIndex":0},"schema":"https://github.com/citation-style-language/schema/raw/master/csl-citation.json"}</w:instrText>
            </w:r>
            <w:r w:rsidR="00FE59AC" w:rsidRPr="001F344E">
              <w:rPr>
                <w:rFonts w:ascii="Arial" w:hAnsi="Arial" w:cs="Arial"/>
                <w:sz w:val="16"/>
                <w:szCs w:val="16"/>
              </w:rPr>
              <w:fldChar w:fldCharType="separate"/>
            </w:r>
            <w:r w:rsidRPr="001F344E">
              <w:rPr>
                <w:rFonts w:ascii="Arial" w:hAnsi="Arial" w:cs="Arial"/>
                <w:noProof/>
                <w:sz w:val="16"/>
                <w:szCs w:val="16"/>
                <w:vertAlign w:val="superscript"/>
              </w:rPr>
              <w:t>1</w:t>
            </w:r>
            <w:r w:rsidR="00FE59AC" w:rsidRPr="001F344E">
              <w:rPr>
                <w:rFonts w:ascii="Arial" w:hAnsi="Arial" w:cs="Arial"/>
                <w:sz w:val="16"/>
                <w:szCs w:val="16"/>
              </w:rPr>
              <w:fldChar w:fldCharType="end"/>
            </w:r>
            <w:r w:rsidRPr="001F344E">
              <w:rPr>
                <w:rFonts w:ascii="Arial" w:hAnsi="Arial" w:cs="Arial"/>
                <w:sz w:val="16"/>
                <w:szCs w:val="16"/>
              </w:rPr>
              <w:t>*</w:t>
            </w:r>
          </w:p>
        </w:tc>
        <w:tc>
          <w:tcPr>
            <w:tcW w:w="1348" w:type="dxa"/>
            <w:vMerge w:val="restart"/>
            <w:tcBorders>
              <w:top w:val="nil"/>
              <w:left w:val="single" w:sz="4" w:space="0" w:color="auto"/>
              <w:right w:val="single" w:sz="4" w:space="0" w:color="auto"/>
            </w:tcBorders>
            <w:shd w:val="clear" w:color="000000" w:fill="D9D9D9"/>
            <w:vAlign w:val="center"/>
          </w:tcPr>
          <w:p w:rsidR="007D48BC" w:rsidRPr="001F344E" w:rsidRDefault="007D48BC" w:rsidP="0042501D">
            <w:pPr>
              <w:jc w:val="center"/>
              <w:rPr>
                <w:rFonts w:ascii="Arial" w:hAnsi="Arial" w:cs="Arial"/>
                <w:sz w:val="16"/>
                <w:szCs w:val="16"/>
              </w:rPr>
            </w:pPr>
            <w:r w:rsidRPr="001F344E">
              <w:rPr>
                <w:rFonts w:ascii="Arial" w:hAnsi="Arial" w:cs="Arial"/>
                <w:sz w:val="16"/>
                <w:szCs w:val="16"/>
              </w:rPr>
              <w:t>Impacto económico anual</w:t>
            </w:r>
          </w:p>
        </w:tc>
        <w:tc>
          <w:tcPr>
            <w:tcW w:w="3075" w:type="dxa"/>
            <w:gridSpan w:val="4"/>
            <w:tcBorders>
              <w:top w:val="single" w:sz="4" w:space="0" w:color="auto"/>
              <w:left w:val="nil"/>
              <w:bottom w:val="nil"/>
              <w:right w:val="single" w:sz="4" w:space="0" w:color="000000"/>
            </w:tcBorders>
            <w:shd w:val="clear" w:color="000000" w:fill="D9D9D9"/>
            <w:vAlign w:val="center"/>
          </w:tcPr>
          <w:p w:rsidR="007D48BC" w:rsidRPr="001F344E" w:rsidRDefault="007D48BC" w:rsidP="0042501D">
            <w:pPr>
              <w:jc w:val="center"/>
              <w:rPr>
                <w:rFonts w:ascii="Arial" w:hAnsi="Arial" w:cs="Arial"/>
                <w:sz w:val="16"/>
                <w:szCs w:val="16"/>
              </w:rPr>
            </w:pPr>
            <w:r w:rsidRPr="001F344E">
              <w:rPr>
                <w:rFonts w:ascii="Arial" w:hAnsi="Arial" w:cs="Arial"/>
                <w:sz w:val="16"/>
                <w:szCs w:val="16"/>
              </w:rPr>
              <w:t>Pacientes con RC/RCi al tratamiento</w:t>
            </w:r>
          </w:p>
        </w:tc>
      </w:tr>
      <w:tr w:rsidR="007D48BC" w:rsidRPr="001F344E">
        <w:trPr>
          <w:trHeight w:val="465"/>
        </w:trPr>
        <w:tc>
          <w:tcPr>
            <w:tcW w:w="858" w:type="dxa"/>
            <w:vMerge/>
            <w:tcBorders>
              <w:top w:val="nil"/>
              <w:left w:val="single" w:sz="4" w:space="0" w:color="auto"/>
              <w:bottom w:val="single" w:sz="4" w:space="0" w:color="000000"/>
              <w:right w:val="single" w:sz="4" w:space="0" w:color="auto"/>
            </w:tcBorders>
            <w:vAlign w:val="center"/>
          </w:tcPr>
          <w:p w:rsidR="007D48BC" w:rsidRPr="001F344E" w:rsidRDefault="007D48BC" w:rsidP="0042501D">
            <w:pPr>
              <w:rPr>
                <w:rFonts w:ascii="Arial" w:hAnsi="Arial" w:cs="Arial"/>
                <w:sz w:val="16"/>
                <w:szCs w:val="16"/>
              </w:rPr>
            </w:pPr>
          </w:p>
        </w:tc>
        <w:tc>
          <w:tcPr>
            <w:tcW w:w="1123" w:type="dxa"/>
            <w:vMerge/>
            <w:tcBorders>
              <w:top w:val="nil"/>
              <w:left w:val="single" w:sz="4" w:space="0" w:color="auto"/>
              <w:bottom w:val="single" w:sz="4" w:space="0" w:color="000000"/>
              <w:right w:val="single" w:sz="4" w:space="0" w:color="auto"/>
            </w:tcBorders>
            <w:vAlign w:val="center"/>
          </w:tcPr>
          <w:p w:rsidR="007D48BC" w:rsidRPr="001F344E" w:rsidRDefault="007D48BC" w:rsidP="0042501D">
            <w:pPr>
              <w:rPr>
                <w:rFonts w:ascii="Arial" w:hAnsi="Arial" w:cs="Arial"/>
                <w:sz w:val="16"/>
                <w:szCs w:val="16"/>
              </w:rPr>
            </w:pPr>
          </w:p>
        </w:tc>
        <w:tc>
          <w:tcPr>
            <w:tcW w:w="851" w:type="dxa"/>
            <w:tcBorders>
              <w:top w:val="nil"/>
              <w:left w:val="nil"/>
              <w:bottom w:val="single" w:sz="4" w:space="0" w:color="auto"/>
              <w:right w:val="single" w:sz="4" w:space="0" w:color="auto"/>
            </w:tcBorders>
            <w:shd w:val="clear" w:color="000000" w:fill="D9D9D9"/>
            <w:vAlign w:val="center"/>
          </w:tcPr>
          <w:p w:rsidR="007D48BC" w:rsidRPr="001F344E" w:rsidRDefault="007D48BC" w:rsidP="0042501D">
            <w:pPr>
              <w:jc w:val="center"/>
              <w:rPr>
                <w:rFonts w:ascii="Arial" w:hAnsi="Arial" w:cs="Arial"/>
                <w:sz w:val="16"/>
                <w:szCs w:val="16"/>
              </w:rPr>
            </w:pPr>
            <w:r w:rsidRPr="001F344E">
              <w:rPr>
                <w:rFonts w:ascii="Arial" w:hAnsi="Arial" w:cs="Arial"/>
                <w:sz w:val="16"/>
                <w:szCs w:val="16"/>
              </w:rPr>
              <w:t>Valor</w:t>
            </w:r>
          </w:p>
        </w:tc>
        <w:tc>
          <w:tcPr>
            <w:tcW w:w="1561" w:type="dxa"/>
            <w:gridSpan w:val="2"/>
            <w:tcBorders>
              <w:top w:val="single" w:sz="4" w:space="0" w:color="auto"/>
              <w:left w:val="nil"/>
              <w:bottom w:val="single" w:sz="4" w:space="0" w:color="auto"/>
              <w:right w:val="single" w:sz="4" w:space="0" w:color="000000"/>
            </w:tcBorders>
            <w:shd w:val="clear" w:color="000000" w:fill="D9D9D9"/>
            <w:vAlign w:val="center"/>
          </w:tcPr>
          <w:p w:rsidR="007D48BC" w:rsidRPr="001F344E" w:rsidRDefault="007D48BC" w:rsidP="0042501D">
            <w:pPr>
              <w:jc w:val="center"/>
              <w:rPr>
                <w:rFonts w:ascii="Arial" w:hAnsi="Arial" w:cs="Arial"/>
                <w:sz w:val="16"/>
                <w:szCs w:val="16"/>
              </w:rPr>
            </w:pPr>
            <w:r w:rsidRPr="001F344E">
              <w:rPr>
                <w:rFonts w:ascii="Arial" w:hAnsi="Arial" w:cs="Arial"/>
                <w:sz w:val="16"/>
                <w:szCs w:val="16"/>
              </w:rPr>
              <w:t>95% IC: min-max</w:t>
            </w:r>
          </w:p>
        </w:tc>
        <w:tc>
          <w:tcPr>
            <w:tcW w:w="1348" w:type="dxa"/>
            <w:vMerge/>
            <w:tcBorders>
              <w:left w:val="single" w:sz="4" w:space="0" w:color="auto"/>
              <w:bottom w:val="single" w:sz="4" w:space="0" w:color="000000"/>
              <w:right w:val="single" w:sz="4" w:space="0" w:color="auto"/>
            </w:tcBorders>
            <w:vAlign w:val="center"/>
          </w:tcPr>
          <w:p w:rsidR="007D48BC" w:rsidRPr="001F344E" w:rsidRDefault="007D48BC" w:rsidP="0042501D">
            <w:pPr>
              <w:rPr>
                <w:rFonts w:ascii="Arial" w:hAnsi="Arial" w:cs="Arial"/>
                <w:sz w:val="16"/>
                <w:szCs w:val="16"/>
              </w:rPr>
            </w:pPr>
          </w:p>
        </w:tc>
        <w:tc>
          <w:tcPr>
            <w:tcW w:w="1061" w:type="dxa"/>
            <w:tcBorders>
              <w:top w:val="single" w:sz="4" w:space="0" w:color="auto"/>
              <w:left w:val="nil"/>
              <w:bottom w:val="single" w:sz="4" w:space="0" w:color="auto"/>
              <w:right w:val="single" w:sz="4" w:space="0" w:color="auto"/>
            </w:tcBorders>
            <w:shd w:val="clear" w:color="000000" w:fill="D9D9D9"/>
            <w:vAlign w:val="center"/>
          </w:tcPr>
          <w:p w:rsidR="007D48BC" w:rsidRPr="001F344E" w:rsidRDefault="007D48BC" w:rsidP="0042501D">
            <w:pPr>
              <w:jc w:val="center"/>
              <w:rPr>
                <w:rFonts w:ascii="Arial" w:hAnsi="Arial" w:cs="Arial"/>
                <w:sz w:val="16"/>
                <w:szCs w:val="16"/>
              </w:rPr>
            </w:pPr>
            <w:r w:rsidRPr="001F344E">
              <w:rPr>
                <w:rFonts w:ascii="Arial" w:hAnsi="Arial" w:cs="Arial"/>
                <w:sz w:val="16"/>
                <w:szCs w:val="16"/>
              </w:rPr>
              <w:t>Valor</w:t>
            </w:r>
          </w:p>
        </w:tc>
        <w:tc>
          <w:tcPr>
            <w:tcW w:w="2014" w:type="dxa"/>
            <w:gridSpan w:val="3"/>
            <w:tcBorders>
              <w:top w:val="single" w:sz="4" w:space="0" w:color="auto"/>
              <w:left w:val="nil"/>
              <w:bottom w:val="single" w:sz="4" w:space="0" w:color="auto"/>
              <w:right w:val="single" w:sz="4" w:space="0" w:color="000000"/>
            </w:tcBorders>
            <w:shd w:val="clear" w:color="000000" w:fill="D9D9D9"/>
            <w:vAlign w:val="center"/>
          </w:tcPr>
          <w:p w:rsidR="007D48BC" w:rsidRPr="001F344E" w:rsidRDefault="007D48BC" w:rsidP="0042501D">
            <w:pPr>
              <w:jc w:val="center"/>
              <w:rPr>
                <w:rFonts w:ascii="Arial" w:hAnsi="Arial" w:cs="Arial"/>
                <w:sz w:val="16"/>
                <w:szCs w:val="16"/>
              </w:rPr>
            </w:pPr>
            <w:r w:rsidRPr="001F344E">
              <w:rPr>
                <w:rFonts w:ascii="Arial" w:hAnsi="Arial" w:cs="Arial"/>
                <w:sz w:val="16"/>
                <w:szCs w:val="16"/>
              </w:rPr>
              <w:t>95% IC: min-max</w:t>
            </w:r>
          </w:p>
        </w:tc>
      </w:tr>
      <w:tr w:rsidR="007D48BC" w:rsidRPr="001F344E">
        <w:trPr>
          <w:gridAfter w:val="1"/>
          <w:wAfter w:w="12" w:type="dxa"/>
          <w:trHeight w:val="375"/>
        </w:trPr>
        <w:tc>
          <w:tcPr>
            <w:tcW w:w="858" w:type="dxa"/>
            <w:tcBorders>
              <w:top w:val="nil"/>
              <w:left w:val="single" w:sz="4" w:space="0" w:color="auto"/>
              <w:bottom w:val="single" w:sz="4" w:space="0" w:color="auto"/>
              <w:right w:val="single" w:sz="4" w:space="0" w:color="auto"/>
            </w:tcBorders>
            <w:shd w:val="clear" w:color="000000" w:fill="FFFFFF"/>
            <w:vAlign w:val="center"/>
          </w:tcPr>
          <w:p w:rsidR="007D48BC" w:rsidRPr="001F344E" w:rsidRDefault="007D48BC" w:rsidP="0042501D">
            <w:pPr>
              <w:jc w:val="center"/>
              <w:rPr>
                <w:rFonts w:ascii="Arial" w:hAnsi="Arial" w:cs="Arial"/>
                <w:sz w:val="16"/>
                <w:szCs w:val="16"/>
              </w:rPr>
            </w:pPr>
            <w:r>
              <w:rPr>
                <w:rFonts w:ascii="Arial" w:hAnsi="Arial" w:cs="Arial"/>
                <w:sz w:val="16"/>
                <w:szCs w:val="16"/>
              </w:rPr>
              <w:t>245</w:t>
            </w:r>
          </w:p>
        </w:tc>
        <w:tc>
          <w:tcPr>
            <w:tcW w:w="1123" w:type="dxa"/>
            <w:tcBorders>
              <w:top w:val="nil"/>
              <w:left w:val="nil"/>
              <w:bottom w:val="single" w:sz="4" w:space="0" w:color="auto"/>
              <w:right w:val="single" w:sz="4" w:space="0" w:color="auto"/>
            </w:tcBorders>
            <w:shd w:val="clear" w:color="000000" w:fill="FFFFFF"/>
            <w:vAlign w:val="center"/>
          </w:tcPr>
          <w:p w:rsidR="007D48BC" w:rsidRPr="001F344E" w:rsidRDefault="007D48BC" w:rsidP="0042501D">
            <w:pPr>
              <w:jc w:val="center"/>
              <w:rPr>
                <w:rFonts w:ascii="Arial" w:hAnsi="Arial" w:cs="Arial"/>
                <w:sz w:val="16"/>
                <w:szCs w:val="16"/>
              </w:rPr>
            </w:pPr>
            <w:r w:rsidRPr="00C35A0E">
              <w:rPr>
                <w:rFonts w:ascii="Arial" w:hAnsi="Arial" w:cs="Arial"/>
                <w:b/>
                <w:bCs/>
                <w:sz w:val="16"/>
                <w:szCs w:val="16"/>
              </w:rPr>
              <w:t>439.874</w:t>
            </w:r>
            <w:r>
              <w:rPr>
                <w:rFonts w:ascii="Arial" w:hAnsi="Arial" w:cs="Arial"/>
                <w:b/>
                <w:bCs/>
                <w:sz w:val="16"/>
                <w:szCs w:val="16"/>
              </w:rPr>
              <w:t>.</w:t>
            </w:r>
            <w:r w:rsidRPr="00C35A0E">
              <w:rPr>
                <w:rFonts w:ascii="Arial" w:hAnsi="Arial" w:cs="Arial"/>
                <w:b/>
                <w:bCs/>
                <w:sz w:val="16"/>
                <w:szCs w:val="16"/>
              </w:rPr>
              <w:t>51 €</w:t>
            </w:r>
          </w:p>
        </w:tc>
        <w:tc>
          <w:tcPr>
            <w:tcW w:w="851" w:type="dxa"/>
            <w:tcBorders>
              <w:top w:val="nil"/>
              <w:left w:val="nil"/>
              <w:bottom w:val="single" w:sz="4" w:space="0" w:color="auto"/>
              <w:right w:val="single" w:sz="4" w:space="0" w:color="auto"/>
            </w:tcBorders>
            <w:shd w:val="clear" w:color="000000" w:fill="FFFFFF"/>
            <w:vAlign w:val="center"/>
          </w:tcPr>
          <w:p w:rsidR="007D48BC" w:rsidRPr="001F344E" w:rsidRDefault="007D48BC" w:rsidP="0042501D">
            <w:pPr>
              <w:jc w:val="center"/>
              <w:rPr>
                <w:rFonts w:ascii="Arial" w:hAnsi="Arial" w:cs="Arial"/>
                <w:sz w:val="16"/>
                <w:szCs w:val="16"/>
              </w:rPr>
            </w:pPr>
            <w:r w:rsidRPr="001F344E">
              <w:rPr>
                <w:rFonts w:ascii="Arial" w:hAnsi="Arial" w:cs="Arial"/>
                <w:sz w:val="16"/>
                <w:szCs w:val="16"/>
              </w:rPr>
              <w:t>6</w:t>
            </w:r>
            <w:r>
              <w:rPr>
                <w:rFonts w:ascii="Arial" w:hAnsi="Arial" w:cs="Arial"/>
                <w:sz w:val="16"/>
                <w:szCs w:val="16"/>
              </w:rPr>
              <w:t>4</w:t>
            </w:r>
            <w:r w:rsidRPr="001F344E">
              <w:rPr>
                <w:rFonts w:ascii="Arial" w:hAnsi="Arial" w:cs="Arial"/>
                <w:sz w:val="16"/>
                <w:szCs w:val="16"/>
              </w:rPr>
              <w:t>%</w:t>
            </w:r>
          </w:p>
        </w:tc>
        <w:tc>
          <w:tcPr>
            <w:tcW w:w="780" w:type="dxa"/>
            <w:tcBorders>
              <w:top w:val="nil"/>
              <w:left w:val="nil"/>
              <w:bottom w:val="single" w:sz="4" w:space="0" w:color="auto"/>
              <w:right w:val="single" w:sz="4" w:space="0" w:color="auto"/>
            </w:tcBorders>
            <w:shd w:val="clear" w:color="000000" w:fill="FFFFFF"/>
            <w:vAlign w:val="center"/>
          </w:tcPr>
          <w:p w:rsidR="007D48BC" w:rsidRPr="001F344E" w:rsidRDefault="007D48BC" w:rsidP="0042501D">
            <w:pPr>
              <w:jc w:val="center"/>
              <w:rPr>
                <w:rFonts w:ascii="Arial" w:hAnsi="Arial" w:cs="Arial"/>
                <w:sz w:val="16"/>
                <w:szCs w:val="16"/>
              </w:rPr>
            </w:pPr>
            <w:r>
              <w:rPr>
                <w:rFonts w:ascii="Arial" w:hAnsi="Arial" w:cs="Arial"/>
                <w:sz w:val="16"/>
                <w:szCs w:val="16"/>
              </w:rPr>
              <w:t>53</w:t>
            </w:r>
            <w:r w:rsidRPr="001F344E">
              <w:rPr>
                <w:rFonts w:ascii="Arial" w:hAnsi="Arial" w:cs="Arial"/>
                <w:sz w:val="16"/>
                <w:szCs w:val="16"/>
              </w:rPr>
              <w:t>%</w:t>
            </w:r>
          </w:p>
        </w:tc>
        <w:tc>
          <w:tcPr>
            <w:tcW w:w="781" w:type="dxa"/>
            <w:tcBorders>
              <w:top w:val="nil"/>
              <w:left w:val="nil"/>
              <w:bottom w:val="single" w:sz="4" w:space="0" w:color="auto"/>
              <w:right w:val="single" w:sz="4" w:space="0" w:color="auto"/>
            </w:tcBorders>
            <w:shd w:val="clear" w:color="000000" w:fill="FFFFFF"/>
            <w:vAlign w:val="center"/>
          </w:tcPr>
          <w:p w:rsidR="007D48BC" w:rsidRPr="001F344E" w:rsidRDefault="007D48BC" w:rsidP="0042501D">
            <w:pPr>
              <w:jc w:val="center"/>
              <w:rPr>
                <w:rFonts w:ascii="Arial" w:hAnsi="Arial" w:cs="Arial"/>
                <w:sz w:val="16"/>
                <w:szCs w:val="16"/>
              </w:rPr>
            </w:pPr>
            <w:r>
              <w:rPr>
                <w:rFonts w:ascii="Arial" w:hAnsi="Arial" w:cs="Arial"/>
                <w:sz w:val="16"/>
                <w:szCs w:val="16"/>
              </w:rPr>
              <w:t>75</w:t>
            </w:r>
            <w:r w:rsidRPr="001F344E">
              <w:rPr>
                <w:rFonts w:ascii="Arial" w:hAnsi="Arial" w:cs="Arial"/>
                <w:sz w:val="16"/>
                <w:szCs w:val="16"/>
              </w:rPr>
              <w:t>%</w:t>
            </w:r>
          </w:p>
        </w:tc>
        <w:tc>
          <w:tcPr>
            <w:tcW w:w="1348" w:type="dxa"/>
            <w:tcBorders>
              <w:top w:val="nil"/>
              <w:left w:val="nil"/>
              <w:bottom w:val="single" w:sz="4" w:space="0" w:color="auto"/>
              <w:right w:val="single" w:sz="4" w:space="0" w:color="auto"/>
            </w:tcBorders>
            <w:shd w:val="clear" w:color="000000" w:fill="FFFFFF"/>
            <w:vAlign w:val="center"/>
          </w:tcPr>
          <w:p w:rsidR="007D48BC" w:rsidRPr="001F344E" w:rsidRDefault="007D48BC" w:rsidP="0042501D">
            <w:pPr>
              <w:jc w:val="center"/>
              <w:rPr>
                <w:rFonts w:ascii="Arial" w:hAnsi="Arial" w:cs="Arial"/>
                <w:sz w:val="16"/>
                <w:szCs w:val="16"/>
              </w:rPr>
            </w:pPr>
            <w:r>
              <w:rPr>
                <w:rFonts w:ascii="Arial" w:hAnsi="Arial" w:cs="Arial"/>
                <w:sz w:val="16"/>
                <w:szCs w:val="16"/>
              </w:rPr>
              <w:t xml:space="preserve">   107</w:t>
            </w:r>
            <w:r w:rsidRPr="001F344E">
              <w:rPr>
                <w:rFonts w:ascii="Arial" w:hAnsi="Arial" w:cs="Arial"/>
                <w:sz w:val="16"/>
                <w:szCs w:val="16"/>
              </w:rPr>
              <w:t>.</w:t>
            </w:r>
            <w:r>
              <w:rPr>
                <w:rFonts w:ascii="Arial" w:hAnsi="Arial" w:cs="Arial"/>
                <w:sz w:val="16"/>
                <w:szCs w:val="16"/>
              </w:rPr>
              <w:t>769.255</w:t>
            </w:r>
            <w:r w:rsidRPr="001F344E">
              <w:rPr>
                <w:rFonts w:ascii="Arial" w:hAnsi="Arial" w:cs="Arial"/>
                <w:sz w:val="16"/>
                <w:szCs w:val="16"/>
              </w:rPr>
              <w:t xml:space="preserve"> € </w:t>
            </w:r>
          </w:p>
        </w:tc>
        <w:tc>
          <w:tcPr>
            <w:tcW w:w="1061" w:type="dxa"/>
            <w:tcBorders>
              <w:top w:val="nil"/>
              <w:left w:val="nil"/>
              <w:bottom w:val="single" w:sz="4" w:space="0" w:color="auto"/>
              <w:right w:val="single" w:sz="4" w:space="0" w:color="auto"/>
            </w:tcBorders>
            <w:shd w:val="clear" w:color="000000" w:fill="FFFFFF"/>
            <w:vAlign w:val="center"/>
          </w:tcPr>
          <w:p w:rsidR="007D48BC" w:rsidRPr="001F344E" w:rsidRDefault="007D48BC" w:rsidP="0042501D">
            <w:pPr>
              <w:jc w:val="center"/>
              <w:rPr>
                <w:rFonts w:ascii="Arial" w:hAnsi="Arial" w:cs="Arial"/>
                <w:sz w:val="16"/>
                <w:szCs w:val="16"/>
              </w:rPr>
            </w:pPr>
            <w:r>
              <w:rPr>
                <w:rFonts w:ascii="Arial" w:hAnsi="Arial" w:cs="Arial"/>
                <w:sz w:val="16"/>
                <w:szCs w:val="16"/>
              </w:rPr>
              <w:t xml:space="preserve"> 157</w:t>
            </w:r>
            <w:r w:rsidRPr="001F344E">
              <w:rPr>
                <w:rFonts w:ascii="Arial" w:hAnsi="Arial" w:cs="Arial"/>
                <w:sz w:val="16"/>
                <w:szCs w:val="16"/>
              </w:rPr>
              <w:t xml:space="preserve"> pac/año </w:t>
            </w:r>
          </w:p>
        </w:tc>
        <w:tc>
          <w:tcPr>
            <w:tcW w:w="1001" w:type="dxa"/>
            <w:tcBorders>
              <w:top w:val="nil"/>
              <w:left w:val="nil"/>
              <w:bottom w:val="single" w:sz="4" w:space="0" w:color="auto"/>
              <w:right w:val="single" w:sz="4" w:space="0" w:color="auto"/>
            </w:tcBorders>
            <w:shd w:val="clear" w:color="000000" w:fill="FFFFFF"/>
            <w:vAlign w:val="center"/>
          </w:tcPr>
          <w:p w:rsidR="007D48BC" w:rsidRPr="001F344E" w:rsidRDefault="007D48BC" w:rsidP="0042501D">
            <w:pPr>
              <w:jc w:val="center"/>
              <w:rPr>
                <w:rFonts w:ascii="Arial" w:hAnsi="Arial" w:cs="Arial"/>
                <w:sz w:val="16"/>
                <w:szCs w:val="16"/>
              </w:rPr>
            </w:pPr>
            <w:r>
              <w:rPr>
                <w:rFonts w:ascii="Arial" w:hAnsi="Arial" w:cs="Arial"/>
                <w:sz w:val="16"/>
                <w:szCs w:val="16"/>
              </w:rPr>
              <w:t xml:space="preserve"> 130</w:t>
            </w:r>
            <w:r w:rsidRPr="001F344E">
              <w:rPr>
                <w:rFonts w:ascii="Arial" w:hAnsi="Arial" w:cs="Arial"/>
                <w:sz w:val="16"/>
                <w:szCs w:val="16"/>
              </w:rPr>
              <w:t xml:space="preserve"> pac/año </w:t>
            </w:r>
          </w:p>
        </w:tc>
        <w:tc>
          <w:tcPr>
            <w:tcW w:w="1001" w:type="dxa"/>
            <w:tcBorders>
              <w:top w:val="nil"/>
              <w:left w:val="nil"/>
              <w:bottom w:val="single" w:sz="4" w:space="0" w:color="auto"/>
              <w:right w:val="single" w:sz="4" w:space="0" w:color="auto"/>
            </w:tcBorders>
            <w:shd w:val="clear" w:color="000000" w:fill="FFFFFF"/>
            <w:vAlign w:val="center"/>
          </w:tcPr>
          <w:p w:rsidR="007D48BC" w:rsidRDefault="007D48BC" w:rsidP="0042501D">
            <w:pPr>
              <w:jc w:val="center"/>
              <w:rPr>
                <w:rFonts w:ascii="Arial" w:hAnsi="Arial" w:cs="Arial"/>
                <w:sz w:val="16"/>
                <w:szCs w:val="16"/>
              </w:rPr>
            </w:pPr>
            <w:r>
              <w:rPr>
                <w:rFonts w:ascii="Arial" w:hAnsi="Arial" w:cs="Arial"/>
                <w:sz w:val="16"/>
                <w:szCs w:val="16"/>
              </w:rPr>
              <w:t xml:space="preserve"> 184</w:t>
            </w:r>
          </w:p>
          <w:p w:rsidR="007D48BC" w:rsidRPr="001F344E" w:rsidRDefault="007D48BC" w:rsidP="0042501D">
            <w:pPr>
              <w:jc w:val="center"/>
              <w:rPr>
                <w:rFonts w:ascii="Arial" w:hAnsi="Arial" w:cs="Arial"/>
                <w:sz w:val="16"/>
                <w:szCs w:val="16"/>
              </w:rPr>
            </w:pPr>
            <w:r w:rsidRPr="001F344E">
              <w:rPr>
                <w:rFonts w:ascii="Arial" w:hAnsi="Arial" w:cs="Arial"/>
                <w:sz w:val="16"/>
                <w:szCs w:val="16"/>
              </w:rPr>
              <w:t xml:space="preserve">pac/año </w:t>
            </w:r>
          </w:p>
        </w:tc>
      </w:tr>
      <w:tr w:rsidR="007D48BC" w:rsidRPr="001F344E">
        <w:trPr>
          <w:trHeight w:val="599"/>
        </w:trPr>
        <w:tc>
          <w:tcPr>
            <w:tcW w:w="8816" w:type="dxa"/>
            <w:gridSpan w:val="10"/>
            <w:tcBorders>
              <w:top w:val="single" w:sz="4" w:space="0" w:color="auto"/>
              <w:left w:val="single" w:sz="4" w:space="0" w:color="auto"/>
              <w:bottom w:val="single" w:sz="4" w:space="0" w:color="auto"/>
              <w:right w:val="single" w:sz="4" w:space="0" w:color="auto"/>
            </w:tcBorders>
            <w:shd w:val="clear" w:color="000000" w:fill="D9D9D9"/>
            <w:vAlign w:val="center"/>
          </w:tcPr>
          <w:p w:rsidR="007D48BC" w:rsidRPr="001F344E" w:rsidRDefault="007D48BC" w:rsidP="0042501D">
            <w:pPr>
              <w:rPr>
                <w:rFonts w:ascii="Arial" w:hAnsi="Arial" w:cs="Arial"/>
                <w:sz w:val="16"/>
                <w:szCs w:val="16"/>
              </w:rPr>
            </w:pPr>
            <w:r w:rsidRPr="001F344E">
              <w:rPr>
                <w:rFonts w:ascii="Arial" w:hAnsi="Arial" w:cs="Arial"/>
                <w:sz w:val="16"/>
                <w:szCs w:val="16"/>
              </w:rPr>
              <w:t>*Se utilizan los valores del análisis de sensibilidad del pivotal ya que consideran a todos los pacientes incluidos en el ensayo pivotal y no solo a los que recibieron la infusión del fármaco</w:t>
            </w:r>
          </w:p>
        </w:tc>
      </w:tr>
    </w:tbl>
    <w:p w:rsidR="007D48BC" w:rsidRDefault="007D48BC" w:rsidP="0025168B">
      <w:pPr>
        <w:spacing w:line="360" w:lineRule="auto"/>
        <w:jc w:val="both"/>
        <w:rPr>
          <w:rFonts w:ascii="Arial" w:hAnsi="Arial" w:cs="Arial"/>
        </w:rPr>
      </w:pPr>
    </w:p>
    <w:p w:rsidR="007D48BC" w:rsidRDefault="007D48BC" w:rsidP="0025168B">
      <w:pPr>
        <w:spacing w:line="360" w:lineRule="auto"/>
        <w:jc w:val="both"/>
        <w:rPr>
          <w:rFonts w:ascii="Arial" w:hAnsi="Arial" w:cs="Arial"/>
        </w:rPr>
      </w:pPr>
      <w:r>
        <w:rPr>
          <w:rFonts w:ascii="Arial" w:hAnsi="Arial" w:cs="Arial"/>
        </w:rPr>
        <w:t xml:space="preserve">Estimando que del total de 490 pacientes candidatos a tratamiento con axicabtagen ciloleucel solo la mitad sería susceptible de recibir el tratamiento, teniendo un impacto presupuestario de 107.769.255 </w:t>
      </w:r>
      <w:r w:rsidRPr="003841B9">
        <w:rPr>
          <w:rFonts w:ascii="Arial" w:hAnsi="Arial" w:cs="Arial"/>
        </w:rPr>
        <w:t>€</w:t>
      </w:r>
      <w:r>
        <w:rPr>
          <w:rFonts w:ascii="Arial" w:hAnsi="Arial" w:cs="Arial"/>
        </w:rPr>
        <w:t xml:space="preserve">. El beneficio global que se obtendrá será de 157 pacientes con </w:t>
      </w:r>
      <w:r w:rsidR="00EF40F8">
        <w:rPr>
          <w:rFonts w:ascii="Arial" w:hAnsi="Arial" w:cs="Arial"/>
        </w:rPr>
        <w:t>respuesta parcial o completa</w:t>
      </w:r>
      <w:r>
        <w:rPr>
          <w:rFonts w:ascii="Arial" w:hAnsi="Arial" w:cs="Arial"/>
        </w:rPr>
        <w:t>.</w:t>
      </w:r>
    </w:p>
    <w:p w:rsidR="007D48BC" w:rsidRDefault="007D48BC" w:rsidP="009476C2">
      <w:pPr>
        <w:rPr>
          <w:rFonts w:ascii="Arial" w:hAnsi="Arial" w:cs="Arial"/>
        </w:rPr>
      </w:pPr>
    </w:p>
    <w:p w:rsidR="007D48BC" w:rsidRPr="00E1505F" w:rsidRDefault="007D48BC" w:rsidP="009476C2">
      <w:pPr>
        <w:rPr>
          <w:rFonts w:ascii="Arial" w:hAnsi="Arial" w:cs="Arial"/>
          <w:b/>
          <w:bCs/>
        </w:rPr>
      </w:pPr>
      <w:r w:rsidRPr="00E1505F">
        <w:rPr>
          <w:rFonts w:ascii="Arial" w:hAnsi="Arial" w:cs="Arial"/>
          <w:b/>
          <w:bCs/>
        </w:rPr>
        <w:t>Análisis de sensibilidad</w:t>
      </w:r>
    </w:p>
    <w:p w:rsidR="007D48BC" w:rsidRDefault="007D48BC" w:rsidP="00DB3FB7">
      <w:pPr>
        <w:jc w:val="both"/>
        <w:rPr>
          <w:rFonts w:ascii="Arial" w:hAnsi="Arial" w:cs="Arial"/>
        </w:rPr>
      </w:pPr>
    </w:p>
    <w:tbl>
      <w:tblPr>
        <w:tblW w:w="8789" w:type="dxa"/>
        <w:tblInd w:w="-68" w:type="dxa"/>
        <w:tblLayout w:type="fixed"/>
        <w:tblCellMar>
          <w:left w:w="70" w:type="dxa"/>
          <w:right w:w="70" w:type="dxa"/>
        </w:tblCellMar>
        <w:tblLook w:val="00A0"/>
      </w:tblPr>
      <w:tblGrid>
        <w:gridCol w:w="284"/>
        <w:gridCol w:w="3295"/>
        <w:gridCol w:w="812"/>
        <w:gridCol w:w="709"/>
        <w:gridCol w:w="1134"/>
        <w:gridCol w:w="1279"/>
        <w:gridCol w:w="1276"/>
      </w:tblGrid>
      <w:tr w:rsidR="007D48BC" w:rsidRPr="001F344E">
        <w:trPr>
          <w:trHeight w:val="255"/>
        </w:trPr>
        <w:tc>
          <w:tcPr>
            <w:tcW w:w="8789" w:type="dxa"/>
            <w:gridSpan w:val="7"/>
            <w:tcBorders>
              <w:top w:val="single" w:sz="4" w:space="0" w:color="auto"/>
              <w:left w:val="single" w:sz="4" w:space="0" w:color="auto"/>
              <w:bottom w:val="single" w:sz="4" w:space="0" w:color="auto"/>
              <w:right w:val="single" w:sz="4" w:space="0" w:color="000000"/>
            </w:tcBorders>
            <w:shd w:val="clear" w:color="000000" w:fill="B7DEE8"/>
            <w:vAlign w:val="center"/>
          </w:tcPr>
          <w:p w:rsidR="007D48BC" w:rsidRPr="001F344E" w:rsidRDefault="007D48BC" w:rsidP="00A709BB">
            <w:pPr>
              <w:rPr>
                <w:rFonts w:ascii="Arial" w:hAnsi="Arial" w:cs="Arial"/>
                <w:b/>
                <w:bCs/>
              </w:rPr>
            </w:pPr>
            <w:r w:rsidRPr="001F344E">
              <w:rPr>
                <w:rFonts w:ascii="Arial" w:hAnsi="Arial" w:cs="Arial"/>
                <w:b/>
                <w:bCs/>
              </w:rPr>
              <w:t xml:space="preserve">Tabla </w:t>
            </w:r>
            <w:r>
              <w:rPr>
                <w:rFonts w:ascii="Arial" w:hAnsi="Arial" w:cs="Arial"/>
                <w:b/>
                <w:bCs/>
              </w:rPr>
              <w:t>20</w:t>
            </w:r>
            <w:r w:rsidRPr="001F344E">
              <w:rPr>
                <w:rFonts w:ascii="Arial" w:hAnsi="Arial" w:cs="Arial"/>
                <w:b/>
                <w:bCs/>
              </w:rPr>
              <w:t xml:space="preserve">. Análisis de sensibilidad. </w:t>
            </w:r>
          </w:p>
        </w:tc>
      </w:tr>
      <w:tr w:rsidR="007D48BC" w:rsidRPr="001F344E">
        <w:trPr>
          <w:trHeight w:val="255"/>
        </w:trPr>
        <w:tc>
          <w:tcPr>
            <w:tcW w:w="8789" w:type="dxa"/>
            <w:gridSpan w:val="7"/>
            <w:tcBorders>
              <w:top w:val="single" w:sz="4" w:space="0" w:color="auto"/>
              <w:left w:val="single" w:sz="4" w:space="0" w:color="auto"/>
              <w:bottom w:val="single" w:sz="4" w:space="0" w:color="auto"/>
              <w:right w:val="single" w:sz="4" w:space="0" w:color="auto"/>
            </w:tcBorders>
            <w:shd w:val="clear" w:color="000000" w:fill="B7DEE8"/>
            <w:vAlign w:val="center"/>
          </w:tcPr>
          <w:p w:rsidR="007D48BC" w:rsidRPr="001F344E" w:rsidRDefault="007D48BC" w:rsidP="008950A1">
            <w:pPr>
              <w:jc w:val="center"/>
              <w:rPr>
                <w:rFonts w:ascii="Arial" w:hAnsi="Arial" w:cs="Arial"/>
                <w:b/>
                <w:bCs/>
              </w:rPr>
            </w:pPr>
            <w:r w:rsidRPr="001F344E">
              <w:rPr>
                <w:rFonts w:ascii="Arial" w:hAnsi="Arial" w:cs="Arial"/>
                <w:b/>
                <w:bCs/>
              </w:rPr>
              <w:t xml:space="preserve">TABLA AUXILIAR DE VARIABILIDAD DEL IMPACTO POBLACIONAL EN SALUD </w:t>
            </w:r>
          </w:p>
        </w:tc>
      </w:tr>
      <w:tr w:rsidR="007D48BC" w:rsidRPr="001F344E">
        <w:trPr>
          <w:trHeight w:val="480"/>
        </w:trPr>
        <w:tc>
          <w:tcPr>
            <w:tcW w:w="8789" w:type="dxa"/>
            <w:gridSpan w:val="7"/>
            <w:tcBorders>
              <w:top w:val="single" w:sz="4" w:space="0" w:color="auto"/>
              <w:left w:val="single" w:sz="4" w:space="0" w:color="auto"/>
              <w:bottom w:val="single" w:sz="4" w:space="0" w:color="auto"/>
              <w:right w:val="single" w:sz="4" w:space="0" w:color="auto"/>
            </w:tcBorders>
            <w:shd w:val="clear" w:color="000000" w:fill="B7DEE8"/>
            <w:vAlign w:val="center"/>
          </w:tcPr>
          <w:p w:rsidR="007D48BC" w:rsidRPr="001F344E" w:rsidRDefault="007D48BC" w:rsidP="008950A1">
            <w:pPr>
              <w:jc w:val="center"/>
              <w:rPr>
                <w:rFonts w:ascii="Arial" w:hAnsi="Arial" w:cs="Arial"/>
                <w:sz w:val="16"/>
                <w:szCs w:val="16"/>
              </w:rPr>
            </w:pPr>
            <w:r w:rsidRPr="001F344E">
              <w:rPr>
                <w:rFonts w:ascii="Arial" w:hAnsi="Arial" w:cs="Arial"/>
                <w:sz w:val="16"/>
                <w:szCs w:val="16"/>
              </w:rPr>
              <w:t>Estimación de diferentes n</w:t>
            </w:r>
            <w:r>
              <w:rPr>
                <w:rFonts w:ascii="Arial" w:hAnsi="Arial" w:cs="Arial"/>
                <w:sz w:val="16"/>
                <w:szCs w:val="16"/>
              </w:rPr>
              <w:t>úmero</w:t>
            </w:r>
            <w:r w:rsidRPr="001F344E">
              <w:rPr>
                <w:rFonts w:ascii="Arial" w:hAnsi="Arial" w:cs="Arial"/>
                <w:sz w:val="16"/>
                <w:szCs w:val="16"/>
              </w:rPr>
              <w:t xml:space="preserve"> de pacientes candidatos a tratamiento y de distintas eficacias diferenciales. Cálculo de impacto presupuestario a nivel del SNS (Datos extraídos del apartado 7.3.a)</w:t>
            </w:r>
          </w:p>
        </w:tc>
      </w:tr>
      <w:tr w:rsidR="007D48BC" w:rsidRPr="001F344E">
        <w:trPr>
          <w:trHeight w:val="314"/>
        </w:trPr>
        <w:tc>
          <w:tcPr>
            <w:tcW w:w="3579" w:type="dxa"/>
            <w:gridSpan w:val="2"/>
            <w:vMerge w:val="restart"/>
            <w:tcBorders>
              <w:top w:val="single" w:sz="4" w:space="0" w:color="auto"/>
              <w:left w:val="single" w:sz="4" w:space="0" w:color="auto"/>
              <w:bottom w:val="single" w:sz="4" w:space="0" w:color="auto"/>
              <w:right w:val="single" w:sz="4" w:space="0" w:color="auto"/>
            </w:tcBorders>
            <w:shd w:val="clear" w:color="000000" w:fill="D9D9D9"/>
            <w:vAlign w:val="center"/>
          </w:tcPr>
          <w:p w:rsidR="007D48BC" w:rsidRPr="001F344E" w:rsidRDefault="007D48BC" w:rsidP="008950A1">
            <w:pPr>
              <w:jc w:val="center"/>
              <w:rPr>
                <w:rFonts w:ascii="Arial" w:hAnsi="Arial" w:cs="Arial"/>
                <w:b/>
                <w:bCs/>
                <w:sz w:val="18"/>
                <w:szCs w:val="18"/>
              </w:rPr>
            </w:pPr>
            <w:r w:rsidRPr="001F344E">
              <w:rPr>
                <w:rFonts w:ascii="Arial" w:hAnsi="Arial" w:cs="Arial"/>
                <w:b/>
                <w:bCs/>
                <w:sz w:val="18"/>
                <w:szCs w:val="18"/>
              </w:rPr>
              <w:t>Descripción del supuesto</w:t>
            </w:r>
          </w:p>
        </w:tc>
        <w:tc>
          <w:tcPr>
            <w:tcW w:w="1521" w:type="dxa"/>
            <w:gridSpan w:val="2"/>
            <w:tcBorders>
              <w:top w:val="single" w:sz="4" w:space="0" w:color="auto"/>
              <w:left w:val="nil"/>
              <w:bottom w:val="single" w:sz="4" w:space="0" w:color="auto"/>
              <w:right w:val="single" w:sz="4" w:space="0" w:color="auto"/>
            </w:tcBorders>
            <w:shd w:val="clear" w:color="000000" w:fill="D9D9D9"/>
            <w:vAlign w:val="center"/>
          </w:tcPr>
          <w:p w:rsidR="007D48BC" w:rsidRPr="001F344E" w:rsidRDefault="007D48BC" w:rsidP="008950A1">
            <w:pPr>
              <w:jc w:val="center"/>
              <w:rPr>
                <w:rFonts w:ascii="Arial" w:hAnsi="Arial" w:cs="Arial"/>
                <w:b/>
                <w:bCs/>
                <w:sz w:val="16"/>
                <w:szCs w:val="16"/>
              </w:rPr>
            </w:pPr>
            <w:r w:rsidRPr="001F344E">
              <w:rPr>
                <w:rFonts w:ascii="Arial" w:hAnsi="Arial" w:cs="Arial"/>
                <w:b/>
                <w:bCs/>
                <w:sz w:val="16"/>
                <w:szCs w:val="16"/>
              </w:rPr>
              <w:t>Población Diana</w:t>
            </w:r>
          </w:p>
        </w:tc>
        <w:tc>
          <w:tcPr>
            <w:tcW w:w="2413" w:type="dxa"/>
            <w:gridSpan w:val="2"/>
            <w:tcBorders>
              <w:top w:val="single" w:sz="4" w:space="0" w:color="auto"/>
              <w:left w:val="nil"/>
              <w:bottom w:val="single" w:sz="4" w:space="0" w:color="auto"/>
              <w:right w:val="single" w:sz="4" w:space="0" w:color="auto"/>
            </w:tcBorders>
            <w:shd w:val="clear" w:color="000000" w:fill="D9D9D9"/>
            <w:vAlign w:val="center"/>
          </w:tcPr>
          <w:p w:rsidR="007D48BC" w:rsidRPr="001F344E" w:rsidRDefault="007D48BC" w:rsidP="008950A1">
            <w:pPr>
              <w:jc w:val="center"/>
              <w:rPr>
                <w:rFonts w:ascii="Arial" w:hAnsi="Arial" w:cs="Arial"/>
                <w:b/>
                <w:bCs/>
                <w:sz w:val="16"/>
                <w:szCs w:val="16"/>
              </w:rPr>
            </w:pPr>
            <w:r w:rsidRPr="001F344E">
              <w:rPr>
                <w:rFonts w:ascii="Arial" w:hAnsi="Arial" w:cs="Arial"/>
                <w:b/>
                <w:bCs/>
                <w:sz w:val="16"/>
                <w:szCs w:val="16"/>
              </w:rPr>
              <w:t>Impacto presupuestario</w:t>
            </w:r>
          </w:p>
        </w:tc>
        <w:tc>
          <w:tcPr>
            <w:tcW w:w="1276" w:type="dxa"/>
            <w:vMerge w:val="restart"/>
            <w:tcBorders>
              <w:top w:val="nil"/>
              <w:left w:val="single" w:sz="4" w:space="0" w:color="auto"/>
              <w:right w:val="single" w:sz="4" w:space="0" w:color="auto"/>
            </w:tcBorders>
            <w:shd w:val="clear" w:color="000000" w:fill="D9D9D9"/>
            <w:vAlign w:val="center"/>
          </w:tcPr>
          <w:p w:rsidR="007D48BC" w:rsidRPr="001F344E" w:rsidRDefault="007D48BC" w:rsidP="008950A1">
            <w:pPr>
              <w:jc w:val="center"/>
              <w:rPr>
                <w:rFonts w:ascii="Arial" w:hAnsi="Arial" w:cs="Arial"/>
                <w:b/>
                <w:bCs/>
                <w:sz w:val="16"/>
                <w:szCs w:val="16"/>
              </w:rPr>
            </w:pPr>
            <w:r w:rsidRPr="001F344E">
              <w:rPr>
                <w:rFonts w:ascii="Arial" w:hAnsi="Arial" w:cs="Arial"/>
                <w:b/>
                <w:bCs/>
                <w:sz w:val="16"/>
                <w:szCs w:val="16"/>
              </w:rPr>
              <w:t>Diferencia de presupuesto</w:t>
            </w:r>
          </w:p>
        </w:tc>
      </w:tr>
      <w:tr w:rsidR="007D48BC" w:rsidRPr="001F344E">
        <w:trPr>
          <w:trHeight w:val="255"/>
        </w:trPr>
        <w:tc>
          <w:tcPr>
            <w:tcW w:w="3579" w:type="dxa"/>
            <w:gridSpan w:val="2"/>
            <w:vMerge/>
            <w:tcBorders>
              <w:top w:val="single" w:sz="4" w:space="0" w:color="auto"/>
              <w:left w:val="single" w:sz="4" w:space="0" w:color="auto"/>
              <w:bottom w:val="single" w:sz="4" w:space="0" w:color="auto"/>
              <w:right w:val="single" w:sz="4" w:space="0" w:color="auto"/>
            </w:tcBorders>
            <w:vAlign w:val="center"/>
          </w:tcPr>
          <w:p w:rsidR="007D48BC" w:rsidRPr="001F344E" w:rsidRDefault="007D48BC" w:rsidP="008950A1">
            <w:pPr>
              <w:rPr>
                <w:rFonts w:ascii="Arial" w:hAnsi="Arial" w:cs="Arial"/>
                <w:b/>
                <w:bCs/>
                <w:sz w:val="18"/>
                <w:szCs w:val="18"/>
              </w:rPr>
            </w:pPr>
          </w:p>
        </w:tc>
        <w:tc>
          <w:tcPr>
            <w:tcW w:w="812" w:type="dxa"/>
            <w:tcBorders>
              <w:top w:val="nil"/>
              <w:left w:val="nil"/>
              <w:bottom w:val="single" w:sz="4" w:space="0" w:color="auto"/>
              <w:right w:val="single" w:sz="4" w:space="0" w:color="auto"/>
            </w:tcBorders>
            <w:shd w:val="clear" w:color="000000" w:fill="D9D9D9"/>
            <w:vAlign w:val="center"/>
          </w:tcPr>
          <w:p w:rsidR="007D48BC" w:rsidRPr="001F344E" w:rsidRDefault="007D48BC" w:rsidP="008950A1">
            <w:pPr>
              <w:jc w:val="center"/>
              <w:rPr>
                <w:rFonts w:ascii="Arial" w:hAnsi="Arial" w:cs="Arial"/>
                <w:b/>
                <w:bCs/>
                <w:sz w:val="16"/>
                <w:szCs w:val="16"/>
              </w:rPr>
            </w:pPr>
            <w:r w:rsidRPr="001F344E">
              <w:rPr>
                <w:rFonts w:ascii="Arial" w:hAnsi="Arial" w:cs="Arial"/>
                <w:b/>
                <w:bCs/>
                <w:sz w:val="16"/>
                <w:szCs w:val="16"/>
              </w:rPr>
              <w:t>Original</w:t>
            </w:r>
          </w:p>
        </w:tc>
        <w:tc>
          <w:tcPr>
            <w:tcW w:w="709" w:type="dxa"/>
            <w:tcBorders>
              <w:top w:val="nil"/>
              <w:left w:val="nil"/>
              <w:bottom w:val="single" w:sz="4" w:space="0" w:color="auto"/>
              <w:right w:val="single" w:sz="4" w:space="0" w:color="auto"/>
            </w:tcBorders>
            <w:shd w:val="clear" w:color="000000" w:fill="D9D9D9"/>
            <w:vAlign w:val="center"/>
          </w:tcPr>
          <w:p w:rsidR="007D48BC" w:rsidRPr="001F344E" w:rsidRDefault="007D48BC" w:rsidP="008950A1">
            <w:pPr>
              <w:jc w:val="center"/>
              <w:rPr>
                <w:rFonts w:ascii="Arial" w:hAnsi="Arial" w:cs="Arial"/>
                <w:b/>
                <w:bCs/>
                <w:sz w:val="16"/>
                <w:szCs w:val="16"/>
              </w:rPr>
            </w:pPr>
            <w:r w:rsidRPr="001F344E">
              <w:rPr>
                <w:rFonts w:ascii="Arial" w:hAnsi="Arial" w:cs="Arial"/>
                <w:b/>
                <w:bCs/>
                <w:sz w:val="16"/>
                <w:szCs w:val="16"/>
              </w:rPr>
              <w:t>Nueva</w:t>
            </w:r>
          </w:p>
        </w:tc>
        <w:tc>
          <w:tcPr>
            <w:tcW w:w="1134" w:type="dxa"/>
            <w:tcBorders>
              <w:top w:val="nil"/>
              <w:left w:val="nil"/>
              <w:bottom w:val="single" w:sz="4" w:space="0" w:color="auto"/>
              <w:right w:val="single" w:sz="4" w:space="0" w:color="auto"/>
            </w:tcBorders>
            <w:shd w:val="clear" w:color="000000" w:fill="D9D9D9"/>
            <w:vAlign w:val="center"/>
          </w:tcPr>
          <w:p w:rsidR="007D48BC" w:rsidRPr="001F344E" w:rsidRDefault="007D48BC" w:rsidP="008950A1">
            <w:pPr>
              <w:jc w:val="center"/>
              <w:rPr>
                <w:rFonts w:ascii="Arial" w:hAnsi="Arial" w:cs="Arial"/>
                <w:b/>
                <w:bCs/>
                <w:sz w:val="16"/>
                <w:szCs w:val="16"/>
              </w:rPr>
            </w:pPr>
            <w:r w:rsidRPr="001F344E">
              <w:rPr>
                <w:rFonts w:ascii="Arial" w:hAnsi="Arial" w:cs="Arial"/>
                <w:b/>
                <w:bCs/>
                <w:sz w:val="16"/>
                <w:szCs w:val="16"/>
              </w:rPr>
              <w:t>Original</w:t>
            </w:r>
          </w:p>
        </w:tc>
        <w:tc>
          <w:tcPr>
            <w:tcW w:w="1279" w:type="dxa"/>
            <w:tcBorders>
              <w:top w:val="nil"/>
              <w:left w:val="nil"/>
              <w:bottom w:val="single" w:sz="4" w:space="0" w:color="auto"/>
              <w:right w:val="single" w:sz="4" w:space="0" w:color="auto"/>
            </w:tcBorders>
            <w:shd w:val="clear" w:color="000000" w:fill="D9D9D9"/>
            <w:vAlign w:val="center"/>
          </w:tcPr>
          <w:p w:rsidR="007D48BC" w:rsidRPr="001F344E" w:rsidRDefault="007D48BC" w:rsidP="008950A1">
            <w:pPr>
              <w:jc w:val="center"/>
              <w:rPr>
                <w:rFonts w:ascii="Arial" w:hAnsi="Arial" w:cs="Arial"/>
                <w:b/>
                <w:bCs/>
                <w:sz w:val="16"/>
                <w:szCs w:val="16"/>
              </w:rPr>
            </w:pPr>
            <w:r w:rsidRPr="001F344E">
              <w:rPr>
                <w:rFonts w:ascii="Arial" w:hAnsi="Arial" w:cs="Arial"/>
                <w:b/>
                <w:bCs/>
                <w:sz w:val="16"/>
                <w:szCs w:val="16"/>
              </w:rPr>
              <w:t>Nuevo</w:t>
            </w:r>
          </w:p>
        </w:tc>
        <w:tc>
          <w:tcPr>
            <w:tcW w:w="1276" w:type="dxa"/>
            <w:vMerge/>
            <w:tcBorders>
              <w:left w:val="single" w:sz="4" w:space="0" w:color="auto"/>
              <w:bottom w:val="single" w:sz="4" w:space="0" w:color="auto"/>
              <w:right w:val="single" w:sz="4" w:space="0" w:color="auto"/>
            </w:tcBorders>
            <w:vAlign w:val="center"/>
          </w:tcPr>
          <w:p w:rsidR="007D48BC" w:rsidRPr="001F344E" w:rsidRDefault="007D48BC" w:rsidP="008950A1">
            <w:pPr>
              <w:rPr>
                <w:rFonts w:ascii="Arial" w:hAnsi="Arial" w:cs="Arial"/>
                <w:b/>
                <w:bCs/>
                <w:sz w:val="16"/>
                <w:szCs w:val="16"/>
              </w:rPr>
            </w:pPr>
          </w:p>
        </w:tc>
      </w:tr>
      <w:tr w:rsidR="007D48BC" w:rsidRPr="001F344E">
        <w:trPr>
          <w:trHeight w:val="480"/>
        </w:trPr>
        <w:tc>
          <w:tcPr>
            <w:tcW w:w="284" w:type="dxa"/>
            <w:tcBorders>
              <w:top w:val="nil"/>
              <w:left w:val="single" w:sz="4" w:space="0" w:color="auto"/>
              <w:bottom w:val="single" w:sz="4" w:space="0" w:color="auto"/>
              <w:right w:val="single" w:sz="4" w:space="0" w:color="auto"/>
            </w:tcBorders>
            <w:vAlign w:val="center"/>
          </w:tcPr>
          <w:p w:rsidR="007D48BC" w:rsidRPr="001F344E" w:rsidRDefault="007D48BC" w:rsidP="008950A1">
            <w:pPr>
              <w:jc w:val="center"/>
              <w:rPr>
                <w:rFonts w:ascii="Arial" w:hAnsi="Arial" w:cs="Arial"/>
                <w:b/>
                <w:bCs/>
              </w:rPr>
            </w:pPr>
            <w:r w:rsidRPr="001F344E">
              <w:rPr>
                <w:rFonts w:ascii="Arial" w:hAnsi="Arial" w:cs="Arial"/>
                <w:b/>
                <w:bCs/>
              </w:rPr>
              <w:t>1</w:t>
            </w:r>
          </w:p>
        </w:tc>
        <w:tc>
          <w:tcPr>
            <w:tcW w:w="3295" w:type="dxa"/>
            <w:tcBorders>
              <w:top w:val="nil"/>
              <w:left w:val="nil"/>
              <w:bottom w:val="single" w:sz="4" w:space="0" w:color="auto"/>
              <w:right w:val="single" w:sz="4" w:space="0" w:color="auto"/>
            </w:tcBorders>
            <w:vAlign w:val="center"/>
          </w:tcPr>
          <w:p w:rsidR="007D48BC" w:rsidRPr="001F344E" w:rsidRDefault="007D48BC" w:rsidP="008950A1">
            <w:pPr>
              <w:rPr>
                <w:rFonts w:ascii="Arial" w:hAnsi="Arial" w:cs="Arial"/>
                <w:sz w:val="18"/>
                <w:szCs w:val="18"/>
              </w:rPr>
            </w:pPr>
            <w:r w:rsidRPr="001F344E">
              <w:rPr>
                <w:rFonts w:ascii="Arial" w:hAnsi="Arial" w:cs="Arial"/>
                <w:sz w:val="18"/>
                <w:szCs w:val="18"/>
              </w:rPr>
              <w:t>Solo se financiarán los tratamientos que se lleguen a administrar a los pacientes*</w:t>
            </w:r>
          </w:p>
        </w:tc>
        <w:tc>
          <w:tcPr>
            <w:tcW w:w="812" w:type="dxa"/>
            <w:tcBorders>
              <w:top w:val="nil"/>
              <w:left w:val="nil"/>
              <w:bottom w:val="single" w:sz="4" w:space="0" w:color="auto"/>
              <w:right w:val="single" w:sz="4" w:space="0" w:color="auto"/>
            </w:tcBorders>
            <w:vAlign w:val="center"/>
          </w:tcPr>
          <w:p w:rsidR="007D48BC" w:rsidRPr="001F344E" w:rsidRDefault="007D48BC" w:rsidP="008950A1">
            <w:pPr>
              <w:jc w:val="center"/>
              <w:rPr>
                <w:rFonts w:ascii="Arial" w:hAnsi="Arial" w:cs="Arial"/>
                <w:sz w:val="16"/>
                <w:szCs w:val="16"/>
              </w:rPr>
            </w:pPr>
            <w:r>
              <w:rPr>
                <w:rFonts w:ascii="Arial" w:hAnsi="Arial" w:cs="Arial"/>
                <w:sz w:val="16"/>
                <w:szCs w:val="16"/>
              </w:rPr>
              <w:t>490</w:t>
            </w:r>
          </w:p>
        </w:tc>
        <w:tc>
          <w:tcPr>
            <w:tcW w:w="709" w:type="dxa"/>
            <w:tcBorders>
              <w:top w:val="nil"/>
              <w:left w:val="nil"/>
              <w:bottom w:val="single" w:sz="4" w:space="0" w:color="auto"/>
              <w:right w:val="single" w:sz="4" w:space="0" w:color="auto"/>
            </w:tcBorders>
            <w:vAlign w:val="center"/>
          </w:tcPr>
          <w:p w:rsidR="007D48BC" w:rsidRPr="001F344E" w:rsidRDefault="007D48BC" w:rsidP="008950A1">
            <w:pPr>
              <w:jc w:val="center"/>
              <w:rPr>
                <w:rFonts w:ascii="Arial" w:hAnsi="Arial" w:cs="Arial"/>
                <w:sz w:val="16"/>
                <w:szCs w:val="16"/>
              </w:rPr>
            </w:pPr>
            <w:r>
              <w:rPr>
                <w:rFonts w:ascii="Arial" w:hAnsi="Arial" w:cs="Arial"/>
                <w:sz w:val="16"/>
                <w:szCs w:val="16"/>
              </w:rPr>
              <w:t>446</w:t>
            </w:r>
          </w:p>
        </w:tc>
        <w:tc>
          <w:tcPr>
            <w:tcW w:w="1134" w:type="dxa"/>
            <w:tcBorders>
              <w:top w:val="nil"/>
              <w:left w:val="nil"/>
              <w:bottom w:val="single" w:sz="4" w:space="0" w:color="auto"/>
              <w:right w:val="single" w:sz="4" w:space="0" w:color="auto"/>
            </w:tcBorders>
            <w:vAlign w:val="center"/>
          </w:tcPr>
          <w:p w:rsidR="007D48BC" w:rsidRPr="001F344E" w:rsidRDefault="007D48BC" w:rsidP="00DB7305">
            <w:pPr>
              <w:rPr>
                <w:rFonts w:ascii="Arial" w:hAnsi="Arial" w:cs="Arial"/>
                <w:sz w:val="16"/>
                <w:szCs w:val="16"/>
              </w:rPr>
            </w:pPr>
            <w:r w:rsidRPr="00DB7305">
              <w:rPr>
                <w:rFonts w:ascii="Arial" w:hAnsi="Arial" w:cs="Arial"/>
                <w:sz w:val="16"/>
                <w:szCs w:val="16"/>
              </w:rPr>
              <w:t>215.538</w:t>
            </w:r>
            <w:r>
              <w:rPr>
                <w:rFonts w:ascii="Arial" w:hAnsi="Arial" w:cs="Arial"/>
                <w:sz w:val="16"/>
                <w:szCs w:val="16"/>
              </w:rPr>
              <w:t>.</w:t>
            </w:r>
            <w:r w:rsidRPr="00DB7305">
              <w:rPr>
                <w:rFonts w:ascii="Arial" w:hAnsi="Arial" w:cs="Arial"/>
                <w:sz w:val="16"/>
                <w:szCs w:val="16"/>
              </w:rPr>
              <w:t>260€</w:t>
            </w:r>
          </w:p>
        </w:tc>
        <w:tc>
          <w:tcPr>
            <w:tcW w:w="1279" w:type="dxa"/>
            <w:tcBorders>
              <w:top w:val="nil"/>
              <w:left w:val="nil"/>
              <w:bottom w:val="single" w:sz="4" w:space="0" w:color="auto"/>
              <w:right w:val="single" w:sz="4" w:space="0" w:color="auto"/>
            </w:tcBorders>
            <w:vAlign w:val="center"/>
          </w:tcPr>
          <w:p w:rsidR="007D48BC" w:rsidRPr="001F344E" w:rsidRDefault="007D48BC" w:rsidP="00DB7305">
            <w:pPr>
              <w:jc w:val="center"/>
              <w:rPr>
                <w:rFonts w:ascii="Arial" w:hAnsi="Arial" w:cs="Arial"/>
                <w:b/>
                <w:bCs/>
                <w:sz w:val="16"/>
                <w:szCs w:val="16"/>
              </w:rPr>
            </w:pPr>
            <w:r w:rsidRPr="001F344E">
              <w:rPr>
                <w:rFonts w:ascii="Arial" w:hAnsi="Arial" w:cs="Arial"/>
                <w:b/>
                <w:bCs/>
                <w:sz w:val="16"/>
                <w:szCs w:val="16"/>
              </w:rPr>
              <w:t>1</w:t>
            </w:r>
            <w:r>
              <w:rPr>
                <w:rFonts w:ascii="Arial" w:hAnsi="Arial" w:cs="Arial"/>
                <w:b/>
                <w:bCs/>
                <w:sz w:val="16"/>
                <w:szCs w:val="16"/>
              </w:rPr>
              <w:t>96</w:t>
            </w:r>
            <w:r w:rsidRPr="001F344E">
              <w:rPr>
                <w:rFonts w:ascii="Arial" w:hAnsi="Arial" w:cs="Arial"/>
                <w:b/>
                <w:bCs/>
                <w:sz w:val="16"/>
                <w:szCs w:val="16"/>
              </w:rPr>
              <w:t>.</w:t>
            </w:r>
            <w:r>
              <w:rPr>
                <w:rFonts w:ascii="Arial" w:hAnsi="Arial" w:cs="Arial"/>
                <w:b/>
                <w:bCs/>
                <w:sz w:val="16"/>
                <w:szCs w:val="16"/>
              </w:rPr>
              <w:t>184.031</w:t>
            </w:r>
            <w:r w:rsidRPr="001F344E">
              <w:rPr>
                <w:rFonts w:ascii="Arial" w:hAnsi="Arial" w:cs="Arial"/>
                <w:b/>
                <w:bCs/>
                <w:sz w:val="16"/>
                <w:szCs w:val="16"/>
              </w:rPr>
              <w:t xml:space="preserve"> €</w:t>
            </w:r>
          </w:p>
        </w:tc>
        <w:tc>
          <w:tcPr>
            <w:tcW w:w="1276" w:type="dxa"/>
            <w:tcBorders>
              <w:top w:val="nil"/>
              <w:left w:val="nil"/>
              <w:bottom w:val="single" w:sz="4" w:space="0" w:color="auto"/>
              <w:right w:val="single" w:sz="4" w:space="0" w:color="auto"/>
            </w:tcBorders>
            <w:vAlign w:val="center"/>
          </w:tcPr>
          <w:p w:rsidR="007D48BC" w:rsidRPr="00D415F4" w:rsidRDefault="007D48BC" w:rsidP="003059C0">
            <w:pPr>
              <w:jc w:val="center"/>
              <w:rPr>
                <w:rFonts w:ascii="Arial" w:hAnsi="Arial" w:cs="Arial"/>
                <w:b/>
                <w:bCs/>
                <w:color w:val="00B050"/>
                <w:sz w:val="16"/>
                <w:szCs w:val="16"/>
              </w:rPr>
            </w:pPr>
            <w:r w:rsidRPr="00D415F4">
              <w:rPr>
                <w:rFonts w:ascii="Arial" w:hAnsi="Arial" w:cs="Arial"/>
                <w:b/>
                <w:bCs/>
                <w:color w:val="00B050"/>
                <w:sz w:val="16"/>
                <w:szCs w:val="16"/>
              </w:rPr>
              <w:t>-19.354.228 €</w:t>
            </w:r>
          </w:p>
        </w:tc>
      </w:tr>
      <w:tr w:rsidR="007D48BC" w:rsidRPr="001F344E">
        <w:trPr>
          <w:trHeight w:val="480"/>
        </w:trPr>
        <w:tc>
          <w:tcPr>
            <w:tcW w:w="284" w:type="dxa"/>
            <w:tcBorders>
              <w:top w:val="nil"/>
              <w:left w:val="single" w:sz="4" w:space="0" w:color="auto"/>
              <w:bottom w:val="single" w:sz="4" w:space="0" w:color="auto"/>
              <w:right w:val="single" w:sz="4" w:space="0" w:color="auto"/>
            </w:tcBorders>
            <w:vAlign w:val="center"/>
          </w:tcPr>
          <w:p w:rsidR="007D48BC" w:rsidRPr="001F344E" w:rsidRDefault="007D48BC" w:rsidP="008950A1">
            <w:pPr>
              <w:jc w:val="center"/>
              <w:rPr>
                <w:rFonts w:ascii="Arial" w:hAnsi="Arial" w:cs="Arial"/>
                <w:b/>
                <w:bCs/>
              </w:rPr>
            </w:pPr>
            <w:r>
              <w:rPr>
                <w:rFonts w:ascii="Arial" w:hAnsi="Arial" w:cs="Arial"/>
                <w:b/>
                <w:bCs/>
              </w:rPr>
              <w:t>2</w:t>
            </w:r>
          </w:p>
        </w:tc>
        <w:tc>
          <w:tcPr>
            <w:tcW w:w="3295" w:type="dxa"/>
            <w:tcBorders>
              <w:top w:val="nil"/>
              <w:left w:val="nil"/>
              <w:bottom w:val="single" w:sz="4" w:space="0" w:color="auto"/>
              <w:right w:val="single" w:sz="4" w:space="0" w:color="auto"/>
            </w:tcBorders>
            <w:vAlign w:val="center"/>
          </w:tcPr>
          <w:p w:rsidR="007D48BC" w:rsidRPr="001F344E" w:rsidRDefault="007D48BC" w:rsidP="008950A1">
            <w:pPr>
              <w:rPr>
                <w:rFonts w:ascii="Arial" w:hAnsi="Arial" w:cs="Arial"/>
                <w:sz w:val="18"/>
                <w:szCs w:val="18"/>
              </w:rPr>
            </w:pPr>
            <w:r>
              <w:rPr>
                <w:rFonts w:ascii="Arial" w:hAnsi="Arial" w:cs="Arial"/>
                <w:sz w:val="18"/>
                <w:szCs w:val="18"/>
              </w:rPr>
              <w:t xml:space="preserve">Solo la mitad de la población candidata fuera susceptible de recibir tratamiento con </w:t>
            </w:r>
            <w:r w:rsidRPr="0025168B">
              <w:rPr>
                <w:rFonts w:ascii="Arial" w:hAnsi="Arial" w:cs="Arial"/>
                <w:sz w:val="18"/>
                <w:szCs w:val="18"/>
              </w:rPr>
              <w:t xml:space="preserve">axicabtagen </w:t>
            </w:r>
            <w:r>
              <w:rPr>
                <w:rFonts w:ascii="Arial" w:hAnsi="Arial" w:cs="Arial"/>
                <w:sz w:val="18"/>
                <w:szCs w:val="18"/>
              </w:rPr>
              <w:t>c</w:t>
            </w:r>
            <w:r w:rsidRPr="0025168B">
              <w:rPr>
                <w:rFonts w:ascii="Arial" w:hAnsi="Arial" w:cs="Arial"/>
                <w:sz w:val="18"/>
                <w:szCs w:val="18"/>
              </w:rPr>
              <w:t>iloleucel</w:t>
            </w:r>
          </w:p>
        </w:tc>
        <w:tc>
          <w:tcPr>
            <w:tcW w:w="812" w:type="dxa"/>
            <w:tcBorders>
              <w:top w:val="nil"/>
              <w:left w:val="nil"/>
              <w:bottom w:val="single" w:sz="4" w:space="0" w:color="auto"/>
              <w:right w:val="single" w:sz="4" w:space="0" w:color="auto"/>
            </w:tcBorders>
            <w:vAlign w:val="center"/>
          </w:tcPr>
          <w:p w:rsidR="007D48BC" w:rsidRDefault="007D48BC" w:rsidP="008950A1">
            <w:pPr>
              <w:jc w:val="center"/>
              <w:rPr>
                <w:rFonts w:ascii="Arial" w:hAnsi="Arial" w:cs="Arial"/>
                <w:sz w:val="16"/>
                <w:szCs w:val="16"/>
              </w:rPr>
            </w:pPr>
            <w:r>
              <w:rPr>
                <w:rFonts w:ascii="Arial" w:hAnsi="Arial" w:cs="Arial"/>
                <w:sz w:val="16"/>
                <w:szCs w:val="16"/>
              </w:rPr>
              <w:t>490</w:t>
            </w:r>
          </w:p>
        </w:tc>
        <w:tc>
          <w:tcPr>
            <w:tcW w:w="709" w:type="dxa"/>
            <w:tcBorders>
              <w:top w:val="nil"/>
              <w:left w:val="nil"/>
              <w:bottom w:val="single" w:sz="4" w:space="0" w:color="auto"/>
              <w:right w:val="single" w:sz="4" w:space="0" w:color="auto"/>
            </w:tcBorders>
            <w:vAlign w:val="center"/>
          </w:tcPr>
          <w:p w:rsidR="007D48BC" w:rsidRDefault="007D48BC" w:rsidP="008950A1">
            <w:pPr>
              <w:jc w:val="center"/>
              <w:rPr>
                <w:rFonts w:ascii="Arial" w:hAnsi="Arial" w:cs="Arial"/>
                <w:sz w:val="16"/>
                <w:szCs w:val="16"/>
              </w:rPr>
            </w:pPr>
            <w:r>
              <w:rPr>
                <w:rFonts w:ascii="Arial" w:hAnsi="Arial" w:cs="Arial"/>
                <w:sz w:val="16"/>
                <w:szCs w:val="16"/>
              </w:rPr>
              <w:t>245</w:t>
            </w:r>
          </w:p>
        </w:tc>
        <w:tc>
          <w:tcPr>
            <w:tcW w:w="1134" w:type="dxa"/>
            <w:tcBorders>
              <w:top w:val="nil"/>
              <w:left w:val="nil"/>
              <w:bottom w:val="single" w:sz="4" w:space="0" w:color="auto"/>
              <w:right w:val="single" w:sz="4" w:space="0" w:color="auto"/>
            </w:tcBorders>
            <w:vAlign w:val="center"/>
          </w:tcPr>
          <w:p w:rsidR="007D48BC" w:rsidRPr="00DB7305" w:rsidRDefault="007D48BC" w:rsidP="00DB7305">
            <w:pPr>
              <w:rPr>
                <w:rFonts w:ascii="Arial" w:hAnsi="Arial" w:cs="Arial"/>
                <w:sz w:val="16"/>
                <w:szCs w:val="16"/>
              </w:rPr>
            </w:pPr>
            <w:r w:rsidRPr="00DB7305">
              <w:rPr>
                <w:rFonts w:ascii="Arial" w:hAnsi="Arial" w:cs="Arial"/>
                <w:sz w:val="16"/>
                <w:szCs w:val="16"/>
              </w:rPr>
              <w:t>215.538</w:t>
            </w:r>
            <w:r>
              <w:rPr>
                <w:rFonts w:ascii="Arial" w:hAnsi="Arial" w:cs="Arial"/>
                <w:sz w:val="16"/>
                <w:szCs w:val="16"/>
              </w:rPr>
              <w:t>.</w:t>
            </w:r>
            <w:r w:rsidRPr="00DB7305">
              <w:rPr>
                <w:rFonts w:ascii="Arial" w:hAnsi="Arial" w:cs="Arial"/>
                <w:sz w:val="16"/>
                <w:szCs w:val="16"/>
              </w:rPr>
              <w:t>260€</w:t>
            </w:r>
          </w:p>
        </w:tc>
        <w:tc>
          <w:tcPr>
            <w:tcW w:w="1279" w:type="dxa"/>
            <w:tcBorders>
              <w:top w:val="nil"/>
              <w:left w:val="nil"/>
              <w:bottom w:val="single" w:sz="4" w:space="0" w:color="auto"/>
              <w:right w:val="single" w:sz="4" w:space="0" w:color="auto"/>
            </w:tcBorders>
            <w:vAlign w:val="center"/>
          </w:tcPr>
          <w:p w:rsidR="007D48BC" w:rsidRPr="001F344E" w:rsidRDefault="007D48BC" w:rsidP="00DB7305">
            <w:pPr>
              <w:jc w:val="center"/>
              <w:rPr>
                <w:rFonts w:ascii="Arial" w:hAnsi="Arial" w:cs="Arial"/>
                <w:b/>
                <w:bCs/>
                <w:sz w:val="16"/>
                <w:szCs w:val="16"/>
              </w:rPr>
            </w:pPr>
            <w:r w:rsidRPr="00F25D2D">
              <w:rPr>
                <w:rFonts w:ascii="Arial" w:hAnsi="Arial" w:cs="Arial"/>
                <w:b/>
                <w:bCs/>
                <w:sz w:val="16"/>
                <w:szCs w:val="16"/>
              </w:rPr>
              <w:t>107.769.255 €</w:t>
            </w:r>
          </w:p>
        </w:tc>
        <w:tc>
          <w:tcPr>
            <w:tcW w:w="1276" w:type="dxa"/>
            <w:tcBorders>
              <w:top w:val="nil"/>
              <w:left w:val="nil"/>
              <w:bottom w:val="single" w:sz="4" w:space="0" w:color="auto"/>
              <w:right w:val="single" w:sz="4" w:space="0" w:color="auto"/>
            </w:tcBorders>
            <w:vAlign w:val="center"/>
          </w:tcPr>
          <w:p w:rsidR="007D48BC" w:rsidRPr="001F344E" w:rsidRDefault="007D48BC" w:rsidP="003059C0">
            <w:pPr>
              <w:jc w:val="center"/>
              <w:rPr>
                <w:rFonts w:ascii="Arial" w:hAnsi="Arial" w:cs="Arial"/>
                <w:color w:val="00B050"/>
                <w:sz w:val="16"/>
                <w:szCs w:val="16"/>
              </w:rPr>
            </w:pPr>
            <w:r>
              <w:rPr>
                <w:rFonts w:ascii="Arial" w:hAnsi="Arial" w:cs="Arial"/>
                <w:b/>
                <w:bCs/>
                <w:color w:val="00B050"/>
                <w:sz w:val="16"/>
                <w:szCs w:val="16"/>
              </w:rPr>
              <w:t>-</w:t>
            </w:r>
            <w:r w:rsidRPr="00F25D2D">
              <w:rPr>
                <w:rFonts w:ascii="Arial" w:hAnsi="Arial" w:cs="Arial"/>
                <w:b/>
                <w:bCs/>
                <w:color w:val="00B050"/>
                <w:sz w:val="16"/>
                <w:szCs w:val="16"/>
              </w:rPr>
              <w:t>107.769.255 €</w:t>
            </w:r>
          </w:p>
        </w:tc>
      </w:tr>
      <w:tr w:rsidR="007D48BC" w:rsidRPr="001F344E">
        <w:trPr>
          <w:trHeight w:val="480"/>
        </w:trPr>
        <w:tc>
          <w:tcPr>
            <w:tcW w:w="284" w:type="dxa"/>
            <w:tcBorders>
              <w:top w:val="nil"/>
              <w:left w:val="single" w:sz="4" w:space="0" w:color="auto"/>
              <w:bottom w:val="single" w:sz="4" w:space="0" w:color="auto"/>
              <w:right w:val="single" w:sz="4" w:space="0" w:color="auto"/>
            </w:tcBorders>
            <w:vAlign w:val="center"/>
          </w:tcPr>
          <w:p w:rsidR="007D48BC" w:rsidRPr="001F344E" w:rsidRDefault="007D48BC" w:rsidP="0025168B">
            <w:pPr>
              <w:jc w:val="center"/>
              <w:rPr>
                <w:rFonts w:ascii="Arial" w:hAnsi="Arial" w:cs="Arial"/>
                <w:b/>
                <w:bCs/>
              </w:rPr>
            </w:pPr>
            <w:r>
              <w:rPr>
                <w:rFonts w:ascii="Arial" w:hAnsi="Arial" w:cs="Arial"/>
                <w:b/>
                <w:bCs/>
              </w:rPr>
              <w:t>3</w:t>
            </w:r>
          </w:p>
        </w:tc>
        <w:tc>
          <w:tcPr>
            <w:tcW w:w="3295" w:type="dxa"/>
            <w:tcBorders>
              <w:top w:val="nil"/>
              <w:left w:val="nil"/>
              <w:bottom w:val="single" w:sz="4" w:space="0" w:color="auto"/>
              <w:right w:val="single" w:sz="4" w:space="0" w:color="auto"/>
            </w:tcBorders>
            <w:vAlign w:val="center"/>
          </w:tcPr>
          <w:p w:rsidR="007D48BC" w:rsidRPr="001F344E" w:rsidRDefault="007D48BC" w:rsidP="0025168B">
            <w:pPr>
              <w:rPr>
                <w:rFonts w:ascii="Arial" w:hAnsi="Arial" w:cs="Arial"/>
                <w:sz w:val="18"/>
                <w:szCs w:val="18"/>
              </w:rPr>
            </w:pPr>
            <w:r>
              <w:rPr>
                <w:rFonts w:ascii="Arial" w:hAnsi="Arial" w:cs="Arial"/>
                <w:sz w:val="18"/>
                <w:szCs w:val="18"/>
              </w:rPr>
              <w:t>Paciente con respuesta al tratamiento (64%)</w:t>
            </w:r>
          </w:p>
        </w:tc>
        <w:tc>
          <w:tcPr>
            <w:tcW w:w="812" w:type="dxa"/>
            <w:tcBorders>
              <w:top w:val="nil"/>
              <w:left w:val="nil"/>
              <w:bottom w:val="single" w:sz="4" w:space="0" w:color="auto"/>
              <w:right w:val="single" w:sz="4" w:space="0" w:color="auto"/>
            </w:tcBorders>
            <w:vAlign w:val="center"/>
          </w:tcPr>
          <w:p w:rsidR="007D48BC" w:rsidRDefault="007D48BC" w:rsidP="0025168B">
            <w:pPr>
              <w:jc w:val="center"/>
              <w:rPr>
                <w:rFonts w:ascii="Arial" w:hAnsi="Arial" w:cs="Arial"/>
                <w:sz w:val="16"/>
                <w:szCs w:val="16"/>
              </w:rPr>
            </w:pPr>
            <w:r>
              <w:rPr>
                <w:rFonts w:ascii="Arial" w:hAnsi="Arial" w:cs="Arial"/>
                <w:sz w:val="16"/>
                <w:szCs w:val="16"/>
              </w:rPr>
              <w:t>490</w:t>
            </w:r>
          </w:p>
        </w:tc>
        <w:tc>
          <w:tcPr>
            <w:tcW w:w="709" w:type="dxa"/>
            <w:tcBorders>
              <w:top w:val="nil"/>
              <w:left w:val="nil"/>
              <w:bottom w:val="single" w:sz="4" w:space="0" w:color="auto"/>
              <w:right w:val="single" w:sz="4" w:space="0" w:color="auto"/>
            </w:tcBorders>
            <w:vAlign w:val="center"/>
          </w:tcPr>
          <w:p w:rsidR="007D48BC" w:rsidRDefault="007D48BC" w:rsidP="0025168B">
            <w:pPr>
              <w:jc w:val="center"/>
              <w:rPr>
                <w:rFonts w:ascii="Arial" w:hAnsi="Arial" w:cs="Arial"/>
                <w:sz w:val="16"/>
                <w:szCs w:val="16"/>
              </w:rPr>
            </w:pPr>
            <w:r>
              <w:rPr>
                <w:rFonts w:ascii="Arial" w:hAnsi="Arial" w:cs="Arial"/>
                <w:sz w:val="16"/>
                <w:szCs w:val="16"/>
              </w:rPr>
              <w:t>314</w:t>
            </w:r>
          </w:p>
        </w:tc>
        <w:tc>
          <w:tcPr>
            <w:tcW w:w="1134" w:type="dxa"/>
            <w:tcBorders>
              <w:top w:val="nil"/>
              <w:left w:val="nil"/>
              <w:bottom w:val="single" w:sz="4" w:space="0" w:color="auto"/>
              <w:right w:val="single" w:sz="4" w:space="0" w:color="auto"/>
            </w:tcBorders>
            <w:vAlign w:val="center"/>
          </w:tcPr>
          <w:p w:rsidR="007D48BC" w:rsidRPr="00DB7305" w:rsidRDefault="007D48BC" w:rsidP="0025168B">
            <w:pPr>
              <w:rPr>
                <w:rFonts w:ascii="Arial" w:hAnsi="Arial" w:cs="Arial"/>
                <w:sz w:val="16"/>
                <w:szCs w:val="16"/>
              </w:rPr>
            </w:pPr>
            <w:r w:rsidRPr="00DB7305">
              <w:rPr>
                <w:rFonts w:ascii="Arial" w:hAnsi="Arial" w:cs="Arial"/>
                <w:sz w:val="16"/>
                <w:szCs w:val="16"/>
              </w:rPr>
              <w:t>215.538</w:t>
            </w:r>
            <w:r>
              <w:rPr>
                <w:rFonts w:ascii="Arial" w:hAnsi="Arial" w:cs="Arial"/>
                <w:sz w:val="16"/>
                <w:szCs w:val="16"/>
              </w:rPr>
              <w:t>.</w:t>
            </w:r>
            <w:r w:rsidRPr="00DB7305">
              <w:rPr>
                <w:rFonts w:ascii="Arial" w:hAnsi="Arial" w:cs="Arial"/>
                <w:sz w:val="16"/>
                <w:szCs w:val="16"/>
              </w:rPr>
              <w:t>260€</w:t>
            </w:r>
          </w:p>
        </w:tc>
        <w:tc>
          <w:tcPr>
            <w:tcW w:w="1279" w:type="dxa"/>
            <w:tcBorders>
              <w:top w:val="nil"/>
              <w:left w:val="nil"/>
              <w:bottom w:val="single" w:sz="4" w:space="0" w:color="auto"/>
              <w:right w:val="single" w:sz="4" w:space="0" w:color="auto"/>
            </w:tcBorders>
            <w:vAlign w:val="center"/>
          </w:tcPr>
          <w:p w:rsidR="007D48BC" w:rsidRPr="001F344E" w:rsidRDefault="007D48BC" w:rsidP="0025168B">
            <w:pPr>
              <w:jc w:val="center"/>
              <w:rPr>
                <w:rFonts w:ascii="Arial" w:hAnsi="Arial" w:cs="Arial"/>
                <w:b/>
                <w:bCs/>
                <w:sz w:val="16"/>
                <w:szCs w:val="16"/>
              </w:rPr>
            </w:pPr>
            <w:r>
              <w:rPr>
                <w:rFonts w:ascii="Arial" w:hAnsi="Arial" w:cs="Arial"/>
                <w:b/>
                <w:bCs/>
                <w:sz w:val="16"/>
                <w:szCs w:val="16"/>
              </w:rPr>
              <w:t xml:space="preserve">137.944.486 </w:t>
            </w:r>
            <w:r w:rsidRPr="00F25D2D">
              <w:rPr>
                <w:rFonts w:ascii="Arial" w:hAnsi="Arial" w:cs="Arial"/>
                <w:b/>
                <w:bCs/>
                <w:sz w:val="16"/>
                <w:szCs w:val="16"/>
              </w:rPr>
              <w:t>€</w:t>
            </w:r>
          </w:p>
        </w:tc>
        <w:tc>
          <w:tcPr>
            <w:tcW w:w="1276" w:type="dxa"/>
            <w:tcBorders>
              <w:top w:val="nil"/>
              <w:left w:val="nil"/>
              <w:bottom w:val="single" w:sz="4" w:space="0" w:color="auto"/>
              <w:right w:val="single" w:sz="4" w:space="0" w:color="auto"/>
            </w:tcBorders>
            <w:vAlign w:val="center"/>
          </w:tcPr>
          <w:p w:rsidR="007D48BC" w:rsidRPr="001F344E" w:rsidRDefault="007D48BC" w:rsidP="0025168B">
            <w:pPr>
              <w:jc w:val="center"/>
              <w:rPr>
                <w:rFonts w:ascii="Arial" w:hAnsi="Arial" w:cs="Arial"/>
                <w:color w:val="00B050"/>
                <w:sz w:val="16"/>
                <w:szCs w:val="16"/>
              </w:rPr>
            </w:pPr>
            <w:r>
              <w:rPr>
                <w:rFonts w:ascii="Arial" w:hAnsi="Arial" w:cs="Arial"/>
                <w:color w:val="00B050"/>
                <w:sz w:val="16"/>
                <w:szCs w:val="16"/>
              </w:rPr>
              <w:t xml:space="preserve">-77.593.773 </w:t>
            </w:r>
            <w:r w:rsidRPr="00F25D2D">
              <w:rPr>
                <w:rFonts w:ascii="Arial" w:hAnsi="Arial" w:cs="Arial"/>
                <w:b/>
                <w:bCs/>
                <w:color w:val="00B050"/>
                <w:sz w:val="16"/>
                <w:szCs w:val="16"/>
              </w:rPr>
              <w:t>€</w:t>
            </w:r>
          </w:p>
        </w:tc>
      </w:tr>
      <w:tr w:rsidR="007D48BC" w:rsidRPr="001F344E">
        <w:trPr>
          <w:trHeight w:val="510"/>
        </w:trPr>
        <w:tc>
          <w:tcPr>
            <w:tcW w:w="8789" w:type="dxa"/>
            <w:gridSpan w:val="7"/>
            <w:tcBorders>
              <w:top w:val="single" w:sz="4" w:space="0" w:color="auto"/>
              <w:left w:val="single" w:sz="4" w:space="0" w:color="auto"/>
              <w:bottom w:val="single" w:sz="4" w:space="0" w:color="auto"/>
              <w:right w:val="single" w:sz="4" w:space="0" w:color="auto"/>
            </w:tcBorders>
            <w:shd w:val="clear" w:color="000000" w:fill="D9D9D9"/>
            <w:vAlign w:val="center"/>
          </w:tcPr>
          <w:p w:rsidR="007D48BC" w:rsidRPr="001F344E" w:rsidRDefault="007D48BC" w:rsidP="0025168B">
            <w:pPr>
              <w:rPr>
                <w:rFonts w:ascii="Arial" w:hAnsi="Arial" w:cs="Arial"/>
                <w:sz w:val="16"/>
                <w:szCs w:val="16"/>
              </w:rPr>
            </w:pPr>
            <w:r w:rsidRPr="001F344E">
              <w:rPr>
                <w:rFonts w:ascii="Arial" w:hAnsi="Arial" w:cs="Arial"/>
                <w:sz w:val="16"/>
                <w:szCs w:val="16"/>
              </w:rPr>
              <w:t xml:space="preserve">*calculado a partir de los datos de pacientes reclutados e infundidos de </w:t>
            </w:r>
            <w:r w:rsidRPr="0025168B">
              <w:rPr>
                <w:rFonts w:ascii="Arial" w:hAnsi="Arial" w:cs="Arial"/>
                <w:sz w:val="16"/>
                <w:szCs w:val="16"/>
              </w:rPr>
              <w:t>Neelapu SS</w:t>
            </w:r>
            <w:r w:rsidRPr="00964F5D">
              <w:rPr>
                <w:rFonts w:ascii="Arial" w:hAnsi="Arial" w:cs="Arial"/>
                <w:sz w:val="16"/>
                <w:szCs w:val="16"/>
              </w:rPr>
              <w:t xml:space="preserve"> </w:t>
            </w:r>
            <w:r w:rsidRPr="001F344E">
              <w:rPr>
                <w:rFonts w:ascii="Arial" w:hAnsi="Arial" w:cs="Arial"/>
                <w:i/>
                <w:iCs/>
                <w:sz w:val="16"/>
                <w:szCs w:val="16"/>
              </w:rPr>
              <w:t>et al. 2018</w:t>
            </w:r>
            <w:r>
              <w:rPr>
                <w:rFonts w:ascii="Arial" w:hAnsi="Arial" w:cs="Arial"/>
                <w:sz w:val="16"/>
                <w:szCs w:val="16"/>
              </w:rPr>
              <w:t>.</w:t>
            </w:r>
          </w:p>
        </w:tc>
      </w:tr>
    </w:tbl>
    <w:p w:rsidR="007D48BC" w:rsidRDefault="007D48BC" w:rsidP="00BC3E8E">
      <w:pPr>
        <w:pStyle w:val="Encabezado"/>
        <w:tabs>
          <w:tab w:val="clear" w:pos="4252"/>
          <w:tab w:val="clear" w:pos="8504"/>
        </w:tabs>
        <w:rPr>
          <w:rFonts w:ascii="Arial" w:hAnsi="Arial" w:cs="Arial"/>
        </w:rPr>
      </w:pPr>
    </w:p>
    <w:p w:rsidR="008C3AB0" w:rsidRDefault="008C3AB0" w:rsidP="008C3AB0">
      <w:pPr>
        <w:pStyle w:val="Prrafodelista"/>
        <w:tabs>
          <w:tab w:val="left" w:pos="284"/>
        </w:tabs>
        <w:spacing w:after="160" w:line="360" w:lineRule="auto"/>
        <w:ind w:left="0"/>
        <w:jc w:val="both"/>
        <w:rPr>
          <w:rFonts w:ascii="Arial" w:hAnsi="Arial" w:cs="Arial"/>
        </w:rPr>
      </w:pPr>
      <w:r w:rsidRPr="001B7610">
        <w:rPr>
          <w:rFonts w:ascii="Arial" w:hAnsi="Arial" w:cs="Arial"/>
        </w:rPr>
        <w:t>Esta evaluación posee importantes debilidades pues se basa en datos de eficacia procedentes del ensayo principal no comparativo frente a ninguna alternativa</w:t>
      </w:r>
    </w:p>
    <w:p w:rsidR="008C3AB0" w:rsidRDefault="008C3AB0" w:rsidP="00BC3E8E">
      <w:pPr>
        <w:pStyle w:val="Encabezado"/>
        <w:tabs>
          <w:tab w:val="clear" w:pos="4252"/>
          <w:tab w:val="clear" w:pos="8504"/>
        </w:tabs>
        <w:rPr>
          <w:rFonts w:ascii="Arial" w:hAnsi="Arial" w:cs="Arial"/>
        </w:rPr>
      </w:pPr>
    </w:p>
    <w:p w:rsidR="008C3AB0" w:rsidRDefault="008C3AB0" w:rsidP="00BC3E8E">
      <w:pPr>
        <w:pStyle w:val="Encabezado"/>
        <w:tabs>
          <w:tab w:val="clear" w:pos="4252"/>
          <w:tab w:val="clear" w:pos="8504"/>
        </w:tabs>
        <w:rPr>
          <w:rFonts w:ascii="Arial" w:hAnsi="Arial" w:cs="Arial"/>
        </w:rPr>
      </w:pPr>
    </w:p>
    <w:p w:rsidR="007D48BC" w:rsidRDefault="007D48BC" w:rsidP="009935F1">
      <w:pPr>
        <w:pBdr>
          <w:top w:val="single" w:sz="4" w:space="1" w:color="auto"/>
          <w:left w:val="single" w:sz="4" w:space="4" w:color="auto"/>
          <w:bottom w:val="single" w:sz="4" w:space="1" w:color="auto"/>
          <w:right w:val="single" w:sz="4" w:space="4" w:color="auto"/>
        </w:pBdr>
        <w:shd w:val="clear" w:color="auto" w:fill="D9D9D9"/>
        <w:rPr>
          <w:rFonts w:ascii="Arial" w:hAnsi="Arial" w:cs="Arial"/>
        </w:rPr>
      </w:pPr>
      <w:r w:rsidRPr="00E711B6">
        <w:rPr>
          <w:rFonts w:ascii="Arial" w:hAnsi="Arial" w:cs="Arial"/>
          <w:b/>
          <w:bCs/>
        </w:rPr>
        <w:t>7.5. Propuesta de posicionamiento</w:t>
      </w:r>
      <w:r w:rsidR="00FE59AC">
        <w:rPr>
          <w:rFonts w:ascii="Arial" w:hAnsi="Arial" w:cs="Arial"/>
          <w:b/>
          <w:bCs/>
        </w:rPr>
        <w:fldChar w:fldCharType="begin"/>
      </w:r>
      <w:r>
        <w:instrText>xe "</w:instrText>
      </w:r>
      <w:r w:rsidRPr="008B0C3C">
        <w:rPr>
          <w:rFonts w:ascii="Arial" w:hAnsi="Arial" w:cs="Arial"/>
          <w:b/>
          <w:bCs/>
        </w:rPr>
        <w:instrText>7.5. Propuesta de posicionamiento</w:instrText>
      </w:r>
      <w:r>
        <w:instrText>"</w:instrText>
      </w:r>
      <w:r w:rsidR="00FE59AC">
        <w:rPr>
          <w:rFonts w:ascii="Arial" w:hAnsi="Arial" w:cs="Arial"/>
          <w:b/>
          <w:bCs/>
        </w:rPr>
        <w:fldChar w:fldCharType="end"/>
      </w:r>
    </w:p>
    <w:p w:rsidR="007D48BC" w:rsidRDefault="007D48BC" w:rsidP="009935F1">
      <w:pPr>
        <w:jc w:val="both"/>
        <w:rPr>
          <w:rFonts w:ascii="Arial" w:hAnsi="Arial" w:cs="Arial"/>
        </w:rPr>
      </w:pPr>
    </w:p>
    <w:p w:rsidR="007D48BC" w:rsidRDefault="007D48BC" w:rsidP="0025168B">
      <w:pPr>
        <w:pStyle w:val="Encabezado"/>
        <w:spacing w:after="240" w:line="360" w:lineRule="auto"/>
        <w:jc w:val="both"/>
        <w:rPr>
          <w:rFonts w:ascii="Arial" w:hAnsi="Arial" w:cs="Arial"/>
          <w:sz w:val="20"/>
          <w:szCs w:val="20"/>
        </w:rPr>
      </w:pPr>
      <w:r w:rsidRPr="00D95494">
        <w:rPr>
          <w:rFonts w:ascii="Arial" w:hAnsi="Arial" w:cs="Arial"/>
        </w:rPr>
        <w:tab/>
      </w:r>
      <w:bookmarkStart w:id="89" w:name="_Hlk531709504"/>
      <w:r>
        <w:rPr>
          <w:rFonts w:ascii="Arial" w:hAnsi="Arial" w:cs="Arial"/>
          <w:sz w:val="20"/>
          <w:szCs w:val="20"/>
        </w:rPr>
        <w:t>Los datos de los estudios publicados y los datos propios nos orientan a que en la situación actual (precio de a</w:t>
      </w:r>
      <w:r w:rsidRPr="003D2952">
        <w:rPr>
          <w:rFonts w:ascii="Arial" w:hAnsi="Arial" w:cs="Arial"/>
          <w:sz w:val="20"/>
          <w:szCs w:val="20"/>
        </w:rPr>
        <w:t xml:space="preserve">xicabtagen </w:t>
      </w:r>
      <w:r>
        <w:rPr>
          <w:rFonts w:ascii="Arial" w:hAnsi="Arial" w:cs="Arial"/>
          <w:sz w:val="20"/>
          <w:szCs w:val="20"/>
        </w:rPr>
        <w:t>c</w:t>
      </w:r>
      <w:r w:rsidRPr="003D2952">
        <w:rPr>
          <w:rFonts w:ascii="Arial" w:hAnsi="Arial" w:cs="Arial"/>
          <w:sz w:val="20"/>
          <w:szCs w:val="20"/>
        </w:rPr>
        <w:t>iloleucel</w:t>
      </w:r>
      <w:r>
        <w:rPr>
          <w:rFonts w:ascii="Arial" w:hAnsi="Arial" w:cs="Arial"/>
          <w:sz w:val="20"/>
          <w:szCs w:val="20"/>
        </w:rPr>
        <w:t xml:space="preserve"> de la FDA) es que no es coste-efectivo si utilizamos el umbral razonable </w:t>
      </w:r>
      <w:bookmarkEnd w:id="89"/>
      <w:r>
        <w:rPr>
          <w:rFonts w:ascii="Arial" w:hAnsi="Arial" w:cs="Arial"/>
          <w:sz w:val="20"/>
          <w:szCs w:val="20"/>
        </w:rPr>
        <w:t>y propuesto en la Guía de evaluación económica de Genesis</w:t>
      </w:r>
      <w:r w:rsidRPr="003D2952">
        <w:rPr>
          <w:rFonts w:ascii="Arial" w:hAnsi="Arial" w:cs="Arial"/>
          <w:sz w:val="20"/>
          <w:szCs w:val="20"/>
          <w:vertAlign w:val="superscript"/>
        </w:rPr>
        <w:t>34</w:t>
      </w:r>
      <w:r>
        <w:rPr>
          <w:rFonts w:ascii="Arial" w:hAnsi="Arial" w:cs="Arial"/>
          <w:sz w:val="20"/>
          <w:szCs w:val="20"/>
        </w:rPr>
        <w:t xml:space="preserve"> (21.000€/AVAC). Ante ello se podría:</w:t>
      </w:r>
    </w:p>
    <w:p w:rsidR="007D48BC" w:rsidRDefault="007D48BC" w:rsidP="0025168B">
      <w:pPr>
        <w:pStyle w:val="Encabezado"/>
        <w:spacing w:after="240" w:line="360" w:lineRule="auto"/>
        <w:jc w:val="both"/>
        <w:rPr>
          <w:rFonts w:ascii="Arial" w:hAnsi="Arial" w:cs="Arial"/>
          <w:sz w:val="20"/>
          <w:szCs w:val="20"/>
        </w:rPr>
      </w:pPr>
      <w:r>
        <w:rPr>
          <w:rFonts w:ascii="Arial" w:hAnsi="Arial" w:cs="Arial"/>
          <w:sz w:val="20"/>
          <w:szCs w:val="20"/>
        </w:rPr>
        <w:t>1.- Proponer precio del medicamento ajustado a un umbral razonable de coste-efectividad.</w:t>
      </w:r>
    </w:p>
    <w:p w:rsidR="007D48BC" w:rsidRDefault="007D48BC" w:rsidP="0025168B">
      <w:pPr>
        <w:pStyle w:val="Encabezado"/>
        <w:spacing w:after="240" w:line="360" w:lineRule="auto"/>
        <w:jc w:val="both"/>
        <w:rPr>
          <w:rFonts w:ascii="Arial" w:hAnsi="Arial" w:cs="Arial"/>
          <w:sz w:val="20"/>
          <w:szCs w:val="20"/>
        </w:rPr>
      </w:pPr>
      <w:r>
        <w:rPr>
          <w:rFonts w:ascii="Arial" w:hAnsi="Arial" w:cs="Arial"/>
          <w:sz w:val="20"/>
          <w:szCs w:val="20"/>
        </w:rPr>
        <w:t>2.- Proponer un esquema de pago por resultados.</w:t>
      </w:r>
    </w:p>
    <w:p w:rsidR="007D48BC" w:rsidRDefault="007D48BC" w:rsidP="0025168B">
      <w:pPr>
        <w:pStyle w:val="Encabezado"/>
        <w:spacing w:after="240" w:line="360" w:lineRule="auto"/>
        <w:jc w:val="both"/>
        <w:rPr>
          <w:rFonts w:ascii="Arial" w:hAnsi="Arial" w:cs="Arial"/>
          <w:sz w:val="20"/>
          <w:szCs w:val="20"/>
        </w:rPr>
      </w:pPr>
      <w:r>
        <w:rPr>
          <w:rFonts w:ascii="Arial" w:hAnsi="Arial" w:cs="Arial"/>
          <w:sz w:val="20"/>
          <w:szCs w:val="20"/>
        </w:rPr>
        <w:t>A continuación, se desarrollan las dos propuestas:</w:t>
      </w:r>
    </w:p>
    <w:p w:rsidR="007D48BC" w:rsidRDefault="007D48BC" w:rsidP="0025168B">
      <w:pPr>
        <w:pStyle w:val="Encabezado"/>
        <w:spacing w:after="240" w:line="360" w:lineRule="auto"/>
        <w:jc w:val="both"/>
        <w:rPr>
          <w:rFonts w:ascii="Arial" w:hAnsi="Arial" w:cs="Arial"/>
          <w:b/>
          <w:bCs/>
          <w:sz w:val="20"/>
          <w:szCs w:val="20"/>
          <w:u w:val="single"/>
        </w:rPr>
      </w:pPr>
      <w:r>
        <w:rPr>
          <w:rFonts w:ascii="Arial" w:hAnsi="Arial" w:cs="Arial"/>
          <w:b/>
          <w:bCs/>
          <w:sz w:val="20"/>
          <w:szCs w:val="20"/>
          <w:u w:val="single"/>
        </w:rPr>
        <w:t>1.- Propuesta precio del medicamento ajustado a un umbral razonable de coste-efectividad:</w:t>
      </w:r>
    </w:p>
    <w:p w:rsidR="00EF40F8" w:rsidRDefault="007D48BC" w:rsidP="0025168B">
      <w:pPr>
        <w:pStyle w:val="Encabezado"/>
        <w:spacing w:line="360" w:lineRule="auto"/>
        <w:jc w:val="both"/>
        <w:rPr>
          <w:rFonts w:ascii="Arial" w:hAnsi="Arial" w:cs="Arial"/>
          <w:sz w:val="20"/>
          <w:szCs w:val="20"/>
        </w:rPr>
      </w:pPr>
      <w:r>
        <w:rPr>
          <w:rFonts w:ascii="Arial" w:hAnsi="Arial" w:cs="Arial"/>
          <w:sz w:val="20"/>
          <w:szCs w:val="20"/>
        </w:rPr>
        <w:t>Como se ha indicado anteriormente, la falta de ensayos comparativos de este fármaco nos impide realizar una evaluación de coste-efectividad o coste-utilidad. No obstante, a efectos de posicionar el fármaco, realizaremos un análisis comparativo entre los resultados de eficacia del ensayo pivotal de este fármaco y los de tisagenlecleucel, dado que este fármaco es el comparador que mejores datos de eficacia aporta y son fármacos del mismo grupo terapéutico.</w:t>
      </w:r>
    </w:p>
    <w:p w:rsidR="007D48BC" w:rsidRDefault="007D48BC" w:rsidP="0025168B">
      <w:pPr>
        <w:pStyle w:val="Encabezado"/>
        <w:spacing w:line="360" w:lineRule="auto"/>
        <w:jc w:val="both"/>
        <w:rPr>
          <w:rFonts w:ascii="Arial" w:hAnsi="Arial" w:cs="Arial"/>
          <w:sz w:val="20"/>
          <w:szCs w:val="20"/>
        </w:rPr>
      </w:pPr>
      <w:r>
        <w:rPr>
          <w:rFonts w:ascii="Arial" w:hAnsi="Arial" w:cs="Arial"/>
          <w:sz w:val="20"/>
          <w:szCs w:val="20"/>
        </w:rPr>
        <w:t>Asumimos que las diferencias entre la población de este estudio y la del ensayo pivotal condicionarán la validez de esta comparación. Asimismo, dado que los estados de salud alcanzados por los pacientes son similares en ambos tratamientos (paciente en respuesta completa, paciente en recaída y paciente fallecido) no se utilizarán valores de utilidad y la comparación se realizará tomando los valores de supervivencia global crudos.</w:t>
      </w:r>
    </w:p>
    <w:p w:rsidR="007D48BC" w:rsidRDefault="007D48BC" w:rsidP="0025168B">
      <w:pPr>
        <w:pStyle w:val="Encabezado"/>
        <w:spacing w:line="360" w:lineRule="auto"/>
        <w:jc w:val="both"/>
        <w:rPr>
          <w:rFonts w:ascii="Arial" w:hAnsi="Arial" w:cs="Arial"/>
          <w:sz w:val="20"/>
          <w:szCs w:val="20"/>
        </w:rPr>
      </w:pPr>
      <w:r w:rsidRPr="003226C1">
        <w:rPr>
          <w:rFonts w:ascii="Arial" w:hAnsi="Arial" w:cs="Arial"/>
          <w:sz w:val="20"/>
          <w:szCs w:val="20"/>
        </w:rPr>
        <w:t>Cuando el nuevo medicamento presenta un valor terapéutico equivalente a la terapia de referencia después de aplicar los criterios de equivalencia terapéutica definidos de acuerdo con la metodología desarrollada por nuestro grupo (Alegre del Rey et al., 2014), el enfoque es el de minimización de costes, y el precio para incorporar la novedad deberá ser igual o menor a los referentes.</w:t>
      </w:r>
    </w:p>
    <w:p w:rsidR="00EF40F8" w:rsidRPr="001B7610" w:rsidRDefault="00EF40F8" w:rsidP="0025168B">
      <w:pPr>
        <w:pStyle w:val="Encabezado"/>
        <w:spacing w:line="360" w:lineRule="auto"/>
        <w:jc w:val="both"/>
        <w:rPr>
          <w:rFonts w:ascii="Arial" w:hAnsi="Arial" w:cs="Arial"/>
          <w:sz w:val="20"/>
          <w:szCs w:val="20"/>
        </w:rPr>
      </w:pPr>
      <w:r w:rsidRPr="001B7610">
        <w:rPr>
          <w:rFonts w:ascii="Arial" w:hAnsi="Arial" w:cs="Arial"/>
          <w:sz w:val="20"/>
          <w:szCs w:val="20"/>
        </w:rPr>
        <w:t>Tisagenlecleucel es un medicamento sujeto a un esquema de pago por resultados, por lo que usarlo como referencia para el cálculo de un umbral razonable de coste – efectividad genera un valor del umbral muy por encima de los valores actualmente aceptados en nuestro país, por ello también se aportan la comparación con otras alternativas válidas para el tratamiento de estos pacientes, teniendo en cuenta que en estos casos no pertenecen al mismo grupo terapéutico y que las características basales de los pacientes difieren sustancialmente.</w:t>
      </w:r>
    </w:p>
    <w:p w:rsidR="007D48BC" w:rsidRDefault="007D48BC" w:rsidP="0025168B">
      <w:pPr>
        <w:pStyle w:val="Encabezado"/>
        <w:spacing w:line="360" w:lineRule="auto"/>
        <w:jc w:val="both"/>
        <w:rPr>
          <w:rFonts w:ascii="Arial" w:hAnsi="Arial" w:cs="Arial"/>
          <w:sz w:val="20"/>
          <w:szCs w:val="20"/>
        </w:rPr>
      </w:pPr>
      <w:r w:rsidRPr="001B7610">
        <w:rPr>
          <w:rFonts w:ascii="Arial" w:hAnsi="Arial" w:cs="Arial"/>
          <w:sz w:val="20"/>
          <w:szCs w:val="20"/>
        </w:rPr>
        <w:t xml:space="preserve">A continuación, se detallan las características de los pacientes incluidos en </w:t>
      </w:r>
      <w:r w:rsidR="00EF40F8" w:rsidRPr="001B7610">
        <w:rPr>
          <w:rFonts w:ascii="Arial" w:hAnsi="Arial" w:cs="Arial"/>
          <w:sz w:val="20"/>
          <w:szCs w:val="20"/>
        </w:rPr>
        <w:t>los</w:t>
      </w:r>
      <w:r w:rsidRPr="001B7610">
        <w:rPr>
          <w:rFonts w:ascii="Arial" w:hAnsi="Arial" w:cs="Arial"/>
          <w:sz w:val="20"/>
          <w:szCs w:val="20"/>
        </w:rPr>
        <w:t xml:space="preserve"> estudios, así como sus resultados en eficacia:</w:t>
      </w:r>
    </w:p>
    <w:p w:rsidR="007D48BC" w:rsidRDefault="007D48BC" w:rsidP="009C44B7">
      <w:pPr>
        <w:pStyle w:val="Encabezado"/>
        <w:jc w:val="both"/>
        <w:rPr>
          <w:rFonts w:ascii="Arial" w:hAnsi="Arial" w:cs="Arial"/>
          <w:sz w:val="20"/>
          <w:szCs w:val="20"/>
        </w:rPr>
      </w:pPr>
    </w:p>
    <w:tbl>
      <w:tblPr>
        <w:tblW w:w="9986" w:type="dxa"/>
        <w:jc w:val="center"/>
        <w:tblLayout w:type="fixed"/>
        <w:tblCellMar>
          <w:left w:w="70" w:type="dxa"/>
          <w:right w:w="70" w:type="dxa"/>
        </w:tblCellMar>
        <w:tblLook w:val="00A0"/>
      </w:tblPr>
      <w:tblGrid>
        <w:gridCol w:w="2405"/>
        <w:gridCol w:w="2126"/>
        <w:gridCol w:w="1701"/>
        <w:gridCol w:w="1843"/>
        <w:gridCol w:w="1911"/>
      </w:tblGrid>
      <w:tr w:rsidR="007D48BC" w:rsidRPr="001F344E">
        <w:trPr>
          <w:trHeight w:val="226"/>
          <w:jc w:val="center"/>
        </w:trPr>
        <w:tc>
          <w:tcPr>
            <w:tcW w:w="9986" w:type="dxa"/>
            <w:gridSpan w:val="5"/>
            <w:tcBorders>
              <w:top w:val="single" w:sz="4" w:space="0" w:color="auto"/>
              <w:left w:val="single" w:sz="4" w:space="0" w:color="auto"/>
              <w:bottom w:val="single" w:sz="4" w:space="0" w:color="auto"/>
              <w:right w:val="single" w:sz="4" w:space="0" w:color="auto"/>
            </w:tcBorders>
            <w:shd w:val="clear" w:color="auto" w:fill="B6DDE8"/>
            <w:vAlign w:val="center"/>
          </w:tcPr>
          <w:p w:rsidR="007D48BC" w:rsidRPr="001B7610" w:rsidRDefault="007D48BC" w:rsidP="00025EB7">
            <w:pPr>
              <w:rPr>
                <w:rFonts w:ascii="Arial" w:hAnsi="Arial" w:cs="Arial"/>
                <w:b/>
                <w:bCs/>
              </w:rPr>
            </w:pPr>
            <w:r w:rsidRPr="001B7610">
              <w:rPr>
                <w:rFonts w:ascii="Arial" w:hAnsi="Arial" w:cs="Arial"/>
                <w:b/>
                <w:bCs/>
              </w:rPr>
              <w:t>Tabla 21: Características de pacientes y resultados de eficacia de los estudios</w:t>
            </w:r>
          </w:p>
          <w:p w:rsidR="007D48BC" w:rsidRPr="001B7610" w:rsidRDefault="007D48BC" w:rsidP="00600383">
            <w:pPr>
              <w:jc w:val="center"/>
              <w:rPr>
                <w:rFonts w:ascii="Arial" w:hAnsi="Arial" w:cs="Arial"/>
                <w:b/>
                <w:bCs/>
              </w:rPr>
            </w:pPr>
          </w:p>
        </w:tc>
      </w:tr>
      <w:tr w:rsidR="002D4E1A" w:rsidRPr="001F344E" w:rsidTr="00C475DA">
        <w:trPr>
          <w:trHeight w:val="226"/>
          <w:jc w:val="center"/>
        </w:trPr>
        <w:tc>
          <w:tcPr>
            <w:tcW w:w="2405" w:type="dxa"/>
            <w:tcBorders>
              <w:top w:val="single" w:sz="4" w:space="0" w:color="auto"/>
              <w:left w:val="single" w:sz="4" w:space="0" w:color="auto"/>
              <w:bottom w:val="single" w:sz="4" w:space="0" w:color="auto"/>
              <w:right w:val="single" w:sz="4" w:space="0" w:color="auto"/>
            </w:tcBorders>
            <w:shd w:val="clear" w:color="auto" w:fill="B6DDE8"/>
            <w:vAlign w:val="center"/>
          </w:tcPr>
          <w:p w:rsidR="002D4E1A" w:rsidRPr="001B7610" w:rsidRDefault="002D4E1A" w:rsidP="00600383">
            <w:pPr>
              <w:jc w:val="center"/>
              <w:rPr>
                <w:rFonts w:ascii="Arial" w:hAnsi="Arial" w:cs="Arial"/>
                <w:b/>
                <w:bCs/>
              </w:rPr>
            </w:pPr>
          </w:p>
        </w:tc>
        <w:tc>
          <w:tcPr>
            <w:tcW w:w="2126" w:type="dxa"/>
            <w:tcBorders>
              <w:top w:val="single" w:sz="4" w:space="0" w:color="auto"/>
              <w:left w:val="nil"/>
              <w:bottom w:val="single" w:sz="4" w:space="0" w:color="auto"/>
              <w:right w:val="single" w:sz="4" w:space="0" w:color="auto"/>
            </w:tcBorders>
            <w:shd w:val="clear" w:color="auto" w:fill="B6DDE8"/>
            <w:vAlign w:val="center"/>
          </w:tcPr>
          <w:p w:rsidR="002D4E1A" w:rsidRPr="001B7610" w:rsidRDefault="002D4E1A" w:rsidP="00025EB7">
            <w:pPr>
              <w:jc w:val="center"/>
              <w:rPr>
                <w:rFonts w:ascii="Arial" w:hAnsi="Arial" w:cs="Arial"/>
                <w:b/>
                <w:bCs/>
              </w:rPr>
            </w:pPr>
          </w:p>
          <w:p w:rsidR="002D4E1A" w:rsidRPr="001B7610" w:rsidRDefault="002D4E1A" w:rsidP="00025EB7">
            <w:pPr>
              <w:jc w:val="center"/>
              <w:rPr>
                <w:rFonts w:ascii="Arial" w:hAnsi="Arial" w:cs="Arial"/>
                <w:b/>
                <w:bCs/>
              </w:rPr>
            </w:pPr>
            <w:r w:rsidRPr="001B7610">
              <w:rPr>
                <w:rFonts w:ascii="Arial" w:hAnsi="Arial" w:cs="Arial"/>
                <w:b/>
                <w:bCs/>
              </w:rPr>
              <w:t>Axicabtagen ciloleucel</w:t>
            </w:r>
          </w:p>
          <w:p w:rsidR="002D4E1A" w:rsidRPr="001B7610" w:rsidRDefault="002D4E1A" w:rsidP="00600383">
            <w:pPr>
              <w:jc w:val="center"/>
              <w:rPr>
                <w:rFonts w:ascii="Arial" w:hAnsi="Arial" w:cs="Arial"/>
                <w:b/>
                <w:bCs/>
              </w:rPr>
            </w:pPr>
          </w:p>
        </w:tc>
        <w:tc>
          <w:tcPr>
            <w:tcW w:w="1701" w:type="dxa"/>
            <w:tcBorders>
              <w:top w:val="single" w:sz="4" w:space="0" w:color="auto"/>
              <w:left w:val="nil"/>
              <w:bottom w:val="single" w:sz="4" w:space="0" w:color="auto"/>
              <w:right w:val="single" w:sz="4" w:space="0" w:color="auto"/>
            </w:tcBorders>
            <w:shd w:val="clear" w:color="auto" w:fill="B6DDE8"/>
            <w:vAlign w:val="center"/>
          </w:tcPr>
          <w:p w:rsidR="002D4E1A" w:rsidRPr="001B7610" w:rsidRDefault="002D4E1A" w:rsidP="00600383">
            <w:pPr>
              <w:jc w:val="center"/>
              <w:rPr>
                <w:rFonts w:ascii="Arial" w:hAnsi="Arial" w:cs="Arial"/>
                <w:b/>
                <w:bCs/>
                <w:sz w:val="22"/>
                <w:szCs w:val="22"/>
              </w:rPr>
            </w:pPr>
            <w:r w:rsidRPr="001B7610">
              <w:rPr>
                <w:rFonts w:ascii="Arial" w:hAnsi="Arial" w:cs="Arial"/>
                <w:b/>
                <w:bCs/>
                <w:sz w:val="22"/>
                <w:szCs w:val="22"/>
              </w:rPr>
              <w:t>Tisagenlecleucel</w:t>
            </w:r>
          </w:p>
        </w:tc>
        <w:tc>
          <w:tcPr>
            <w:tcW w:w="1843" w:type="dxa"/>
            <w:tcBorders>
              <w:top w:val="single" w:sz="4" w:space="0" w:color="auto"/>
              <w:left w:val="nil"/>
              <w:bottom w:val="single" w:sz="4" w:space="0" w:color="auto"/>
              <w:right w:val="single" w:sz="4" w:space="0" w:color="auto"/>
            </w:tcBorders>
            <w:shd w:val="clear" w:color="auto" w:fill="B6DDE8"/>
            <w:vAlign w:val="center"/>
          </w:tcPr>
          <w:p w:rsidR="002D4E1A" w:rsidRPr="001B7610" w:rsidRDefault="002D4E1A" w:rsidP="00600383">
            <w:pPr>
              <w:jc w:val="center"/>
              <w:rPr>
                <w:rFonts w:ascii="Arial" w:hAnsi="Arial" w:cs="Arial"/>
                <w:b/>
                <w:bCs/>
                <w:sz w:val="22"/>
                <w:szCs w:val="22"/>
              </w:rPr>
            </w:pPr>
            <w:r w:rsidRPr="001B7610">
              <w:rPr>
                <w:rFonts w:ascii="Arial" w:hAnsi="Arial" w:cs="Arial"/>
                <w:b/>
                <w:bCs/>
                <w:sz w:val="22"/>
                <w:szCs w:val="22"/>
              </w:rPr>
              <w:t>Pixantrona</w:t>
            </w:r>
          </w:p>
        </w:tc>
        <w:tc>
          <w:tcPr>
            <w:tcW w:w="1911" w:type="dxa"/>
            <w:tcBorders>
              <w:top w:val="single" w:sz="4" w:space="0" w:color="auto"/>
              <w:left w:val="nil"/>
              <w:bottom w:val="single" w:sz="4" w:space="0" w:color="auto"/>
              <w:right w:val="single" w:sz="4" w:space="0" w:color="auto"/>
            </w:tcBorders>
            <w:shd w:val="clear" w:color="auto" w:fill="B6DDE8"/>
            <w:vAlign w:val="center"/>
          </w:tcPr>
          <w:p w:rsidR="002D4E1A" w:rsidRPr="001B7610" w:rsidRDefault="003B0296" w:rsidP="003B0296">
            <w:pPr>
              <w:jc w:val="center"/>
              <w:rPr>
                <w:rFonts w:ascii="Arial" w:hAnsi="Arial" w:cs="Arial"/>
                <w:b/>
                <w:bCs/>
                <w:sz w:val="22"/>
                <w:szCs w:val="22"/>
              </w:rPr>
            </w:pPr>
            <w:r w:rsidRPr="001B7610">
              <w:rPr>
                <w:rFonts w:ascii="Arial" w:hAnsi="Arial" w:cs="Arial"/>
                <w:b/>
                <w:bCs/>
                <w:sz w:val="22"/>
                <w:szCs w:val="22"/>
              </w:rPr>
              <w:t>R-GEMOX</w:t>
            </w:r>
          </w:p>
        </w:tc>
      </w:tr>
      <w:tr w:rsidR="002D4E1A" w:rsidRPr="001F344E" w:rsidTr="00C475DA">
        <w:trPr>
          <w:trHeight w:val="255"/>
          <w:jc w:val="center"/>
        </w:trPr>
        <w:tc>
          <w:tcPr>
            <w:tcW w:w="2405" w:type="dxa"/>
            <w:vMerge w:val="restart"/>
            <w:tcBorders>
              <w:top w:val="single" w:sz="4" w:space="0" w:color="auto"/>
              <w:left w:val="single" w:sz="4" w:space="0" w:color="auto"/>
              <w:bottom w:val="single" w:sz="4" w:space="0" w:color="auto"/>
              <w:right w:val="nil"/>
            </w:tcBorders>
            <w:vAlign w:val="center"/>
          </w:tcPr>
          <w:p w:rsidR="002D4E1A" w:rsidRPr="001B7610" w:rsidRDefault="002D4E1A" w:rsidP="00600383">
            <w:pPr>
              <w:jc w:val="center"/>
              <w:rPr>
                <w:rFonts w:ascii="Arial" w:hAnsi="Arial" w:cs="Arial"/>
                <w:b/>
                <w:bCs/>
              </w:rPr>
            </w:pPr>
            <w:r w:rsidRPr="001B7610">
              <w:rPr>
                <w:rFonts w:ascii="Arial" w:hAnsi="Arial" w:cs="Arial"/>
                <w:b/>
                <w:bCs/>
              </w:rPr>
              <w:t>Referencia</w:t>
            </w:r>
          </w:p>
        </w:tc>
        <w:tc>
          <w:tcPr>
            <w:tcW w:w="2126" w:type="dxa"/>
            <w:tcBorders>
              <w:top w:val="single" w:sz="4" w:space="0" w:color="auto"/>
              <w:left w:val="single" w:sz="4" w:space="0" w:color="auto"/>
              <w:bottom w:val="nil"/>
              <w:right w:val="single" w:sz="4" w:space="0" w:color="auto"/>
            </w:tcBorders>
            <w:vAlign w:val="center"/>
          </w:tcPr>
          <w:p w:rsidR="002D4E1A" w:rsidRPr="001B7610" w:rsidRDefault="002D4E1A" w:rsidP="00DF6B69">
            <w:pPr>
              <w:jc w:val="center"/>
              <w:rPr>
                <w:rFonts w:ascii="Arial" w:hAnsi="Arial" w:cs="Arial"/>
                <w:b/>
                <w:bCs/>
              </w:rPr>
            </w:pPr>
            <w:r w:rsidRPr="001B7610">
              <w:rPr>
                <w:rFonts w:ascii="Arial" w:hAnsi="Arial" w:cs="Arial"/>
                <w:b/>
                <w:bCs/>
              </w:rPr>
              <w:t>Neelapu et al</w:t>
            </w:r>
            <w:r w:rsidRPr="001B7610">
              <w:rPr>
                <w:rFonts w:ascii="Arial" w:hAnsi="Arial" w:cs="Arial"/>
                <w:b/>
                <w:bCs/>
                <w:vertAlign w:val="superscript"/>
              </w:rPr>
              <w:t>16</w:t>
            </w:r>
          </w:p>
        </w:tc>
        <w:tc>
          <w:tcPr>
            <w:tcW w:w="1701" w:type="dxa"/>
            <w:tcBorders>
              <w:top w:val="single" w:sz="4" w:space="0" w:color="auto"/>
              <w:left w:val="nil"/>
              <w:bottom w:val="nil"/>
              <w:right w:val="single" w:sz="4" w:space="0" w:color="auto"/>
            </w:tcBorders>
            <w:vAlign w:val="center"/>
          </w:tcPr>
          <w:p w:rsidR="002D4E1A" w:rsidRPr="001B7610" w:rsidRDefault="002D4E1A" w:rsidP="00DF6B69">
            <w:pPr>
              <w:jc w:val="center"/>
              <w:rPr>
                <w:rFonts w:ascii="Arial" w:hAnsi="Arial" w:cs="Arial"/>
                <w:b/>
                <w:bCs/>
              </w:rPr>
            </w:pPr>
            <w:r w:rsidRPr="001B7610">
              <w:rPr>
                <w:rFonts w:ascii="Arial" w:hAnsi="Arial" w:cs="Arial"/>
                <w:b/>
                <w:bCs/>
              </w:rPr>
              <w:t>Shuster et al. 2019</w:t>
            </w:r>
            <w:r w:rsidRPr="001B7610">
              <w:rPr>
                <w:rFonts w:ascii="Arial" w:hAnsi="Arial" w:cs="Arial"/>
                <w:b/>
                <w:bCs/>
                <w:vertAlign w:val="superscript"/>
              </w:rPr>
              <w:t>35</w:t>
            </w:r>
          </w:p>
        </w:tc>
        <w:tc>
          <w:tcPr>
            <w:tcW w:w="1843" w:type="dxa"/>
            <w:tcBorders>
              <w:top w:val="single" w:sz="4" w:space="0" w:color="auto"/>
              <w:left w:val="nil"/>
              <w:bottom w:val="nil"/>
              <w:right w:val="single" w:sz="4" w:space="0" w:color="auto"/>
            </w:tcBorders>
            <w:vAlign w:val="center"/>
          </w:tcPr>
          <w:p w:rsidR="002D4E1A" w:rsidRPr="001B7610" w:rsidRDefault="002D4E1A" w:rsidP="00DF6B69">
            <w:pPr>
              <w:jc w:val="center"/>
              <w:rPr>
                <w:rFonts w:ascii="Arial" w:hAnsi="Arial" w:cs="Arial"/>
                <w:b/>
                <w:bCs/>
              </w:rPr>
            </w:pPr>
            <w:r w:rsidRPr="001B7610">
              <w:rPr>
                <w:rFonts w:ascii="Arial" w:hAnsi="Arial" w:cs="Arial"/>
                <w:b/>
                <w:bCs/>
              </w:rPr>
              <w:t>Pettengell  et al 2012</w:t>
            </w:r>
            <w:r w:rsidRPr="001B7610">
              <w:rPr>
                <w:rFonts w:ascii="Arial" w:hAnsi="Arial" w:cs="Arial"/>
                <w:b/>
                <w:bCs/>
                <w:vertAlign w:val="superscript"/>
              </w:rPr>
              <w:t>28</w:t>
            </w:r>
          </w:p>
        </w:tc>
        <w:tc>
          <w:tcPr>
            <w:tcW w:w="1911" w:type="dxa"/>
            <w:tcBorders>
              <w:top w:val="single" w:sz="4" w:space="0" w:color="auto"/>
              <w:left w:val="nil"/>
              <w:bottom w:val="nil"/>
              <w:right w:val="single" w:sz="4" w:space="0" w:color="auto"/>
            </w:tcBorders>
            <w:vAlign w:val="center"/>
          </w:tcPr>
          <w:p w:rsidR="002D4E1A" w:rsidRPr="001B7610" w:rsidRDefault="002D4E1A" w:rsidP="002D4E1A">
            <w:pPr>
              <w:jc w:val="center"/>
              <w:rPr>
                <w:rFonts w:ascii="Arial" w:hAnsi="Arial" w:cs="Arial"/>
                <w:b/>
                <w:bCs/>
                <w:vertAlign w:val="superscript"/>
              </w:rPr>
            </w:pPr>
            <w:r w:rsidRPr="001B7610">
              <w:rPr>
                <w:rFonts w:ascii="Arial" w:hAnsi="Arial" w:cs="Arial"/>
                <w:b/>
                <w:bCs/>
              </w:rPr>
              <w:t>Mounier et al. 2013</w:t>
            </w:r>
            <w:r w:rsidRPr="001B7610">
              <w:rPr>
                <w:rFonts w:ascii="Arial" w:hAnsi="Arial" w:cs="Arial"/>
                <w:b/>
                <w:bCs/>
                <w:vertAlign w:val="superscript"/>
              </w:rPr>
              <w:t>29</w:t>
            </w:r>
          </w:p>
        </w:tc>
      </w:tr>
      <w:tr w:rsidR="002D4E1A" w:rsidRPr="001F344E" w:rsidTr="00C475DA">
        <w:trPr>
          <w:trHeight w:val="70"/>
          <w:jc w:val="center"/>
        </w:trPr>
        <w:tc>
          <w:tcPr>
            <w:tcW w:w="2405" w:type="dxa"/>
            <w:vMerge/>
            <w:tcBorders>
              <w:top w:val="nil"/>
              <w:left w:val="single" w:sz="4" w:space="0" w:color="auto"/>
              <w:bottom w:val="single" w:sz="4" w:space="0" w:color="auto"/>
              <w:right w:val="nil"/>
            </w:tcBorders>
            <w:vAlign w:val="center"/>
          </w:tcPr>
          <w:p w:rsidR="002D4E1A" w:rsidRPr="001B7610" w:rsidRDefault="002D4E1A" w:rsidP="00600383">
            <w:pPr>
              <w:rPr>
                <w:rFonts w:ascii="Arial" w:hAnsi="Arial" w:cs="Arial"/>
                <w:b/>
                <w:bCs/>
              </w:rPr>
            </w:pPr>
          </w:p>
        </w:tc>
        <w:tc>
          <w:tcPr>
            <w:tcW w:w="2126" w:type="dxa"/>
            <w:tcBorders>
              <w:top w:val="nil"/>
              <w:left w:val="single" w:sz="4" w:space="0" w:color="auto"/>
              <w:bottom w:val="single" w:sz="4" w:space="0" w:color="auto"/>
              <w:right w:val="single" w:sz="4" w:space="0" w:color="auto"/>
            </w:tcBorders>
            <w:vAlign w:val="bottom"/>
          </w:tcPr>
          <w:p w:rsidR="002D4E1A" w:rsidRPr="001B7610" w:rsidRDefault="002D4E1A" w:rsidP="00600383">
            <w:pPr>
              <w:jc w:val="center"/>
              <w:rPr>
                <w:rFonts w:ascii="Arial" w:hAnsi="Arial" w:cs="Arial"/>
                <w:b/>
                <w:bCs/>
              </w:rPr>
            </w:pPr>
            <w:r w:rsidRPr="001B7610">
              <w:rPr>
                <w:rFonts w:ascii="Arial" w:hAnsi="Arial" w:cs="Arial"/>
                <w:b/>
                <w:bCs/>
              </w:rPr>
              <w:t>(n= 111)</w:t>
            </w:r>
          </w:p>
        </w:tc>
        <w:tc>
          <w:tcPr>
            <w:tcW w:w="1701" w:type="dxa"/>
            <w:tcBorders>
              <w:top w:val="nil"/>
              <w:left w:val="nil"/>
              <w:bottom w:val="single" w:sz="4" w:space="0" w:color="auto"/>
              <w:right w:val="single" w:sz="4" w:space="0" w:color="auto"/>
            </w:tcBorders>
            <w:vAlign w:val="bottom"/>
          </w:tcPr>
          <w:p w:rsidR="002D4E1A" w:rsidRPr="001B7610" w:rsidRDefault="002D4E1A" w:rsidP="00600383">
            <w:pPr>
              <w:jc w:val="center"/>
              <w:rPr>
                <w:rFonts w:ascii="Arial" w:hAnsi="Arial" w:cs="Arial"/>
                <w:b/>
                <w:bCs/>
              </w:rPr>
            </w:pPr>
            <w:r w:rsidRPr="001B7610">
              <w:rPr>
                <w:rFonts w:ascii="Arial" w:hAnsi="Arial" w:cs="Arial"/>
                <w:b/>
                <w:bCs/>
              </w:rPr>
              <w:t>(n=165)</w:t>
            </w:r>
          </w:p>
        </w:tc>
        <w:tc>
          <w:tcPr>
            <w:tcW w:w="1843" w:type="dxa"/>
            <w:tcBorders>
              <w:top w:val="nil"/>
              <w:left w:val="nil"/>
              <w:bottom w:val="single" w:sz="4" w:space="0" w:color="auto"/>
              <w:right w:val="single" w:sz="4" w:space="0" w:color="auto"/>
            </w:tcBorders>
            <w:vAlign w:val="bottom"/>
          </w:tcPr>
          <w:p w:rsidR="002D4E1A" w:rsidRPr="001B7610" w:rsidRDefault="002D4E1A" w:rsidP="00600383">
            <w:pPr>
              <w:jc w:val="center"/>
              <w:rPr>
                <w:rFonts w:ascii="Arial" w:hAnsi="Arial" w:cs="Arial"/>
                <w:b/>
                <w:bCs/>
              </w:rPr>
            </w:pPr>
            <w:r w:rsidRPr="001B7610">
              <w:rPr>
                <w:rFonts w:ascii="Arial" w:hAnsi="Arial" w:cs="Arial"/>
                <w:b/>
                <w:bCs/>
              </w:rPr>
              <w:t>(n=70)</w:t>
            </w:r>
          </w:p>
        </w:tc>
        <w:tc>
          <w:tcPr>
            <w:tcW w:w="1911" w:type="dxa"/>
            <w:tcBorders>
              <w:top w:val="nil"/>
              <w:left w:val="nil"/>
              <w:bottom w:val="single" w:sz="4" w:space="0" w:color="auto"/>
              <w:right w:val="single" w:sz="4" w:space="0" w:color="auto"/>
            </w:tcBorders>
            <w:vAlign w:val="bottom"/>
          </w:tcPr>
          <w:p w:rsidR="002D4E1A" w:rsidRPr="001B7610" w:rsidRDefault="002D4E1A" w:rsidP="00600383">
            <w:pPr>
              <w:jc w:val="center"/>
              <w:rPr>
                <w:rFonts w:ascii="Arial" w:hAnsi="Arial" w:cs="Arial"/>
                <w:b/>
                <w:bCs/>
              </w:rPr>
            </w:pPr>
            <w:r w:rsidRPr="001B7610">
              <w:rPr>
                <w:rFonts w:ascii="Arial" w:hAnsi="Arial" w:cs="Arial"/>
                <w:b/>
                <w:bCs/>
              </w:rPr>
              <w:t>(n=49)</w:t>
            </w:r>
          </w:p>
        </w:tc>
      </w:tr>
      <w:tr w:rsidR="007D48BC" w:rsidRPr="001F344E">
        <w:trPr>
          <w:trHeight w:val="255"/>
          <w:jc w:val="center"/>
        </w:trPr>
        <w:tc>
          <w:tcPr>
            <w:tcW w:w="9986" w:type="dxa"/>
            <w:gridSpan w:val="5"/>
            <w:tcBorders>
              <w:top w:val="single" w:sz="4" w:space="0" w:color="auto"/>
              <w:left w:val="single" w:sz="4" w:space="0" w:color="auto"/>
              <w:bottom w:val="single" w:sz="4" w:space="0" w:color="auto"/>
              <w:right w:val="single" w:sz="4" w:space="0" w:color="auto"/>
            </w:tcBorders>
            <w:shd w:val="clear" w:color="auto" w:fill="D0CECE"/>
            <w:vAlign w:val="center"/>
          </w:tcPr>
          <w:p w:rsidR="007D48BC" w:rsidRPr="001B7610" w:rsidRDefault="007D48BC" w:rsidP="00600383">
            <w:pPr>
              <w:jc w:val="center"/>
              <w:rPr>
                <w:rFonts w:ascii="Arial" w:hAnsi="Arial" w:cs="Arial"/>
                <w:b/>
                <w:bCs/>
                <w:color w:val="FFFFFF"/>
              </w:rPr>
            </w:pPr>
            <w:r w:rsidRPr="001B7610">
              <w:rPr>
                <w:rFonts w:ascii="Arial" w:hAnsi="Arial" w:cs="Arial"/>
                <w:b/>
                <w:bCs/>
              </w:rPr>
              <w:t>Características de los pacientes</w:t>
            </w:r>
          </w:p>
        </w:tc>
      </w:tr>
      <w:tr w:rsidR="002D4E1A" w:rsidRPr="001F344E" w:rsidTr="00C475DA">
        <w:trPr>
          <w:trHeight w:val="382"/>
          <w:jc w:val="center"/>
        </w:trPr>
        <w:tc>
          <w:tcPr>
            <w:tcW w:w="2405" w:type="dxa"/>
            <w:tcBorders>
              <w:top w:val="nil"/>
              <w:left w:val="single" w:sz="4" w:space="0" w:color="auto"/>
              <w:bottom w:val="single" w:sz="4" w:space="0" w:color="auto"/>
              <w:right w:val="single" w:sz="4" w:space="0" w:color="auto"/>
            </w:tcBorders>
            <w:vAlign w:val="center"/>
          </w:tcPr>
          <w:p w:rsidR="002D4E1A" w:rsidRPr="001B7610" w:rsidRDefault="002D4E1A" w:rsidP="00600383">
            <w:pPr>
              <w:jc w:val="center"/>
              <w:rPr>
                <w:rFonts w:ascii="Arial" w:hAnsi="Arial" w:cs="Arial"/>
                <w:b/>
                <w:bCs/>
              </w:rPr>
            </w:pPr>
            <w:r w:rsidRPr="001B7610">
              <w:rPr>
                <w:rFonts w:ascii="Arial" w:hAnsi="Arial" w:cs="Arial"/>
                <w:b/>
                <w:bCs/>
              </w:rPr>
              <w:t>Edad (años): mediana, rango</w:t>
            </w:r>
          </w:p>
        </w:tc>
        <w:tc>
          <w:tcPr>
            <w:tcW w:w="2126" w:type="dxa"/>
            <w:tcBorders>
              <w:top w:val="nil"/>
              <w:left w:val="nil"/>
              <w:bottom w:val="single" w:sz="4" w:space="0" w:color="auto"/>
              <w:right w:val="single" w:sz="4" w:space="0" w:color="auto"/>
            </w:tcBorders>
            <w:vAlign w:val="center"/>
          </w:tcPr>
          <w:p w:rsidR="002D4E1A" w:rsidRPr="001B7610" w:rsidRDefault="002D4E1A" w:rsidP="00600383">
            <w:pPr>
              <w:jc w:val="center"/>
              <w:rPr>
                <w:rFonts w:ascii="Arial" w:hAnsi="Arial" w:cs="Arial"/>
              </w:rPr>
            </w:pPr>
            <w:r w:rsidRPr="001B7610">
              <w:rPr>
                <w:rFonts w:ascii="Arial" w:hAnsi="Arial" w:cs="Arial"/>
              </w:rPr>
              <w:t>58, 23-76</w:t>
            </w:r>
          </w:p>
        </w:tc>
        <w:tc>
          <w:tcPr>
            <w:tcW w:w="1701" w:type="dxa"/>
            <w:tcBorders>
              <w:top w:val="nil"/>
              <w:left w:val="nil"/>
              <w:bottom w:val="single" w:sz="4" w:space="0" w:color="auto"/>
              <w:right w:val="single" w:sz="4" w:space="0" w:color="auto"/>
            </w:tcBorders>
            <w:vAlign w:val="center"/>
          </w:tcPr>
          <w:p w:rsidR="002D4E1A" w:rsidRPr="001B7610" w:rsidRDefault="002D4E1A" w:rsidP="00600383">
            <w:pPr>
              <w:jc w:val="center"/>
              <w:rPr>
                <w:rFonts w:ascii="Arial" w:hAnsi="Arial" w:cs="Arial"/>
              </w:rPr>
            </w:pPr>
            <w:r w:rsidRPr="001B7610">
              <w:rPr>
                <w:rFonts w:ascii="Arial" w:hAnsi="Arial" w:cs="Arial"/>
              </w:rPr>
              <w:t>56, 22-76</w:t>
            </w:r>
          </w:p>
        </w:tc>
        <w:tc>
          <w:tcPr>
            <w:tcW w:w="1843" w:type="dxa"/>
            <w:tcBorders>
              <w:top w:val="nil"/>
              <w:left w:val="nil"/>
              <w:bottom w:val="single" w:sz="4" w:space="0" w:color="auto"/>
              <w:right w:val="single" w:sz="4" w:space="0" w:color="auto"/>
            </w:tcBorders>
            <w:vAlign w:val="center"/>
          </w:tcPr>
          <w:p w:rsidR="002D4E1A" w:rsidRPr="001B7610" w:rsidRDefault="002D4E1A" w:rsidP="00600383">
            <w:pPr>
              <w:jc w:val="center"/>
              <w:rPr>
                <w:rFonts w:ascii="Arial" w:hAnsi="Arial" w:cs="Arial"/>
              </w:rPr>
            </w:pPr>
            <w:r w:rsidRPr="001B7610">
              <w:rPr>
                <w:rFonts w:ascii="Arial" w:hAnsi="Arial" w:cs="Arial"/>
              </w:rPr>
              <w:t>60, 18-80</w:t>
            </w:r>
          </w:p>
        </w:tc>
        <w:tc>
          <w:tcPr>
            <w:tcW w:w="1911" w:type="dxa"/>
            <w:tcBorders>
              <w:top w:val="nil"/>
              <w:left w:val="nil"/>
              <w:bottom w:val="single" w:sz="4" w:space="0" w:color="auto"/>
              <w:right w:val="single" w:sz="4" w:space="0" w:color="auto"/>
            </w:tcBorders>
            <w:vAlign w:val="center"/>
          </w:tcPr>
          <w:p w:rsidR="002D4E1A" w:rsidRPr="001B7610" w:rsidRDefault="002D4E1A" w:rsidP="00600383">
            <w:pPr>
              <w:jc w:val="center"/>
              <w:rPr>
                <w:rFonts w:ascii="Arial" w:hAnsi="Arial" w:cs="Arial"/>
              </w:rPr>
            </w:pPr>
            <w:r w:rsidRPr="001B7610">
              <w:rPr>
                <w:rFonts w:ascii="Arial" w:hAnsi="Arial" w:cs="Arial"/>
              </w:rPr>
              <w:t>69, 41-77</w:t>
            </w:r>
          </w:p>
        </w:tc>
      </w:tr>
      <w:tr w:rsidR="002D4E1A" w:rsidRPr="001F344E" w:rsidTr="00C475DA">
        <w:trPr>
          <w:trHeight w:val="382"/>
          <w:jc w:val="center"/>
        </w:trPr>
        <w:tc>
          <w:tcPr>
            <w:tcW w:w="2405" w:type="dxa"/>
            <w:tcBorders>
              <w:top w:val="nil"/>
              <w:left w:val="single" w:sz="4" w:space="0" w:color="auto"/>
              <w:bottom w:val="single" w:sz="4" w:space="0" w:color="auto"/>
              <w:right w:val="single" w:sz="4" w:space="0" w:color="auto"/>
            </w:tcBorders>
            <w:vAlign w:val="center"/>
          </w:tcPr>
          <w:p w:rsidR="002D4E1A" w:rsidRPr="001B7610" w:rsidRDefault="002D4E1A" w:rsidP="00600383">
            <w:pPr>
              <w:jc w:val="center"/>
              <w:rPr>
                <w:rFonts w:ascii="Arial" w:hAnsi="Arial" w:cs="Arial"/>
                <w:b/>
                <w:bCs/>
              </w:rPr>
            </w:pPr>
            <w:r w:rsidRPr="001B7610">
              <w:rPr>
                <w:rFonts w:ascii="Arial" w:hAnsi="Arial" w:cs="Arial"/>
                <w:b/>
                <w:bCs/>
              </w:rPr>
              <w:t>% varones</w:t>
            </w:r>
          </w:p>
        </w:tc>
        <w:tc>
          <w:tcPr>
            <w:tcW w:w="2126" w:type="dxa"/>
            <w:tcBorders>
              <w:top w:val="nil"/>
              <w:left w:val="nil"/>
              <w:bottom w:val="single" w:sz="4" w:space="0" w:color="auto"/>
              <w:right w:val="single" w:sz="4" w:space="0" w:color="auto"/>
            </w:tcBorders>
            <w:vAlign w:val="center"/>
          </w:tcPr>
          <w:p w:rsidR="002D4E1A" w:rsidRPr="001B7610" w:rsidRDefault="002D4E1A" w:rsidP="00600383">
            <w:pPr>
              <w:jc w:val="center"/>
              <w:rPr>
                <w:rFonts w:ascii="Arial" w:hAnsi="Arial" w:cs="Arial"/>
              </w:rPr>
            </w:pPr>
            <w:r w:rsidRPr="001B7610">
              <w:rPr>
                <w:rFonts w:ascii="Arial" w:hAnsi="Arial" w:cs="Arial"/>
              </w:rPr>
              <w:t>68% (67)</w:t>
            </w:r>
          </w:p>
        </w:tc>
        <w:tc>
          <w:tcPr>
            <w:tcW w:w="1701" w:type="dxa"/>
            <w:tcBorders>
              <w:top w:val="nil"/>
              <w:left w:val="nil"/>
              <w:bottom w:val="single" w:sz="4" w:space="0" w:color="auto"/>
              <w:right w:val="single" w:sz="4" w:space="0" w:color="auto"/>
            </w:tcBorders>
            <w:vAlign w:val="center"/>
          </w:tcPr>
          <w:p w:rsidR="002D4E1A" w:rsidRPr="001B7610" w:rsidRDefault="002D4E1A" w:rsidP="009A409A">
            <w:pPr>
              <w:jc w:val="center"/>
              <w:rPr>
                <w:rFonts w:ascii="Arial" w:hAnsi="Arial" w:cs="Arial"/>
              </w:rPr>
            </w:pPr>
            <w:r w:rsidRPr="001B7610">
              <w:rPr>
                <w:rFonts w:ascii="Arial" w:hAnsi="Arial" w:cs="Arial"/>
              </w:rPr>
              <w:t>61,3% (68)</w:t>
            </w:r>
          </w:p>
        </w:tc>
        <w:tc>
          <w:tcPr>
            <w:tcW w:w="1843" w:type="dxa"/>
            <w:tcBorders>
              <w:top w:val="nil"/>
              <w:left w:val="nil"/>
              <w:bottom w:val="single" w:sz="4" w:space="0" w:color="auto"/>
              <w:right w:val="single" w:sz="4" w:space="0" w:color="auto"/>
            </w:tcBorders>
            <w:vAlign w:val="center"/>
          </w:tcPr>
          <w:p w:rsidR="002D4E1A" w:rsidRPr="001B7610" w:rsidRDefault="002D4E1A" w:rsidP="009A409A">
            <w:pPr>
              <w:jc w:val="center"/>
              <w:rPr>
                <w:rFonts w:ascii="Arial" w:hAnsi="Arial" w:cs="Arial"/>
              </w:rPr>
            </w:pPr>
            <w:r w:rsidRPr="001B7610">
              <w:rPr>
                <w:rFonts w:ascii="Arial" w:hAnsi="Arial" w:cs="Arial"/>
              </w:rPr>
              <w:t>66% (46)</w:t>
            </w:r>
          </w:p>
        </w:tc>
        <w:tc>
          <w:tcPr>
            <w:tcW w:w="1911" w:type="dxa"/>
            <w:tcBorders>
              <w:top w:val="nil"/>
              <w:left w:val="nil"/>
              <w:bottom w:val="single" w:sz="4" w:space="0" w:color="auto"/>
              <w:right w:val="single" w:sz="4" w:space="0" w:color="auto"/>
            </w:tcBorders>
            <w:vAlign w:val="center"/>
          </w:tcPr>
          <w:p w:rsidR="002D4E1A" w:rsidRPr="001B7610" w:rsidRDefault="002D4E1A" w:rsidP="009A409A">
            <w:pPr>
              <w:jc w:val="center"/>
              <w:rPr>
                <w:rFonts w:ascii="Arial" w:hAnsi="Arial" w:cs="Arial"/>
              </w:rPr>
            </w:pPr>
            <w:r w:rsidRPr="001B7610">
              <w:rPr>
                <w:rFonts w:ascii="Arial" w:hAnsi="Arial" w:cs="Arial"/>
              </w:rPr>
              <w:t>55% (27)</w:t>
            </w:r>
          </w:p>
        </w:tc>
      </w:tr>
      <w:tr w:rsidR="002D4E1A" w:rsidRPr="001F344E" w:rsidTr="00C475DA">
        <w:trPr>
          <w:trHeight w:val="382"/>
          <w:jc w:val="center"/>
        </w:trPr>
        <w:tc>
          <w:tcPr>
            <w:tcW w:w="2405" w:type="dxa"/>
            <w:tcBorders>
              <w:top w:val="nil"/>
              <w:left w:val="single" w:sz="4" w:space="0" w:color="auto"/>
              <w:bottom w:val="single" w:sz="4" w:space="0" w:color="auto"/>
              <w:right w:val="single" w:sz="4" w:space="0" w:color="auto"/>
            </w:tcBorders>
            <w:vAlign w:val="center"/>
          </w:tcPr>
          <w:p w:rsidR="002D4E1A" w:rsidRPr="001B7610" w:rsidRDefault="002D4E1A" w:rsidP="00600383">
            <w:pPr>
              <w:jc w:val="center"/>
              <w:rPr>
                <w:rFonts w:ascii="Arial" w:hAnsi="Arial" w:cs="Arial"/>
                <w:b/>
                <w:bCs/>
              </w:rPr>
            </w:pPr>
            <w:r w:rsidRPr="001B7610">
              <w:rPr>
                <w:rFonts w:ascii="Arial" w:hAnsi="Arial" w:cs="Arial"/>
                <w:b/>
                <w:bCs/>
              </w:rPr>
              <w:t>TPH previo</w:t>
            </w:r>
          </w:p>
        </w:tc>
        <w:tc>
          <w:tcPr>
            <w:tcW w:w="2126" w:type="dxa"/>
            <w:tcBorders>
              <w:top w:val="nil"/>
              <w:left w:val="nil"/>
              <w:bottom w:val="single" w:sz="4" w:space="0" w:color="auto"/>
              <w:right w:val="single" w:sz="4" w:space="0" w:color="auto"/>
            </w:tcBorders>
            <w:vAlign w:val="center"/>
          </w:tcPr>
          <w:p w:rsidR="002D4E1A" w:rsidRPr="001B7610" w:rsidRDefault="002D4E1A" w:rsidP="00600383">
            <w:pPr>
              <w:jc w:val="center"/>
              <w:rPr>
                <w:rFonts w:ascii="Arial" w:hAnsi="Arial" w:cs="Arial"/>
              </w:rPr>
            </w:pPr>
            <w:r w:rsidRPr="001B7610">
              <w:rPr>
                <w:rFonts w:ascii="Arial" w:hAnsi="Arial" w:cs="Arial"/>
              </w:rPr>
              <w:t>61% (46)</w:t>
            </w:r>
          </w:p>
        </w:tc>
        <w:tc>
          <w:tcPr>
            <w:tcW w:w="1701" w:type="dxa"/>
            <w:tcBorders>
              <w:top w:val="nil"/>
              <w:left w:val="nil"/>
              <w:bottom w:val="single" w:sz="4" w:space="0" w:color="auto"/>
              <w:right w:val="single" w:sz="4" w:space="0" w:color="auto"/>
            </w:tcBorders>
            <w:vAlign w:val="center"/>
          </w:tcPr>
          <w:p w:rsidR="002D4E1A" w:rsidRPr="001B7610" w:rsidRDefault="002D4E1A" w:rsidP="00600383">
            <w:pPr>
              <w:jc w:val="center"/>
              <w:rPr>
                <w:rFonts w:ascii="Arial" w:hAnsi="Arial" w:cs="Arial"/>
              </w:rPr>
            </w:pPr>
            <w:r w:rsidRPr="001B7610">
              <w:rPr>
                <w:rFonts w:ascii="Arial" w:hAnsi="Arial" w:cs="Arial"/>
              </w:rPr>
              <w:t>48,6% (54)</w:t>
            </w:r>
          </w:p>
        </w:tc>
        <w:tc>
          <w:tcPr>
            <w:tcW w:w="1843" w:type="dxa"/>
            <w:tcBorders>
              <w:top w:val="nil"/>
              <w:left w:val="nil"/>
              <w:bottom w:val="single" w:sz="4" w:space="0" w:color="auto"/>
              <w:right w:val="single" w:sz="4" w:space="0" w:color="auto"/>
            </w:tcBorders>
            <w:vAlign w:val="center"/>
          </w:tcPr>
          <w:p w:rsidR="002D4E1A" w:rsidRPr="001B7610" w:rsidRDefault="002D4E1A" w:rsidP="00600383">
            <w:pPr>
              <w:jc w:val="center"/>
              <w:rPr>
                <w:rFonts w:ascii="Arial" w:hAnsi="Arial" w:cs="Arial"/>
              </w:rPr>
            </w:pPr>
            <w:r w:rsidRPr="001B7610">
              <w:rPr>
                <w:rFonts w:ascii="Arial" w:hAnsi="Arial" w:cs="Arial"/>
              </w:rPr>
              <w:t>16% (11)</w:t>
            </w:r>
          </w:p>
        </w:tc>
        <w:tc>
          <w:tcPr>
            <w:tcW w:w="1911" w:type="dxa"/>
            <w:tcBorders>
              <w:top w:val="nil"/>
              <w:left w:val="nil"/>
              <w:bottom w:val="single" w:sz="4" w:space="0" w:color="auto"/>
              <w:right w:val="single" w:sz="4" w:space="0" w:color="auto"/>
            </w:tcBorders>
            <w:vAlign w:val="center"/>
          </w:tcPr>
          <w:p w:rsidR="002D4E1A" w:rsidRPr="001B7610" w:rsidRDefault="00C475DA" w:rsidP="00600383">
            <w:pPr>
              <w:jc w:val="center"/>
              <w:rPr>
                <w:rFonts w:ascii="Arial" w:hAnsi="Arial" w:cs="Arial"/>
              </w:rPr>
            </w:pPr>
            <w:r w:rsidRPr="001B7610">
              <w:rPr>
                <w:rFonts w:ascii="Arial" w:hAnsi="Arial" w:cs="Arial"/>
              </w:rPr>
              <w:t>35% (17)</w:t>
            </w:r>
          </w:p>
        </w:tc>
      </w:tr>
      <w:tr w:rsidR="002D4E1A" w:rsidRPr="001F344E" w:rsidTr="00C475DA">
        <w:trPr>
          <w:trHeight w:val="382"/>
          <w:jc w:val="center"/>
        </w:trPr>
        <w:tc>
          <w:tcPr>
            <w:tcW w:w="2405" w:type="dxa"/>
            <w:tcBorders>
              <w:top w:val="nil"/>
              <w:left w:val="single" w:sz="4" w:space="0" w:color="auto"/>
              <w:bottom w:val="single" w:sz="4" w:space="0" w:color="auto"/>
              <w:right w:val="single" w:sz="4" w:space="0" w:color="auto"/>
            </w:tcBorders>
            <w:vAlign w:val="center"/>
          </w:tcPr>
          <w:p w:rsidR="002D4E1A" w:rsidRPr="001B7610" w:rsidRDefault="002D4E1A" w:rsidP="00600383">
            <w:pPr>
              <w:jc w:val="center"/>
              <w:rPr>
                <w:rFonts w:ascii="Arial" w:hAnsi="Arial" w:cs="Arial"/>
                <w:b/>
                <w:bCs/>
              </w:rPr>
            </w:pPr>
            <w:r w:rsidRPr="001B7610">
              <w:rPr>
                <w:rFonts w:ascii="Arial" w:hAnsi="Arial" w:cs="Arial"/>
                <w:b/>
                <w:bCs/>
              </w:rPr>
              <w:t>Mediana de líneas de tto. previo</w:t>
            </w:r>
          </w:p>
        </w:tc>
        <w:tc>
          <w:tcPr>
            <w:tcW w:w="2126" w:type="dxa"/>
            <w:tcBorders>
              <w:top w:val="nil"/>
              <w:left w:val="nil"/>
              <w:bottom w:val="single" w:sz="4" w:space="0" w:color="auto"/>
              <w:right w:val="single" w:sz="4" w:space="0" w:color="auto"/>
            </w:tcBorders>
            <w:vAlign w:val="center"/>
          </w:tcPr>
          <w:p w:rsidR="002D4E1A" w:rsidRPr="001B7610" w:rsidRDefault="002D4E1A" w:rsidP="00600383">
            <w:pPr>
              <w:jc w:val="center"/>
              <w:rPr>
                <w:rFonts w:ascii="Arial" w:hAnsi="Arial" w:cs="Arial"/>
              </w:rPr>
            </w:pPr>
            <w:r w:rsidRPr="001B7610">
              <w:rPr>
                <w:rFonts w:ascii="Arial" w:hAnsi="Arial" w:cs="Arial"/>
              </w:rPr>
              <w:t>3</w:t>
            </w:r>
          </w:p>
        </w:tc>
        <w:tc>
          <w:tcPr>
            <w:tcW w:w="1701" w:type="dxa"/>
            <w:tcBorders>
              <w:top w:val="nil"/>
              <w:left w:val="nil"/>
              <w:bottom w:val="single" w:sz="4" w:space="0" w:color="auto"/>
              <w:right w:val="single" w:sz="4" w:space="0" w:color="auto"/>
            </w:tcBorders>
            <w:vAlign w:val="center"/>
          </w:tcPr>
          <w:p w:rsidR="002D4E1A" w:rsidRPr="001B7610" w:rsidRDefault="002D4E1A" w:rsidP="00600383">
            <w:pPr>
              <w:jc w:val="center"/>
              <w:rPr>
                <w:rFonts w:ascii="Arial" w:hAnsi="Arial" w:cs="Arial"/>
              </w:rPr>
            </w:pPr>
            <w:r w:rsidRPr="001B7610">
              <w:rPr>
                <w:rFonts w:ascii="Arial" w:hAnsi="Arial" w:cs="Arial"/>
              </w:rPr>
              <w:t>3</w:t>
            </w:r>
          </w:p>
        </w:tc>
        <w:tc>
          <w:tcPr>
            <w:tcW w:w="1843" w:type="dxa"/>
            <w:tcBorders>
              <w:top w:val="nil"/>
              <w:left w:val="nil"/>
              <w:bottom w:val="single" w:sz="4" w:space="0" w:color="auto"/>
              <w:right w:val="single" w:sz="4" w:space="0" w:color="auto"/>
            </w:tcBorders>
            <w:vAlign w:val="center"/>
          </w:tcPr>
          <w:p w:rsidR="002D4E1A" w:rsidRPr="001B7610" w:rsidRDefault="002D4E1A" w:rsidP="00600383">
            <w:pPr>
              <w:jc w:val="center"/>
              <w:rPr>
                <w:rFonts w:ascii="Arial" w:hAnsi="Arial" w:cs="Arial"/>
              </w:rPr>
            </w:pPr>
            <w:r w:rsidRPr="001B7610">
              <w:rPr>
                <w:rFonts w:ascii="Arial" w:hAnsi="Arial" w:cs="Arial"/>
              </w:rPr>
              <w:t>3</w:t>
            </w:r>
          </w:p>
        </w:tc>
        <w:tc>
          <w:tcPr>
            <w:tcW w:w="1911" w:type="dxa"/>
            <w:tcBorders>
              <w:top w:val="nil"/>
              <w:left w:val="nil"/>
              <w:bottom w:val="single" w:sz="4" w:space="0" w:color="auto"/>
              <w:right w:val="single" w:sz="4" w:space="0" w:color="auto"/>
            </w:tcBorders>
            <w:vAlign w:val="center"/>
          </w:tcPr>
          <w:p w:rsidR="002D4E1A" w:rsidRPr="001B7610" w:rsidRDefault="00C475DA" w:rsidP="00600383">
            <w:pPr>
              <w:jc w:val="center"/>
              <w:rPr>
                <w:rFonts w:ascii="Arial" w:hAnsi="Arial" w:cs="Arial"/>
              </w:rPr>
            </w:pPr>
            <w:r w:rsidRPr="001B7610">
              <w:rPr>
                <w:rFonts w:ascii="Arial" w:hAnsi="Arial" w:cs="Arial"/>
              </w:rPr>
              <w:t>NA</w:t>
            </w:r>
          </w:p>
        </w:tc>
      </w:tr>
      <w:tr w:rsidR="007D48BC" w:rsidRPr="001F344E">
        <w:trPr>
          <w:trHeight w:val="255"/>
          <w:jc w:val="center"/>
        </w:trPr>
        <w:tc>
          <w:tcPr>
            <w:tcW w:w="9986" w:type="dxa"/>
            <w:gridSpan w:val="5"/>
            <w:tcBorders>
              <w:top w:val="single" w:sz="4" w:space="0" w:color="auto"/>
              <w:left w:val="single" w:sz="4" w:space="0" w:color="auto"/>
              <w:bottom w:val="single" w:sz="4" w:space="0" w:color="auto"/>
              <w:right w:val="single" w:sz="4" w:space="0" w:color="auto"/>
            </w:tcBorders>
            <w:shd w:val="clear" w:color="auto" w:fill="D0CECE"/>
            <w:vAlign w:val="center"/>
          </w:tcPr>
          <w:p w:rsidR="007D48BC" w:rsidRPr="001B7610" w:rsidRDefault="007D48BC" w:rsidP="00600383">
            <w:pPr>
              <w:jc w:val="center"/>
              <w:rPr>
                <w:rFonts w:ascii="Arial" w:hAnsi="Arial" w:cs="Arial"/>
                <w:b/>
                <w:bCs/>
              </w:rPr>
            </w:pPr>
            <w:r w:rsidRPr="001B7610">
              <w:rPr>
                <w:rFonts w:ascii="Arial" w:hAnsi="Arial" w:cs="Arial"/>
                <w:b/>
                <w:bCs/>
              </w:rPr>
              <w:t>Resultados de eficacia:</w:t>
            </w:r>
          </w:p>
        </w:tc>
      </w:tr>
      <w:tr w:rsidR="001B7610" w:rsidRPr="001F344E" w:rsidTr="00C404C6">
        <w:trPr>
          <w:trHeight w:val="578"/>
          <w:jc w:val="center"/>
        </w:trPr>
        <w:tc>
          <w:tcPr>
            <w:tcW w:w="2405" w:type="dxa"/>
            <w:vMerge w:val="restart"/>
            <w:tcBorders>
              <w:top w:val="single" w:sz="4" w:space="0" w:color="auto"/>
              <w:left w:val="single" w:sz="4" w:space="0" w:color="auto"/>
              <w:right w:val="single" w:sz="4" w:space="0" w:color="auto"/>
            </w:tcBorders>
            <w:vAlign w:val="center"/>
          </w:tcPr>
          <w:p w:rsidR="001B7610" w:rsidRPr="001B7610" w:rsidRDefault="001B7610" w:rsidP="00600383">
            <w:pPr>
              <w:jc w:val="center"/>
              <w:rPr>
                <w:rFonts w:ascii="Arial" w:hAnsi="Arial" w:cs="Arial"/>
                <w:b/>
                <w:bCs/>
              </w:rPr>
            </w:pPr>
            <w:r w:rsidRPr="001B7610">
              <w:rPr>
                <w:rFonts w:ascii="Arial" w:hAnsi="Arial" w:cs="Arial"/>
                <w:b/>
                <w:bCs/>
              </w:rPr>
              <w:t>TRT</w:t>
            </w:r>
          </w:p>
        </w:tc>
        <w:tc>
          <w:tcPr>
            <w:tcW w:w="2126" w:type="dxa"/>
            <w:vMerge w:val="restart"/>
            <w:tcBorders>
              <w:top w:val="single" w:sz="4" w:space="0" w:color="auto"/>
              <w:left w:val="nil"/>
              <w:right w:val="single" w:sz="4" w:space="0" w:color="auto"/>
            </w:tcBorders>
            <w:vAlign w:val="center"/>
          </w:tcPr>
          <w:p w:rsidR="001B7610" w:rsidRPr="001B7610" w:rsidRDefault="001B7610" w:rsidP="00600383">
            <w:pPr>
              <w:jc w:val="center"/>
              <w:rPr>
                <w:rFonts w:ascii="Arial" w:hAnsi="Arial" w:cs="Arial"/>
              </w:rPr>
            </w:pPr>
            <w:r w:rsidRPr="001B7610">
              <w:rPr>
                <w:rFonts w:ascii="Arial" w:hAnsi="Arial" w:cs="Arial"/>
              </w:rPr>
              <w:t>Pacientes totales</w:t>
            </w:r>
          </w:p>
          <w:p w:rsidR="001B7610" w:rsidRPr="001B7610" w:rsidRDefault="001B7610" w:rsidP="00600383">
            <w:pPr>
              <w:jc w:val="center"/>
              <w:rPr>
                <w:rFonts w:ascii="Arial" w:hAnsi="Arial" w:cs="Arial"/>
              </w:rPr>
            </w:pPr>
            <w:r w:rsidRPr="001B7610">
              <w:rPr>
                <w:rFonts w:ascii="Arial" w:hAnsi="Arial" w:cs="Arial"/>
              </w:rPr>
              <w:t>66% (IC 95% 56-75%) ITT</w:t>
            </w:r>
          </w:p>
        </w:tc>
        <w:tc>
          <w:tcPr>
            <w:tcW w:w="1701" w:type="dxa"/>
            <w:tcBorders>
              <w:top w:val="single" w:sz="4" w:space="0" w:color="auto"/>
              <w:left w:val="nil"/>
              <w:bottom w:val="single" w:sz="4" w:space="0" w:color="auto"/>
              <w:right w:val="single" w:sz="4" w:space="0" w:color="auto"/>
            </w:tcBorders>
            <w:vAlign w:val="center"/>
          </w:tcPr>
          <w:p w:rsidR="001B7610" w:rsidRDefault="001B7610" w:rsidP="00600383">
            <w:pPr>
              <w:jc w:val="center"/>
              <w:rPr>
                <w:rFonts w:ascii="Arial" w:hAnsi="Arial" w:cs="Arial"/>
              </w:rPr>
            </w:pPr>
            <w:r w:rsidRPr="001B7610">
              <w:rPr>
                <w:rFonts w:ascii="Arial" w:hAnsi="Arial" w:cs="Arial"/>
              </w:rPr>
              <w:t>33,9% (IC 95% 26,8-41,7%) ITT</w:t>
            </w:r>
          </w:p>
          <w:p w:rsidR="001B7610" w:rsidRPr="001B7610" w:rsidRDefault="001B7610" w:rsidP="00600383">
            <w:pPr>
              <w:jc w:val="center"/>
              <w:rPr>
                <w:rFonts w:ascii="Arial" w:hAnsi="Arial" w:cs="Arial"/>
              </w:rPr>
            </w:pPr>
          </w:p>
        </w:tc>
        <w:tc>
          <w:tcPr>
            <w:tcW w:w="1843" w:type="dxa"/>
            <w:vMerge w:val="restart"/>
            <w:tcBorders>
              <w:top w:val="single" w:sz="4" w:space="0" w:color="auto"/>
              <w:left w:val="nil"/>
              <w:right w:val="single" w:sz="4" w:space="0" w:color="auto"/>
            </w:tcBorders>
            <w:vAlign w:val="center"/>
          </w:tcPr>
          <w:p w:rsidR="001B7610" w:rsidRPr="001B7610" w:rsidRDefault="001B7610" w:rsidP="00600383">
            <w:pPr>
              <w:jc w:val="center"/>
              <w:rPr>
                <w:rFonts w:ascii="Arial" w:hAnsi="Arial" w:cs="Arial"/>
              </w:rPr>
            </w:pPr>
            <w:r w:rsidRPr="001B7610">
              <w:rPr>
                <w:rFonts w:ascii="Arial" w:hAnsi="Arial" w:cs="Arial"/>
              </w:rPr>
              <w:t>20% (IC95% 11.4-31.3%)</w:t>
            </w:r>
          </w:p>
        </w:tc>
        <w:tc>
          <w:tcPr>
            <w:tcW w:w="1911" w:type="dxa"/>
            <w:vMerge w:val="restart"/>
            <w:tcBorders>
              <w:top w:val="single" w:sz="4" w:space="0" w:color="auto"/>
              <w:left w:val="nil"/>
              <w:right w:val="single" w:sz="4" w:space="0" w:color="auto"/>
            </w:tcBorders>
            <w:vAlign w:val="center"/>
          </w:tcPr>
          <w:p w:rsidR="001B7610" w:rsidRPr="001B7610" w:rsidRDefault="001B7610" w:rsidP="00600383">
            <w:pPr>
              <w:jc w:val="center"/>
              <w:rPr>
                <w:rFonts w:ascii="Arial" w:hAnsi="Arial" w:cs="Arial"/>
              </w:rPr>
            </w:pPr>
            <w:r w:rsidRPr="001B7610">
              <w:rPr>
                <w:rFonts w:ascii="Arial" w:hAnsi="Arial" w:cs="Arial"/>
              </w:rPr>
              <w:t>61% (IC 95% 45 – 74%)</w:t>
            </w:r>
          </w:p>
        </w:tc>
      </w:tr>
      <w:tr w:rsidR="001B7610" w:rsidRPr="001F344E" w:rsidTr="00C404C6">
        <w:trPr>
          <w:trHeight w:val="577"/>
          <w:jc w:val="center"/>
        </w:trPr>
        <w:tc>
          <w:tcPr>
            <w:tcW w:w="2405" w:type="dxa"/>
            <w:vMerge/>
            <w:tcBorders>
              <w:left w:val="single" w:sz="4" w:space="0" w:color="auto"/>
              <w:bottom w:val="single" w:sz="4" w:space="0" w:color="auto"/>
              <w:right w:val="single" w:sz="4" w:space="0" w:color="auto"/>
            </w:tcBorders>
            <w:vAlign w:val="center"/>
          </w:tcPr>
          <w:p w:rsidR="001B7610" w:rsidRPr="001B7610" w:rsidRDefault="001B7610" w:rsidP="00600383">
            <w:pPr>
              <w:jc w:val="center"/>
              <w:rPr>
                <w:rFonts w:ascii="Arial" w:hAnsi="Arial" w:cs="Arial"/>
                <w:b/>
                <w:bCs/>
              </w:rPr>
            </w:pPr>
          </w:p>
        </w:tc>
        <w:tc>
          <w:tcPr>
            <w:tcW w:w="2126" w:type="dxa"/>
            <w:vMerge/>
            <w:tcBorders>
              <w:left w:val="nil"/>
              <w:bottom w:val="single" w:sz="4" w:space="0" w:color="auto"/>
              <w:right w:val="single" w:sz="4" w:space="0" w:color="auto"/>
            </w:tcBorders>
            <w:vAlign w:val="center"/>
          </w:tcPr>
          <w:p w:rsidR="001B7610" w:rsidRPr="001B7610" w:rsidRDefault="001B7610" w:rsidP="00600383">
            <w:pPr>
              <w:jc w:val="center"/>
              <w:rPr>
                <w:rFonts w:ascii="Arial" w:hAnsi="Arial" w:cs="Arial"/>
              </w:rPr>
            </w:pPr>
          </w:p>
        </w:tc>
        <w:tc>
          <w:tcPr>
            <w:tcW w:w="1701" w:type="dxa"/>
            <w:tcBorders>
              <w:top w:val="single" w:sz="4" w:space="0" w:color="auto"/>
              <w:left w:val="nil"/>
              <w:bottom w:val="single" w:sz="4" w:space="0" w:color="auto"/>
              <w:right w:val="single" w:sz="4" w:space="0" w:color="auto"/>
            </w:tcBorders>
            <w:vAlign w:val="center"/>
          </w:tcPr>
          <w:p w:rsidR="001B7610" w:rsidRPr="001B7610" w:rsidRDefault="001B7610" w:rsidP="00600383">
            <w:pPr>
              <w:jc w:val="center"/>
              <w:rPr>
                <w:rFonts w:ascii="Arial" w:hAnsi="Arial" w:cs="Arial"/>
              </w:rPr>
            </w:pPr>
            <w:r>
              <w:rPr>
                <w:rFonts w:ascii="Arial" w:hAnsi="Arial" w:cs="Arial"/>
              </w:rPr>
              <w:t>51,6% (IC95% 41,0 – 62,1) infundidos</w:t>
            </w:r>
          </w:p>
        </w:tc>
        <w:tc>
          <w:tcPr>
            <w:tcW w:w="1843" w:type="dxa"/>
            <w:vMerge/>
            <w:tcBorders>
              <w:left w:val="nil"/>
              <w:bottom w:val="single" w:sz="4" w:space="0" w:color="auto"/>
              <w:right w:val="single" w:sz="4" w:space="0" w:color="auto"/>
            </w:tcBorders>
            <w:vAlign w:val="center"/>
          </w:tcPr>
          <w:p w:rsidR="001B7610" w:rsidRPr="001B7610" w:rsidRDefault="001B7610" w:rsidP="00600383">
            <w:pPr>
              <w:jc w:val="center"/>
              <w:rPr>
                <w:rFonts w:ascii="Arial" w:hAnsi="Arial" w:cs="Arial"/>
              </w:rPr>
            </w:pPr>
          </w:p>
        </w:tc>
        <w:tc>
          <w:tcPr>
            <w:tcW w:w="1911" w:type="dxa"/>
            <w:vMerge/>
            <w:tcBorders>
              <w:left w:val="nil"/>
              <w:bottom w:val="single" w:sz="4" w:space="0" w:color="auto"/>
              <w:right w:val="single" w:sz="4" w:space="0" w:color="auto"/>
            </w:tcBorders>
            <w:vAlign w:val="center"/>
          </w:tcPr>
          <w:p w:rsidR="001B7610" w:rsidRPr="001B7610" w:rsidRDefault="001B7610" w:rsidP="00600383">
            <w:pPr>
              <w:jc w:val="center"/>
              <w:rPr>
                <w:rFonts w:ascii="Arial" w:hAnsi="Arial" w:cs="Arial"/>
              </w:rPr>
            </w:pPr>
          </w:p>
        </w:tc>
      </w:tr>
      <w:tr w:rsidR="001B7610" w:rsidRPr="001F344E" w:rsidTr="00C404C6">
        <w:trPr>
          <w:trHeight w:val="233"/>
          <w:jc w:val="center"/>
        </w:trPr>
        <w:tc>
          <w:tcPr>
            <w:tcW w:w="2405" w:type="dxa"/>
            <w:vMerge w:val="restart"/>
            <w:tcBorders>
              <w:top w:val="single" w:sz="4" w:space="0" w:color="auto"/>
              <w:left w:val="single" w:sz="4" w:space="0" w:color="auto"/>
              <w:right w:val="single" w:sz="4" w:space="0" w:color="auto"/>
            </w:tcBorders>
            <w:vAlign w:val="center"/>
          </w:tcPr>
          <w:p w:rsidR="001B7610" w:rsidRPr="001B7610" w:rsidRDefault="001B7610" w:rsidP="00600383">
            <w:pPr>
              <w:jc w:val="center"/>
              <w:rPr>
                <w:rFonts w:ascii="Arial" w:hAnsi="Arial" w:cs="Arial"/>
                <w:b/>
                <w:bCs/>
              </w:rPr>
            </w:pPr>
            <w:r w:rsidRPr="001B7610">
              <w:rPr>
                <w:rFonts w:ascii="Arial" w:hAnsi="Arial" w:cs="Arial"/>
                <w:b/>
                <w:bCs/>
              </w:rPr>
              <w:t>Mediana SLP a los 12 meses (meses)</w:t>
            </w:r>
          </w:p>
        </w:tc>
        <w:tc>
          <w:tcPr>
            <w:tcW w:w="2126" w:type="dxa"/>
            <w:vMerge w:val="restart"/>
            <w:tcBorders>
              <w:top w:val="single" w:sz="4" w:space="0" w:color="auto"/>
              <w:left w:val="nil"/>
              <w:right w:val="single" w:sz="4" w:space="0" w:color="auto"/>
            </w:tcBorders>
            <w:vAlign w:val="center"/>
          </w:tcPr>
          <w:p w:rsidR="001B7610" w:rsidRPr="001B7610" w:rsidRDefault="001B7610" w:rsidP="00600383">
            <w:pPr>
              <w:jc w:val="center"/>
              <w:rPr>
                <w:rFonts w:ascii="Arial" w:hAnsi="Arial" w:cs="Arial"/>
              </w:rPr>
            </w:pPr>
            <w:r w:rsidRPr="001B7610">
              <w:rPr>
                <w:rFonts w:ascii="Arial" w:hAnsi="Arial" w:cs="Arial"/>
              </w:rPr>
              <w:t>9,5 (IC95% 6,1-12,9) ITT</w:t>
            </w:r>
          </w:p>
        </w:tc>
        <w:tc>
          <w:tcPr>
            <w:tcW w:w="1701" w:type="dxa"/>
            <w:tcBorders>
              <w:top w:val="nil"/>
              <w:left w:val="nil"/>
              <w:bottom w:val="single" w:sz="4" w:space="0" w:color="auto"/>
              <w:right w:val="single" w:sz="4" w:space="0" w:color="auto"/>
            </w:tcBorders>
            <w:vAlign w:val="center"/>
          </w:tcPr>
          <w:p w:rsidR="001B7610" w:rsidRPr="001B7610" w:rsidRDefault="001B7610" w:rsidP="00600383">
            <w:pPr>
              <w:jc w:val="center"/>
              <w:rPr>
                <w:rFonts w:ascii="Arial" w:hAnsi="Arial" w:cs="Arial"/>
              </w:rPr>
            </w:pPr>
            <w:r w:rsidRPr="001B7610">
              <w:rPr>
                <w:rFonts w:ascii="Arial" w:hAnsi="Arial" w:cs="Arial"/>
              </w:rPr>
              <w:t>4,4 (IC 95% 3,6 – 5,1) ITT</w:t>
            </w:r>
          </w:p>
        </w:tc>
        <w:tc>
          <w:tcPr>
            <w:tcW w:w="1843" w:type="dxa"/>
            <w:vMerge w:val="restart"/>
            <w:tcBorders>
              <w:top w:val="nil"/>
              <w:left w:val="nil"/>
              <w:right w:val="single" w:sz="4" w:space="0" w:color="auto"/>
            </w:tcBorders>
            <w:vAlign w:val="center"/>
          </w:tcPr>
          <w:p w:rsidR="001B7610" w:rsidRPr="001B7610" w:rsidRDefault="001B7610" w:rsidP="00600383">
            <w:pPr>
              <w:jc w:val="center"/>
              <w:rPr>
                <w:rFonts w:ascii="Arial" w:hAnsi="Arial" w:cs="Arial"/>
              </w:rPr>
            </w:pPr>
            <w:r w:rsidRPr="001B7610">
              <w:rPr>
                <w:rFonts w:ascii="Arial" w:hAnsi="Arial" w:cs="Arial"/>
              </w:rPr>
              <w:t>5.3 (6.4-15.7) a los 18 meses</w:t>
            </w:r>
          </w:p>
        </w:tc>
        <w:tc>
          <w:tcPr>
            <w:tcW w:w="1911" w:type="dxa"/>
            <w:vMerge w:val="restart"/>
            <w:tcBorders>
              <w:top w:val="nil"/>
              <w:left w:val="nil"/>
              <w:right w:val="single" w:sz="4" w:space="0" w:color="auto"/>
            </w:tcBorders>
            <w:vAlign w:val="center"/>
          </w:tcPr>
          <w:p w:rsidR="001B7610" w:rsidRPr="001B7610" w:rsidRDefault="001B7610" w:rsidP="00600383">
            <w:pPr>
              <w:jc w:val="center"/>
              <w:rPr>
                <w:rFonts w:ascii="Arial" w:hAnsi="Arial" w:cs="Arial"/>
              </w:rPr>
            </w:pPr>
            <w:r w:rsidRPr="001B7610">
              <w:rPr>
                <w:rFonts w:ascii="Arial" w:hAnsi="Arial" w:cs="Arial"/>
              </w:rPr>
              <w:t>5 (no describe IC 95%)</w:t>
            </w:r>
          </w:p>
        </w:tc>
      </w:tr>
      <w:tr w:rsidR="001B7610" w:rsidRPr="001F344E" w:rsidTr="00C404C6">
        <w:trPr>
          <w:trHeight w:val="232"/>
          <w:jc w:val="center"/>
        </w:trPr>
        <w:tc>
          <w:tcPr>
            <w:tcW w:w="2405" w:type="dxa"/>
            <w:vMerge/>
            <w:tcBorders>
              <w:left w:val="single" w:sz="4" w:space="0" w:color="auto"/>
              <w:bottom w:val="single" w:sz="4" w:space="0" w:color="auto"/>
              <w:right w:val="single" w:sz="4" w:space="0" w:color="auto"/>
            </w:tcBorders>
            <w:vAlign w:val="center"/>
          </w:tcPr>
          <w:p w:rsidR="001B7610" w:rsidRPr="001B7610" w:rsidRDefault="001B7610" w:rsidP="00600383">
            <w:pPr>
              <w:jc w:val="center"/>
              <w:rPr>
                <w:rFonts w:ascii="Arial" w:hAnsi="Arial" w:cs="Arial"/>
                <w:b/>
                <w:bCs/>
              </w:rPr>
            </w:pPr>
          </w:p>
        </w:tc>
        <w:tc>
          <w:tcPr>
            <w:tcW w:w="2126" w:type="dxa"/>
            <w:vMerge/>
            <w:tcBorders>
              <w:left w:val="nil"/>
              <w:bottom w:val="single" w:sz="4" w:space="0" w:color="auto"/>
              <w:right w:val="single" w:sz="4" w:space="0" w:color="auto"/>
            </w:tcBorders>
            <w:vAlign w:val="center"/>
          </w:tcPr>
          <w:p w:rsidR="001B7610" w:rsidRPr="001B7610" w:rsidRDefault="001B7610" w:rsidP="00600383">
            <w:pPr>
              <w:jc w:val="center"/>
              <w:rPr>
                <w:rFonts w:ascii="Arial" w:hAnsi="Arial" w:cs="Arial"/>
              </w:rPr>
            </w:pPr>
          </w:p>
        </w:tc>
        <w:tc>
          <w:tcPr>
            <w:tcW w:w="1701" w:type="dxa"/>
            <w:tcBorders>
              <w:top w:val="nil"/>
              <w:left w:val="nil"/>
              <w:bottom w:val="single" w:sz="4" w:space="0" w:color="auto"/>
              <w:right w:val="single" w:sz="4" w:space="0" w:color="auto"/>
            </w:tcBorders>
            <w:vAlign w:val="center"/>
          </w:tcPr>
          <w:p w:rsidR="001B7610" w:rsidRPr="001B7610" w:rsidRDefault="001B7610" w:rsidP="00600383">
            <w:pPr>
              <w:jc w:val="center"/>
              <w:rPr>
                <w:rFonts w:ascii="Arial" w:hAnsi="Arial" w:cs="Arial"/>
              </w:rPr>
            </w:pPr>
            <w:r>
              <w:rPr>
                <w:rFonts w:ascii="Arial" w:hAnsi="Arial" w:cs="Arial"/>
              </w:rPr>
              <w:t>5,1 (IC 95% 4,4 – 5,8) infundidos</w:t>
            </w:r>
          </w:p>
        </w:tc>
        <w:tc>
          <w:tcPr>
            <w:tcW w:w="1843" w:type="dxa"/>
            <w:vMerge/>
            <w:tcBorders>
              <w:left w:val="nil"/>
              <w:bottom w:val="single" w:sz="4" w:space="0" w:color="auto"/>
              <w:right w:val="single" w:sz="4" w:space="0" w:color="auto"/>
            </w:tcBorders>
            <w:vAlign w:val="center"/>
          </w:tcPr>
          <w:p w:rsidR="001B7610" w:rsidRPr="001B7610" w:rsidRDefault="001B7610" w:rsidP="00600383">
            <w:pPr>
              <w:jc w:val="center"/>
              <w:rPr>
                <w:rFonts w:ascii="Arial" w:hAnsi="Arial" w:cs="Arial"/>
              </w:rPr>
            </w:pPr>
          </w:p>
        </w:tc>
        <w:tc>
          <w:tcPr>
            <w:tcW w:w="1911" w:type="dxa"/>
            <w:vMerge/>
            <w:tcBorders>
              <w:left w:val="nil"/>
              <w:bottom w:val="single" w:sz="4" w:space="0" w:color="auto"/>
              <w:right w:val="single" w:sz="4" w:space="0" w:color="auto"/>
            </w:tcBorders>
            <w:vAlign w:val="center"/>
          </w:tcPr>
          <w:p w:rsidR="001B7610" w:rsidRPr="001B7610" w:rsidRDefault="001B7610" w:rsidP="00600383">
            <w:pPr>
              <w:jc w:val="center"/>
              <w:rPr>
                <w:rFonts w:ascii="Arial" w:hAnsi="Arial" w:cs="Arial"/>
              </w:rPr>
            </w:pPr>
          </w:p>
        </w:tc>
      </w:tr>
      <w:tr w:rsidR="007F2D12" w:rsidRPr="001F344E" w:rsidTr="00C404C6">
        <w:trPr>
          <w:trHeight w:val="233"/>
          <w:jc w:val="center"/>
        </w:trPr>
        <w:tc>
          <w:tcPr>
            <w:tcW w:w="2405" w:type="dxa"/>
            <w:vMerge w:val="restart"/>
            <w:tcBorders>
              <w:top w:val="nil"/>
              <w:left w:val="single" w:sz="4" w:space="0" w:color="auto"/>
              <w:right w:val="single" w:sz="4" w:space="0" w:color="auto"/>
            </w:tcBorders>
            <w:vAlign w:val="center"/>
          </w:tcPr>
          <w:p w:rsidR="007F2D12" w:rsidRPr="001B7610" w:rsidRDefault="007F2D12" w:rsidP="00600383">
            <w:pPr>
              <w:jc w:val="center"/>
              <w:rPr>
                <w:rFonts w:ascii="Arial" w:hAnsi="Arial" w:cs="Arial"/>
                <w:b/>
                <w:bCs/>
              </w:rPr>
            </w:pPr>
            <w:r w:rsidRPr="001B7610">
              <w:rPr>
                <w:rFonts w:ascii="Arial" w:hAnsi="Arial" w:cs="Arial"/>
                <w:b/>
                <w:bCs/>
              </w:rPr>
              <w:t>Mediana SG (meses)</w:t>
            </w:r>
          </w:p>
        </w:tc>
        <w:tc>
          <w:tcPr>
            <w:tcW w:w="2126" w:type="dxa"/>
            <w:vMerge w:val="restart"/>
            <w:tcBorders>
              <w:top w:val="nil"/>
              <w:left w:val="nil"/>
              <w:right w:val="single" w:sz="4" w:space="0" w:color="auto"/>
            </w:tcBorders>
            <w:vAlign w:val="center"/>
          </w:tcPr>
          <w:p w:rsidR="007F2D12" w:rsidRPr="001B7610" w:rsidRDefault="007F2D12" w:rsidP="00013804">
            <w:pPr>
              <w:jc w:val="center"/>
              <w:rPr>
                <w:rFonts w:ascii="Arial" w:hAnsi="Arial" w:cs="Arial"/>
              </w:rPr>
            </w:pPr>
            <w:r w:rsidRPr="001B7610">
              <w:rPr>
                <w:rFonts w:ascii="Arial" w:hAnsi="Arial" w:cs="Arial"/>
              </w:rPr>
              <w:t>17,4 (IC95% 11,6-NE) ITT</w:t>
            </w:r>
          </w:p>
        </w:tc>
        <w:tc>
          <w:tcPr>
            <w:tcW w:w="1701" w:type="dxa"/>
            <w:tcBorders>
              <w:top w:val="nil"/>
              <w:left w:val="nil"/>
              <w:bottom w:val="single" w:sz="4" w:space="0" w:color="auto"/>
              <w:right w:val="single" w:sz="4" w:space="0" w:color="auto"/>
            </w:tcBorders>
            <w:vAlign w:val="center"/>
          </w:tcPr>
          <w:p w:rsidR="007F2D12" w:rsidRPr="001B7610" w:rsidRDefault="007F2D12" w:rsidP="002D4E1A">
            <w:pPr>
              <w:jc w:val="center"/>
              <w:rPr>
                <w:rFonts w:ascii="Arial" w:hAnsi="Arial" w:cs="Arial"/>
              </w:rPr>
            </w:pPr>
            <w:r w:rsidRPr="001B7610">
              <w:rPr>
                <w:rFonts w:ascii="Arial" w:hAnsi="Arial" w:cs="Arial"/>
              </w:rPr>
              <w:t>8,2 (IC95% 5,8-11,7) ITT</w:t>
            </w:r>
          </w:p>
        </w:tc>
        <w:tc>
          <w:tcPr>
            <w:tcW w:w="1843" w:type="dxa"/>
            <w:vMerge w:val="restart"/>
            <w:tcBorders>
              <w:top w:val="nil"/>
              <w:left w:val="nil"/>
              <w:right w:val="single" w:sz="4" w:space="0" w:color="auto"/>
            </w:tcBorders>
            <w:vAlign w:val="center"/>
          </w:tcPr>
          <w:p w:rsidR="007F2D12" w:rsidRPr="001B7610" w:rsidRDefault="007F2D12" w:rsidP="00013804">
            <w:pPr>
              <w:jc w:val="center"/>
              <w:rPr>
                <w:rFonts w:ascii="Arial" w:hAnsi="Arial" w:cs="Arial"/>
              </w:rPr>
            </w:pPr>
            <w:r w:rsidRPr="001B7610">
              <w:rPr>
                <w:rFonts w:ascii="Arial" w:hAnsi="Arial" w:cs="Arial"/>
              </w:rPr>
              <w:t>9.6 (4.0-20.8) a los 18 meses</w:t>
            </w:r>
          </w:p>
        </w:tc>
        <w:tc>
          <w:tcPr>
            <w:tcW w:w="1911" w:type="dxa"/>
            <w:vMerge w:val="restart"/>
            <w:tcBorders>
              <w:top w:val="nil"/>
              <w:left w:val="nil"/>
              <w:right w:val="single" w:sz="4" w:space="0" w:color="auto"/>
            </w:tcBorders>
            <w:vAlign w:val="center"/>
          </w:tcPr>
          <w:p w:rsidR="007F2D12" w:rsidRPr="001B7610" w:rsidRDefault="007F2D12" w:rsidP="00013804">
            <w:pPr>
              <w:jc w:val="center"/>
              <w:rPr>
                <w:rFonts w:ascii="Arial" w:hAnsi="Arial" w:cs="Arial"/>
              </w:rPr>
            </w:pPr>
            <w:r w:rsidRPr="001B7610">
              <w:rPr>
                <w:rFonts w:ascii="Arial" w:hAnsi="Arial" w:cs="Arial"/>
              </w:rPr>
              <w:t>11 (no describe IC95%)</w:t>
            </w:r>
          </w:p>
        </w:tc>
      </w:tr>
      <w:tr w:rsidR="007F2D12" w:rsidRPr="001F344E" w:rsidTr="00C404C6">
        <w:trPr>
          <w:trHeight w:val="232"/>
          <w:jc w:val="center"/>
        </w:trPr>
        <w:tc>
          <w:tcPr>
            <w:tcW w:w="2405" w:type="dxa"/>
            <w:vMerge/>
            <w:tcBorders>
              <w:left w:val="single" w:sz="4" w:space="0" w:color="auto"/>
              <w:bottom w:val="single" w:sz="4" w:space="0" w:color="auto"/>
              <w:right w:val="single" w:sz="4" w:space="0" w:color="auto"/>
            </w:tcBorders>
            <w:vAlign w:val="center"/>
          </w:tcPr>
          <w:p w:rsidR="007F2D12" w:rsidRPr="001B7610" w:rsidRDefault="007F2D12" w:rsidP="00600383">
            <w:pPr>
              <w:jc w:val="center"/>
              <w:rPr>
                <w:rFonts w:ascii="Arial" w:hAnsi="Arial" w:cs="Arial"/>
                <w:b/>
                <w:bCs/>
              </w:rPr>
            </w:pPr>
          </w:p>
        </w:tc>
        <w:tc>
          <w:tcPr>
            <w:tcW w:w="2126" w:type="dxa"/>
            <w:vMerge/>
            <w:tcBorders>
              <w:left w:val="nil"/>
              <w:bottom w:val="single" w:sz="4" w:space="0" w:color="auto"/>
              <w:right w:val="single" w:sz="4" w:space="0" w:color="auto"/>
            </w:tcBorders>
            <w:vAlign w:val="center"/>
          </w:tcPr>
          <w:p w:rsidR="007F2D12" w:rsidRPr="001B7610" w:rsidRDefault="007F2D12" w:rsidP="00013804">
            <w:pPr>
              <w:jc w:val="center"/>
              <w:rPr>
                <w:rFonts w:ascii="Arial" w:hAnsi="Arial" w:cs="Arial"/>
              </w:rPr>
            </w:pPr>
          </w:p>
        </w:tc>
        <w:tc>
          <w:tcPr>
            <w:tcW w:w="1701" w:type="dxa"/>
            <w:tcBorders>
              <w:top w:val="nil"/>
              <w:left w:val="nil"/>
              <w:bottom w:val="single" w:sz="4" w:space="0" w:color="auto"/>
              <w:right w:val="single" w:sz="4" w:space="0" w:color="auto"/>
            </w:tcBorders>
            <w:vAlign w:val="center"/>
          </w:tcPr>
          <w:p w:rsidR="007F2D12" w:rsidRPr="001B7610" w:rsidRDefault="007F2D12" w:rsidP="002D4E1A">
            <w:pPr>
              <w:jc w:val="center"/>
              <w:rPr>
                <w:rFonts w:ascii="Arial" w:hAnsi="Arial" w:cs="Arial"/>
              </w:rPr>
            </w:pPr>
            <w:r>
              <w:rPr>
                <w:rFonts w:ascii="Arial" w:hAnsi="Arial" w:cs="Arial"/>
              </w:rPr>
              <w:t>12,9 (IC 95% 8,4 – NE) infundidos</w:t>
            </w:r>
          </w:p>
        </w:tc>
        <w:tc>
          <w:tcPr>
            <w:tcW w:w="1843" w:type="dxa"/>
            <w:vMerge/>
            <w:tcBorders>
              <w:left w:val="nil"/>
              <w:bottom w:val="single" w:sz="4" w:space="0" w:color="auto"/>
              <w:right w:val="single" w:sz="4" w:space="0" w:color="auto"/>
            </w:tcBorders>
            <w:vAlign w:val="center"/>
          </w:tcPr>
          <w:p w:rsidR="007F2D12" w:rsidRPr="001B7610" w:rsidRDefault="007F2D12" w:rsidP="00013804">
            <w:pPr>
              <w:jc w:val="center"/>
              <w:rPr>
                <w:rFonts w:ascii="Arial" w:hAnsi="Arial" w:cs="Arial"/>
              </w:rPr>
            </w:pPr>
          </w:p>
        </w:tc>
        <w:tc>
          <w:tcPr>
            <w:tcW w:w="1911" w:type="dxa"/>
            <w:vMerge/>
            <w:tcBorders>
              <w:left w:val="nil"/>
              <w:bottom w:val="single" w:sz="4" w:space="0" w:color="auto"/>
              <w:right w:val="single" w:sz="4" w:space="0" w:color="auto"/>
            </w:tcBorders>
            <w:vAlign w:val="center"/>
          </w:tcPr>
          <w:p w:rsidR="007F2D12" w:rsidRPr="001B7610" w:rsidRDefault="007F2D12" w:rsidP="00013804">
            <w:pPr>
              <w:jc w:val="center"/>
              <w:rPr>
                <w:rFonts w:ascii="Arial" w:hAnsi="Arial" w:cs="Arial"/>
              </w:rPr>
            </w:pPr>
          </w:p>
        </w:tc>
      </w:tr>
      <w:tr w:rsidR="007D48BC" w:rsidRPr="001F344E">
        <w:trPr>
          <w:trHeight w:val="255"/>
          <w:jc w:val="center"/>
        </w:trPr>
        <w:tc>
          <w:tcPr>
            <w:tcW w:w="9986" w:type="dxa"/>
            <w:gridSpan w:val="5"/>
            <w:tcBorders>
              <w:top w:val="single" w:sz="4" w:space="0" w:color="auto"/>
              <w:left w:val="single" w:sz="4" w:space="0" w:color="auto"/>
              <w:bottom w:val="single" w:sz="4" w:space="0" w:color="auto"/>
              <w:right w:val="single" w:sz="4" w:space="0" w:color="auto"/>
            </w:tcBorders>
            <w:shd w:val="clear" w:color="auto" w:fill="D0CECE"/>
            <w:vAlign w:val="center"/>
          </w:tcPr>
          <w:p w:rsidR="007D48BC" w:rsidRPr="001B7610" w:rsidRDefault="007D48BC" w:rsidP="00600383">
            <w:pPr>
              <w:rPr>
                <w:rFonts w:ascii="Arial" w:hAnsi="Arial" w:cs="Arial"/>
                <w:sz w:val="16"/>
                <w:szCs w:val="16"/>
              </w:rPr>
            </w:pPr>
            <w:r w:rsidRPr="001B7610">
              <w:rPr>
                <w:rFonts w:ascii="Arial" w:hAnsi="Arial" w:cs="Arial"/>
                <w:sz w:val="16"/>
                <w:szCs w:val="16"/>
              </w:rPr>
              <w:t xml:space="preserve">*Los cálculos de eficacia de </w:t>
            </w:r>
            <w:r w:rsidRPr="001B7610">
              <w:rPr>
                <w:rFonts w:ascii="Arial" w:hAnsi="Arial" w:cs="Arial"/>
                <w:i/>
                <w:iCs/>
                <w:sz w:val="16"/>
                <w:szCs w:val="16"/>
              </w:rPr>
              <w:t>Shuster et al. 2018</w:t>
            </w:r>
            <w:r w:rsidRPr="001B7610">
              <w:rPr>
                <w:rFonts w:ascii="Arial" w:hAnsi="Arial" w:cs="Arial"/>
                <w:sz w:val="16"/>
                <w:szCs w:val="16"/>
              </w:rPr>
              <w:t xml:space="preserve"> se refieren </w:t>
            </w:r>
            <w:r w:rsidR="007F2D12">
              <w:rPr>
                <w:rFonts w:ascii="Arial" w:hAnsi="Arial" w:cs="Arial"/>
                <w:sz w:val="16"/>
                <w:szCs w:val="16"/>
              </w:rPr>
              <w:t>a los pacientes incluidos (ITT) y a los pacientes infundidos, ya que hay un número importante de pacientes que no llegan a infurdirse el medicamento.</w:t>
            </w:r>
          </w:p>
          <w:p w:rsidR="00B37679" w:rsidRPr="001B7610" w:rsidRDefault="00B37679" w:rsidP="00600383">
            <w:pPr>
              <w:rPr>
                <w:rFonts w:ascii="Arial" w:hAnsi="Arial" w:cs="Arial"/>
                <w:sz w:val="16"/>
                <w:szCs w:val="16"/>
              </w:rPr>
            </w:pPr>
            <w:r w:rsidRPr="001B7610">
              <w:rPr>
                <w:rFonts w:ascii="Arial" w:hAnsi="Arial" w:cs="Arial"/>
                <w:sz w:val="16"/>
                <w:szCs w:val="16"/>
              </w:rPr>
              <w:t>La diferencia de eficacia se mide en años de vida (AV)</w:t>
            </w:r>
          </w:p>
        </w:tc>
      </w:tr>
    </w:tbl>
    <w:p w:rsidR="00B37679" w:rsidRPr="00B37679" w:rsidRDefault="00B37679" w:rsidP="00836B0B">
      <w:pPr>
        <w:pStyle w:val="Encabezado"/>
        <w:spacing w:line="360" w:lineRule="auto"/>
        <w:jc w:val="both"/>
        <w:rPr>
          <w:rFonts w:ascii="Arial" w:hAnsi="Arial" w:cs="Arial"/>
          <w:sz w:val="20"/>
          <w:szCs w:val="20"/>
          <w:highlight w:val="cyan"/>
        </w:rPr>
      </w:pPr>
    </w:p>
    <w:p w:rsidR="007D48BC" w:rsidRDefault="007D48BC" w:rsidP="00BD244D">
      <w:pPr>
        <w:pStyle w:val="Encabezado"/>
        <w:jc w:val="both"/>
        <w:rPr>
          <w:rFonts w:ascii="Arial" w:hAnsi="Arial" w:cs="Arial"/>
        </w:rPr>
      </w:pPr>
    </w:p>
    <w:p w:rsidR="007D48BC" w:rsidRDefault="007D48BC" w:rsidP="009935F1">
      <w:pPr>
        <w:pBdr>
          <w:top w:val="single" w:sz="4" w:space="1" w:color="auto"/>
          <w:left w:val="single" w:sz="4" w:space="4" w:color="auto"/>
          <w:bottom w:val="single" w:sz="4" w:space="1" w:color="auto"/>
          <w:right w:val="single" w:sz="4" w:space="4" w:color="auto"/>
        </w:pBdr>
        <w:shd w:val="clear" w:color="auto" w:fill="D9D9D9"/>
        <w:jc w:val="both"/>
        <w:rPr>
          <w:rFonts w:ascii="Arial" w:hAnsi="Arial" w:cs="Arial"/>
          <w:b/>
          <w:bCs/>
          <w:lang w:eastAsia="en-US"/>
        </w:rPr>
      </w:pPr>
      <w:r>
        <w:rPr>
          <w:rFonts w:ascii="Arial" w:hAnsi="Arial" w:cs="Arial"/>
          <w:b/>
          <w:bCs/>
        </w:rPr>
        <w:t>7.5.1 Criterios de precio y financiación: Medicamento que presenta un valor terapéutico añadido respecto a la terapia de referencia.</w:t>
      </w:r>
      <w:r w:rsidR="00FE59AC">
        <w:rPr>
          <w:rFonts w:ascii="Arial" w:hAnsi="Arial" w:cs="Arial"/>
          <w:b/>
          <w:bCs/>
        </w:rPr>
        <w:fldChar w:fldCharType="begin"/>
      </w:r>
      <w:r>
        <w:instrText>xe "</w:instrText>
      </w:r>
      <w:r w:rsidRPr="00E568A3">
        <w:rPr>
          <w:rFonts w:ascii="Arial" w:hAnsi="Arial" w:cs="Arial"/>
          <w:b/>
          <w:bCs/>
        </w:rPr>
        <w:instrText>7.5.1 Criterios de precio y financiación\: Medicamento que presenta un valor terapéutico añadido respecto a la terapia de referencia.</w:instrText>
      </w:r>
      <w:r>
        <w:instrText>"</w:instrText>
      </w:r>
      <w:r w:rsidR="00FE59AC">
        <w:rPr>
          <w:rFonts w:ascii="Arial" w:hAnsi="Arial" w:cs="Arial"/>
          <w:b/>
          <w:bCs/>
        </w:rPr>
        <w:fldChar w:fldCharType="end"/>
      </w:r>
    </w:p>
    <w:p w:rsidR="007D48BC" w:rsidRDefault="007D48BC" w:rsidP="009935F1">
      <w:pPr>
        <w:rPr>
          <w:rFonts w:ascii="Arial" w:hAnsi="Arial" w:cs="Arial"/>
        </w:rPr>
      </w:pPr>
    </w:p>
    <w:tbl>
      <w:tblPr>
        <w:tblpPr w:leftFromText="141" w:rightFromText="141" w:vertAnchor="text" w:horzAnchor="margin" w:tblpY="39"/>
        <w:tblW w:w="8790" w:type="dxa"/>
        <w:tblLayout w:type="fixed"/>
        <w:tblCellMar>
          <w:left w:w="70" w:type="dxa"/>
          <w:right w:w="70" w:type="dxa"/>
        </w:tblCellMar>
        <w:tblLook w:val="00A0"/>
      </w:tblPr>
      <w:tblGrid>
        <w:gridCol w:w="1742"/>
        <w:gridCol w:w="1695"/>
        <w:gridCol w:w="1526"/>
        <w:gridCol w:w="2285"/>
        <w:gridCol w:w="1542"/>
      </w:tblGrid>
      <w:tr w:rsidR="007D48BC">
        <w:trPr>
          <w:trHeight w:val="510"/>
        </w:trPr>
        <w:tc>
          <w:tcPr>
            <w:tcW w:w="8790" w:type="dxa"/>
            <w:gridSpan w:val="5"/>
            <w:tcBorders>
              <w:top w:val="single" w:sz="4" w:space="0" w:color="auto"/>
              <w:left w:val="single" w:sz="4" w:space="0" w:color="auto"/>
              <w:bottom w:val="single" w:sz="4" w:space="0" w:color="auto"/>
              <w:right w:val="single" w:sz="4" w:space="0" w:color="auto"/>
            </w:tcBorders>
            <w:shd w:val="clear" w:color="auto" w:fill="B6DDE8"/>
            <w:vAlign w:val="center"/>
          </w:tcPr>
          <w:p w:rsidR="007D48BC" w:rsidRDefault="007D48BC">
            <w:pPr>
              <w:rPr>
                <w:rFonts w:ascii="Arial" w:hAnsi="Arial" w:cs="Arial"/>
                <w:b/>
                <w:bCs/>
              </w:rPr>
            </w:pPr>
            <w:r>
              <w:rPr>
                <w:rFonts w:ascii="Arial" w:hAnsi="Arial" w:cs="Arial"/>
                <w:b/>
                <w:bCs/>
              </w:rPr>
              <w:t xml:space="preserve">Tabla 22. Estimación del coste de adquisición máximo de medicamentos para no superar el umbral de coste-efectividad.         </w:t>
            </w:r>
          </w:p>
        </w:tc>
      </w:tr>
      <w:tr w:rsidR="007D48BC">
        <w:trPr>
          <w:trHeight w:val="255"/>
        </w:trPr>
        <w:tc>
          <w:tcPr>
            <w:tcW w:w="8790" w:type="dxa"/>
            <w:gridSpan w:val="5"/>
            <w:tcBorders>
              <w:top w:val="single" w:sz="4" w:space="0" w:color="auto"/>
              <w:left w:val="single" w:sz="4" w:space="0" w:color="auto"/>
              <w:bottom w:val="single" w:sz="4" w:space="0" w:color="auto"/>
              <w:right w:val="single" w:sz="4" w:space="0" w:color="auto"/>
            </w:tcBorders>
            <w:shd w:val="clear" w:color="auto" w:fill="B6DDE8"/>
            <w:vAlign w:val="center"/>
          </w:tcPr>
          <w:p w:rsidR="007D48BC" w:rsidRDefault="007D48BC" w:rsidP="00E6718A">
            <w:pPr>
              <w:tabs>
                <w:tab w:val="center" w:pos="4252"/>
                <w:tab w:val="right" w:pos="8504"/>
              </w:tabs>
              <w:jc w:val="both"/>
              <w:rPr>
                <w:rFonts w:ascii="Arial" w:hAnsi="Arial" w:cs="Arial"/>
                <w:b/>
                <w:bCs/>
                <w:lang w:val="zh-CN" w:eastAsia="zh-CN"/>
              </w:rPr>
            </w:pPr>
            <w:r>
              <w:rPr>
                <w:rFonts w:ascii="Arial" w:hAnsi="Arial" w:cs="Arial"/>
                <w:b/>
                <w:bCs/>
                <w:lang w:val="zh-CN" w:eastAsia="zh-CN"/>
              </w:rPr>
              <w:t xml:space="preserve">Medicamento e indicación: </w:t>
            </w:r>
            <w:r>
              <w:t xml:space="preserve"> </w:t>
            </w:r>
            <w:r w:rsidR="004C0178" w:rsidRPr="00BD244D">
              <w:rPr>
                <w:rFonts w:ascii="Arial" w:hAnsi="Arial" w:cs="Arial"/>
                <w:b/>
                <w:bCs/>
                <w:lang w:val="zh-CN" w:eastAsia="zh-CN"/>
              </w:rPr>
              <w:t xml:space="preserve"> Axicabtagen Ciloleucel </w:t>
            </w:r>
            <w:r w:rsidRPr="00BD244D">
              <w:rPr>
                <w:rFonts w:ascii="Arial" w:hAnsi="Arial" w:cs="Arial"/>
                <w:b/>
                <w:bCs/>
                <w:lang w:val="zh-CN" w:eastAsia="zh-CN"/>
              </w:rPr>
              <w:t xml:space="preserve"> en </w:t>
            </w:r>
            <w:r w:rsidR="008258E3">
              <w:rPr>
                <w:rFonts w:ascii="Arial" w:hAnsi="Arial" w:cs="Arial"/>
                <w:b/>
                <w:bCs/>
                <w:lang w:val="zh-CN" w:eastAsia="zh-CN"/>
              </w:rPr>
              <w:t>LDCBG</w:t>
            </w:r>
            <w:r w:rsidRPr="00BD244D">
              <w:rPr>
                <w:rFonts w:ascii="Arial" w:hAnsi="Arial" w:cs="Arial"/>
                <w:b/>
                <w:bCs/>
                <w:lang w:val="zh-CN" w:eastAsia="zh-CN"/>
              </w:rPr>
              <w:t xml:space="preserve"> R/R</w:t>
            </w:r>
          </w:p>
        </w:tc>
      </w:tr>
      <w:tr w:rsidR="007D48BC">
        <w:trPr>
          <w:trHeight w:val="574"/>
        </w:trPr>
        <w:tc>
          <w:tcPr>
            <w:tcW w:w="1742" w:type="dxa"/>
            <w:tcBorders>
              <w:top w:val="nil"/>
              <w:left w:val="single" w:sz="4" w:space="0" w:color="auto"/>
              <w:bottom w:val="single" w:sz="4" w:space="0" w:color="000000"/>
              <w:right w:val="single" w:sz="4" w:space="0" w:color="auto"/>
            </w:tcBorders>
            <w:shd w:val="clear" w:color="auto" w:fill="D9D9D9"/>
            <w:vAlign w:val="center"/>
          </w:tcPr>
          <w:p w:rsidR="007D48BC" w:rsidRDefault="007D48BC" w:rsidP="00E6718A">
            <w:pPr>
              <w:jc w:val="center"/>
              <w:rPr>
                <w:rFonts w:ascii="Arial" w:hAnsi="Arial" w:cs="Arial"/>
                <w:b/>
                <w:bCs/>
              </w:rPr>
            </w:pPr>
            <w:r>
              <w:rPr>
                <w:rFonts w:ascii="Arial" w:hAnsi="Arial" w:cs="Arial"/>
                <w:b/>
                <w:bCs/>
              </w:rPr>
              <w:t>A</w:t>
            </w:r>
            <w:r w:rsidRPr="008E713B">
              <w:rPr>
                <w:rFonts w:ascii="Arial" w:hAnsi="Arial" w:cs="Arial"/>
                <w:b/>
                <w:bCs/>
              </w:rPr>
              <w:t>xicabtagen ciloleucel</w:t>
            </w:r>
            <w:r>
              <w:rPr>
                <w:rFonts w:ascii="Arial" w:hAnsi="Arial" w:cs="Arial"/>
                <w:b/>
                <w:bCs/>
              </w:rPr>
              <w:t xml:space="preserve"> vs </w:t>
            </w:r>
            <w:r w:rsidRPr="001F344E">
              <w:rPr>
                <w:rFonts w:ascii="Arial" w:hAnsi="Arial" w:cs="Arial"/>
                <w:b/>
                <w:bCs/>
                <w:sz w:val="22"/>
                <w:szCs w:val="22"/>
              </w:rPr>
              <w:t xml:space="preserve"> </w:t>
            </w:r>
            <w:r>
              <w:rPr>
                <w:rFonts w:ascii="Arial" w:hAnsi="Arial" w:cs="Arial"/>
                <w:b/>
                <w:bCs/>
              </w:rPr>
              <w:t>Pixantrona</w:t>
            </w:r>
          </w:p>
          <w:p w:rsidR="007D48BC" w:rsidRDefault="007D48BC" w:rsidP="00E6718A">
            <w:pPr>
              <w:tabs>
                <w:tab w:val="center" w:pos="4252"/>
                <w:tab w:val="right" w:pos="8504"/>
              </w:tabs>
              <w:jc w:val="center"/>
              <w:rPr>
                <w:rFonts w:ascii="Arial" w:hAnsi="Arial" w:cs="Arial"/>
                <w:b/>
                <w:bCs/>
                <w:lang w:val="zh-CN" w:eastAsia="zh-CN"/>
              </w:rPr>
            </w:pPr>
          </w:p>
        </w:tc>
        <w:tc>
          <w:tcPr>
            <w:tcW w:w="1695" w:type="dxa"/>
            <w:tcBorders>
              <w:top w:val="nil"/>
              <w:left w:val="single" w:sz="4" w:space="0" w:color="auto"/>
              <w:bottom w:val="single" w:sz="4" w:space="0" w:color="auto"/>
              <w:right w:val="single" w:sz="4" w:space="0" w:color="auto"/>
            </w:tcBorders>
            <w:shd w:val="clear" w:color="auto" w:fill="D9D9D9"/>
            <w:vAlign w:val="center"/>
          </w:tcPr>
          <w:p w:rsidR="007D48BC" w:rsidRDefault="007D48BC" w:rsidP="00E6718A">
            <w:pPr>
              <w:tabs>
                <w:tab w:val="center" w:pos="4252"/>
                <w:tab w:val="right" w:pos="8504"/>
              </w:tabs>
              <w:jc w:val="center"/>
              <w:rPr>
                <w:rFonts w:ascii="Arial" w:hAnsi="Arial" w:cs="Arial"/>
                <w:lang w:val="zh-CN" w:eastAsia="zh-CN"/>
              </w:rPr>
            </w:pPr>
            <w:r>
              <w:rPr>
                <w:rFonts w:ascii="Arial" w:hAnsi="Arial" w:cs="Arial"/>
                <w:lang w:val="zh-CN" w:eastAsia="zh-CN"/>
              </w:rPr>
              <w:t>Coste de adquisición de una unidad empleado en los cálculos</w:t>
            </w:r>
          </w:p>
        </w:tc>
        <w:tc>
          <w:tcPr>
            <w:tcW w:w="1526" w:type="dxa"/>
            <w:tcBorders>
              <w:top w:val="nil"/>
              <w:left w:val="single" w:sz="4" w:space="0" w:color="auto"/>
              <w:bottom w:val="single" w:sz="4" w:space="0" w:color="auto"/>
              <w:right w:val="single" w:sz="4" w:space="0" w:color="auto"/>
            </w:tcBorders>
            <w:shd w:val="clear" w:color="auto" w:fill="D9D9D9"/>
            <w:vAlign w:val="center"/>
          </w:tcPr>
          <w:p w:rsidR="007D48BC" w:rsidRDefault="007D48BC" w:rsidP="00E6718A">
            <w:pPr>
              <w:tabs>
                <w:tab w:val="center" w:pos="4252"/>
                <w:tab w:val="right" w:pos="8504"/>
              </w:tabs>
              <w:jc w:val="center"/>
              <w:rPr>
                <w:rFonts w:ascii="Arial" w:hAnsi="Arial" w:cs="Arial"/>
                <w:lang w:val="zh-CN" w:eastAsia="zh-CN"/>
              </w:rPr>
            </w:pPr>
            <w:r>
              <w:rPr>
                <w:rFonts w:ascii="Arial" w:hAnsi="Arial" w:cs="Arial"/>
                <w:lang w:val="zh-CN" w:eastAsia="zh-CN"/>
              </w:rPr>
              <w:t>Coste total del tratamiento empleado en los cálculos</w:t>
            </w:r>
          </w:p>
        </w:tc>
        <w:tc>
          <w:tcPr>
            <w:tcW w:w="2285" w:type="dxa"/>
            <w:tcBorders>
              <w:top w:val="nil"/>
              <w:left w:val="nil"/>
              <w:bottom w:val="single" w:sz="4" w:space="0" w:color="auto"/>
              <w:right w:val="single" w:sz="4" w:space="0" w:color="auto"/>
            </w:tcBorders>
            <w:shd w:val="clear" w:color="auto" w:fill="D9D9D9"/>
            <w:vAlign w:val="center"/>
          </w:tcPr>
          <w:p w:rsidR="007D48BC" w:rsidRDefault="007D48BC" w:rsidP="00E6718A">
            <w:pPr>
              <w:tabs>
                <w:tab w:val="center" w:pos="4252"/>
                <w:tab w:val="right" w:pos="8504"/>
              </w:tabs>
              <w:jc w:val="center"/>
              <w:rPr>
                <w:rFonts w:ascii="Arial" w:hAnsi="Arial" w:cs="Arial"/>
              </w:rPr>
            </w:pPr>
            <w:r>
              <w:rPr>
                <w:rFonts w:ascii="Arial" w:hAnsi="Arial" w:cs="Arial"/>
                <w:lang w:val="zh-CN" w:eastAsia="zh-CN"/>
              </w:rPr>
              <w:t>Coste máximo del tratamiento</w:t>
            </w:r>
            <w:r>
              <w:rPr>
                <w:rFonts w:ascii="Arial" w:hAnsi="Arial" w:cs="Arial"/>
                <w:lang w:eastAsia="zh-CN"/>
              </w:rPr>
              <w:t xml:space="preserve"> con el medicamento</w:t>
            </w:r>
            <w:r>
              <w:rPr>
                <w:rFonts w:ascii="Arial" w:hAnsi="Arial" w:cs="Arial"/>
                <w:lang w:val="zh-CN" w:eastAsia="zh-CN"/>
              </w:rPr>
              <w:t xml:space="preserve"> según umbral</w:t>
            </w:r>
            <w:r>
              <w:rPr>
                <w:rFonts w:ascii="Arial" w:hAnsi="Arial" w:cs="Arial"/>
              </w:rPr>
              <w:t xml:space="preserve"> d</w:t>
            </w:r>
            <w:r>
              <w:rPr>
                <w:rFonts w:ascii="Arial" w:hAnsi="Arial" w:cs="Arial"/>
                <w:lang w:val="zh-CN" w:eastAsia="zh-CN"/>
              </w:rPr>
              <w:t>e</w:t>
            </w:r>
            <w:r>
              <w:rPr>
                <w:rFonts w:ascii="Arial" w:hAnsi="Arial" w:cs="Arial"/>
                <w:lang w:eastAsia="zh-CN"/>
              </w:rPr>
              <w:t xml:space="preserve"> </w:t>
            </w:r>
            <w:r>
              <w:rPr>
                <w:rFonts w:ascii="Arial" w:hAnsi="Arial" w:cs="Arial"/>
                <w:lang w:val="zh-CN" w:eastAsia="zh-CN"/>
              </w:rPr>
              <w:t>referencia en nuestro ámbito</w:t>
            </w:r>
            <w:r>
              <w:rPr>
                <w:rFonts w:ascii="Arial" w:hAnsi="Arial" w:cs="Arial"/>
              </w:rPr>
              <w:t xml:space="preserve">: </w:t>
            </w:r>
            <w:r>
              <w:rPr>
                <w:rFonts w:ascii="Arial" w:hAnsi="Arial" w:cs="Arial"/>
                <w:lang w:val="zh-CN" w:eastAsia="zh-CN"/>
              </w:rPr>
              <w:t>(21.000 €/AVAC)</w:t>
            </w:r>
          </w:p>
        </w:tc>
        <w:tc>
          <w:tcPr>
            <w:tcW w:w="1542" w:type="dxa"/>
            <w:tcBorders>
              <w:top w:val="nil"/>
              <w:left w:val="single" w:sz="4" w:space="0" w:color="auto"/>
              <w:bottom w:val="single" w:sz="4" w:space="0" w:color="auto"/>
              <w:right w:val="single" w:sz="4" w:space="0" w:color="auto"/>
            </w:tcBorders>
            <w:shd w:val="clear" w:color="auto" w:fill="D9D9D9"/>
            <w:vAlign w:val="center"/>
          </w:tcPr>
          <w:p w:rsidR="007D48BC" w:rsidRDefault="007D48BC" w:rsidP="00E6718A">
            <w:pPr>
              <w:tabs>
                <w:tab w:val="center" w:pos="4252"/>
                <w:tab w:val="right" w:pos="8504"/>
              </w:tabs>
              <w:jc w:val="center"/>
              <w:rPr>
                <w:rFonts w:ascii="Arial" w:hAnsi="Arial" w:cs="Arial"/>
                <w:lang w:val="zh-CN" w:eastAsia="zh-CN"/>
              </w:rPr>
            </w:pPr>
            <w:r>
              <w:rPr>
                <w:rFonts w:ascii="Arial" w:hAnsi="Arial" w:cs="Arial"/>
                <w:lang w:val="zh-CN" w:eastAsia="zh-CN"/>
              </w:rPr>
              <w:t>Coste máximo de una unidad</w:t>
            </w:r>
          </w:p>
        </w:tc>
      </w:tr>
      <w:tr w:rsidR="007D48BC" w:rsidRPr="00153F7E">
        <w:trPr>
          <w:trHeight w:val="645"/>
        </w:trPr>
        <w:tc>
          <w:tcPr>
            <w:tcW w:w="1742" w:type="dxa"/>
            <w:tcBorders>
              <w:top w:val="nil"/>
              <w:left w:val="single" w:sz="4" w:space="0" w:color="auto"/>
              <w:right w:val="single" w:sz="4" w:space="0" w:color="auto"/>
            </w:tcBorders>
            <w:vAlign w:val="center"/>
          </w:tcPr>
          <w:p w:rsidR="007D48BC" w:rsidRDefault="007D48BC" w:rsidP="00E6718A">
            <w:pPr>
              <w:jc w:val="center"/>
              <w:rPr>
                <w:rFonts w:ascii="Arial" w:hAnsi="Arial" w:cs="Arial"/>
              </w:rPr>
            </w:pPr>
            <w:r w:rsidRPr="004D0669">
              <w:rPr>
                <w:rFonts w:ascii="Arial" w:hAnsi="Arial" w:cs="Arial"/>
                <w:sz w:val="16"/>
                <w:szCs w:val="16"/>
              </w:rPr>
              <w:t xml:space="preserve">Yescarta® bolsa para perfusión única </w:t>
            </w:r>
          </w:p>
        </w:tc>
        <w:tc>
          <w:tcPr>
            <w:tcW w:w="1695" w:type="dxa"/>
            <w:tcBorders>
              <w:top w:val="nil"/>
              <w:left w:val="nil"/>
              <w:bottom w:val="nil"/>
              <w:right w:val="single" w:sz="4" w:space="0" w:color="auto"/>
            </w:tcBorders>
            <w:vAlign w:val="center"/>
          </w:tcPr>
          <w:p w:rsidR="007D48BC" w:rsidRDefault="007D48BC" w:rsidP="00E6718A">
            <w:pPr>
              <w:jc w:val="center"/>
              <w:rPr>
                <w:rFonts w:ascii="Arial" w:hAnsi="Arial" w:cs="Arial"/>
                <w:b/>
                <w:bCs/>
                <w:lang w:eastAsia="en-US"/>
              </w:rPr>
            </w:pPr>
            <w:r w:rsidRPr="00B6598A">
              <w:rPr>
                <w:rFonts w:ascii="Arial" w:hAnsi="Arial" w:cs="Arial"/>
                <w:b/>
                <w:bCs/>
                <w:lang w:eastAsia="en-US"/>
              </w:rPr>
              <w:t>418.214 €</w:t>
            </w:r>
          </w:p>
          <w:p w:rsidR="007D48BC" w:rsidRPr="00B6598A" w:rsidRDefault="007D48BC" w:rsidP="00E6718A">
            <w:pPr>
              <w:jc w:val="center"/>
              <w:rPr>
                <w:rFonts w:ascii="Arial" w:hAnsi="Arial" w:cs="Arial"/>
                <w:b/>
                <w:bCs/>
                <w:lang w:eastAsia="en-US"/>
              </w:rPr>
            </w:pPr>
          </w:p>
        </w:tc>
        <w:tc>
          <w:tcPr>
            <w:tcW w:w="1526" w:type="dxa"/>
            <w:tcBorders>
              <w:top w:val="nil"/>
              <w:left w:val="nil"/>
              <w:right w:val="single" w:sz="4" w:space="0" w:color="auto"/>
            </w:tcBorders>
            <w:vAlign w:val="center"/>
          </w:tcPr>
          <w:p w:rsidR="007D48BC" w:rsidRDefault="007D48BC" w:rsidP="00E6718A">
            <w:pPr>
              <w:jc w:val="center"/>
              <w:rPr>
                <w:rFonts w:ascii="Arial" w:hAnsi="Arial" w:cs="Arial"/>
                <w:b/>
                <w:bCs/>
                <w:lang w:eastAsia="en-US"/>
              </w:rPr>
            </w:pPr>
            <w:r w:rsidRPr="00B6598A">
              <w:rPr>
                <w:rFonts w:ascii="Arial" w:hAnsi="Arial" w:cs="Arial"/>
                <w:b/>
                <w:bCs/>
                <w:lang w:eastAsia="en-US"/>
              </w:rPr>
              <w:t>439.874,51 €</w:t>
            </w:r>
          </w:p>
          <w:p w:rsidR="007D48BC" w:rsidRPr="00B6598A" w:rsidRDefault="007D48BC" w:rsidP="00E6718A">
            <w:pPr>
              <w:jc w:val="center"/>
              <w:rPr>
                <w:rFonts w:ascii="Arial" w:hAnsi="Arial" w:cs="Arial"/>
                <w:b/>
                <w:bCs/>
                <w:lang w:eastAsia="en-US"/>
              </w:rPr>
            </w:pPr>
          </w:p>
        </w:tc>
        <w:tc>
          <w:tcPr>
            <w:tcW w:w="2285" w:type="dxa"/>
            <w:vMerge w:val="restart"/>
            <w:tcBorders>
              <w:top w:val="nil"/>
              <w:left w:val="nil"/>
              <w:right w:val="single" w:sz="4" w:space="0" w:color="auto"/>
            </w:tcBorders>
            <w:vAlign w:val="center"/>
          </w:tcPr>
          <w:p w:rsidR="007D48BC" w:rsidRPr="007F2D12" w:rsidRDefault="009C2ABC" w:rsidP="00E6718A">
            <w:pPr>
              <w:jc w:val="center"/>
              <w:rPr>
                <w:rFonts w:ascii="Arial" w:hAnsi="Arial" w:cs="Arial"/>
                <w:b/>
                <w:bCs/>
              </w:rPr>
            </w:pPr>
            <w:r w:rsidRPr="007F2D12">
              <w:rPr>
                <w:rFonts w:ascii="Arial" w:hAnsi="Arial" w:cs="Arial"/>
                <w:b/>
                <w:bCs/>
              </w:rPr>
              <w:t>33.274</w:t>
            </w:r>
            <w:r w:rsidR="007D48BC" w:rsidRPr="007F2D12">
              <w:rPr>
                <w:rFonts w:ascii="Arial" w:hAnsi="Arial" w:cs="Arial"/>
                <w:b/>
                <w:bCs/>
              </w:rPr>
              <w:t xml:space="preserve"> </w:t>
            </w:r>
            <w:r w:rsidR="007D48BC" w:rsidRPr="007F2D12">
              <w:rPr>
                <w:rFonts w:ascii="Arial" w:hAnsi="Arial" w:cs="Arial"/>
                <w:b/>
                <w:bCs/>
                <w:lang w:eastAsia="en-US"/>
              </w:rPr>
              <w:t>€</w:t>
            </w:r>
          </w:p>
        </w:tc>
        <w:tc>
          <w:tcPr>
            <w:tcW w:w="1542" w:type="dxa"/>
            <w:vMerge w:val="restart"/>
            <w:tcBorders>
              <w:top w:val="nil"/>
              <w:left w:val="nil"/>
              <w:right w:val="single" w:sz="4" w:space="0" w:color="auto"/>
            </w:tcBorders>
            <w:vAlign w:val="center"/>
          </w:tcPr>
          <w:p w:rsidR="007D48BC" w:rsidRPr="007F2D12" w:rsidRDefault="009C2ABC" w:rsidP="00E6718A">
            <w:pPr>
              <w:jc w:val="center"/>
              <w:rPr>
                <w:rFonts w:ascii="Arial" w:hAnsi="Arial" w:cs="Arial"/>
                <w:b/>
                <w:bCs/>
              </w:rPr>
            </w:pPr>
            <w:r w:rsidRPr="007F2D12">
              <w:rPr>
                <w:rFonts w:ascii="Arial" w:hAnsi="Arial" w:cs="Arial"/>
                <w:b/>
                <w:bCs/>
              </w:rPr>
              <w:t>33.274</w:t>
            </w:r>
            <w:r w:rsidR="007D48BC" w:rsidRPr="007F2D12">
              <w:rPr>
                <w:rFonts w:ascii="Arial" w:hAnsi="Arial" w:cs="Arial"/>
                <w:b/>
                <w:bCs/>
              </w:rPr>
              <w:t xml:space="preserve"> </w:t>
            </w:r>
            <w:r w:rsidR="007D48BC" w:rsidRPr="007F2D12">
              <w:rPr>
                <w:rFonts w:ascii="Arial" w:hAnsi="Arial" w:cs="Arial"/>
                <w:b/>
                <w:bCs/>
                <w:lang w:eastAsia="en-US"/>
              </w:rPr>
              <w:t>€</w:t>
            </w:r>
          </w:p>
        </w:tc>
      </w:tr>
      <w:tr w:rsidR="007D48BC" w:rsidRPr="00153F7E">
        <w:trPr>
          <w:trHeight w:val="644"/>
        </w:trPr>
        <w:tc>
          <w:tcPr>
            <w:tcW w:w="1742" w:type="dxa"/>
            <w:tcBorders>
              <w:left w:val="single" w:sz="4" w:space="0" w:color="auto"/>
              <w:bottom w:val="single" w:sz="4" w:space="0" w:color="auto"/>
              <w:right w:val="single" w:sz="4" w:space="0" w:color="auto"/>
            </w:tcBorders>
            <w:vAlign w:val="center"/>
          </w:tcPr>
          <w:p w:rsidR="007D48BC" w:rsidRPr="004D0669" w:rsidRDefault="007D48BC" w:rsidP="00E6718A">
            <w:pPr>
              <w:jc w:val="center"/>
              <w:rPr>
                <w:rFonts w:ascii="Arial" w:hAnsi="Arial" w:cs="Arial"/>
                <w:sz w:val="16"/>
                <w:szCs w:val="16"/>
              </w:rPr>
            </w:pPr>
            <w:r w:rsidRPr="00D521D5">
              <w:rPr>
                <w:rFonts w:ascii="Arial" w:hAnsi="Arial" w:cs="Arial"/>
                <w:sz w:val="16"/>
                <w:szCs w:val="16"/>
              </w:rPr>
              <w:t>Pixuvri</w:t>
            </w:r>
            <w:r w:rsidRPr="004D0669">
              <w:rPr>
                <w:rFonts w:ascii="Arial" w:hAnsi="Arial" w:cs="Arial"/>
                <w:sz w:val="16"/>
                <w:szCs w:val="16"/>
              </w:rPr>
              <w:t xml:space="preserve">® </w:t>
            </w:r>
            <w:r w:rsidRPr="00D521D5">
              <w:rPr>
                <w:rFonts w:ascii="Arial" w:hAnsi="Arial" w:cs="Arial"/>
                <w:sz w:val="16"/>
                <w:szCs w:val="16"/>
              </w:rPr>
              <w:t>29mg pol</w:t>
            </w:r>
            <w:r>
              <w:rPr>
                <w:rFonts w:ascii="Arial" w:hAnsi="Arial" w:cs="Arial"/>
                <w:sz w:val="16"/>
                <w:szCs w:val="16"/>
              </w:rPr>
              <w:t>vo para concentrado para solución</w:t>
            </w:r>
          </w:p>
        </w:tc>
        <w:tc>
          <w:tcPr>
            <w:tcW w:w="1695" w:type="dxa"/>
            <w:tcBorders>
              <w:top w:val="nil"/>
              <w:left w:val="nil"/>
              <w:bottom w:val="single" w:sz="4" w:space="0" w:color="auto"/>
              <w:right w:val="single" w:sz="4" w:space="0" w:color="auto"/>
            </w:tcBorders>
            <w:vAlign w:val="center"/>
          </w:tcPr>
          <w:p w:rsidR="007D48BC" w:rsidRPr="00B6598A" w:rsidRDefault="007D48BC" w:rsidP="00E6718A">
            <w:pPr>
              <w:jc w:val="center"/>
              <w:rPr>
                <w:rFonts w:ascii="Arial" w:hAnsi="Arial" w:cs="Arial"/>
                <w:b/>
                <w:bCs/>
                <w:lang w:eastAsia="en-US"/>
              </w:rPr>
            </w:pPr>
            <w:r>
              <w:rPr>
                <w:rFonts w:ascii="Arial" w:hAnsi="Arial" w:cs="Arial"/>
                <w:b/>
                <w:bCs/>
                <w:lang w:eastAsia="en-US"/>
              </w:rPr>
              <w:t xml:space="preserve">679.17 </w:t>
            </w:r>
            <w:r w:rsidRPr="00B6598A">
              <w:rPr>
                <w:rFonts w:ascii="Arial" w:hAnsi="Arial" w:cs="Arial"/>
                <w:b/>
                <w:bCs/>
                <w:lang w:eastAsia="en-US"/>
              </w:rPr>
              <w:t>€</w:t>
            </w:r>
          </w:p>
        </w:tc>
        <w:tc>
          <w:tcPr>
            <w:tcW w:w="1526" w:type="dxa"/>
            <w:tcBorders>
              <w:left w:val="nil"/>
              <w:bottom w:val="single" w:sz="4" w:space="0" w:color="auto"/>
              <w:right w:val="single" w:sz="4" w:space="0" w:color="auto"/>
            </w:tcBorders>
            <w:vAlign w:val="center"/>
          </w:tcPr>
          <w:p w:rsidR="007D48BC" w:rsidRPr="00B6598A" w:rsidRDefault="007D48BC" w:rsidP="00E6718A">
            <w:pPr>
              <w:jc w:val="center"/>
              <w:rPr>
                <w:rFonts w:ascii="Arial" w:hAnsi="Arial" w:cs="Arial"/>
                <w:b/>
                <w:bCs/>
                <w:lang w:eastAsia="en-US"/>
              </w:rPr>
            </w:pPr>
            <w:r>
              <w:rPr>
                <w:rFonts w:ascii="Arial" w:hAnsi="Arial" w:cs="Arial"/>
                <w:b/>
                <w:bCs/>
                <w:lang w:eastAsia="en-US"/>
              </w:rPr>
              <w:t>41.285</w:t>
            </w:r>
            <w:r w:rsidRPr="00B6598A">
              <w:rPr>
                <w:rFonts w:ascii="Arial" w:hAnsi="Arial" w:cs="Arial"/>
                <w:b/>
                <w:bCs/>
                <w:lang w:eastAsia="en-US"/>
              </w:rPr>
              <w:t xml:space="preserve"> €</w:t>
            </w:r>
          </w:p>
        </w:tc>
        <w:tc>
          <w:tcPr>
            <w:tcW w:w="2285" w:type="dxa"/>
            <w:vMerge/>
            <w:tcBorders>
              <w:left w:val="nil"/>
              <w:bottom w:val="single" w:sz="4" w:space="0" w:color="auto"/>
              <w:right w:val="single" w:sz="4" w:space="0" w:color="auto"/>
            </w:tcBorders>
            <w:vAlign w:val="center"/>
          </w:tcPr>
          <w:p w:rsidR="007D48BC" w:rsidRDefault="007D48BC" w:rsidP="00E6718A">
            <w:pPr>
              <w:jc w:val="center"/>
              <w:rPr>
                <w:rFonts w:ascii="Arial" w:hAnsi="Arial" w:cs="Arial"/>
                <w:b/>
                <w:bCs/>
              </w:rPr>
            </w:pPr>
          </w:p>
        </w:tc>
        <w:tc>
          <w:tcPr>
            <w:tcW w:w="1542" w:type="dxa"/>
            <w:vMerge/>
            <w:tcBorders>
              <w:left w:val="nil"/>
              <w:bottom w:val="single" w:sz="4" w:space="0" w:color="auto"/>
              <w:right w:val="single" w:sz="4" w:space="0" w:color="auto"/>
            </w:tcBorders>
            <w:vAlign w:val="center"/>
          </w:tcPr>
          <w:p w:rsidR="007D48BC" w:rsidRDefault="007D48BC" w:rsidP="00E6718A">
            <w:pPr>
              <w:jc w:val="center"/>
              <w:rPr>
                <w:rFonts w:ascii="Arial" w:hAnsi="Arial" w:cs="Arial"/>
                <w:b/>
                <w:bCs/>
              </w:rPr>
            </w:pPr>
          </w:p>
        </w:tc>
      </w:tr>
    </w:tbl>
    <w:p w:rsidR="007D48BC" w:rsidRDefault="007D48BC" w:rsidP="00BD244D">
      <w:pPr>
        <w:jc w:val="both"/>
        <w:rPr>
          <w:rFonts w:ascii="Arial" w:hAnsi="Arial" w:cs="Arial"/>
        </w:rPr>
      </w:pPr>
    </w:p>
    <w:p w:rsidR="007D48BC" w:rsidRPr="0025168B" w:rsidRDefault="007F2D12" w:rsidP="0025168B">
      <w:pPr>
        <w:spacing w:line="360" w:lineRule="auto"/>
        <w:jc w:val="both"/>
        <w:rPr>
          <w:rFonts w:ascii="Arial" w:hAnsi="Arial" w:cs="Arial"/>
        </w:rPr>
      </w:pPr>
      <w:r>
        <w:rPr>
          <w:rFonts w:ascii="Arial" w:hAnsi="Arial" w:cs="Arial"/>
        </w:rPr>
        <w:t>Según esta estimación, el precio máximo de una unidad debería rondar los 30.000€, muy alejada del precio disponible en el mercado de EEUU</w:t>
      </w:r>
    </w:p>
    <w:p w:rsidR="007D48BC" w:rsidRDefault="007D48BC" w:rsidP="00BD244D">
      <w:pPr>
        <w:jc w:val="both"/>
        <w:rPr>
          <w:rFonts w:ascii="Arial" w:hAnsi="Arial" w:cs="Arial"/>
        </w:rPr>
      </w:pPr>
    </w:p>
    <w:tbl>
      <w:tblPr>
        <w:tblW w:w="8790" w:type="dxa"/>
        <w:tblInd w:w="-68" w:type="dxa"/>
        <w:tblLayout w:type="fixed"/>
        <w:tblCellMar>
          <w:left w:w="70" w:type="dxa"/>
          <w:right w:w="70" w:type="dxa"/>
        </w:tblCellMar>
        <w:tblLook w:val="00A0"/>
      </w:tblPr>
      <w:tblGrid>
        <w:gridCol w:w="2411"/>
        <w:gridCol w:w="2126"/>
        <w:gridCol w:w="2126"/>
        <w:gridCol w:w="2127"/>
      </w:tblGrid>
      <w:tr w:rsidR="007D48BC">
        <w:trPr>
          <w:trHeight w:val="465"/>
        </w:trPr>
        <w:tc>
          <w:tcPr>
            <w:tcW w:w="8790" w:type="dxa"/>
            <w:gridSpan w:val="4"/>
            <w:tcBorders>
              <w:top w:val="single" w:sz="4" w:space="0" w:color="auto"/>
              <w:left w:val="single" w:sz="4" w:space="0" w:color="auto"/>
              <w:bottom w:val="single" w:sz="4" w:space="0" w:color="auto"/>
              <w:right w:val="single" w:sz="4" w:space="0" w:color="000000"/>
            </w:tcBorders>
            <w:shd w:val="clear" w:color="auto" w:fill="B6DDE8"/>
            <w:vAlign w:val="center"/>
          </w:tcPr>
          <w:p w:rsidR="007D48BC" w:rsidRDefault="007D48BC">
            <w:pPr>
              <w:rPr>
                <w:rFonts w:ascii="Arial" w:hAnsi="Arial" w:cs="Arial"/>
                <w:b/>
                <w:bCs/>
              </w:rPr>
            </w:pPr>
            <w:r>
              <w:rPr>
                <w:rFonts w:ascii="Arial" w:hAnsi="Arial" w:cs="Arial"/>
                <w:b/>
                <w:bCs/>
              </w:rPr>
              <w:t xml:space="preserve">Tabla 7.5.1.3. Estimación del precio de adquisición máximo del medicamento para no superar los umbrales de CEI.       </w:t>
            </w:r>
          </w:p>
        </w:tc>
      </w:tr>
      <w:tr w:rsidR="007D48BC">
        <w:trPr>
          <w:trHeight w:val="405"/>
        </w:trPr>
        <w:tc>
          <w:tcPr>
            <w:tcW w:w="8790" w:type="dxa"/>
            <w:gridSpan w:val="4"/>
            <w:tcBorders>
              <w:top w:val="single" w:sz="4" w:space="0" w:color="auto"/>
              <w:left w:val="single" w:sz="4" w:space="0" w:color="auto"/>
              <w:bottom w:val="single" w:sz="4" w:space="0" w:color="auto"/>
              <w:right w:val="single" w:sz="4" w:space="0" w:color="000000"/>
            </w:tcBorders>
            <w:shd w:val="clear" w:color="auto" w:fill="B6DDE8"/>
            <w:vAlign w:val="center"/>
          </w:tcPr>
          <w:p w:rsidR="007D48BC" w:rsidRDefault="007D48BC">
            <w:pPr>
              <w:rPr>
                <w:rFonts w:ascii="Arial" w:hAnsi="Arial" w:cs="Arial"/>
                <w:b/>
                <w:bCs/>
              </w:rPr>
            </w:pPr>
            <w:r>
              <w:rPr>
                <w:rFonts w:ascii="Arial" w:hAnsi="Arial" w:cs="Arial"/>
                <w:b/>
                <w:bCs/>
              </w:rPr>
              <w:t>Análisis basal y análisis de sensibilidad para aplicar en la fórmula de la tabla anterior 7.5.1.2</w:t>
            </w:r>
          </w:p>
        </w:tc>
      </w:tr>
      <w:tr w:rsidR="007D48BC" w:rsidRPr="0078667C">
        <w:trPr>
          <w:trHeight w:val="480"/>
        </w:trPr>
        <w:tc>
          <w:tcPr>
            <w:tcW w:w="2411" w:type="dxa"/>
            <w:vMerge w:val="restart"/>
            <w:tcBorders>
              <w:top w:val="nil"/>
              <w:left w:val="single" w:sz="4" w:space="0" w:color="auto"/>
              <w:bottom w:val="single" w:sz="4" w:space="0" w:color="auto"/>
              <w:right w:val="single" w:sz="4" w:space="0" w:color="auto"/>
            </w:tcBorders>
            <w:shd w:val="clear" w:color="auto" w:fill="D9D9D9"/>
            <w:vAlign w:val="center"/>
          </w:tcPr>
          <w:p w:rsidR="007D48BC" w:rsidRDefault="007D48BC" w:rsidP="006D0BA8">
            <w:pPr>
              <w:jc w:val="center"/>
              <w:rPr>
                <w:rFonts w:ascii="Arial" w:hAnsi="Arial" w:cs="Arial"/>
                <w:b/>
                <w:bCs/>
              </w:rPr>
            </w:pPr>
            <w:r>
              <w:rPr>
                <w:rFonts w:ascii="Arial" w:hAnsi="Arial" w:cs="Arial"/>
                <w:b/>
                <w:bCs/>
              </w:rPr>
              <w:t>A</w:t>
            </w:r>
            <w:r w:rsidRPr="008E713B">
              <w:rPr>
                <w:rFonts w:ascii="Arial" w:hAnsi="Arial" w:cs="Arial"/>
                <w:b/>
                <w:bCs/>
              </w:rPr>
              <w:t>xicabtagen ciloleucel</w:t>
            </w:r>
            <w:r>
              <w:rPr>
                <w:rFonts w:ascii="Arial" w:hAnsi="Arial" w:cs="Arial"/>
                <w:b/>
                <w:bCs/>
              </w:rPr>
              <w:t xml:space="preserve"> vs </w:t>
            </w:r>
            <w:r w:rsidRPr="001F344E">
              <w:rPr>
                <w:rFonts w:ascii="Arial" w:hAnsi="Arial" w:cs="Arial"/>
                <w:b/>
                <w:bCs/>
                <w:sz w:val="22"/>
                <w:szCs w:val="22"/>
              </w:rPr>
              <w:t xml:space="preserve"> </w:t>
            </w:r>
            <w:r>
              <w:rPr>
                <w:rFonts w:ascii="Arial" w:hAnsi="Arial" w:cs="Arial"/>
                <w:b/>
                <w:bCs/>
              </w:rPr>
              <w:t>Pixantrona</w:t>
            </w:r>
          </w:p>
          <w:p w:rsidR="007D48BC" w:rsidRDefault="007D48BC" w:rsidP="00E6718A">
            <w:pPr>
              <w:jc w:val="center"/>
            </w:pPr>
            <w:r>
              <w:t> </w:t>
            </w:r>
          </w:p>
        </w:tc>
        <w:tc>
          <w:tcPr>
            <w:tcW w:w="2126" w:type="dxa"/>
            <w:tcBorders>
              <w:top w:val="nil"/>
              <w:left w:val="nil"/>
              <w:bottom w:val="single" w:sz="4" w:space="0" w:color="auto"/>
              <w:right w:val="single" w:sz="4" w:space="0" w:color="auto"/>
            </w:tcBorders>
            <w:shd w:val="clear" w:color="auto" w:fill="D9D9D9"/>
            <w:vAlign w:val="center"/>
          </w:tcPr>
          <w:p w:rsidR="007D48BC" w:rsidRDefault="007D48BC" w:rsidP="00E6718A">
            <w:pPr>
              <w:jc w:val="center"/>
              <w:rPr>
                <w:rFonts w:ascii="Arial" w:hAnsi="Arial" w:cs="Arial"/>
                <w:b/>
                <w:bCs/>
                <w:sz w:val="18"/>
                <w:szCs w:val="18"/>
              </w:rPr>
            </w:pPr>
            <w:r>
              <w:rPr>
                <w:rFonts w:ascii="Arial" w:hAnsi="Arial" w:cs="Arial"/>
                <w:b/>
                <w:bCs/>
                <w:sz w:val="18"/>
                <w:szCs w:val="18"/>
              </w:rPr>
              <w:t>Referencia base</w:t>
            </w:r>
          </w:p>
        </w:tc>
        <w:tc>
          <w:tcPr>
            <w:tcW w:w="2126" w:type="dxa"/>
            <w:tcBorders>
              <w:top w:val="nil"/>
              <w:left w:val="nil"/>
              <w:bottom w:val="single" w:sz="4" w:space="0" w:color="auto"/>
              <w:right w:val="single" w:sz="4" w:space="0" w:color="auto"/>
            </w:tcBorders>
            <w:shd w:val="clear" w:color="auto" w:fill="D9D9D9"/>
            <w:vAlign w:val="center"/>
          </w:tcPr>
          <w:p w:rsidR="007D48BC" w:rsidRDefault="007D48BC" w:rsidP="00E6718A">
            <w:pPr>
              <w:jc w:val="center"/>
              <w:rPr>
                <w:rFonts w:ascii="Arial" w:hAnsi="Arial" w:cs="Arial"/>
                <w:b/>
                <w:bCs/>
                <w:sz w:val="18"/>
                <w:szCs w:val="18"/>
              </w:rPr>
            </w:pPr>
            <w:r>
              <w:rPr>
                <w:rFonts w:ascii="Arial" w:hAnsi="Arial" w:cs="Arial"/>
                <w:b/>
                <w:bCs/>
                <w:sz w:val="18"/>
                <w:szCs w:val="18"/>
              </w:rPr>
              <w:t>Análisis de sensibilidad</w:t>
            </w:r>
          </w:p>
        </w:tc>
        <w:tc>
          <w:tcPr>
            <w:tcW w:w="2127" w:type="dxa"/>
            <w:tcBorders>
              <w:top w:val="nil"/>
              <w:left w:val="nil"/>
              <w:bottom w:val="single" w:sz="4" w:space="0" w:color="auto"/>
              <w:right w:val="single" w:sz="4" w:space="0" w:color="auto"/>
            </w:tcBorders>
            <w:shd w:val="clear" w:color="auto" w:fill="D9D9D9"/>
            <w:vAlign w:val="center"/>
          </w:tcPr>
          <w:p w:rsidR="007D48BC" w:rsidRDefault="007D48BC" w:rsidP="00E6718A">
            <w:pPr>
              <w:jc w:val="center"/>
              <w:rPr>
                <w:rFonts w:ascii="Arial" w:hAnsi="Arial" w:cs="Arial"/>
                <w:b/>
                <w:bCs/>
                <w:sz w:val="18"/>
                <w:szCs w:val="18"/>
              </w:rPr>
            </w:pPr>
            <w:r>
              <w:rPr>
                <w:rFonts w:ascii="Arial" w:hAnsi="Arial" w:cs="Arial"/>
                <w:b/>
                <w:bCs/>
                <w:sz w:val="18"/>
                <w:szCs w:val="18"/>
              </w:rPr>
              <w:t>Análisis de sensibilidad</w:t>
            </w:r>
          </w:p>
        </w:tc>
      </w:tr>
      <w:tr w:rsidR="007D48BC" w:rsidRPr="0078667C">
        <w:trPr>
          <w:trHeight w:val="480"/>
        </w:trPr>
        <w:tc>
          <w:tcPr>
            <w:tcW w:w="2411" w:type="dxa"/>
            <w:vMerge/>
            <w:tcBorders>
              <w:top w:val="nil"/>
              <w:left w:val="single" w:sz="4" w:space="0" w:color="auto"/>
              <w:bottom w:val="single" w:sz="4" w:space="0" w:color="auto"/>
              <w:right w:val="single" w:sz="4" w:space="0" w:color="auto"/>
            </w:tcBorders>
            <w:vAlign w:val="center"/>
          </w:tcPr>
          <w:p w:rsidR="007D48BC" w:rsidRDefault="007D48BC" w:rsidP="00E6718A"/>
        </w:tc>
        <w:tc>
          <w:tcPr>
            <w:tcW w:w="2126" w:type="dxa"/>
            <w:tcBorders>
              <w:top w:val="nil"/>
              <w:left w:val="nil"/>
              <w:bottom w:val="single" w:sz="4" w:space="0" w:color="auto"/>
              <w:right w:val="single" w:sz="4" w:space="0" w:color="auto"/>
            </w:tcBorders>
            <w:shd w:val="clear" w:color="auto" w:fill="D9D9D9"/>
            <w:vAlign w:val="center"/>
          </w:tcPr>
          <w:p w:rsidR="007D48BC" w:rsidRDefault="007D48BC" w:rsidP="00E6718A">
            <w:pPr>
              <w:jc w:val="center"/>
              <w:rPr>
                <w:rFonts w:ascii="Arial" w:hAnsi="Arial" w:cs="Arial"/>
                <w:sz w:val="18"/>
                <w:szCs w:val="18"/>
              </w:rPr>
            </w:pPr>
            <w:r>
              <w:rPr>
                <w:rFonts w:ascii="Arial" w:hAnsi="Arial" w:cs="Arial"/>
                <w:sz w:val="18"/>
                <w:szCs w:val="18"/>
              </w:rPr>
              <w:t>Umbral de CEI base:</w:t>
            </w:r>
          </w:p>
        </w:tc>
        <w:tc>
          <w:tcPr>
            <w:tcW w:w="2126" w:type="dxa"/>
            <w:tcBorders>
              <w:top w:val="nil"/>
              <w:left w:val="nil"/>
              <w:bottom w:val="single" w:sz="4" w:space="0" w:color="auto"/>
              <w:right w:val="single" w:sz="4" w:space="0" w:color="auto"/>
            </w:tcBorders>
            <w:shd w:val="clear" w:color="auto" w:fill="D9D9D9"/>
            <w:vAlign w:val="center"/>
          </w:tcPr>
          <w:p w:rsidR="007D48BC" w:rsidRPr="001626D4" w:rsidRDefault="007D48BC" w:rsidP="00E6718A">
            <w:pPr>
              <w:jc w:val="center"/>
              <w:rPr>
                <w:rFonts w:ascii="Arial" w:hAnsi="Arial" w:cs="Arial"/>
                <w:sz w:val="18"/>
                <w:szCs w:val="18"/>
                <w:lang w:val="pt-BR"/>
              </w:rPr>
            </w:pPr>
            <w:r w:rsidRPr="001626D4">
              <w:rPr>
                <w:rFonts w:ascii="Arial" w:hAnsi="Arial" w:cs="Arial"/>
                <w:sz w:val="18"/>
                <w:szCs w:val="18"/>
                <w:lang w:val="pt-BR"/>
              </w:rPr>
              <w:t>Umbral de CEI rango inferior:</w:t>
            </w:r>
          </w:p>
        </w:tc>
        <w:tc>
          <w:tcPr>
            <w:tcW w:w="2127" w:type="dxa"/>
            <w:tcBorders>
              <w:top w:val="nil"/>
              <w:left w:val="nil"/>
              <w:bottom w:val="single" w:sz="4" w:space="0" w:color="auto"/>
              <w:right w:val="single" w:sz="4" w:space="0" w:color="auto"/>
            </w:tcBorders>
            <w:shd w:val="clear" w:color="auto" w:fill="D9D9D9"/>
            <w:vAlign w:val="center"/>
          </w:tcPr>
          <w:p w:rsidR="007D48BC" w:rsidRDefault="007D48BC" w:rsidP="00E6718A">
            <w:pPr>
              <w:jc w:val="center"/>
              <w:rPr>
                <w:rFonts w:ascii="Arial" w:hAnsi="Arial" w:cs="Arial"/>
                <w:sz w:val="18"/>
                <w:szCs w:val="18"/>
              </w:rPr>
            </w:pPr>
            <w:r>
              <w:rPr>
                <w:rFonts w:ascii="Arial" w:hAnsi="Arial" w:cs="Arial"/>
                <w:sz w:val="18"/>
                <w:szCs w:val="18"/>
              </w:rPr>
              <w:t>Umbral de CEI rango superior:</w:t>
            </w:r>
          </w:p>
        </w:tc>
      </w:tr>
      <w:tr w:rsidR="007D48BC">
        <w:trPr>
          <w:trHeight w:val="510"/>
        </w:trPr>
        <w:tc>
          <w:tcPr>
            <w:tcW w:w="2411" w:type="dxa"/>
            <w:tcBorders>
              <w:top w:val="nil"/>
              <w:left w:val="single" w:sz="4" w:space="0" w:color="auto"/>
              <w:bottom w:val="single" w:sz="4" w:space="0" w:color="auto"/>
              <w:right w:val="single" w:sz="4" w:space="0" w:color="auto"/>
            </w:tcBorders>
            <w:vAlign w:val="center"/>
          </w:tcPr>
          <w:p w:rsidR="007D48BC" w:rsidRDefault="007D48BC" w:rsidP="00E6718A">
            <w:pPr>
              <w:rPr>
                <w:rFonts w:ascii="Arial" w:hAnsi="Arial" w:cs="Arial"/>
                <w:b/>
                <w:bCs/>
                <w:lang w:val="pt-BR"/>
              </w:rPr>
            </w:pPr>
            <w:r>
              <w:rPr>
                <w:rFonts w:ascii="Arial" w:hAnsi="Arial" w:cs="Arial"/>
                <w:b/>
                <w:bCs/>
                <w:lang w:val="pt-BR"/>
              </w:rPr>
              <w:t>Valores umbral CEI de referencia (rango)</w:t>
            </w:r>
          </w:p>
        </w:tc>
        <w:tc>
          <w:tcPr>
            <w:tcW w:w="2126" w:type="dxa"/>
            <w:tcBorders>
              <w:top w:val="nil"/>
              <w:left w:val="nil"/>
              <w:bottom w:val="single" w:sz="4" w:space="0" w:color="auto"/>
              <w:right w:val="single" w:sz="4" w:space="0" w:color="auto"/>
            </w:tcBorders>
            <w:vAlign w:val="center"/>
          </w:tcPr>
          <w:p w:rsidR="007D48BC" w:rsidRDefault="007D48BC" w:rsidP="00E6718A">
            <w:pPr>
              <w:jc w:val="center"/>
              <w:rPr>
                <w:rFonts w:ascii="Arial" w:hAnsi="Arial" w:cs="Arial"/>
                <w:b/>
                <w:bCs/>
              </w:rPr>
            </w:pPr>
            <w:r>
              <w:rPr>
                <w:rFonts w:ascii="Arial" w:hAnsi="Arial" w:cs="Arial"/>
                <w:b/>
                <w:bCs/>
              </w:rPr>
              <w:t>21.000 €</w:t>
            </w:r>
          </w:p>
        </w:tc>
        <w:tc>
          <w:tcPr>
            <w:tcW w:w="2126" w:type="dxa"/>
            <w:tcBorders>
              <w:top w:val="nil"/>
              <w:left w:val="nil"/>
              <w:bottom w:val="single" w:sz="4" w:space="0" w:color="auto"/>
              <w:right w:val="single" w:sz="4" w:space="0" w:color="auto"/>
            </w:tcBorders>
            <w:vAlign w:val="center"/>
          </w:tcPr>
          <w:p w:rsidR="007D48BC" w:rsidRDefault="007D48BC" w:rsidP="00E6718A">
            <w:pPr>
              <w:jc w:val="center"/>
              <w:rPr>
                <w:rFonts w:ascii="Arial" w:hAnsi="Arial" w:cs="Arial"/>
                <w:b/>
                <w:bCs/>
              </w:rPr>
            </w:pPr>
            <w:r>
              <w:rPr>
                <w:rFonts w:ascii="Arial" w:hAnsi="Arial" w:cs="Arial"/>
                <w:b/>
                <w:bCs/>
              </w:rPr>
              <w:t>11.000 €</w:t>
            </w:r>
          </w:p>
        </w:tc>
        <w:tc>
          <w:tcPr>
            <w:tcW w:w="2127" w:type="dxa"/>
            <w:tcBorders>
              <w:top w:val="nil"/>
              <w:left w:val="nil"/>
              <w:bottom w:val="single" w:sz="4" w:space="0" w:color="auto"/>
              <w:right w:val="single" w:sz="4" w:space="0" w:color="auto"/>
            </w:tcBorders>
            <w:vAlign w:val="center"/>
          </w:tcPr>
          <w:p w:rsidR="007D48BC" w:rsidRDefault="007D48BC" w:rsidP="00E6718A">
            <w:pPr>
              <w:jc w:val="center"/>
              <w:rPr>
                <w:rFonts w:ascii="Arial" w:hAnsi="Arial" w:cs="Arial"/>
                <w:b/>
                <w:bCs/>
              </w:rPr>
            </w:pPr>
            <w:r>
              <w:rPr>
                <w:rFonts w:ascii="Arial" w:hAnsi="Arial" w:cs="Arial"/>
                <w:b/>
                <w:bCs/>
              </w:rPr>
              <w:t>30.000 €</w:t>
            </w:r>
          </w:p>
        </w:tc>
      </w:tr>
      <w:tr w:rsidR="007D48BC" w:rsidRPr="003652DD">
        <w:trPr>
          <w:trHeight w:val="885"/>
        </w:trPr>
        <w:tc>
          <w:tcPr>
            <w:tcW w:w="2411" w:type="dxa"/>
            <w:tcBorders>
              <w:top w:val="nil"/>
              <w:left w:val="single" w:sz="4" w:space="0" w:color="auto"/>
              <w:bottom w:val="single" w:sz="4" w:space="0" w:color="auto"/>
              <w:right w:val="single" w:sz="4" w:space="0" w:color="auto"/>
            </w:tcBorders>
            <w:vAlign w:val="center"/>
          </w:tcPr>
          <w:p w:rsidR="007D48BC" w:rsidRDefault="007D48BC" w:rsidP="00E6718A">
            <w:pPr>
              <w:rPr>
                <w:rFonts w:ascii="Arial" w:hAnsi="Arial" w:cs="Arial"/>
              </w:rPr>
            </w:pPr>
            <w:r>
              <w:rPr>
                <w:rFonts w:ascii="Arial" w:hAnsi="Arial" w:cs="Arial"/>
              </w:rPr>
              <w:t>Coste aceptable del tratamiento con el medicamento para no superar umbral</w:t>
            </w:r>
          </w:p>
        </w:tc>
        <w:tc>
          <w:tcPr>
            <w:tcW w:w="2126" w:type="dxa"/>
            <w:tcBorders>
              <w:top w:val="nil"/>
              <w:left w:val="nil"/>
              <w:bottom w:val="single" w:sz="4" w:space="0" w:color="auto"/>
              <w:right w:val="single" w:sz="4" w:space="0" w:color="auto"/>
            </w:tcBorders>
            <w:vAlign w:val="center"/>
          </w:tcPr>
          <w:p w:rsidR="007D48BC" w:rsidRPr="003652DD" w:rsidRDefault="009C2ABC" w:rsidP="00E6718A">
            <w:pPr>
              <w:jc w:val="center"/>
              <w:rPr>
                <w:rFonts w:ascii="Arial" w:hAnsi="Arial" w:cs="Arial"/>
              </w:rPr>
            </w:pPr>
            <w:r w:rsidRPr="003652DD">
              <w:rPr>
                <w:rFonts w:ascii="Arial" w:hAnsi="Arial" w:cs="Arial"/>
              </w:rPr>
              <w:t>33.274</w:t>
            </w:r>
            <w:r w:rsidR="007D48BC" w:rsidRPr="003652DD">
              <w:rPr>
                <w:rFonts w:ascii="Arial" w:hAnsi="Arial" w:cs="Arial"/>
              </w:rPr>
              <w:t xml:space="preserve"> </w:t>
            </w:r>
            <w:r w:rsidR="007D48BC" w:rsidRPr="003652DD">
              <w:rPr>
                <w:rFonts w:ascii="Arial" w:hAnsi="Arial" w:cs="Arial"/>
                <w:lang w:eastAsia="en-US"/>
              </w:rPr>
              <w:t>€</w:t>
            </w:r>
          </w:p>
        </w:tc>
        <w:tc>
          <w:tcPr>
            <w:tcW w:w="2126" w:type="dxa"/>
            <w:tcBorders>
              <w:top w:val="nil"/>
              <w:left w:val="nil"/>
              <w:bottom w:val="single" w:sz="4" w:space="0" w:color="auto"/>
              <w:right w:val="single" w:sz="4" w:space="0" w:color="auto"/>
            </w:tcBorders>
            <w:vAlign w:val="center"/>
          </w:tcPr>
          <w:p w:rsidR="007D48BC" w:rsidRPr="003652DD" w:rsidRDefault="009C2ABC" w:rsidP="00E6718A">
            <w:pPr>
              <w:jc w:val="center"/>
              <w:rPr>
                <w:rFonts w:ascii="Arial" w:hAnsi="Arial" w:cs="Arial"/>
              </w:rPr>
            </w:pPr>
            <w:r w:rsidRPr="003652DD">
              <w:rPr>
                <w:rFonts w:ascii="Arial" w:hAnsi="Arial" w:cs="Arial"/>
              </w:rPr>
              <w:t>26.774</w:t>
            </w:r>
            <w:r w:rsidR="007D48BC" w:rsidRPr="003652DD">
              <w:rPr>
                <w:rFonts w:ascii="Arial" w:hAnsi="Arial" w:cs="Arial"/>
              </w:rPr>
              <w:t xml:space="preserve"> €</w:t>
            </w:r>
          </w:p>
        </w:tc>
        <w:tc>
          <w:tcPr>
            <w:tcW w:w="2127" w:type="dxa"/>
            <w:tcBorders>
              <w:top w:val="nil"/>
              <w:left w:val="nil"/>
              <w:bottom w:val="single" w:sz="4" w:space="0" w:color="auto"/>
              <w:right w:val="single" w:sz="4" w:space="0" w:color="auto"/>
            </w:tcBorders>
            <w:vAlign w:val="center"/>
          </w:tcPr>
          <w:p w:rsidR="007D48BC" w:rsidRPr="003652DD" w:rsidRDefault="009C2ABC" w:rsidP="00E6718A">
            <w:pPr>
              <w:jc w:val="center"/>
              <w:rPr>
                <w:rFonts w:ascii="Arial" w:hAnsi="Arial" w:cs="Arial"/>
              </w:rPr>
            </w:pPr>
            <w:r w:rsidRPr="003652DD">
              <w:rPr>
                <w:rFonts w:ascii="Arial" w:hAnsi="Arial" w:cs="Arial"/>
              </w:rPr>
              <w:t>39.124</w:t>
            </w:r>
            <w:r w:rsidR="007D48BC" w:rsidRPr="003652DD">
              <w:rPr>
                <w:rFonts w:ascii="Arial" w:hAnsi="Arial" w:cs="Arial"/>
              </w:rPr>
              <w:t xml:space="preserve"> €</w:t>
            </w:r>
          </w:p>
        </w:tc>
      </w:tr>
      <w:tr w:rsidR="007D48BC" w:rsidRPr="003652DD">
        <w:trPr>
          <w:trHeight w:val="255"/>
        </w:trPr>
        <w:tc>
          <w:tcPr>
            <w:tcW w:w="2411" w:type="dxa"/>
            <w:tcBorders>
              <w:top w:val="nil"/>
              <w:left w:val="single" w:sz="4" w:space="0" w:color="auto"/>
              <w:bottom w:val="single" w:sz="4" w:space="0" w:color="auto"/>
              <w:right w:val="single" w:sz="4" w:space="0" w:color="auto"/>
            </w:tcBorders>
            <w:vAlign w:val="center"/>
          </w:tcPr>
          <w:p w:rsidR="007D48BC" w:rsidRDefault="007D48BC" w:rsidP="00E6718A">
            <w:pPr>
              <w:rPr>
                <w:rFonts w:ascii="Arial" w:hAnsi="Arial" w:cs="Arial"/>
              </w:rPr>
            </w:pPr>
            <w:r>
              <w:rPr>
                <w:rFonts w:ascii="Arial" w:hAnsi="Arial" w:cs="Arial"/>
              </w:rPr>
              <w:t>Coste máximo de una unidad</w:t>
            </w:r>
          </w:p>
        </w:tc>
        <w:tc>
          <w:tcPr>
            <w:tcW w:w="2126" w:type="dxa"/>
            <w:tcBorders>
              <w:top w:val="nil"/>
              <w:left w:val="nil"/>
              <w:bottom w:val="single" w:sz="4" w:space="0" w:color="auto"/>
              <w:right w:val="single" w:sz="4" w:space="0" w:color="auto"/>
            </w:tcBorders>
            <w:vAlign w:val="center"/>
          </w:tcPr>
          <w:p w:rsidR="007D48BC" w:rsidRPr="003652DD" w:rsidRDefault="009C2ABC" w:rsidP="00E6718A">
            <w:pPr>
              <w:jc w:val="center"/>
              <w:rPr>
                <w:rFonts w:ascii="Arial" w:hAnsi="Arial" w:cs="Arial"/>
              </w:rPr>
            </w:pPr>
            <w:r w:rsidRPr="003652DD">
              <w:rPr>
                <w:rFonts w:ascii="Arial" w:hAnsi="Arial" w:cs="Arial"/>
              </w:rPr>
              <w:t>33.274</w:t>
            </w:r>
            <w:r w:rsidR="007D48BC" w:rsidRPr="003652DD">
              <w:rPr>
                <w:rFonts w:ascii="Arial" w:hAnsi="Arial" w:cs="Arial"/>
              </w:rPr>
              <w:t xml:space="preserve"> </w:t>
            </w:r>
            <w:r w:rsidR="007D48BC" w:rsidRPr="003652DD">
              <w:rPr>
                <w:rFonts w:ascii="Arial" w:hAnsi="Arial" w:cs="Arial"/>
                <w:lang w:eastAsia="en-US"/>
              </w:rPr>
              <w:t>€</w:t>
            </w:r>
          </w:p>
        </w:tc>
        <w:tc>
          <w:tcPr>
            <w:tcW w:w="2126" w:type="dxa"/>
            <w:tcBorders>
              <w:top w:val="nil"/>
              <w:left w:val="nil"/>
              <w:bottom w:val="single" w:sz="4" w:space="0" w:color="auto"/>
              <w:right w:val="single" w:sz="4" w:space="0" w:color="auto"/>
            </w:tcBorders>
            <w:vAlign w:val="center"/>
          </w:tcPr>
          <w:p w:rsidR="007D48BC" w:rsidRPr="003652DD" w:rsidRDefault="009C2ABC" w:rsidP="00E6718A">
            <w:pPr>
              <w:jc w:val="center"/>
              <w:rPr>
                <w:rFonts w:ascii="Arial" w:hAnsi="Arial" w:cs="Arial"/>
              </w:rPr>
            </w:pPr>
            <w:r w:rsidRPr="003652DD">
              <w:rPr>
                <w:rFonts w:ascii="Arial" w:hAnsi="Arial" w:cs="Arial"/>
              </w:rPr>
              <w:t>26.774</w:t>
            </w:r>
            <w:r w:rsidR="007D48BC" w:rsidRPr="003652DD">
              <w:rPr>
                <w:rFonts w:ascii="Arial" w:hAnsi="Arial" w:cs="Arial"/>
              </w:rPr>
              <w:t xml:space="preserve"> €</w:t>
            </w:r>
          </w:p>
        </w:tc>
        <w:tc>
          <w:tcPr>
            <w:tcW w:w="2127" w:type="dxa"/>
            <w:tcBorders>
              <w:top w:val="nil"/>
              <w:left w:val="nil"/>
              <w:bottom w:val="single" w:sz="4" w:space="0" w:color="auto"/>
              <w:right w:val="single" w:sz="4" w:space="0" w:color="auto"/>
            </w:tcBorders>
            <w:vAlign w:val="center"/>
          </w:tcPr>
          <w:p w:rsidR="007D48BC" w:rsidRPr="003652DD" w:rsidRDefault="009C2ABC" w:rsidP="00E6718A">
            <w:pPr>
              <w:jc w:val="center"/>
              <w:rPr>
                <w:rFonts w:ascii="Arial" w:hAnsi="Arial" w:cs="Arial"/>
              </w:rPr>
            </w:pPr>
            <w:r w:rsidRPr="003652DD">
              <w:rPr>
                <w:rFonts w:ascii="Arial" w:hAnsi="Arial" w:cs="Arial"/>
              </w:rPr>
              <w:t>39.124</w:t>
            </w:r>
            <w:r w:rsidR="007D48BC" w:rsidRPr="003652DD">
              <w:rPr>
                <w:rFonts w:ascii="Arial" w:hAnsi="Arial" w:cs="Arial"/>
              </w:rPr>
              <w:t xml:space="preserve"> €</w:t>
            </w:r>
          </w:p>
        </w:tc>
      </w:tr>
      <w:tr w:rsidR="007D48BC" w:rsidRPr="003652DD">
        <w:trPr>
          <w:trHeight w:val="255"/>
        </w:trPr>
        <w:tc>
          <w:tcPr>
            <w:tcW w:w="2411" w:type="dxa"/>
            <w:tcBorders>
              <w:top w:val="nil"/>
              <w:left w:val="single" w:sz="4" w:space="0" w:color="auto"/>
              <w:bottom w:val="single" w:sz="4" w:space="0" w:color="auto"/>
              <w:right w:val="single" w:sz="4" w:space="0" w:color="auto"/>
            </w:tcBorders>
            <w:vAlign w:val="center"/>
          </w:tcPr>
          <w:p w:rsidR="007D48BC" w:rsidRDefault="007D48BC" w:rsidP="00E6718A">
            <w:pPr>
              <w:rPr>
                <w:rFonts w:ascii="Arial" w:hAnsi="Arial" w:cs="Arial"/>
              </w:rPr>
            </w:pPr>
            <w:r>
              <w:rPr>
                <w:rFonts w:ascii="Arial" w:hAnsi="Arial" w:cs="Arial"/>
              </w:rPr>
              <w:t>Peso relativo (Pr)*</w:t>
            </w:r>
          </w:p>
        </w:tc>
        <w:tc>
          <w:tcPr>
            <w:tcW w:w="2126" w:type="dxa"/>
            <w:tcBorders>
              <w:top w:val="nil"/>
              <w:left w:val="nil"/>
              <w:bottom w:val="single" w:sz="4" w:space="0" w:color="auto"/>
              <w:right w:val="single" w:sz="4" w:space="0" w:color="auto"/>
            </w:tcBorders>
            <w:vAlign w:val="center"/>
          </w:tcPr>
          <w:p w:rsidR="007D48BC" w:rsidRPr="003652DD" w:rsidRDefault="009C2ABC" w:rsidP="00E6718A">
            <w:pPr>
              <w:jc w:val="center"/>
              <w:rPr>
                <w:rFonts w:ascii="Arial" w:hAnsi="Arial" w:cs="Arial"/>
              </w:rPr>
            </w:pPr>
            <w:r w:rsidRPr="003652DD">
              <w:rPr>
                <w:rFonts w:ascii="Arial" w:hAnsi="Arial" w:cs="Arial"/>
              </w:rPr>
              <w:t>12,57</w:t>
            </w:r>
          </w:p>
        </w:tc>
        <w:tc>
          <w:tcPr>
            <w:tcW w:w="2126" w:type="dxa"/>
            <w:tcBorders>
              <w:top w:val="nil"/>
              <w:left w:val="nil"/>
              <w:bottom w:val="single" w:sz="4" w:space="0" w:color="auto"/>
              <w:right w:val="single" w:sz="4" w:space="0" w:color="auto"/>
            </w:tcBorders>
            <w:vAlign w:val="center"/>
          </w:tcPr>
          <w:p w:rsidR="007D48BC" w:rsidRPr="003652DD" w:rsidRDefault="009C2ABC" w:rsidP="00E6718A">
            <w:pPr>
              <w:jc w:val="center"/>
              <w:rPr>
                <w:rFonts w:ascii="Arial" w:hAnsi="Arial" w:cs="Arial"/>
              </w:rPr>
            </w:pPr>
            <w:r w:rsidRPr="003652DD">
              <w:rPr>
                <w:rFonts w:ascii="Arial" w:hAnsi="Arial" w:cs="Arial"/>
              </w:rPr>
              <w:t>15,62</w:t>
            </w:r>
          </w:p>
        </w:tc>
        <w:tc>
          <w:tcPr>
            <w:tcW w:w="2127" w:type="dxa"/>
            <w:tcBorders>
              <w:top w:val="nil"/>
              <w:left w:val="nil"/>
              <w:bottom w:val="single" w:sz="4" w:space="0" w:color="auto"/>
              <w:right w:val="single" w:sz="4" w:space="0" w:color="auto"/>
            </w:tcBorders>
            <w:vAlign w:val="center"/>
          </w:tcPr>
          <w:p w:rsidR="007D48BC" w:rsidRPr="003652DD" w:rsidRDefault="009C2ABC" w:rsidP="00E6718A">
            <w:pPr>
              <w:jc w:val="center"/>
              <w:rPr>
                <w:rFonts w:ascii="Arial" w:hAnsi="Arial" w:cs="Arial"/>
              </w:rPr>
            </w:pPr>
            <w:r w:rsidRPr="003652DD">
              <w:rPr>
                <w:rFonts w:ascii="Arial" w:hAnsi="Arial" w:cs="Arial"/>
              </w:rPr>
              <w:t>10,69</w:t>
            </w:r>
          </w:p>
        </w:tc>
      </w:tr>
      <w:tr w:rsidR="007D48BC" w:rsidRPr="00153F7E">
        <w:trPr>
          <w:trHeight w:val="450"/>
        </w:trPr>
        <w:tc>
          <w:tcPr>
            <w:tcW w:w="8790" w:type="dxa"/>
            <w:gridSpan w:val="4"/>
            <w:tcBorders>
              <w:top w:val="single" w:sz="4" w:space="0" w:color="auto"/>
              <w:left w:val="single" w:sz="4" w:space="0" w:color="auto"/>
              <w:bottom w:val="single" w:sz="4" w:space="0" w:color="auto"/>
              <w:right w:val="single" w:sz="4" w:space="0" w:color="auto"/>
            </w:tcBorders>
            <w:shd w:val="clear" w:color="auto" w:fill="D9D9D9"/>
            <w:vAlign w:val="center"/>
          </w:tcPr>
          <w:p w:rsidR="007D48BC" w:rsidRPr="00153F7E" w:rsidRDefault="007D48BC" w:rsidP="00E6718A">
            <w:pPr>
              <w:rPr>
                <w:rFonts w:ascii="Arial" w:hAnsi="Arial" w:cs="Arial"/>
                <w:sz w:val="16"/>
                <w:szCs w:val="16"/>
              </w:rPr>
            </w:pPr>
            <w:r w:rsidRPr="00153F7E">
              <w:rPr>
                <w:rFonts w:ascii="Arial" w:hAnsi="Arial" w:cs="Arial"/>
                <w:sz w:val="16"/>
                <w:szCs w:val="16"/>
              </w:rPr>
              <w:t>* El peso relativo indica el nº de veces que el coste actual excede del coste máximo para ser coste-efectivos según los umbrales de referencia.</w:t>
            </w:r>
          </w:p>
        </w:tc>
      </w:tr>
    </w:tbl>
    <w:p w:rsidR="007D48BC" w:rsidRDefault="007D48BC" w:rsidP="009935F1">
      <w:pPr>
        <w:jc w:val="both"/>
        <w:rPr>
          <w:rFonts w:ascii="Arial" w:hAnsi="Arial" w:cs="Arial"/>
        </w:rPr>
      </w:pPr>
    </w:p>
    <w:p w:rsidR="007D48BC" w:rsidRPr="003652DD" w:rsidRDefault="007D48BC" w:rsidP="00836B0B">
      <w:pPr>
        <w:spacing w:line="360" w:lineRule="auto"/>
        <w:jc w:val="both"/>
        <w:rPr>
          <w:rFonts w:ascii="Arial" w:hAnsi="Arial" w:cs="Arial"/>
        </w:rPr>
      </w:pPr>
      <w:r w:rsidRPr="003652DD">
        <w:rPr>
          <w:rFonts w:ascii="Arial" w:hAnsi="Arial" w:cs="Arial"/>
        </w:rPr>
        <w:t xml:space="preserve">Por tanto, el precio de adquisición de axicabtagen ciloleucel debería ser menor de </w:t>
      </w:r>
      <w:r w:rsidR="009C2ABC" w:rsidRPr="003652DD">
        <w:rPr>
          <w:rFonts w:ascii="Arial" w:hAnsi="Arial" w:cs="Arial"/>
        </w:rPr>
        <w:t>33.274</w:t>
      </w:r>
      <w:r w:rsidRPr="003652DD">
        <w:rPr>
          <w:rFonts w:ascii="Arial" w:hAnsi="Arial" w:cs="Arial"/>
        </w:rPr>
        <w:t>€, para que pueda considerarse coste efectivo, con un r</w:t>
      </w:r>
      <w:r w:rsidR="00095311" w:rsidRPr="003652DD">
        <w:rPr>
          <w:rFonts w:ascii="Arial" w:hAnsi="Arial" w:cs="Arial"/>
        </w:rPr>
        <w:t>ango inferior de</w:t>
      </w:r>
      <w:r w:rsidR="00A12042" w:rsidRPr="003652DD">
        <w:rPr>
          <w:rFonts w:ascii="Arial" w:hAnsi="Arial" w:cs="Arial"/>
        </w:rPr>
        <w:t xml:space="preserve"> </w:t>
      </w:r>
      <w:r w:rsidR="009C2ABC" w:rsidRPr="003652DD">
        <w:rPr>
          <w:rFonts w:ascii="Arial" w:hAnsi="Arial" w:cs="Arial"/>
        </w:rPr>
        <w:t>26.774</w:t>
      </w:r>
      <w:r w:rsidR="00A12042" w:rsidRPr="003652DD">
        <w:rPr>
          <w:rFonts w:ascii="Arial" w:hAnsi="Arial" w:cs="Arial"/>
        </w:rPr>
        <w:t xml:space="preserve"> </w:t>
      </w:r>
      <w:r w:rsidRPr="003652DD">
        <w:rPr>
          <w:rFonts w:ascii="Arial" w:hAnsi="Arial" w:cs="Arial"/>
        </w:rPr>
        <w:t xml:space="preserve">€ y uno superior de </w:t>
      </w:r>
      <w:r w:rsidR="009C2ABC" w:rsidRPr="003652DD">
        <w:rPr>
          <w:rFonts w:ascii="Arial" w:hAnsi="Arial" w:cs="Arial"/>
        </w:rPr>
        <w:t xml:space="preserve">39.124 </w:t>
      </w:r>
      <w:r w:rsidRPr="003652DD">
        <w:rPr>
          <w:rFonts w:ascii="Arial" w:hAnsi="Arial" w:cs="Arial"/>
        </w:rPr>
        <w:t>€ según el umbral de coste-efectividad fijado.</w:t>
      </w:r>
    </w:p>
    <w:p w:rsidR="007D48BC" w:rsidRDefault="007D48BC" w:rsidP="00836B0B">
      <w:pPr>
        <w:spacing w:line="360" w:lineRule="auto"/>
        <w:jc w:val="both"/>
        <w:rPr>
          <w:rFonts w:ascii="Arial" w:hAnsi="Arial" w:cs="Arial"/>
        </w:rPr>
      </w:pPr>
      <w:r w:rsidRPr="003652DD">
        <w:rPr>
          <w:rFonts w:ascii="Arial" w:hAnsi="Arial" w:cs="Arial"/>
        </w:rPr>
        <w:t xml:space="preserve">Si tenemos en cuenta el coste máximo calculado en el apartado anterior, el impacto para el SNS sería de 490 x </w:t>
      </w:r>
      <w:r w:rsidR="009C2ABC" w:rsidRPr="003652DD">
        <w:rPr>
          <w:rFonts w:ascii="Arial" w:hAnsi="Arial" w:cs="Arial"/>
        </w:rPr>
        <w:t>33.274</w:t>
      </w:r>
      <w:r w:rsidR="00A12042" w:rsidRPr="003652DD">
        <w:rPr>
          <w:rFonts w:ascii="Arial" w:hAnsi="Arial" w:cs="Arial"/>
        </w:rPr>
        <w:t xml:space="preserve"> </w:t>
      </w:r>
      <w:r w:rsidRPr="003652DD">
        <w:rPr>
          <w:rFonts w:ascii="Arial" w:hAnsi="Arial" w:cs="Arial"/>
        </w:rPr>
        <w:t xml:space="preserve">€ = </w:t>
      </w:r>
      <w:r w:rsidR="009C2ABC" w:rsidRPr="003652DD">
        <w:rPr>
          <w:rFonts w:ascii="Arial" w:hAnsi="Arial" w:cs="Arial"/>
        </w:rPr>
        <w:t>16.304.260</w:t>
      </w:r>
      <w:r w:rsidR="00A12042" w:rsidRPr="003652DD">
        <w:rPr>
          <w:rFonts w:ascii="Arial" w:hAnsi="Arial" w:cs="Arial"/>
        </w:rPr>
        <w:t xml:space="preserve"> </w:t>
      </w:r>
      <w:r w:rsidRPr="003652DD">
        <w:rPr>
          <w:rFonts w:ascii="Arial" w:hAnsi="Arial" w:cs="Arial"/>
        </w:rPr>
        <w:t>€ al año.</w:t>
      </w:r>
      <w:r w:rsidRPr="00836B0B">
        <w:rPr>
          <w:rFonts w:ascii="Arial" w:hAnsi="Arial" w:cs="Arial"/>
        </w:rPr>
        <w:t xml:space="preserve"> </w:t>
      </w:r>
    </w:p>
    <w:p w:rsidR="008C3AB0" w:rsidRDefault="008C3AB0" w:rsidP="00836B0B">
      <w:pPr>
        <w:spacing w:line="360" w:lineRule="auto"/>
        <w:jc w:val="both"/>
        <w:rPr>
          <w:rFonts w:ascii="Arial" w:hAnsi="Arial" w:cs="Arial"/>
        </w:rPr>
      </w:pPr>
    </w:p>
    <w:p w:rsidR="007D48BC" w:rsidRDefault="007D48BC" w:rsidP="004131A6">
      <w:pPr>
        <w:pStyle w:val="m-3803666664624225339msoheader"/>
        <w:shd w:val="clear" w:color="auto" w:fill="FFFFFF"/>
        <w:spacing w:before="0" w:beforeAutospacing="0" w:after="0" w:afterAutospacing="0"/>
        <w:ind w:hanging="284"/>
        <w:jc w:val="both"/>
        <w:rPr>
          <w:color w:val="222222"/>
          <w:u w:val="single"/>
        </w:rPr>
      </w:pPr>
      <w:r>
        <w:rPr>
          <w:rFonts w:ascii="Arial" w:hAnsi="Arial" w:cs="Arial"/>
          <w:b/>
          <w:bCs/>
          <w:color w:val="222222"/>
          <w:sz w:val="20"/>
          <w:szCs w:val="20"/>
        </w:rPr>
        <w:t>2.</w:t>
      </w:r>
      <w:r>
        <w:rPr>
          <w:b/>
          <w:bCs/>
          <w:color w:val="222222"/>
          <w:sz w:val="14"/>
          <w:szCs w:val="14"/>
        </w:rPr>
        <w:t>     </w:t>
      </w:r>
      <w:r>
        <w:rPr>
          <w:rFonts w:ascii="Arial" w:hAnsi="Arial" w:cs="Arial"/>
          <w:b/>
          <w:bCs/>
          <w:color w:val="222222"/>
          <w:sz w:val="20"/>
          <w:szCs w:val="20"/>
          <w:u w:val="single"/>
        </w:rPr>
        <w:t>Proponer un esquema de pago por resultados (EPR)</w:t>
      </w:r>
    </w:p>
    <w:p w:rsidR="007D48BC" w:rsidRDefault="007D48BC" w:rsidP="004131A6">
      <w:pPr>
        <w:pStyle w:val="m-3803666664624225339msoheader"/>
        <w:shd w:val="clear" w:color="auto" w:fill="FFFFFF"/>
        <w:spacing w:before="0" w:beforeAutospacing="0" w:after="0" w:afterAutospacing="0"/>
        <w:jc w:val="both"/>
        <w:rPr>
          <w:color w:val="222222"/>
        </w:rPr>
      </w:pPr>
      <w:r>
        <w:rPr>
          <w:rFonts w:ascii="Arial" w:hAnsi="Arial" w:cs="Arial"/>
          <w:color w:val="222222"/>
          <w:sz w:val="20"/>
          <w:szCs w:val="20"/>
        </w:rPr>
        <w:t> </w:t>
      </w:r>
    </w:p>
    <w:p w:rsidR="007D48BC" w:rsidRPr="00836B0B" w:rsidRDefault="007D48BC" w:rsidP="00836B0B">
      <w:pPr>
        <w:spacing w:line="360" w:lineRule="auto"/>
        <w:jc w:val="both"/>
        <w:rPr>
          <w:rFonts w:ascii="Arial" w:hAnsi="Arial" w:cs="Arial"/>
        </w:rPr>
      </w:pPr>
      <w:r>
        <w:rPr>
          <w:rFonts w:ascii="Arial" w:hAnsi="Arial" w:cs="Arial"/>
        </w:rPr>
        <w:t>E</w:t>
      </w:r>
      <w:r w:rsidRPr="00836B0B">
        <w:rPr>
          <w:rFonts w:ascii="Arial" w:hAnsi="Arial" w:cs="Arial"/>
        </w:rPr>
        <w:t>n estos esquemas se define un sistema de financiación basado en el resultado del tratamiento, es decir en base a la evaluación del resultado de una variable clínica en un tiempo determinado el medicamento es reembolsado. De esta manera se comparte el riesgo sobre las incertidumbres.</w:t>
      </w:r>
    </w:p>
    <w:p w:rsidR="007D48BC" w:rsidRDefault="007D48BC" w:rsidP="00836B0B">
      <w:pPr>
        <w:spacing w:line="360" w:lineRule="auto"/>
        <w:jc w:val="both"/>
        <w:rPr>
          <w:rFonts w:ascii="Arial" w:hAnsi="Arial" w:cs="Arial"/>
        </w:rPr>
      </w:pPr>
      <w:r w:rsidRPr="00836B0B">
        <w:rPr>
          <w:rFonts w:ascii="Arial" w:hAnsi="Arial" w:cs="Arial"/>
        </w:rPr>
        <w:t>En el caso de axicabtagen ciloleucel en la indicación analizada, las incertidumbres descritas a lo largo del informe pueden ser tenidas en cuenta en el modelo de EPR. Se propone utilizar el criterio de paciente infundido respecto a paciente que inicia la fase de quimioterapia linfoablativa y se le realiza leucoaf</w:t>
      </w:r>
      <w:r>
        <w:rPr>
          <w:rFonts w:ascii="Arial" w:hAnsi="Arial" w:cs="Arial"/>
        </w:rPr>
        <w:t>é</w:t>
      </w:r>
      <w:r w:rsidRPr="00836B0B">
        <w:rPr>
          <w:rFonts w:ascii="Arial" w:hAnsi="Arial" w:cs="Arial"/>
        </w:rPr>
        <w:t xml:space="preserve">resis, conjuntamente con el criterio de paciente que se mantiene en remisión completa en un tiempo determinado. </w:t>
      </w:r>
    </w:p>
    <w:p w:rsidR="008C3AB0" w:rsidRDefault="008C3AB0" w:rsidP="00836B0B">
      <w:pPr>
        <w:spacing w:line="360" w:lineRule="auto"/>
        <w:jc w:val="both"/>
        <w:rPr>
          <w:rFonts w:ascii="Arial" w:hAnsi="Arial" w:cs="Arial"/>
        </w:rPr>
      </w:pPr>
    </w:p>
    <w:p w:rsidR="007D48BC" w:rsidRDefault="007D48BC" w:rsidP="00836B0B">
      <w:pPr>
        <w:spacing w:line="360" w:lineRule="auto"/>
        <w:jc w:val="both"/>
        <w:rPr>
          <w:rFonts w:ascii="Arial" w:hAnsi="Arial" w:cs="Arial"/>
        </w:rPr>
      </w:pPr>
    </w:p>
    <w:p w:rsidR="007D48BC" w:rsidRPr="008D2A3D" w:rsidRDefault="007D48BC" w:rsidP="0067159D">
      <w:pPr>
        <w:pStyle w:val="Encabezado"/>
        <w:pBdr>
          <w:top w:val="single" w:sz="4" w:space="1" w:color="auto"/>
          <w:left w:val="single" w:sz="4" w:space="4" w:color="auto"/>
          <w:bottom w:val="single" w:sz="4" w:space="1" w:color="auto"/>
          <w:right w:val="single" w:sz="4" w:space="4" w:color="auto"/>
        </w:pBdr>
        <w:shd w:val="clear" w:color="auto" w:fill="D9D9D9"/>
        <w:jc w:val="both"/>
        <w:rPr>
          <w:rFonts w:ascii="Arial" w:hAnsi="Arial" w:cs="Arial"/>
          <w:b/>
          <w:bCs/>
        </w:rPr>
      </w:pPr>
      <w:bookmarkStart w:id="90" w:name="_Toc344399663"/>
      <w:bookmarkStart w:id="91" w:name="_Toc348931394"/>
      <w:r w:rsidRPr="00776FBF">
        <w:rPr>
          <w:rFonts w:ascii="Arial" w:hAnsi="Arial" w:cs="Arial"/>
          <w:sz w:val="20"/>
          <w:szCs w:val="20"/>
        </w:rPr>
        <w:t>8. EVALUACIÓN DE LA CONVENIENCIA.</w:t>
      </w:r>
      <w:bookmarkEnd w:id="90"/>
      <w:bookmarkEnd w:id="91"/>
      <w:r w:rsidR="00FE59AC">
        <w:rPr>
          <w:rFonts w:ascii="Arial" w:hAnsi="Arial" w:cs="Arial"/>
          <w:sz w:val="20"/>
          <w:szCs w:val="20"/>
        </w:rPr>
        <w:fldChar w:fldCharType="begin"/>
      </w:r>
      <w:r>
        <w:instrText>xe "</w:instrText>
      </w:r>
      <w:r w:rsidRPr="00D91524">
        <w:rPr>
          <w:rFonts w:ascii="Arial" w:hAnsi="Arial" w:cs="Arial"/>
          <w:sz w:val="20"/>
          <w:szCs w:val="20"/>
        </w:rPr>
        <w:instrText>8. EVALUACIÓN DE LA CONVENIENCIA.</w:instrText>
      </w:r>
      <w:r>
        <w:instrText>"</w:instrText>
      </w:r>
      <w:r w:rsidR="00FE59AC">
        <w:rPr>
          <w:rFonts w:ascii="Arial" w:hAnsi="Arial" w:cs="Arial"/>
          <w:sz w:val="20"/>
          <w:szCs w:val="20"/>
        </w:rPr>
        <w:fldChar w:fldCharType="end"/>
      </w:r>
    </w:p>
    <w:p w:rsidR="007D48BC" w:rsidRDefault="007D48BC" w:rsidP="00776FBF">
      <w:pPr>
        <w:jc w:val="both"/>
        <w:rPr>
          <w:rFonts w:ascii="Arial" w:hAnsi="Arial" w:cs="Arial"/>
        </w:rPr>
      </w:pPr>
    </w:p>
    <w:p w:rsidR="007D48BC" w:rsidRDefault="007D48BC" w:rsidP="00836B0B">
      <w:pPr>
        <w:spacing w:line="360" w:lineRule="auto"/>
        <w:jc w:val="both"/>
        <w:rPr>
          <w:rFonts w:ascii="Arial" w:hAnsi="Arial" w:cs="Arial"/>
        </w:rPr>
      </w:pPr>
      <w:r>
        <w:rPr>
          <w:rFonts w:ascii="Arial" w:hAnsi="Arial" w:cs="Arial"/>
        </w:rPr>
        <w:t xml:space="preserve">Actualmente dentro de las opciones de tratamiento en los pacientes con </w:t>
      </w:r>
      <w:r w:rsidR="008258E3">
        <w:rPr>
          <w:rFonts w:ascii="Arial" w:hAnsi="Arial" w:cs="Arial"/>
        </w:rPr>
        <w:t>LDCBG</w:t>
      </w:r>
      <w:r w:rsidR="006D2D76">
        <w:rPr>
          <w:rFonts w:ascii="Arial" w:hAnsi="Arial" w:cs="Arial"/>
        </w:rPr>
        <w:t xml:space="preserve"> que </w:t>
      </w:r>
      <w:r>
        <w:rPr>
          <w:rFonts w:ascii="Arial" w:hAnsi="Arial" w:cs="Arial"/>
        </w:rPr>
        <w:t>no son candidatos a qui</w:t>
      </w:r>
      <w:r w:rsidR="009468EF">
        <w:rPr>
          <w:rFonts w:ascii="Arial" w:hAnsi="Arial" w:cs="Arial"/>
        </w:rPr>
        <w:t>mioterapia a altas dosis seguido</w:t>
      </w:r>
      <w:r>
        <w:rPr>
          <w:rFonts w:ascii="Arial" w:hAnsi="Arial" w:cs="Arial"/>
        </w:rPr>
        <w:t xml:space="preserve"> de trasplante se encuentra </w:t>
      </w:r>
      <w:r w:rsidRPr="00836B0B">
        <w:rPr>
          <w:rFonts w:ascii="Arial" w:hAnsi="Arial" w:cs="Arial"/>
        </w:rPr>
        <w:t>axicabtagen ciloleucel.</w:t>
      </w:r>
      <w:r>
        <w:rPr>
          <w:rFonts w:ascii="Arial" w:hAnsi="Arial" w:cs="Arial"/>
        </w:rPr>
        <w:t xml:space="preserve"> En este contexto nos encontramos con un fármaco con similar mecanismo de acción, tisagenlecleucel, y ambos podrían suponer una opción extra para estos pacientes que experimentan dos o más recaídas.</w:t>
      </w:r>
    </w:p>
    <w:p w:rsidR="007D2D37" w:rsidRPr="003652DD" w:rsidRDefault="007D2D37" w:rsidP="00836B0B">
      <w:pPr>
        <w:spacing w:line="360" w:lineRule="auto"/>
        <w:jc w:val="both"/>
        <w:rPr>
          <w:rFonts w:ascii="Arial" w:hAnsi="Arial" w:cs="Arial"/>
          <w:strike/>
        </w:rPr>
      </w:pPr>
      <w:r w:rsidRPr="003652DD">
        <w:rPr>
          <w:rFonts w:ascii="Arial" w:hAnsi="Arial" w:cs="Arial"/>
        </w:rPr>
        <w:t>En cualquier caso, ambos fármacos requieren un proceso de fabricación que puede conllevar una demora en el inicio del tratamiento, esto puede ser un inconveniente en pacientes que presentan rápida progresión y requieren tratamiento en el menor tiempo posible. Por otra parte, hay que destacar el perfil de efectos secundarios, con frecuencia graves, que requieren de un equipo con alta experiencia para su manejo</w:t>
      </w:r>
      <w:r w:rsidR="00117E38" w:rsidRPr="003652DD">
        <w:rPr>
          <w:rFonts w:ascii="Arial" w:hAnsi="Arial" w:cs="Arial"/>
        </w:rPr>
        <w:t xml:space="preserve"> y hospitalización del paciente</w:t>
      </w:r>
      <w:r w:rsidR="00AB3150" w:rsidRPr="003652DD">
        <w:rPr>
          <w:rFonts w:ascii="Arial" w:hAnsi="Arial" w:cs="Arial"/>
        </w:rPr>
        <w:t>.</w:t>
      </w:r>
      <w:r w:rsidRPr="003652DD">
        <w:rPr>
          <w:rFonts w:ascii="Arial" w:hAnsi="Arial" w:cs="Arial"/>
        </w:rPr>
        <w:t xml:space="preserve"> </w:t>
      </w:r>
    </w:p>
    <w:p w:rsidR="00AB3150" w:rsidRPr="00AB3150" w:rsidRDefault="00AB3150" w:rsidP="00836B0B">
      <w:pPr>
        <w:spacing w:line="360" w:lineRule="auto"/>
        <w:jc w:val="both"/>
        <w:rPr>
          <w:rFonts w:ascii="Arial" w:hAnsi="Arial" w:cs="Arial"/>
        </w:rPr>
      </w:pPr>
      <w:r w:rsidRPr="003652DD">
        <w:rPr>
          <w:rFonts w:ascii="Arial" w:hAnsi="Arial" w:cs="Arial"/>
        </w:rPr>
        <w:t>Las otras alternativas terapéuticas para estos pacientes son tratamientos de quimioterapia (pitoxantrona y R-GEMOX), que se administran en el hospital de día y con estos tratamientos no hay una demora en el inicio de tratamiento como en el caso de la terapia CAR-T, sobre todo en los pacientes que presentan una rápida progresión y no es posible la espera del proceso de fabricación. Además de ser fármacos ampliamente utilizados y conocidos por los facultativos, lo cual es beneficioso a la hora de manejar la toxicidad.</w:t>
      </w:r>
    </w:p>
    <w:p w:rsidR="007D48BC" w:rsidRPr="006F6ABB" w:rsidRDefault="007D48BC" w:rsidP="00BC3E8E">
      <w:pPr>
        <w:rPr>
          <w:rFonts w:ascii="Arial" w:hAnsi="Arial" w:cs="Arial"/>
          <w:color w:val="FF0000"/>
        </w:rPr>
      </w:pPr>
    </w:p>
    <w:tbl>
      <w:tblPr>
        <w:tblW w:w="8890" w:type="dxa"/>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8890"/>
      </w:tblGrid>
      <w:tr w:rsidR="007D48BC" w:rsidRPr="006F6ABB">
        <w:tc>
          <w:tcPr>
            <w:tcW w:w="8890" w:type="dxa"/>
            <w:shd w:val="clear" w:color="auto" w:fill="B3B3B3"/>
          </w:tcPr>
          <w:p w:rsidR="007D48BC" w:rsidRPr="00B746E8" w:rsidRDefault="007D48BC" w:rsidP="00BC3E8E">
            <w:pPr>
              <w:pStyle w:val="Ttulo1"/>
              <w:shd w:val="clear" w:color="auto" w:fill="A6A6A6"/>
              <w:rPr>
                <w:rFonts w:ascii="Arial" w:hAnsi="Arial" w:cs="Arial"/>
                <w:kern w:val="0"/>
                <w:sz w:val="20"/>
                <w:szCs w:val="20"/>
              </w:rPr>
            </w:pPr>
            <w:bookmarkStart w:id="92" w:name="_Toc344399666"/>
            <w:bookmarkStart w:id="93" w:name="_Toc348931397"/>
            <w:r w:rsidRPr="00B746E8">
              <w:rPr>
                <w:rFonts w:ascii="Arial" w:hAnsi="Arial" w:cs="Arial"/>
                <w:kern w:val="0"/>
                <w:sz w:val="20"/>
                <w:szCs w:val="20"/>
              </w:rPr>
              <w:t>9. AREA DE CONCLUSIONES.</w:t>
            </w:r>
            <w:bookmarkEnd w:id="92"/>
            <w:bookmarkEnd w:id="93"/>
            <w:r w:rsidR="00FE59AC">
              <w:rPr>
                <w:rFonts w:ascii="Arial" w:hAnsi="Arial" w:cs="Arial"/>
                <w:kern w:val="0"/>
                <w:sz w:val="20"/>
                <w:szCs w:val="20"/>
              </w:rPr>
              <w:fldChar w:fldCharType="begin"/>
            </w:r>
            <w:r>
              <w:instrText>xe "</w:instrText>
            </w:r>
            <w:r w:rsidRPr="00C32A6E">
              <w:rPr>
                <w:rFonts w:ascii="Arial" w:hAnsi="Arial" w:cs="Arial"/>
                <w:kern w:val="0"/>
                <w:sz w:val="20"/>
                <w:szCs w:val="20"/>
              </w:rPr>
              <w:instrText>9. AREA DE CONCLUSIONES.</w:instrText>
            </w:r>
            <w:r>
              <w:instrText>"</w:instrText>
            </w:r>
            <w:r w:rsidR="00FE59AC">
              <w:rPr>
                <w:rFonts w:ascii="Arial" w:hAnsi="Arial" w:cs="Arial"/>
                <w:kern w:val="0"/>
                <w:sz w:val="20"/>
                <w:szCs w:val="20"/>
              </w:rPr>
              <w:fldChar w:fldCharType="end"/>
            </w:r>
          </w:p>
        </w:tc>
      </w:tr>
    </w:tbl>
    <w:p w:rsidR="007D48BC" w:rsidRPr="006F6ABB" w:rsidRDefault="007D48BC" w:rsidP="00BC3E8E">
      <w:pPr>
        <w:pStyle w:val="Encabezado"/>
        <w:tabs>
          <w:tab w:val="clear" w:pos="4252"/>
          <w:tab w:val="clear" w:pos="8504"/>
        </w:tabs>
        <w:rPr>
          <w:rFonts w:ascii="Arial" w:hAnsi="Arial" w:cs="Arial"/>
          <w:b/>
          <w:bCs/>
        </w:rPr>
      </w:pPr>
    </w:p>
    <w:p w:rsidR="007D48BC" w:rsidRPr="00616F7A" w:rsidRDefault="007D48BC" w:rsidP="00FC08C8">
      <w:pPr>
        <w:pStyle w:val="Ttulo2"/>
        <w:numPr>
          <w:ilvl w:val="1"/>
          <w:numId w:val="33"/>
        </w:numPr>
        <w:pBdr>
          <w:top w:val="single" w:sz="4" w:space="1" w:color="auto"/>
          <w:left w:val="single" w:sz="4" w:space="4" w:color="auto"/>
          <w:bottom w:val="single" w:sz="4" w:space="1" w:color="auto"/>
          <w:right w:val="single" w:sz="4" w:space="4" w:color="auto"/>
        </w:pBdr>
        <w:shd w:val="clear" w:color="auto" w:fill="D9D9D9"/>
        <w:rPr>
          <w:sz w:val="20"/>
          <w:szCs w:val="20"/>
        </w:rPr>
      </w:pPr>
      <w:bookmarkStart w:id="94" w:name="_Toc344399667"/>
      <w:bookmarkStart w:id="95" w:name="_Toc348931398"/>
      <w:r w:rsidRPr="00616F7A">
        <w:rPr>
          <w:sz w:val="20"/>
          <w:szCs w:val="20"/>
        </w:rPr>
        <w:t>Resumen de los aspectos más significativos respecto a la alternativa y propuestas</w:t>
      </w:r>
      <w:bookmarkEnd w:id="94"/>
      <w:bookmarkEnd w:id="95"/>
    </w:p>
    <w:p w:rsidR="007D48BC" w:rsidRPr="00836B0B" w:rsidRDefault="007D48BC" w:rsidP="00BC3E8E">
      <w:pPr>
        <w:jc w:val="both"/>
        <w:rPr>
          <w:rFonts w:ascii="Arial" w:hAnsi="Arial" w:cs="Arial"/>
        </w:rPr>
      </w:pPr>
    </w:p>
    <w:p w:rsidR="007D48BC" w:rsidRDefault="007D48BC" w:rsidP="00836B0B">
      <w:pPr>
        <w:pStyle w:val="Prrafodelista"/>
        <w:numPr>
          <w:ilvl w:val="0"/>
          <w:numId w:val="25"/>
        </w:numPr>
        <w:spacing w:after="160" w:line="256" w:lineRule="auto"/>
        <w:ind w:left="284"/>
        <w:jc w:val="both"/>
        <w:rPr>
          <w:rFonts w:ascii="Arial" w:hAnsi="Arial" w:cs="Arial"/>
          <w:b/>
          <w:bCs/>
          <w:u w:val="single"/>
        </w:rPr>
      </w:pPr>
      <w:r>
        <w:rPr>
          <w:rFonts w:ascii="Arial" w:hAnsi="Arial" w:cs="Arial"/>
          <w:b/>
          <w:bCs/>
          <w:u w:val="single"/>
        </w:rPr>
        <w:t>Indicación, posología y forma de administración:</w:t>
      </w:r>
    </w:p>
    <w:p w:rsidR="007D48BC" w:rsidRDefault="007D48BC" w:rsidP="00A65036">
      <w:pPr>
        <w:spacing w:after="160" w:line="360" w:lineRule="auto"/>
        <w:ind w:left="-76"/>
        <w:jc w:val="both"/>
        <w:rPr>
          <w:rFonts w:ascii="Arial" w:hAnsi="Arial" w:cs="Arial"/>
        </w:rPr>
      </w:pPr>
      <w:r>
        <w:rPr>
          <w:rFonts w:ascii="Arial" w:hAnsi="Arial" w:cs="Arial"/>
        </w:rPr>
        <w:t>a) A</w:t>
      </w:r>
      <w:r w:rsidRPr="00836B0B">
        <w:rPr>
          <w:rFonts w:ascii="Arial" w:hAnsi="Arial" w:cs="Arial"/>
        </w:rPr>
        <w:t>xicabtagen ciloleucel</w:t>
      </w:r>
      <w:r>
        <w:rPr>
          <w:rFonts w:ascii="Arial" w:hAnsi="Arial" w:cs="Arial"/>
        </w:rPr>
        <w:t xml:space="preserve"> ha sido aprobado por la EMA para el t</w:t>
      </w:r>
      <w:r w:rsidRPr="00A65036">
        <w:rPr>
          <w:rFonts w:ascii="Arial" w:hAnsi="Arial" w:cs="Arial"/>
        </w:rPr>
        <w:t xml:space="preserve">ratamiento de pacientes adultos con </w:t>
      </w:r>
      <w:r w:rsidR="008258E3" w:rsidRPr="003652DD">
        <w:rPr>
          <w:rFonts w:ascii="Arial" w:hAnsi="Arial" w:cs="Arial"/>
        </w:rPr>
        <w:t>LDCBG</w:t>
      </w:r>
      <w:r w:rsidRPr="003652DD">
        <w:rPr>
          <w:rFonts w:ascii="Arial" w:hAnsi="Arial" w:cs="Arial"/>
        </w:rPr>
        <w:t xml:space="preserve"> refractario o en recaída y linfoma B primario mediastínico de células grandes, después de dos o más líneas de tratamiento sistémico.</w:t>
      </w:r>
      <w:r w:rsidR="00FA71D2" w:rsidRPr="003652DD">
        <w:rPr>
          <w:rFonts w:ascii="Arial" w:hAnsi="Arial" w:cs="Arial"/>
        </w:rPr>
        <w:t xml:space="preserve"> El presente informe describe y discute en profundidad únicamente la indicación de </w:t>
      </w:r>
      <w:r w:rsidR="008258E3" w:rsidRPr="003652DD">
        <w:rPr>
          <w:rFonts w:ascii="Arial" w:hAnsi="Arial" w:cs="Arial"/>
        </w:rPr>
        <w:t>LDCBG</w:t>
      </w:r>
      <w:r w:rsidR="00FA71D2" w:rsidRPr="003652DD">
        <w:rPr>
          <w:rFonts w:ascii="Arial" w:hAnsi="Arial" w:cs="Arial"/>
        </w:rPr>
        <w:t xml:space="preserve"> refractario o en recaída.</w:t>
      </w:r>
    </w:p>
    <w:p w:rsidR="007D48BC" w:rsidRDefault="007D48BC" w:rsidP="00A65036">
      <w:pPr>
        <w:spacing w:after="160" w:line="360" w:lineRule="auto"/>
        <w:ind w:left="-76"/>
        <w:jc w:val="both"/>
        <w:rPr>
          <w:rFonts w:ascii="Arial" w:hAnsi="Arial" w:cs="Arial"/>
        </w:rPr>
      </w:pPr>
      <w:r w:rsidRPr="00836B0B">
        <w:rPr>
          <w:rFonts w:ascii="Arial" w:hAnsi="Arial" w:cs="Arial"/>
        </w:rPr>
        <w:t>b) El fármaco</w:t>
      </w:r>
      <w:r>
        <w:t xml:space="preserve"> </w:t>
      </w:r>
      <w:r w:rsidRPr="00836B0B">
        <w:rPr>
          <w:rFonts w:ascii="Arial" w:hAnsi="Arial" w:cs="Arial"/>
        </w:rPr>
        <w:t xml:space="preserve">es una terapia autóloga e inmunocelular que se basa en reprogramar ex-vivo a los propios linfocitos T del paciente (extraídos mediante linfoaféresis) frente al antígeno CD-19. </w:t>
      </w:r>
    </w:p>
    <w:p w:rsidR="007D48BC" w:rsidRDefault="007D48BC" w:rsidP="00A65036">
      <w:pPr>
        <w:spacing w:after="160" w:line="360" w:lineRule="auto"/>
        <w:ind w:left="-76"/>
        <w:jc w:val="both"/>
        <w:rPr>
          <w:rFonts w:ascii="Arial" w:hAnsi="Arial" w:cs="Arial"/>
        </w:rPr>
      </w:pPr>
      <w:r>
        <w:rPr>
          <w:rFonts w:ascii="Arial" w:hAnsi="Arial" w:cs="Arial"/>
        </w:rPr>
        <w:t>c) Se administra en dosis única intravenosa. P</w:t>
      </w:r>
      <w:r w:rsidRPr="00A65036">
        <w:rPr>
          <w:rFonts w:ascii="Arial" w:hAnsi="Arial" w:cs="Arial"/>
        </w:rPr>
        <w:t>erfusión única específica del paciente (contiene una dispersión de células CAR</w:t>
      </w:r>
      <w:r w:rsidR="00480033">
        <w:rPr>
          <w:rFonts w:ascii="Arial" w:hAnsi="Arial" w:cs="Arial"/>
        </w:rPr>
        <w:t xml:space="preserve"> T</w:t>
      </w:r>
      <w:r w:rsidRPr="00A65036">
        <w:rPr>
          <w:rFonts w:ascii="Arial" w:hAnsi="Arial" w:cs="Arial"/>
        </w:rPr>
        <w:t xml:space="preserve"> anti-CD 19 en 68 ml)</w:t>
      </w:r>
      <w:r>
        <w:rPr>
          <w:rFonts w:ascii="Arial" w:hAnsi="Arial" w:cs="Arial"/>
        </w:rPr>
        <w:t>.</w:t>
      </w:r>
    </w:p>
    <w:p w:rsidR="007D48BC" w:rsidRPr="00A65036" w:rsidRDefault="007D48BC" w:rsidP="00A65036">
      <w:pPr>
        <w:spacing w:after="160" w:line="360" w:lineRule="auto"/>
        <w:ind w:left="-76"/>
        <w:jc w:val="both"/>
        <w:rPr>
          <w:rFonts w:ascii="Arial" w:hAnsi="Arial" w:cs="Arial"/>
        </w:rPr>
      </w:pPr>
      <w:r>
        <w:rPr>
          <w:rFonts w:ascii="Arial" w:hAnsi="Arial" w:cs="Arial"/>
        </w:rPr>
        <w:t xml:space="preserve">d) </w:t>
      </w:r>
      <w:r w:rsidRPr="00A65036">
        <w:rPr>
          <w:rFonts w:ascii="Arial" w:hAnsi="Arial" w:cs="Arial"/>
        </w:rPr>
        <w:t>Previo a la administración el paciente debe someterse a terapia linfoablativa para reducir su recuento de leucocitos por debajo de 1.000 células/μL.</w:t>
      </w:r>
    </w:p>
    <w:p w:rsidR="007D48BC" w:rsidRDefault="007D48BC" w:rsidP="00836B0B">
      <w:pPr>
        <w:pStyle w:val="Prrafodelista"/>
        <w:numPr>
          <w:ilvl w:val="0"/>
          <w:numId w:val="25"/>
        </w:numPr>
        <w:spacing w:after="160" w:line="256" w:lineRule="auto"/>
        <w:ind w:left="284"/>
        <w:jc w:val="both"/>
        <w:rPr>
          <w:rFonts w:ascii="Arial" w:hAnsi="Arial" w:cs="Arial"/>
          <w:b/>
          <w:bCs/>
          <w:u w:val="single"/>
        </w:rPr>
      </w:pPr>
      <w:r w:rsidRPr="00836B0B">
        <w:rPr>
          <w:rFonts w:ascii="Arial" w:hAnsi="Arial" w:cs="Arial"/>
          <w:b/>
          <w:bCs/>
          <w:u w:val="single"/>
        </w:rPr>
        <w:t>Eficacia:</w:t>
      </w:r>
    </w:p>
    <w:p w:rsidR="007D48BC" w:rsidRDefault="007D48BC" w:rsidP="00A65036">
      <w:pPr>
        <w:spacing w:after="160" w:line="360" w:lineRule="auto"/>
        <w:ind w:left="-76"/>
        <w:jc w:val="both"/>
        <w:rPr>
          <w:rFonts w:ascii="Arial" w:hAnsi="Arial" w:cs="Arial"/>
        </w:rPr>
      </w:pPr>
      <w:r w:rsidRPr="00A65036">
        <w:rPr>
          <w:rFonts w:ascii="Arial" w:hAnsi="Arial" w:cs="Arial"/>
        </w:rPr>
        <w:t xml:space="preserve">e) </w:t>
      </w:r>
      <w:r>
        <w:rPr>
          <w:rFonts w:ascii="Arial" w:hAnsi="Arial" w:cs="Arial"/>
        </w:rPr>
        <w:t xml:space="preserve"> Los datos de eficacia de este fármaco se basan en el </w:t>
      </w:r>
      <w:r w:rsidRPr="00A65036">
        <w:rPr>
          <w:rFonts w:ascii="Arial" w:hAnsi="Arial" w:cs="Arial"/>
        </w:rPr>
        <w:t>ensayo pivotal del fármaco en la indicación evaluada: estudio ZUMA-1</w:t>
      </w:r>
      <w:r w:rsidRPr="004F6EB6">
        <w:rPr>
          <w:rFonts w:ascii="Arial" w:hAnsi="Arial" w:cs="Arial"/>
          <w:vertAlign w:val="superscript"/>
        </w:rPr>
        <w:t>16</w:t>
      </w:r>
      <w:r w:rsidRPr="00A65036">
        <w:rPr>
          <w:rFonts w:ascii="Arial" w:hAnsi="Arial" w:cs="Arial"/>
        </w:rPr>
        <w:t>, estudio fase 1/2, abierto y de un solo brazo, no comparativo. Para confirmar la tasa de respuesta del control preespecificada y el contexto histórico para interpretar los resultados del ensayo pivotal se revisó el estudio SCHOLAR-1, análisis retrospectivo combinado a nivel de paciente de los resultados en LNH agresivo refractario.</w:t>
      </w:r>
    </w:p>
    <w:p w:rsidR="007D48BC" w:rsidRDefault="007D48BC" w:rsidP="00A65036">
      <w:pPr>
        <w:spacing w:after="160" w:line="360" w:lineRule="auto"/>
        <w:ind w:left="-76"/>
        <w:jc w:val="both"/>
        <w:rPr>
          <w:sz w:val="18"/>
          <w:szCs w:val="18"/>
        </w:rPr>
      </w:pPr>
      <w:r>
        <w:rPr>
          <w:rFonts w:ascii="Arial" w:hAnsi="Arial" w:cs="Arial"/>
        </w:rPr>
        <w:t>f)</w:t>
      </w:r>
      <w:r w:rsidRPr="004F6EB6">
        <w:t xml:space="preserve"> </w:t>
      </w:r>
      <w:r w:rsidRPr="004F6EB6">
        <w:rPr>
          <w:rFonts w:ascii="Arial" w:hAnsi="Arial" w:cs="Arial"/>
        </w:rPr>
        <w:t>Según el análisis ITT la TRO fue del 66%</w:t>
      </w:r>
      <w:r>
        <w:rPr>
          <w:rFonts w:ascii="Arial" w:hAnsi="Arial" w:cs="Arial"/>
        </w:rPr>
        <w:t xml:space="preserve"> </w:t>
      </w:r>
      <w:r w:rsidRPr="004F6EB6">
        <w:rPr>
          <w:rFonts w:ascii="Arial" w:hAnsi="Arial" w:cs="Arial"/>
        </w:rPr>
        <w:t xml:space="preserve">(95% </w:t>
      </w:r>
      <w:r>
        <w:rPr>
          <w:rFonts w:ascii="Arial" w:hAnsi="Arial" w:cs="Arial"/>
        </w:rPr>
        <w:t>IC</w:t>
      </w:r>
      <w:r w:rsidRPr="004F6EB6">
        <w:rPr>
          <w:rFonts w:ascii="Arial" w:hAnsi="Arial" w:cs="Arial"/>
        </w:rPr>
        <w:t>: 56%, 75%)  con una tasa de respuesta completa del 47% y parcial del 19% según revisores independientes. La revisión de los datos en el corte de agosto-2017 con el análisis ITT modificado y la valoración por el investigador muestra unos resultados de 83% (IC95%:74-90) de TRO y una respuesta completa del 58%</w:t>
      </w:r>
      <w:r>
        <w:rPr>
          <w:rFonts w:ascii="Arial" w:hAnsi="Arial" w:cs="Arial"/>
        </w:rPr>
        <w:t>. La mediana de duración de la respuesta fue de 14 meses (</w:t>
      </w:r>
      <w:r w:rsidRPr="004F6EB6">
        <w:rPr>
          <w:rFonts w:ascii="Arial" w:hAnsi="Arial" w:cs="Arial"/>
        </w:rPr>
        <w:t>95% IC: 8.3, NE)</w:t>
      </w:r>
      <w:r w:rsidRPr="004F6EB6">
        <w:rPr>
          <w:sz w:val="18"/>
          <w:szCs w:val="18"/>
        </w:rPr>
        <w:t xml:space="preserve"> </w:t>
      </w:r>
    </w:p>
    <w:p w:rsidR="007D48BC" w:rsidRDefault="007D48BC" w:rsidP="00A65036">
      <w:pPr>
        <w:spacing w:after="160" w:line="360" w:lineRule="auto"/>
        <w:ind w:left="-76"/>
        <w:jc w:val="both"/>
        <w:rPr>
          <w:rFonts w:ascii="Arial" w:hAnsi="Arial" w:cs="Arial"/>
        </w:rPr>
      </w:pPr>
      <w:r>
        <w:rPr>
          <w:rFonts w:ascii="Arial" w:hAnsi="Arial" w:cs="Arial"/>
        </w:rPr>
        <w:t>g)</w:t>
      </w:r>
      <w:r w:rsidRPr="00E90F53">
        <w:t xml:space="preserve"> </w:t>
      </w:r>
      <w:r>
        <w:rPr>
          <w:rFonts w:ascii="Arial" w:hAnsi="Arial" w:cs="Arial"/>
        </w:rPr>
        <w:t>Se trata de un estudio abierto, no controlado y sin comparador lo que complica la valoración del efecto del fármaco</w:t>
      </w:r>
      <w:r w:rsidRPr="00E90F53">
        <w:rPr>
          <w:rFonts w:ascii="Arial" w:hAnsi="Arial" w:cs="Arial"/>
        </w:rPr>
        <w:t>.</w:t>
      </w:r>
    </w:p>
    <w:p w:rsidR="00521F4C" w:rsidRPr="003652DD" w:rsidRDefault="007D48BC" w:rsidP="00521F4C">
      <w:pPr>
        <w:spacing w:after="160" w:line="360" w:lineRule="auto"/>
        <w:ind w:left="-76"/>
        <w:jc w:val="both"/>
        <w:rPr>
          <w:rFonts w:ascii="Arial" w:hAnsi="Arial" w:cs="Arial"/>
        </w:rPr>
      </w:pPr>
      <w:r>
        <w:rPr>
          <w:rFonts w:ascii="Arial" w:hAnsi="Arial" w:cs="Arial"/>
        </w:rPr>
        <w:t>h)</w:t>
      </w:r>
      <w:r w:rsidRPr="00E90F53">
        <w:t xml:space="preserve"> </w:t>
      </w:r>
      <w:r w:rsidRPr="00E90F53">
        <w:rPr>
          <w:rFonts w:ascii="Arial" w:hAnsi="Arial" w:cs="Arial"/>
        </w:rPr>
        <w:t xml:space="preserve">Los estudios disponibles están en estadios iniciales (fase I y II). La comparación del fármaco frente </w:t>
      </w:r>
      <w:r w:rsidRPr="003652DD">
        <w:rPr>
          <w:rFonts w:ascii="Arial" w:hAnsi="Arial" w:cs="Arial"/>
        </w:rPr>
        <w:t>a datos históricos es difícil de evaluar por los sesgos que conlleva.</w:t>
      </w:r>
    </w:p>
    <w:p w:rsidR="00521F4C" w:rsidRPr="00342486" w:rsidRDefault="00521F4C" w:rsidP="00521F4C">
      <w:pPr>
        <w:spacing w:after="160" w:line="360" w:lineRule="auto"/>
        <w:ind w:left="-76"/>
        <w:jc w:val="both"/>
        <w:rPr>
          <w:rFonts w:ascii="Arial" w:hAnsi="Arial" w:cs="Arial"/>
        </w:rPr>
      </w:pPr>
      <w:r w:rsidRPr="003652DD">
        <w:rPr>
          <w:rFonts w:ascii="Arial" w:hAnsi="Arial" w:cs="Arial"/>
        </w:rPr>
        <w:t>i) Existen tratamientos alternativos para estos pacientes, como pixantrona o R-GEMOX y sería deseable tener los resultados de un ensayo comparativo frente a estas alternativas.</w:t>
      </w:r>
    </w:p>
    <w:p w:rsidR="00521F4C" w:rsidRPr="00A65036" w:rsidRDefault="00521F4C" w:rsidP="00A65036">
      <w:pPr>
        <w:spacing w:after="160" w:line="360" w:lineRule="auto"/>
        <w:ind w:left="-76"/>
        <w:jc w:val="both"/>
        <w:rPr>
          <w:rFonts w:ascii="Arial" w:hAnsi="Arial" w:cs="Arial"/>
        </w:rPr>
      </w:pPr>
    </w:p>
    <w:p w:rsidR="007D48BC" w:rsidRDefault="007D48BC" w:rsidP="00836B0B">
      <w:pPr>
        <w:pStyle w:val="Prrafodelista"/>
        <w:numPr>
          <w:ilvl w:val="0"/>
          <w:numId w:val="25"/>
        </w:numPr>
        <w:spacing w:after="160" w:line="256" w:lineRule="auto"/>
        <w:ind w:left="284"/>
        <w:jc w:val="both"/>
        <w:rPr>
          <w:rFonts w:ascii="Arial" w:hAnsi="Arial" w:cs="Arial"/>
          <w:b/>
          <w:bCs/>
          <w:u w:val="single"/>
        </w:rPr>
      </w:pPr>
      <w:r w:rsidRPr="00836B0B">
        <w:rPr>
          <w:rFonts w:ascii="Arial" w:hAnsi="Arial" w:cs="Arial"/>
          <w:b/>
          <w:bCs/>
          <w:u w:val="single"/>
        </w:rPr>
        <w:t>Seguridad:</w:t>
      </w:r>
    </w:p>
    <w:p w:rsidR="007D48BC" w:rsidRDefault="007D48BC" w:rsidP="00521F4C">
      <w:pPr>
        <w:pStyle w:val="Prrafodelista"/>
        <w:numPr>
          <w:ilvl w:val="0"/>
          <w:numId w:val="34"/>
        </w:numPr>
        <w:tabs>
          <w:tab w:val="left" w:pos="284"/>
        </w:tabs>
        <w:spacing w:after="160" w:line="360" w:lineRule="auto"/>
        <w:ind w:left="284" w:hanging="284"/>
        <w:jc w:val="both"/>
        <w:rPr>
          <w:rFonts w:ascii="Arial" w:hAnsi="Arial" w:cs="Arial"/>
        </w:rPr>
      </w:pPr>
      <w:r w:rsidRPr="00E90F53">
        <w:rPr>
          <w:rFonts w:ascii="Arial" w:hAnsi="Arial" w:cs="Arial"/>
        </w:rPr>
        <w:t>Las reacciones adversas notificadas con mayor frecuencia en el estudio pivotal</w:t>
      </w:r>
      <w:r w:rsidRPr="00E90F53">
        <w:rPr>
          <w:rFonts w:ascii="Arial" w:hAnsi="Arial" w:cs="Arial"/>
          <w:vertAlign w:val="superscript"/>
        </w:rPr>
        <w:t>16</w:t>
      </w:r>
      <w:r w:rsidRPr="00E90F53">
        <w:rPr>
          <w:rFonts w:ascii="Arial" w:hAnsi="Arial" w:cs="Arial"/>
        </w:rPr>
        <w:t xml:space="preserve"> fueron:</w:t>
      </w:r>
      <w:r>
        <w:rPr>
          <w:rFonts w:ascii="Arial" w:hAnsi="Arial" w:cs="Arial"/>
        </w:rPr>
        <w:t xml:space="preserve"> </w:t>
      </w:r>
      <w:r w:rsidRPr="00E90F53">
        <w:rPr>
          <w:rFonts w:ascii="Arial" w:hAnsi="Arial" w:cs="Arial"/>
        </w:rPr>
        <w:t xml:space="preserve">Síndrome de liberación de citoquinas (SLC) (93 %), encefalopatía (58 %) e infecciones (38 %). </w:t>
      </w:r>
    </w:p>
    <w:p w:rsidR="007D48BC" w:rsidRDefault="007D48BC" w:rsidP="00521F4C">
      <w:pPr>
        <w:pStyle w:val="Prrafodelista"/>
        <w:numPr>
          <w:ilvl w:val="0"/>
          <w:numId w:val="34"/>
        </w:numPr>
        <w:tabs>
          <w:tab w:val="left" w:pos="284"/>
        </w:tabs>
        <w:spacing w:after="160" w:line="360" w:lineRule="auto"/>
        <w:ind w:left="0" w:firstLine="0"/>
        <w:jc w:val="both"/>
        <w:rPr>
          <w:rFonts w:ascii="Arial" w:hAnsi="Arial" w:cs="Arial"/>
        </w:rPr>
      </w:pPr>
      <w:r w:rsidRPr="00E90F53">
        <w:rPr>
          <w:rFonts w:ascii="Arial" w:hAnsi="Arial" w:cs="Arial"/>
        </w:rPr>
        <w:t xml:space="preserve">El 55% de los pacientes sufrieron reacciones adversas graves. Las más importantes fueron encefalopatía (20%), infección sin patógeno claro (15%), infección bacteriana (5%), infección vírica (5%), pirexia (5%) y neutropenia febril (5%). </w:t>
      </w:r>
    </w:p>
    <w:p w:rsidR="007D48BC" w:rsidRDefault="007D48BC" w:rsidP="00521F4C">
      <w:pPr>
        <w:pStyle w:val="Prrafodelista"/>
        <w:numPr>
          <w:ilvl w:val="0"/>
          <w:numId w:val="34"/>
        </w:numPr>
        <w:tabs>
          <w:tab w:val="left" w:pos="284"/>
        </w:tabs>
        <w:spacing w:after="160" w:line="360" w:lineRule="auto"/>
        <w:ind w:left="0" w:firstLine="0"/>
        <w:jc w:val="both"/>
        <w:rPr>
          <w:rFonts w:ascii="Arial" w:hAnsi="Arial" w:cs="Arial"/>
        </w:rPr>
      </w:pPr>
      <w:r w:rsidRPr="00E90F53">
        <w:rPr>
          <w:rFonts w:ascii="Arial" w:hAnsi="Arial" w:cs="Arial"/>
        </w:rPr>
        <w:t xml:space="preserve">Más del 80% de los pacientes sufrió una reacción adversa grado 3. Se observó neutropenia, trombocitopenia y anemia de grado 3 o superior, presentes aún en el día 30 o después, en el 31 , 27 % y 17 % de los pacientes, respectivamente. </w:t>
      </w:r>
    </w:p>
    <w:p w:rsidR="007D48BC" w:rsidRPr="00E90F53" w:rsidRDefault="007D48BC" w:rsidP="00521F4C">
      <w:pPr>
        <w:pStyle w:val="Prrafodelista"/>
        <w:numPr>
          <w:ilvl w:val="0"/>
          <w:numId w:val="34"/>
        </w:numPr>
        <w:tabs>
          <w:tab w:val="left" w:pos="284"/>
        </w:tabs>
        <w:spacing w:after="160" w:line="360" w:lineRule="auto"/>
        <w:ind w:left="0" w:firstLine="0"/>
        <w:jc w:val="both"/>
        <w:rPr>
          <w:rFonts w:ascii="Arial" w:hAnsi="Arial" w:cs="Arial"/>
        </w:rPr>
      </w:pPr>
      <w:r w:rsidRPr="00E90F53">
        <w:rPr>
          <w:rFonts w:ascii="Arial" w:hAnsi="Arial" w:cs="Arial"/>
        </w:rPr>
        <w:t>La seguridad de axicabtagen ciloleucel en pacientes con linfoma B difuso de células grandes (</w:t>
      </w:r>
      <w:r w:rsidR="008258E3">
        <w:rPr>
          <w:rFonts w:ascii="Arial" w:hAnsi="Arial" w:cs="Arial"/>
        </w:rPr>
        <w:t>LDCBG</w:t>
      </w:r>
      <w:r w:rsidRPr="00E90F53">
        <w:rPr>
          <w:rFonts w:ascii="Arial" w:hAnsi="Arial" w:cs="Arial"/>
        </w:rPr>
        <w:t>) refractario o en recaída se ha evaluado en 108 pacientes (7 Fase I y 101 Fase II).</w:t>
      </w:r>
    </w:p>
    <w:p w:rsidR="007D48BC" w:rsidRPr="00836B0B" w:rsidRDefault="007D48BC" w:rsidP="00836B0B">
      <w:pPr>
        <w:pStyle w:val="Prrafodelista"/>
        <w:numPr>
          <w:ilvl w:val="0"/>
          <w:numId w:val="25"/>
        </w:numPr>
        <w:spacing w:after="160" w:line="256" w:lineRule="auto"/>
        <w:ind w:left="284"/>
        <w:jc w:val="both"/>
        <w:rPr>
          <w:rFonts w:ascii="Arial" w:hAnsi="Arial" w:cs="Arial"/>
          <w:b/>
          <w:bCs/>
          <w:u w:val="single"/>
        </w:rPr>
      </w:pPr>
      <w:r w:rsidRPr="00836B0B">
        <w:rPr>
          <w:rFonts w:ascii="Arial" w:hAnsi="Arial" w:cs="Arial"/>
          <w:b/>
          <w:bCs/>
          <w:u w:val="single"/>
        </w:rPr>
        <w:t>Evaluación económica e impacto presupuestario:</w:t>
      </w:r>
    </w:p>
    <w:p w:rsidR="007D48BC" w:rsidRDefault="007D48BC" w:rsidP="00521F4C">
      <w:pPr>
        <w:pStyle w:val="Prrafodelista"/>
        <w:numPr>
          <w:ilvl w:val="0"/>
          <w:numId w:val="34"/>
        </w:numPr>
        <w:tabs>
          <w:tab w:val="left" w:pos="284"/>
        </w:tabs>
        <w:spacing w:after="160" w:line="360" w:lineRule="auto"/>
        <w:ind w:left="0" w:firstLine="0"/>
        <w:jc w:val="both"/>
        <w:rPr>
          <w:rFonts w:ascii="Arial" w:hAnsi="Arial" w:cs="Arial"/>
        </w:rPr>
      </w:pPr>
      <w:r>
        <w:rPr>
          <w:rFonts w:ascii="Arial" w:hAnsi="Arial" w:cs="Arial"/>
        </w:rPr>
        <w:t>A</w:t>
      </w:r>
      <w:r w:rsidRPr="00836B0B">
        <w:rPr>
          <w:rFonts w:ascii="Arial" w:hAnsi="Arial" w:cs="Arial"/>
        </w:rPr>
        <w:t>xicabtagen ciloleucel</w:t>
      </w:r>
      <w:r>
        <w:rPr>
          <w:rFonts w:ascii="Arial" w:hAnsi="Arial" w:cs="Arial"/>
        </w:rPr>
        <w:t xml:space="preserve"> </w:t>
      </w:r>
      <w:r w:rsidRPr="00E90F53">
        <w:rPr>
          <w:rFonts w:ascii="Arial" w:hAnsi="Arial" w:cs="Arial"/>
        </w:rPr>
        <w:t>aún no dispone de decisión de precio y financiación en España. El precio utilizado en el análisis económico de este informe se ha obtenido de</w:t>
      </w:r>
      <w:r>
        <w:rPr>
          <w:rFonts w:ascii="Arial" w:hAnsi="Arial" w:cs="Arial"/>
        </w:rPr>
        <w:t xml:space="preserve"> publicaciones de EE.UU.</w:t>
      </w:r>
      <w:r w:rsidRPr="00E90F53">
        <w:rPr>
          <w:rFonts w:ascii="Arial" w:hAnsi="Arial" w:cs="Arial"/>
        </w:rPr>
        <w:t xml:space="preserve"> Dicho precio es de </w:t>
      </w:r>
      <w:r w:rsidRPr="00644AD5">
        <w:rPr>
          <w:rFonts w:ascii="Arial" w:hAnsi="Arial" w:cs="Arial"/>
        </w:rPr>
        <w:t xml:space="preserve">418.214 </w:t>
      </w:r>
      <w:r w:rsidRPr="00E90F53">
        <w:rPr>
          <w:rFonts w:ascii="Arial" w:hAnsi="Arial" w:cs="Arial"/>
        </w:rPr>
        <w:t>€.</w:t>
      </w:r>
    </w:p>
    <w:p w:rsidR="007D48BC" w:rsidRDefault="007D48BC" w:rsidP="00521F4C">
      <w:pPr>
        <w:pStyle w:val="Prrafodelista"/>
        <w:numPr>
          <w:ilvl w:val="0"/>
          <w:numId w:val="34"/>
        </w:numPr>
        <w:tabs>
          <w:tab w:val="left" w:pos="284"/>
        </w:tabs>
        <w:spacing w:after="160" w:line="360" w:lineRule="auto"/>
        <w:ind w:left="0" w:firstLine="0"/>
        <w:jc w:val="both"/>
        <w:rPr>
          <w:rFonts w:ascii="Arial" w:hAnsi="Arial" w:cs="Arial"/>
        </w:rPr>
      </w:pPr>
      <w:r w:rsidRPr="00644AD5">
        <w:rPr>
          <w:rFonts w:ascii="Arial" w:hAnsi="Arial" w:cs="Arial"/>
        </w:rPr>
        <w:t>Se ha encontrado en la literatura</w:t>
      </w:r>
      <w:r>
        <w:rPr>
          <w:rFonts w:ascii="Arial" w:hAnsi="Arial" w:cs="Arial"/>
        </w:rPr>
        <w:t xml:space="preserve"> una </w:t>
      </w:r>
      <w:r w:rsidRPr="00644AD5">
        <w:rPr>
          <w:rFonts w:ascii="Arial" w:hAnsi="Arial" w:cs="Arial"/>
        </w:rPr>
        <w:t>evaluaci</w:t>
      </w:r>
      <w:r>
        <w:rPr>
          <w:rFonts w:ascii="Arial" w:hAnsi="Arial" w:cs="Arial"/>
        </w:rPr>
        <w:t xml:space="preserve">ón </w:t>
      </w:r>
      <w:r w:rsidRPr="00644AD5">
        <w:rPr>
          <w:rFonts w:ascii="Arial" w:hAnsi="Arial" w:cs="Arial"/>
        </w:rPr>
        <w:t xml:space="preserve">económica publicada en el ámbito de EEUU. </w:t>
      </w:r>
      <w:r>
        <w:rPr>
          <w:rFonts w:ascii="Arial" w:hAnsi="Arial" w:cs="Arial"/>
        </w:rPr>
        <w:t>S</w:t>
      </w:r>
      <w:r w:rsidRPr="00644AD5">
        <w:rPr>
          <w:rFonts w:ascii="Arial" w:hAnsi="Arial" w:cs="Arial"/>
        </w:rPr>
        <w:t>itúa el RCEI del fármaco en $ 58.146 / AVAC ganado</w:t>
      </w:r>
      <w:r>
        <w:rPr>
          <w:rFonts w:ascii="Arial" w:hAnsi="Arial" w:cs="Arial"/>
        </w:rPr>
        <w:t xml:space="preserve"> </w:t>
      </w:r>
      <w:r w:rsidRPr="00644AD5">
        <w:rPr>
          <w:rFonts w:ascii="Arial" w:hAnsi="Arial" w:cs="Arial"/>
          <w:vertAlign w:val="superscript"/>
        </w:rPr>
        <w:t>26</w:t>
      </w:r>
      <w:r w:rsidRPr="00644AD5">
        <w:rPr>
          <w:rFonts w:ascii="Arial" w:hAnsi="Arial" w:cs="Arial"/>
        </w:rPr>
        <w:t xml:space="preserve">. </w:t>
      </w:r>
      <w:r>
        <w:rPr>
          <w:rFonts w:ascii="Arial" w:hAnsi="Arial" w:cs="Arial"/>
        </w:rPr>
        <w:t>U</w:t>
      </w:r>
      <w:r w:rsidRPr="00644AD5">
        <w:rPr>
          <w:rFonts w:ascii="Arial" w:hAnsi="Arial" w:cs="Arial"/>
        </w:rPr>
        <w:t>tiliza los precios del fármaco en el mercado estadounidense y tienen como principales problemas el comparar datos de eficacia de diferentes ensayos no comparativos y de extrapolar resultados en eficacia a largo plazo a partir de ensayos con un tiempo de seguimiento corto.</w:t>
      </w:r>
    </w:p>
    <w:p w:rsidR="007D48BC" w:rsidRDefault="007D48BC" w:rsidP="00521F4C">
      <w:pPr>
        <w:pStyle w:val="Prrafodelista"/>
        <w:numPr>
          <w:ilvl w:val="0"/>
          <w:numId w:val="34"/>
        </w:numPr>
        <w:tabs>
          <w:tab w:val="left" w:pos="284"/>
        </w:tabs>
        <w:spacing w:after="160" w:line="360" w:lineRule="auto"/>
        <w:ind w:left="0" w:firstLine="0"/>
        <w:jc w:val="both"/>
        <w:rPr>
          <w:rFonts w:ascii="Arial" w:hAnsi="Arial" w:cs="Arial"/>
        </w:rPr>
      </w:pPr>
      <w:r w:rsidRPr="00644AD5">
        <w:rPr>
          <w:rFonts w:ascii="Arial" w:hAnsi="Arial" w:cs="Arial"/>
        </w:rPr>
        <w:t xml:space="preserve">Al no disponer de ensayos comparativos no se ha realizado un análisis de coste-efectividad o coste-utilidad. En su lugar se han descrito los costes de adquisición y costes directos del tratamiento. El coste total por paciente calculado asciende a 439.874,51 € mientras que los de las </w:t>
      </w:r>
      <w:r w:rsidRPr="003652DD">
        <w:rPr>
          <w:rFonts w:ascii="Arial" w:hAnsi="Arial" w:cs="Arial"/>
        </w:rPr>
        <w:t>alternativas disponibles en el mercado (tisangeleucel y pixantrona) son de 355.677 € y 41.285 € respectivamente.</w:t>
      </w:r>
      <w:r w:rsidR="00521F4C" w:rsidRPr="003652DD">
        <w:rPr>
          <w:rFonts w:ascii="Arial" w:hAnsi="Arial" w:cs="Arial"/>
        </w:rPr>
        <w:t xml:space="preserve"> Esta evaluación posee importantes debilidades pues se basa en datos de eficacia procedentes del ensayo principal no comparativo frente a ninguna alternativa</w:t>
      </w:r>
    </w:p>
    <w:p w:rsidR="007D48BC" w:rsidRDefault="007D48BC" w:rsidP="00521F4C">
      <w:pPr>
        <w:pStyle w:val="Prrafodelista"/>
        <w:numPr>
          <w:ilvl w:val="0"/>
          <w:numId w:val="34"/>
        </w:numPr>
        <w:tabs>
          <w:tab w:val="left" w:pos="284"/>
        </w:tabs>
        <w:spacing w:after="160" w:line="360" w:lineRule="auto"/>
        <w:ind w:left="0" w:firstLine="0"/>
        <w:jc w:val="both"/>
        <w:rPr>
          <w:rFonts w:ascii="Arial" w:hAnsi="Arial" w:cs="Arial"/>
        </w:rPr>
      </w:pPr>
      <w:r w:rsidRPr="00644AD5">
        <w:rPr>
          <w:rFonts w:ascii="Arial" w:hAnsi="Arial" w:cs="Arial"/>
        </w:rPr>
        <w:t xml:space="preserve">Se prevé que en </w:t>
      </w:r>
      <w:r w:rsidRPr="003652DD">
        <w:rPr>
          <w:rFonts w:ascii="Arial" w:hAnsi="Arial" w:cs="Arial"/>
        </w:rPr>
        <w:t>España la población diana sea de 245 pacientes/año aproximadamente, lo que generará un impacto presupuestario de 107.769.13 € con el precio americano del fármaco.</w:t>
      </w:r>
    </w:p>
    <w:p w:rsidR="007D48BC" w:rsidRDefault="007D48BC" w:rsidP="00521F4C">
      <w:pPr>
        <w:pStyle w:val="Prrafodelista"/>
        <w:numPr>
          <w:ilvl w:val="0"/>
          <w:numId w:val="34"/>
        </w:numPr>
        <w:tabs>
          <w:tab w:val="left" w:pos="284"/>
        </w:tabs>
        <w:spacing w:after="160" w:line="360" w:lineRule="auto"/>
        <w:ind w:left="0" w:firstLine="0"/>
        <w:jc w:val="both"/>
        <w:rPr>
          <w:rFonts w:ascii="Arial" w:hAnsi="Arial" w:cs="Arial"/>
        </w:rPr>
      </w:pPr>
      <w:r w:rsidRPr="00644AD5">
        <w:rPr>
          <w:rFonts w:ascii="Arial" w:hAnsi="Arial" w:cs="Arial"/>
        </w:rPr>
        <w:t xml:space="preserve">Los datos de los estudios publicados y los datos propios nos orientan a que en la situación actual es que no es coste-efectivo si utilizamos el umbral indicado por la Guía de EE e IP del grupo GENESIS (21.000 €/AVAC). Para que este medicamento fuera coste-efectivo bajo este umbral es estima que su precio debería </w:t>
      </w:r>
      <w:r w:rsidRPr="003652DD">
        <w:rPr>
          <w:rFonts w:ascii="Arial" w:hAnsi="Arial" w:cs="Arial"/>
        </w:rPr>
        <w:t xml:space="preserve">reducirse por debajo de </w:t>
      </w:r>
      <w:r w:rsidR="00BE5D26" w:rsidRPr="003652DD">
        <w:rPr>
          <w:rFonts w:ascii="Arial" w:hAnsi="Arial" w:cs="Arial"/>
        </w:rPr>
        <w:t>33.274</w:t>
      </w:r>
      <w:r w:rsidRPr="003652DD">
        <w:rPr>
          <w:rFonts w:ascii="Arial" w:hAnsi="Arial" w:cs="Arial"/>
        </w:rPr>
        <w:t xml:space="preserve"> €</w:t>
      </w:r>
      <w:r w:rsidR="00A22EEB" w:rsidRPr="003652DD">
        <w:rPr>
          <w:rFonts w:ascii="Arial" w:hAnsi="Arial" w:cs="Arial"/>
        </w:rPr>
        <w:t xml:space="preserve">, si usamos como comparación el precio de adquisición de </w:t>
      </w:r>
      <w:r w:rsidR="00BE5D26" w:rsidRPr="003652DD">
        <w:rPr>
          <w:rFonts w:ascii="Arial" w:hAnsi="Arial" w:cs="Arial"/>
        </w:rPr>
        <w:t>pixantrona</w:t>
      </w:r>
      <w:r w:rsidR="00A22EEB" w:rsidRPr="003652DD">
        <w:rPr>
          <w:rFonts w:ascii="Arial" w:hAnsi="Arial" w:cs="Arial"/>
        </w:rPr>
        <w:t>.</w:t>
      </w:r>
    </w:p>
    <w:p w:rsidR="007D48BC" w:rsidRPr="00CD21AF" w:rsidRDefault="007D48BC" w:rsidP="00521F4C">
      <w:pPr>
        <w:pStyle w:val="Prrafodelista"/>
        <w:numPr>
          <w:ilvl w:val="0"/>
          <w:numId w:val="34"/>
        </w:numPr>
        <w:tabs>
          <w:tab w:val="left" w:pos="284"/>
        </w:tabs>
        <w:spacing w:after="160" w:line="360" w:lineRule="auto"/>
        <w:ind w:left="0" w:firstLine="0"/>
        <w:jc w:val="both"/>
        <w:rPr>
          <w:rFonts w:ascii="Arial" w:hAnsi="Arial" w:cs="Arial"/>
        </w:rPr>
      </w:pPr>
      <w:r>
        <w:rPr>
          <w:rFonts w:ascii="Arial" w:hAnsi="Arial" w:cs="Arial"/>
        </w:rPr>
        <w:t xml:space="preserve">Otra opción para garantizar la adecuada relación coste-efectividad de este fármaco sería la de estudiar algún esquema de pago por resultados. </w:t>
      </w:r>
      <w:r w:rsidRPr="00CD21AF">
        <w:rPr>
          <w:rFonts w:ascii="Arial" w:hAnsi="Arial" w:cs="Arial"/>
        </w:rPr>
        <w:t xml:space="preserve">Se propone utilizar el criterio de paciente infundido respecto a paciente que inicia la fase de quimioterapia linfoablativa y se le realiza leucoaféresis, conjuntamente con el criterio de paciente que se mantiene en remisión completa en un tiempo </w:t>
      </w:r>
      <w:r w:rsidR="00251A73">
        <w:rPr>
          <w:rFonts w:ascii="Arial" w:hAnsi="Arial" w:cs="Arial"/>
        </w:rPr>
        <w:t>mínimo de 24 meses y con una estancia en UCI &lt; 7 días (mediana del estudio)</w:t>
      </w:r>
      <w:r w:rsidRPr="00CD21AF">
        <w:rPr>
          <w:rFonts w:ascii="Arial" w:hAnsi="Arial" w:cs="Arial"/>
        </w:rPr>
        <w:t>.</w:t>
      </w:r>
    </w:p>
    <w:p w:rsidR="007D48BC" w:rsidRPr="006F6ABB" w:rsidRDefault="007D48BC" w:rsidP="00BC3E8E">
      <w:pPr>
        <w:pStyle w:val="Textoindependiente3"/>
        <w:ind w:left="708"/>
        <w:jc w:val="both"/>
        <w:rPr>
          <w:color w:val="000080"/>
        </w:rPr>
      </w:pPr>
    </w:p>
    <w:p w:rsidR="007D48BC" w:rsidRPr="00616F7A" w:rsidRDefault="007D48BC" w:rsidP="00BC3E8E">
      <w:pPr>
        <w:pStyle w:val="Ttulo2"/>
        <w:pBdr>
          <w:top w:val="single" w:sz="4" w:space="1" w:color="auto"/>
          <w:left w:val="single" w:sz="4" w:space="4" w:color="auto"/>
          <w:bottom w:val="single" w:sz="4" w:space="1" w:color="auto"/>
          <w:right w:val="single" w:sz="4" w:space="4" w:color="auto"/>
        </w:pBdr>
        <w:shd w:val="clear" w:color="auto" w:fill="D9D9D9"/>
        <w:rPr>
          <w:sz w:val="20"/>
          <w:szCs w:val="20"/>
        </w:rPr>
      </w:pPr>
      <w:bookmarkStart w:id="96" w:name="_Toc344399668"/>
      <w:bookmarkStart w:id="97" w:name="_Toc348931399"/>
      <w:r w:rsidRPr="00616F7A">
        <w:rPr>
          <w:sz w:val="20"/>
          <w:szCs w:val="20"/>
        </w:rPr>
        <w:t>9.2 Decisión</w:t>
      </w:r>
      <w:bookmarkEnd w:id="96"/>
      <w:bookmarkEnd w:id="97"/>
    </w:p>
    <w:p w:rsidR="007D48BC" w:rsidRPr="006F6ABB" w:rsidRDefault="007D48BC" w:rsidP="00BC3E8E">
      <w:pPr>
        <w:pStyle w:val="Textoindependiente2"/>
        <w:jc w:val="left"/>
      </w:pPr>
    </w:p>
    <w:p w:rsidR="007D48BC" w:rsidRDefault="007D48BC" w:rsidP="00836B0B">
      <w:pPr>
        <w:pStyle w:val="Textoindependiente2"/>
        <w:spacing w:line="360" w:lineRule="auto"/>
        <w:jc w:val="left"/>
        <w:rPr>
          <w:rFonts w:ascii="Arial" w:hAnsi="Arial" w:cs="Arial"/>
          <w:sz w:val="20"/>
          <w:szCs w:val="20"/>
        </w:rPr>
      </w:pPr>
      <w:r>
        <w:rPr>
          <w:rFonts w:ascii="Arial" w:hAnsi="Arial" w:cs="Arial"/>
          <w:sz w:val="20"/>
          <w:szCs w:val="20"/>
        </w:rPr>
        <w:t>-La propuesta de los autores del informe es que sea clasificado como: Ver GUIA GINF</w:t>
      </w:r>
    </w:p>
    <w:p w:rsidR="007D48BC" w:rsidRDefault="007D48BC" w:rsidP="00836B0B">
      <w:pPr>
        <w:pStyle w:val="Textoindependiente2"/>
        <w:spacing w:line="360" w:lineRule="auto"/>
        <w:jc w:val="left"/>
        <w:rPr>
          <w:b/>
          <w:bCs/>
        </w:rPr>
      </w:pPr>
      <w:r>
        <w:rPr>
          <w:rFonts w:ascii="Arial" w:hAnsi="Arial" w:cs="Arial"/>
          <w:sz w:val="20"/>
          <w:szCs w:val="20"/>
        </w:rPr>
        <w:t>Identificar si la propuesta incluye la retirada de la GFT de otros fármacos</w:t>
      </w:r>
    </w:p>
    <w:p w:rsidR="007D48BC" w:rsidRPr="006F6ABB" w:rsidRDefault="007D48BC" w:rsidP="00BC3E8E">
      <w:pPr>
        <w:pStyle w:val="Textoindependiente2"/>
        <w:jc w:val="left"/>
        <w:rPr>
          <w:b/>
          <w:bCs/>
        </w:rPr>
      </w:pPr>
    </w:p>
    <w:p w:rsidR="007D48BC" w:rsidRPr="00E3472F" w:rsidRDefault="007D48BC" w:rsidP="00BC3E8E">
      <w:pPr>
        <w:pStyle w:val="Ttulo2"/>
        <w:pBdr>
          <w:top w:val="single" w:sz="4" w:space="1" w:color="auto"/>
          <w:left w:val="single" w:sz="4" w:space="4" w:color="auto"/>
          <w:bottom w:val="single" w:sz="4" w:space="1" w:color="auto"/>
          <w:right w:val="single" w:sz="4" w:space="4" w:color="auto"/>
        </w:pBdr>
        <w:shd w:val="clear" w:color="auto" w:fill="D9D9D9"/>
        <w:rPr>
          <w:sz w:val="20"/>
          <w:szCs w:val="20"/>
        </w:rPr>
      </w:pPr>
      <w:bookmarkStart w:id="98" w:name="_Toc344399669"/>
      <w:bookmarkStart w:id="99" w:name="_Toc348931400"/>
      <w:r w:rsidRPr="00E3472F">
        <w:rPr>
          <w:sz w:val="20"/>
          <w:szCs w:val="20"/>
        </w:rPr>
        <w:t>9.3 Condiciones de uso (Solo en caso de clasificación D-E de la guía GINF)</w:t>
      </w:r>
      <w:bookmarkEnd w:id="98"/>
      <w:bookmarkEnd w:id="99"/>
    </w:p>
    <w:p w:rsidR="007D48BC" w:rsidRDefault="007D48BC" w:rsidP="00BC3E8E">
      <w:pPr>
        <w:pStyle w:val="Encabezado"/>
        <w:tabs>
          <w:tab w:val="clear" w:pos="4252"/>
          <w:tab w:val="clear" w:pos="8504"/>
        </w:tabs>
        <w:rPr>
          <w:rFonts w:ascii="Arial" w:hAnsi="Arial" w:cs="Arial"/>
          <w:b/>
          <w:bCs/>
          <w:color w:val="FF0000"/>
        </w:rPr>
      </w:pPr>
    </w:p>
    <w:p w:rsidR="007D48BC" w:rsidRPr="006F6ABB" w:rsidRDefault="007D48BC" w:rsidP="00BC3E8E">
      <w:pPr>
        <w:pStyle w:val="Encabezado"/>
        <w:tabs>
          <w:tab w:val="clear" w:pos="4252"/>
          <w:tab w:val="clear" w:pos="8504"/>
        </w:tabs>
        <w:rPr>
          <w:rFonts w:ascii="Arial" w:hAnsi="Arial" w:cs="Arial"/>
          <w:b/>
          <w:bCs/>
          <w:color w:val="FF0000"/>
        </w:rPr>
      </w:pPr>
    </w:p>
    <w:p w:rsidR="007D48BC" w:rsidRPr="00E3472F" w:rsidRDefault="007D48BC" w:rsidP="00BC3E8E">
      <w:pPr>
        <w:pStyle w:val="Ttulo2"/>
        <w:pBdr>
          <w:top w:val="single" w:sz="4" w:space="1" w:color="auto"/>
          <w:left w:val="single" w:sz="4" w:space="4" w:color="auto"/>
          <w:bottom w:val="single" w:sz="4" w:space="1" w:color="auto"/>
          <w:right w:val="single" w:sz="4" w:space="4" w:color="auto"/>
        </w:pBdr>
        <w:shd w:val="clear" w:color="auto" w:fill="D9D9D9"/>
        <w:rPr>
          <w:sz w:val="20"/>
          <w:szCs w:val="20"/>
        </w:rPr>
      </w:pPr>
      <w:bookmarkStart w:id="100" w:name="_Toc344399670"/>
      <w:bookmarkStart w:id="101" w:name="_Toc348931401"/>
      <w:r w:rsidRPr="00E3472F">
        <w:rPr>
          <w:sz w:val="20"/>
          <w:szCs w:val="20"/>
        </w:rPr>
        <w:t>9.4 Plan de seguimiento</w:t>
      </w:r>
      <w:bookmarkEnd w:id="100"/>
      <w:bookmarkEnd w:id="101"/>
    </w:p>
    <w:p w:rsidR="007D48BC" w:rsidRDefault="007D48BC" w:rsidP="00BC3E8E">
      <w:pPr>
        <w:jc w:val="right"/>
        <w:rPr>
          <w:rFonts w:ascii="Arial" w:hAnsi="Arial" w:cs="Arial"/>
          <w:color w:val="0000FF"/>
          <w:u w:val="single"/>
        </w:rPr>
      </w:pPr>
    </w:p>
    <w:p w:rsidR="007D48BC" w:rsidRDefault="007D48BC" w:rsidP="00BC3E8E">
      <w:pPr>
        <w:jc w:val="right"/>
        <w:rPr>
          <w:rFonts w:ascii="Arial" w:hAnsi="Arial" w:cs="Arial"/>
          <w:color w:val="0000FF"/>
          <w:u w:val="single"/>
        </w:rPr>
      </w:pPr>
    </w:p>
    <w:p w:rsidR="007D48BC" w:rsidRPr="008D2A3D" w:rsidRDefault="007D48BC" w:rsidP="00BC3E8E">
      <w:pPr>
        <w:pStyle w:val="Ttulo1"/>
        <w:pBdr>
          <w:top w:val="single" w:sz="4" w:space="1" w:color="auto"/>
          <w:left w:val="single" w:sz="4" w:space="4" w:color="auto"/>
          <w:bottom w:val="single" w:sz="4" w:space="1" w:color="auto"/>
          <w:right w:val="single" w:sz="4" w:space="4" w:color="auto"/>
        </w:pBdr>
        <w:shd w:val="clear" w:color="auto" w:fill="A6A6A6"/>
        <w:rPr>
          <w:sz w:val="20"/>
          <w:szCs w:val="20"/>
        </w:rPr>
      </w:pPr>
      <w:bookmarkStart w:id="102" w:name="_Toc348931402"/>
      <w:r w:rsidRPr="00142AEE">
        <w:rPr>
          <w:sz w:val="20"/>
          <w:szCs w:val="20"/>
        </w:rPr>
        <w:t>10. BIBLIOGRAFÍA</w:t>
      </w:r>
      <w:bookmarkEnd w:id="102"/>
    </w:p>
    <w:p w:rsidR="007D48BC" w:rsidRDefault="007D48BC" w:rsidP="00BC3E8E">
      <w:pPr>
        <w:rPr>
          <w:rFonts w:ascii="Arial" w:hAnsi="Arial" w:cs="Arial"/>
          <w:color w:val="0000FF"/>
          <w:u w:val="single"/>
        </w:rPr>
      </w:pPr>
    </w:p>
    <w:p w:rsidR="007D48BC" w:rsidRPr="0084050B" w:rsidRDefault="007D48BC" w:rsidP="0084050B">
      <w:pPr>
        <w:widowControl w:val="0"/>
        <w:suppressAutoHyphens/>
        <w:spacing w:after="240"/>
        <w:jc w:val="both"/>
        <w:rPr>
          <w:rFonts w:ascii="Arial" w:hAnsi="Arial" w:cs="Arial"/>
        </w:rPr>
      </w:pPr>
      <w:r w:rsidRPr="00836B0B">
        <w:rPr>
          <w:rFonts w:ascii="Arial" w:hAnsi="Arial" w:cs="Arial"/>
          <w:b/>
          <w:bCs/>
          <w:i/>
          <w:iCs/>
        </w:rPr>
        <w:t>1.-</w:t>
      </w:r>
      <w:r w:rsidRPr="00836B0B">
        <w:rPr>
          <w:b/>
          <w:bCs/>
          <w:i/>
          <w:iCs/>
        </w:rPr>
        <w:t xml:space="preserve"> </w:t>
      </w:r>
      <w:r w:rsidRPr="00B072C6">
        <w:rPr>
          <w:rFonts w:ascii="Arial" w:hAnsi="Arial" w:cs="Arial"/>
          <w:bCs/>
          <w:iCs/>
        </w:rPr>
        <w:t>Marín R, Puigventós F, Fraga MD, Ortega A, López-Briz E, Arocas V, Santos B.</w:t>
      </w:r>
      <w:r w:rsidRPr="00B072C6">
        <w:rPr>
          <w:rFonts w:ascii="Arial" w:hAnsi="Arial" w:cs="Arial"/>
        </w:rPr>
        <w:t xml:space="preserve"> </w:t>
      </w:r>
      <w:r w:rsidRPr="0084050B">
        <w:rPr>
          <w:rFonts w:ascii="Arial" w:hAnsi="Arial" w:cs="Arial"/>
        </w:rPr>
        <w:t xml:space="preserve">Grupo de Evaluación de Novedades y Estandarización e Investigación en Selección de Medicamentos (GENESIS) de la Sociedad Española de Farmacia Hospitalaria (SEFH). Método de Ayuda para la toma de Decisiones y la Realización de Evaluaciones de medicamentos (MADRE). Versión 4.0. Madrid: SEFH (ed.), 2013. ISBN: 978-84-695-7629-8. Disponible en </w:t>
      </w:r>
      <w:hyperlink r:id="rId22" w:tgtFrame="_blank" w:history="1">
        <w:r w:rsidRPr="0084050B">
          <w:rPr>
            <w:rStyle w:val="Hipervnculo"/>
            <w:rFonts w:ascii="Arial" w:hAnsi="Arial" w:cs="Arial"/>
          </w:rPr>
          <w:t>http://gruposdetrabajo.sefh.es/genesis/genesis/basesmetodologicas/programamadre/index.html</w:t>
        </w:r>
      </w:hyperlink>
    </w:p>
    <w:p w:rsidR="007D48BC" w:rsidRPr="00251A73" w:rsidRDefault="007D48BC" w:rsidP="0084050B">
      <w:pPr>
        <w:widowControl w:val="0"/>
        <w:suppressAutoHyphens/>
        <w:spacing w:after="240"/>
        <w:jc w:val="both"/>
        <w:rPr>
          <w:rFonts w:ascii="Arial" w:hAnsi="Arial" w:cs="Arial"/>
        </w:rPr>
      </w:pPr>
      <w:r w:rsidRPr="00B072C6">
        <w:rPr>
          <w:rFonts w:ascii="Arial" w:hAnsi="Arial" w:cs="Arial"/>
          <w:bCs/>
          <w:iCs/>
        </w:rPr>
        <w:t>2.- Ortega Eslava A, Marín Gil R, Fraga Fuentes MD, López-Briz E, Puigventós Latorre F (GENESIS-SEFH</w:t>
      </w:r>
      <w:r w:rsidRPr="00B072C6">
        <w:rPr>
          <w:rFonts w:ascii="Arial" w:hAnsi="Arial" w:cs="Arial"/>
        </w:rPr>
        <w:t>).</w:t>
      </w:r>
      <w:r w:rsidRPr="0084050B">
        <w:rPr>
          <w:rFonts w:ascii="Arial" w:hAnsi="Arial" w:cs="Arial"/>
        </w:rPr>
        <w:t xml:space="preserve"> Guía de evaluación económica e impacto presupuestario en los informes de evaluación de medicamentos. Guía práctica asociada al programa MADRE v4.0. Madrid: SEFH (e.), </w:t>
      </w:r>
      <w:r w:rsidRPr="00251A73">
        <w:rPr>
          <w:rFonts w:ascii="Arial" w:hAnsi="Arial" w:cs="Arial"/>
        </w:rPr>
        <w:t xml:space="preserve">2016 ISBN: 978-84-617-6757-1. Disponible en: http://gruposdetrabajo.sefh.es/genesis </w:t>
      </w:r>
    </w:p>
    <w:p w:rsidR="007D48BC" w:rsidRPr="008E6D8B" w:rsidRDefault="007D48BC" w:rsidP="0084050B">
      <w:pPr>
        <w:spacing w:after="240" w:line="259" w:lineRule="auto"/>
        <w:rPr>
          <w:rFonts w:ascii="Arial" w:hAnsi="Arial" w:cs="Arial"/>
        </w:rPr>
      </w:pPr>
      <w:r w:rsidRPr="00251A73">
        <w:rPr>
          <w:rFonts w:ascii="Arial" w:hAnsi="Arial" w:cs="Arial"/>
        </w:rPr>
        <w:t>3. RARECARENet 2017</w:t>
      </w:r>
    </w:p>
    <w:p w:rsidR="007D48BC" w:rsidRPr="008E6D8B" w:rsidRDefault="007D48BC" w:rsidP="004B68FF">
      <w:pPr>
        <w:widowControl w:val="0"/>
        <w:suppressAutoHyphens/>
        <w:spacing w:after="240"/>
        <w:jc w:val="both"/>
        <w:rPr>
          <w:rFonts w:ascii="Arial" w:hAnsi="Arial" w:cs="Arial"/>
          <w:lang w:val="en-US"/>
        </w:rPr>
      </w:pPr>
      <w:r w:rsidRPr="004B68FF">
        <w:rPr>
          <w:rFonts w:ascii="Arial" w:hAnsi="Arial" w:cs="Arial"/>
        </w:rPr>
        <w:t>4.- Guía GELTAMO Tratamiento del linfoma b difuso de célula grande (</w:t>
      </w:r>
      <w:r w:rsidR="008258E3">
        <w:rPr>
          <w:rFonts w:ascii="Arial" w:hAnsi="Arial" w:cs="Arial"/>
        </w:rPr>
        <w:t>LDCBG</w:t>
      </w:r>
      <w:r w:rsidRPr="004B68FF">
        <w:rPr>
          <w:rFonts w:ascii="Arial" w:hAnsi="Arial" w:cs="Arial"/>
        </w:rPr>
        <w:t>)</w:t>
      </w:r>
      <w:r>
        <w:rPr>
          <w:rFonts w:ascii="Arial" w:hAnsi="Arial" w:cs="Arial"/>
        </w:rPr>
        <w:t xml:space="preserve">. </w:t>
      </w:r>
      <w:r w:rsidRPr="008E6D8B">
        <w:rPr>
          <w:rFonts w:ascii="Arial" w:hAnsi="Arial" w:cs="Arial"/>
          <w:lang w:val="en-US"/>
        </w:rPr>
        <w:t>Madrid 2016.  ISBN: 978-84-617-6568-3.</w:t>
      </w:r>
    </w:p>
    <w:p w:rsidR="007D48BC" w:rsidRPr="00575A85" w:rsidRDefault="007D48BC" w:rsidP="0084050B">
      <w:pPr>
        <w:autoSpaceDE w:val="0"/>
        <w:autoSpaceDN w:val="0"/>
        <w:adjustRightInd w:val="0"/>
        <w:spacing w:after="240"/>
        <w:jc w:val="both"/>
        <w:rPr>
          <w:rFonts w:ascii="Cambria" w:hAnsi="Cambria" w:cs="Cambria"/>
        </w:rPr>
      </w:pPr>
      <w:r>
        <w:rPr>
          <w:rFonts w:ascii="Arial" w:hAnsi="Arial" w:cs="Arial"/>
          <w:lang w:val="en-GB"/>
        </w:rPr>
        <w:t xml:space="preserve">5.- </w:t>
      </w:r>
      <w:r w:rsidRPr="00E01935">
        <w:rPr>
          <w:rFonts w:ascii="Arial" w:hAnsi="Arial" w:cs="Arial"/>
          <w:lang w:val="en-US"/>
        </w:rPr>
        <w:t xml:space="preserve">Martín A, Conde E, Arnan M, et al: R-ESHAP as salvage therapy for patients with relapsed or refractory diffuse large B-cell lymphoma: the influence of prior exposure to rituximab on outcome. </w:t>
      </w:r>
      <w:r w:rsidRPr="00575A85">
        <w:rPr>
          <w:rFonts w:ascii="Arial" w:hAnsi="Arial" w:cs="Arial"/>
        </w:rPr>
        <w:t>A GEL/TAMO study.Haematologica 93:1829–36, 2008</w:t>
      </w:r>
    </w:p>
    <w:p w:rsidR="007D48BC" w:rsidRPr="004B68FF" w:rsidRDefault="007D48BC" w:rsidP="004B68FF">
      <w:pPr>
        <w:autoSpaceDE w:val="0"/>
        <w:autoSpaceDN w:val="0"/>
        <w:adjustRightInd w:val="0"/>
        <w:spacing w:after="240"/>
        <w:jc w:val="both"/>
        <w:rPr>
          <w:rFonts w:ascii="Arial" w:hAnsi="Arial" w:cs="Arial"/>
          <w:lang w:val="en-US"/>
        </w:rPr>
      </w:pPr>
      <w:r w:rsidRPr="004B68FF">
        <w:rPr>
          <w:rFonts w:ascii="Arial" w:hAnsi="Arial" w:cs="Arial"/>
          <w:lang w:val="es-ES_tradnl"/>
        </w:rPr>
        <w:t>6.- Guía de linfomas 2017. Asociación Castellano-Leonesa de Hematología y Hemoterapia</w:t>
      </w:r>
      <w:r>
        <w:rPr>
          <w:rFonts w:ascii="Arial" w:hAnsi="Arial" w:cs="Arial"/>
          <w:lang w:val="es-ES_tradnl"/>
        </w:rPr>
        <w:t xml:space="preserve">. </w:t>
      </w:r>
      <w:r w:rsidRPr="004B68FF">
        <w:rPr>
          <w:rFonts w:ascii="Arial" w:hAnsi="Arial" w:cs="Arial"/>
          <w:lang w:val="en-US"/>
        </w:rPr>
        <w:t>ISBN: 978-84-940139-6-6</w:t>
      </w:r>
    </w:p>
    <w:p w:rsidR="007D48BC" w:rsidRPr="00600383" w:rsidRDefault="007D48BC" w:rsidP="0084050B">
      <w:pPr>
        <w:autoSpaceDE w:val="0"/>
        <w:autoSpaceDN w:val="0"/>
        <w:adjustRightInd w:val="0"/>
        <w:spacing w:after="240"/>
        <w:rPr>
          <w:rFonts w:ascii="Arial" w:hAnsi="Arial" w:cs="Arial"/>
        </w:rPr>
      </w:pPr>
      <w:r w:rsidRPr="00575A85">
        <w:rPr>
          <w:rFonts w:ascii="Arial" w:hAnsi="Arial" w:cs="Arial"/>
          <w:lang w:val="en-GB"/>
        </w:rPr>
        <w:t xml:space="preserve">7.- B-cell Lymphoma. NCCN Clinical Practice Guidelines in Oncology .2018. </w:t>
      </w:r>
      <w:r w:rsidRPr="00600383">
        <w:rPr>
          <w:rFonts w:ascii="Arial" w:hAnsi="Arial" w:cs="Arial"/>
        </w:rPr>
        <w:t xml:space="preserve">Disponible en: </w:t>
      </w:r>
      <w:r w:rsidRPr="00EB3E08">
        <w:t xml:space="preserve"> </w:t>
      </w:r>
      <w:r w:rsidRPr="001626D4">
        <w:rPr>
          <w:rFonts w:ascii="Arial" w:hAnsi="Arial" w:cs="Arial"/>
        </w:rPr>
        <w:t>https://www.nccn.org/professionals/physician_gls/pdf/b-cell.pdf</w:t>
      </w:r>
    </w:p>
    <w:p w:rsidR="007D48BC" w:rsidRPr="0084050B" w:rsidRDefault="007D48BC" w:rsidP="0084050B">
      <w:pPr>
        <w:widowControl w:val="0"/>
        <w:suppressAutoHyphens/>
        <w:spacing w:after="240"/>
        <w:jc w:val="both"/>
        <w:rPr>
          <w:rFonts w:ascii="Arial" w:hAnsi="Arial" w:cs="Arial"/>
          <w:lang w:val="en-US"/>
        </w:rPr>
      </w:pPr>
      <w:r w:rsidRPr="001626D4">
        <w:rPr>
          <w:rFonts w:ascii="Arial" w:hAnsi="Arial" w:cs="Arial"/>
          <w:lang w:val="pt-BR"/>
        </w:rPr>
        <w:t xml:space="preserve">8.- Tilly H, Gomes da Silva M, Vitolo U, et al; ESMO Guidelines Committee. </w:t>
      </w:r>
      <w:r w:rsidRPr="008E6D8B">
        <w:rPr>
          <w:rFonts w:ascii="Arial" w:hAnsi="Arial" w:cs="Arial"/>
          <w:lang w:val="en-US"/>
        </w:rPr>
        <w:t xml:space="preserve">Diffuse large B-cell lymphoma (DLBCL): ESMO Clinical Practice guidelines for diagnosis, treatment and follow-up. </w:t>
      </w:r>
      <w:r w:rsidRPr="00575A85">
        <w:rPr>
          <w:rFonts w:ascii="Arial" w:hAnsi="Arial" w:cs="Arial"/>
          <w:lang w:val="en-GB"/>
        </w:rPr>
        <w:t xml:space="preserve">Ann Oncol. </w:t>
      </w:r>
      <w:r w:rsidRPr="0084050B">
        <w:rPr>
          <w:rFonts w:ascii="Arial" w:hAnsi="Arial" w:cs="Arial"/>
          <w:lang w:val="en-US"/>
        </w:rPr>
        <w:t>2015 Sep;26 Suppl 5:v116-25.</w:t>
      </w:r>
    </w:p>
    <w:p w:rsidR="007D48BC" w:rsidRPr="008E6D8B" w:rsidRDefault="007D48BC" w:rsidP="0084050B">
      <w:pPr>
        <w:widowControl w:val="0"/>
        <w:suppressAutoHyphens/>
        <w:spacing w:after="240"/>
        <w:jc w:val="both"/>
        <w:rPr>
          <w:rFonts w:ascii="Arial" w:hAnsi="Arial" w:cs="Arial"/>
          <w:lang w:val="en-US"/>
        </w:rPr>
      </w:pPr>
      <w:r w:rsidRPr="004B68FF">
        <w:rPr>
          <w:rFonts w:ascii="Arial" w:hAnsi="Arial" w:cs="Arial"/>
          <w:lang w:val="en-US"/>
        </w:rPr>
        <w:t xml:space="preserve">9.- Vitolo U, Seymour JF, Martelli M,; ESMO Guidelines Committee. Extranodal diffuse large B-cell lymphoman(DLBCL) and primary mediastinal B-cell lymphoma: ESMO Clinical Practice Guidelines for diagnosis, treatment and follow-up. </w:t>
      </w:r>
      <w:r w:rsidRPr="008E6D8B">
        <w:rPr>
          <w:rFonts w:ascii="Arial" w:hAnsi="Arial" w:cs="Arial"/>
          <w:lang w:val="en-US"/>
        </w:rPr>
        <w:t>Ann Oncol. 2016 Sep;27(suppl5):v91-v102. Epub 2016 Jul 4.</w:t>
      </w:r>
    </w:p>
    <w:p w:rsidR="007D48BC" w:rsidRPr="0084050B" w:rsidRDefault="007D48BC" w:rsidP="0084050B">
      <w:pPr>
        <w:widowControl w:val="0"/>
        <w:suppressAutoHyphens/>
        <w:spacing w:after="240"/>
        <w:jc w:val="both"/>
        <w:rPr>
          <w:rFonts w:ascii="Arial" w:hAnsi="Arial" w:cs="Arial"/>
        </w:rPr>
      </w:pPr>
      <w:r w:rsidRPr="0084050B">
        <w:rPr>
          <w:rFonts w:ascii="Arial" w:hAnsi="Arial" w:cs="Arial"/>
          <w:lang w:val="en-US"/>
        </w:rPr>
        <w:t xml:space="preserve">10.- Dunleavy K, Pittaluga S, Maeda LS, et al: Dose-Adjusted EPOCH-Rituximab Therapy in Primary Mediastinal B-Cell Lymphoma. </w:t>
      </w:r>
      <w:r w:rsidRPr="0084050B">
        <w:rPr>
          <w:rFonts w:ascii="Arial" w:hAnsi="Arial" w:cs="Arial"/>
        </w:rPr>
        <w:t>N Engl J Med 368:1408–1416, 2013</w:t>
      </w:r>
    </w:p>
    <w:p w:rsidR="007D48BC" w:rsidRPr="00AF7477" w:rsidRDefault="007D48BC" w:rsidP="0084050B">
      <w:pPr>
        <w:widowControl w:val="0"/>
        <w:suppressAutoHyphens/>
        <w:spacing w:after="240"/>
        <w:jc w:val="both"/>
        <w:rPr>
          <w:rFonts w:ascii="Arial" w:hAnsi="Arial" w:cs="Arial"/>
        </w:rPr>
      </w:pPr>
      <w:r w:rsidRPr="0084050B">
        <w:rPr>
          <w:rFonts w:ascii="Arial" w:hAnsi="Arial" w:cs="Arial"/>
        </w:rPr>
        <w:t>11</w:t>
      </w:r>
      <w:r>
        <w:rPr>
          <w:rFonts w:ascii="Arial" w:hAnsi="Arial" w:cs="Arial"/>
        </w:rPr>
        <w:t>.-</w:t>
      </w:r>
      <w:r w:rsidRPr="0084050B">
        <w:rPr>
          <w:rFonts w:ascii="Arial" w:hAnsi="Arial" w:cs="Arial"/>
        </w:rPr>
        <w:t xml:space="preserve"> </w:t>
      </w:r>
      <w:r>
        <w:rPr>
          <w:rFonts w:ascii="Arial" w:hAnsi="Arial" w:cs="Arial"/>
        </w:rPr>
        <w:t>European Medicines Agency. Yescarta. Product Information [Internet]. London: European Medicines Agency; 2018 [citado 10 de octubre de 2018]. Disponible en: ttp://www.ema.europa.eu.</w:t>
      </w:r>
    </w:p>
    <w:p w:rsidR="007D48BC" w:rsidRPr="0084050B" w:rsidRDefault="007D48BC" w:rsidP="0084050B">
      <w:pPr>
        <w:widowControl w:val="0"/>
        <w:suppressAutoHyphens/>
        <w:spacing w:after="240"/>
        <w:jc w:val="both"/>
        <w:rPr>
          <w:rFonts w:ascii="Arial" w:hAnsi="Arial" w:cs="Arial"/>
        </w:rPr>
      </w:pPr>
      <w:r w:rsidRPr="003D2521">
        <w:rPr>
          <w:rFonts w:ascii="Arial" w:hAnsi="Arial" w:cs="Arial"/>
          <w:lang w:val="en-GB"/>
        </w:rPr>
        <w:t xml:space="preserve">12.- European Medicines Agency. Kymriah. Product Information [Internet]. </w:t>
      </w:r>
      <w:r>
        <w:rPr>
          <w:rFonts w:ascii="Arial" w:hAnsi="Arial" w:cs="Arial"/>
        </w:rPr>
        <w:t>London: European Medicines Agency; 2018 [citado 10 de octubre de 2018]. Disponible en: ttp://www.ema.europa.eu.</w:t>
      </w:r>
    </w:p>
    <w:p w:rsidR="007D48BC" w:rsidRPr="003D2521" w:rsidRDefault="007D48BC" w:rsidP="0084050B">
      <w:pPr>
        <w:widowControl w:val="0"/>
        <w:suppressAutoHyphens/>
        <w:spacing w:after="240"/>
        <w:jc w:val="both"/>
        <w:rPr>
          <w:rFonts w:ascii="Arial" w:hAnsi="Arial" w:cs="Arial"/>
        </w:rPr>
      </w:pPr>
      <w:r w:rsidRPr="0084050B">
        <w:rPr>
          <w:rFonts w:ascii="Arial" w:hAnsi="Arial" w:cs="Arial"/>
        </w:rPr>
        <w:t>13</w:t>
      </w:r>
      <w:r>
        <w:rPr>
          <w:rFonts w:ascii="Arial" w:hAnsi="Arial" w:cs="Arial"/>
        </w:rPr>
        <w:t>.-</w:t>
      </w:r>
      <w:r w:rsidRPr="0084050B">
        <w:rPr>
          <w:rFonts w:ascii="Arial" w:hAnsi="Arial" w:cs="Arial"/>
        </w:rPr>
        <w:t xml:space="preserve"> </w:t>
      </w:r>
      <w:r>
        <w:rPr>
          <w:rFonts w:ascii="Arial" w:hAnsi="Arial" w:cs="Arial"/>
        </w:rPr>
        <w:t xml:space="preserve">European Medicines Agency. </w:t>
      </w:r>
      <w:r w:rsidRPr="00AF7477">
        <w:rPr>
          <w:rFonts w:ascii="Arial" w:hAnsi="Arial" w:cs="Arial"/>
        </w:rPr>
        <w:t>Pixuvri</w:t>
      </w:r>
      <w:r>
        <w:rPr>
          <w:rFonts w:ascii="Arial" w:hAnsi="Arial" w:cs="Arial"/>
        </w:rPr>
        <w:t xml:space="preserve">. Product Information [Internet]. London: European Medicines Agency; 2012 [citado 10 de octubre de 2018]. </w:t>
      </w:r>
      <w:r w:rsidRPr="003D2521">
        <w:rPr>
          <w:rFonts w:ascii="Arial" w:hAnsi="Arial" w:cs="Arial"/>
        </w:rPr>
        <w:t>Disponible en: ttp://www.ema.europa.eu.</w:t>
      </w:r>
    </w:p>
    <w:p w:rsidR="007D48BC" w:rsidRPr="0084050B" w:rsidRDefault="007D48BC" w:rsidP="0084050B">
      <w:pPr>
        <w:widowControl w:val="0"/>
        <w:suppressAutoHyphens/>
        <w:spacing w:after="240"/>
        <w:jc w:val="both"/>
        <w:rPr>
          <w:rFonts w:ascii="Arial" w:hAnsi="Arial" w:cs="Arial"/>
        </w:rPr>
      </w:pPr>
      <w:r w:rsidRPr="0084050B">
        <w:rPr>
          <w:rFonts w:ascii="Arial" w:hAnsi="Arial" w:cs="Arial"/>
          <w:lang w:val="en-US"/>
        </w:rPr>
        <w:t xml:space="preserve">14.- Committee for Medicinal Products for Human Use. </w:t>
      </w:r>
      <w:r w:rsidRPr="008E6D8B">
        <w:rPr>
          <w:rFonts w:ascii="Arial" w:hAnsi="Arial" w:cs="Arial"/>
          <w:lang w:val="en-US"/>
        </w:rPr>
        <w:t xml:space="preserve">Europen Medicines Agency. Yescarta. Assessment report [Internet]. </w:t>
      </w:r>
      <w:r>
        <w:rPr>
          <w:rFonts w:ascii="Arial" w:hAnsi="Arial" w:cs="Arial"/>
        </w:rPr>
        <w:t>London: European Medicines Agency; 2018 [citado 1 de octubre de 2018]. Disponible en: http://www.ema.europa.eu.</w:t>
      </w:r>
    </w:p>
    <w:p w:rsidR="007D48BC" w:rsidRPr="0084050B" w:rsidRDefault="007D48BC" w:rsidP="0084050B">
      <w:pPr>
        <w:widowControl w:val="0"/>
        <w:suppressAutoHyphens/>
        <w:spacing w:after="240"/>
        <w:jc w:val="both"/>
        <w:rPr>
          <w:rFonts w:ascii="Arial" w:hAnsi="Arial" w:cs="Arial"/>
        </w:rPr>
      </w:pPr>
      <w:r w:rsidRPr="0084050B">
        <w:rPr>
          <w:rFonts w:ascii="Arial" w:hAnsi="Arial" w:cs="Arial"/>
          <w:lang w:val="en-US"/>
        </w:rPr>
        <w:t xml:space="preserve">15.- Center for Drug Evaluation and Research. </w:t>
      </w:r>
      <w:r w:rsidRPr="008E6D8B">
        <w:rPr>
          <w:rFonts w:ascii="Arial" w:hAnsi="Arial" w:cs="Arial"/>
          <w:lang w:val="en-US"/>
        </w:rPr>
        <w:t xml:space="preserve">Yescarta (axicabtagene ciloleucel). Medical review [Internet]. U.S. Food and Drug Administration; 2017. </w:t>
      </w:r>
      <w:r w:rsidRPr="00AF7477">
        <w:rPr>
          <w:rFonts w:ascii="Arial" w:hAnsi="Arial" w:cs="Arial"/>
        </w:rPr>
        <w:t>[citado 1 de octubre de 2018]. Disponible en: https://www.fda.gov.</w:t>
      </w:r>
    </w:p>
    <w:p w:rsidR="007D48BC" w:rsidRPr="008E6D8B" w:rsidRDefault="007D48BC" w:rsidP="0084050B">
      <w:pPr>
        <w:widowControl w:val="0"/>
        <w:suppressAutoHyphens/>
        <w:spacing w:after="240"/>
        <w:jc w:val="both"/>
        <w:rPr>
          <w:rFonts w:ascii="Arial" w:hAnsi="Arial" w:cs="Arial"/>
          <w:lang w:val="en-US"/>
        </w:rPr>
      </w:pPr>
      <w:r w:rsidRPr="006D19F1">
        <w:rPr>
          <w:rFonts w:ascii="Arial" w:hAnsi="Arial" w:cs="Arial"/>
          <w:lang w:val="sv-SE"/>
        </w:rPr>
        <w:t xml:space="preserve">16.- Neelapu SS, Locke FL, Bartlett NL, et al. </w:t>
      </w:r>
      <w:r w:rsidRPr="008E6D8B">
        <w:rPr>
          <w:rFonts w:ascii="Arial" w:hAnsi="Arial" w:cs="Arial"/>
          <w:lang w:val="en-US"/>
        </w:rPr>
        <w:t>Axicabtagene Ciloleucel CAR T-Cell Therapy in Refractory Large B-Cell Lymphoma. N Engl J Med. 2017 Dec 28;377(26):2531-2544. doi: 10.1056/NEJMoa1707447. Epub 2017 Dec 10.</w:t>
      </w:r>
    </w:p>
    <w:p w:rsidR="007D48BC" w:rsidRPr="008E6D8B" w:rsidRDefault="007D48BC" w:rsidP="0084050B">
      <w:pPr>
        <w:widowControl w:val="0"/>
        <w:suppressAutoHyphens/>
        <w:spacing w:after="240"/>
        <w:jc w:val="both"/>
        <w:rPr>
          <w:rFonts w:ascii="Arial" w:hAnsi="Arial" w:cs="Arial"/>
          <w:lang w:val="en-US"/>
        </w:rPr>
      </w:pPr>
      <w:r w:rsidRPr="0084050B">
        <w:rPr>
          <w:rFonts w:ascii="Arial" w:hAnsi="Arial" w:cs="Arial"/>
          <w:lang w:val="en-US"/>
        </w:rPr>
        <w:t xml:space="preserve">17 Locke FL, Neelapu SS, Bartlett NL, et. </w:t>
      </w:r>
      <w:r>
        <w:rPr>
          <w:rFonts w:ascii="Arial" w:hAnsi="Arial" w:cs="Arial"/>
          <w:lang w:val="en-US"/>
        </w:rPr>
        <w:t>al</w:t>
      </w:r>
      <w:r w:rsidRPr="0084050B">
        <w:rPr>
          <w:rFonts w:ascii="Arial" w:hAnsi="Arial" w:cs="Arial"/>
          <w:lang w:val="en-US"/>
        </w:rPr>
        <w:t xml:space="preserve">. </w:t>
      </w:r>
      <w:r w:rsidRPr="008E6D8B">
        <w:rPr>
          <w:rFonts w:ascii="Arial" w:hAnsi="Arial" w:cs="Arial"/>
          <w:lang w:val="en-US"/>
        </w:rPr>
        <w:t>Phase 1 Results of ZUMA-1: A Multicenter Study of KTE-C19 Anti-CD19 CAR T Cell Therapy in Refractory Aggressive Lymphoma. Mol Ther. 2017 Jan 4;25(1):285-295. doi: 10.1016/j.ymthe.2016.10.020. Epub 2017 Jan 4.</w:t>
      </w:r>
    </w:p>
    <w:p w:rsidR="007D48BC" w:rsidRPr="008E6D8B" w:rsidRDefault="007D48BC" w:rsidP="0084050B">
      <w:pPr>
        <w:widowControl w:val="0"/>
        <w:suppressAutoHyphens/>
        <w:spacing w:after="240"/>
        <w:jc w:val="both"/>
        <w:rPr>
          <w:rFonts w:ascii="Arial" w:hAnsi="Arial" w:cs="Arial"/>
          <w:lang w:val="en-US"/>
        </w:rPr>
      </w:pPr>
      <w:r w:rsidRPr="0084050B">
        <w:rPr>
          <w:rFonts w:ascii="Arial" w:hAnsi="Arial" w:cs="Arial"/>
          <w:lang w:val="en-US"/>
        </w:rPr>
        <w:t xml:space="preserve">18.- Kochenderfer JN, Dudley ME, Kassim SH, </w:t>
      </w:r>
      <w:r>
        <w:rPr>
          <w:rFonts w:ascii="Arial" w:hAnsi="Arial" w:cs="Arial"/>
          <w:lang w:val="en-US"/>
        </w:rPr>
        <w:t>et al</w:t>
      </w:r>
      <w:r w:rsidRPr="0084050B">
        <w:rPr>
          <w:rFonts w:ascii="Arial" w:hAnsi="Arial" w:cs="Arial"/>
          <w:lang w:val="en-US"/>
        </w:rPr>
        <w:t xml:space="preserve">. </w:t>
      </w:r>
      <w:r w:rsidRPr="008E6D8B">
        <w:rPr>
          <w:rFonts w:ascii="Arial" w:hAnsi="Arial" w:cs="Arial"/>
          <w:lang w:val="en-US"/>
        </w:rPr>
        <w:t>Chemotherapy-refractory diffuse large B-cell lymphoma and indolent B-cell malignancies can be effectively treated with autologous T cells expressing an anti-CD19 chimeric antigen receptor. J Clin Oncol. 2015 Feb 20;33(6):540-9. doi:  10.1200/JCO.2014.56.2025.</w:t>
      </w:r>
    </w:p>
    <w:p w:rsidR="007D48BC" w:rsidRPr="008E6D8B" w:rsidRDefault="007D48BC" w:rsidP="0084050B">
      <w:pPr>
        <w:widowControl w:val="0"/>
        <w:suppressAutoHyphens/>
        <w:spacing w:after="240"/>
        <w:jc w:val="both"/>
        <w:rPr>
          <w:rFonts w:ascii="Arial" w:hAnsi="Arial" w:cs="Arial"/>
          <w:lang w:val="en-US"/>
        </w:rPr>
      </w:pPr>
      <w:r w:rsidRPr="008E6D8B">
        <w:rPr>
          <w:rFonts w:ascii="Arial" w:hAnsi="Arial" w:cs="Arial"/>
          <w:lang w:val="en-US"/>
        </w:rPr>
        <w:t xml:space="preserve">19.- Crump M, Neelapu SS, Farooq U, et al. </w:t>
      </w:r>
      <w:r w:rsidRPr="0084050B">
        <w:rPr>
          <w:rFonts w:ascii="Arial" w:hAnsi="Arial" w:cs="Arial"/>
          <w:lang w:val="en-US"/>
        </w:rPr>
        <w:t xml:space="preserve">Outcomes in refractory diffuse large B-cell lymphoma: results from the international SCHOLAR-1 study. </w:t>
      </w:r>
      <w:r w:rsidRPr="008E6D8B">
        <w:rPr>
          <w:rFonts w:ascii="Arial" w:hAnsi="Arial" w:cs="Arial"/>
          <w:lang w:val="en-US"/>
        </w:rPr>
        <w:t>Blood. 2017 Oct 19;130(16):1800-1808. doi: 10.1182/blood-2017-03-769620. Epub 2017 Aug 3. Erratum in: Blood. 2018 Feb 1;131(5):587-588.</w:t>
      </w:r>
    </w:p>
    <w:p w:rsidR="007D48BC" w:rsidRPr="008E6D8B" w:rsidRDefault="007D48BC" w:rsidP="0084050B">
      <w:pPr>
        <w:widowControl w:val="0"/>
        <w:suppressAutoHyphens/>
        <w:spacing w:after="240"/>
        <w:jc w:val="both"/>
        <w:rPr>
          <w:rFonts w:ascii="Arial" w:hAnsi="Arial" w:cs="Arial"/>
          <w:lang w:val="en-US"/>
        </w:rPr>
      </w:pPr>
      <w:r w:rsidRPr="0084050B">
        <w:rPr>
          <w:rFonts w:ascii="Arial" w:hAnsi="Arial" w:cs="Arial"/>
          <w:lang w:val="en-US"/>
        </w:rPr>
        <w:t xml:space="preserve">20.- Cheson BD, Pfistner B, Juweid ME, </w:t>
      </w:r>
      <w:r>
        <w:rPr>
          <w:rFonts w:ascii="Arial" w:hAnsi="Arial" w:cs="Arial"/>
          <w:lang w:val="en-US"/>
        </w:rPr>
        <w:t>et al</w:t>
      </w:r>
      <w:r w:rsidRPr="0084050B">
        <w:rPr>
          <w:rFonts w:ascii="Arial" w:hAnsi="Arial" w:cs="Arial"/>
          <w:lang w:val="en-US"/>
        </w:rPr>
        <w:t xml:space="preserve">; International Harmonization Project on Lymphoma. </w:t>
      </w:r>
      <w:r w:rsidRPr="008E6D8B">
        <w:rPr>
          <w:rFonts w:ascii="Arial" w:hAnsi="Arial" w:cs="Arial"/>
          <w:lang w:val="en-US"/>
        </w:rPr>
        <w:t>Revised response criteria for malignant lymphoma. J Clin Oncol. 2007 Feb 10;25(5):579-86. Epub 2007 Jan 22</w:t>
      </w:r>
    </w:p>
    <w:p w:rsidR="007D48BC" w:rsidRPr="008E6D8B" w:rsidRDefault="007D48BC" w:rsidP="0084050B">
      <w:pPr>
        <w:widowControl w:val="0"/>
        <w:suppressAutoHyphens/>
        <w:spacing w:after="240"/>
        <w:jc w:val="both"/>
        <w:rPr>
          <w:rFonts w:ascii="Arial" w:hAnsi="Arial" w:cs="Arial"/>
          <w:lang w:val="en-US"/>
        </w:rPr>
      </w:pPr>
      <w:r w:rsidRPr="004B68FF">
        <w:rPr>
          <w:rFonts w:ascii="Arial" w:hAnsi="Arial" w:cs="Arial"/>
          <w:lang w:val="en-US"/>
        </w:rPr>
        <w:t>21.</w:t>
      </w:r>
      <w:r>
        <w:rPr>
          <w:rFonts w:ascii="Arial" w:hAnsi="Arial" w:cs="Arial"/>
          <w:lang w:val="en-US"/>
        </w:rPr>
        <w:t>-</w:t>
      </w:r>
      <w:r w:rsidRPr="004B68FF">
        <w:rPr>
          <w:rFonts w:ascii="Arial" w:hAnsi="Arial" w:cs="Arial"/>
          <w:lang w:val="en-US"/>
        </w:rPr>
        <w:t xml:space="preserve"> Non-Hodgkin’s lymphoma: diagnosis and management. </w:t>
      </w:r>
      <w:r w:rsidRPr="008E6D8B">
        <w:rPr>
          <w:rFonts w:ascii="Arial" w:hAnsi="Arial" w:cs="Arial"/>
          <w:lang w:val="en-US"/>
        </w:rPr>
        <w:t xml:space="preserve">NICE guideline. </w:t>
      </w:r>
      <w:r w:rsidRPr="00575A85">
        <w:rPr>
          <w:rFonts w:ascii="Arial" w:hAnsi="Arial" w:cs="Arial"/>
          <w:lang w:val="en-GB"/>
        </w:rPr>
        <w:t xml:space="preserve">Londres 2016. </w:t>
      </w:r>
      <w:r w:rsidRPr="008E6D8B">
        <w:rPr>
          <w:rFonts w:ascii="Arial" w:hAnsi="Arial" w:cs="Arial"/>
          <w:lang w:val="en-US"/>
        </w:rPr>
        <w:t>Disponible en: https://www.nice.org.uk/guidance/ng52</w:t>
      </w:r>
    </w:p>
    <w:p w:rsidR="007D48BC" w:rsidRPr="001B7610" w:rsidRDefault="007D48BC" w:rsidP="004B68FF">
      <w:pPr>
        <w:widowControl w:val="0"/>
        <w:suppressAutoHyphens/>
        <w:spacing w:after="240"/>
        <w:jc w:val="both"/>
        <w:rPr>
          <w:rFonts w:ascii="Arial" w:hAnsi="Arial" w:cs="Arial"/>
          <w:lang w:val="en-US"/>
        </w:rPr>
      </w:pPr>
      <w:r w:rsidRPr="008E6D8B">
        <w:rPr>
          <w:rFonts w:ascii="Arial" w:hAnsi="Arial" w:cs="Arial"/>
          <w:lang w:val="en-US"/>
        </w:rPr>
        <w:t xml:space="preserve">22.- Axicabtagene ciloleucel for treating diffuse large B-cell lymphoma and primary mediastinal B-cell lymphoma after 2 or more systemic therapies </w:t>
      </w:r>
      <w:r w:rsidR="0036447D">
        <w:rPr>
          <w:rFonts w:ascii="Arial" w:hAnsi="Arial" w:cs="Arial"/>
          <w:lang w:val="en-US"/>
        </w:rPr>
        <w:t>TA559</w:t>
      </w:r>
      <w:r w:rsidRPr="008E6D8B">
        <w:rPr>
          <w:rFonts w:ascii="Arial" w:hAnsi="Arial" w:cs="Arial"/>
          <w:lang w:val="en-US"/>
        </w:rPr>
        <w:t>]</w:t>
      </w:r>
      <w:r>
        <w:rPr>
          <w:rFonts w:ascii="Arial" w:hAnsi="Arial" w:cs="Arial"/>
          <w:lang w:val="en-US"/>
        </w:rPr>
        <w:t xml:space="preserve">. </w:t>
      </w:r>
      <w:r w:rsidR="0036447D" w:rsidRPr="001B7610">
        <w:rPr>
          <w:rFonts w:ascii="Arial" w:hAnsi="Arial" w:cs="Arial"/>
          <w:lang w:val="en-US"/>
        </w:rPr>
        <w:t>Technology</w:t>
      </w:r>
      <w:r w:rsidRPr="001B7610">
        <w:rPr>
          <w:rFonts w:ascii="Arial" w:hAnsi="Arial" w:cs="Arial"/>
          <w:lang w:val="en-US"/>
        </w:rPr>
        <w:t xml:space="preserve"> appraisal </w:t>
      </w:r>
      <w:r w:rsidR="0036447D" w:rsidRPr="001B7610">
        <w:rPr>
          <w:rFonts w:ascii="Arial" w:hAnsi="Arial" w:cs="Arial"/>
          <w:lang w:val="en-US"/>
        </w:rPr>
        <w:t>guidance</w:t>
      </w:r>
      <w:r w:rsidRPr="001B7610">
        <w:rPr>
          <w:rFonts w:ascii="Arial" w:hAnsi="Arial" w:cs="Arial"/>
          <w:lang w:val="en-US"/>
        </w:rPr>
        <w:t xml:space="preserve"> 201</w:t>
      </w:r>
      <w:r w:rsidR="0036447D" w:rsidRPr="001B7610">
        <w:rPr>
          <w:rFonts w:ascii="Arial" w:hAnsi="Arial" w:cs="Arial"/>
          <w:lang w:val="en-US"/>
        </w:rPr>
        <w:t>9</w:t>
      </w:r>
      <w:r w:rsidRPr="001B7610">
        <w:rPr>
          <w:rFonts w:ascii="Arial" w:hAnsi="Arial" w:cs="Arial"/>
          <w:lang w:val="en-US"/>
        </w:rPr>
        <w:t xml:space="preserve">. Disponible en: </w:t>
      </w:r>
      <w:hyperlink r:id="rId23" w:history="1">
        <w:r w:rsidR="0036447D" w:rsidRPr="007F523B">
          <w:rPr>
            <w:rFonts w:ascii="Arial" w:hAnsi="Arial" w:cs="Arial"/>
            <w:lang w:val="en-US"/>
          </w:rPr>
          <w:t>https://www.nice.org.uk/guidance/ta559/resources/axicabtagene-ciloleucel-for-treating-diffuse-large-bcell-lymphoma-and-primary-mediastinal-large-bcell-lymphoma-after-2-or-more-systemic-therapies-pdf-82607030270917</w:t>
        </w:r>
      </w:hyperlink>
    </w:p>
    <w:p w:rsidR="007D48BC" w:rsidRPr="004B68FF" w:rsidRDefault="007D48BC" w:rsidP="004B68FF">
      <w:pPr>
        <w:widowControl w:val="0"/>
        <w:suppressAutoHyphens/>
        <w:spacing w:after="240"/>
        <w:jc w:val="both"/>
        <w:rPr>
          <w:rFonts w:ascii="Arial" w:hAnsi="Arial" w:cs="Arial"/>
        </w:rPr>
      </w:pPr>
      <w:r w:rsidRPr="004B68FF">
        <w:rPr>
          <w:rFonts w:ascii="Arial" w:hAnsi="Arial" w:cs="Arial"/>
          <w:lang w:val="en-US"/>
        </w:rPr>
        <w:t>23.- Chimeric Antigen Receptor T-Cell Therapy for B-Cell Cancers: Effectiveness and Value</w:t>
      </w:r>
      <w:r>
        <w:rPr>
          <w:rFonts w:ascii="Arial" w:hAnsi="Arial" w:cs="Arial"/>
          <w:lang w:val="en-US"/>
        </w:rPr>
        <w:t xml:space="preserve">. </w:t>
      </w:r>
      <w:r w:rsidRPr="004B68FF">
        <w:rPr>
          <w:rFonts w:ascii="Arial" w:hAnsi="Arial" w:cs="Arial"/>
        </w:rPr>
        <w:t>Final Evidence Report. ICER 2018. Di</w:t>
      </w:r>
      <w:r>
        <w:rPr>
          <w:rFonts w:ascii="Arial" w:hAnsi="Arial" w:cs="Arial"/>
        </w:rPr>
        <w:t>sponible en:</w:t>
      </w:r>
      <w:r w:rsidRPr="00EB3E08">
        <w:t xml:space="preserve"> </w:t>
      </w:r>
      <w:r w:rsidRPr="00EB3E08">
        <w:rPr>
          <w:rFonts w:ascii="Arial" w:hAnsi="Arial" w:cs="Arial"/>
        </w:rPr>
        <w:t>https://icer-review.org/wp-content/uploads/2017/07/ICER_CAR_T_Final_Evidence_Report_032318.pdf</w:t>
      </w:r>
      <w:r>
        <w:rPr>
          <w:rFonts w:ascii="Arial" w:hAnsi="Arial" w:cs="Arial"/>
        </w:rPr>
        <w:t xml:space="preserve"> </w:t>
      </w:r>
    </w:p>
    <w:p w:rsidR="007D48BC" w:rsidRPr="008E6D8B" w:rsidRDefault="007D48BC" w:rsidP="004B68FF">
      <w:pPr>
        <w:widowControl w:val="0"/>
        <w:suppressAutoHyphens/>
        <w:spacing w:after="240"/>
        <w:jc w:val="both"/>
        <w:rPr>
          <w:rFonts w:ascii="Arial" w:hAnsi="Arial" w:cs="Arial"/>
          <w:lang w:val="en-US"/>
        </w:rPr>
      </w:pPr>
      <w:r w:rsidRPr="006D19F1">
        <w:rPr>
          <w:rFonts w:ascii="Arial" w:hAnsi="Arial" w:cs="Arial"/>
        </w:rPr>
        <w:t xml:space="preserve">24 Bouchkouj N, Kasamon YL, de Claro RA, et al. </w:t>
      </w:r>
      <w:r w:rsidRPr="003D2521">
        <w:rPr>
          <w:rFonts w:ascii="Arial" w:hAnsi="Arial" w:cs="Arial"/>
          <w:lang w:val="en-GB"/>
        </w:rPr>
        <w:t xml:space="preserve">FDA Approval Summary: Axicabtagene Ciloleucel for Relapsed or Refractory Large B-Cell Lymphoma. </w:t>
      </w:r>
      <w:r w:rsidRPr="008E6D8B">
        <w:rPr>
          <w:rFonts w:ascii="Arial" w:hAnsi="Arial" w:cs="Arial"/>
          <w:lang w:val="en-US"/>
        </w:rPr>
        <w:t>Clin Cancer Res. 2018 Nov 9. pii: clincanres.2743.2018. doi: 10.1158/1078-0432.CCR-18-2743. [Epub ahead of print]</w:t>
      </w:r>
    </w:p>
    <w:p w:rsidR="007D48BC" w:rsidRPr="004B68FF" w:rsidRDefault="007D48BC" w:rsidP="004B68FF">
      <w:pPr>
        <w:widowControl w:val="0"/>
        <w:suppressAutoHyphens/>
        <w:spacing w:after="240"/>
        <w:jc w:val="both"/>
        <w:rPr>
          <w:rFonts w:ascii="Arial" w:hAnsi="Arial" w:cs="Arial"/>
        </w:rPr>
      </w:pPr>
      <w:r w:rsidRPr="004B68FF">
        <w:rPr>
          <w:rFonts w:ascii="Arial" w:hAnsi="Arial" w:cs="Arial"/>
        </w:rPr>
        <w:t xml:space="preserve">25 -Base de datos europea de informes de presuntas reacciones adversas, axicabtagene ciloleucel.Disponible en </w:t>
      </w:r>
      <w:hyperlink r:id="rId24" w:history="1">
        <w:r w:rsidRPr="004B68FF">
          <w:rPr>
            <w:rFonts w:ascii="Arial" w:hAnsi="Arial" w:cs="Arial"/>
          </w:rPr>
          <w:t>http://www.adrreports.eu/es</w:t>
        </w:r>
      </w:hyperlink>
      <w:r w:rsidRPr="004B68FF">
        <w:rPr>
          <w:rFonts w:ascii="Arial" w:hAnsi="Arial" w:cs="Arial"/>
        </w:rPr>
        <w:t xml:space="preserve"> ( Consultado el 07/12/2018)</w:t>
      </w:r>
    </w:p>
    <w:p w:rsidR="007D48BC" w:rsidRDefault="007D48BC" w:rsidP="004B68FF">
      <w:pPr>
        <w:widowControl w:val="0"/>
        <w:suppressAutoHyphens/>
        <w:spacing w:after="240"/>
        <w:jc w:val="both"/>
        <w:rPr>
          <w:rFonts w:ascii="Arial" w:hAnsi="Arial" w:cs="Arial"/>
          <w:lang w:val="en-US"/>
        </w:rPr>
      </w:pPr>
      <w:r w:rsidRPr="006D19F1">
        <w:rPr>
          <w:rFonts w:ascii="Arial" w:hAnsi="Arial" w:cs="Arial"/>
          <w:lang w:val="sv-SE"/>
        </w:rPr>
        <w:t xml:space="preserve">26. Roth JA, Sullivan SD, Lin VW, et al. </w:t>
      </w:r>
      <w:r w:rsidRPr="008E6D8B">
        <w:rPr>
          <w:rFonts w:ascii="Arial" w:hAnsi="Arial" w:cs="Arial"/>
          <w:lang w:val="en-US"/>
        </w:rPr>
        <w:t>Cost-effectiveness of axicabtagene ciloleucel for adult patients with relapsed or refractory large B-cell lymphoma in the United States. J Med Econ. 2018 Dec;21(12):1238-1245. doi: 10.1080/13696998.2018.1529674. Epub 2018 Oct 16.  Erratum in: J Med Econ. 2018 Dec;21(12):1255.</w:t>
      </w:r>
    </w:p>
    <w:p w:rsidR="007D48BC" w:rsidRPr="006D19F1" w:rsidRDefault="007D48BC" w:rsidP="009D6683">
      <w:pPr>
        <w:widowControl w:val="0"/>
        <w:suppressAutoHyphens/>
        <w:spacing w:after="240"/>
        <w:jc w:val="both"/>
        <w:rPr>
          <w:rFonts w:ascii="Arial" w:hAnsi="Arial" w:cs="Arial"/>
          <w:lang w:val="en-US"/>
        </w:rPr>
      </w:pPr>
      <w:r>
        <w:rPr>
          <w:rFonts w:ascii="Arial" w:hAnsi="Arial" w:cs="Arial"/>
          <w:lang w:val="en-US"/>
        </w:rPr>
        <w:t>27.</w:t>
      </w:r>
      <w:r w:rsidRPr="009D6683">
        <w:rPr>
          <w:rFonts w:ascii="Arial" w:hAnsi="Arial" w:cs="Arial"/>
          <w:lang w:val="en-US"/>
        </w:rPr>
        <w:t xml:space="preserve"> </w:t>
      </w:r>
      <w:r w:rsidRPr="00836B0B">
        <w:rPr>
          <w:rFonts w:ascii="Arial" w:hAnsi="Arial" w:cs="Arial"/>
          <w:lang w:val="en-US"/>
        </w:rPr>
        <w:t xml:space="preserve">Schuster SJ, Bishop MR, Tam CS, Waller EK, Borchmann P, McGuirk JP, et al. </w:t>
      </w:r>
      <w:r w:rsidRPr="001626D4">
        <w:rPr>
          <w:rFonts w:ascii="Arial" w:hAnsi="Arial" w:cs="Arial"/>
          <w:lang w:val="en-GB"/>
        </w:rPr>
        <w:t xml:space="preserve">JULIET Investigators. </w:t>
      </w:r>
      <w:r w:rsidRPr="00836B0B">
        <w:rPr>
          <w:rFonts w:ascii="Arial" w:hAnsi="Arial" w:cs="Arial"/>
          <w:lang w:val="en-US"/>
        </w:rPr>
        <w:t xml:space="preserve">Tisagenlecleucel in Adult Relapsed or Refractory Diffuse Large B-Cell Lymphoma. </w:t>
      </w:r>
      <w:r w:rsidRPr="006D19F1">
        <w:rPr>
          <w:rFonts w:ascii="Arial" w:hAnsi="Arial" w:cs="Arial"/>
          <w:lang w:val="en-US"/>
        </w:rPr>
        <w:t>N Engl J Med. 2019;380(1):45-56.</w:t>
      </w:r>
    </w:p>
    <w:p w:rsidR="007D48BC" w:rsidRPr="002F7B58" w:rsidRDefault="001147CA" w:rsidP="009D6683">
      <w:pPr>
        <w:widowControl w:val="0"/>
        <w:suppressAutoHyphens/>
        <w:spacing w:after="240"/>
        <w:jc w:val="both"/>
        <w:rPr>
          <w:rFonts w:ascii="Arial" w:hAnsi="Arial" w:cs="Arial"/>
          <w:lang w:val="en-US"/>
        </w:rPr>
      </w:pPr>
      <w:r>
        <w:rPr>
          <w:rFonts w:ascii="Arial" w:hAnsi="Arial" w:cs="Arial"/>
          <w:lang w:val="en-US"/>
        </w:rPr>
        <w:t>28. Pette</w:t>
      </w:r>
      <w:r w:rsidR="007D48BC" w:rsidRPr="006D19F1">
        <w:rPr>
          <w:rFonts w:ascii="Arial" w:hAnsi="Arial" w:cs="Arial"/>
          <w:lang w:val="en-US"/>
        </w:rPr>
        <w:t xml:space="preserve">ngell R, Coiffer B, Narayanan G, de Mendoza FH, Digumarti R, Gomez H, et al. </w:t>
      </w:r>
      <w:r w:rsidR="007D48BC" w:rsidRPr="00575A85">
        <w:rPr>
          <w:rFonts w:ascii="Arial" w:hAnsi="Arial" w:cs="Arial"/>
          <w:lang w:val="en-GB"/>
        </w:rPr>
        <w:t>Pixantrone dimaleate versus other chemotherapeutic agents as a single-agent salvage treatment in patients with relapsed or refractory aggresive non-Hodgking lymphoma: a phase 3, multicentre, open-la</w:t>
      </w:r>
      <w:r>
        <w:rPr>
          <w:rFonts w:ascii="Arial" w:hAnsi="Arial" w:cs="Arial"/>
          <w:lang w:val="en-GB"/>
        </w:rPr>
        <w:t>bel</w:t>
      </w:r>
      <w:r w:rsidR="007D48BC" w:rsidRPr="00575A85">
        <w:rPr>
          <w:rFonts w:ascii="Arial" w:hAnsi="Arial" w:cs="Arial"/>
          <w:lang w:val="en-GB"/>
        </w:rPr>
        <w:t xml:space="preserve">, randomised trial . </w:t>
      </w:r>
      <w:r w:rsidR="007D48BC" w:rsidRPr="002F7B58">
        <w:rPr>
          <w:rFonts w:ascii="Arial" w:hAnsi="Arial" w:cs="Arial"/>
          <w:lang w:val="en-US"/>
        </w:rPr>
        <w:t>Lancet Oncol. 201</w:t>
      </w:r>
      <w:r w:rsidRPr="002F7B58">
        <w:rPr>
          <w:rFonts w:ascii="Arial" w:hAnsi="Arial" w:cs="Arial"/>
          <w:lang w:val="en-US"/>
        </w:rPr>
        <w:t>2</w:t>
      </w:r>
      <w:r w:rsidR="007D48BC" w:rsidRPr="002F7B58">
        <w:rPr>
          <w:rFonts w:ascii="Arial" w:hAnsi="Arial" w:cs="Arial"/>
          <w:lang w:val="en-US"/>
        </w:rPr>
        <w:t>;13:696-706.</w:t>
      </w:r>
    </w:p>
    <w:p w:rsidR="007D48BC" w:rsidRPr="00575A85" w:rsidRDefault="007D48BC" w:rsidP="004B68FF">
      <w:pPr>
        <w:widowControl w:val="0"/>
        <w:suppressAutoHyphens/>
        <w:spacing w:after="240"/>
        <w:jc w:val="both"/>
        <w:rPr>
          <w:rFonts w:ascii="Arial" w:hAnsi="Arial" w:cs="Arial"/>
          <w:lang w:val="en-GB"/>
        </w:rPr>
      </w:pPr>
      <w:r w:rsidRPr="003D2521">
        <w:rPr>
          <w:rFonts w:ascii="Arial" w:hAnsi="Arial" w:cs="Arial"/>
        </w:rPr>
        <w:t xml:space="preserve">29. Mounier N, El Gnaoui T, Tilly H, Canioni D, Sebban C, Casasnovas RO, et al. </w:t>
      </w:r>
      <w:r w:rsidRPr="00575A85">
        <w:rPr>
          <w:rFonts w:ascii="Arial" w:hAnsi="Arial" w:cs="Arial"/>
          <w:lang w:val="en-GB"/>
        </w:rPr>
        <w:t>Rituximab plus gemcitabine and oxaliplatin in patients with refractory/relapsed diffuse large B-cell lymphoma who are not candidates for high-dose therapy. A phase II Lymphoma Study Association trial. Haematologica. 2013;98(11):1726-31.</w:t>
      </w:r>
    </w:p>
    <w:p w:rsidR="007D48BC" w:rsidRPr="008E6D8B" w:rsidRDefault="007D48BC" w:rsidP="004B68FF">
      <w:pPr>
        <w:widowControl w:val="0"/>
        <w:suppressAutoHyphens/>
        <w:spacing w:after="240"/>
        <w:jc w:val="both"/>
        <w:rPr>
          <w:rFonts w:ascii="Arial" w:hAnsi="Arial" w:cs="Arial"/>
          <w:lang w:val="en-US"/>
        </w:rPr>
      </w:pPr>
      <w:r>
        <w:rPr>
          <w:rFonts w:ascii="Arial" w:hAnsi="Arial" w:cs="Arial"/>
          <w:lang w:val="en-US"/>
        </w:rPr>
        <w:t>30</w:t>
      </w:r>
      <w:r w:rsidRPr="008E6D8B">
        <w:rPr>
          <w:rFonts w:ascii="Arial" w:hAnsi="Arial" w:cs="Arial"/>
          <w:lang w:val="en-US"/>
        </w:rPr>
        <w:t>. Shipp. A predictive model for aggressive non-Hodgkin's lymphoma. The New England journal of medicine. 1993;329(14):987-994.</w:t>
      </w:r>
    </w:p>
    <w:p w:rsidR="007D48BC" w:rsidRPr="008E6D8B" w:rsidRDefault="007D48BC" w:rsidP="004B68FF">
      <w:pPr>
        <w:widowControl w:val="0"/>
        <w:suppressAutoHyphens/>
        <w:spacing w:after="240"/>
        <w:jc w:val="both"/>
        <w:rPr>
          <w:rFonts w:ascii="Arial" w:hAnsi="Arial" w:cs="Arial"/>
          <w:lang w:val="en-US"/>
        </w:rPr>
      </w:pPr>
      <w:r>
        <w:rPr>
          <w:rFonts w:ascii="Arial" w:hAnsi="Arial" w:cs="Arial"/>
          <w:lang w:val="en-US"/>
        </w:rPr>
        <w:t>31.</w:t>
      </w:r>
      <w:r w:rsidRPr="008E6D8B">
        <w:rPr>
          <w:rFonts w:ascii="Arial" w:hAnsi="Arial" w:cs="Arial"/>
          <w:lang w:val="en-US"/>
        </w:rPr>
        <w:t xml:space="preserve"> Sehn LH, Berry B, Chhanabhai M, et al. The revised International Prognostic Index (R-IPI) is a better predictor of outcome than the standard IPI for patients with diffuse large B-cell lymphoma treated with R-CHOP. Blood. 2007;109(5):1857-1861.</w:t>
      </w:r>
    </w:p>
    <w:p w:rsidR="007D48BC" w:rsidRPr="008E6D8B" w:rsidRDefault="007D48BC" w:rsidP="004B68FF">
      <w:pPr>
        <w:widowControl w:val="0"/>
        <w:suppressAutoHyphens/>
        <w:spacing w:after="240"/>
        <w:jc w:val="both"/>
        <w:rPr>
          <w:rFonts w:ascii="Arial" w:hAnsi="Arial" w:cs="Arial"/>
          <w:lang w:val="en-US"/>
        </w:rPr>
      </w:pPr>
      <w:r>
        <w:rPr>
          <w:rFonts w:ascii="Arial" w:hAnsi="Arial" w:cs="Arial"/>
          <w:lang w:val="en-US"/>
        </w:rPr>
        <w:t>32</w:t>
      </w:r>
      <w:r w:rsidRPr="008E6D8B">
        <w:rPr>
          <w:rFonts w:ascii="Arial" w:hAnsi="Arial" w:cs="Arial"/>
          <w:lang w:val="en-US"/>
        </w:rPr>
        <w:t>. Friedberg JW. Relapsed/refractory diffuse large B-cell lymphoma. Hematology American Society of Hematology Education Program. 2011; 2011:498-505.</w:t>
      </w:r>
    </w:p>
    <w:p w:rsidR="007D48BC" w:rsidRPr="006D19F1" w:rsidRDefault="007D48BC" w:rsidP="004B68FF">
      <w:pPr>
        <w:widowControl w:val="0"/>
        <w:suppressAutoHyphens/>
        <w:spacing w:after="240"/>
        <w:jc w:val="both"/>
        <w:rPr>
          <w:rFonts w:ascii="Arial" w:hAnsi="Arial" w:cs="Arial"/>
          <w:lang w:val="pt-BR"/>
        </w:rPr>
      </w:pPr>
      <w:r>
        <w:rPr>
          <w:rFonts w:ascii="Arial" w:hAnsi="Arial" w:cs="Arial"/>
          <w:lang w:val="en-US"/>
        </w:rPr>
        <w:t>33</w:t>
      </w:r>
      <w:r w:rsidRPr="008E6D8B">
        <w:rPr>
          <w:rFonts w:ascii="Arial" w:hAnsi="Arial" w:cs="Arial"/>
          <w:lang w:val="en-US"/>
        </w:rPr>
        <w:t xml:space="preserve">. Gisselbrecht C, Glass B, Mounier N, et al. Salvage regimens with autologous transplantation for relapsed large B-cell lymphoma in the rituximab era. Journal of clinical oncology: official journal of the American Society of Clinical Oncology. </w:t>
      </w:r>
      <w:r w:rsidRPr="006D19F1">
        <w:rPr>
          <w:rFonts w:ascii="Arial" w:hAnsi="Arial" w:cs="Arial"/>
          <w:lang w:val="pt-BR"/>
        </w:rPr>
        <w:t>2010;28(27):4184-4190.</w:t>
      </w:r>
    </w:p>
    <w:p w:rsidR="007D48BC" w:rsidRPr="003D2521" w:rsidRDefault="007D48BC" w:rsidP="004B68FF">
      <w:pPr>
        <w:widowControl w:val="0"/>
        <w:suppressAutoHyphens/>
        <w:spacing w:after="240"/>
        <w:jc w:val="both"/>
        <w:rPr>
          <w:rFonts w:ascii="Arial" w:hAnsi="Arial" w:cs="Arial"/>
          <w:noProof/>
          <w:lang w:val="en-GB"/>
        </w:rPr>
      </w:pPr>
      <w:r w:rsidRPr="006D19F1">
        <w:rPr>
          <w:rFonts w:ascii="Arial" w:hAnsi="Arial" w:cs="Arial"/>
          <w:noProof/>
          <w:lang w:val="pt-BR"/>
        </w:rPr>
        <w:t xml:space="preserve">34. Ortega Eslava A, Marín Gil R, Fraga Fuentes MD, López-Briz E PLF. </w:t>
      </w:r>
      <w:r w:rsidRPr="00020A00">
        <w:rPr>
          <w:rFonts w:ascii="Arial" w:hAnsi="Arial" w:cs="Arial"/>
          <w:noProof/>
        </w:rPr>
        <w:t xml:space="preserve">Guía de evaluación económica e impacto presupuestario en los informes de evaluación de medicamentos. Guía práctica asociada al programa MADRE v 4.0. Madrid: SEFH (ed.), 2016. </w:t>
      </w:r>
      <w:r w:rsidRPr="003D2521">
        <w:rPr>
          <w:rFonts w:ascii="Arial" w:hAnsi="Arial" w:cs="Arial"/>
          <w:noProof/>
          <w:lang w:val="en-GB"/>
        </w:rPr>
        <w:t>Sefh. 2016.</w:t>
      </w:r>
    </w:p>
    <w:p w:rsidR="007D48BC" w:rsidRPr="002F36FD" w:rsidRDefault="007D48BC" w:rsidP="002F36FD">
      <w:pPr>
        <w:widowControl w:val="0"/>
        <w:suppressAutoHyphens/>
        <w:spacing w:after="240"/>
        <w:jc w:val="both"/>
        <w:rPr>
          <w:rFonts w:ascii="Arial" w:hAnsi="Arial" w:cs="Arial"/>
        </w:rPr>
      </w:pPr>
      <w:r w:rsidRPr="003D2521">
        <w:rPr>
          <w:rFonts w:ascii="Arial" w:hAnsi="Arial" w:cs="Arial"/>
          <w:lang w:val="en-GB"/>
        </w:rPr>
        <w:t xml:space="preserve">Schuster SJ, Bishop MR, Tam CS, Waller EK, Borchmann P, McGuirk JP, et al. </w:t>
      </w:r>
      <w:r w:rsidRPr="00600383">
        <w:rPr>
          <w:rFonts w:ascii="Arial" w:hAnsi="Arial" w:cs="Arial"/>
          <w:lang w:val="en-US"/>
        </w:rPr>
        <w:t xml:space="preserve">JULIET Investigators. Tisagenlecleucel in Adult Relapsed or Refractory Diffuse Large B-Cell Lymphoma. </w:t>
      </w:r>
      <w:r>
        <w:rPr>
          <w:rFonts w:ascii="Arial" w:hAnsi="Arial" w:cs="Arial"/>
        </w:rPr>
        <w:t>N Engl J Med. 2019</w:t>
      </w:r>
      <w:r w:rsidRPr="002F36FD">
        <w:rPr>
          <w:rFonts w:ascii="Arial" w:hAnsi="Arial" w:cs="Arial"/>
        </w:rPr>
        <w:t xml:space="preserve">;380(1):45-56. </w:t>
      </w:r>
    </w:p>
    <w:p w:rsidR="007D48BC" w:rsidRPr="00575A85" w:rsidRDefault="007D48BC" w:rsidP="004B68FF">
      <w:pPr>
        <w:widowControl w:val="0"/>
        <w:suppressAutoHyphens/>
        <w:spacing w:after="240"/>
        <w:jc w:val="both"/>
        <w:rPr>
          <w:rFonts w:ascii="Arial" w:hAnsi="Arial" w:cs="Arial"/>
        </w:rPr>
      </w:pPr>
    </w:p>
    <w:p w:rsidR="007D48BC" w:rsidRPr="006A074E" w:rsidRDefault="007D48BC" w:rsidP="00D66DED">
      <w:pPr>
        <w:spacing w:after="240" w:line="360" w:lineRule="auto"/>
        <w:jc w:val="both"/>
        <w:rPr>
          <w:rFonts w:ascii="Arial" w:hAnsi="Arial" w:cs="Arial"/>
          <w:color w:val="0000FF"/>
          <w:u w:val="single"/>
        </w:rPr>
      </w:pPr>
    </w:p>
    <w:p w:rsidR="007D48BC" w:rsidRPr="006F4C4F" w:rsidRDefault="007D48BC" w:rsidP="0084050B">
      <w:pPr>
        <w:shd w:val="clear" w:color="auto" w:fill="DBE5F1"/>
        <w:autoSpaceDE w:val="0"/>
        <w:autoSpaceDN w:val="0"/>
        <w:adjustRightInd w:val="0"/>
        <w:spacing w:after="240" w:line="240" w:lineRule="atLeast"/>
        <w:jc w:val="center"/>
        <w:rPr>
          <w:rFonts w:ascii="Arial" w:hAnsi="Arial" w:cs="Arial"/>
          <w:color w:val="000000"/>
        </w:rPr>
      </w:pPr>
      <w:r w:rsidRPr="00A56BE4">
        <w:rPr>
          <w:rFonts w:ascii="Arial" w:hAnsi="Arial" w:cs="Arial"/>
          <w:b/>
          <w:bCs/>
          <w:color w:val="000000"/>
        </w:rPr>
        <w:br w:type="page"/>
      </w:r>
      <w:r w:rsidRPr="00707E7D">
        <w:rPr>
          <w:rFonts w:ascii="Arial" w:hAnsi="Arial" w:cs="Arial"/>
          <w:b/>
          <w:bCs/>
          <w:color w:val="000000"/>
        </w:rPr>
        <w:t>Formulario de declaración de conflictos de intereses</w:t>
      </w:r>
      <w:r>
        <w:rPr>
          <w:rFonts w:ascii="Arial" w:hAnsi="Arial" w:cs="Arial"/>
          <w:b/>
          <w:bCs/>
          <w:color w:val="000000"/>
        </w:rPr>
        <w:t xml:space="preserve"> (ANEXO I)</w:t>
      </w:r>
    </w:p>
    <w:p w:rsidR="007D48BC" w:rsidRDefault="007D48BC" w:rsidP="00BC3E8E">
      <w:pPr>
        <w:autoSpaceDE w:val="0"/>
        <w:autoSpaceDN w:val="0"/>
        <w:adjustRightInd w:val="0"/>
        <w:spacing w:line="240" w:lineRule="atLeast"/>
        <w:ind w:left="220" w:hanging="220"/>
        <w:rPr>
          <w:rFonts w:ascii="Arial" w:hAnsi="Arial" w:cs="Arial"/>
          <w:color w:val="000000"/>
        </w:rPr>
      </w:pPr>
    </w:p>
    <w:p w:rsidR="007D48BC" w:rsidRPr="00456E6C" w:rsidRDefault="007D48BC" w:rsidP="00BC3E8E">
      <w:pPr>
        <w:pStyle w:val="Pa53"/>
        <w:jc w:val="both"/>
        <w:rPr>
          <w:rFonts w:ascii="Arial" w:hAnsi="Arial" w:cs="Arial"/>
          <w:sz w:val="20"/>
          <w:szCs w:val="20"/>
          <w:lang w:eastAsia="es-ES"/>
        </w:rPr>
      </w:pPr>
      <w:r w:rsidRPr="00456E6C">
        <w:rPr>
          <w:rFonts w:ascii="Arial" w:hAnsi="Arial" w:cs="Arial"/>
          <w:sz w:val="20"/>
          <w:szCs w:val="20"/>
          <w:lang w:eastAsia="es-ES"/>
        </w:rPr>
        <w:t xml:space="preserve">Los potenciales conflictos de intereses en la elaboración de informes de evaluación se consideran siempre que superen la cantidad de 2.000 euros anuales (últimos 3 años). </w:t>
      </w:r>
    </w:p>
    <w:p w:rsidR="007D48BC" w:rsidRPr="006F6ABB" w:rsidRDefault="007D48BC" w:rsidP="00BC3E8E">
      <w:pPr>
        <w:pStyle w:val="Default"/>
        <w:rPr>
          <w:rFonts w:ascii="Arial" w:hAnsi="Arial" w:cs="Arial"/>
          <w:color w:val="000080"/>
          <w:sz w:val="20"/>
          <w:szCs w:val="20"/>
          <w:lang w:eastAsia="es-ES"/>
        </w:rPr>
      </w:pPr>
    </w:p>
    <w:p w:rsidR="007D48BC" w:rsidRPr="006F4C4F" w:rsidRDefault="007D48BC" w:rsidP="00BC3E8E">
      <w:pPr>
        <w:autoSpaceDE w:val="0"/>
        <w:autoSpaceDN w:val="0"/>
        <w:adjustRightInd w:val="0"/>
        <w:spacing w:line="240" w:lineRule="atLeast"/>
        <w:ind w:left="220" w:hanging="220"/>
        <w:rPr>
          <w:rFonts w:ascii="Arial" w:hAnsi="Arial" w:cs="Arial"/>
          <w:b/>
          <w:bCs/>
          <w:color w:val="000000"/>
        </w:rPr>
      </w:pPr>
      <w:r w:rsidRPr="00707E7D">
        <w:rPr>
          <w:rFonts w:ascii="Arial" w:hAnsi="Arial" w:cs="Arial"/>
          <w:b/>
          <w:bCs/>
          <w:color w:val="000000"/>
        </w:rPr>
        <w:t>– Nombre y apellidos:</w:t>
      </w:r>
      <w:r>
        <w:rPr>
          <w:rFonts w:ascii="Arial" w:hAnsi="Arial" w:cs="Arial"/>
          <w:b/>
          <w:bCs/>
          <w:color w:val="000000"/>
        </w:rPr>
        <w:t xml:space="preserve"> </w:t>
      </w:r>
    </w:p>
    <w:p w:rsidR="007D48BC" w:rsidRPr="00707E7D" w:rsidRDefault="007D48BC" w:rsidP="00BC3E8E">
      <w:pPr>
        <w:autoSpaceDE w:val="0"/>
        <w:autoSpaceDN w:val="0"/>
        <w:adjustRightInd w:val="0"/>
        <w:spacing w:line="240" w:lineRule="atLeast"/>
        <w:ind w:left="220" w:hanging="220"/>
        <w:rPr>
          <w:rFonts w:ascii="Arial" w:hAnsi="Arial" w:cs="Arial"/>
          <w:b/>
          <w:bCs/>
          <w:color w:val="000000"/>
        </w:rPr>
      </w:pPr>
    </w:p>
    <w:p w:rsidR="007D48BC" w:rsidRPr="006F4C4F" w:rsidRDefault="007D48BC" w:rsidP="00BC3E8E">
      <w:pPr>
        <w:autoSpaceDE w:val="0"/>
        <w:autoSpaceDN w:val="0"/>
        <w:adjustRightInd w:val="0"/>
        <w:spacing w:line="240" w:lineRule="atLeast"/>
        <w:ind w:left="220" w:hanging="220"/>
        <w:rPr>
          <w:rFonts w:ascii="Arial" w:hAnsi="Arial" w:cs="Arial"/>
          <w:b/>
          <w:bCs/>
          <w:color w:val="000000"/>
        </w:rPr>
      </w:pPr>
      <w:r w:rsidRPr="00707E7D">
        <w:rPr>
          <w:rFonts w:ascii="Arial" w:hAnsi="Arial" w:cs="Arial"/>
          <w:b/>
          <w:bCs/>
          <w:color w:val="000000"/>
        </w:rPr>
        <w:t>– Institución en la que trabaja:</w:t>
      </w:r>
    </w:p>
    <w:p w:rsidR="007D48BC" w:rsidRPr="00707E7D" w:rsidRDefault="007D48BC" w:rsidP="00BC3E8E">
      <w:pPr>
        <w:autoSpaceDE w:val="0"/>
        <w:autoSpaceDN w:val="0"/>
        <w:adjustRightInd w:val="0"/>
        <w:spacing w:line="240" w:lineRule="atLeast"/>
        <w:ind w:left="220" w:hanging="220"/>
        <w:rPr>
          <w:rFonts w:ascii="Arial" w:hAnsi="Arial" w:cs="Arial"/>
          <w:b/>
          <w:bCs/>
          <w:color w:val="000000"/>
        </w:rPr>
      </w:pPr>
    </w:p>
    <w:p w:rsidR="007D48BC" w:rsidRPr="006F4C4F" w:rsidRDefault="007D48BC" w:rsidP="00BC3E8E">
      <w:pPr>
        <w:autoSpaceDE w:val="0"/>
        <w:autoSpaceDN w:val="0"/>
        <w:adjustRightInd w:val="0"/>
        <w:spacing w:line="240" w:lineRule="atLeast"/>
        <w:ind w:left="220" w:hanging="220"/>
        <w:rPr>
          <w:rFonts w:ascii="Arial" w:hAnsi="Arial" w:cs="Arial"/>
          <w:color w:val="000000"/>
        </w:rPr>
      </w:pPr>
      <w:r w:rsidRPr="00707E7D">
        <w:rPr>
          <w:rFonts w:ascii="Arial" w:hAnsi="Arial" w:cs="Arial"/>
          <w:b/>
          <w:bCs/>
          <w:color w:val="000000"/>
        </w:rPr>
        <w:t xml:space="preserve">– Institución que le vincula al informe. </w:t>
      </w:r>
      <w:r w:rsidRPr="00707E7D">
        <w:rPr>
          <w:rFonts w:ascii="Arial" w:hAnsi="Arial" w:cs="Arial"/>
          <w:color w:val="000000"/>
        </w:rPr>
        <w:t>Ej: sociedades científicas, grupo de trabajo, etc. (contestar sólo si es dife</w:t>
      </w:r>
      <w:r w:rsidRPr="00707E7D">
        <w:rPr>
          <w:rFonts w:ascii="Arial" w:hAnsi="Arial" w:cs="Arial"/>
          <w:color w:val="000000"/>
        </w:rPr>
        <w:softHyphen/>
        <w:t>rente a la anterior):</w:t>
      </w:r>
    </w:p>
    <w:p w:rsidR="007D48BC" w:rsidRPr="00707E7D" w:rsidRDefault="007D48BC" w:rsidP="00BC3E8E">
      <w:pPr>
        <w:autoSpaceDE w:val="0"/>
        <w:autoSpaceDN w:val="0"/>
        <w:adjustRightInd w:val="0"/>
        <w:spacing w:after="40" w:line="240" w:lineRule="atLeast"/>
        <w:rPr>
          <w:rFonts w:ascii="Arial" w:hAnsi="Arial" w:cs="Arial"/>
          <w:color w:val="000000"/>
        </w:rPr>
      </w:pPr>
    </w:p>
    <w:p w:rsidR="007D48BC" w:rsidRPr="006F4C4F" w:rsidRDefault="007D48BC" w:rsidP="00BC3E8E">
      <w:pPr>
        <w:autoSpaceDE w:val="0"/>
        <w:autoSpaceDN w:val="0"/>
        <w:adjustRightInd w:val="0"/>
        <w:spacing w:after="40" w:line="240" w:lineRule="atLeast"/>
        <w:rPr>
          <w:rFonts w:ascii="Arial" w:hAnsi="Arial" w:cs="Arial"/>
          <w:color w:val="000000"/>
        </w:rPr>
      </w:pPr>
      <w:r>
        <w:rPr>
          <w:rFonts w:ascii="Arial" w:hAnsi="Arial" w:cs="Arial"/>
          <w:color w:val="000000"/>
        </w:rPr>
        <w:t xml:space="preserve">Participación en el informe de evaluación </w:t>
      </w:r>
      <w:r w:rsidRPr="00707E7D">
        <w:rPr>
          <w:rFonts w:ascii="Arial" w:hAnsi="Arial" w:cs="Arial"/>
          <w:color w:val="000000"/>
        </w:rPr>
        <w:t>como:</w:t>
      </w:r>
    </w:p>
    <w:p w:rsidR="007D48BC" w:rsidRPr="006A0347" w:rsidRDefault="007D48BC" w:rsidP="00BC3E8E">
      <w:pPr>
        <w:autoSpaceDE w:val="0"/>
        <w:autoSpaceDN w:val="0"/>
        <w:adjustRightInd w:val="0"/>
        <w:spacing w:line="240" w:lineRule="atLeast"/>
        <w:ind w:left="560"/>
        <w:rPr>
          <w:rFonts w:ascii="Arial" w:hAnsi="Arial" w:cs="Arial"/>
          <w:color w:val="000000"/>
          <w:lang w:val="pt-BR"/>
        </w:rPr>
      </w:pPr>
      <w:r w:rsidRPr="006A0347">
        <w:rPr>
          <w:rFonts w:ascii="Arial" w:hAnsi="Arial" w:cs="Arial"/>
          <w:color w:val="000000"/>
          <w:lang w:val="pt-BR"/>
        </w:rPr>
        <w:t>1-Autor/a</w:t>
      </w:r>
    </w:p>
    <w:p w:rsidR="007D48BC" w:rsidRPr="006A0347" w:rsidRDefault="007D48BC" w:rsidP="00BC3E8E">
      <w:pPr>
        <w:autoSpaceDE w:val="0"/>
        <w:autoSpaceDN w:val="0"/>
        <w:adjustRightInd w:val="0"/>
        <w:spacing w:line="240" w:lineRule="atLeast"/>
        <w:ind w:left="560"/>
        <w:rPr>
          <w:rFonts w:ascii="Arial" w:hAnsi="Arial" w:cs="Arial"/>
          <w:color w:val="000000"/>
          <w:lang w:val="pt-BR"/>
        </w:rPr>
      </w:pPr>
      <w:r w:rsidRPr="006A0347">
        <w:rPr>
          <w:rFonts w:ascii="Arial" w:hAnsi="Arial" w:cs="Arial"/>
          <w:color w:val="000000"/>
          <w:lang w:val="pt-BR"/>
        </w:rPr>
        <w:t>2-Tutor/a</w:t>
      </w:r>
    </w:p>
    <w:p w:rsidR="007D48BC" w:rsidRPr="006A0347" w:rsidRDefault="007D48BC" w:rsidP="00BC3E8E">
      <w:pPr>
        <w:autoSpaceDE w:val="0"/>
        <w:autoSpaceDN w:val="0"/>
        <w:adjustRightInd w:val="0"/>
        <w:spacing w:line="240" w:lineRule="atLeast"/>
        <w:ind w:left="560"/>
        <w:rPr>
          <w:rFonts w:ascii="Arial" w:hAnsi="Arial" w:cs="Arial"/>
          <w:color w:val="000000"/>
          <w:lang w:val="pt-BR"/>
        </w:rPr>
      </w:pPr>
      <w:r w:rsidRPr="006A0347">
        <w:rPr>
          <w:rFonts w:ascii="Arial" w:hAnsi="Arial" w:cs="Arial"/>
          <w:color w:val="000000"/>
          <w:lang w:val="pt-BR"/>
        </w:rPr>
        <w:t>3-Revisor/a externo/a</w:t>
      </w:r>
    </w:p>
    <w:p w:rsidR="007D48BC" w:rsidRPr="006A0347" w:rsidRDefault="007D48BC" w:rsidP="00BC3E8E">
      <w:pPr>
        <w:autoSpaceDE w:val="0"/>
        <w:autoSpaceDN w:val="0"/>
        <w:adjustRightInd w:val="0"/>
        <w:spacing w:line="240" w:lineRule="atLeast"/>
        <w:jc w:val="both"/>
        <w:rPr>
          <w:rFonts w:ascii="Arial" w:hAnsi="Arial" w:cs="Arial"/>
          <w:color w:val="000000"/>
          <w:lang w:val="pt-BR"/>
        </w:rPr>
      </w:pPr>
    </w:p>
    <w:p w:rsidR="007D48BC" w:rsidRPr="006F4C4F" w:rsidRDefault="007D48BC" w:rsidP="00BC3E8E">
      <w:pPr>
        <w:autoSpaceDE w:val="0"/>
        <w:autoSpaceDN w:val="0"/>
        <w:adjustRightInd w:val="0"/>
        <w:spacing w:line="240" w:lineRule="atLeast"/>
        <w:jc w:val="both"/>
        <w:rPr>
          <w:rFonts w:ascii="Arial" w:hAnsi="Arial" w:cs="Arial"/>
          <w:color w:val="000000"/>
        </w:rPr>
      </w:pPr>
      <w:r w:rsidRPr="00707E7D">
        <w:rPr>
          <w:rFonts w:ascii="Arial" w:hAnsi="Arial" w:cs="Arial"/>
          <w:color w:val="000000"/>
        </w:rPr>
        <w:t xml:space="preserve">Tras haber y leído y comprendido la información remitida sobre la declaración de conflictos para el presente </w:t>
      </w:r>
      <w:r>
        <w:rPr>
          <w:rFonts w:ascii="Arial" w:hAnsi="Arial" w:cs="Arial"/>
          <w:color w:val="000000"/>
        </w:rPr>
        <w:t>informe</w:t>
      </w:r>
      <w:r w:rsidRPr="00707E7D">
        <w:rPr>
          <w:rFonts w:ascii="Arial" w:hAnsi="Arial" w:cs="Arial"/>
          <w:color w:val="000000"/>
        </w:rPr>
        <w:t>, formulo la siguiente declaración:</w:t>
      </w:r>
    </w:p>
    <w:p w:rsidR="007D48BC" w:rsidRPr="00707E7D" w:rsidRDefault="007D48BC" w:rsidP="00BC3E8E">
      <w:pPr>
        <w:autoSpaceDE w:val="0"/>
        <w:autoSpaceDN w:val="0"/>
        <w:adjustRightInd w:val="0"/>
        <w:spacing w:after="40" w:line="240" w:lineRule="atLeast"/>
        <w:rPr>
          <w:rFonts w:ascii="Arial" w:hAnsi="Arial" w:cs="Arial"/>
          <w:color w:val="000000"/>
        </w:rPr>
      </w:pPr>
    </w:p>
    <w:p w:rsidR="007D48BC" w:rsidRPr="00707E7D" w:rsidRDefault="007D48BC" w:rsidP="00BC3E8E">
      <w:pPr>
        <w:autoSpaceDE w:val="0"/>
        <w:autoSpaceDN w:val="0"/>
        <w:adjustRightInd w:val="0"/>
        <w:spacing w:line="240" w:lineRule="atLeast"/>
        <w:rPr>
          <w:rFonts w:ascii="Arial" w:hAnsi="Arial" w:cs="Arial"/>
          <w:b/>
          <w:bCs/>
          <w:color w:val="000000"/>
        </w:rPr>
      </w:pPr>
      <w:r w:rsidRPr="00707E7D">
        <w:rPr>
          <w:rFonts w:ascii="Arial" w:hAnsi="Arial" w:cs="Arial"/>
          <w:b/>
          <w:bCs/>
          <w:color w:val="000000"/>
        </w:rPr>
        <w:t>A- Intereses personales</w:t>
      </w:r>
      <w:r>
        <w:rPr>
          <w:rFonts w:ascii="Arial" w:hAnsi="Arial" w:cs="Arial"/>
          <w:b/>
          <w:bCs/>
          <w:color w:val="000000"/>
        </w:rPr>
        <w:t xml:space="preserve"> </w:t>
      </w:r>
      <w:r>
        <w:rPr>
          <w:rStyle w:val="A6"/>
          <w:rFonts w:ascii="Arial" w:hAnsi="Arial" w:cs="Arial"/>
          <w:b/>
          <w:bCs/>
          <w:sz w:val="20"/>
          <w:szCs w:val="20"/>
        </w:rPr>
        <w:t>(</w:t>
      </w:r>
      <w:r w:rsidRPr="00707E7D">
        <w:rPr>
          <w:rFonts w:ascii="Arial" w:hAnsi="Arial" w:cs="Arial"/>
          <w:color w:val="000000"/>
        </w:rPr>
        <w:t>En caso afirmativo especificar</w:t>
      </w:r>
      <w:r>
        <w:rPr>
          <w:rStyle w:val="A6"/>
          <w:rFonts w:ascii="Arial" w:hAnsi="Arial" w:cs="Arial"/>
          <w:b/>
          <w:bCs/>
          <w:sz w:val="20"/>
          <w:szCs w:val="20"/>
        </w:rPr>
        <w:t xml:space="preserve">): </w:t>
      </w:r>
      <w:r>
        <w:rPr>
          <w:rStyle w:val="A6"/>
          <w:rFonts w:ascii="Arial" w:hAnsi="Arial" w:cs="Arial"/>
          <w:b/>
          <w:bCs/>
          <w:sz w:val="20"/>
          <w:szCs w:val="20"/>
        </w:rPr>
        <w:tab/>
      </w:r>
      <w:r>
        <w:rPr>
          <w:rStyle w:val="A6"/>
          <w:rFonts w:ascii="Arial" w:hAnsi="Arial" w:cs="Arial"/>
          <w:b/>
          <w:bCs/>
          <w:sz w:val="20"/>
          <w:szCs w:val="20"/>
        </w:rPr>
        <w:tab/>
      </w:r>
      <w:r>
        <w:rPr>
          <w:rStyle w:val="A6"/>
          <w:rFonts w:ascii="Arial" w:hAnsi="Arial" w:cs="Arial"/>
          <w:b/>
          <w:bCs/>
          <w:sz w:val="20"/>
          <w:szCs w:val="20"/>
        </w:rPr>
        <w:sym w:font="Wingdings" w:char="F070"/>
      </w:r>
      <w:r>
        <w:rPr>
          <w:rStyle w:val="A6"/>
          <w:rFonts w:ascii="Arial" w:hAnsi="Arial" w:cs="Arial"/>
          <w:b/>
          <w:bCs/>
          <w:sz w:val="20"/>
          <w:szCs w:val="20"/>
        </w:rPr>
        <w:t>SI</w:t>
      </w:r>
      <w:r>
        <w:rPr>
          <w:rStyle w:val="A6"/>
          <w:rFonts w:ascii="Arial" w:hAnsi="Arial" w:cs="Arial"/>
          <w:b/>
          <w:bCs/>
          <w:sz w:val="20"/>
          <w:szCs w:val="20"/>
        </w:rPr>
        <w:tab/>
      </w:r>
      <w:r>
        <w:rPr>
          <w:rStyle w:val="A6"/>
          <w:rFonts w:ascii="Arial" w:hAnsi="Arial" w:cs="Arial"/>
          <w:b/>
          <w:bCs/>
          <w:sz w:val="20"/>
          <w:szCs w:val="20"/>
        </w:rPr>
        <w:tab/>
      </w:r>
      <w:r>
        <w:rPr>
          <w:rStyle w:val="A6"/>
          <w:rFonts w:ascii="Arial" w:hAnsi="Arial" w:cs="Arial"/>
          <w:b/>
          <w:bCs/>
          <w:sz w:val="20"/>
          <w:szCs w:val="20"/>
        </w:rPr>
        <w:sym w:font="Wingdings" w:char="F070"/>
      </w:r>
      <w:r w:rsidRPr="00707E7D">
        <w:rPr>
          <w:rStyle w:val="A6"/>
          <w:rFonts w:ascii="Arial" w:hAnsi="Arial" w:cs="Arial"/>
          <w:b/>
          <w:bCs/>
          <w:sz w:val="20"/>
          <w:szCs w:val="20"/>
        </w:rPr>
        <w:t xml:space="preserve">NO </w:t>
      </w:r>
    </w:p>
    <w:p w:rsidR="007D48BC" w:rsidRPr="00707E7D" w:rsidRDefault="007D48BC" w:rsidP="00BC3E8E">
      <w:pPr>
        <w:autoSpaceDE w:val="0"/>
        <w:autoSpaceDN w:val="0"/>
        <w:adjustRightInd w:val="0"/>
        <w:spacing w:line="240" w:lineRule="atLeast"/>
        <w:rPr>
          <w:rFonts w:ascii="Arial" w:hAnsi="Arial" w:cs="Arial"/>
          <w:color w:val="000000"/>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495"/>
        <w:gridCol w:w="1276"/>
        <w:gridCol w:w="1275"/>
        <w:gridCol w:w="457"/>
        <w:gridCol w:w="376"/>
      </w:tblGrid>
      <w:tr w:rsidR="007D48BC" w:rsidRPr="003D6FCD">
        <w:tc>
          <w:tcPr>
            <w:tcW w:w="5495" w:type="dxa"/>
          </w:tcPr>
          <w:p w:rsidR="007D48BC" w:rsidRPr="003D6FCD" w:rsidRDefault="007D48BC" w:rsidP="00BC3E8E">
            <w:pPr>
              <w:autoSpaceDE w:val="0"/>
              <w:autoSpaceDN w:val="0"/>
              <w:adjustRightInd w:val="0"/>
              <w:spacing w:line="240" w:lineRule="atLeast"/>
              <w:rPr>
                <w:rFonts w:ascii="Arial" w:hAnsi="Arial" w:cs="Arial"/>
                <w:color w:val="000000"/>
                <w:sz w:val="18"/>
                <w:szCs w:val="18"/>
              </w:rPr>
            </w:pPr>
          </w:p>
        </w:tc>
        <w:tc>
          <w:tcPr>
            <w:tcW w:w="1276" w:type="dxa"/>
          </w:tcPr>
          <w:p w:rsidR="007D48BC" w:rsidRPr="003D6FCD" w:rsidRDefault="007D48BC" w:rsidP="00BC3E8E">
            <w:pPr>
              <w:autoSpaceDE w:val="0"/>
              <w:autoSpaceDN w:val="0"/>
              <w:adjustRightInd w:val="0"/>
              <w:spacing w:line="240" w:lineRule="atLeast"/>
              <w:rPr>
                <w:rFonts w:ascii="Arial" w:hAnsi="Arial" w:cs="Arial"/>
                <w:color w:val="000000"/>
                <w:sz w:val="18"/>
                <w:szCs w:val="18"/>
              </w:rPr>
            </w:pPr>
            <w:r w:rsidRPr="003D6FCD">
              <w:rPr>
                <w:rFonts w:ascii="Arial" w:hAnsi="Arial" w:cs="Arial"/>
                <w:color w:val="000000"/>
                <w:sz w:val="18"/>
                <w:szCs w:val="18"/>
              </w:rPr>
              <w:t>Actividad</w:t>
            </w:r>
          </w:p>
        </w:tc>
        <w:tc>
          <w:tcPr>
            <w:tcW w:w="1275" w:type="dxa"/>
          </w:tcPr>
          <w:p w:rsidR="007D48BC" w:rsidRPr="003D6FCD" w:rsidRDefault="007D48BC" w:rsidP="00BC3E8E">
            <w:pPr>
              <w:autoSpaceDE w:val="0"/>
              <w:autoSpaceDN w:val="0"/>
              <w:adjustRightInd w:val="0"/>
              <w:spacing w:line="240" w:lineRule="atLeast"/>
              <w:rPr>
                <w:rFonts w:ascii="Arial" w:hAnsi="Arial" w:cs="Arial"/>
                <w:color w:val="000000"/>
                <w:sz w:val="18"/>
                <w:szCs w:val="18"/>
              </w:rPr>
            </w:pPr>
            <w:r w:rsidRPr="003D6FCD">
              <w:rPr>
                <w:rFonts w:ascii="Arial" w:hAnsi="Arial" w:cs="Arial"/>
                <w:color w:val="000000"/>
                <w:sz w:val="18"/>
                <w:szCs w:val="18"/>
              </w:rPr>
              <w:t>Institución</w:t>
            </w:r>
          </w:p>
        </w:tc>
        <w:tc>
          <w:tcPr>
            <w:tcW w:w="833" w:type="dxa"/>
            <w:gridSpan w:val="2"/>
          </w:tcPr>
          <w:p w:rsidR="007D48BC" w:rsidRPr="003D6FCD" w:rsidRDefault="007D48BC" w:rsidP="00BC3E8E">
            <w:pPr>
              <w:autoSpaceDE w:val="0"/>
              <w:autoSpaceDN w:val="0"/>
              <w:adjustRightInd w:val="0"/>
              <w:spacing w:line="240" w:lineRule="atLeast"/>
              <w:rPr>
                <w:rFonts w:ascii="Arial" w:hAnsi="Arial" w:cs="Arial"/>
                <w:color w:val="000000"/>
                <w:sz w:val="18"/>
                <w:szCs w:val="18"/>
              </w:rPr>
            </w:pPr>
            <w:r w:rsidRPr="003D6FCD">
              <w:rPr>
                <w:rFonts w:ascii="Arial" w:hAnsi="Arial" w:cs="Arial"/>
                <w:color w:val="000000"/>
                <w:sz w:val="18"/>
                <w:szCs w:val="18"/>
              </w:rPr>
              <w:t>Fecha</w:t>
            </w:r>
          </w:p>
        </w:tc>
      </w:tr>
      <w:tr w:rsidR="007D48BC" w:rsidRPr="003D6FCD">
        <w:tc>
          <w:tcPr>
            <w:tcW w:w="5495" w:type="dxa"/>
          </w:tcPr>
          <w:p w:rsidR="007D48BC" w:rsidRPr="003D6FCD" w:rsidRDefault="007D48BC" w:rsidP="00BC3E8E">
            <w:pPr>
              <w:autoSpaceDE w:val="0"/>
              <w:autoSpaceDN w:val="0"/>
              <w:adjustRightInd w:val="0"/>
              <w:spacing w:line="240" w:lineRule="atLeast"/>
              <w:rPr>
                <w:rFonts w:ascii="Arial" w:hAnsi="Arial" w:cs="Arial"/>
                <w:color w:val="000000"/>
                <w:sz w:val="18"/>
                <w:szCs w:val="18"/>
              </w:rPr>
            </w:pPr>
            <w:r w:rsidRPr="003D6FCD">
              <w:rPr>
                <w:rFonts w:ascii="Arial" w:hAnsi="Arial" w:cs="Arial"/>
                <w:color w:val="000000"/>
                <w:sz w:val="18"/>
                <w:szCs w:val="18"/>
              </w:rPr>
              <w:t>Financiación para reuniones y congresos, asistencia a cursos (inscripciones, bolsas de viajes, alojamiento…)</w:t>
            </w:r>
          </w:p>
        </w:tc>
        <w:tc>
          <w:tcPr>
            <w:tcW w:w="1276" w:type="dxa"/>
          </w:tcPr>
          <w:p w:rsidR="007D48BC" w:rsidRPr="003D6FCD" w:rsidRDefault="007D48BC" w:rsidP="00BC3E8E">
            <w:pPr>
              <w:autoSpaceDE w:val="0"/>
              <w:autoSpaceDN w:val="0"/>
              <w:adjustRightInd w:val="0"/>
              <w:spacing w:line="240" w:lineRule="atLeast"/>
              <w:rPr>
                <w:rFonts w:ascii="Arial" w:hAnsi="Arial" w:cs="Arial"/>
                <w:color w:val="000000"/>
                <w:sz w:val="18"/>
                <w:szCs w:val="18"/>
              </w:rPr>
            </w:pPr>
          </w:p>
        </w:tc>
        <w:tc>
          <w:tcPr>
            <w:tcW w:w="1275" w:type="dxa"/>
          </w:tcPr>
          <w:p w:rsidR="007D48BC" w:rsidRPr="003D6FCD" w:rsidRDefault="007D48BC" w:rsidP="00BC3E8E">
            <w:pPr>
              <w:autoSpaceDE w:val="0"/>
              <w:autoSpaceDN w:val="0"/>
              <w:adjustRightInd w:val="0"/>
              <w:spacing w:line="240" w:lineRule="atLeast"/>
              <w:rPr>
                <w:rFonts w:ascii="Arial" w:hAnsi="Arial" w:cs="Arial"/>
                <w:color w:val="000000"/>
                <w:sz w:val="18"/>
                <w:szCs w:val="18"/>
              </w:rPr>
            </w:pPr>
          </w:p>
        </w:tc>
        <w:tc>
          <w:tcPr>
            <w:tcW w:w="833" w:type="dxa"/>
            <w:gridSpan w:val="2"/>
          </w:tcPr>
          <w:p w:rsidR="007D48BC" w:rsidRPr="003D6FCD" w:rsidRDefault="007D48BC" w:rsidP="00BC3E8E">
            <w:pPr>
              <w:autoSpaceDE w:val="0"/>
              <w:autoSpaceDN w:val="0"/>
              <w:adjustRightInd w:val="0"/>
              <w:spacing w:line="240" w:lineRule="atLeast"/>
              <w:rPr>
                <w:rFonts w:ascii="Arial" w:hAnsi="Arial" w:cs="Arial"/>
                <w:color w:val="000000"/>
                <w:sz w:val="18"/>
                <w:szCs w:val="18"/>
              </w:rPr>
            </w:pPr>
          </w:p>
        </w:tc>
      </w:tr>
      <w:tr w:rsidR="007D48BC" w:rsidRPr="003D6FCD">
        <w:tc>
          <w:tcPr>
            <w:tcW w:w="5495" w:type="dxa"/>
          </w:tcPr>
          <w:p w:rsidR="007D48BC" w:rsidRPr="003D6FCD" w:rsidRDefault="007D48BC" w:rsidP="00BC3E8E">
            <w:pPr>
              <w:autoSpaceDE w:val="0"/>
              <w:autoSpaceDN w:val="0"/>
              <w:adjustRightInd w:val="0"/>
              <w:spacing w:line="240" w:lineRule="atLeast"/>
              <w:rPr>
                <w:rFonts w:ascii="Arial" w:hAnsi="Arial" w:cs="Arial"/>
                <w:color w:val="000000"/>
                <w:sz w:val="18"/>
                <w:szCs w:val="18"/>
              </w:rPr>
            </w:pPr>
            <w:r w:rsidRPr="003D6FCD">
              <w:rPr>
                <w:rFonts w:ascii="Arial" w:hAnsi="Arial" w:cs="Arial"/>
                <w:color w:val="000000"/>
                <w:sz w:val="18"/>
                <w:szCs w:val="18"/>
              </w:rPr>
              <w:t>Honorarios como ponente (conferencias, cursos…)</w:t>
            </w:r>
          </w:p>
        </w:tc>
        <w:tc>
          <w:tcPr>
            <w:tcW w:w="1276" w:type="dxa"/>
          </w:tcPr>
          <w:p w:rsidR="007D48BC" w:rsidRPr="003D6FCD" w:rsidRDefault="007D48BC" w:rsidP="00BC3E8E">
            <w:pPr>
              <w:autoSpaceDE w:val="0"/>
              <w:autoSpaceDN w:val="0"/>
              <w:adjustRightInd w:val="0"/>
              <w:spacing w:line="240" w:lineRule="atLeast"/>
              <w:rPr>
                <w:rFonts w:ascii="Arial" w:hAnsi="Arial" w:cs="Arial"/>
                <w:color w:val="000000"/>
                <w:sz w:val="18"/>
                <w:szCs w:val="18"/>
              </w:rPr>
            </w:pPr>
          </w:p>
        </w:tc>
        <w:tc>
          <w:tcPr>
            <w:tcW w:w="1275" w:type="dxa"/>
          </w:tcPr>
          <w:p w:rsidR="007D48BC" w:rsidRPr="003D6FCD" w:rsidRDefault="007D48BC" w:rsidP="00BC3E8E">
            <w:pPr>
              <w:autoSpaceDE w:val="0"/>
              <w:autoSpaceDN w:val="0"/>
              <w:adjustRightInd w:val="0"/>
              <w:spacing w:line="240" w:lineRule="atLeast"/>
              <w:rPr>
                <w:rFonts w:ascii="Arial" w:hAnsi="Arial" w:cs="Arial"/>
                <w:color w:val="000000"/>
                <w:sz w:val="18"/>
                <w:szCs w:val="18"/>
              </w:rPr>
            </w:pPr>
          </w:p>
        </w:tc>
        <w:tc>
          <w:tcPr>
            <w:tcW w:w="833" w:type="dxa"/>
            <w:gridSpan w:val="2"/>
          </w:tcPr>
          <w:p w:rsidR="007D48BC" w:rsidRPr="003D6FCD" w:rsidRDefault="007D48BC" w:rsidP="00BC3E8E">
            <w:pPr>
              <w:autoSpaceDE w:val="0"/>
              <w:autoSpaceDN w:val="0"/>
              <w:adjustRightInd w:val="0"/>
              <w:spacing w:line="240" w:lineRule="atLeast"/>
              <w:rPr>
                <w:rFonts w:ascii="Arial" w:hAnsi="Arial" w:cs="Arial"/>
                <w:color w:val="000000"/>
                <w:sz w:val="18"/>
                <w:szCs w:val="18"/>
              </w:rPr>
            </w:pPr>
          </w:p>
        </w:tc>
      </w:tr>
      <w:tr w:rsidR="007D48BC" w:rsidRPr="003D6FCD">
        <w:tc>
          <w:tcPr>
            <w:tcW w:w="5495" w:type="dxa"/>
          </w:tcPr>
          <w:p w:rsidR="007D48BC" w:rsidRPr="003D6FCD" w:rsidRDefault="007D48BC" w:rsidP="00BC3E8E">
            <w:pPr>
              <w:autoSpaceDE w:val="0"/>
              <w:autoSpaceDN w:val="0"/>
              <w:adjustRightInd w:val="0"/>
              <w:spacing w:line="240" w:lineRule="atLeast"/>
              <w:rPr>
                <w:rFonts w:ascii="Arial" w:hAnsi="Arial" w:cs="Arial"/>
                <w:color w:val="000000"/>
                <w:sz w:val="18"/>
                <w:szCs w:val="18"/>
              </w:rPr>
            </w:pPr>
            <w:r w:rsidRPr="003D6FCD">
              <w:rPr>
                <w:rFonts w:ascii="Arial" w:hAnsi="Arial" w:cs="Arial"/>
                <w:color w:val="000000"/>
                <w:sz w:val="18"/>
                <w:szCs w:val="18"/>
              </w:rPr>
              <w:t>Financiación de programas educativos o cursos (contratación de personal, alquiler de instalaciones…)</w:t>
            </w:r>
          </w:p>
        </w:tc>
        <w:tc>
          <w:tcPr>
            <w:tcW w:w="1276" w:type="dxa"/>
          </w:tcPr>
          <w:p w:rsidR="007D48BC" w:rsidRPr="003D6FCD" w:rsidRDefault="007D48BC" w:rsidP="00BC3E8E">
            <w:pPr>
              <w:autoSpaceDE w:val="0"/>
              <w:autoSpaceDN w:val="0"/>
              <w:adjustRightInd w:val="0"/>
              <w:spacing w:line="240" w:lineRule="atLeast"/>
              <w:rPr>
                <w:rFonts w:ascii="Arial" w:hAnsi="Arial" w:cs="Arial"/>
                <w:color w:val="000000"/>
                <w:sz w:val="18"/>
                <w:szCs w:val="18"/>
              </w:rPr>
            </w:pPr>
          </w:p>
        </w:tc>
        <w:tc>
          <w:tcPr>
            <w:tcW w:w="1275" w:type="dxa"/>
          </w:tcPr>
          <w:p w:rsidR="007D48BC" w:rsidRPr="003D6FCD" w:rsidRDefault="007D48BC" w:rsidP="00BC3E8E">
            <w:pPr>
              <w:autoSpaceDE w:val="0"/>
              <w:autoSpaceDN w:val="0"/>
              <w:adjustRightInd w:val="0"/>
              <w:spacing w:line="240" w:lineRule="atLeast"/>
              <w:rPr>
                <w:rFonts w:ascii="Arial" w:hAnsi="Arial" w:cs="Arial"/>
                <w:color w:val="000000"/>
                <w:sz w:val="18"/>
                <w:szCs w:val="18"/>
              </w:rPr>
            </w:pPr>
          </w:p>
        </w:tc>
        <w:tc>
          <w:tcPr>
            <w:tcW w:w="833" w:type="dxa"/>
            <w:gridSpan w:val="2"/>
          </w:tcPr>
          <w:p w:rsidR="007D48BC" w:rsidRPr="003D6FCD" w:rsidRDefault="007D48BC" w:rsidP="00BC3E8E">
            <w:pPr>
              <w:autoSpaceDE w:val="0"/>
              <w:autoSpaceDN w:val="0"/>
              <w:adjustRightInd w:val="0"/>
              <w:spacing w:line="240" w:lineRule="atLeast"/>
              <w:rPr>
                <w:rFonts w:ascii="Arial" w:hAnsi="Arial" w:cs="Arial"/>
                <w:color w:val="000000"/>
                <w:sz w:val="18"/>
                <w:szCs w:val="18"/>
              </w:rPr>
            </w:pPr>
          </w:p>
        </w:tc>
      </w:tr>
      <w:tr w:rsidR="007D48BC" w:rsidRPr="003D6FCD">
        <w:tc>
          <w:tcPr>
            <w:tcW w:w="5495" w:type="dxa"/>
          </w:tcPr>
          <w:p w:rsidR="007D48BC" w:rsidRPr="003D6FCD" w:rsidRDefault="007D48BC" w:rsidP="00BC3E8E">
            <w:pPr>
              <w:autoSpaceDE w:val="0"/>
              <w:autoSpaceDN w:val="0"/>
              <w:adjustRightInd w:val="0"/>
              <w:spacing w:line="240" w:lineRule="atLeast"/>
              <w:rPr>
                <w:rFonts w:ascii="Arial" w:hAnsi="Arial" w:cs="Arial"/>
                <w:color w:val="000000"/>
                <w:sz w:val="18"/>
                <w:szCs w:val="18"/>
              </w:rPr>
            </w:pPr>
            <w:r w:rsidRPr="003D6FCD">
              <w:rPr>
                <w:rFonts w:ascii="Arial" w:hAnsi="Arial" w:cs="Arial"/>
                <w:color w:val="000000"/>
                <w:sz w:val="18"/>
                <w:szCs w:val="18"/>
              </w:rPr>
              <w:t>Financiación por participar en una investigación</w:t>
            </w:r>
          </w:p>
        </w:tc>
        <w:tc>
          <w:tcPr>
            <w:tcW w:w="1276" w:type="dxa"/>
          </w:tcPr>
          <w:p w:rsidR="007D48BC" w:rsidRPr="003D6FCD" w:rsidRDefault="007D48BC" w:rsidP="00BC3E8E">
            <w:pPr>
              <w:autoSpaceDE w:val="0"/>
              <w:autoSpaceDN w:val="0"/>
              <w:adjustRightInd w:val="0"/>
              <w:spacing w:line="240" w:lineRule="atLeast"/>
              <w:rPr>
                <w:rFonts w:ascii="Arial" w:hAnsi="Arial" w:cs="Arial"/>
                <w:color w:val="000000"/>
                <w:sz w:val="18"/>
                <w:szCs w:val="18"/>
              </w:rPr>
            </w:pPr>
          </w:p>
        </w:tc>
        <w:tc>
          <w:tcPr>
            <w:tcW w:w="1275" w:type="dxa"/>
          </w:tcPr>
          <w:p w:rsidR="007D48BC" w:rsidRPr="003D6FCD" w:rsidRDefault="007D48BC" w:rsidP="00BC3E8E">
            <w:pPr>
              <w:autoSpaceDE w:val="0"/>
              <w:autoSpaceDN w:val="0"/>
              <w:adjustRightInd w:val="0"/>
              <w:spacing w:line="240" w:lineRule="atLeast"/>
              <w:rPr>
                <w:rFonts w:ascii="Arial" w:hAnsi="Arial" w:cs="Arial"/>
                <w:color w:val="000000"/>
                <w:sz w:val="18"/>
                <w:szCs w:val="18"/>
              </w:rPr>
            </w:pPr>
          </w:p>
        </w:tc>
        <w:tc>
          <w:tcPr>
            <w:tcW w:w="833" w:type="dxa"/>
            <w:gridSpan w:val="2"/>
          </w:tcPr>
          <w:p w:rsidR="007D48BC" w:rsidRPr="003D6FCD" w:rsidRDefault="007D48BC" w:rsidP="00BC3E8E">
            <w:pPr>
              <w:autoSpaceDE w:val="0"/>
              <w:autoSpaceDN w:val="0"/>
              <w:adjustRightInd w:val="0"/>
              <w:spacing w:line="240" w:lineRule="atLeast"/>
              <w:rPr>
                <w:rFonts w:ascii="Arial" w:hAnsi="Arial" w:cs="Arial"/>
                <w:color w:val="000000"/>
                <w:sz w:val="18"/>
                <w:szCs w:val="18"/>
              </w:rPr>
            </w:pPr>
          </w:p>
        </w:tc>
      </w:tr>
      <w:tr w:rsidR="007D48BC" w:rsidRPr="003D6FCD">
        <w:tc>
          <w:tcPr>
            <w:tcW w:w="5495" w:type="dxa"/>
          </w:tcPr>
          <w:p w:rsidR="007D48BC" w:rsidRPr="003D6FCD" w:rsidRDefault="007D48BC" w:rsidP="00BC3E8E">
            <w:pPr>
              <w:autoSpaceDE w:val="0"/>
              <w:autoSpaceDN w:val="0"/>
              <w:adjustRightInd w:val="0"/>
              <w:spacing w:line="240" w:lineRule="atLeast"/>
              <w:rPr>
                <w:rFonts w:ascii="Arial" w:hAnsi="Arial" w:cs="Arial"/>
                <w:color w:val="000000"/>
                <w:sz w:val="18"/>
                <w:szCs w:val="18"/>
              </w:rPr>
            </w:pPr>
            <w:r w:rsidRPr="003D6FCD">
              <w:rPr>
                <w:rFonts w:ascii="Arial" w:hAnsi="Arial" w:cs="Arial"/>
                <w:color w:val="000000"/>
                <w:sz w:val="18"/>
                <w:szCs w:val="18"/>
              </w:rPr>
              <w:t>Consultoría para una compañía farmacéutica/otras tecnologías</w:t>
            </w:r>
          </w:p>
        </w:tc>
        <w:tc>
          <w:tcPr>
            <w:tcW w:w="1276" w:type="dxa"/>
          </w:tcPr>
          <w:p w:rsidR="007D48BC" w:rsidRPr="003D6FCD" w:rsidRDefault="007D48BC" w:rsidP="00BC3E8E">
            <w:pPr>
              <w:autoSpaceDE w:val="0"/>
              <w:autoSpaceDN w:val="0"/>
              <w:adjustRightInd w:val="0"/>
              <w:spacing w:line="240" w:lineRule="atLeast"/>
              <w:rPr>
                <w:rFonts w:ascii="Arial" w:hAnsi="Arial" w:cs="Arial"/>
                <w:color w:val="000000"/>
                <w:sz w:val="18"/>
                <w:szCs w:val="18"/>
              </w:rPr>
            </w:pPr>
          </w:p>
        </w:tc>
        <w:tc>
          <w:tcPr>
            <w:tcW w:w="1275" w:type="dxa"/>
          </w:tcPr>
          <w:p w:rsidR="007D48BC" w:rsidRPr="003D6FCD" w:rsidRDefault="007D48BC" w:rsidP="00BC3E8E">
            <w:pPr>
              <w:autoSpaceDE w:val="0"/>
              <w:autoSpaceDN w:val="0"/>
              <w:adjustRightInd w:val="0"/>
              <w:spacing w:line="240" w:lineRule="atLeast"/>
              <w:rPr>
                <w:rFonts w:ascii="Arial" w:hAnsi="Arial" w:cs="Arial"/>
                <w:color w:val="000000"/>
                <w:sz w:val="18"/>
                <w:szCs w:val="18"/>
              </w:rPr>
            </w:pPr>
          </w:p>
        </w:tc>
        <w:tc>
          <w:tcPr>
            <w:tcW w:w="833" w:type="dxa"/>
            <w:gridSpan w:val="2"/>
          </w:tcPr>
          <w:p w:rsidR="007D48BC" w:rsidRPr="003D6FCD" w:rsidRDefault="007D48BC" w:rsidP="00BC3E8E">
            <w:pPr>
              <w:autoSpaceDE w:val="0"/>
              <w:autoSpaceDN w:val="0"/>
              <w:adjustRightInd w:val="0"/>
              <w:spacing w:line="240" w:lineRule="atLeast"/>
              <w:rPr>
                <w:rFonts w:ascii="Arial" w:hAnsi="Arial" w:cs="Arial"/>
                <w:color w:val="000000"/>
                <w:sz w:val="18"/>
                <w:szCs w:val="18"/>
              </w:rPr>
            </w:pPr>
          </w:p>
        </w:tc>
      </w:tr>
      <w:tr w:rsidR="007D48BC" w:rsidRPr="003D6FCD">
        <w:tc>
          <w:tcPr>
            <w:tcW w:w="5495" w:type="dxa"/>
          </w:tcPr>
          <w:p w:rsidR="007D48BC" w:rsidRPr="003D6FCD" w:rsidRDefault="007D48BC" w:rsidP="00BC3E8E">
            <w:pPr>
              <w:autoSpaceDE w:val="0"/>
              <w:autoSpaceDN w:val="0"/>
              <w:adjustRightInd w:val="0"/>
              <w:spacing w:line="240" w:lineRule="atLeast"/>
              <w:rPr>
                <w:rFonts w:ascii="Arial" w:hAnsi="Arial" w:cs="Arial"/>
                <w:color w:val="000000"/>
                <w:sz w:val="18"/>
                <w:szCs w:val="18"/>
              </w:rPr>
            </w:pPr>
            <w:r w:rsidRPr="003D6FCD">
              <w:rPr>
                <w:rFonts w:ascii="Arial" w:hAnsi="Arial" w:cs="Arial"/>
                <w:color w:val="000000"/>
                <w:sz w:val="18"/>
                <w:szCs w:val="18"/>
              </w:rPr>
              <w:t>Accionista o con intereses comerciales en una compañía</w:t>
            </w:r>
          </w:p>
        </w:tc>
        <w:tc>
          <w:tcPr>
            <w:tcW w:w="1276" w:type="dxa"/>
          </w:tcPr>
          <w:p w:rsidR="007D48BC" w:rsidRPr="003D6FCD" w:rsidRDefault="007D48BC" w:rsidP="00BC3E8E">
            <w:pPr>
              <w:autoSpaceDE w:val="0"/>
              <w:autoSpaceDN w:val="0"/>
              <w:adjustRightInd w:val="0"/>
              <w:spacing w:line="240" w:lineRule="atLeast"/>
              <w:rPr>
                <w:rFonts w:ascii="Arial" w:hAnsi="Arial" w:cs="Arial"/>
                <w:color w:val="000000"/>
                <w:sz w:val="18"/>
                <w:szCs w:val="18"/>
              </w:rPr>
            </w:pPr>
          </w:p>
        </w:tc>
        <w:tc>
          <w:tcPr>
            <w:tcW w:w="1275" w:type="dxa"/>
          </w:tcPr>
          <w:p w:rsidR="007D48BC" w:rsidRPr="003D6FCD" w:rsidRDefault="007D48BC" w:rsidP="00BC3E8E">
            <w:pPr>
              <w:autoSpaceDE w:val="0"/>
              <w:autoSpaceDN w:val="0"/>
              <w:adjustRightInd w:val="0"/>
              <w:spacing w:line="240" w:lineRule="atLeast"/>
              <w:rPr>
                <w:rFonts w:ascii="Arial" w:hAnsi="Arial" w:cs="Arial"/>
                <w:color w:val="000000"/>
                <w:sz w:val="18"/>
                <w:szCs w:val="18"/>
              </w:rPr>
            </w:pPr>
          </w:p>
        </w:tc>
        <w:tc>
          <w:tcPr>
            <w:tcW w:w="833" w:type="dxa"/>
            <w:gridSpan w:val="2"/>
          </w:tcPr>
          <w:p w:rsidR="007D48BC" w:rsidRPr="003D6FCD" w:rsidRDefault="007D48BC" w:rsidP="00BC3E8E">
            <w:pPr>
              <w:autoSpaceDE w:val="0"/>
              <w:autoSpaceDN w:val="0"/>
              <w:adjustRightInd w:val="0"/>
              <w:spacing w:line="240" w:lineRule="atLeast"/>
              <w:rPr>
                <w:rFonts w:ascii="Arial" w:hAnsi="Arial" w:cs="Arial"/>
                <w:color w:val="000000"/>
                <w:sz w:val="18"/>
                <w:szCs w:val="18"/>
              </w:rPr>
            </w:pPr>
          </w:p>
        </w:tc>
      </w:tr>
      <w:tr w:rsidR="007D48BC" w:rsidRPr="003D6FCD">
        <w:tc>
          <w:tcPr>
            <w:tcW w:w="5495" w:type="dxa"/>
          </w:tcPr>
          <w:p w:rsidR="007D48BC" w:rsidRPr="003D6FCD" w:rsidRDefault="007D48BC" w:rsidP="00BC3E8E">
            <w:pPr>
              <w:autoSpaceDE w:val="0"/>
              <w:autoSpaceDN w:val="0"/>
              <w:adjustRightInd w:val="0"/>
              <w:spacing w:line="240" w:lineRule="atLeast"/>
              <w:rPr>
                <w:rFonts w:ascii="Arial" w:hAnsi="Arial" w:cs="Arial"/>
                <w:color w:val="000000"/>
                <w:sz w:val="18"/>
                <w:szCs w:val="18"/>
              </w:rPr>
            </w:pPr>
            <w:r w:rsidRPr="003D6FCD">
              <w:rPr>
                <w:rFonts w:ascii="Arial" w:hAnsi="Arial" w:cs="Arial"/>
                <w:color w:val="000000"/>
                <w:sz w:val="18"/>
                <w:szCs w:val="18"/>
              </w:rPr>
              <w:t>Intereses económicos en una empresa privada relacionada con la salud (propietario, empleado, accionista, consulta privada…), que puede ser significativo en relación a la autoría del informe</w:t>
            </w:r>
          </w:p>
        </w:tc>
        <w:tc>
          <w:tcPr>
            <w:tcW w:w="1276" w:type="dxa"/>
          </w:tcPr>
          <w:p w:rsidR="007D48BC" w:rsidRPr="003D6FCD" w:rsidRDefault="007D48BC" w:rsidP="00BC3E8E">
            <w:pPr>
              <w:autoSpaceDE w:val="0"/>
              <w:autoSpaceDN w:val="0"/>
              <w:adjustRightInd w:val="0"/>
              <w:spacing w:line="240" w:lineRule="atLeast"/>
              <w:rPr>
                <w:rFonts w:ascii="Arial" w:hAnsi="Arial" w:cs="Arial"/>
                <w:color w:val="000000"/>
                <w:sz w:val="18"/>
                <w:szCs w:val="18"/>
              </w:rPr>
            </w:pPr>
          </w:p>
        </w:tc>
        <w:tc>
          <w:tcPr>
            <w:tcW w:w="1275" w:type="dxa"/>
          </w:tcPr>
          <w:p w:rsidR="007D48BC" w:rsidRPr="003D6FCD" w:rsidRDefault="007D48BC" w:rsidP="00BC3E8E">
            <w:pPr>
              <w:autoSpaceDE w:val="0"/>
              <w:autoSpaceDN w:val="0"/>
              <w:adjustRightInd w:val="0"/>
              <w:spacing w:line="240" w:lineRule="atLeast"/>
              <w:rPr>
                <w:rFonts w:ascii="Arial" w:hAnsi="Arial" w:cs="Arial"/>
                <w:color w:val="000000"/>
                <w:sz w:val="18"/>
                <w:szCs w:val="18"/>
              </w:rPr>
            </w:pPr>
          </w:p>
        </w:tc>
        <w:tc>
          <w:tcPr>
            <w:tcW w:w="833" w:type="dxa"/>
            <w:gridSpan w:val="2"/>
          </w:tcPr>
          <w:p w:rsidR="007D48BC" w:rsidRPr="003D6FCD" w:rsidRDefault="007D48BC" w:rsidP="00BC3E8E">
            <w:pPr>
              <w:autoSpaceDE w:val="0"/>
              <w:autoSpaceDN w:val="0"/>
              <w:adjustRightInd w:val="0"/>
              <w:spacing w:line="240" w:lineRule="atLeast"/>
              <w:rPr>
                <w:rFonts w:ascii="Arial" w:hAnsi="Arial" w:cs="Arial"/>
                <w:color w:val="000000"/>
                <w:sz w:val="18"/>
                <w:szCs w:val="18"/>
              </w:rPr>
            </w:pPr>
          </w:p>
        </w:tc>
      </w:tr>
      <w:tr w:rsidR="007D48BC" w:rsidRPr="003D6FCD">
        <w:tc>
          <w:tcPr>
            <w:tcW w:w="5495" w:type="dxa"/>
          </w:tcPr>
          <w:p w:rsidR="007D48BC" w:rsidRPr="003D6FCD" w:rsidRDefault="007D48BC" w:rsidP="00BC3E8E">
            <w:pPr>
              <w:autoSpaceDE w:val="0"/>
              <w:autoSpaceDN w:val="0"/>
              <w:adjustRightInd w:val="0"/>
              <w:spacing w:line="240" w:lineRule="atLeast"/>
              <w:rPr>
                <w:rFonts w:ascii="Arial" w:hAnsi="Arial" w:cs="Arial"/>
                <w:color w:val="000000"/>
                <w:sz w:val="18"/>
                <w:szCs w:val="18"/>
              </w:rPr>
            </w:pPr>
            <w:r w:rsidRPr="003D6FCD">
              <w:rPr>
                <w:rFonts w:ascii="Arial" w:hAnsi="Arial" w:cs="Arial"/>
                <w:color w:val="000000"/>
                <w:sz w:val="18"/>
                <w:szCs w:val="18"/>
              </w:rPr>
              <w:t>Conflictos de intereses de índole no económico que pueden ser significativos en relación a la autoría en la guía</w:t>
            </w:r>
          </w:p>
        </w:tc>
        <w:tc>
          <w:tcPr>
            <w:tcW w:w="1276" w:type="dxa"/>
          </w:tcPr>
          <w:p w:rsidR="007D48BC" w:rsidRPr="003D6FCD" w:rsidRDefault="007D48BC" w:rsidP="00BC3E8E">
            <w:pPr>
              <w:autoSpaceDE w:val="0"/>
              <w:autoSpaceDN w:val="0"/>
              <w:adjustRightInd w:val="0"/>
              <w:spacing w:line="240" w:lineRule="atLeast"/>
              <w:rPr>
                <w:rFonts w:ascii="Arial" w:hAnsi="Arial" w:cs="Arial"/>
                <w:color w:val="000000"/>
                <w:sz w:val="18"/>
                <w:szCs w:val="18"/>
              </w:rPr>
            </w:pPr>
          </w:p>
        </w:tc>
        <w:tc>
          <w:tcPr>
            <w:tcW w:w="1275" w:type="dxa"/>
          </w:tcPr>
          <w:p w:rsidR="007D48BC" w:rsidRPr="003D6FCD" w:rsidRDefault="007D48BC" w:rsidP="00BC3E8E">
            <w:pPr>
              <w:autoSpaceDE w:val="0"/>
              <w:autoSpaceDN w:val="0"/>
              <w:adjustRightInd w:val="0"/>
              <w:spacing w:line="240" w:lineRule="atLeast"/>
              <w:rPr>
                <w:rFonts w:ascii="Arial" w:hAnsi="Arial" w:cs="Arial"/>
                <w:color w:val="000000"/>
                <w:sz w:val="18"/>
                <w:szCs w:val="18"/>
              </w:rPr>
            </w:pPr>
          </w:p>
        </w:tc>
        <w:tc>
          <w:tcPr>
            <w:tcW w:w="833" w:type="dxa"/>
            <w:gridSpan w:val="2"/>
          </w:tcPr>
          <w:p w:rsidR="007D48BC" w:rsidRPr="003D6FCD" w:rsidRDefault="007D48BC" w:rsidP="00BC3E8E">
            <w:pPr>
              <w:autoSpaceDE w:val="0"/>
              <w:autoSpaceDN w:val="0"/>
              <w:adjustRightInd w:val="0"/>
              <w:spacing w:line="240" w:lineRule="atLeast"/>
              <w:rPr>
                <w:rFonts w:ascii="Arial" w:hAnsi="Arial" w:cs="Arial"/>
                <w:color w:val="000000"/>
                <w:sz w:val="18"/>
                <w:szCs w:val="18"/>
              </w:rPr>
            </w:pPr>
          </w:p>
        </w:tc>
      </w:tr>
      <w:tr w:rsidR="007D48BC" w:rsidRPr="006F4C4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gridAfter w:val="1"/>
          <w:wAfter w:w="372" w:type="dxa"/>
          <w:trHeight w:val="226"/>
        </w:trPr>
        <w:tc>
          <w:tcPr>
            <w:tcW w:w="8503" w:type="dxa"/>
            <w:gridSpan w:val="4"/>
          </w:tcPr>
          <w:p w:rsidR="007D48BC" w:rsidRPr="006F4C4F" w:rsidRDefault="007D48BC" w:rsidP="00BC3E8E">
            <w:pPr>
              <w:autoSpaceDE w:val="0"/>
              <w:autoSpaceDN w:val="0"/>
              <w:adjustRightInd w:val="0"/>
              <w:spacing w:line="240" w:lineRule="atLeast"/>
              <w:jc w:val="both"/>
              <w:rPr>
                <w:rFonts w:ascii="Arial" w:hAnsi="Arial" w:cs="Arial"/>
                <w:color w:val="FF0000"/>
                <w:sz w:val="18"/>
                <w:szCs w:val="18"/>
              </w:rPr>
            </w:pPr>
          </w:p>
        </w:tc>
      </w:tr>
    </w:tbl>
    <w:p w:rsidR="007D48BC" w:rsidRDefault="007D48BC" w:rsidP="00BC3E8E">
      <w:pPr>
        <w:autoSpaceDE w:val="0"/>
        <w:autoSpaceDN w:val="0"/>
        <w:adjustRightInd w:val="0"/>
        <w:spacing w:line="240" w:lineRule="atLeast"/>
        <w:rPr>
          <w:rStyle w:val="A6"/>
          <w:rFonts w:ascii="Arial" w:hAnsi="Arial" w:cs="Arial"/>
          <w:b/>
          <w:bCs/>
          <w:sz w:val="20"/>
          <w:szCs w:val="20"/>
        </w:rPr>
      </w:pPr>
      <w:r w:rsidRPr="00707E7D">
        <w:rPr>
          <w:rStyle w:val="A6"/>
          <w:rFonts w:ascii="Arial" w:hAnsi="Arial" w:cs="Arial"/>
          <w:b/>
          <w:bCs/>
          <w:sz w:val="20"/>
          <w:szCs w:val="20"/>
        </w:rPr>
        <w:t>B- Intereses no personales</w:t>
      </w:r>
      <w:r>
        <w:rPr>
          <w:rStyle w:val="A6"/>
          <w:rFonts w:ascii="Arial" w:hAnsi="Arial" w:cs="Arial"/>
          <w:b/>
          <w:bCs/>
          <w:sz w:val="20"/>
          <w:szCs w:val="20"/>
        </w:rPr>
        <w:t xml:space="preserve"> (</w:t>
      </w:r>
      <w:r w:rsidRPr="00707E7D">
        <w:rPr>
          <w:rFonts w:ascii="Arial" w:hAnsi="Arial" w:cs="Arial"/>
          <w:color w:val="000000"/>
        </w:rPr>
        <w:t>En caso afirmativo especificar</w:t>
      </w:r>
      <w:r>
        <w:rPr>
          <w:rStyle w:val="A6"/>
          <w:rFonts w:ascii="Arial" w:hAnsi="Arial" w:cs="Arial"/>
          <w:b/>
          <w:bCs/>
          <w:sz w:val="20"/>
          <w:szCs w:val="20"/>
        </w:rPr>
        <w:t xml:space="preserve">): </w:t>
      </w:r>
      <w:r>
        <w:rPr>
          <w:rStyle w:val="A6"/>
          <w:rFonts w:ascii="Arial" w:hAnsi="Arial" w:cs="Arial"/>
          <w:b/>
          <w:bCs/>
          <w:sz w:val="20"/>
          <w:szCs w:val="20"/>
        </w:rPr>
        <w:tab/>
      </w:r>
      <w:r>
        <w:rPr>
          <w:rStyle w:val="A6"/>
          <w:rFonts w:ascii="Arial" w:hAnsi="Arial" w:cs="Arial"/>
          <w:b/>
          <w:bCs/>
          <w:sz w:val="20"/>
          <w:szCs w:val="20"/>
        </w:rPr>
        <w:tab/>
      </w:r>
      <w:r>
        <w:rPr>
          <w:rStyle w:val="A6"/>
          <w:rFonts w:ascii="Arial" w:hAnsi="Arial" w:cs="Arial"/>
          <w:b/>
          <w:bCs/>
          <w:sz w:val="20"/>
          <w:szCs w:val="20"/>
        </w:rPr>
        <w:sym w:font="Wingdings" w:char="F070"/>
      </w:r>
      <w:r>
        <w:rPr>
          <w:rStyle w:val="A6"/>
          <w:rFonts w:ascii="Arial" w:hAnsi="Arial" w:cs="Arial"/>
          <w:b/>
          <w:bCs/>
          <w:sz w:val="20"/>
          <w:szCs w:val="20"/>
        </w:rPr>
        <w:t>SI</w:t>
      </w:r>
      <w:r>
        <w:rPr>
          <w:rStyle w:val="A6"/>
          <w:rFonts w:ascii="Arial" w:hAnsi="Arial" w:cs="Arial"/>
          <w:b/>
          <w:bCs/>
          <w:sz w:val="20"/>
          <w:szCs w:val="20"/>
        </w:rPr>
        <w:tab/>
      </w:r>
      <w:r>
        <w:rPr>
          <w:rStyle w:val="A6"/>
          <w:rFonts w:ascii="Arial" w:hAnsi="Arial" w:cs="Arial"/>
          <w:b/>
          <w:bCs/>
          <w:sz w:val="20"/>
          <w:szCs w:val="20"/>
        </w:rPr>
        <w:tab/>
      </w:r>
      <w:r>
        <w:rPr>
          <w:rStyle w:val="A6"/>
          <w:rFonts w:ascii="Arial" w:hAnsi="Arial" w:cs="Arial"/>
          <w:b/>
          <w:bCs/>
          <w:sz w:val="20"/>
          <w:szCs w:val="20"/>
        </w:rPr>
        <w:sym w:font="Wingdings" w:char="F070"/>
      </w:r>
      <w:r w:rsidRPr="00707E7D">
        <w:rPr>
          <w:rStyle w:val="A6"/>
          <w:rFonts w:ascii="Arial" w:hAnsi="Arial" w:cs="Arial"/>
          <w:b/>
          <w:bCs/>
          <w:sz w:val="20"/>
          <w:szCs w:val="20"/>
        </w:rPr>
        <w:t>NO</w:t>
      </w:r>
    </w:p>
    <w:p w:rsidR="007D48BC" w:rsidRPr="00707E7D" w:rsidRDefault="007D48BC" w:rsidP="00BC3E8E">
      <w:pPr>
        <w:autoSpaceDE w:val="0"/>
        <w:autoSpaceDN w:val="0"/>
        <w:adjustRightInd w:val="0"/>
        <w:spacing w:line="240" w:lineRule="atLeast"/>
        <w:rPr>
          <w:rFonts w:ascii="Arial" w:hAnsi="Arial" w:cs="Arial"/>
          <w:b/>
          <w:bCs/>
          <w:color w:val="000000"/>
        </w:rPr>
      </w:pPr>
      <w:r w:rsidRPr="00707E7D">
        <w:rPr>
          <w:rStyle w:val="A6"/>
          <w:rFonts w:ascii="Arial" w:hAnsi="Arial" w:cs="Arial"/>
          <w:b/>
          <w:bCs/>
          <w:sz w:val="20"/>
          <w:szCs w:val="20"/>
        </w:rPr>
        <w:t xml:space="preserve"> </w:t>
      </w:r>
    </w:p>
    <w:tbl>
      <w:tblPr>
        <w:tblW w:w="9039" w:type="dxa"/>
        <w:tblInd w:w="-106" w:type="dxa"/>
        <w:tblLayout w:type="fixed"/>
        <w:tblLook w:val="0000"/>
      </w:tblPr>
      <w:tblGrid>
        <w:gridCol w:w="9039"/>
      </w:tblGrid>
      <w:tr w:rsidR="007D48BC" w:rsidRPr="00707E7D">
        <w:trPr>
          <w:trHeight w:val="226"/>
        </w:trPr>
        <w:tc>
          <w:tcPr>
            <w:tcW w:w="9039" w:type="dxa"/>
          </w:tcPr>
          <w:p w:rsidR="007D48BC" w:rsidRPr="00707E7D" w:rsidRDefault="007D48BC" w:rsidP="00BC3E8E">
            <w:pPr>
              <w:pStyle w:val="Pa1"/>
              <w:rPr>
                <w:rStyle w:val="A6"/>
                <w:rFonts w:ascii="Arial" w:hAnsi="Arial" w:cs="Arial"/>
                <w:sz w:val="20"/>
                <w:szCs w:val="20"/>
              </w:rPr>
            </w:pPr>
          </w:p>
          <w:tbl>
            <w:tblPr>
              <w:tblW w:w="8879" w:type="dxa"/>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495"/>
              <w:gridCol w:w="1276"/>
              <w:gridCol w:w="1275"/>
              <w:gridCol w:w="833"/>
            </w:tblGrid>
            <w:tr w:rsidR="007D48BC" w:rsidRPr="003D6FCD">
              <w:tc>
                <w:tcPr>
                  <w:tcW w:w="5495" w:type="dxa"/>
                  <w:tcBorders>
                    <w:top w:val="single" w:sz="4" w:space="0" w:color="auto"/>
                    <w:left w:val="single" w:sz="4" w:space="0" w:color="auto"/>
                    <w:bottom w:val="single" w:sz="4" w:space="0" w:color="auto"/>
                    <w:right w:val="single" w:sz="4" w:space="0" w:color="auto"/>
                  </w:tcBorders>
                </w:tcPr>
                <w:p w:rsidR="007D48BC" w:rsidRPr="003D6FCD" w:rsidRDefault="007D48BC" w:rsidP="00BC3E8E">
                  <w:pPr>
                    <w:autoSpaceDE w:val="0"/>
                    <w:autoSpaceDN w:val="0"/>
                    <w:adjustRightInd w:val="0"/>
                    <w:spacing w:line="240" w:lineRule="atLeast"/>
                    <w:rPr>
                      <w:rFonts w:ascii="Arial" w:hAnsi="Arial" w:cs="Arial"/>
                      <w:color w:val="000000"/>
                      <w:sz w:val="18"/>
                      <w:szCs w:val="18"/>
                    </w:rPr>
                  </w:pPr>
                </w:p>
              </w:tc>
              <w:tc>
                <w:tcPr>
                  <w:tcW w:w="1276" w:type="dxa"/>
                  <w:tcBorders>
                    <w:top w:val="single" w:sz="4" w:space="0" w:color="auto"/>
                    <w:left w:val="single" w:sz="4" w:space="0" w:color="auto"/>
                    <w:bottom w:val="single" w:sz="4" w:space="0" w:color="auto"/>
                    <w:right w:val="single" w:sz="4" w:space="0" w:color="auto"/>
                  </w:tcBorders>
                </w:tcPr>
                <w:p w:rsidR="007D48BC" w:rsidRPr="003D6FCD" w:rsidRDefault="007D48BC" w:rsidP="00BC3E8E">
                  <w:pPr>
                    <w:autoSpaceDE w:val="0"/>
                    <w:autoSpaceDN w:val="0"/>
                    <w:adjustRightInd w:val="0"/>
                    <w:spacing w:line="240" w:lineRule="atLeast"/>
                    <w:rPr>
                      <w:rFonts w:ascii="Arial" w:hAnsi="Arial" w:cs="Arial"/>
                      <w:color w:val="000000"/>
                      <w:sz w:val="18"/>
                      <w:szCs w:val="18"/>
                    </w:rPr>
                  </w:pPr>
                  <w:r w:rsidRPr="003D6FCD">
                    <w:rPr>
                      <w:rFonts w:ascii="Arial" w:hAnsi="Arial" w:cs="Arial"/>
                      <w:color w:val="000000"/>
                      <w:sz w:val="18"/>
                      <w:szCs w:val="18"/>
                    </w:rPr>
                    <w:t>Actividad</w:t>
                  </w:r>
                </w:p>
              </w:tc>
              <w:tc>
                <w:tcPr>
                  <w:tcW w:w="1275" w:type="dxa"/>
                  <w:tcBorders>
                    <w:top w:val="single" w:sz="4" w:space="0" w:color="auto"/>
                    <w:left w:val="single" w:sz="4" w:space="0" w:color="auto"/>
                    <w:bottom w:val="single" w:sz="4" w:space="0" w:color="auto"/>
                    <w:right w:val="single" w:sz="4" w:space="0" w:color="auto"/>
                  </w:tcBorders>
                </w:tcPr>
                <w:p w:rsidR="007D48BC" w:rsidRPr="003D6FCD" w:rsidRDefault="007D48BC" w:rsidP="00BC3E8E">
                  <w:pPr>
                    <w:autoSpaceDE w:val="0"/>
                    <w:autoSpaceDN w:val="0"/>
                    <w:adjustRightInd w:val="0"/>
                    <w:spacing w:line="240" w:lineRule="atLeast"/>
                    <w:rPr>
                      <w:rFonts w:ascii="Arial" w:hAnsi="Arial" w:cs="Arial"/>
                      <w:color w:val="000000"/>
                      <w:sz w:val="18"/>
                      <w:szCs w:val="18"/>
                    </w:rPr>
                  </w:pPr>
                  <w:r w:rsidRPr="003D6FCD">
                    <w:rPr>
                      <w:rFonts w:ascii="Arial" w:hAnsi="Arial" w:cs="Arial"/>
                      <w:color w:val="000000"/>
                      <w:sz w:val="18"/>
                      <w:szCs w:val="18"/>
                    </w:rPr>
                    <w:t>Institución</w:t>
                  </w:r>
                </w:p>
              </w:tc>
              <w:tc>
                <w:tcPr>
                  <w:tcW w:w="833" w:type="dxa"/>
                  <w:tcBorders>
                    <w:top w:val="single" w:sz="4" w:space="0" w:color="auto"/>
                    <w:left w:val="single" w:sz="4" w:space="0" w:color="auto"/>
                    <w:bottom w:val="single" w:sz="4" w:space="0" w:color="auto"/>
                    <w:right w:val="single" w:sz="4" w:space="0" w:color="auto"/>
                  </w:tcBorders>
                </w:tcPr>
                <w:p w:rsidR="007D48BC" w:rsidRPr="003D6FCD" w:rsidRDefault="007D48BC" w:rsidP="00BC3E8E">
                  <w:pPr>
                    <w:autoSpaceDE w:val="0"/>
                    <w:autoSpaceDN w:val="0"/>
                    <w:adjustRightInd w:val="0"/>
                    <w:spacing w:line="240" w:lineRule="atLeast"/>
                    <w:rPr>
                      <w:rFonts w:ascii="Arial" w:hAnsi="Arial" w:cs="Arial"/>
                      <w:color w:val="000000"/>
                      <w:sz w:val="18"/>
                      <w:szCs w:val="18"/>
                    </w:rPr>
                  </w:pPr>
                  <w:r w:rsidRPr="003D6FCD">
                    <w:rPr>
                      <w:rFonts w:ascii="Arial" w:hAnsi="Arial" w:cs="Arial"/>
                      <w:color w:val="000000"/>
                      <w:sz w:val="18"/>
                      <w:szCs w:val="18"/>
                    </w:rPr>
                    <w:t>Fecha</w:t>
                  </w:r>
                </w:p>
              </w:tc>
            </w:tr>
            <w:tr w:rsidR="007D48BC" w:rsidRPr="003D6FCD">
              <w:tc>
                <w:tcPr>
                  <w:tcW w:w="5495" w:type="dxa"/>
                  <w:tcBorders>
                    <w:top w:val="single" w:sz="4" w:space="0" w:color="auto"/>
                    <w:left w:val="single" w:sz="4" w:space="0" w:color="auto"/>
                    <w:bottom w:val="single" w:sz="4" w:space="0" w:color="auto"/>
                    <w:right w:val="single" w:sz="4" w:space="0" w:color="auto"/>
                  </w:tcBorders>
                </w:tcPr>
                <w:p w:rsidR="007D48BC" w:rsidRPr="003D6FCD" w:rsidRDefault="007D48BC" w:rsidP="00BC3E8E">
                  <w:pPr>
                    <w:autoSpaceDE w:val="0"/>
                    <w:autoSpaceDN w:val="0"/>
                    <w:adjustRightInd w:val="0"/>
                    <w:spacing w:line="240" w:lineRule="atLeast"/>
                    <w:rPr>
                      <w:rFonts w:ascii="Arial" w:hAnsi="Arial" w:cs="Arial"/>
                      <w:color w:val="000000"/>
                      <w:sz w:val="18"/>
                      <w:szCs w:val="18"/>
                    </w:rPr>
                  </w:pPr>
                  <w:r w:rsidRPr="003D6FCD">
                    <w:rPr>
                      <w:rStyle w:val="A6"/>
                      <w:rFonts w:ascii="Arial" w:hAnsi="Arial" w:cs="Arial"/>
                    </w:rPr>
                    <w:t>Financiación o ayudas económicas para la creación de la unidad o servicio</w:t>
                  </w:r>
                </w:p>
              </w:tc>
              <w:tc>
                <w:tcPr>
                  <w:tcW w:w="1276" w:type="dxa"/>
                  <w:tcBorders>
                    <w:top w:val="single" w:sz="4" w:space="0" w:color="auto"/>
                    <w:left w:val="single" w:sz="4" w:space="0" w:color="auto"/>
                    <w:bottom w:val="single" w:sz="4" w:space="0" w:color="auto"/>
                    <w:right w:val="single" w:sz="4" w:space="0" w:color="auto"/>
                  </w:tcBorders>
                </w:tcPr>
                <w:p w:rsidR="007D48BC" w:rsidRPr="003D6FCD" w:rsidRDefault="007D48BC" w:rsidP="00BC3E8E">
                  <w:pPr>
                    <w:autoSpaceDE w:val="0"/>
                    <w:autoSpaceDN w:val="0"/>
                    <w:adjustRightInd w:val="0"/>
                    <w:spacing w:line="240" w:lineRule="atLeast"/>
                    <w:rPr>
                      <w:rFonts w:ascii="Arial" w:hAnsi="Arial" w:cs="Arial"/>
                      <w:color w:val="000000"/>
                      <w:sz w:val="18"/>
                      <w:szCs w:val="18"/>
                    </w:rPr>
                  </w:pPr>
                </w:p>
              </w:tc>
              <w:tc>
                <w:tcPr>
                  <w:tcW w:w="1275" w:type="dxa"/>
                  <w:tcBorders>
                    <w:top w:val="single" w:sz="4" w:space="0" w:color="auto"/>
                    <w:left w:val="single" w:sz="4" w:space="0" w:color="auto"/>
                    <w:bottom w:val="single" w:sz="4" w:space="0" w:color="auto"/>
                    <w:right w:val="single" w:sz="4" w:space="0" w:color="auto"/>
                  </w:tcBorders>
                </w:tcPr>
                <w:p w:rsidR="007D48BC" w:rsidRPr="003D6FCD" w:rsidRDefault="007D48BC" w:rsidP="00BC3E8E">
                  <w:pPr>
                    <w:autoSpaceDE w:val="0"/>
                    <w:autoSpaceDN w:val="0"/>
                    <w:adjustRightInd w:val="0"/>
                    <w:spacing w:line="240" w:lineRule="atLeast"/>
                    <w:rPr>
                      <w:rFonts w:ascii="Arial" w:hAnsi="Arial" w:cs="Arial"/>
                      <w:color w:val="000000"/>
                      <w:sz w:val="18"/>
                      <w:szCs w:val="18"/>
                    </w:rPr>
                  </w:pPr>
                </w:p>
              </w:tc>
              <w:tc>
                <w:tcPr>
                  <w:tcW w:w="833" w:type="dxa"/>
                  <w:tcBorders>
                    <w:top w:val="single" w:sz="4" w:space="0" w:color="auto"/>
                    <w:left w:val="single" w:sz="4" w:space="0" w:color="auto"/>
                    <w:bottom w:val="single" w:sz="4" w:space="0" w:color="auto"/>
                    <w:right w:val="single" w:sz="4" w:space="0" w:color="auto"/>
                  </w:tcBorders>
                </w:tcPr>
                <w:p w:rsidR="007D48BC" w:rsidRPr="003D6FCD" w:rsidRDefault="007D48BC" w:rsidP="00BC3E8E">
                  <w:pPr>
                    <w:autoSpaceDE w:val="0"/>
                    <w:autoSpaceDN w:val="0"/>
                    <w:adjustRightInd w:val="0"/>
                    <w:spacing w:line="240" w:lineRule="atLeast"/>
                    <w:rPr>
                      <w:rFonts w:ascii="Arial" w:hAnsi="Arial" w:cs="Arial"/>
                      <w:color w:val="000000"/>
                      <w:sz w:val="18"/>
                      <w:szCs w:val="18"/>
                    </w:rPr>
                  </w:pPr>
                </w:p>
              </w:tc>
            </w:tr>
            <w:tr w:rsidR="007D48BC" w:rsidRPr="003D6FCD">
              <w:tc>
                <w:tcPr>
                  <w:tcW w:w="5495" w:type="dxa"/>
                  <w:tcBorders>
                    <w:top w:val="single" w:sz="4" w:space="0" w:color="auto"/>
                    <w:left w:val="single" w:sz="4" w:space="0" w:color="auto"/>
                    <w:bottom w:val="single" w:sz="4" w:space="0" w:color="auto"/>
                    <w:right w:val="single" w:sz="4" w:space="0" w:color="auto"/>
                  </w:tcBorders>
                </w:tcPr>
                <w:p w:rsidR="007D48BC" w:rsidRPr="003D6FCD" w:rsidRDefault="007D48BC" w:rsidP="00BC3E8E">
                  <w:pPr>
                    <w:autoSpaceDE w:val="0"/>
                    <w:autoSpaceDN w:val="0"/>
                    <w:adjustRightInd w:val="0"/>
                    <w:spacing w:line="240" w:lineRule="atLeast"/>
                    <w:rPr>
                      <w:rFonts w:ascii="Arial" w:hAnsi="Arial" w:cs="Arial"/>
                      <w:color w:val="000000"/>
                      <w:sz w:val="18"/>
                      <w:szCs w:val="18"/>
                    </w:rPr>
                  </w:pPr>
                  <w:r w:rsidRPr="003D6FCD">
                    <w:rPr>
                      <w:rStyle w:val="A6"/>
                      <w:rFonts w:ascii="Arial" w:hAnsi="Arial" w:cs="Arial"/>
                    </w:rPr>
                    <w:t>Dotación significativa de material a la unidad o servicio</w:t>
                  </w:r>
                </w:p>
              </w:tc>
              <w:tc>
                <w:tcPr>
                  <w:tcW w:w="1276" w:type="dxa"/>
                  <w:tcBorders>
                    <w:top w:val="single" w:sz="4" w:space="0" w:color="auto"/>
                    <w:left w:val="single" w:sz="4" w:space="0" w:color="auto"/>
                    <w:bottom w:val="single" w:sz="4" w:space="0" w:color="auto"/>
                    <w:right w:val="single" w:sz="4" w:space="0" w:color="auto"/>
                  </w:tcBorders>
                </w:tcPr>
                <w:p w:rsidR="007D48BC" w:rsidRPr="003D6FCD" w:rsidRDefault="007D48BC" w:rsidP="00BC3E8E">
                  <w:pPr>
                    <w:autoSpaceDE w:val="0"/>
                    <w:autoSpaceDN w:val="0"/>
                    <w:adjustRightInd w:val="0"/>
                    <w:spacing w:line="240" w:lineRule="atLeast"/>
                    <w:rPr>
                      <w:rFonts w:ascii="Arial" w:hAnsi="Arial" w:cs="Arial"/>
                      <w:color w:val="000000"/>
                      <w:sz w:val="18"/>
                      <w:szCs w:val="18"/>
                    </w:rPr>
                  </w:pPr>
                </w:p>
              </w:tc>
              <w:tc>
                <w:tcPr>
                  <w:tcW w:w="1275" w:type="dxa"/>
                  <w:tcBorders>
                    <w:top w:val="single" w:sz="4" w:space="0" w:color="auto"/>
                    <w:left w:val="single" w:sz="4" w:space="0" w:color="auto"/>
                    <w:bottom w:val="single" w:sz="4" w:space="0" w:color="auto"/>
                    <w:right w:val="single" w:sz="4" w:space="0" w:color="auto"/>
                  </w:tcBorders>
                </w:tcPr>
                <w:p w:rsidR="007D48BC" w:rsidRPr="003D6FCD" w:rsidRDefault="007D48BC" w:rsidP="00BC3E8E">
                  <w:pPr>
                    <w:autoSpaceDE w:val="0"/>
                    <w:autoSpaceDN w:val="0"/>
                    <w:adjustRightInd w:val="0"/>
                    <w:spacing w:line="240" w:lineRule="atLeast"/>
                    <w:rPr>
                      <w:rFonts w:ascii="Arial" w:hAnsi="Arial" w:cs="Arial"/>
                      <w:color w:val="000000"/>
                      <w:sz w:val="18"/>
                      <w:szCs w:val="18"/>
                    </w:rPr>
                  </w:pPr>
                </w:p>
              </w:tc>
              <w:tc>
                <w:tcPr>
                  <w:tcW w:w="833" w:type="dxa"/>
                  <w:tcBorders>
                    <w:top w:val="single" w:sz="4" w:space="0" w:color="auto"/>
                    <w:left w:val="single" w:sz="4" w:space="0" w:color="auto"/>
                    <w:bottom w:val="single" w:sz="4" w:space="0" w:color="auto"/>
                    <w:right w:val="single" w:sz="4" w:space="0" w:color="auto"/>
                  </w:tcBorders>
                </w:tcPr>
                <w:p w:rsidR="007D48BC" w:rsidRPr="003D6FCD" w:rsidRDefault="007D48BC" w:rsidP="00BC3E8E">
                  <w:pPr>
                    <w:autoSpaceDE w:val="0"/>
                    <w:autoSpaceDN w:val="0"/>
                    <w:adjustRightInd w:val="0"/>
                    <w:spacing w:line="240" w:lineRule="atLeast"/>
                    <w:rPr>
                      <w:rFonts w:ascii="Arial" w:hAnsi="Arial" w:cs="Arial"/>
                      <w:color w:val="000000"/>
                      <w:sz w:val="18"/>
                      <w:szCs w:val="18"/>
                    </w:rPr>
                  </w:pPr>
                </w:p>
              </w:tc>
            </w:tr>
            <w:tr w:rsidR="007D48BC" w:rsidRPr="003D6FCD">
              <w:tc>
                <w:tcPr>
                  <w:tcW w:w="5495" w:type="dxa"/>
                  <w:tcBorders>
                    <w:top w:val="single" w:sz="4" w:space="0" w:color="auto"/>
                    <w:left w:val="single" w:sz="4" w:space="0" w:color="auto"/>
                    <w:bottom w:val="single" w:sz="4" w:space="0" w:color="auto"/>
                    <w:right w:val="single" w:sz="4" w:space="0" w:color="auto"/>
                  </w:tcBorders>
                </w:tcPr>
                <w:p w:rsidR="007D48BC" w:rsidRPr="003D6FCD" w:rsidRDefault="007D48BC" w:rsidP="00BC3E8E">
                  <w:pPr>
                    <w:autoSpaceDE w:val="0"/>
                    <w:autoSpaceDN w:val="0"/>
                    <w:adjustRightInd w:val="0"/>
                    <w:spacing w:line="240" w:lineRule="atLeast"/>
                    <w:rPr>
                      <w:rFonts w:ascii="Arial" w:hAnsi="Arial" w:cs="Arial"/>
                      <w:color w:val="000000"/>
                      <w:sz w:val="18"/>
                      <w:szCs w:val="18"/>
                    </w:rPr>
                  </w:pPr>
                  <w:r w:rsidRPr="003D6FCD">
                    <w:rPr>
                      <w:rStyle w:val="A6"/>
                      <w:rFonts w:ascii="Arial" w:hAnsi="Arial" w:cs="Arial"/>
                    </w:rPr>
                    <w:t>Contratación o ayudas económicas para contratar personal en la unidad o servicio</w:t>
                  </w:r>
                </w:p>
              </w:tc>
              <w:tc>
                <w:tcPr>
                  <w:tcW w:w="1276" w:type="dxa"/>
                  <w:tcBorders>
                    <w:top w:val="single" w:sz="4" w:space="0" w:color="auto"/>
                    <w:left w:val="single" w:sz="4" w:space="0" w:color="auto"/>
                    <w:bottom w:val="single" w:sz="4" w:space="0" w:color="auto"/>
                    <w:right w:val="single" w:sz="4" w:space="0" w:color="auto"/>
                  </w:tcBorders>
                </w:tcPr>
                <w:p w:rsidR="007D48BC" w:rsidRPr="003D6FCD" w:rsidRDefault="007D48BC" w:rsidP="00BC3E8E">
                  <w:pPr>
                    <w:autoSpaceDE w:val="0"/>
                    <w:autoSpaceDN w:val="0"/>
                    <w:adjustRightInd w:val="0"/>
                    <w:spacing w:line="240" w:lineRule="atLeast"/>
                    <w:rPr>
                      <w:rFonts w:ascii="Arial" w:hAnsi="Arial" w:cs="Arial"/>
                      <w:color w:val="000000"/>
                      <w:sz w:val="18"/>
                      <w:szCs w:val="18"/>
                    </w:rPr>
                  </w:pPr>
                </w:p>
              </w:tc>
              <w:tc>
                <w:tcPr>
                  <w:tcW w:w="1275" w:type="dxa"/>
                  <w:tcBorders>
                    <w:top w:val="single" w:sz="4" w:space="0" w:color="auto"/>
                    <w:left w:val="single" w:sz="4" w:space="0" w:color="auto"/>
                    <w:bottom w:val="single" w:sz="4" w:space="0" w:color="auto"/>
                    <w:right w:val="single" w:sz="4" w:space="0" w:color="auto"/>
                  </w:tcBorders>
                </w:tcPr>
                <w:p w:rsidR="007D48BC" w:rsidRPr="003D6FCD" w:rsidRDefault="007D48BC" w:rsidP="00BC3E8E">
                  <w:pPr>
                    <w:autoSpaceDE w:val="0"/>
                    <w:autoSpaceDN w:val="0"/>
                    <w:adjustRightInd w:val="0"/>
                    <w:spacing w:line="240" w:lineRule="atLeast"/>
                    <w:rPr>
                      <w:rFonts w:ascii="Arial" w:hAnsi="Arial" w:cs="Arial"/>
                      <w:color w:val="000000"/>
                      <w:sz w:val="18"/>
                      <w:szCs w:val="18"/>
                    </w:rPr>
                  </w:pPr>
                </w:p>
              </w:tc>
              <w:tc>
                <w:tcPr>
                  <w:tcW w:w="833" w:type="dxa"/>
                  <w:tcBorders>
                    <w:top w:val="single" w:sz="4" w:space="0" w:color="auto"/>
                    <w:left w:val="single" w:sz="4" w:space="0" w:color="auto"/>
                    <w:bottom w:val="single" w:sz="4" w:space="0" w:color="auto"/>
                    <w:right w:val="single" w:sz="4" w:space="0" w:color="auto"/>
                  </w:tcBorders>
                </w:tcPr>
                <w:p w:rsidR="007D48BC" w:rsidRPr="003D6FCD" w:rsidRDefault="007D48BC" w:rsidP="00BC3E8E">
                  <w:pPr>
                    <w:autoSpaceDE w:val="0"/>
                    <w:autoSpaceDN w:val="0"/>
                    <w:adjustRightInd w:val="0"/>
                    <w:spacing w:line="240" w:lineRule="atLeast"/>
                    <w:rPr>
                      <w:rFonts w:ascii="Arial" w:hAnsi="Arial" w:cs="Arial"/>
                      <w:color w:val="000000"/>
                      <w:sz w:val="18"/>
                      <w:szCs w:val="18"/>
                    </w:rPr>
                  </w:pPr>
                </w:p>
              </w:tc>
            </w:tr>
            <w:tr w:rsidR="007D48BC" w:rsidRPr="003D6FCD">
              <w:tc>
                <w:tcPr>
                  <w:tcW w:w="5495" w:type="dxa"/>
                  <w:tcBorders>
                    <w:top w:val="single" w:sz="4" w:space="0" w:color="auto"/>
                    <w:left w:val="single" w:sz="4" w:space="0" w:color="auto"/>
                    <w:bottom w:val="single" w:sz="4" w:space="0" w:color="auto"/>
                    <w:right w:val="single" w:sz="4" w:space="0" w:color="auto"/>
                  </w:tcBorders>
                </w:tcPr>
                <w:p w:rsidR="007D48BC" w:rsidRPr="003D6FCD" w:rsidRDefault="007D48BC" w:rsidP="00BC3E8E">
                  <w:pPr>
                    <w:autoSpaceDE w:val="0"/>
                    <w:autoSpaceDN w:val="0"/>
                    <w:adjustRightInd w:val="0"/>
                    <w:spacing w:line="240" w:lineRule="atLeast"/>
                    <w:rPr>
                      <w:rFonts w:ascii="Arial" w:hAnsi="Arial" w:cs="Arial"/>
                      <w:color w:val="000000"/>
                      <w:sz w:val="18"/>
                      <w:szCs w:val="18"/>
                    </w:rPr>
                  </w:pPr>
                  <w:r w:rsidRPr="003D6FCD">
                    <w:rPr>
                      <w:rStyle w:val="A6"/>
                      <w:rFonts w:ascii="Arial" w:hAnsi="Arial" w:cs="Arial"/>
                    </w:rPr>
                    <w:t>Ayuda económica para la financiación de una investigación</w:t>
                  </w:r>
                </w:p>
              </w:tc>
              <w:tc>
                <w:tcPr>
                  <w:tcW w:w="1276" w:type="dxa"/>
                  <w:tcBorders>
                    <w:top w:val="single" w:sz="4" w:space="0" w:color="auto"/>
                    <w:left w:val="single" w:sz="4" w:space="0" w:color="auto"/>
                    <w:bottom w:val="single" w:sz="4" w:space="0" w:color="auto"/>
                    <w:right w:val="single" w:sz="4" w:space="0" w:color="auto"/>
                  </w:tcBorders>
                </w:tcPr>
                <w:p w:rsidR="007D48BC" w:rsidRPr="003D6FCD" w:rsidRDefault="007D48BC" w:rsidP="00BC3E8E">
                  <w:pPr>
                    <w:autoSpaceDE w:val="0"/>
                    <w:autoSpaceDN w:val="0"/>
                    <w:adjustRightInd w:val="0"/>
                    <w:spacing w:line="240" w:lineRule="atLeast"/>
                    <w:rPr>
                      <w:rFonts w:ascii="Arial" w:hAnsi="Arial" w:cs="Arial"/>
                      <w:color w:val="000000"/>
                      <w:sz w:val="18"/>
                      <w:szCs w:val="18"/>
                    </w:rPr>
                  </w:pPr>
                </w:p>
              </w:tc>
              <w:tc>
                <w:tcPr>
                  <w:tcW w:w="1275" w:type="dxa"/>
                  <w:tcBorders>
                    <w:top w:val="single" w:sz="4" w:space="0" w:color="auto"/>
                    <w:left w:val="single" w:sz="4" w:space="0" w:color="auto"/>
                    <w:bottom w:val="single" w:sz="4" w:space="0" w:color="auto"/>
                    <w:right w:val="single" w:sz="4" w:space="0" w:color="auto"/>
                  </w:tcBorders>
                </w:tcPr>
                <w:p w:rsidR="007D48BC" w:rsidRPr="003D6FCD" w:rsidRDefault="007D48BC" w:rsidP="00BC3E8E">
                  <w:pPr>
                    <w:autoSpaceDE w:val="0"/>
                    <w:autoSpaceDN w:val="0"/>
                    <w:adjustRightInd w:val="0"/>
                    <w:spacing w:line="240" w:lineRule="atLeast"/>
                    <w:rPr>
                      <w:rFonts w:ascii="Arial" w:hAnsi="Arial" w:cs="Arial"/>
                      <w:color w:val="000000"/>
                      <w:sz w:val="18"/>
                      <w:szCs w:val="18"/>
                    </w:rPr>
                  </w:pPr>
                </w:p>
              </w:tc>
              <w:tc>
                <w:tcPr>
                  <w:tcW w:w="833" w:type="dxa"/>
                  <w:tcBorders>
                    <w:top w:val="single" w:sz="4" w:space="0" w:color="auto"/>
                    <w:left w:val="single" w:sz="4" w:space="0" w:color="auto"/>
                    <w:bottom w:val="single" w:sz="4" w:space="0" w:color="auto"/>
                    <w:right w:val="single" w:sz="4" w:space="0" w:color="auto"/>
                  </w:tcBorders>
                </w:tcPr>
                <w:p w:rsidR="007D48BC" w:rsidRPr="003D6FCD" w:rsidRDefault="007D48BC" w:rsidP="00BC3E8E">
                  <w:pPr>
                    <w:autoSpaceDE w:val="0"/>
                    <w:autoSpaceDN w:val="0"/>
                    <w:adjustRightInd w:val="0"/>
                    <w:spacing w:line="240" w:lineRule="atLeast"/>
                    <w:rPr>
                      <w:rFonts w:ascii="Arial" w:hAnsi="Arial" w:cs="Arial"/>
                      <w:color w:val="000000"/>
                      <w:sz w:val="18"/>
                      <w:szCs w:val="18"/>
                    </w:rPr>
                  </w:pPr>
                </w:p>
              </w:tc>
            </w:tr>
            <w:tr w:rsidR="007D48BC" w:rsidRPr="003D6FCD">
              <w:tc>
                <w:tcPr>
                  <w:tcW w:w="5495" w:type="dxa"/>
                  <w:tcBorders>
                    <w:top w:val="single" w:sz="4" w:space="0" w:color="auto"/>
                    <w:left w:val="single" w:sz="4" w:space="0" w:color="auto"/>
                    <w:bottom w:val="single" w:sz="4" w:space="0" w:color="auto"/>
                    <w:right w:val="single" w:sz="4" w:space="0" w:color="auto"/>
                  </w:tcBorders>
                </w:tcPr>
                <w:p w:rsidR="007D48BC" w:rsidRPr="003D6FCD" w:rsidRDefault="007D48BC" w:rsidP="00BC3E8E">
                  <w:pPr>
                    <w:autoSpaceDE w:val="0"/>
                    <w:autoSpaceDN w:val="0"/>
                    <w:adjustRightInd w:val="0"/>
                    <w:spacing w:line="240" w:lineRule="atLeast"/>
                    <w:rPr>
                      <w:rFonts w:ascii="Arial" w:hAnsi="Arial" w:cs="Arial"/>
                      <w:color w:val="000000"/>
                      <w:sz w:val="18"/>
                      <w:szCs w:val="18"/>
                    </w:rPr>
                  </w:pPr>
                  <w:r w:rsidRPr="003D6FCD">
                    <w:rPr>
                      <w:rStyle w:val="A6"/>
                      <w:rFonts w:ascii="Arial" w:hAnsi="Arial" w:cs="Arial"/>
                    </w:rPr>
                    <w:t>Financiación de programas educativos o cursos para la unidad</w:t>
                  </w:r>
                </w:p>
              </w:tc>
              <w:tc>
                <w:tcPr>
                  <w:tcW w:w="1276" w:type="dxa"/>
                  <w:tcBorders>
                    <w:top w:val="single" w:sz="4" w:space="0" w:color="auto"/>
                    <w:left w:val="single" w:sz="4" w:space="0" w:color="auto"/>
                    <w:bottom w:val="single" w:sz="4" w:space="0" w:color="auto"/>
                    <w:right w:val="single" w:sz="4" w:space="0" w:color="auto"/>
                  </w:tcBorders>
                </w:tcPr>
                <w:p w:rsidR="007D48BC" w:rsidRPr="003D6FCD" w:rsidRDefault="007D48BC" w:rsidP="00BC3E8E">
                  <w:pPr>
                    <w:autoSpaceDE w:val="0"/>
                    <w:autoSpaceDN w:val="0"/>
                    <w:adjustRightInd w:val="0"/>
                    <w:spacing w:line="240" w:lineRule="atLeast"/>
                    <w:rPr>
                      <w:rFonts w:ascii="Arial" w:hAnsi="Arial" w:cs="Arial"/>
                      <w:color w:val="000000"/>
                      <w:sz w:val="18"/>
                      <w:szCs w:val="18"/>
                    </w:rPr>
                  </w:pPr>
                </w:p>
              </w:tc>
              <w:tc>
                <w:tcPr>
                  <w:tcW w:w="1275" w:type="dxa"/>
                  <w:tcBorders>
                    <w:top w:val="single" w:sz="4" w:space="0" w:color="auto"/>
                    <w:left w:val="single" w:sz="4" w:space="0" w:color="auto"/>
                    <w:bottom w:val="single" w:sz="4" w:space="0" w:color="auto"/>
                    <w:right w:val="single" w:sz="4" w:space="0" w:color="auto"/>
                  </w:tcBorders>
                </w:tcPr>
                <w:p w:rsidR="007D48BC" w:rsidRPr="003D6FCD" w:rsidRDefault="007D48BC" w:rsidP="00BC3E8E">
                  <w:pPr>
                    <w:autoSpaceDE w:val="0"/>
                    <w:autoSpaceDN w:val="0"/>
                    <w:adjustRightInd w:val="0"/>
                    <w:spacing w:line="240" w:lineRule="atLeast"/>
                    <w:rPr>
                      <w:rFonts w:ascii="Arial" w:hAnsi="Arial" w:cs="Arial"/>
                      <w:color w:val="000000"/>
                      <w:sz w:val="18"/>
                      <w:szCs w:val="18"/>
                    </w:rPr>
                  </w:pPr>
                </w:p>
              </w:tc>
              <w:tc>
                <w:tcPr>
                  <w:tcW w:w="833" w:type="dxa"/>
                  <w:tcBorders>
                    <w:top w:val="single" w:sz="4" w:space="0" w:color="auto"/>
                    <w:left w:val="single" w:sz="4" w:space="0" w:color="auto"/>
                    <w:bottom w:val="single" w:sz="4" w:space="0" w:color="auto"/>
                    <w:right w:val="single" w:sz="4" w:space="0" w:color="auto"/>
                  </w:tcBorders>
                </w:tcPr>
                <w:p w:rsidR="007D48BC" w:rsidRPr="003D6FCD" w:rsidRDefault="007D48BC" w:rsidP="00BC3E8E">
                  <w:pPr>
                    <w:autoSpaceDE w:val="0"/>
                    <w:autoSpaceDN w:val="0"/>
                    <w:adjustRightInd w:val="0"/>
                    <w:spacing w:line="240" w:lineRule="atLeast"/>
                    <w:rPr>
                      <w:rFonts w:ascii="Arial" w:hAnsi="Arial" w:cs="Arial"/>
                      <w:color w:val="000000"/>
                      <w:sz w:val="18"/>
                      <w:szCs w:val="18"/>
                    </w:rPr>
                  </w:pPr>
                </w:p>
              </w:tc>
            </w:tr>
          </w:tbl>
          <w:p w:rsidR="007D48BC" w:rsidRPr="00707E7D" w:rsidRDefault="007D48BC" w:rsidP="00BC3E8E">
            <w:pPr>
              <w:pStyle w:val="Pa1"/>
              <w:rPr>
                <w:rFonts w:ascii="Arial" w:hAnsi="Arial" w:cs="Arial"/>
                <w:color w:val="000000"/>
                <w:sz w:val="20"/>
                <w:szCs w:val="20"/>
              </w:rPr>
            </w:pPr>
          </w:p>
        </w:tc>
      </w:tr>
    </w:tbl>
    <w:p w:rsidR="007D48BC" w:rsidRDefault="007D48BC" w:rsidP="00BC3E8E">
      <w:pPr>
        <w:rPr>
          <w:rFonts w:ascii="Arial" w:hAnsi="Arial" w:cs="Arial"/>
          <w:b/>
          <w:bCs/>
          <w:color w:val="000000"/>
        </w:rPr>
      </w:pPr>
    </w:p>
    <w:p w:rsidR="007D48BC" w:rsidRDefault="007D48BC" w:rsidP="00BC3E8E">
      <w:pPr>
        <w:rPr>
          <w:rFonts w:ascii="Arial" w:hAnsi="Arial" w:cs="Arial"/>
          <w:b/>
          <w:bCs/>
        </w:rPr>
      </w:pPr>
      <w:r w:rsidRPr="00707E7D">
        <w:rPr>
          <w:rFonts w:ascii="Arial" w:hAnsi="Arial" w:cs="Arial"/>
          <w:b/>
          <w:bCs/>
          <w:color w:val="000000"/>
        </w:rPr>
        <w:t>C-Otros posibles conflictos de intereses no señalados en apartados anteriores (especificar)</w:t>
      </w:r>
      <w:r w:rsidRPr="00707E7D">
        <w:rPr>
          <w:rFonts w:ascii="Arial" w:hAnsi="Arial" w:cs="Arial"/>
          <w:b/>
          <w:bCs/>
        </w:rPr>
        <w:t xml:space="preserve"> </w:t>
      </w:r>
    </w:p>
    <w:p w:rsidR="007D48BC" w:rsidRDefault="007D48BC" w:rsidP="00BC3E8E">
      <w:pPr>
        <w:rPr>
          <w:rFonts w:ascii="Arial" w:hAnsi="Arial" w:cs="Arial"/>
          <w:b/>
          <w:bCs/>
        </w:rPr>
      </w:pPr>
    </w:p>
    <w:p w:rsidR="007D48BC" w:rsidRDefault="007D48BC" w:rsidP="00BC3E8E">
      <w:pPr>
        <w:rPr>
          <w:rFonts w:ascii="Arial" w:hAnsi="Arial" w:cs="Arial"/>
          <w:b/>
          <w:bCs/>
        </w:rPr>
      </w:pPr>
    </w:p>
    <w:p w:rsidR="007D48BC" w:rsidRDefault="007D48BC" w:rsidP="00BC3E8E">
      <w:pPr>
        <w:rPr>
          <w:rFonts w:ascii="Arial" w:hAnsi="Arial" w:cs="Arial"/>
          <w:b/>
          <w:bCs/>
        </w:rPr>
      </w:pPr>
    </w:p>
    <w:p w:rsidR="007D48BC" w:rsidRDefault="007D48BC" w:rsidP="00BC3E8E">
      <w:pPr>
        <w:rPr>
          <w:rFonts w:ascii="Arial" w:hAnsi="Arial" w:cs="Arial"/>
          <w:b/>
          <w:bCs/>
        </w:rPr>
      </w:pPr>
    </w:p>
    <w:p w:rsidR="007D48BC" w:rsidRDefault="007D48BC" w:rsidP="0082659E">
      <w:pPr>
        <w:snapToGrid w:val="0"/>
        <w:rPr>
          <w:rFonts w:ascii="Arial" w:hAnsi="Arial" w:cs="Arial"/>
          <w:b/>
          <w:bCs/>
        </w:rPr>
      </w:pPr>
      <w:r>
        <w:rPr>
          <w:rFonts w:ascii="Arial" w:hAnsi="Arial" w:cs="Arial"/>
          <w:b/>
          <w:bCs/>
        </w:rPr>
        <w:t>FECHA</w:t>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t>FIRMA</w:t>
      </w:r>
    </w:p>
    <w:p w:rsidR="007D48BC" w:rsidRDefault="007D48BC" w:rsidP="0082659E">
      <w:pPr>
        <w:snapToGrid w:val="0"/>
        <w:rPr>
          <w:rFonts w:ascii="Arial" w:hAnsi="Arial" w:cs="Arial"/>
          <w:color w:val="000080"/>
          <w:lang w:eastAsia="en-US"/>
        </w:rPr>
      </w:pPr>
    </w:p>
    <w:p w:rsidR="007D48BC" w:rsidRPr="006F4C4F" w:rsidRDefault="00B072C6" w:rsidP="006A074E">
      <w:pPr>
        <w:shd w:val="clear" w:color="auto" w:fill="DBE5F1"/>
        <w:autoSpaceDE w:val="0"/>
        <w:autoSpaceDN w:val="0"/>
        <w:adjustRightInd w:val="0"/>
        <w:spacing w:line="240" w:lineRule="atLeast"/>
        <w:jc w:val="center"/>
        <w:rPr>
          <w:rFonts w:ascii="Arial" w:hAnsi="Arial" w:cs="Arial"/>
          <w:color w:val="000000"/>
        </w:rPr>
      </w:pPr>
      <w:r>
        <w:rPr>
          <w:rFonts w:ascii="Arial" w:hAnsi="Arial" w:cs="Arial"/>
          <w:b/>
          <w:bCs/>
          <w:color w:val="000000"/>
        </w:rPr>
        <w:t>ANEXO I</w:t>
      </w:r>
      <w:r w:rsidR="00FE59AC">
        <w:rPr>
          <w:rFonts w:ascii="Arial" w:hAnsi="Arial" w:cs="Arial"/>
          <w:b/>
          <w:bCs/>
          <w:color w:val="000000"/>
        </w:rPr>
        <w:fldChar w:fldCharType="begin"/>
      </w:r>
      <w:r>
        <w:instrText xml:space="preserve"> XE "</w:instrText>
      </w:r>
      <w:r w:rsidRPr="00DC289D">
        <w:rPr>
          <w:rFonts w:ascii="Arial" w:hAnsi="Arial" w:cs="Arial"/>
          <w:b/>
          <w:bCs/>
          <w:color w:val="000000"/>
        </w:rPr>
        <w:instrText>ANEXO I</w:instrText>
      </w:r>
      <w:r>
        <w:instrText xml:space="preserve">" </w:instrText>
      </w:r>
      <w:r w:rsidR="00FE59AC">
        <w:rPr>
          <w:rFonts w:ascii="Arial" w:hAnsi="Arial" w:cs="Arial"/>
          <w:b/>
          <w:bCs/>
          <w:color w:val="000000"/>
        </w:rPr>
        <w:fldChar w:fldCharType="end"/>
      </w:r>
      <w:r>
        <w:rPr>
          <w:rFonts w:ascii="Arial" w:hAnsi="Arial" w:cs="Arial"/>
          <w:b/>
          <w:bCs/>
          <w:color w:val="000000"/>
        </w:rPr>
        <w:t xml:space="preserve">. </w:t>
      </w:r>
      <w:r w:rsidR="007D48BC" w:rsidRPr="00707E7D">
        <w:rPr>
          <w:rFonts w:ascii="Arial" w:hAnsi="Arial" w:cs="Arial"/>
          <w:b/>
          <w:bCs/>
          <w:color w:val="000000"/>
        </w:rPr>
        <w:t>Formulario de declaración de conflictos de intereses</w:t>
      </w:r>
      <w:r w:rsidR="007D48BC">
        <w:rPr>
          <w:rFonts w:ascii="Arial" w:hAnsi="Arial" w:cs="Arial"/>
          <w:b/>
          <w:bCs/>
          <w:color w:val="000000"/>
        </w:rPr>
        <w:t xml:space="preserve"> </w:t>
      </w:r>
    </w:p>
    <w:p w:rsidR="007D48BC" w:rsidRDefault="007D48BC" w:rsidP="006A074E">
      <w:pPr>
        <w:autoSpaceDE w:val="0"/>
        <w:autoSpaceDN w:val="0"/>
        <w:adjustRightInd w:val="0"/>
        <w:spacing w:line="240" w:lineRule="atLeast"/>
        <w:ind w:left="220" w:hanging="220"/>
        <w:rPr>
          <w:rFonts w:ascii="Arial" w:hAnsi="Arial" w:cs="Arial"/>
          <w:color w:val="000000"/>
        </w:rPr>
      </w:pPr>
    </w:p>
    <w:p w:rsidR="007D48BC" w:rsidRPr="00456E6C" w:rsidRDefault="007D48BC" w:rsidP="006A074E">
      <w:pPr>
        <w:pStyle w:val="Pa53"/>
        <w:jc w:val="both"/>
        <w:rPr>
          <w:rFonts w:ascii="Arial" w:hAnsi="Arial" w:cs="Arial"/>
          <w:sz w:val="20"/>
          <w:szCs w:val="20"/>
          <w:lang w:eastAsia="es-ES"/>
        </w:rPr>
      </w:pPr>
      <w:r w:rsidRPr="00456E6C">
        <w:rPr>
          <w:rFonts w:ascii="Arial" w:hAnsi="Arial" w:cs="Arial"/>
          <w:sz w:val="20"/>
          <w:szCs w:val="20"/>
          <w:lang w:eastAsia="es-ES"/>
        </w:rPr>
        <w:t xml:space="preserve">Los potenciales conflictos de intereses en la elaboración de informes de evaluación se consideran siempre que superen la cantidad de 2.000 euros anuales (últimos 3 años). </w:t>
      </w:r>
    </w:p>
    <w:p w:rsidR="007D48BC" w:rsidRPr="006F6ABB" w:rsidRDefault="007D48BC" w:rsidP="006A074E">
      <w:pPr>
        <w:pStyle w:val="Default"/>
        <w:rPr>
          <w:rFonts w:ascii="Arial" w:hAnsi="Arial" w:cs="Arial"/>
          <w:color w:val="000080"/>
          <w:sz w:val="20"/>
          <w:szCs w:val="20"/>
          <w:lang w:eastAsia="es-ES"/>
        </w:rPr>
      </w:pPr>
    </w:p>
    <w:p w:rsidR="007D48BC" w:rsidRPr="006F4C4F" w:rsidRDefault="007D48BC" w:rsidP="006A074E">
      <w:pPr>
        <w:autoSpaceDE w:val="0"/>
        <w:autoSpaceDN w:val="0"/>
        <w:adjustRightInd w:val="0"/>
        <w:spacing w:line="240" w:lineRule="atLeast"/>
        <w:ind w:left="220" w:hanging="220"/>
        <w:rPr>
          <w:rFonts w:ascii="Arial" w:hAnsi="Arial" w:cs="Arial"/>
          <w:b/>
          <w:bCs/>
          <w:color w:val="000000"/>
        </w:rPr>
      </w:pPr>
      <w:r w:rsidRPr="00707E7D">
        <w:rPr>
          <w:rFonts w:ascii="Arial" w:hAnsi="Arial" w:cs="Arial"/>
          <w:b/>
          <w:bCs/>
          <w:color w:val="000000"/>
        </w:rPr>
        <w:t>– Nombre y apellidos:</w:t>
      </w:r>
      <w:r>
        <w:rPr>
          <w:rFonts w:ascii="Arial" w:hAnsi="Arial" w:cs="Arial"/>
          <w:b/>
          <w:bCs/>
          <w:color w:val="000000"/>
        </w:rPr>
        <w:t xml:space="preserve"> </w:t>
      </w:r>
    </w:p>
    <w:p w:rsidR="007D48BC" w:rsidRPr="00707E7D" w:rsidRDefault="007D48BC" w:rsidP="006A074E">
      <w:pPr>
        <w:autoSpaceDE w:val="0"/>
        <w:autoSpaceDN w:val="0"/>
        <w:adjustRightInd w:val="0"/>
        <w:spacing w:line="240" w:lineRule="atLeast"/>
        <w:ind w:left="220" w:hanging="220"/>
        <w:rPr>
          <w:rFonts w:ascii="Arial" w:hAnsi="Arial" w:cs="Arial"/>
          <w:b/>
          <w:bCs/>
          <w:color w:val="000000"/>
        </w:rPr>
      </w:pPr>
    </w:p>
    <w:p w:rsidR="007D48BC" w:rsidRPr="006F4C4F" w:rsidRDefault="007D48BC" w:rsidP="006A074E">
      <w:pPr>
        <w:autoSpaceDE w:val="0"/>
        <w:autoSpaceDN w:val="0"/>
        <w:adjustRightInd w:val="0"/>
        <w:spacing w:line="240" w:lineRule="atLeast"/>
        <w:ind w:left="220" w:hanging="220"/>
        <w:rPr>
          <w:rFonts w:ascii="Arial" w:hAnsi="Arial" w:cs="Arial"/>
          <w:b/>
          <w:bCs/>
          <w:color w:val="000000"/>
        </w:rPr>
      </w:pPr>
      <w:r w:rsidRPr="00707E7D">
        <w:rPr>
          <w:rFonts w:ascii="Arial" w:hAnsi="Arial" w:cs="Arial"/>
          <w:b/>
          <w:bCs/>
          <w:color w:val="000000"/>
        </w:rPr>
        <w:t>– Institución en la que trabaja:</w:t>
      </w:r>
    </w:p>
    <w:p w:rsidR="007D48BC" w:rsidRPr="00707E7D" w:rsidRDefault="007D48BC" w:rsidP="006A074E">
      <w:pPr>
        <w:autoSpaceDE w:val="0"/>
        <w:autoSpaceDN w:val="0"/>
        <w:adjustRightInd w:val="0"/>
        <w:spacing w:line="240" w:lineRule="atLeast"/>
        <w:ind w:left="220" w:hanging="220"/>
        <w:rPr>
          <w:rFonts w:ascii="Arial" w:hAnsi="Arial" w:cs="Arial"/>
          <w:b/>
          <w:bCs/>
          <w:color w:val="000000"/>
        </w:rPr>
      </w:pPr>
    </w:p>
    <w:p w:rsidR="007D48BC" w:rsidRPr="006F4C4F" w:rsidRDefault="007D48BC" w:rsidP="006A074E">
      <w:pPr>
        <w:autoSpaceDE w:val="0"/>
        <w:autoSpaceDN w:val="0"/>
        <w:adjustRightInd w:val="0"/>
        <w:spacing w:line="240" w:lineRule="atLeast"/>
        <w:ind w:left="220" w:hanging="220"/>
        <w:rPr>
          <w:rFonts w:ascii="Arial" w:hAnsi="Arial" w:cs="Arial"/>
          <w:color w:val="000000"/>
        </w:rPr>
      </w:pPr>
      <w:r w:rsidRPr="00707E7D">
        <w:rPr>
          <w:rFonts w:ascii="Arial" w:hAnsi="Arial" w:cs="Arial"/>
          <w:b/>
          <w:bCs/>
          <w:color w:val="000000"/>
        </w:rPr>
        <w:t xml:space="preserve">– Institución que le vincula al informe. </w:t>
      </w:r>
      <w:r w:rsidRPr="00707E7D">
        <w:rPr>
          <w:rFonts w:ascii="Arial" w:hAnsi="Arial" w:cs="Arial"/>
          <w:color w:val="000000"/>
        </w:rPr>
        <w:t>Ej: sociedades científicas, grupo de trabajo, etc. (contestar sólo si es dife</w:t>
      </w:r>
      <w:r w:rsidRPr="00707E7D">
        <w:rPr>
          <w:rFonts w:ascii="Arial" w:hAnsi="Arial" w:cs="Arial"/>
          <w:color w:val="000000"/>
        </w:rPr>
        <w:softHyphen/>
        <w:t>rente a la anterior):</w:t>
      </w:r>
    </w:p>
    <w:p w:rsidR="007D48BC" w:rsidRPr="00707E7D" w:rsidRDefault="007D48BC" w:rsidP="006A074E">
      <w:pPr>
        <w:autoSpaceDE w:val="0"/>
        <w:autoSpaceDN w:val="0"/>
        <w:adjustRightInd w:val="0"/>
        <w:spacing w:after="40" w:line="240" w:lineRule="atLeast"/>
        <w:rPr>
          <w:rFonts w:ascii="Arial" w:hAnsi="Arial" w:cs="Arial"/>
          <w:color w:val="000000"/>
        </w:rPr>
      </w:pPr>
    </w:p>
    <w:p w:rsidR="007D48BC" w:rsidRPr="006F4C4F" w:rsidRDefault="007D48BC" w:rsidP="006A074E">
      <w:pPr>
        <w:autoSpaceDE w:val="0"/>
        <w:autoSpaceDN w:val="0"/>
        <w:adjustRightInd w:val="0"/>
        <w:spacing w:after="40" w:line="240" w:lineRule="atLeast"/>
        <w:rPr>
          <w:rFonts w:ascii="Arial" w:hAnsi="Arial" w:cs="Arial"/>
          <w:color w:val="000000"/>
        </w:rPr>
      </w:pPr>
      <w:r>
        <w:rPr>
          <w:rFonts w:ascii="Arial" w:hAnsi="Arial" w:cs="Arial"/>
          <w:color w:val="000000"/>
        </w:rPr>
        <w:t xml:space="preserve">Participación en el informe de evaluación </w:t>
      </w:r>
      <w:r w:rsidRPr="00707E7D">
        <w:rPr>
          <w:rFonts w:ascii="Arial" w:hAnsi="Arial" w:cs="Arial"/>
          <w:color w:val="000000"/>
        </w:rPr>
        <w:t>como:</w:t>
      </w:r>
    </w:p>
    <w:p w:rsidR="007D48BC" w:rsidRPr="006A0347" w:rsidRDefault="007D48BC" w:rsidP="006A074E">
      <w:pPr>
        <w:autoSpaceDE w:val="0"/>
        <w:autoSpaceDN w:val="0"/>
        <w:adjustRightInd w:val="0"/>
        <w:spacing w:line="240" w:lineRule="atLeast"/>
        <w:ind w:left="560"/>
        <w:rPr>
          <w:rFonts w:ascii="Arial" w:hAnsi="Arial" w:cs="Arial"/>
          <w:color w:val="000000"/>
          <w:lang w:val="pt-BR"/>
        </w:rPr>
      </w:pPr>
      <w:r w:rsidRPr="006A0347">
        <w:rPr>
          <w:rFonts w:ascii="Arial" w:hAnsi="Arial" w:cs="Arial"/>
          <w:color w:val="000000"/>
          <w:lang w:val="pt-BR"/>
        </w:rPr>
        <w:t>1-Autor/a</w:t>
      </w:r>
    </w:p>
    <w:p w:rsidR="007D48BC" w:rsidRPr="006A0347" w:rsidRDefault="007D48BC" w:rsidP="006A074E">
      <w:pPr>
        <w:autoSpaceDE w:val="0"/>
        <w:autoSpaceDN w:val="0"/>
        <w:adjustRightInd w:val="0"/>
        <w:spacing w:line="240" w:lineRule="atLeast"/>
        <w:ind w:left="560"/>
        <w:rPr>
          <w:rFonts w:ascii="Arial" w:hAnsi="Arial" w:cs="Arial"/>
          <w:color w:val="000000"/>
          <w:lang w:val="pt-BR"/>
        </w:rPr>
      </w:pPr>
      <w:r w:rsidRPr="006A0347">
        <w:rPr>
          <w:rFonts w:ascii="Arial" w:hAnsi="Arial" w:cs="Arial"/>
          <w:color w:val="000000"/>
          <w:lang w:val="pt-BR"/>
        </w:rPr>
        <w:t>2-Tutor/a</w:t>
      </w:r>
    </w:p>
    <w:p w:rsidR="007D48BC" w:rsidRPr="006A0347" w:rsidRDefault="007D48BC" w:rsidP="006A074E">
      <w:pPr>
        <w:autoSpaceDE w:val="0"/>
        <w:autoSpaceDN w:val="0"/>
        <w:adjustRightInd w:val="0"/>
        <w:spacing w:line="240" w:lineRule="atLeast"/>
        <w:ind w:left="560"/>
        <w:rPr>
          <w:rFonts w:ascii="Arial" w:hAnsi="Arial" w:cs="Arial"/>
          <w:color w:val="000000"/>
          <w:lang w:val="pt-BR"/>
        </w:rPr>
      </w:pPr>
      <w:r w:rsidRPr="006A0347">
        <w:rPr>
          <w:rFonts w:ascii="Arial" w:hAnsi="Arial" w:cs="Arial"/>
          <w:color w:val="000000"/>
          <w:lang w:val="pt-BR"/>
        </w:rPr>
        <w:t>3-Revisor/a externo/a</w:t>
      </w:r>
    </w:p>
    <w:p w:rsidR="007D48BC" w:rsidRPr="006A0347" w:rsidRDefault="007D48BC" w:rsidP="006A074E">
      <w:pPr>
        <w:autoSpaceDE w:val="0"/>
        <w:autoSpaceDN w:val="0"/>
        <w:adjustRightInd w:val="0"/>
        <w:spacing w:line="240" w:lineRule="atLeast"/>
        <w:jc w:val="both"/>
        <w:rPr>
          <w:rFonts w:ascii="Arial" w:hAnsi="Arial" w:cs="Arial"/>
          <w:color w:val="000000"/>
          <w:lang w:val="pt-BR"/>
        </w:rPr>
      </w:pPr>
    </w:p>
    <w:p w:rsidR="007D48BC" w:rsidRPr="006F4C4F" w:rsidRDefault="007D48BC" w:rsidP="006A074E">
      <w:pPr>
        <w:autoSpaceDE w:val="0"/>
        <w:autoSpaceDN w:val="0"/>
        <w:adjustRightInd w:val="0"/>
        <w:spacing w:line="240" w:lineRule="atLeast"/>
        <w:jc w:val="both"/>
        <w:rPr>
          <w:rFonts w:ascii="Arial" w:hAnsi="Arial" w:cs="Arial"/>
          <w:color w:val="000000"/>
        </w:rPr>
      </w:pPr>
      <w:r w:rsidRPr="00707E7D">
        <w:rPr>
          <w:rFonts w:ascii="Arial" w:hAnsi="Arial" w:cs="Arial"/>
          <w:color w:val="000000"/>
        </w:rPr>
        <w:t xml:space="preserve">Tras haber y leído y comprendido la información remitida sobre la declaración de conflictos para el presente </w:t>
      </w:r>
      <w:r>
        <w:rPr>
          <w:rFonts w:ascii="Arial" w:hAnsi="Arial" w:cs="Arial"/>
          <w:color w:val="000000"/>
        </w:rPr>
        <w:t>informe</w:t>
      </w:r>
      <w:r w:rsidRPr="00707E7D">
        <w:rPr>
          <w:rFonts w:ascii="Arial" w:hAnsi="Arial" w:cs="Arial"/>
          <w:color w:val="000000"/>
        </w:rPr>
        <w:t>, formulo la siguiente declaración:</w:t>
      </w:r>
    </w:p>
    <w:p w:rsidR="007D48BC" w:rsidRPr="00707E7D" w:rsidRDefault="007D48BC" w:rsidP="006A074E">
      <w:pPr>
        <w:autoSpaceDE w:val="0"/>
        <w:autoSpaceDN w:val="0"/>
        <w:adjustRightInd w:val="0"/>
        <w:spacing w:after="40" w:line="240" w:lineRule="atLeast"/>
        <w:rPr>
          <w:rFonts w:ascii="Arial" w:hAnsi="Arial" w:cs="Arial"/>
          <w:color w:val="000000"/>
        </w:rPr>
      </w:pPr>
    </w:p>
    <w:p w:rsidR="007D48BC" w:rsidRPr="00707E7D" w:rsidRDefault="007D48BC" w:rsidP="006A074E">
      <w:pPr>
        <w:autoSpaceDE w:val="0"/>
        <w:autoSpaceDN w:val="0"/>
        <w:adjustRightInd w:val="0"/>
        <w:spacing w:line="240" w:lineRule="atLeast"/>
        <w:rPr>
          <w:rFonts w:ascii="Arial" w:hAnsi="Arial" w:cs="Arial"/>
          <w:b/>
          <w:bCs/>
          <w:color w:val="000000"/>
        </w:rPr>
      </w:pPr>
      <w:r w:rsidRPr="00707E7D">
        <w:rPr>
          <w:rFonts w:ascii="Arial" w:hAnsi="Arial" w:cs="Arial"/>
          <w:b/>
          <w:bCs/>
          <w:color w:val="000000"/>
        </w:rPr>
        <w:t>A- Intereses personales</w:t>
      </w:r>
      <w:r>
        <w:rPr>
          <w:rFonts w:ascii="Arial" w:hAnsi="Arial" w:cs="Arial"/>
          <w:b/>
          <w:bCs/>
          <w:color w:val="000000"/>
        </w:rPr>
        <w:t xml:space="preserve"> </w:t>
      </w:r>
      <w:r>
        <w:rPr>
          <w:rStyle w:val="A6"/>
          <w:rFonts w:ascii="Arial" w:hAnsi="Arial" w:cs="Arial"/>
          <w:b/>
          <w:bCs/>
          <w:sz w:val="20"/>
          <w:szCs w:val="20"/>
        </w:rPr>
        <w:t>(</w:t>
      </w:r>
      <w:r w:rsidRPr="00707E7D">
        <w:rPr>
          <w:rFonts w:ascii="Arial" w:hAnsi="Arial" w:cs="Arial"/>
          <w:color w:val="000000"/>
        </w:rPr>
        <w:t>En caso afirmativo especificar</w:t>
      </w:r>
      <w:r>
        <w:rPr>
          <w:rStyle w:val="A6"/>
          <w:rFonts w:ascii="Arial" w:hAnsi="Arial" w:cs="Arial"/>
          <w:b/>
          <w:bCs/>
          <w:sz w:val="20"/>
          <w:szCs w:val="20"/>
        </w:rPr>
        <w:t xml:space="preserve">): </w:t>
      </w:r>
      <w:r>
        <w:rPr>
          <w:rStyle w:val="A6"/>
          <w:rFonts w:ascii="Arial" w:hAnsi="Arial" w:cs="Arial"/>
          <w:b/>
          <w:bCs/>
          <w:sz w:val="20"/>
          <w:szCs w:val="20"/>
        </w:rPr>
        <w:tab/>
      </w:r>
      <w:r>
        <w:rPr>
          <w:rStyle w:val="A6"/>
          <w:rFonts w:ascii="Arial" w:hAnsi="Arial" w:cs="Arial"/>
          <w:b/>
          <w:bCs/>
          <w:sz w:val="20"/>
          <w:szCs w:val="20"/>
        </w:rPr>
        <w:tab/>
      </w:r>
      <w:r>
        <w:rPr>
          <w:rStyle w:val="A6"/>
          <w:rFonts w:ascii="Arial" w:hAnsi="Arial" w:cs="Arial"/>
          <w:b/>
          <w:bCs/>
          <w:sz w:val="20"/>
          <w:szCs w:val="20"/>
        </w:rPr>
        <w:sym w:font="Wingdings" w:char="F070"/>
      </w:r>
      <w:r>
        <w:rPr>
          <w:rStyle w:val="A6"/>
          <w:rFonts w:ascii="Arial" w:hAnsi="Arial" w:cs="Arial"/>
          <w:b/>
          <w:bCs/>
          <w:sz w:val="20"/>
          <w:szCs w:val="20"/>
        </w:rPr>
        <w:t>SI</w:t>
      </w:r>
      <w:r>
        <w:rPr>
          <w:rStyle w:val="A6"/>
          <w:rFonts w:ascii="Arial" w:hAnsi="Arial" w:cs="Arial"/>
          <w:b/>
          <w:bCs/>
          <w:sz w:val="20"/>
          <w:szCs w:val="20"/>
        </w:rPr>
        <w:tab/>
      </w:r>
      <w:r>
        <w:rPr>
          <w:rStyle w:val="A6"/>
          <w:rFonts w:ascii="Arial" w:hAnsi="Arial" w:cs="Arial"/>
          <w:b/>
          <w:bCs/>
          <w:sz w:val="20"/>
          <w:szCs w:val="20"/>
        </w:rPr>
        <w:tab/>
      </w:r>
      <w:r>
        <w:rPr>
          <w:rStyle w:val="A6"/>
          <w:rFonts w:ascii="Arial" w:hAnsi="Arial" w:cs="Arial"/>
          <w:b/>
          <w:bCs/>
          <w:sz w:val="20"/>
          <w:szCs w:val="20"/>
        </w:rPr>
        <w:sym w:font="Wingdings" w:char="F070"/>
      </w:r>
      <w:r w:rsidRPr="00707E7D">
        <w:rPr>
          <w:rStyle w:val="A6"/>
          <w:rFonts w:ascii="Arial" w:hAnsi="Arial" w:cs="Arial"/>
          <w:b/>
          <w:bCs/>
          <w:sz w:val="20"/>
          <w:szCs w:val="20"/>
        </w:rPr>
        <w:t xml:space="preserve">NO </w:t>
      </w:r>
    </w:p>
    <w:p w:rsidR="007D48BC" w:rsidRPr="00707E7D" w:rsidRDefault="007D48BC" w:rsidP="006A074E">
      <w:pPr>
        <w:autoSpaceDE w:val="0"/>
        <w:autoSpaceDN w:val="0"/>
        <w:adjustRightInd w:val="0"/>
        <w:spacing w:line="240" w:lineRule="atLeast"/>
        <w:rPr>
          <w:rFonts w:ascii="Arial" w:hAnsi="Arial" w:cs="Arial"/>
          <w:color w:val="000000"/>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495"/>
        <w:gridCol w:w="1276"/>
        <w:gridCol w:w="1275"/>
        <w:gridCol w:w="457"/>
        <w:gridCol w:w="376"/>
      </w:tblGrid>
      <w:tr w:rsidR="007D48BC" w:rsidRPr="003D6FCD">
        <w:tc>
          <w:tcPr>
            <w:tcW w:w="5495" w:type="dxa"/>
          </w:tcPr>
          <w:p w:rsidR="007D48BC" w:rsidRPr="003D6FCD" w:rsidRDefault="007D48BC" w:rsidP="00DE468B">
            <w:pPr>
              <w:autoSpaceDE w:val="0"/>
              <w:autoSpaceDN w:val="0"/>
              <w:adjustRightInd w:val="0"/>
              <w:spacing w:line="240" w:lineRule="atLeast"/>
              <w:rPr>
                <w:rFonts w:ascii="Arial" w:hAnsi="Arial" w:cs="Arial"/>
                <w:color w:val="000000"/>
                <w:sz w:val="18"/>
                <w:szCs w:val="18"/>
              </w:rPr>
            </w:pPr>
          </w:p>
        </w:tc>
        <w:tc>
          <w:tcPr>
            <w:tcW w:w="1276" w:type="dxa"/>
          </w:tcPr>
          <w:p w:rsidR="007D48BC" w:rsidRPr="003D6FCD" w:rsidRDefault="007D48BC" w:rsidP="00DE468B">
            <w:pPr>
              <w:autoSpaceDE w:val="0"/>
              <w:autoSpaceDN w:val="0"/>
              <w:adjustRightInd w:val="0"/>
              <w:spacing w:line="240" w:lineRule="atLeast"/>
              <w:rPr>
                <w:rFonts w:ascii="Arial" w:hAnsi="Arial" w:cs="Arial"/>
                <w:color w:val="000000"/>
                <w:sz w:val="18"/>
                <w:szCs w:val="18"/>
              </w:rPr>
            </w:pPr>
            <w:r w:rsidRPr="003D6FCD">
              <w:rPr>
                <w:rFonts w:ascii="Arial" w:hAnsi="Arial" w:cs="Arial"/>
                <w:color w:val="000000"/>
                <w:sz w:val="18"/>
                <w:szCs w:val="18"/>
              </w:rPr>
              <w:t>Actividad</w:t>
            </w:r>
          </w:p>
        </w:tc>
        <w:tc>
          <w:tcPr>
            <w:tcW w:w="1275" w:type="dxa"/>
          </w:tcPr>
          <w:p w:rsidR="007D48BC" w:rsidRPr="003D6FCD" w:rsidRDefault="007D48BC" w:rsidP="00DE468B">
            <w:pPr>
              <w:autoSpaceDE w:val="0"/>
              <w:autoSpaceDN w:val="0"/>
              <w:adjustRightInd w:val="0"/>
              <w:spacing w:line="240" w:lineRule="atLeast"/>
              <w:rPr>
                <w:rFonts w:ascii="Arial" w:hAnsi="Arial" w:cs="Arial"/>
                <w:color w:val="000000"/>
                <w:sz w:val="18"/>
                <w:szCs w:val="18"/>
              </w:rPr>
            </w:pPr>
            <w:r w:rsidRPr="003D6FCD">
              <w:rPr>
                <w:rFonts w:ascii="Arial" w:hAnsi="Arial" w:cs="Arial"/>
                <w:color w:val="000000"/>
                <w:sz w:val="18"/>
                <w:szCs w:val="18"/>
              </w:rPr>
              <w:t>Institución</w:t>
            </w:r>
          </w:p>
        </w:tc>
        <w:tc>
          <w:tcPr>
            <w:tcW w:w="833" w:type="dxa"/>
            <w:gridSpan w:val="2"/>
          </w:tcPr>
          <w:p w:rsidR="007D48BC" w:rsidRPr="003D6FCD" w:rsidRDefault="007D48BC" w:rsidP="00DE468B">
            <w:pPr>
              <w:autoSpaceDE w:val="0"/>
              <w:autoSpaceDN w:val="0"/>
              <w:adjustRightInd w:val="0"/>
              <w:spacing w:line="240" w:lineRule="atLeast"/>
              <w:rPr>
                <w:rFonts w:ascii="Arial" w:hAnsi="Arial" w:cs="Arial"/>
                <w:color w:val="000000"/>
                <w:sz w:val="18"/>
                <w:szCs w:val="18"/>
              </w:rPr>
            </w:pPr>
            <w:r w:rsidRPr="003D6FCD">
              <w:rPr>
                <w:rFonts w:ascii="Arial" w:hAnsi="Arial" w:cs="Arial"/>
                <w:color w:val="000000"/>
                <w:sz w:val="18"/>
                <w:szCs w:val="18"/>
              </w:rPr>
              <w:t>Fecha</w:t>
            </w:r>
          </w:p>
        </w:tc>
      </w:tr>
      <w:tr w:rsidR="007D48BC" w:rsidRPr="003D6FCD">
        <w:tc>
          <w:tcPr>
            <w:tcW w:w="5495" w:type="dxa"/>
          </w:tcPr>
          <w:p w:rsidR="007D48BC" w:rsidRPr="003D6FCD" w:rsidRDefault="007D48BC" w:rsidP="00DE468B">
            <w:pPr>
              <w:autoSpaceDE w:val="0"/>
              <w:autoSpaceDN w:val="0"/>
              <w:adjustRightInd w:val="0"/>
              <w:spacing w:line="240" w:lineRule="atLeast"/>
              <w:rPr>
                <w:rFonts w:ascii="Arial" w:hAnsi="Arial" w:cs="Arial"/>
                <w:color w:val="000000"/>
                <w:sz w:val="18"/>
                <w:szCs w:val="18"/>
              </w:rPr>
            </w:pPr>
            <w:r w:rsidRPr="003D6FCD">
              <w:rPr>
                <w:rFonts w:ascii="Arial" w:hAnsi="Arial" w:cs="Arial"/>
                <w:color w:val="000000"/>
                <w:sz w:val="18"/>
                <w:szCs w:val="18"/>
              </w:rPr>
              <w:t>Financiación para reuniones y congresos, asistencia a cursos (inscripciones, bolsas de viajes, alojamiento…)</w:t>
            </w:r>
          </w:p>
        </w:tc>
        <w:tc>
          <w:tcPr>
            <w:tcW w:w="1276" w:type="dxa"/>
          </w:tcPr>
          <w:p w:rsidR="007D48BC" w:rsidRPr="003D6FCD" w:rsidRDefault="007D48BC" w:rsidP="00DE468B">
            <w:pPr>
              <w:autoSpaceDE w:val="0"/>
              <w:autoSpaceDN w:val="0"/>
              <w:adjustRightInd w:val="0"/>
              <w:spacing w:line="240" w:lineRule="atLeast"/>
              <w:rPr>
                <w:rFonts w:ascii="Arial" w:hAnsi="Arial" w:cs="Arial"/>
                <w:color w:val="000000"/>
                <w:sz w:val="18"/>
                <w:szCs w:val="18"/>
              </w:rPr>
            </w:pPr>
          </w:p>
        </w:tc>
        <w:tc>
          <w:tcPr>
            <w:tcW w:w="1275" w:type="dxa"/>
          </w:tcPr>
          <w:p w:rsidR="007D48BC" w:rsidRPr="003D6FCD" w:rsidRDefault="007D48BC" w:rsidP="00DE468B">
            <w:pPr>
              <w:autoSpaceDE w:val="0"/>
              <w:autoSpaceDN w:val="0"/>
              <w:adjustRightInd w:val="0"/>
              <w:spacing w:line="240" w:lineRule="atLeast"/>
              <w:rPr>
                <w:rFonts w:ascii="Arial" w:hAnsi="Arial" w:cs="Arial"/>
                <w:color w:val="000000"/>
                <w:sz w:val="18"/>
                <w:szCs w:val="18"/>
              </w:rPr>
            </w:pPr>
          </w:p>
        </w:tc>
        <w:tc>
          <w:tcPr>
            <w:tcW w:w="833" w:type="dxa"/>
            <w:gridSpan w:val="2"/>
          </w:tcPr>
          <w:p w:rsidR="007D48BC" w:rsidRPr="003D6FCD" w:rsidRDefault="007D48BC" w:rsidP="00DE468B">
            <w:pPr>
              <w:autoSpaceDE w:val="0"/>
              <w:autoSpaceDN w:val="0"/>
              <w:adjustRightInd w:val="0"/>
              <w:spacing w:line="240" w:lineRule="atLeast"/>
              <w:rPr>
                <w:rFonts w:ascii="Arial" w:hAnsi="Arial" w:cs="Arial"/>
                <w:color w:val="000000"/>
                <w:sz w:val="18"/>
                <w:szCs w:val="18"/>
              </w:rPr>
            </w:pPr>
          </w:p>
        </w:tc>
      </w:tr>
      <w:tr w:rsidR="007D48BC" w:rsidRPr="003D6FCD">
        <w:tc>
          <w:tcPr>
            <w:tcW w:w="5495" w:type="dxa"/>
          </w:tcPr>
          <w:p w:rsidR="007D48BC" w:rsidRPr="003D6FCD" w:rsidRDefault="007D48BC" w:rsidP="00DE468B">
            <w:pPr>
              <w:autoSpaceDE w:val="0"/>
              <w:autoSpaceDN w:val="0"/>
              <w:adjustRightInd w:val="0"/>
              <w:spacing w:line="240" w:lineRule="atLeast"/>
              <w:rPr>
                <w:rFonts w:ascii="Arial" w:hAnsi="Arial" w:cs="Arial"/>
                <w:color w:val="000000"/>
                <w:sz w:val="18"/>
                <w:szCs w:val="18"/>
              </w:rPr>
            </w:pPr>
            <w:r w:rsidRPr="003D6FCD">
              <w:rPr>
                <w:rFonts w:ascii="Arial" w:hAnsi="Arial" w:cs="Arial"/>
                <w:color w:val="000000"/>
                <w:sz w:val="18"/>
                <w:szCs w:val="18"/>
              </w:rPr>
              <w:t>Honorarios como ponente (conferencias, cursos…)</w:t>
            </w:r>
          </w:p>
        </w:tc>
        <w:tc>
          <w:tcPr>
            <w:tcW w:w="1276" w:type="dxa"/>
          </w:tcPr>
          <w:p w:rsidR="007D48BC" w:rsidRPr="003D6FCD" w:rsidRDefault="007D48BC" w:rsidP="00DE468B">
            <w:pPr>
              <w:autoSpaceDE w:val="0"/>
              <w:autoSpaceDN w:val="0"/>
              <w:adjustRightInd w:val="0"/>
              <w:spacing w:line="240" w:lineRule="atLeast"/>
              <w:rPr>
                <w:rFonts w:ascii="Arial" w:hAnsi="Arial" w:cs="Arial"/>
                <w:color w:val="000000"/>
                <w:sz w:val="18"/>
                <w:szCs w:val="18"/>
              </w:rPr>
            </w:pPr>
          </w:p>
        </w:tc>
        <w:tc>
          <w:tcPr>
            <w:tcW w:w="1275" w:type="dxa"/>
          </w:tcPr>
          <w:p w:rsidR="007D48BC" w:rsidRPr="003D6FCD" w:rsidRDefault="007D48BC" w:rsidP="00DE468B">
            <w:pPr>
              <w:autoSpaceDE w:val="0"/>
              <w:autoSpaceDN w:val="0"/>
              <w:adjustRightInd w:val="0"/>
              <w:spacing w:line="240" w:lineRule="atLeast"/>
              <w:rPr>
                <w:rFonts w:ascii="Arial" w:hAnsi="Arial" w:cs="Arial"/>
                <w:color w:val="000000"/>
                <w:sz w:val="18"/>
                <w:szCs w:val="18"/>
              </w:rPr>
            </w:pPr>
          </w:p>
        </w:tc>
        <w:tc>
          <w:tcPr>
            <w:tcW w:w="833" w:type="dxa"/>
            <w:gridSpan w:val="2"/>
          </w:tcPr>
          <w:p w:rsidR="007D48BC" w:rsidRPr="003D6FCD" w:rsidRDefault="007D48BC" w:rsidP="00DE468B">
            <w:pPr>
              <w:autoSpaceDE w:val="0"/>
              <w:autoSpaceDN w:val="0"/>
              <w:adjustRightInd w:val="0"/>
              <w:spacing w:line="240" w:lineRule="atLeast"/>
              <w:rPr>
                <w:rFonts w:ascii="Arial" w:hAnsi="Arial" w:cs="Arial"/>
                <w:color w:val="000000"/>
                <w:sz w:val="18"/>
                <w:szCs w:val="18"/>
              </w:rPr>
            </w:pPr>
          </w:p>
        </w:tc>
      </w:tr>
      <w:tr w:rsidR="007D48BC" w:rsidRPr="003D6FCD">
        <w:tc>
          <w:tcPr>
            <w:tcW w:w="5495" w:type="dxa"/>
          </w:tcPr>
          <w:p w:rsidR="007D48BC" w:rsidRPr="003D6FCD" w:rsidRDefault="007D48BC" w:rsidP="00DE468B">
            <w:pPr>
              <w:autoSpaceDE w:val="0"/>
              <w:autoSpaceDN w:val="0"/>
              <w:adjustRightInd w:val="0"/>
              <w:spacing w:line="240" w:lineRule="atLeast"/>
              <w:rPr>
                <w:rFonts w:ascii="Arial" w:hAnsi="Arial" w:cs="Arial"/>
                <w:color w:val="000000"/>
                <w:sz w:val="18"/>
                <w:szCs w:val="18"/>
              </w:rPr>
            </w:pPr>
            <w:r w:rsidRPr="003D6FCD">
              <w:rPr>
                <w:rFonts w:ascii="Arial" w:hAnsi="Arial" w:cs="Arial"/>
                <w:color w:val="000000"/>
                <w:sz w:val="18"/>
                <w:szCs w:val="18"/>
              </w:rPr>
              <w:t>Financiación de programas educativos o cursos (contratación de personal, alquiler de instalaciones…)</w:t>
            </w:r>
          </w:p>
        </w:tc>
        <w:tc>
          <w:tcPr>
            <w:tcW w:w="1276" w:type="dxa"/>
          </w:tcPr>
          <w:p w:rsidR="007D48BC" w:rsidRPr="003D6FCD" w:rsidRDefault="007D48BC" w:rsidP="00DE468B">
            <w:pPr>
              <w:autoSpaceDE w:val="0"/>
              <w:autoSpaceDN w:val="0"/>
              <w:adjustRightInd w:val="0"/>
              <w:spacing w:line="240" w:lineRule="atLeast"/>
              <w:rPr>
                <w:rFonts w:ascii="Arial" w:hAnsi="Arial" w:cs="Arial"/>
                <w:color w:val="000000"/>
                <w:sz w:val="18"/>
                <w:szCs w:val="18"/>
              </w:rPr>
            </w:pPr>
          </w:p>
        </w:tc>
        <w:tc>
          <w:tcPr>
            <w:tcW w:w="1275" w:type="dxa"/>
          </w:tcPr>
          <w:p w:rsidR="007D48BC" w:rsidRPr="003D6FCD" w:rsidRDefault="007D48BC" w:rsidP="00DE468B">
            <w:pPr>
              <w:autoSpaceDE w:val="0"/>
              <w:autoSpaceDN w:val="0"/>
              <w:adjustRightInd w:val="0"/>
              <w:spacing w:line="240" w:lineRule="atLeast"/>
              <w:rPr>
                <w:rFonts w:ascii="Arial" w:hAnsi="Arial" w:cs="Arial"/>
                <w:color w:val="000000"/>
                <w:sz w:val="18"/>
                <w:szCs w:val="18"/>
              </w:rPr>
            </w:pPr>
          </w:p>
        </w:tc>
        <w:tc>
          <w:tcPr>
            <w:tcW w:w="833" w:type="dxa"/>
            <w:gridSpan w:val="2"/>
          </w:tcPr>
          <w:p w:rsidR="007D48BC" w:rsidRPr="003D6FCD" w:rsidRDefault="007D48BC" w:rsidP="00DE468B">
            <w:pPr>
              <w:autoSpaceDE w:val="0"/>
              <w:autoSpaceDN w:val="0"/>
              <w:adjustRightInd w:val="0"/>
              <w:spacing w:line="240" w:lineRule="atLeast"/>
              <w:rPr>
                <w:rFonts w:ascii="Arial" w:hAnsi="Arial" w:cs="Arial"/>
                <w:color w:val="000000"/>
                <w:sz w:val="18"/>
                <w:szCs w:val="18"/>
              </w:rPr>
            </w:pPr>
          </w:p>
        </w:tc>
      </w:tr>
      <w:tr w:rsidR="007D48BC" w:rsidRPr="003D6FCD">
        <w:tc>
          <w:tcPr>
            <w:tcW w:w="5495" w:type="dxa"/>
          </w:tcPr>
          <w:p w:rsidR="007D48BC" w:rsidRPr="003D6FCD" w:rsidRDefault="007D48BC" w:rsidP="00DE468B">
            <w:pPr>
              <w:autoSpaceDE w:val="0"/>
              <w:autoSpaceDN w:val="0"/>
              <w:adjustRightInd w:val="0"/>
              <w:spacing w:line="240" w:lineRule="atLeast"/>
              <w:rPr>
                <w:rFonts w:ascii="Arial" w:hAnsi="Arial" w:cs="Arial"/>
                <w:color w:val="000000"/>
                <w:sz w:val="18"/>
                <w:szCs w:val="18"/>
              </w:rPr>
            </w:pPr>
            <w:r w:rsidRPr="003D6FCD">
              <w:rPr>
                <w:rFonts w:ascii="Arial" w:hAnsi="Arial" w:cs="Arial"/>
                <w:color w:val="000000"/>
                <w:sz w:val="18"/>
                <w:szCs w:val="18"/>
              </w:rPr>
              <w:t>Financiación por participar en una investigación</w:t>
            </w:r>
          </w:p>
        </w:tc>
        <w:tc>
          <w:tcPr>
            <w:tcW w:w="1276" w:type="dxa"/>
          </w:tcPr>
          <w:p w:rsidR="007D48BC" w:rsidRPr="003D6FCD" w:rsidRDefault="007D48BC" w:rsidP="00DE468B">
            <w:pPr>
              <w:autoSpaceDE w:val="0"/>
              <w:autoSpaceDN w:val="0"/>
              <w:adjustRightInd w:val="0"/>
              <w:spacing w:line="240" w:lineRule="atLeast"/>
              <w:rPr>
                <w:rFonts w:ascii="Arial" w:hAnsi="Arial" w:cs="Arial"/>
                <w:color w:val="000000"/>
                <w:sz w:val="18"/>
                <w:szCs w:val="18"/>
              </w:rPr>
            </w:pPr>
          </w:p>
        </w:tc>
        <w:tc>
          <w:tcPr>
            <w:tcW w:w="1275" w:type="dxa"/>
          </w:tcPr>
          <w:p w:rsidR="007D48BC" w:rsidRPr="003D6FCD" w:rsidRDefault="007D48BC" w:rsidP="00DE468B">
            <w:pPr>
              <w:autoSpaceDE w:val="0"/>
              <w:autoSpaceDN w:val="0"/>
              <w:adjustRightInd w:val="0"/>
              <w:spacing w:line="240" w:lineRule="atLeast"/>
              <w:rPr>
                <w:rFonts w:ascii="Arial" w:hAnsi="Arial" w:cs="Arial"/>
                <w:color w:val="000000"/>
                <w:sz w:val="18"/>
                <w:szCs w:val="18"/>
              </w:rPr>
            </w:pPr>
          </w:p>
        </w:tc>
        <w:tc>
          <w:tcPr>
            <w:tcW w:w="833" w:type="dxa"/>
            <w:gridSpan w:val="2"/>
          </w:tcPr>
          <w:p w:rsidR="007D48BC" w:rsidRPr="003D6FCD" w:rsidRDefault="007D48BC" w:rsidP="00DE468B">
            <w:pPr>
              <w:autoSpaceDE w:val="0"/>
              <w:autoSpaceDN w:val="0"/>
              <w:adjustRightInd w:val="0"/>
              <w:spacing w:line="240" w:lineRule="atLeast"/>
              <w:rPr>
                <w:rFonts w:ascii="Arial" w:hAnsi="Arial" w:cs="Arial"/>
                <w:color w:val="000000"/>
                <w:sz w:val="18"/>
                <w:szCs w:val="18"/>
              </w:rPr>
            </w:pPr>
          </w:p>
        </w:tc>
      </w:tr>
      <w:tr w:rsidR="007D48BC" w:rsidRPr="003D6FCD">
        <w:tc>
          <w:tcPr>
            <w:tcW w:w="5495" w:type="dxa"/>
          </w:tcPr>
          <w:p w:rsidR="007D48BC" w:rsidRPr="003D6FCD" w:rsidRDefault="007D48BC" w:rsidP="00DE468B">
            <w:pPr>
              <w:autoSpaceDE w:val="0"/>
              <w:autoSpaceDN w:val="0"/>
              <w:adjustRightInd w:val="0"/>
              <w:spacing w:line="240" w:lineRule="atLeast"/>
              <w:rPr>
                <w:rFonts w:ascii="Arial" w:hAnsi="Arial" w:cs="Arial"/>
                <w:color w:val="000000"/>
                <w:sz w:val="18"/>
                <w:szCs w:val="18"/>
              </w:rPr>
            </w:pPr>
            <w:r w:rsidRPr="003D6FCD">
              <w:rPr>
                <w:rFonts w:ascii="Arial" w:hAnsi="Arial" w:cs="Arial"/>
                <w:color w:val="000000"/>
                <w:sz w:val="18"/>
                <w:szCs w:val="18"/>
              </w:rPr>
              <w:t>Consultoría para una compañía farmacéutica/otras tecnologías</w:t>
            </w:r>
          </w:p>
        </w:tc>
        <w:tc>
          <w:tcPr>
            <w:tcW w:w="1276" w:type="dxa"/>
          </w:tcPr>
          <w:p w:rsidR="007D48BC" w:rsidRPr="003D6FCD" w:rsidRDefault="007D48BC" w:rsidP="00DE468B">
            <w:pPr>
              <w:autoSpaceDE w:val="0"/>
              <w:autoSpaceDN w:val="0"/>
              <w:adjustRightInd w:val="0"/>
              <w:spacing w:line="240" w:lineRule="atLeast"/>
              <w:rPr>
                <w:rFonts w:ascii="Arial" w:hAnsi="Arial" w:cs="Arial"/>
                <w:color w:val="000000"/>
                <w:sz w:val="18"/>
                <w:szCs w:val="18"/>
              </w:rPr>
            </w:pPr>
          </w:p>
        </w:tc>
        <w:tc>
          <w:tcPr>
            <w:tcW w:w="1275" w:type="dxa"/>
          </w:tcPr>
          <w:p w:rsidR="007D48BC" w:rsidRPr="003D6FCD" w:rsidRDefault="007D48BC" w:rsidP="00DE468B">
            <w:pPr>
              <w:autoSpaceDE w:val="0"/>
              <w:autoSpaceDN w:val="0"/>
              <w:adjustRightInd w:val="0"/>
              <w:spacing w:line="240" w:lineRule="atLeast"/>
              <w:rPr>
                <w:rFonts w:ascii="Arial" w:hAnsi="Arial" w:cs="Arial"/>
                <w:color w:val="000000"/>
                <w:sz w:val="18"/>
                <w:szCs w:val="18"/>
              </w:rPr>
            </w:pPr>
          </w:p>
        </w:tc>
        <w:tc>
          <w:tcPr>
            <w:tcW w:w="833" w:type="dxa"/>
            <w:gridSpan w:val="2"/>
          </w:tcPr>
          <w:p w:rsidR="007D48BC" w:rsidRPr="003D6FCD" w:rsidRDefault="007D48BC" w:rsidP="00DE468B">
            <w:pPr>
              <w:autoSpaceDE w:val="0"/>
              <w:autoSpaceDN w:val="0"/>
              <w:adjustRightInd w:val="0"/>
              <w:spacing w:line="240" w:lineRule="atLeast"/>
              <w:rPr>
                <w:rFonts w:ascii="Arial" w:hAnsi="Arial" w:cs="Arial"/>
                <w:color w:val="000000"/>
                <w:sz w:val="18"/>
                <w:szCs w:val="18"/>
              </w:rPr>
            </w:pPr>
          </w:p>
        </w:tc>
      </w:tr>
      <w:tr w:rsidR="007D48BC" w:rsidRPr="003D6FCD">
        <w:tc>
          <w:tcPr>
            <w:tcW w:w="5495" w:type="dxa"/>
          </w:tcPr>
          <w:p w:rsidR="007D48BC" w:rsidRPr="003D6FCD" w:rsidRDefault="007D48BC" w:rsidP="00DE468B">
            <w:pPr>
              <w:autoSpaceDE w:val="0"/>
              <w:autoSpaceDN w:val="0"/>
              <w:adjustRightInd w:val="0"/>
              <w:spacing w:line="240" w:lineRule="atLeast"/>
              <w:rPr>
                <w:rFonts w:ascii="Arial" w:hAnsi="Arial" w:cs="Arial"/>
                <w:color w:val="000000"/>
                <w:sz w:val="18"/>
                <w:szCs w:val="18"/>
              </w:rPr>
            </w:pPr>
            <w:r w:rsidRPr="003D6FCD">
              <w:rPr>
                <w:rFonts w:ascii="Arial" w:hAnsi="Arial" w:cs="Arial"/>
                <w:color w:val="000000"/>
                <w:sz w:val="18"/>
                <w:szCs w:val="18"/>
              </w:rPr>
              <w:t>Accionista o con intereses comerciales en una compañía</w:t>
            </w:r>
          </w:p>
        </w:tc>
        <w:tc>
          <w:tcPr>
            <w:tcW w:w="1276" w:type="dxa"/>
          </w:tcPr>
          <w:p w:rsidR="007D48BC" w:rsidRPr="003D6FCD" w:rsidRDefault="007D48BC" w:rsidP="00DE468B">
            <w:pPr>
              <w:autoSpaceDE w:val="0"/>
              <w:autoSpaceDN w:val="0"/>
              <w:adjustRightInd w:val="0"/>
              <w:spacing w:line="240" w:lineRule="atLeast"/>
              <w:rPr>
                <w:rFonts w:ascii="Arial" w:hAnsi="Arial" w:cs="Arial"/>
                <w:color w:val="000000"/>
                <w:sz w:val="18"/>
                <w:szCs w:val="18"/>
              </w:rPr>
            </w:pPr>
          </w:p>
        </w:tc>
        <w:tc>
          <w:tcPr>
            <w:tcW w:w="1275" w:type="dxa"/>
          </w:tcPr>
          <w:p w:rsidR="007D48BC" w:rsidRPr="003D6FCD" w:rsidRDefault="007D48BC" w:rsidP="00DE468B">
            <w:pPr>
              <w:autoSpaceDE w:val="0"/>
              <w:autoSpaceDN w:val="0"/>
              <w:adjustRightInd w:val="0"/>
              <w:spacing w:line="240" w:lineRule="atLeast"/>
              <w:rPr>
                <w:rFonts w:ascii="Arial" w:hAnsi="Arial" w:cs="Arial"/>
                <w:color w:val="000000"/>
                <w:sz w:val="18"/>
                <w:szCs w:val="18"/>
              </w:rPr>
            </w:pPr>
          </w:p>
        </w:tc>
        <w:tc>
          <w:tcPr>
            <w:tcW w:w="833" w:type="dxa"/>
            <w:gridSpan w:val="2"/>
          </w:tcPr>
          <w:p w:rsidR="007D48BC" w:rsidRPr="003D6FCD" w:rsidRDefault="007D48BC" w:rsidP="00DE468B">
            <w:pPr>
              <w:autoSpaceDE w:val="0"/>
              <w:autoSpaceDN w:val="0"/>
              <w:adjustRightInd w:val="0"/>
              <w:spacing w:line="240" w:lineRule="atLeast"/>
              <w:rPr>
                <w:rFonts w:ascii="Arial" w:hAnsi="Arial" w:cs="Arial"/>
                <w:color w:val="000000"/>
                <w:sz w:val="18"/>
                <w:szCs w:val="18"/>
              </w:rPr>
            </w:pPr>
          </w:p>
        </w:tc>
      </w:tr>
      <w:tr w:rsidR="007D48BC" w:rsidRPr="003D6FCD">
        <w:tc>
          <w:tcPr>
            <w:tcW w:w="5495" w:type="dxa"/>
          </w:tcPr>
          <w:p w:rsidR="007D48BC" w:rsidRPr="003D6FCD" w:rsidRDefault="007D48BC" w:rsidP="00DE468B">
            <w:pPr>
              <w:autoSpaceDE w:val="0"/>
              <w:autoSpaceDN w:val="0"/>
              <w:adjustRightInd w:val="0"/>
              <w:spacing w:line="240" w:lineRule="atLeast"/>
              <w:rPr>
                <w:rFonts w:ascii="Arial" w:hAnsi="Arial" w:cs="Arial"/>
                <w:color w:val="000000"/>
                <w:sz w:val="18"/>
                <w:szCs w:val="18"/>
              </w:rPr>
            </w:pPr>
            <w:r w:rsidRPr="003D6FCD">
              <w:rPr>
                <w:rFonts w:ascii="Arial" w:hAnsi="Arial" w:cs="Arial"/>
                <w:color w:val="000000"/>
                <w:sz w:val="18"/>
                <w:szCs w:val="18"/>
              </w:rPr>
              <w:t>Intereses económicos en una empresa privada relacionada con la salud (propietario, empleado, accionista, consulta privada…), que puede ser significativo en relación a la autoría del informe</w:t>
            </w:r>
          </w:p>
        </w:tc>
        <w:tc>
          <w:tcPr>
            <w:tcW w:w="1276" w:type="dxa"/>
          </w:tcPr>
          <w:p w:rsidR="007D48BC" w:rsidRPr="003D6FCD" w:rsidRDefault="007D48BC" w:rsidP="00DE468B">
            <w:pPr>
              <w:autoSpaceDE w:val="0"/>
              <w:autoSpaceDN w:val="0"/>
              <w:adjustRightInd w:val="0"/>
              <w:spacing w:line="240" w:lineRule="atLeast"/>
              <w:rPr>
                <w:rFonts w:ascii="Arial" w:hAnsi="Arial" w:cs="Arial"/>
                <w:color w:val="000000"/>
                <w:sz w:val="18"/>
                <w:szCs w:val="18"/>
              </w:rPr>
            </w:pPr>
          </w:p>
        </w:tc>
        <w:tc>
          <w:tcPr>
            <w:tcW w:w="1275" w:type="dxa"/>
          </w:tcPr>
          <w:p w:rsidR="007D48BC" w:rsidRPr="003D6FCD" w:rsidRDefault="007D48BC" w:rsidP="00DE468B">
            <w:pPr>
              <w:autoSpaceDE w:val="0"/>
              <w:autoSpaceDN w:val="0"/>
              <w:adjustRightInd w:val="0"/>
              <w:spacing w:line="240" w:lineRule="atLeast"/>
              <w:rPr>
                <w:rFonts w:ascii="Arial" w:hAnsi="Arial" w:cs="Arial"/>
                <w:color w:val="000000"/>
                <w:sz w:val="18"/>
                <w:szCs w:val="18"/>
              </w:rPr>
            </w:pPr>
          </w:p>
        </w:tc>
        <w:tc>
          <w:tcPr>
            <w:tcW w:w="833" w:type="dxa"/>
            <w:gridSpan w:val="2"/>
          </w:tcPr>
          <w:p w:rsidR="007D48BC" w:rsidRPr="003D6FCD" w:rsidRDefault="007D48BC" w:rsidP="00DE468B">
            <w:pPr>
              <w:autoSpaceDE w:val="0"/>
              <w:autoSpaceDN w:val="0"/>
              <w:adjustRightInd w:val="0"/>
              <w:spacing w:line="240" w:lineRule="atLeast"/>
              <w:rPr>
                <w:rFonts w:ascii="Arial" w:hAnsi="Arial" w:cs="Arial"/>
                <w:color w:val="000000"/>
                <w:sz w:val="18"/>
                <w:szCs w:val="18"/>
              </w:rPr>
            </w:pPr>
          </w:p>
        </w:tc>
      </w:tr>
      <w:tr w:rsidR="007D48BC" w:rsidRPr="003D6FCD">
        <w:tc>
          <w:tcPr>
            <w:tcW w:w="5495" w:type="dxa"/>
          </w:tcPr>
          <w:p w:rsidR="007D48BC" w:rsidRPr="003D6FCD" w:rsidRDefault="007D48BC" w:rsidP="00DE468B">
            <w:pPr>
              <w:autoSpaceDE w:val="0"/>
              <w:autoSpaceDN w:val="0"/>
              <w:adjustRightInd w:val="0"/>
              <w:spacing w:line="240" w:lineRule="atLeast"/>
              <w:rPr>
                <w:rFonts w:ascii="Arial" w:hAnsi="Arial" w:cs="Arial"/>
                <w:color w:val="000000"/>
                <w:sz w:val="18"/>
                <w:szCs w:val="18"/>
              </w:rPr>
            </w:pPr>
            <w:r w:rsidRPr="003D6FCD">
              <w:rPr>
                <w:rFonts w:ascii="Arial" w:hAnsi="Arial" w:cs="Arial"/>
                <w:color w:val="000000"/>
                <w:sz w:val="18"/>
                <w:szCs w:val="18"/>
              </w:rPr>
              <w:t>Conflictos de intereses de índole no económico que pueden ser significativos en relación a la autoría en la guía</w:t>
            </w:r>
          </w:p>
        </w:tc>
        <w:tc>
          <w:tcPr>
            <w:tcW w:w="1276" w:type="dxa"/>
          </w:tcPr>
          <w:p w:rsidR="007D48BC" w:rsidRPr="003D6FCD" w:rsidRDefault="007D48BC" w:rsidP="00DE468B">
            <w:pPr>
              <w:autoSpaceDE w:val="0"/>
              <w:autoSpaceDN w:val="0"/>
              <w:adjustRightInd w:val="0"/>
              <w:spacing w:line="240" w:lineRule="atLeast"/>
              <w:rPr>
                <w:rFonts w:ascii="Arial" w:hAnsi="Arial" w:cs="Arial"/>
                <w:color w:val="000000"/>
                <w:sz w:val="18"/>
                <w:szCs w:val="18"/>
              </w:rPr>
            </w:pPr>
          </w:p>
        </w:tc>
        <w:tc>
          <w:tcPr>
            <w:tcW w:w="1275" w:type="dxa"/>
          </w:tcPr>
          <w:p w:rsidR="007D48BC" w:rsidRPr="003D6FCD" w:rsidRDefault="007D48BC" w:rsidP="00DE468B">
            <w:pPr>
              <w:autoSpaceDE w:val="0"/>
              <w:autoSpaceDN w:val="0"/>
              <w:adjustRightInd w:val="0"/>
              <w:spacing w:line="240" w:lineRule="atLeast"/>
              <w:rPr>
                <w:rFonts w:ascii="Arial" w:hAnsi="Arial" w:cs="Arial"/>
                <w:color w:val="000000"/>
                <w:sz w:val="18"/>
                <w:szCs w:val="18"/>
              </w:rPr>
            </w:pPr>
          </w:p>
        </w:tc>
        <w:tc>
          <w:tcPr>
            <w:tcW w:w="833" w:type="dxa"/>
            <w:gridSpan w:val="2"/>
          </w:tcPr>
          <w:p w:rsidR="007D48BC" w:rsidRPr="003D6FCD" w:rsidRDefault="007D48BC" w:rsidP="00DE468B">
            <w:pPr>
              <w:autoSpaceDE w:val="0"/>
              <w:autoSpaceDN w:val="0"/>
              <w:adjustRightInd w:val="0"/>
              <w:spacing w:line="240" w:lineRule="atLeast"/>
              <w:rPr>
                <w:rFonts w:ascii="Arial" w:hAnsi="Arial" w:cs="Arial"/>
                <w:color w:val="000000"/>
                <w:sz w:val="18"/>
                <w:szCs w:val="18"/>
              </w:rPr>
            </w:pPr>
          </w:p>
        </w:tc>
      </w:tr>
      <w:tr w:rsidR="007D48BC" w:rsidRPr="006F4C4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gridAfter w:val="1"/>
          <w:wAfter w:w="372" w:type="dxa"/>
          <w:trHeight w:val="226"/>
        </w:trPr>
        <w:tc>
          <w:tcPr>
            <w:tcW w:w="8503" w:type="dxa"/>
            <w:gridSpan w:val="4"/>
          </w:tcPr>
          <w:p w:rsidR="007D48BC" w:rsidRPr="006F4C4F" w:rsidRDefault="007D48BC" w:rsidP="00DE468B">
            <w:pPr>
              <w:autoSpaceDE w:val="0"/>
              <w:autoSpaceDN w:val="0"/>
              <w:adjustRightInd w:val="0"/>
              <w:spacing w:line="240" w:lineRule="atLeast"/>
              <w:jc w:val="both"/>
              <w:rPr>
                <w:rFonts w:ascii="Arial" w:hAnsi="Arial" w:cs="Arial"/>
                <w:color w:val="FF0000"/>
                <w:sz w:val="18"/>
                <w:szCs w:val="18"/>
              </w:rPr>
            </w:pPr>
          </w:p>
        </w:tc>
      </w:tr>
    </w:tbl>
    <w:p w:rsidR="007D48BC" w:rsidRDefault="007D48BC" w:rsidP="006A074E">
      <w:pPr>
        <w:autoSpaceDE w:val="0"/>
        <w:autoSpaceDN w:val="0"/>
        <w:adjustRightInd w:val="0"/>
        <w:spacing w:line="240" w:lineRule="atLeast"/>
        <w:rPr>
          <w:rStyle w:val="A6"/>
          <w:rFonts w:ascii="Arial" w:hAnsi="Arial" w:cs="Arial"/>
          <w:b/>
          <w:bCs/>
          <w:sz w:val="20"/>
          <w:szCs w:val="20"/>
        </w:rPr>
      </w:pPr>
      <w:r w:rsidRPr="00707E7D">
        <w:rPr>
          <w:rStyle w:val="A6"/>
          <w:rFonts w:ascii="Arial" w:hAnsi="Arial" w:cs="Arial"/>
          <w:b/>
          <w:bCs/>
          <w:sz w:val="20"/>
          <w:szCs w:val="20"/>
        </w:rPr>
        <w:t>B- Intereses no personales</w:t>
      </w:r>
      <w:r>
        <w:rPr>
          <w:rStyle w:val="A6"/>
          <w:rFonts w:ascii="Arial" w:hAnsi="Arial" w:cs="Arial"/>
          <w:b/>
          <w:bCs/>
          <w:sz w:val="20"/>
          <w:szCs w:val="20"/>
        </w:rPr>
        <w:t xml:space="preserve"> (</w:t>
      </w:r>
      <w:r w:rsidRPr="00707E7D">
        <w:rPr>
          <w:rFonts w:ascii="Arial" w:hAnsi="Arial" w:cs="Arial"/>
          <w:color w:val="000000"/>
        </w:rPr>
        <w:t>En caso afirmativo especificar</w:t>
      </w:r>
      <w:r>
        <w:rPr>
          <w:rStyle w:val="A6"/>
          <w:rFonts w:ascii="Arial" w:hAnsi="Arial" w:cs="Arial"/>
          <w:b/>
          <w:bCs/>
          <w:sz w:val="20"/>
          <w:szCs w:val="20"/>
        </w:rPr>
        <w:t xml:space="preserve">): </w:t>
      </w:r>
      <w:r>
        <w:rPr>
          <w:rStyle w:val="A6"/>
          <w:rFonts w:ascii="Arial" w:hAnsi="Arial" w:cs="Arial"/>
          <w:b/>
          <w:bCs/>
          <w:sz w:val="20"/>
          <w:szCs w:val="20"/>
        </w:rPr>
        <w:tab/>
      </w:r>
      <w:r>
        <w:rPr>
          <w:rStyle w:val="A6"/>
          <w:rFonts w:ascii="Arial" w:hAnsi="Arial" w:cs="Arial"/>
          <w:b/>
          <w:bCs/>
          <w:sz w:val="20"/>
          <w:szCs w:val="20"/>
        </w:rPr>
        <w:tab/>
      </w:r>
      <w:r>
        <w:rPr>
          <w:rStyle w:val="A6"/>
          <w:rFonts w:ascii="Arial" w:hAnsi="Arial" w:cs="Arial"/>
          <w:b/>
          <w:bCs/>
          <w:sz w:val="20"/>
          <w:szCs w:val="20"/>
        </w:rPr>
        <w:sym w:font="Wingdings" w:char="F070"/>
      </w:r>
      <w:r>
        <w:rPr>
          <w:rStyle w:val="A6"/>
          <w:rFonts w:ascii="Arial" w:hAnsi="Arial" w:cs="Arial"/>
          <w:b/>
          <w:bCs/>
          <w:sz w:val="20"/>
          <w:szCs w:val="20"/>
        </w:rPr>
        <w:t>SI</w:t>
      </w:r>
      <w:r>
        <w:rPr>
          <w:rStyle w:val="A6"/>
          <w:rFonts w:ascii="Arial" w:hAnsi="Arial" w:cs="Arial"/>
          <w:b/>
          <w:bCs/>
          <w:sz w:val="20"/>
          <w:szCs w:val="20"/>
        </w:rPr>
        <w:tab/>
      </w:r>
      <w:r>
        <w:rPr>
          <w:rStyle w:val="A6"/>
          <w:rFonts w:ascii="Arial" w:hAnsi="Arial" w:cs="Arial"/>
          <w:b/>
          <w:bCs/>
          <w:sz w:val="20"/>
          <w:szCs w:val="20"/>
        </w:rPr>
        <w:tab/>
      </w:r>
      <w:r>
        <w:rPr>
          <w:rStyle w:val="A6"/>
          <w:rFonts w:ascii="Arial" w:hAnsi="Arial" w:cs="Arial"/>
          <w:b/>
          <w:bCs/>
          <w:sz w:val="20"/>
          <w:szCs w:val="20"/>
        </w:rPr>
        <w:sym w:font="Wingdings" w:char="F070"/>
      </w:r>
      <w:r w:rsidRPr="00707E7D">
        <w:rPr>
          <w:rStyle w:val="A6"/>
          <w:rFonts w:ascii="Arial" w:hAnsi="Arial" w:cs="Arial"/>
          <w:b/>
          <w:bCs/>
          <w:sz w:val="20"/>
          <w:szCs w:val="20"/>
        </w:rPr>
        <w:t>NO</w:t>
      </w:r>
    </w:p>
    <w:p w:rsidR="007D48BC" w:rsidRPr="00707E7D" w:rsidRDefault="007D48BC" w:rsidP="006A074E">
      <w:pPr>
        <w:autoSpaceDE w:val="0"/>
        <w:autoSpaceDN w:val="0"/>
        <w:adjustRightInd w:val="0"/>
        <w:spacing w:line="240" w:lineRule="atLeast"/>
        <w:rPr>
          <w:rFonts w:ascii="Arial" w:hAnsi="Arial" w:cs="Arial"/>
          <w:b/>
          <w:bCs/>
          <w:color w:val="000000"/>
        </w:rPr>
      </w:pPr>
      <w:r w:rsidRPr="00707E7D">
        <w:rPr>
          <w:rStyle w:val="A6"/>
          <w:rFonts w:ascii="Arial" w:hAnsi="Arial" w:cs="Arial"/>
          <w:b/>
          <w:bCs/>
          <w:sz w:val="20"/>
          <w:szCs w:val="20"/>
        </w:rPr>
        <w:t xml:space="preserve"> </w:t>
      </w:r>
    </w:p>
    <w:tbl>
      <w:tblPr>
        <w:tblW w:w="9039" w:type="dxa"/>
        <w:tblInd w:w="-106" w:type="dxa"/>
        <w:tblLayout w:type="fixed"/>
        <w:tblLook w:val="0000"/>
      </w:tblPr>
      <w:tblGrid>
        <w:gridCol w:w="9039"/>
      </w:tblGrid>
      <w:tr w:rsidR="007D48BC" w:rsidRPr="00707E7D">
        <w:trPr>
          <w:trHeight w:val="226"/>
        </w:trPr>
        <w:tc>
          <w:tcPr>
            <w:tcW w:w="9039" w:type="dxa"/>
          </w:tcPr>
          <w:p w:rsidR="007D48BC" w:rsidRPr="00707E7D" w:rsidRDefault="007D48BC" w:rsidP="00DE468B">
            <w:pPr>
              <w:pStyle w:val="Pa1"/>
              <w:rPr>
                <w:rStyle w:val="A6"/>
                <w:rFonts w:ascii="Arial" w:hAnsi="Arial" w:cs="Arial"/>
                <w:sz w:val="20"/>
                <w:szCs w:val="20"/>
              </w:rPr>
            </w:pPr>
          </w:p>
          <w:tbl>
            <w:tblPr>
              <w:tblW w:w="8879" w:type="dxa"/>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495"/>
              <w:gridCol w:w="1276"/>
              <w:gridCol w:w="1275"/>
              <w:gridCol w:w="833"/>
            </w:tblGrid>
            <w:tr w:rsidR="007D48BC" w:rsidRPr="003D6FCD">
              <w:tc>
                <w:tcPr>
                  <w:tcW w:w="5495" w:type="dxa"/>
                  <w:tcBorders>
                    <w:top w:val="single" w:sz="4" w:space="0" w:color="auto"/>
                    <w:left w:val="single" w:sz="4" w:space="0" w:color="auto"/>
                    <w:bottom w:val="single" w:sz="4" w:space="0" w:color="auto"/>
                    <w:right w:val="single" w:sz="4" w:space="0" w:color="auto"/>
                  </w:tcBorders>
                </w:tcPr>
                <w:p w:rsidR="007D48BC" w:rsidRPr="003D6FCD" w:rsidRDefault="007D48BC" w:rsidP="00DE468B">
                  <w:pPr>
                    <w:autoSpaceDE w:val="0"/>
                    <w:autoSpaceDN w:val="0"/>
                    <w:adjustRightInd w:val="0"/>
                    <w:spacing w:line="240" w:lineRule="atLeast"/>
                    <w:rPr>
                      <w:rFonts w:ascii="Arial" w:hAnsi="Arial" w:cs="Arial"/>
                      <w:color w:val="000000"/>
                      <w:sz w:val="18"/>
                      <w:szCs w:val="18"/>
                    </w:rPr>
                  </w:pPr>
                </w:p>
              </w:tc>
              <w:tc>
                <w:tcPr>
                  <w:tcW w:w="1276" w:type="dxa"/>
                  <w:tcBorders>
                    <w:top w:val="single" w:sz="4" w:space="0" w:color="auto"/>
                    <w:left w:val="single" w:sz="4" w:space="0" w:color="auto"/>
                    <w:bottom w:val="single" w:sz="4" w:space="0" w:color="auto"/>
                    <w:right w:val="single" w:sz="4" w:space="0" w:color="auto"/>
                  </w:tcBorders>
                </w:tcPr>
                <w:p w:rsidR="007D48BC" w:rsidRPr="003D6FCD" w:rsidRDefault="007D48BC" w:rsidP="00DE468B">
                  <w:pPr>
                    <w:autoSpaceDE w:val="0"/>
                    <w:autoSpaceDN w:val="0"/>
                    <w:adjustRightInd w:val="0"/>
                    <w:spacing w:line="240" w:lineRule="atLeast"/>
                    <w:rPr>
                      <w:rFonts w:ascii="Arial" w:hAnsi="Arial" w:cs="Arial"/>
                      <w:color w:val="000000"/>
                      <w:sz w:val="18"/>
                      <w:szCs w:val="18"/>
                    </w:rPr>
                  </w:pPr>
                  <w:r w:rsidRPr="003D6FCD">
                    <w:rPr>
                      <w:rFonts w:ascii="Arial" w:hAnsi="Arial" w:cs="Arial"/>
                      <w:color w:val="000000"/>
                      <w:sz w:val="18"/>
                      <w:szCs w:val="18"/>
                    </w:rPr>
                    <w:t>Actividad</w:t>
                  </w:r>
                </w:p>
              </w:tc>
              <w:tc>
                <w:tcPr>
                  <w:tcW w:w="1275" w:type="dxa"/>
                  <w:tcBorders>
                    <w:top w:val="single" w:sz="4" w:space="0" w:color="auto"/>
                    <w:left w:val="single" w:sz="4" w:space="0" w:color="auto"/>
                    <w:bottom w:val="single" w:sz="4" w:space="0" w:color="auto"/>
                    <w:right w:val="single" w:sz="4" w:space="0" w:color="auto"/>
                  </w:tcBorders>
                </w:tcPr>
                <w:p w:rsidR="007D48BC" w:rsidRPr="003D6FCD" w:rsidRDefault="007D48BC" w:rsidP="00DE468B">
                  <w:pPr>
                    <w:autoSpaceDE w:val="0"/>
                    <w:autoSpaceDN w:val="0"/>
                    <w:adjustRightInd w:val="0"/>
                    <w:spacing w:line="240" w:lineRule="atLeast"/>
                    <w:rPr>
                      <w:rFonts w:ascii="Arial" w:hAnsi="Arial" w:cs="Arial"/>
                      <w:color w:val="000000"/>
                      <w:sz w:val="18"/>
                      <w:szCs w:val="18"/>
                    </w:rPr>
                  </w:pPr>
                  <w:r w:rsidRPr="003D6FCD">
                    <w:rPr>
                      <w:rFonts w:ascii="Arial" w:hAnsi="Arial" w:cs="Arial"/>
                      <w:color w:val="000000"/>
                      <w:sz w:val="18"/>
                      <w:szCs w:val="18"/>
                    </w:rPr>
                    <w:t>Institución</w:t>
                  </w:r>
                </w:p>
              </w:tc>
              <w:tc>
                <w:tcPr>
                  <w:tcW w:w="833" w:type="dxa"/>
                  <w:tcBorders>
                    <w:top w:val="single" w:sz="4" w:space="0" w:color="auto"/>
                    <w:left w:val="single" w:sz="4" w:space="0" w:color="auto"/>
                    <w:bottom w:val="single" w:sz="4" w:space="0" w:color="auto"/>
                    <w:right w:val="single" w:sz="4" w:space="0" w:color="auto"/>
                  </w:tcBorders>
                </w:tcPr>
                <w:p w:rsidR="007D48BC" w:rsidRPr="003D6FCD" w:rsidRDefault="007D48BC" w:rsidP="00DE468B">
                  <w:pPr>
                    <w:autoSpaceDE w:val="0"/>
                    <w:autoSpaceDN w:val="0"/>
                    <w:adjustRightInd w:val="0"/>
                    <w:spacing w:line="240" w:lineRule="atLeast"/>
                    <w:rPr>
                      <w:rFonts w:ascii="Arial" w:hAnsi="Arial" w:cs="Arial"/>
                      <w:color w:val="000000"/>
                      <w:sz w:val="18"/>
                      <w:szCs w:val="18"/>
                    </w:rPr>
                  </w:pPr>
                  <w:r w:rsidRPr="003D6FCD">
                    <w:rPr>
                      <w:rFonts w:ascii="Arial" w:hAnsi="Arial" w:cs="Arial"/>
                      <w:color w:val="000000"/>
                      <w:sz w:val="18"/>
                      <w:szCs w:val="18"/>
                    </w:rPr>
                    <w:t>Fecha</w:t>
                  </w:r>
                </w:p>
              </w:tc>
            </w:tr>
            <w:tr w:rsidR="007D48BC" w:rsidRPr="003D6FCD">
              <w:tc>
                <w:tcPr>
                  <w:tcW w:w="5495" w:type="dxa"/>
                  <w:tcBorders>
                    <w:top w:val="single" w:sz="4" w:space="0" w:color="auto"/>
                    <w:left w:val="single" w:sz="4" w:space="0" w:color="auto"/>
                    <w:bottom w:val="single" w:sz="4" w:space="0" w:color="auto"/>
                    <w:right w:val="single" w:sz="4" w:space="0" w:color="auto"/>
                  </w:tcBorders>
                </w:tcPr>
                <w:p w:rsidR="007D48BC" w:rsidRPr="003D6FCD" w:rsidRDefault="007D48BC" w:rsidP="00DE468B">
                  <w:pPr>
                    <w:autoSpaceDE w:val="0"/>
                    <w:autoSpaceDN w:val="0"/>
                    <w:adjustRightInd w:val="0"/>
                    <w:spacing w:line="240" w:lineRule="atLeast"/>
                    <w:rPr>
                      <w:rFonts w:ascii="Arial" w:hAnsi="Arial" w:cs="Arial"/>
                      <w:color w:val="000000"/>
                      <w:sz w:val="18"/>
                      <w:szCs w:val="18"/>
                    </w:rPr>
                  </w:pPr>
                  <w:r w:rsidRPr="003D6FCD">
                    <w:rPr>
                      <w:rStyle w:val="A6"/>
                      <w:rFonts w:ascii="Arial" w:hAnsi="Arial" w:cs="Arial"/>
                    </w:rPr>
                    <w:t>Financiación o ayudas económicas para la creación de la unidad o servicio</w:t>
                  </w:r>
                </w:p>
              </w:tc>
              <w:tc>
                <w:tcPr>
                  <w:tcW w:w="1276" w:type="dxa"/>
                  <w:tcBorders>
                    <w:top w:val="single" w:sz="4" w:space="0" w:color="auto"/>
                    <w:left w:val="single" w:sz="4" w:space="0" w:color="auto"/>
                    <w:bottom w:val="single" w:sz="4" w:space="0" w:color="auto"/>
                    <w:right w:val="single" w:sz="4" w:space="0" w:color="auto"/>
                  </w:tcBorders>
                </w:tcPr>
                <w:p w:rsidR="007D48BC" w:rsidRPr="003D6FCD" w:rsidRDefault="007D48BC" w:rsidP="00DE468B">
                  <w:pPr>
                    <w:autoSpaceDE w:val="0"/>
                    <w:autoSpaceDN w:val="0"/>
                    <w:adjustRightInd w:val="0"/>
                    <w:spacing w:line="240" w:lineRule="atLeast"/>
                    <w:rPr>
                      <w:rFonts w:ascii="Arial" w:hAnsi="Arial" w:cs="Arial"/>
                      <w:color w:val="000000"/>
                      <w:sz w:val="18"/>
                      <w:szCs w:val="18"/>
                    </w:rPr>
                  </w:pPr>
                </w:p>
              </w:tc>
              <w:tc>
                <w:tcPr>
                  <w:tcW w:w="1275" w:type="dxa"/>
                  <w:tcBorders>
                    <w:top w:val="single" w:sz="4" w:space="0" w:color="auto"/>
                    <w:left w:val="single" w:sz="4" w:space="0" w:color="auto"/>
                    <w:bottom w:val="single" w:sz="4" w:space="0" w:color="auto"/>
                    <w:right w:val="single" w:sz="4" w:space="0" w:color="auto"/>
                  </w:tcBorders>
                </w:tcPr>
                <w:p w:rsidR="007D48BC" w:rsidRPr="003D6FCD" w:rsidRDefault="007D48BC" w:rsidP="00DE468B">
                  <w:pPr>
                    <w:autoSpaceDE w:val="0"/>
                    <w:autoSpaceDN w:val="0"/>
                    <w:adjustRightInd w:val="0"/>
                    <w:spacing w:line="240" w:lineRule="atLeast"/>
                    <w:rPr>
                      <w:rFonts w:ascii="Arial" w:hAnsi="Arial" w:cs="Arial"/>
                      <w:color w:val="000000"/>
                      <w:sz w:val="18"/>
                      <w:szCs w:val="18"/>
                    </w:rPr>
                  </w:pPr>
                </w:p>
              </w:tc>
              <w:tc>
                <w:tcPr>
                  <w:tcW w:w="833" w:type="dxa"/>
                  <w:tcBorders>
                    <w:top w:val="single" w:sz="4" w:space="0" w:color="auto"/>
                    <w:left w:val="single" w:sz="4" w:space="0" w:color="auto"/>
                    <w:bottom w:val="single" w:sz="4" w:space="0" w:color="auto"/>
                    <w:right w:val="single" w:sz="4" w:space="0" w:color="auto"/>
                  </w:tcBorders>
                </w:tcPr>
                <w:p w:rsidR="007D48BC" w:rsidRPr="003D6FCD" w:rsidRDefault="007D48BC" w:rsidP="00DE468B">
                  <w:pPr>
                    <w:autoSpaceDE w:val="0"/>
                    <w:autoSpaceDN w:val="0"/>
                    <w:adjustRightInd w:val="0"/>
                    <w:spacing w:line="240" w:lineRule="atLeast"/>
                    <w:rPr>
                      <w:rFonts w:ascii="Arial" w:hAnsi="Arial" w:cs="Arial"/>
                      <w:color w:val="000000"/>
                      <w:sz w:val="18"/>
                      <w:szCs w:val="18"/>
                    </w:rPr>
                  </w:pPr>
                </w:p>
              </w:tc>
            </w:tr>
            <w:tr w:rsidR="007D48BC" w:rsidRPr="003D6FCD">
              <w:tc>
                <w:tcPr>
                  <w:tcW w:w="5495" w:type="dxa"/>
                  <w:tcBorders>
                    <w:top w:val="single" w:sz="4" w:space="0" w:color="auto"/>
                    <w:left w:val="single" w:sz="4" w:space="0" w:color="auto"/>
                    <w:bottom w:val="single" w:sz="4" w:space="0" w:color="auto"/>
                    <w:right w:val="single" w:sz="4" w:space="0" w:color="auto"/>
                  </w:tcBorders>
                </w:tcPr>
                <w:p w:rsidR="007D48BC" w:rsidRPr="003D6FCD" w:rsidRDefault="007D48BC" w:rsidP="00DE468B">
                  <w:pPr>
                    <w:autoSpaceDE w:val="0"/>
                    <w:autoSpaceDN w:val="0"/>
                    <w:adjustRightInd w:val="0"/>
                    <w:spacing w:line="240" w:lineRule="atLeast"/>
                    <w:rPr>
                      <w:rFonts w:ascii="Arial" w:hAnsi="Arial" w:cs="Arial"/>
                      <w:color w:val="000000"/>
                      <w:sz w:val="18"/>
                      <w:szCs w:val="18"/>
                    </w:rPr>
                  </w:pPr>
                  <w:r w:rsidRPr="003D6FCD">
                    <w:rPr>
                      <w:rStyle w:val="A6"/>
                      <w:rFonts w:ascii="Arial" w:hAnsi="Arial" w:cs="Arial"/>
                    </w:rPr>
                    <w:t>Dotación significativa de material a la unidad o servicio</w:t>
                  </w:r>
                </w:p>
              </w:tc>
              <w:tc>
                <w:tcPr>
                  <w:tcW w:w="1276" w:type="dxa"/>
                  <w:tcBorders>
                    <w:top w:val="single" w:sz="4" w:space="0" w:color="auto"/>
                    <w:left w:val="single" w:sz="4" w:space="0" w:color="auto"/>
                    <w:bottom w:val="single" w:sz="4" w:space="0" w:color="auto"/>
                    <w:right w:val="single" w:sz="4" w:space="0" w:color="auto"/>
                  </w:tcBorders>
                </w:tcPr>
                <w:p w:rsidR="007D48BC" w:rsidRPr="003D6FCD" w:rsidRDefault="007D48BC" w:rsidP="00DE468B">
                  <w:pPr>
                    <w:autoSpaceDE w:val="0"/>
                    <w:autoSpaceDN w:val="0"/>
                    <w:adjustRightInd w:val="0"/>
                    <w:spacing w:line="240" w:lineRule="atLeast"/>
                    <w:rPr>
                      <w:rFonts w:ascii="Arial" w:hAnsi="Arial" w:cs="Arial"/>
                      <w:color w:val="000000"/>
                      <w:sz w:val="18"/>
                      <w:szCs w:val="18"/>
                    </w:rPr>
                  </w:pPr>
                </w:p>
              </w:tc>
              <w:tc>
                <w:tcPr>
                  <w:tcW w:w="1275" w:type="dxa"/>
                  <w:tcBorders>
                    <w:top w:val="single" w:sz="4" w:space="0" w:color="auto"/>
                    <w:left w:val="single" w:sz="4" w:space="0" w:color="auto"/>
                    <w:bottom w:val="single" w:sz="4" w:space="0" w:color="auto"/>
                    <w:right w:val="single" w:sz="4" w:space="0" w:color="auto"/>
                  </w:tcBorders>
                </w:tcPr>
                <w:p w:rsidR="007D48BC" w:rsidRPr="003D6FCD" w:rsidRDefault="007D48BC" w:rsidP="00DE468B">
                  <w:pPr>
                    <w:autoSpaceDE w:val="0"/>
                    <w:autoSpaceDN w:val="0"/>
                    <w:adjustRightInd w:val="0"/>
                    <w:spacing w:line="240" w:lineRule="atLeast"/>
                    <w:rPr>
                      <w:rFonts w:ascii="Arial" w:hAnsi="Arial" w:cs="Arial"/>
                      <w:color w:val="000000"/>
                      <w:sz w:val="18"/>
                      <w:szCs w:val="18"/>
                    </w:rPr>
                  </w:pPr>
                </w:p>
              </w:tc>
              <w:tc>
                <w:tcPr>
                  <w:tcW w:w="833" w:type="dxa"/>
                  <w:tcBorders>
                    <w:top w:val="single" w:sz="4" w:space="0" w:color="auto"/>
                    <w:left w:val="single" w:sz="4" w:space="0" w:color="auto"/>
                    <w:bottom w:val="single" w:sz="4" w:space="0" w:color="auto"/>
                    <w:right w:val="single" w:sz="4" w:space="0" w:color="auto"/>
                  </w:tcBorders>
                </w:tcPr>
                <w:p w:rsidR="007D48BC" w:rsidRPr="003D6FCD" w:rsidRDefault="007D48BC" w:rsidP="00DE468B">
                  <w:pPr>
                    <w:autoSpaceDE w:val="0"/>
                    <w:autoSpaceDN w:val="0"/>
                    <w:adjustRightInd w:val="0"/>
                    <w:spacing w:line="240" w:lineRule="atLeast"/>
                    <w:rPr>
                      <w:rFonts w:ascii="Arial" w:hAnsi="Arial" w:cs="Arial"/>
                      <w:color w:val="000000"/>
                      <w:sz w:val="18"/>
                      <w:szCs w:val="18"/>
                    </w:rPr>
                  </w:pPr>
                </w:p>
              </w:tc>
            </w:tr>
            <w:tr w:rsidR="007D48BC" w:rsidRPr="003D6FCD">
              <w:tc>
                <w:tcPr>
                  <w:tcW w:w="5495" w:type="dxa"/>
                  <w:tcBorders>
                    <w:top w:val="single" w:sz="4" w:space="0" w:color="auto"/>
                    <w:left w:val="single" w:sz="4" w:space="0" w:color="auto"/>
                    <w:bottom w:val="single" w:sz="4" w:space="0" w:color="auto"/>
                    <w:right w:val="single" w:sz="4" w:space="0" w:color="auto"/>
                  </w:tcBorders>
                </w:tcPr>
                <w:p w:rsidR="007D48BC" w:rsidRPr="003D6FCD" w:rsidRDefault="007D48BC" w:rsidP="00DE468B">
                  <w:pPr>
                    <w:autoSpaceDE w:val="0"/>
                    <w:autoSpaceDN w:val="0"/>
                    <w:adjustRightInd w:val="0"/>
                    <w:spacing w:line="240" w:lineRule="atLeast"/>
                    <w:rPr>
                      <w:rFonts w:ascii="Arial" w:hAnsi="Arial" w:cs="Arial"/>
                      <w:color w:val="000000"/>
                      <w:sz w:val="18"/>
                      <w:szCs w:val="18"/>
                    </w:rPr>
                  </w:pPr>
                  <w:r w:rsidRPr="003D6FCD">
                    <w:rPr>
                      <w:rStyle w:val="A6"/>
                      <w:rFonts w:ascii="Arial" w:hAnsi="Arial" w:cs="Arial"/>
                    </w:rPr>
                    <w:t>Contratación o ayudas económicas para contratar personal en la unidad o servicio</w:t>
                  </w:r>
                </w:p>
              </w:tc>
              <w:tc>
                <w:tcPr>
                  <w:tcW w:w="1276" w:type="dxa"/>
                  <w:tcBorders>
                    <w:top w:val="single" w:sz="4" w:space="0" w:color="auto"/>
                    <w:left w:val="single" w:sz="4" w:space="0" w:color="auto"/>
                    <w:bottom w:val="single" w:sz="4" w:space="0" w:color="auto"/>
                    <w:right w:val="single" w:sz="4" w:space="0" w:color="auto"/>
                  </w:tcBorders>
                </w:tcPr>
                <w:p w:rsidR="007D48BC" w:rsidRPr="003D6FCD" w:rsidRDefault="007D48BC" w:rsidP="00DE468B">
                  <w:pPr>
                    <w:autoSpaceDE w:val="0"/>
                    <w:autoSpaceDN w:val="0"/>
                    <w:adjustRightInd w:val="0"/>
                    <w:spacing w:line="240" w:lineRule="atLeast"/>
                    <w:rPr>
                      <w:rFonts w:ascii="Arial" w:hAnsi="Arial" w:cs="Arial"/>
                      <w:color w:val="000000"/>
                      <w:sz w:val="18"/>
                      <w:szCs w:val="18"/>
                    </w:rPr>
                  </w:pPr>
                </w:p>
              </w:tc>
              <w:tc>
                <w:tcPr>
                  <w:tcW w:w="1275" w:type="dxa"/>
                  <w:tcBorders>
                    <w:top w:val="single" w:sz="4" w:space="0" w:color="auto"/>
                    <w:left w:val="single" w:sz="4" w:space="0" w:color="auto"/>
                    <w:bottom w:val="single" w:sz="4" w:space="0" w:color="auto"/>
                    <w:right w:val="single" w:sz="4" w:space="0" w:color="auto"/>
                  </w:tcBorders>
                </w:tcPr>
                <w:p w:rsidR="007D48BC" w:rsidRPr="003D6FCD" w:rsidRDefault="007D48BC" w:rsidP="00DE468B">
                  <w:pPr>
                    <w:autoSpaceDE w:val="0"/>
                    <w:autoSpaceDN w:val="0"/>
                    <w:adjustRightInd w:val="0"/>
                    <w:spacing w:line="240" w:lineRule="atLeast"/>
                    <w:rPr>
                      <w:rFonts w:ascii="Arial" w:hAnsi="Arial" w:cs="Arial"/>
                      <w:color w:val="000000"/>
                      <w:sz w:val="18"/>
                      <w:szCs w:val="18"/>
                    </w:rPr>
                  </w:pPr>
                </w:p>
              </w:tc>
              <w:tc>
                <w:tcPr>
                  <w:tcW w:w="833" w:type="dxa"/>
                  <w:tcBorders>
                    <w:top w:val="single" w:sz="4" w:space="0" w:color="auto"/>
                    <w:left w:val="single" w:sz="4" w:space="0" w:color="auto"/>
                    <w:bottom w:val="single" w:sz="4" w:space="0" w:color="auto"/>
                    <w:right w:val="single" w:sz="4" w:space="0" w:color="auto"/>
                  </w:tcBorders>
                </w:tcPr>
                <w:p w:rsidR="007D48BC" w:rsidRPr="003D6FCD" w:rsidRDefault="007D48BC" w:rsidP="00DE468B">
                  <w:pPr>
                    <w:autoSpaceDE w:val="0"/>
                    <w:autoSpaceDN w:val="0"/>
                    <w:adjustRightInd w:val="0"/>
                    <w:spacing w:line="240" w:lineRule="atLeast"/>
                    <w:rPr>
                      <w:rFonts w:ascii="Arial" w:hAnsi="Arial" w:cs="Arial"/>
                      <w:color w:val="000000"/>
                      <w:sz w:val="18"/>
                      <w:szCs w:val="18"/>
                    </w:rPr>
                  </w:pPr>
                </w:p>
              </w:tc>
            </w:tr>
            <w:tr w:rsidR="007D48BC" w:rsidRPr="003D6FCD">
              <w:tc>
                <w:tcPr>
                  <w:tcW w:w="5495" w:type="dxa"/>
                  <w:tcBorders>
                    <w:top w:val="single" w:sz="4" w:space="0" w:color="auto"/>
                    <w:left w:val="single" w:sz="4" w:space="0" w:color="auto"/>
                    <w:bottom w:val="single" w:sz="4" w:space="0" w:color="auto"/>
                    <w:right w:val="single" w:sz="4" w:space="0" w:color="auto"/>
                  </w:tcBorders>
                </w:tcPr>
                <w:p w:rsidR="007D48BC" w:rsidRPr="003D6FCD" w:rsidRDefault="007D48BC" w:rsidP="00DE468B">
                  <w:pPr>
                    <w:autoSpaceDE w:val="0"/>
                    <w:autoSpaceDN w:val="0"/>
                    <w:adjustRightInd w:val="0"/>
                    <w:spacing w:line="240" w:lineRule="atLeast"/>
                    <w:rPr>
                      <w:rFonts w:ascii="Arial" w:hAnsi="Arial" w:cs="Arial"/>
                      <w:color w:val="000000"/>
                      <w:sz w:val="18"/>
                      <w:szCs w:val="18"/>
                    </w:rPr>
                  </w:pPr>
                  <w:r w:rsidRPr="003D6FCD">
                    <w:rPr>
                      <w:rStyle w:val="A6"/>
                      <w:rFonts w:ascii="Arial" w:hAnsi="Arial" w:cs="Arial"/>
                    </w:rPr>
                    <w:t>Ayuda económica para la financiación de una investigación</w:t>
                  </w:r>
                </w:p>
              </w:tc>
              <w:tc>
                <w:tcPr>
                  <w:tcW w:w="1276" w:type="dxa"/>
                  <w:tcBorders>
                    <w:top w:val="single" w:sz="4" w:space="0" w:color="auto"/>
                    <w:left w:val="single" w:sz="4" w:space="0" w:color="auto"/>
                    <w:bottom w:val="single" w:sz="4" w:space="0" w:color="auto"/>
                    <w:right w:val="single" w:sz="4" w:space="0" w:color="auto"/>
                  </w:tcBorders>
                </w:tcPr>
                <w:p w:rsidR="007D48BC" w:rsidRPr="003D6FCD" w:rsidRDefault="007D48BC" w:rsidP="00DE468B">
                  <w:pPr>
                    <w:autoSpaceDE w:val="0"/>
                    <w:autoSpaceDN w:val="0"/>
                    <w:adjustRightInd w:val="0"/>
                    <w:spacing w:line="240" w:lineRule="atLeast"/>
                    <w:rPr>
                      <w:rFonts w:ascii="Arial" w:hAnsi="Arial" w:cs="Arial"/>
                      <w:color w:val="000000"/>
                      <w:sz w:val="18"/>
                      <w:szCs w:val="18"/>
                    </w:rPr>
                  </w:pPr>
                </w:p>
              </w:tc>
              <w:tc>
                <w:tcPr>
                  <w:tcW w:w="1275" w:type="dxa"/>
                  <w:tcBorders>
                    <w:top w:val="single" w:sz="4" w:space="0" w:color="auto"/>
                    <w:left w:val="single" w:sz="4" w:space="0" w:color="auto"/>
                    <w:bottom w:val="single" w:sz="4" w:space="0" w:color="auto"/>
                    <w:right w:val="single" w:sz="4" w:space="0" w:color="auto"/>
                  </w:tcBorders>
                </w:tcPr>
                <w:p w:rsidR="007D48BC" w:rsidRPr="003D6FCD" w:rsidRDefault="007D48BC" w:rsidP="00DE468B">
                  <w:pPr>
                    <w:autoSpaceDE w:val="0"/>
                    <w:autoSpaceDN w:val="0"/>
                    <w:adjustRightInd w:val="0"/>
                    <w:spacing w:line="240" w:lineRule="atLeast"/>
                    <w:rPr>
                      <w:rFonts w:ascii="Arial" w:hAnsi="Arial" w:cs="Arial"/>
                      <w:color w:val="000000"/>
                      <w:sz w:val="18"/>
                      <w:szCs w:val="18"/>
                    </w:rPr>
                  </w:pPr>
                </w:p>
              </w:tc>
              <w:tc>
                <w:tcPr>
                  <w:tcW w:w="833" w:type="dxa"/>
                  <w:tcBorders>
                    <w:top w:val="single" w:sz="4" w:space="0" w:color="auto"/>
                    <w:left w:val="single" w:sz="4" w:space="0" w:color="auto"/>
                    <w:bottom w:val="single" w:sz="4" w:space="0" w:color="auto"/>
                    <w:right w:val="single" w:sz="4" w:space="0" w:color="auto"/>
                  </w:tcBorders>
                </w:tcPr>
                <w:p w:rsidR="007D48BC" w:rsidRPr="003D6FCD" w:rsidRDefault="007D48BC" w:rsidP="00DE468B">
                  <w:pPr>
                    <w:autoSpaceDE w:val="0"/>
                    <w:autoSpaceDN w:val="0"/>
                    <w:adjustRightInd w:val="0"/>
                    <w:spacing w:line="240" w:lineRule="atLeast"/>
                    <w:rPr>
                      <w:rFonts w:ascii="Arial" w:hAnsi="Arial" w:cs="Arial"/>
                      <w:color w:val="000000"/>
                      <w:sz w:val="18"/>
                      <w:szCs w:val="18"/>
                    </w:rPr>
                  </w:pPr>
                </w:p>
              </w:tc>
            </w:tr>
            <w:tr w:rsidR="007D48BC" w:rsidRPr="003D6FCD">
              <w:tc>
                <w:tcPr>
                  <w:tcW w:w="5495" w:type="dxa"/>
                  <w:tcBorders>
                    <w:top w:val="single" w:sz="4" w:space="0" w:color="auto"/>
                    <w:left w:val="single" w:sz="4" w:space="0" w:color="auto"/>
                    <w:bottom w:val="single" w:sz="4" w:space="0" w:color="auto"/>
                    <w:right w:val="single" w:sz="4" w:space="0" w:color="auto"/>
                  </w:tcBorders>
                </w:tcPr>
                <w:p w:rsidR="007D48BC" w:rsidRPr="003D6FCD" w:rsidRDefault="007D48BC" w:rsidP="00DE468B">
                  <w:pPr>
                    <w:autoSpaceDE w:val="0"/>
                    <w:autoSpaceDN w:val="0"/>
                    <w:adjustRightInd w:val="0"/>
                    <w:spacing w:line="240" w:lineRule="atLeast"/>
                    <w:rPr>
                      <w:rFonts w:ascii="Arial" w:hAnsi="Arial" w:cs="Arial"/>
                      <w:color w:val="000000"/>
                      <w:sz w:val="18"/>
                      <w:szCs w:val="18"/>
                    </w:rPr>
                  </w:pPr>
                  <w:r w:rsidRPr="003D6FCD">
                    <w:rPr>
                      <w:rStyle w:val="A6"/>
                      <w:rFonts w:ascii="Arial" w:hAnsi="Arial" w:cs="Arial"/>
                    </w:rPr>
                    <w:t>Financiación de programas educativos o cursos para la unidad</w:t>
                  </w:r>
                </w:p>
              </w:tc>
              <w:tc>
                <w:tcPr>
                  <w:tcW w:w="1276" w:type="dxa"/>
                  <w:tcBorders>
                    <w:top w:val="single" w:sz="4" w:space="0" w:color="auto"/>
                    <w:left w:val="single" w:sz="4" w:space="0" w:color="auto"/>
                    <w:bottom w:val="single" w:sz="4" w:space="0" w:color="auto"/>
                    <w:right w:val="single" w:sz="4" w:space="0" w:color="auto"/>
                  </w:tcBorders>
                </w:tcPr>
                <w:p w:rsidR="007D48BC" w:rsidRPr="003D6FCD" w:rsidRDefault="007D48BC" w:rsidP="00DE468B">
                  <w:pPr>
                    <w:autoSpaceDE w:val="0"/>
                    <w:autoSpaceDN w:val="0"/>
                    <w:adjustRightInd w:val="0"/>
                    <w:spacing w:line="240" w:lineRule="atLeast"/>
                    <w:rPr>
                      <w:rFonts w:ascii="Arial" w:hAnsi="Arial" w:cs="Arial"/>
                      <w:color w:val="000000"/>
                      <w:sz w:val="18"/>
                      <w:szCs w:val="18"/>
                    </w:rPr>
                  </w:pPr>
                </w:p>
              </w:tc>
              <w:tc>
                <w:tcPr>
                  <w:tcW w:w="1275" w:type="dxa"/>
                  <w:tcBorders>
                    <w:top w:val="single" w:sz="4" w:space="0" w:color="auto"/>
                    <w:left w:val="single" w:sz="4" w:space="0" w:color="auto"/>
                    <w:bottom w:val="single" w:sz="4" w:space="0" w:color="auto"/>
                    <w:right w:val="single" w:sz="4" w:space="0" w:color="auto"/>
                  </w:tcBorders>
                </w:tcPr>
                <w:p w:rsidR="007D48BC" w:rsidRPr="003D6FCD" w:rsidRDefault="007D48BC" w:rsidP="00DE468B">
                  <w:pPr>
                    <w:autoSpaceDE w:val="0"/>
                    <w:autoSpaceDN w:val="0"/>
                    <w:adjustRightInd w:val="0"/>
                    <w:spacing w:line="240" w:lineRule="atLeast"/>
                    <w:rPr>
                      <w:rFonts w:ascii="Arial" w:hAnsi="Arial" w:cs="Arial"/>
                      <w:color w:val="000000"/>
                      <w:sz w:val="18"/>
                      <w:szCs w:val="18"/>
                    </w:rPr>
                  </w:pPr>
                </w:p>
              </w:tc>
              <w:tc>
                <w:tcPr>
                  <w:tcW w:w="833" w:type="dxa"/>
                  <w:tcBorders>
                    <w:top w:val="single" w:sz="4" w:space="0" w:color="auto"/>
                    <w:left w:val="single" w:sz="4" w:space="0" w:color="auto"/>
                    <w:bottom w:val="single" w:sz="4" w:space="0" w:color="auto"/>
                    <w:right w:val="single" w:sz="4" w:space="0" w:color="auto"/>
                  </w:tcBorders>
                </w:tcPr>
                <w:p w:rsidR="007D48BC" w:rsidRPr="003D6FCD" w:rsidRDefault="007D48BC" w:rsidP="00DE468B">
                  <w:pPr>
                    <w:autoSpaceDE w:val="0"/>
                    <w:autoSpaceDN w:val="0"/>
                    <w:adjustRightInd w:val="0"/>
                    <w:spacing w:line="240" w:lineRule="atLeast"/>
                    <w:rPr>
                      <w:rFonts w:ascii="Arial" w:hAnsi="Arial" w:cs="Arial"/>
                      <w:color w:val="000000"/>
                      <w:sz w:val="18"/>
                      <w:szCs w:val="18"/>
                    </w:rPr>
                  </w:pPr>
                </w:p>
              </w:tc>
            </w:tr>
          </w:tbl>
          <w:p w:rsidR="007D48BC" w:rsidRPr="00707E7D" w:rsidRDefault="007D48BC" w:rsidP="00DE468B">
            <w:pPr>
              <w:pStyle w:val="Pa1"/>
              <w:rPr>
                <w:rFonts w:ascii="Arial" w:hAnsi="Arial" w:cs="Arial"/>
                <w:color w:val="000000"/>
                <w:sz w:val="20"/>
                <w:szCs w:val="20"/>
              </w:rPr>
            </w:pPr>
          </w:p>
        </w:tc>
      </w:tr>
    </w:tbl>
    <w:p w:rsidR="007D48BC" w:rsidRDefault="007D48BC" w:rsidP="006A074E">
      <w:pPr>
        <w:rPr>
          <w:rFonts w:ascii="Arial" w:hAnsi="Arial" w:cs="Arial"/>
          <w:b/>
          <w:bCs/>
          <w:color w:val="000000"/>
        </w:rPr>
      </w:pPr>
    </w:p>
    <w:p w:rsidR="007D48BC" w:rsidRDefault="007D48BC" w:rsidP="006A074E">
      <w:pPr>
        <w:rPr>
          <w:rFonts w:ascii="Arial" w:hAnsi="Arial" w:cs="Arial"/>
          <w:b/>
          <w:bCs/>
        </w:rPr>
      </w:pPr>
      <w:r w:rsidRPr="00707E7D">
        <w:rPr>
          <w:rFonts w:ascii="Arial" w:hAnsi="Arial" w:cs="Arial"/>
          <w:b/>
          <w:bCs/>
          <w:color w:val="000000"/>
        </w:rPr>
        <w:t>C-Otros posibles conflictos de intereses no señalados en apartados anteriores (especificar)</w:t>
      </w:r>
      <w:r w:rsidRPr="00707E7D">
        <w:rPr>
          <w:rFonts w:ascii="Arial" w:hAnsi="Arial" w:cs="Arial"/>
          <w:b/>
          <w:bCs/>
        </w:rPr>
        <w:t xml:space="preserve"> </w:t>
      </w:r>
    </w:p>
    <w:p w:rsidR="007D48BC" w:rsidRDefault="007D48BC" w:rsidP="006A074E">
      <w:pPr>
        <w:rPr>
          <w:rFonts w:ascii="Arial" w:hAnsi="Arial" w:cs="Arial"/>
          <w:b/>
          <w:bCs/>
        </w:rPr>
      </w:pPr>
    </w:p>
    <w:p w:rsidR="007D48BC" w:rsidRDefault="007D48BC" w:rsidP="006A074E">
      <w:pPr>
        <w:rPr>
          <w:rFonts w:ascii="Arial" w:hAnsi="Arial" w:cs="Arial"/>
          <w:b/>
          <w:bCs/>
        </w:rPr>
      </w:pPr>
    </w:p>
    <w:p w:rsidR="007D48BC" w:rsidRDefault="007D48BC" w:rsidP="006A074E">
      <w:pPr>
        <w:rPr>
          <w:rFonts w:ascii="Arial" w:hAnsi="Arial" w:cs="Arial"/>
          <w:b/>
          <w:bCs/>
        </w:rPr>
      </w:pPr>
    </w:p>
    <w:p w:rsidR="007D48BC" w:rsidRDefault="007D48BC" w:rsidP="006A074E">
      <w:pPr>
        <w:rPr>
          <w:rFonts w:ascii="Arial" w:hAnsi="Arial" w:cs="Arial"/>
          <w:b/>
          <w:bCs/>
        </w:rPr>
      </w:pPr>
    </w:p>
    <w:p w:rsidR="007D48BC" w:rsidRDefault="007D48BC" w:rsidP="006A074E">
      <w:pPr>
        <w:snapToGrid w:val="0"/>
        <w:rPr>
          <w:rFonts w:ascii="Arial" w:hAnsi="Arial" w:cs="Arial"/>
          <w:b/>
          <w:bCs/>
        </w:rPr>
      </w:pPr>
      <w:r>
        <w:rPr>
          <w:rFonts w:ascii="Arial" w:hAnsi="Arial" w:cs="Arial"/>
          <w:b/>
          <w:bCs/>
        </w:rPr>
        <w:t>FECHA</w:t>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t>FIRMA</w:t>
      </w:r>
    </w:p>
    <w:p w:rsidR="007D48BC" w:rsidRPr="007F523B" w:rsidRDefault="007D48BC" w:rsidP="00A54369">
      <w:pPr>
        <w:jc w:val="both"/>
        <w:rPr>
          <w:rFonts w:ascii="Arial" w:hAnsi="Arial" w:cs="Arial"/>
          <w:b/>
          <w:bCs/>
        </w:rPr>
      </w:pPr>
    </w:p>
    <w:p w:rsidR="007D48BC" w:rsidRDefault="00326A3D" w:rsidP="00A54369">
      <w:pPr>
        <w:jc w:val="both"/>
        <w:rPr>
          <w:rFonts w:ascii="Arial" w:hAnsi="Arial" w:cs="Arial"/>
          <w:b/>
          <w:bCs/>
        </w:rPr>
      </w:pPr>
      <w:r>
        <w:rPr>
          <w:rFonts w:ascii="Arial" w:hAnsi="Arial" w:cs="Arial"/>
          <w:b/>
          <w:bCs/>
        </w:rPr>
        <w:t>ANEXO II</w:t>
      </w:r>
      <w:r w:rsidR="00FE59AC">
        <w:rPr>
          <w:rFonts w:ascii="Arial" w:hAnsi="Arial" w:cs="Arial"/>
          <w:b/>
          <w:bCs/>
        </w:rPr>
        <w:fldChar w:fldCharType="begin"/>
      </w:r>
      <w:r w:rsidR="00B072C6">
        <w:instrText xml:space="preserve"> XE "</w:instrText>
      </w:r>
      <w:r w:rsidR="00B072C6" w:rsidRPr="00DC289D">
        <w:rPr>
          <w:rFonts w:ascii="Arial" w:hAnsi="Arial" w:cs="Arial"/>
          <w:b/>
          <w:bCs/>
        </w:rPr>
        <w:instrText>ANEXO II</w:instrText>
      </w:r>
      <w:r w:rsidR="00B072C6">
        <w:instrText xml:space="preserve">" </w:instrText>
      </w:r>
      <w:r w:rsidR="00FE59AC">
        <w:rPr>
          <w:rFonts w:ascii="Arial" w:hAnsi="Arial" w:cs="Arial"/>
          <w:b/>
          <w:bCs/>
        </w:rPr>
        <w:fldChar w:fldCharType="end"/>
      </w:r>
    </w:p>
    <w:p w:rsidR="007D48BC" w:rsidRDefault="007D48BC" w:rsidP="00A54369">
      <w:pPr>
        <w:jc w:val="both"/>
        <w:rPr>
          <w:rFonts w:ascii="Arial" w:hAnsi="Arial" w:cs="Arial"/>
          <w:b/>
          <w:bCs/>
          <w:color w:val="000080"/>
        </w:rPr>
      </w:pPr>
    </w:p>
    <w:p w:rsidR="007D48BC" w:rsidRDefault="007D48BC" w:rsidP="00A54369">
      <w:pPr>
        <w:pStyle w:val="Textoindependiente3"/>
        <w:jc w:val="both"/>
        <w:rPr>
          <w:rFonts w:ascii="Arial" w:hAnsi="Arial" w:cs="Arial"/>
          <w:b/>
          <w:bCs/>
          <w:color w:val="000080"/>
          <w:sz w:val="20"/>
          <w:szCs w:val="20"/>
          <w:lang w:val="es-ES_tradnl"/>
        </w:rPr>
      </w:pPr>
      <w:r>
        <w:rPr>
          <w:b/>
          <w:bCs/>
          <w:i/>
          <w:iCs/>
          <w:sz w:val="20"/>
          <w:szCs w:val="20"/>
        </w:rPr>
        <w:t>APARTADO 5.2.b del informe modelo base</w:t>
      </w:r>
    </w:p>
    <w:p w:rsidR="007D48BC" w:rsidRDefault="007D48BC" w:rsidP="00A54369">
      <w:pPr>
        <w:pStyle w:val="Textoindependiente3"/>
        <w:jc w:val="both"/>
        <w:rPr>
          <w:b/>
          <w:bCs/>
          <w:color w:val="000080"/>
          <w:sz w:val="20"/>
          <w:szCs w:val="20"/>
          <w:lang w:val="es-ES_tradnl"/>
        </w:rPr>
      </w:pPr>
    </w:p>
    <w:p w:rsidR="007D48BC" w:rsidRDefault="007D48BC" w:rsidP="00A54369">
      <w:pPr>
        <w:pStyle w:val="Textoindependiente3"/>
        <w:jc w:val="both"/>
        <w:rPr>
          <w:b/>
          <w:bCs/>
          <w:lang w:val="es-ES_tradnl"/>
        </w:rPr>
      </w:pPr>
      <w:r>
        <w:rPr>
          <w:b/>
          <w:bCs/>
          <w:lang w:val="es-ES_tradnl"/>
        </w:rPr>
        <w:t>Referencia del ensayo evaluado:</w:t>
      </w:r>
    </w:p>
    <w:p w:rsidR="007D48BC" w:rsidRDefault="007D48BC" w:rsidP="00A54369">
      <w:pPr>
        <w:shd w:val="clear" w:color="auto" w:fill="FFFFFF"/>
        <w:jc w:val="both"/>
        <w:rPr>
          <w:rFonts w:ascii="Arial" w:hAnsi="Arial" w:cs="Arial"/>
          <w:b/>
          <w:bCs/>
          <w:color w:val="333399"/>
          <w:sz w:val="16"/>
          <w:szCs w:val="16"/>
          <w:lang w:val="es-ES_tradnl"/>
        </w:rPr>
      </w:pPr>
    </w:p>
    <w:p w:rsidR="007D48BC" w:rsidRDefault="007D48BC" w:rsidP="00A54369">
      <w:pPr>
        <w:shd w:val="clear" w:color="auto" w:fill="FFFFFF"/>
        <w:jc w:val="both"/>
        <w:rPr>
          <w:rFonts w:ascii="Arial" w:hAnsi="Arial" w:cs="Arial"/>
          <w:b/>
          <w:bCs/>
          <w:color w:val="333399"/>
          <w:sz w:val="16"/>
          <w:szCs w:val="16"/>
          <w:lang w:val="es-ES_tradnl"/>
        </w:rPr>
      </w:pPr>
      <w:r>
        <w:rPr>
          <w:rFonts w:ascii="Arial" w:hAnsi="Arial" w:cs="Arial"/>
          <w:b/>
          <w:bCs/>
          <w:color w:val="333399"/>
          <w:sz w:val="16"/>
          <w:szCs w:val="16"/>
          <w:lang w:val="es-ES_tradnl"/>
        </w:rPr>
        <w:t xml:space="preserve">b) Análisis de Aplicabilidad </w:t>
      </w:r>
    </w:p>
    <w:p w:rsidR="007D48BC" w:rsidRDefault="007D48BC" w:rsidP="00A54369">
      <w:pPr>
        <w:shd w:val="clear" w:color="auto" w:fill="FFFFFF"/>
        <w:jc w:val="both"/>
        <w:rPr>
          <w:rFonts w:ascii="Arial" w:hAnsi="Arial" w:cs="Arial"/>
          <w:b/>
          <w:bCs/>
          <w:sz w:val="16"/>
          <w:szCs w:val="16"/>
          <w:lang w:val="es-ES_tradnl"/>
        </w:rPr>
      </w:pPr>
    </w:p>
    <w:tbl>
      <w:tblPr>
        <w:tblW w:w="8715" w:type="dxa"/>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tblPr>
      <w:tblGrid>
        <w:gridCol w:w="3471"/>
        <w:gridCol w:w="709"/>
        <w:gridCol w:w="4535"/>
      </w:tblGrid>
      <w:tr w:rsidR="007D48BC">
        <w:trPr>
          <w:cantSplit/>
        </w:trPr>
        <w:tc>
          <w:tcPr>
            <w:tcW w:w="8715" w:type="dxa"/>
            <w:gridSpan w:val="3"/>
            <w:shd w:val="clear" w:color="auto" w:fill="CCFFCC"/>
          </w:tcPr>
          <w:p w:rsidR="007D48BC" w:rsidRDefault="007D48BC">
            <w:pPr>
              <w:jc w:val="both"/>
              <w:rPr>
                <w:rFonts w:ascii="Arial" w:hAnsi="Arial" w:cs="Arial"/>
                <w:b/>
                <w:bCs/>
              </w:rPr>
            </w:pPr>
            <w:r>
              <w:rPr>
                <w:rFonts w:ascii="Arial" w:hAnsi="Arial" w:cs="Arial"/>
                <w:b/>
                <w:bCs/>
              </w:rPr>
              <w:t>5.2.b  Tabla 3. SG035-003.</w:t>
            </w:r>
          </w:p>
          <w:p w:rsidR="007D48BC" w:rsidRDefault="007D48BC">
            <w:pPr>
              <w:jc w:val="both"/>
              <w:rPr>
                <w:rFonts w:ascii="Arial" w:hAnsi="Arial" w:cs="Arial"/>
                <w:b/>
                <w:bCs/>
              </w:rPr>
            </w:pPr>
            <w:r>
              <w:rPr>
                <w:rFonts w:ascii="Arial" w:hAnsi="Arial" w:cs="Arial"/>
                <w:b/>
                <w:bCs/>
              </w:rPr>
              <w:t xml:space="preserve">CUESTIONARIO SOBRE LA APLICABILIDAD DE UN ENSAYO CLÍNICO </w:t>
            </w:r>
          </w:p>
        </w:tc>
      </w:tr>
      <w:tr w:rsidR="007D48BC">
        <w:tc>
          <w:tcPr>
            <w:tcW w:w="3471" w:type="dxa"/>
          </w:tcPr>
          <w:p w:rsidR="007D48BC" w:rsidRDefault="007D48BC">
            <w:pPr>
              <w:jc w:val="both"/>
              <w:rPr>
                <w:rFonts w:ascii="Arial" w:hAnsi="Arial" w:cs="Arial"/>
                <w:sz w:val="16"/>
                <w:szCs w:val="16"/>
              </w:rPr>
            </w:pPr>
          </w:p>
        </w:tc>
        <w:tc>
          <w:tcPr>
            <w:tcW w:w="709" w:type="dxa"/>
          </w:tcPr>
          <w:p w:rsidR="007D48BC" w:rsidRDefault="007D48BC">
            <w:pPr>
              <w:jc w:val="both"/>
              <w:rPr>
                <w:rFonts w:ascii="Arial" w:hAnsi="Arial" w:cs="Arial"/>
                <w:b/>
                <w:bCs/>
                <w:sz w:val="16"/>
                <w:szCs w:val="16"/>
              </w:rPr>
            </w:pPr>
            <w:r>
              <w:rPr>
                <w:rFonts w:ascii="Arial" w:hAnsi="Arial" w:cs="Arial"/>
                <w:b/>
                <w:bCs/>
                <w:sz w:val="16"/>
                <w:szCs w:val="16"/>
              </w:rPr>
              <w:t>SI/NO</w:t>
            </w:r>
          </w:p>
        </w:tc>
        <w:tc>
          <w:tcPr>
            <w:tcW w:w="4535" w:type="dxa"/>
          </w:tcPr>
          <w:p w:rsidR="007D48BC" w:rsidRPr="00B746E8" w:rsidRDefault="007D48BC">
            <w:pPr>
              <w:pStyle w:val="Ttulo8"/>
              <w:rPr>
                <w:rFonts w:ascii="Arial" w:hAnsi="Arial" w:cs="Arial"/>
                <w:b/>
                <w:bCs/>
                <w:sz w:val="16"/>
                <w:szCs w:val="16"/>
              </w:rPr>
            </w:pPr>
            <w:r w:rsidRPr="00B746E8">
              <w:rPr>
                <w:sz w:val="16"/>
                <w:szCs w:val="16"/>
              </w:rPr>
              <w:t>JUSTIFICAR</w:t>
            </w:r>
          </w:p>
        </w:tc>
      </w:tr>
      <w:tr w:rsidR="007D48BC">
        <w:trPr>
          <w:trHeight w:val="604"/>
        </w:trPr>
        <w:tc>
          <w:tcPr>
            <w:tcW w:w="3471" w:type="dxa"/>
          </w:tcPr>
          <w:p w:rsidR="007D48BC" w:rsidRDefault="007D48BC">
            <w:pPr>
              <w:jc w:val="both"/>
              <w:rPr>
                <w:rFonts w:ascii="Arial" w:hAnsi="Arial" w:cs="Arial"/>
                <w:b/>
                <w:bCs/>
                <w:sz w:val="16"/>
                <w:szCs w:val="16"/>
              </w:rPr>
            </w:pPr>
            <w:r>
              <w:rPr>
                <w:rFonts w:ascii="Arial" w:hAnsi="Arial" w:cs="Arial"/>
                <w:b/>
                <w:bCs/>
                <w:sz w:val="16"/>
                <w:szCs w:val="16"/>
              </w:rPr>
              <w:t xml:space="preserve">¿Considera adecuado el comparador? </w:t>
            </w:r>
            <w:r>
              <w:rPr>
                <w:rFonts w:ascii="Arial" w:hAnsi="Arial" w:cs="Arial"/>
                <w:sz w:val="16"/>
                <w:szCs w:val="16"/>
              </w:rPr>
              <w:t>¿Es el tratamiento control adecuado en nuestro medio?</w:t>
            </w:r>
          </w:p>
        </w:tc>
        <w:tc>
          <w:tcPr>
            <w:tcW w:w="709" w:type="dxa"/>
            <w:vAlign w:val="center"/>
          </w:tcPr>
          <w:p w:rsidR="007D48BC" w:rsidRDefault="007D48BC">
            <w:pPr>
              <w:jc w:val="both"/>
              <w:rPr>
                <w:rFonts w:ascii="Arial" w:hAnsi="Arial" w:cs="Arial"/>
                <w:sz w:val="16"/>
                <w:szCs w:val="16"/>
              </w:rPr>
            </w:pPr>
            <w:r>
              <w:rPr>
                <w:rFonts w:ascii="Arial" w:hAnsi="Arial" w:cs="Arial"/>
                <w:sz w:val="16"/>
                <w:szCs w:val="16"/>
              </w:rPr>
              <w:t>NP</w:t>
            </w:r>
          </w:p>
        </w:tc>
        <w:tc>
          <w:tcPr>
            <w:tcW w:w="4535" w:type="dxa"/>
            <w:vAlign w:val="center"/>
          </w:tcPr>
          <w:p w:rsidR="007D48BC" w:rsidRDefault="007D48BC">
            <w:pPr>
              <w:jc w:val="both"/>
              <w:rPr>
                <w:rFonts w:ascii="Arial" w:hAnsi="Arial" w:cs="Arial"/>
                <w:color w:val="000080"/>
                <w:sz w:val="16"/>
                <w:szCs w:val="16"/>
              </w:rPr>
            </w:pPr>
            <w:r>
              <w:rPr>
                <w:rFonts w:ascii="Arial" w:hAnsi="Arial" w:cs="Arial"/>
                <w:color w:val="000080"/>
                <w:sz w:val="16"/>
                <w:szCs w:val="16"/>
              </w:rPr>
              <w:t>No procede</w:t>
            </w:r>
          </w:p>
        </w:tc>
      </w:tr>
      <w:tr w:rsidR="007D48BC">
        <w:trPr>
          <w:trHeight w:val="556"/>
        </w:trPr>
        <w:tc>
          <w:tcPr>
            <w:tcW w:w="3471" w:type="dxa"/>
          </w:tcPr>
          <w:p w:rsidR="007D48BC" w:rsidRDefault="007D48BC">
            <w:pPr>
              <w:jc w:val="both"/>
              <w:rPr>
                <w:rFonts w:ascii="Arial" w:hAnsi="Arial" w:cs="Arial"/>
                <w:b/>
                <w:bCs/>
                <w:sz w:val="16"/>
                <w:szCs w:val="16"/>
              </w:rPr>
            </w:pPr>
            <w:r>
              <w:rPr>
                <w:rFonts w:ascii="Arial" w:hAnsi="Arial" w:cs="Arial"/>
                <w:b/>
                <w:bCs/>
                <w:sz w:val="16"/>
                <w:szCs w:val="16"/>
              </w:rPr>
              <w:t>¿Son importantes clínicamente los resultados?</w:t>
            </w:r>
          </w:p>
        </w:tc>
        <w:tc>
          <w:tcPr>
            <w:tcW w:w="709" w:type="dxa"/>
            <w:vAlign w:val="center"/>
          </w:tcPr>
          <w:p w:rsidR="007D48BC" w:rsidRDefault="007D48BC">
            <w:pPr>
              <w:jc w:val="both"/>
              <w:rPr>
                <w:rFonts w:ascii="Arial" w:hAnsi="Arial" w:cs="Arial"/>
                <w:sz w:val="16"/>
                <w:szCs w:val="16"/>
              </w:rPr>
            </w:pPr>
            <w:r>
              <w:rPr>
                <w:rFonts w:ascii="Arial" w:hAnsi="Arial" w:cs="Arial"/>
                <w:sz w:val="16"/>
                <w:szCs w:val="16"/>
              </w:rPr>
              <w:t>SI</w:t>
            </w:r>
          </w:p>
        </w:tc>
        <w:tc>
          <w:tcPr>
            <w:tcW w:w="4535" w:type="dxa"/>
            <w:vAlign w:val="center"/>
          </w:tcPr>
          <w:p w:rsidR="007D48BC" w:rsidRDefault="007D48BC">
            <w:pPr>
              <w:jc w:val="both"/>
              <w:rPr>
                <w:rFonts w:ascii="Arial" w:hAnsi="Arial" w:cs="Arial"/>
                <w:color w:val="000080"/>
                <w:sz w:val="16"/>
                <w:szCs w:val="16"/>
              </w:rPr>
            </w:pPr>
            <w:r>
              <w:rPr>
                <w:rFonts w:ascii="Arial" w:hAnsi="Arial" w:cs="Arial"/>
                <w:color w:val="000080"/>
                <w:sz w:val="16"/>
                <w:szCs w:val="16"/>
              </w:rPr>
              <w:t xml:space="preserve">Se obtienen tasas de respuesta elevadas y aumenta la supervivencia global con respecto a las terapias inmediatamente anteriores utilizadas en los pacientes. </w:t>
            </w:r>
          </w:p>
        </w:tc>
      </w:tr>
      <w:tr w:rsidR="007D48BC">
        <w:trPr>
          <w:trHeight w:val="556"/>
        </w:trPr>
        <w:tc>
          <w:tcPr>
            <w:tcW w:w="3471" w:type="dxa"/>
          </w:tcPr>
          <w:p w:rsidR="007D48BC" w:rsidRDefault="007D48BC">
            <w:pPr>
              <w:jc w:val="both"/>
              <w:rPr>
                <w:rFonts w:ascii="Arial" w:hAnsi="Arial" w:cs="Arial"/>
                <w:b/>
                <w:bCs/>
                <w:sz w:val="16"/>
                <w:szCs w:val="16"/>
              </w:rPr>
            </w:pPr>
            <w:r>
              <w:rPr>
                <w:rFonts w:ascii="Arial" w:hAnsi="Arial" w:cs="Arial"/>
                <w:b/>
                <w:bCs/>
                <w:sz w:val="16"/>
                <w:szCs w:val="16"/>
              </w:rPr>
              <w:t xml:space="preserve">¿Considera adecuada la variable de medida utilizada? </w:t>
            </w:r>
          </w:p>
        </w:tc>
        <w:tc>
          <w:tcPr>
            <w:tcW w:w="709" w:type="dxa"/>
            <w:vAlign w:val="center"/>
          </w:tcPr>
          <w:p w:rsidR="007D48BC" w:rsidRDefault="007D48BC">
            <w:pPr>
              <w:jc w:val="both"/>
              <w:rPr>
                <w:rFonts w:ascii="Arial" w:hAnsi="Arial" w:cs="Arial"/>
                <w:sz w:val="16"/>
                <w:szCs w:val="16"/>
              </w:rPr>
            </w:pPr>
            <w:r>
              <w:rPr>
                <w:rFonts w:ascii="Arial" w:hAnsi="Arial" w:cs="Arial"/>
                <w:sz w:val="16"/>
                <w:szCs w:val="16"/>
              </w:rPr>
              <w:t>SI</w:t>
            </w:r>
          </w:p>
        </w:tc>
        <w:tc>
          <w:tcPr>
            <w:tcW w:w="4535" w:type="dxa"/>
            <w:vAlign w:val="center"/>
          </w:tcPr>
          <w:p w:rsidR="007D48BC" w:rsidRDefault="007D48BC">
            <w:pPr>
              <w:jc w:val="both"/>
              <w:rPr>
                <w:rFonts w:ascii="Arial" w:hAnsi="Arial" w:cs="Arial"/>
                <w:color w:val="000080"/>
                <w:sz w:val="16"/>
                <w:szCs w:val="16"/>
              </w:rPr>
            </w:pPr>
            <w:r>
              <w:rPr>
                <w:rFonts w:ascii="Arial" w:hAnsi="Arial" w:cs="Arial"/>
                <w:color w:val="000080"/>
                <w:sz w:val="16"/>
                <w:szCs w:val="16"/>
              </w:rPr>
              <w:t>Un ensayo fase II sirve para medir la respuesta al tratamiento y evaluar los efectos secundarios.</w:t>
            </w:r>
          </w:p>
        </w:tc>
      </w:tr>
      <w:tr w:rsidR="007D48BC">
        <w:trPr>
          <w:trHeight w:val="393"/>
        </w:trPr>
        <w:tc>
          <w:tcPr>
            <w:tcW w:w="3471" w:type="dxa"/>
          </w:tcPr>
          <w:p w:rsidR="007D48BC" w:rsidRDefault="007D48BC">
            <w:pPr>
              <w:jc w:val="both"/>
              <w:rPr>
                <w:rFonts w:ascii="Arial" w:hAnsi="Arial" w:cs="Arial"/>
                <w:b/>
                <w:bCs/>
                <w:sz w:val="16"/>
                <w:szCs w:val="16"/>
              </w:rPr>
            </w:pPr>
            <w:r>
              <w:rPr>
                <w:rFonts w:ascii="Arial" w:hAnsi="Arial" w:cs="Arial"/>
                <w:b/>
                <w:bCs/>
                <w:sz w:val="16"/>
                <w:szCs w:val="16"/>
              </w:rPr>
              <w:t>¿Considera adecuados los criterios de inclusión y/o exclusión de los pacientes?</w:t>
            </w:r>
          </w:p>
        </w:tc>
        <w:tc>
          <w:tcPr>
            <w:tcW w:w="709" w:type="dxa"/>
            <w:vAlign w:val="center"/>
          </w:tcPr>
          <w:p w:rsidR="007D48BC" w:rsidRDefault="007D48BC">
            <w:pPr>
              <w:jc w:val="both"/>
              <w:rPr>
                <w:rFonts w:ascii="Arial" w:hAnsi="Arial" w:cs="Arial"/>
                <w:sz w:val="16"/>
                <w:szCs w:val="16"/>
              </w:rPr>
            </w:pPr>
            <w:r>
              <w:rPr>
                <w:rFonts w:ascii="Arial" w:hAnsi="Arial" w:cs="Arial"/>
                <w:sz w:val="16"/>
                <w:szCs w:val="16"/>
              </w:rPr>
              <w:t>SI</w:t>
            </w:r>
          </w:p>
        </w:tc>
        <w:tc>
          <w:tcPr>
            <w:tcW w:w="4535" w:type="dxa"/>
            <w:vAlign w:val="center"/>
          </w:tcPr>
          <w:p w:rsidR="007D48BC" w:rsidRDefault="007D48BC">
            <w:pPr>
              <w:jc w:val="both"/>
              <w:rPr>
                <w:rFonts w:ascii="Arial" w:hAnsi="Arial" w:cs="Arial"/>
                <w:color w:val="000080"/>
                <w:sz w:val="16"/>
                <w:szCs w:val="16"/>
              </w:rPr>
            </w:pPr>
          </w:p>
        </w:tc>
      </w:tr>
      <w:tr w:rsidR="007D48BC">
        <w:trPr>
          <w:trHeight w:val="568"/>
        </w:trPr>
        <w:tc>
          <w:tcPr>
            <w:tcW w:w="3471" w:type="dxa"/>
          </w:tcPr>
          <w:p w:rsidR="007D48BC" w:rsidRDefault="007D48BC">
            <w:pPr>
              <w:jc w:val="both"/>
              <w:rPr>
                <w:rFonts w:ascii="Arial" w:hAnsi="Arial" w:cs="Arial"/>
                <w:b/>
                <w:bCs/>
                <w:sz w:val="16"/>
                <w:szCs w:val="16"/>
              </w:rPr>
            </w:pPr>
            <w:r>
              <w:rPr>
                <w:rFonts w:ascii="Arial" w:hAnsi="Arial" w:cs="Arial"/>
                <w:b/>
                <w:bCs/>
                <w:sz w:val="16"/>
                <w:szCs w:val="16"/>
              </w:rPr>
              <w:t>¿Cree que los resultados pueden ser aplicados directamente a la práctica clínica?</w:t>
            </w:r>
          </w:p>
        </w:tc>
        <w:tc>
          <w:tcPr>
            <w:tcW w:w="709" w:type="dxa"/>
            <w:vAlign w:val="center"/>
          </w:tcPr>
          <w:p w:rsidR="007D48BC" w:rsidRDefault="007D48BC">
            <w:pPr>
              <w:jc w:val="both"/>
              <w:rPr>
                <w:rFonts w:ascii="Arial" w:hAnsi="Arial" w:cs="Arial"/>
                <w:sz w:val="16"/>
                <w:szCs w:val="16"/>
              </w:rPr>
            </w:pPr>
            <w:r>
              <w:rPr>
                <w:rFonts w:ascii="Arial" w:hAnsi="Arial" w:cs="Arial"/>
                <w:sz w:val="16"/>
                <w:szCs w:val="16"/>
              </w:rPr>
              <w:t>NO</w:t>
            </w:r>
          </w:p>
        </w:tc>
        <w:tc>
          <w:tcPr>
            <w:tcW w:w="4535" w:type="dxa"/>
            <w:vAlign w:val="center"/>
          </w:tcPr>
          <w:p w:rsidR="007D48BC" w:rsidRDefault="007D48BC">
            <w:pPr>
              <w:jc w:val="both"/>
              <w:rPr>
                <w:rFonts w:ascii="Arial" w:hAnsi="Arial" w:cs="Arial"/>
                <w:color w:val="000080"/>
                <w:sz w:val="16"/>
                <w:szCs w:val="16"/>
              </w:rPr>
            </w:pPr>
            <w:r>
              <w:rPr>
                <w:rFonts w:ascii="Arial" w:hAnsi="Arial" w:cs="Arial"/>
                <w:color w:val="000080"/>
                <w:sz w:val="16"/>
                <w:szCs w:val="16"/>
              </w:rPr>
              <w:t xml:space="preserve">Faltan estudios controlados que posicionen la eficacia y seguridad de </w:t>
            </w:r>
          </w:p>
        </w:tc>
      </w:tr>
      <w:tr w:rsidR="007D48BC">
        <w:trPr>
          <w:trHeight w:val="259"/>
        </w:trPr>
        <w:tc>
          <w:tcPr>
            <w:tcW w:w="3471" w:type="dxa"/>
          </w:tcPr>
          <w:p w:rsidR="007D48BC" w:rsidRDefault="007D48BC">
            <w:pPr>
              <w:jc w:val="both"/>
              <w:rPr>
                <w:rFonts w:ascii="Arial" w:hAnsi="Arial" w:cs="Arial"/>
                <w:sz w:val="16"/>
                <w:szCs w:val="16"/>
              </w:rPr>
            </w:pPr>
            <w:r>
              <w:rPr>
                <w:rFonts w:ascii="Arial" w:hAnsi="Arial" w:cs="Arial"/>
                <w:sz w:val="16"/>
                <w:szCs w:val="16"/>
              </w:rPr>
              <w:t>Otros sesgos o limitaciones encontradas en el estudio</w:t>
            </w:r>
          </w:p>
        </w:tc>
        <w:tc>
          <w:tcPr>
            <w:tcW w:w="709" w:type="dxa"/>
            <w:vAlign w:val="center"/>
          </w:tcPr>
          <w:p w:rsidR="007D48BC" w:rsidRDefault="007D48BC">
            <w:pPr>
              <w:jc w:val="both"/>
              <w:rPr>
                <w:rFonts w:ascii="Arial" w:hAnsi="Arial" w:cs="Arial"/>
                <w:sz w:val="16"/>
                <w:szCs w:val="16"/>
              </w:rPr>
            </w:pPr>
          </w:p>
        </w:tc>
        <w:tc>
          <w:tcPr>
            <w:tcW w:w="4535" w:type="dxa"/>
            <w:vAlign w:val="center"/>
          </w:tcPr>
          <w:p w:rsidR="007D48BC" w:rsidRDefault="007D48BC">
            <w:pPr>
              <w:jc w:val="both"/>
              <w:rPr>
                <w:rFonts w:ascii="Arial" w:hAnsi="Arial" w:cs="Arial"/>
                <w:color w:val="000080"/>
                <w:sz w:val="16"/>
                <w:szCs w:val="16"/>
              </w:rPr>
            </w:pPr>
          </w:p>
        </w:tc>
      </w:tr>
    </w:tbl>
    <w:p w:rsidR="007D48BC" w:rsidRDefault="007D48BC" w:rsidP="00A56BE4">
      <w:pPr>
        <w:jc w:val="both"/>
        <w:rPr>
          <w:rFonts w:ascii="Arial" w:hAnsi="Arial" w:cs="Arial"/>
          <w:b/>
          <w:bCs/>
        </w:rPr>
      </w:pPr>
    </w:p>
    <w:p w:rsidR="007D48BC" w:rsidRPr="00C46CF5" w:rsidRDefault="007D48BC" w:rsidP="00C46CF5">
      <w:pPr>
        <w:rPr>
          <w:rFonts w:ascii="Arial" w:hAnsi="Arial" w:cs="Arial"/>
        </w:rPr>
      </w:pPr>
    </w:p>
    <w:p w:rsidR="007D48BC" w:rsidRPr="00C46CF5" w:rsidRDefault="007D48BC" w:rsidP="00C46CF5">
      <w:pPr>
        <w:rPr>
          <w:rFonts w:ascii="Arial" w:hAnsi="Arial" w:cs="Arial"/>
        </w:rPr>
      </w:pPr>
    </w:p>
    <w:p w:rsidR="007D48BC" w:rsidRPr="00C46CF5" w:rsidRDefault="007D48BC" w:rsidP="00C46CF5">
      <w:pPr>
        <w:rPr>
          <w:rFonts w:ascii="Arial" w:hAnsi="Arial" w:cs="Arial"/>
        </w:rPr>
      </w:pPr>
    </w:p>
    <w:p w:rsidR="007D48BC" w:rsidRPr="00C46CF5" w:rsidRDefault="007D48BC" w:rsidP="00C46CF5">
      <w:pPr>
        <w:rPr>
          <w:rFonts w:ascii="Arial" w:hAnsi="Arial" w:cs="Arial"/>
        </w:rPr>
      </w:pPr>
    </w:p>
    <w:p w:rsidR="007D48BC" w:rsidRPr="00C46CF5" w:rsidRDefault="007D48BC" w:rsidP="00C46CF5">
      <w:pPr>
        <w:rPr>
          <w:rFonts w:ascii="Arial" w:hAnsi="Arial" w:cs="Arial"/>
        </w:rPr>
      </w:pPr>
    </w:p>
    <w:p w:rsidR="007D48BC" w:rsidRPr="00C46CF5" w:rsidRDefault="007D48BC" w:rsidP="00C46CF5">
      <w:pPr>
        <w:rPr>
          <w:rFonts w:ascii="Arial" w:hAnsi="Arial" w:cs="Arial"/>
        </w:rPr>
      </w:pPr>
    </w:p>
    <w:p w:rsidR="007D48BC" w:rsidRPr="00C46CF5" w:rsidRDefault="007D48BC" w:rsidP="00C46CF5">
      <w:pPr>
        <w:rPr>
          <w:rFonts w:ascii="Arial" w:hAnsi="Arial" w:cs="Arial"/>
        </w:rPr>
      </w:pPr>
    </w:p>
    <w:p w:rsidR="007D48BC" w:rsidRPr="00C46CF5" w:rsidRDefault="007D48BC" w:rsidP="00C46CF5">
      <w:pPr>
        <w:rPr>
          <w:rFonts w:ascii="Arial" w:hAnsi="Arial" w:cs="Arial"/>
        </w:rPr>
      </w:pPr>
    </w:p>
    <w:p w:rsidR="007D48BC" w:rsidRDefault="007D48BC" w:rsidP="00C46CF5">
      <w:pPr>
        <w:rPr>
          <w:rFonts w:ascii="Arial" w:hAnsi="Arial" w:cs="Arial"/>
          <w:b/>
          <w:bCs/>
        </w:rPr>
      </w:pPr>
    </w:p>
    <w:p w:rsidR="007D48BC" w:rsidRDefault="007D48BC" w:rsidP="00C46CF5">
      <w:pPr>
        <w:rPr>
          <w:rFonts w:ascii="Arial" w:hAnsi="Arial" w:cs="Arial"/>
          <w:b/>
          <w:bCs/>
        </w:rPr>
      </w:pPr>
    </w:p>
    <w:p w:rsidR="007D48BC" w:rsidRDefault="007D48BC" w:rsidP="00C46CF5">
      <w:pPr>
        <w:rPr>
          <w:rFonts w:ascii="Arial" w:hAnsi="Arial" w:cs="Arial"/>
          <w:b/>
          <w:bCs/>
        </w:rPr>
      </w:pPr>
    </w:p>
    <w:p w:rsidR="007D48BC" w:rsidRDefault="007D48BC" w:rsidP="00C46CF5">
      <w:pPr>
        <w:rPr>
          <w:rFonts w:ascii="Arial" w:hAnsi="Arial" w:cs="Arial"/>
          <w:b/>
          <w:bCs/>
        </w:rPr>
      </w:pPr>
    </w:p>
    <w:p w:rsidR="007D48BC" w:rsidRDefault="007D48BC" w:rsidP="00C46CF5">
      <w:pPr>
        <w:rPr>
          <w:rFonts w:ascii="Arial" w:hAnsi="Arial" w:cs="Arial"/>
          <w:b/>
          <w:bCs/>
        </w:rPr>
      </w:pPr>
    </w:p>
    <w:p w:rsidR="007D48BC" w:rsidRDefault="007D48BC" w:rsidP="00C46CF5">
      <w:pPr>
        <w:rPr>
          <w:rFonts w:ascii="Arial" w:hAnsi="Arial" w:cs="Arial"/>
          <w:b/>
          <w:bCs/>
        </w:rPr>
      </w:pPr>
    </w:p>
    <w:p w:rsidR="007D48BC" w:rsidRDefault="007D48BC" w:rsidP="00C46CF5">
      <w:pPr>
        <w:rPr>
          <w:rFonts w:ascii="Arial" w:hAnsi="Arial" w:cs="Arial"/>
          <w:b/>
          <w:bCs/>
        </w:rPr>
      </w:pPr>
    </w:p>
    <w:p w:rsidR="007D48BC" w:rsidRDefault="007D48BC" w:rsidP="00C46CF5">
      <w:pPr>
        <w:rPr>
          <w:rFonts w:ascii="Arial" w:hAnsi="Arial" w:cs="Arial"/>
          <w:b/>
          <w:bCs/>
        </w:rPr>
      </w:pPr>
    </w:p>
    <w:p w:rsidR="007D48BC" w:rsidRDefault="007D48BC" w:rsidP="00C46CF5">
      <w:pPr>
        <w:rPr>
          <w:rFonts w:ascii="Arial" w:hAnsi="Arial" w:cs="Arial"/>
          <w:b/>
          <w:bCs/>
        </w:rPr>
      </w:pPr>
    </w:p>
    <w:p w:rsidR="007D48BC" w:rsidRDefault="007D48BC" w:rsidP="00C46CF5">
      <w:pPr>
        <w:rPr>
          <w:rFonts w:ascii="Arial" w:hAnsi="Arial" w:cs="Arial"/>
          <w:b/>
          <w:bCs/>
        </w:rPr>
      </w:pPr>
    </w:p>
    <w:p w:rsidR="007D48BC" w:rsidRDefault="007D48BC" w:rsidP="00C46CF5">
      <w:pPr>
        <w:rPr>
          <w:rFonts w:ascii="Arial" w:hAnsi="Arial" w:cs="Arial"/>
          <w:b/>
          <w:bCs/>
        </w:rPr>
      </w:pPr>
    </w:p>
    <w:p w:rsidR="007D48BC" w:rsidRDefault="007D48BC" w:rsidP="00C46CF5">
      <w:pPr>
        <w:rPr>
          <w:rFonts w:ascii="Arial" w:hAnsi="Arial" w:cs="Arial"/>
          <w:b/>
          <w:bCs/>
        </w:rPr>
      </w:pPr>
    </w:p>
    <w:p w:rsidR="007D48BC" w:rsidRDefault="007D48BC" w:rsidP="00C46CF5">
      <w:pPr>
        <w:rPr>
          <w:rFonts w:ascii="Arial" w:hAnsi="Arial" w:cs="Arial"/>
          <w:b/>
          <w:bCs/>
        </w:rPr>
      </w:pPr>
    </w:p>
    <w:p w:rsidR="007D48BC" w:rsidRDefault="007D48BC" w:rsidP="00C46CF5">
      <w:pPr>
        <w:rPr>
          <w:rFonts w:ascii="Arial" w:hAnsi="Arial" w:cs="Arial"/>
          <w:b/>
          <w:bCs/>
        </w:rPr>
      </w:pPr>
    </w:p>
    <w:p w:rsidR="007D48BC" w:rsidRDefault="007D48BC" w:rsidP="00C46CF5">
      <w:pPr>
        <w:rPr>
          <w:rFonts w:ascii="Arial" w:hAnsi="Arial" w:cs="Arial"/>
          <w:b/>
          <w:bCs/>
        </w:rPr>
      </w:pPr>
    </w:p>
    <w:p w:rsidR="007D48BC" w:rsidRDefault="007D48BC" w:rsidP="00C46CF5">
      <w:pPr>
        <w:rPr>
          <w:rFonts w:ascii="Arial" w:hAnsi="Arial" w:cs="Arial"/>
          <w:b/>
          <w:bCs/>
        </w:rPr>
      </w:pPr>
    </w:p>
    <w:p w:rsidR="007D48BC" w:rsidRDefault="007D48BC" w:rsidP="00C46CF5">
      <w:pPr>
        <w:rPr>
          <w:rFonts w:ascii="Arial" w:hAnsi="Arial" w:cs="Arial"/>
          <w:b/>
          <w:bCs/>
        </w:rPr>
      </w:pPr>
    </w:p>
    <w:p w:rsidR="007D48BC" w:rsidRDefault="007D48BC" w:rsidP="00C46CF5">
      <w:pPr>
        <w:rPr>
          <w:rFonts w:ascii="Arial" w:hAnsi="Arial" w:cs="Arial"/>
          <w:b/>
          <w:bCs/>
        </w:rPr>
      </w:pPr>
    </w:p>
    <w:p w:rsidR="007D48BC" w:rsidRDefault="007D48BC" w:rsidP="00C46CF5">
      <w:pPr>
        <w:rPr>
          <w:rFonts w:ascii="Arial" w:hAnsi="Arial" w:cs="Arial"/>
          <w:b/>
          <w:bCs/>
        </w:rPr>
      </w:pPr>
    </w:p>
    <w:p w:rsidR="007D48BC" w:rsidRDefault="007D48BC" w:rsidP="00C46CF5">
      <w:pPr>
        <w:rPr>
          <w:rFonts w:ascii="Arial" w:hAnsi="Arial" w:cs="Arial"/>
          <w:b/>
          <w:bCs/>
        </w:rPr>
      </w:pPr>
    </w:p>
    <w:p w:rsidR="007D48BC" w:rsidRDefault="007D48BC" w:rsidP="00C46CF5">
      <w:pPr>
        <w:rPr>
          <w:rFonts w:ascii="Arial" w:hAnsi="Arial" w:cs="Arial"/>
          <w:b/>
          <w:bCs/>
        </w:rPr>
      </w:pPr>
    </w:p>
    <w:p w:rsidR="007D48BC" w:rsidRDefault="007D48BC" w:rsidP="00C46CF5">
      <w:pPr>
        <w:rPr>
          <w:rFonts w:ascii="Arial" w:hAnsi="Arial" w:cs="Arial"/>
          <w:b/>
          <w:bCs/>
        </w:rPr>
      </w:pPr>
    </w:p>
    <w:p w:rsidR="007D48BC" w:rsidRDefault="007D48BC" w:rsidP="00C46CF5">
      <w:pPr>
        <w:rPr>
          <w:rFonts w:ascii="Arial" w:hAnsi="Arial" w:cs="Arial"/>
          <w:b/>
          <w:bCs/>
        </w:rPr>
      </w:pPr>
    </w:p>
    <w:p w:rsidR="007D48BC" w:rsidRDefault="007D48BC" w:rsidP="00C46CF5">
      <w:pPr>
        <w:rPr>
          <w:rFonts w:ascii="Arial" w:hAnsi="Arial" w:cs="Arial"/>
          <w:b/>
          <w:bCs/>
        </w:rPr>
      </w:pPr>
    </w:p>
    <w:p w:rsidR="007D48BC" w:rsidRDefault="007D48BC" w:rsidP="00C46CF5">
      <w:pPr>
        <w:rPr>
          <w:rFonts w:ascii="Arial" w:hAnsi="Arial" w:cs="Arial"/>
          <w:b/>
          <w:bCs/>
        </w:rPr>
      </w:pPr>
    </w:p>
    <w:p w:rsidR="007D48BC" w:rsidRDefault="007D48BC" w:rsidP="00C46CF5">
      <w:pPr>
        <w:rPr>
          <w:rFonts w:ascii="Arial" w:hAnsi="Arial" w:cs="Arial"/>
          <w:b/>
          <w:bCs/>
        </w:rPr>
      </w:pPr>
    </w:p>
    <w:p w:rsidR="007D48BC" w:rsidRPr="008E6D8B" w:rsidRDefault="007D48BC" w:rsidP="00C46CF5">
      <w:pPr>
        <w:jc w:val="both"/>
        <w:rPr>
          <w:rFonts w:ascii="Arial" w:hAnsi="Arial" w:cs="Arial"/>
          <w:b/>
          <w:bCs/>
          <w:lang w:val="en-US"/>
        </w:rPr>
      </w:pPr>
      <w:r w:rsidRPr="008E6D8B">
        <w:rPr>
          <w:rFonts w:ascii="Arial" w:hAnsi="Arial" w:cs="Arial"/>
          <w:b/>
          <w:bCs/>
          <w:lang w:val="en-US"/>
        </w:rPr>
        <w:t>ANEXO IV</w:t>
      </w:r>
    </w:p>
    <w:p w:rsidR="007D48BC" w:rsidRPr="008E6D8B" w:rsidRDefault="007D48BC" w:rsidP="00C46CF5">
      <w:pPr>
        <w:jc w:val="both"/>
        <w:rPr>
          <w:rFonts w:ascii="Arial" w:hAnsi="Arial" w:cs="Arial"/>
          <w:b/>
          <w:bCs/>
          <w:lang w:val="en-US"/>
        </w:rPr>
      </w:pPr>
    </w:p>
    <w:p w:rsidR="007D48BC" w:rsidRPr="00763508" w:rsidRDefault="007D48BC" w:rsidP="00C46CF5">
      <w:pPr>
        <w:jc w:val="both"/>
        <w:rPr>
          <w:rFonts w:ascii="Arial" w:hAnsi="Arial" w:cs="Arial"/>
          <w:b/>
          <w:bCs/>
          <w:lang w:val="en-US"/>
        </w:rPr>
      </w:pPr>
      <w:r w:rsidRPr="0058501F">
        <w:rPr>
          <w:rFonts w:ascii="Arial" w:hAnsi="Arial" w:cs="Arial"/>
          <w:b/>
          <w:bCs/>
          <w:i/>
          <w:iCs/>
          <w:lang w:val="en-US"/>
        </w:rPr>
        <w:t xml:space="preserve">B-cell Lymphoma. </w:t>
      </w:r>
      <w:r w:rsidRPr="006B690F">
        <w:rPr>
          <w:rFonts w:ascii="Arial" w:hAnsi="Arial" w:cs="Arial"/>
          <w:b/>
          <w:bCs/>
          <w:i/>
          <w:iCs/>
          <w:lang w:val="en-US"/>
        </w:rPr>
        <w:t xml:space="preserve">NCCN Clinical Practice Guidelines in Oncology </w:t>
      </w:r>
      <w:r w:rsidRPr="0058501F">
        <w:rPr>
          <w:rFonts w:ascii="Arial" w:hAnsi="Arial" w:cs="Arial"/>
          <w:b/>
          <w:bCs/>
          <w:i/>
          <w:iCs/>
          <w:lang w:val="en-US"/>
        </w:rPr>
        <w:t>(2018)</w:t>
      </w:r>
      <w:r>
        <w:rPr>
          <w:rFonts w:ascii="Arial" w:hAnsi="Arial" w:cs="Arial"/>
          <w:b/>
          <w:bCs/>
          <w:i/>
          <w:iCs/>
          <w:vertAlign w:val="superscript"/>
          <w:lang w:val="en-US"/>
        </w:rPr>
        <w:t>7</w:t>
      </w:r>
      <w:r w:rsidRPr="0058501F">
        <w:rPr>
          <w:rFonts w:ascii="Arial" w:hAnsi="Arial" w:cs="Arial"/>
          <w:b/>
          <w:bCs/>
          <w:i/>
          <w:iCs/>
          <w:lang w:val="en-US"/>
        </w:rPr>
        <w:t>:</w:t>
      </w:r>
    </w:p>
    <w:p w:rsidR="007D48BC" w:rsidRPr="00763508" w:rsidRDefault="007D48BC" w:rsidP="00C46CF5">
      <w:pPr>
        <w:jc w:val="both"/>
        <w:rPr>
          <w:rFonts w:ascii="Arial" w:hAnsi="Arial" w:cs="Arial"/>
          <w:b/>
          <w:bCs/>
          <w:lang w:val="en-US"/>
        </w:rPr>
      </w:pPr>
    </w:p>
    <w:p w:rsidR="007D48BC" w:rsidRDefault="003C496A" w:rsidP="00C46CF5">
      <w:pPr>
        <w:jc w:val="both"/>
        <w:rPr>
          <w:rFonts w:ascii="Arial" w:hAnsi="Arial" w:cs="Arial"/>
          <w:b/>
          <w:bCs/>
        </w:rPr>
      </w:pPr>
      <w:r>
        <w:rPr>
          <w:rFonts w:ascii="Arial" w:hAnsi="Arial" w:cs="Arial"/>
          <w:b/>
          <w:bCs/>
          <w:noProof/>
        </w:rPr>
        <w:drawing>
          <wp:inline distT="0" distB="0" distL="0" distR="0">
            <wp:extent cx="5543550" cy="4191000"/>
            <wp:effectExtent l="0" t="0" r="0" b="0"/>
            <wp:docPr id="12"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543550" cy="4191000"/>
                    </a:xfrm>
                    <a:prstGeom prst="rect">
                      <a:avLst/>
                    </a:prstGeom>
                    <a:noFill/>
                    <a:ln>
                      <a:noFill/>
                    </a:ln>
                  </pic:spPr>
                </pic:pic>
              </a:graphicData>
            </a:graphic>
          </wp:inline>
        </w:drawing>
      </w:r>
    </w:p>
    <w:p w:rsidR="007D48BC" w:rsidRDefault="007D48BC" w:rsidP="00C46CF5">
      <w:pPr>
        <w:jc w:val="both"/>
        <w:rPr>
          <w:rFonts w:ascii="Arial" w:hAnsi="Arial" w:cs="Arial"/>
          <w:b/>
          <w:bCs/>
        </w:rPr>
      </w:pPr>
    </w:p>
    <w:p w:rsidR="007D48BC" w:rsidRPr="00763508" w:rsidRDefault="007D48BC" w:rsidP="00C46CF5">
      <w:pPr>
        <w:jc w:val="both"/>
        <w:rPr>
          <w:rFonts w:ascii="Arial" w:hAnsi="Arial" w:cs="Arial"/>
          <w:b/>
          <w:bCs/>
          <w:lang w:val="en-US"/>
        </w:rPr>
      </w:pPr>
      <w:r w:rsidRPr="00763508">
        <w:rPr>
          <w:rFonts w:ascii="Arial" w:hAnsi="Arial" w:cs="Arial"/>
          <w:b/>
          <w:bCs/>
          <w:lang w:val="en-US"/>
        </w:rPr>
        <w:t>ANEXO V</w:t>
      </w:r>
    </w:p>
    <w:p w:rsidR="007D48BC" w:rsidRPr="00763508" w:rsidRDefault="007D48BC" w:rsidP="00C46CF5">
      <w:pPr>
        <w:jc w:val="both"/>
        <w:rPr>
          <w:rFonts w:ascii="Arial" w:hAnsi="Arial" w:cs="Arial"/>
          <w:b/>
          <w:bCs/>
          <w:lang w:val="en-US"/>
        </w:rPr>
      </w:pPr>
    </w:p>
    <w:p w:rsidR="007D48BC" w:rsidRPr="00763508" w:rsidRDefault="007D48BC" w:rsidP="00763508">
      <w:pPr>
        <w:autoSpaceDE w:val="0"/>
        <w:autoSpaceDN w:val="0"/>
        <w:adjustRightInd w:val="0"/>
        <w:rPr>
          <w:rFonts w:ascii="Arial" w:hAnsi="Arial" w:cs="Arial"/>
          <w:b/>
          <w:bCs/>
          <w:lang w:val="en-US"/>
        </w:rPr>
      </w:pPr>
      <w:r w:rsidRPr="002472F9">
        <w:rPr>
          <w:rFonts w:ascii="Arial" w:hAnsi="Arial" w:cs="Arial"/>
          <w:b/>
          <w:bCs/>
          <w:lang w:val="en-US"/>
        </w:rPr>
        <w:t>Diffuse large B-cell lymphoma (DLBCL): ESMO Clinical Practice Guidelines for diagnosis, treatment and follow-up Esmo (2015)</w:t>
      </w:r>
      <w:r>
        <w:rPr>
          <w:rFonts w:ascii="Arial" w:hAnsi="Arial" w:cs="Arial"/>
          <w:b/>
          <w:bCs/>
          <w:vertAlign w:val="superscript"/>
          <w:lang w:val="en-US"/>
        </w:rPr>
        <w:t>8</w:t>
      </w:r>
    </w:p>
    <w:p w:rsidR="007D48BC" w:rsidRPr="00763508" w:rsidRDefault="007D48BC" w:rsidP="00763508">
      <w:pPr>
        <w:jc w:val="both"/>
        <w:rPr>
          <w:rFonts w:ascii="Arial" w:hAnsi="Arial" w:cs="Arial"/>
          <w:b/>
          <w:bCs/>
          <w:lang w:val="en-US"/>
        </w:rPr>
      </w:pPr>
    </w:p>
    <w:p w:rsidR="007D48BC" w:rsidRDefault="003C496A" w:rsidP="00763508">
      <w:pPr>
        <w:jc w:val="both"/>
        <w:rPr>
          <w:rFonts w:ascii="Arial" w:hAnsi="Arial" w:cs="Arial"/>
          <w:b/>
          <w:bCs/>
        </w:rPr>
      </w:pPr>
      <w:r>
        <w:rPr>
          <w:rFonts w:ascii="Arial" w:hAnsi="Arial" w:cs="Arial"/>
          <w:b/>
          <w:bCs/>
          <w:noProof/>
        </w:rPr>
        <w:drawing>
          <wp:inline distT="0" distB="0" distL="0" distR="0">
            <wp:extent cx="5505450" cy="2638425"/>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505450" cy="2638425"/>
                    </a:xfrm>
                    <a:prstGeom prst="rect">
                      <a:avLst/>
                    </a:prstGeom>
                    <a:noFill/>
                    <a:ln>
                      <a:noFill/>
                    </a:ln>
                  </pic:spPr>
                </pic:pic>
              </a:graphicData>
            </a:graphic>
          </wp:inline>
        </w:drawing>
      </w:r>
    </w:p>
    <w:p w:rsidR="007D48BC" w:rsidRPr="00763508" w:rsidRDefault="007D48BC" w:rsidP="00763508">
      <w:pPr>
        <w:autoSpaceDE w:val="0"/>
        <w:autoSpaceDN w:val="0"/>
        <w:adjustRightInd w:val="0"/>
        <w:rPr>
          <w:rFonts w:ascii="Arial" w:hAnsi="Arial" w:cs="Arial"/>
          <w:b/>
          <w:bCs/>
          <w:lang w:val="en-US"/>
        </w:rPr>
      </w:pPr>
      <w:r w:rsidRPr="0065473E">
        <w:rPr>
          <w:rFonts w:ascii="Arial" w:hAnsi="Arial" w:cs="Arial"/>
          <w:b/>
          <w:bCs/>
          <w:lang w:val="en-US"/>
        </w:rPr>
        <w:t>Extranodal diffuse large B-cell lymphoma (DLBCL) and primary mediastinal B-cell lymphoma: ESMO Clinical  Practice Guidelines for diagnosis, treatment and follow-up (2016)</w:t>
      </w:r>
      <w:r>
        <w:rPr>
          <w:rFonts w:ascii="Arial" w:hAnsi="Arial" w:cs="Arial"/>
          <w:b/>
          <w:bCs/>
          <w:vertAlign w:val="superscript"/>
          <w:lang w:val="en-US"/>
        </w:rPr>
        <w:t>9</w:t>
      </w:r>
      <w:r w:rsidRPr="0065473E">
        <w:rPr>
          <w:rFonts w:ascii="Arial" w:hAnsi="Arial" w:cs="Arial"/>
          <w:b/>
          <w:bCs/>
          <w:lang w:val="en-US"/>
        </w:rPr>
        <w:t>.</w:t>
      </w:r>
    </w:p>
    <w:p w:rsidR="007D48BC" w:rsidRDefault="003C496A" w:rsidP="00763508">
      <w:pPr>
        <w:tabs>
          <w:tab w:val="left" w:pos="3285"/>
        </w:tabs>
        <w:jc w:val="center"/>
        <w:rPr>
          <w:rFonts w:ascii="Arial" w:hAnsi="Arial" w:cs="Arial"/>
        </w:rPr>
      </w:pPr>
      <w:r>
        <w:rPr>
          <w:rFonts w:ascii="Arial" w:hAnsi="Arial" w:cs="Arial"/>
          <w:noProof/>
        </w:rPr>
        <w:drawing>
          <wp:inline distT="0" distB="0" distL="0" distR="0">
            <wp:extent cx="3038475" cy="4219575"/>
            <wp:effectExtent l="0" t="0" r="0" b="0"/>
            <wp:docPr id="14"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038475" cy="4219575"/>
                    </a:xfrm>
                    <a:prstGeom prst="rect">
                      <a:avLst/>
                    </a:prstGeom>
                    <a:noFill/>
                    <a:ln>
                      <a:noFill/>
                    </a:ln>
                  </pic:spPr>
                </pic:pic>
              </a:graphicData>
            </a:graphic>
          </wp:inline>
        </w:drawing>
      </w:r>
    </w:p>
    <w:p w:rsidR="007D48BC" w:rsidRDefault="007D48BC" w:rsidP="00763508">
      <w:pPr>
        <w:tabs>
          <w:tab w:val="left" w:pos="4995"/>
        </w:tabs>
        <w:rPr>
          <w:rFonts w:ascii="Arial" w:hAnsi="Arial" w:cs="Arial"/>
          <w:b/>
          <w:bCs/>
          <w:i/>
          <w:iCs/>
          <w:lang w:val="en-US"/>
        </w:rPr>
      </w:pPr>
      <w:r w:rsidRPr="0058501F">
        <w:rPr>
          <w:rFonts w:ascii="Arial" w:hAnsi="Arial" w:cs="Arial"/>
          <w:b/>
          <w:bCs/>
          <w:i/>
          <w:iCs/>
          <w:lang w:val="en-US"/>
        </w:rPr>
        <w:t xml:space="preserve">B-cell Lymphoma. </w:t>
      </w:r>
      <w:r w:rsidRPr="006B690F">
        <w:rPr>
          <w:rFonts w:ascii="Arial" w:hAnsi="Arial" w:cs="Arial"/>
          <w:b/>
          <w:bCs/>
          <w:i/>
          <w:iCs/>
          <w:lang w:val="en-US"/>
        </w:rPr>
        <w:t xml:space="preserve">NCCN Clinical Practice Guidelines in Oncology </w:t>
      </w:r>
      <w:r w:rsidRPr="0058501F">
        <w:rPr>
          <w:rFonts w:ascii="Arial" w:hAnsi="Arial" w:cs="Arial"/>
          <w:b/>
          <w:bCs/>
          <w:i/>
          <w:iCs/>
          <w:lang w:val="en-US"/>
        </w:rPr>
        <w:t>(2018)</w:t>
      </w:r>
      <w:r>
        <w:rPr>
          <w:rFonts w:ascii="Arial" w:hAnsi="Arial" w:cs="Arial"/>
          <w:b/>
          <w:bCs/>
          <w:i/>
          <w:iCs/>
          <w:vertAlign w:val="superscript"/>
          <w:lang w:val="en-US"/>
        </w:rPr>
        <w:t>7</w:t>
      </w:r>
      <w:r w:rsidRPr="0058501F">
        <w:rPr>
          <w:rFonts w:ascii="Arial" w:hAnsi="Arial" w:cs="Arial"/>
          <w:b/>
          <w:bCs/>
          <w:i/>
          <w:iCs/>
          <w:lang w:val="en-US"/>
        </w:rPr>
        <w:t>:</w:t>
      </w:r>
    </w:p>
    <w:p w:rsidR="007D48BC" w:rsidRDefault="007D48BC" w:rsidP="00763508">
      <w:pPr>
        <w:tabs>
          <w:tab w:val="left" w:pos="4995"/>
        </w:tabs>
        <w:rPr>
          <w:rFonts w:ascii="Arial" w:hAnsi="Arial" w:cs="Arial"/>
          <w:noProof/>
          <w:lang w:val="en-US"/>
        </w:rPr>
      </w:pPr>
    </w:p>
    <w:p w:rsidR="007D48BC" w:rsidRPr="00763508" w:rsidRDefault="003C496A" w:rsidP="00763508">
      <w:pPr>
        <w:tabs>
          <w:tab w:val="left" w:pos="4995"/>
        </w:tabs>
        <w:jc w:val="center"/>
        <w:rPr>
          <w:rFonts w:ascii="Arial" w:hAnsi="Arial" w:cs="Arial"/>
          <w:noProof/>
          <w:lang w:val="en-US"/>
        </w:rPr>
      </w:pPr>
      <w:r>
        <w:rPr>
          <w:rFonts w:ascii="Arial" w:hAnsi="Arial" w:cs="Arial"/>
          <w:noProof/>
        </w:rPr>
        <w:drawing>
          <wp:inline distT="0" distB="0" distL="0" distR="0">
            <wp:extent cx="4438650" cy="3228975"/>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a:picLocks noChangeAspect="1" noChangeArrowheads="1"/>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438650" cy="3228975"/>
                    </a:xfrm>
                    <a:prstGeom prst="rect">
                      <a:avLst/>
                    </a:prstGeom>
                    <a:noFill/>
                    <a:ln>
                      <a:noFill/>
                    </a:ln>
                  </pic:spPr>
                </pic:pic>
              </a:graphicData>
            </a:graphic>
          </wp:inline>
        </w:drawing>
      </w:r>
    </w:p>
    <w:p w:rsidR="007D48BC" w:rsidRPr="00763508" w:rsidRDefault="007D48BC" w:rsidP="00C46CF5">
      <w:pPr>
        <w:tabs>
          <w:tab w:val="left" w:pos="4995"/>
        </w:tabs>
        <w:rPr>
          <w:rFonts w:ascii="Arial" w:hAnsi="Arial" w:cs="Arial"/>
          <w:lang w:val="en-US"/>
        </w:rPr>
        <w:sectPr w:rsidR="007D48BC" w:rsidRPr="00763508" w:rsidSect="00FB3B9C">
          <w:pgSz w:w="11906" w:h="16838"/>
          <w:pgMar w:top="1417" w:right="1466" w:bottom="1417" w:left="1701" w:header="708" w:footer="708" w:gutter="0"/>
          <w:cols w:space="708"/>
          <w:rtlGutter/>
          <w:docGrid w:linePitch="360"/>
        </w:sectPr>
      </w:pPr>
      <w:r w:rsidRPr="00763508">
        <w:rPr>
          <w:rFonts w:ascii="Arial" w:hAnsi="Arial" w:cs="Arial"/>
          <w:lang w:val="en-US"/>
        </w:rPr>
        <w:tab/>
      </w:r>
    </w:p>
    <w:p w:rsidR="007D48BC" w:rsidRDefault="007D48BC" w:rsidP="00A56BE4">
      <w:pPr>
        <w:jc w:val="both"/>
        <w:rPr>
          <w:rFonts w:ascii="Arial" w:hAnsi="Arial" w:cs="Arial"/>
          <w:b/>
          <w:bCs/>
        </w:rPr>
      </w:pPr>
      <w:r>
        <w:rPr>
          <w:rFonts w:ascii="Arial" w:hAnsi="Arial" w:cs="Arial"/>
          <w:b/>
          <w:bCs/>
        </w:rPr>
        <w:t>ANEXO VI</w:t>
      </w:r>
    </w:p>
    <w:tbl>
      <w:tblPr>
        <w:tblW w:w="15955" w:type="dxa"/>
        <w:jc w:val="center"/>
        <w:tblLayout w:type="fixed"/>
        <w:tblCellMar>
          <w:left w:w="70" w:type="dxa"/>
          <w:right w:w="70" w:type="dxa"/>
        </w:tblCellMar>
        <w:tblLook w:val="00A0"/>
      </w:tblPr>
      <w:tblGrid>
        <w:gridCol w:w="2122"/>
        <w:gridCol w:w="1275"/>
        <w:gridCol w:w="749"/>
        <w:gridCol w:w="973"/>
        <w:gridCol w:w="1297"/>
        <w:gridCol w:w="658"/>
        <w:gridCol w:w="81"/>
        <w:gridCol w:w="577"/>
        <w:gridCol w:w="1012"/>
        <w:gridCol w:w="1227"/>
        <w:gridCol w:w="1397"/>
        <w:gridCol w:w="768"/>
        <w:gridCol w:w="539"/>
        <w:gridCol w:w="1033"/>
        <w:gridCol w:w="951"/>
        <w:gridCol w:w="1296"/>
      </w:tblGrid>
      <w:tr w:rsidR="007D48BC" w:rsidRPr="001F344E">
        <w:trPr>
          <w:trHeight w:val="261"/>
          <w:jc w:val="center"/>
        </w:trPr>
        <w:tc>
          <w:tcPr>
            <w:tcW w:w="15955" w:type="dxa"/>
            <w:gridSpan w:val="16"/>
            <w:tcBorders>
              <w:top w:val="single" w:sz="4" w:space="0" w:color="auto"/>
              <w:left w:val="single" w:sz="4" w:space="0" w:color="auto"/>
              <w:bottom w:val="single" w:sz="4" w:space="0" w:color="auto"/>
              <w:right w:val="single" w:sz="4" w:space="0" w:color="auto"/>
            </w:tcBorders>
            <w:shd w:val="clear" w:color="000000" w:fill="B6DDE8"/>
            <w:vAlign w:val="center"/>
          </w:tcPr>
          <w:p w:rsidR="007D48BC" w:rsidRPr="001F344E" w:rsidRDefault="007D48BC" w:rsidP="00A56BE4">
            <w:pPr>
              <w:jc w:val="center"/>
              <w:rPr>
                <w:rFonts w:ascii="Arial" w:hAnsi="Arial" w:cs="Arial"/>
              </w:rPr>
            </w:pPr>
            <w:r w:rsidRPr="001F344E">
              <w:rPr>
                <w:rFonts w:ascii="Arial" w:hAnsi="Arial" w:cs="Arial"/>
                <w:sz w:val="18"/>
                <w:szCs w:val="18"/>
              </w:rPr>
              <w:t xml:space="preserve">ANEXO </w:t>
            </w:r>
            <w:r>
              <w:rPr>
                <w:rFonts w:ascii="Arial" w:hAnsi="Arial" w:cs="Arial"/>
                <w:sz w:val="18"/>
                <w:szCs w:val="18"/>
              </w:rPr>
              <w:t>V</w:t>
            </w:r>
            <w:r w:rsidRPr="001F344E">
              <w:rPr>
                <w:rFonts w:ascii="Arial" w:hAnsi="Arial" w:cs="Arial"/>
                <w:sz w:val="18"/>
                <w:szCs w:val="18"/>
              </w:rPr>
              <w:t xml:space="preserve">I: Tabla de costes directos sanitarios     </w:t>
            </w:r>
          </w:p>
        </w:tc>
      </w:tr>
      <w:tr w:rsidR="007D48BC" w:rsidRPr="001F344E">
        <w:trPr>
          <w:trHeight w:val="260"/>
          <w:jc w:val="center"/>
        </w:trPr>
        <w:tc>
          <w:tcPr>
            <w:tcW w:w="2122" w:type="dxa"/>
            <w:vMerge w:val="restart"/>
            <w:tcBorders>
              <w:top w:val="single" w:sz="4" w:space="0" w:color="auto"/>
              <w:left w:val="single" w:sz="4" w:space="0" w:color="auto"/>
              <w:bottom w:val="single" w:sz="4" w:space="0" w:color="auto"/>
              <w:right w:val="single" w:sz="4" w:space="0" w:color="auto"/>
            </w:tcBorders>
            <w:shd w:val="clear" w:color="000000" w:fill="4F81BD"/>
            <w:vAlign w:val="center"/>
          </w:tcPr>
          <w:p w:rsidR="007D48BC" w:rsidRPr="001F344E" w:rsidRDefault="007D48BC" w:rsidP="00A56BE4">
            <w:pPr>
              <w:jc w:val="center"/>
              <w:rPr>
                <w:rFonts w:ascii="Arial" w:hAnsi="Arial" w:cs="Arial"/>
                <w:color w:val="FFFFFF"/>
                <w:sz w:val="16"/>
                <w:szCs w:val="16"/>
              </w:rPr>
            </w:pPr>
            <w:r w:rsidRPr="001F344E">
              <w:rPr>
                <w:rFonts w:ascii="Arial" w:hAnsi="Arial" w:cs="Arial"/>
                <w:color w:val="FFFFFF"/>
                <w:sz w:val="16"/>
                <w:szCs w:val="16"/>
              </w:rPr>
              <w:t> </w:t>
            </w:r>
          </w:p>
        </w:tc>
        <w:tc>
          <w:tcPr>
            <w:tcW w:w="4294" w:type="dxa"/>
            <w:gridSpan w:val="4"/>
            <w:tcBorders>
              <w:top w:val="single" w:sz="8" w:space="0" w:color="auto"/>
              <w:left w:val="single" w:sz="4" w:space="0" w:color="auto"/>
              <w:bottom w:val="single" w:sz="4" w:space="0" w:color="000000"/>
              <w:right w:val="single" w:sz="8" w:space="0" w:color="000000"/>
            </w:tcBorders>
            <w:shd w:val="clear" w:color="000000" w:fill="4F81BD"/>
            <w:vAlign w:val="center"/>
          </w:tcPr>
          <w:p w:rsidR="007D48BC" w:rsidRPr="001F344E" w:rsidRDefault="007D48BC" w:rsidP="00A56BE4">
            <w:pPr>
              <w:jc w:val="center"/>
              <w:rPr>
                <w:rFonts w:ascii="Arial" w:hAnsi="Arial" w:cs="Arial"/>
                <w:color w:val="FFFFFF"/>
                <w:sz w:val="16"/>
                <w:szCs w:val="16"/>
              </w:rPr>
            </w:pPr>
            <w:r w:rsidRPr="00E61734">
              <w:rPr>
                <w:rFonts w:ascii="Arial" w:hAnsi="Arial" w:cs="Arial"/>
                <w:color w:val="FFFFFF"/>
                <w:sz w:val="16"/>
                <w:szCs w:val="16"/>
              </w:rPr>
              <w:t>Abxicabtagen ciloleucel</w:t>
            </w:r>
          </w:p>
        </w:tc>
        <w:tc>
          <w:tcPr>
            <w:tcW w:w="3555" w:type="dxa"/>
            <w:gridSpan w:val="5"/>
            <w:tcBorders>
              <w:top w:val="single" w:sz="8" w:space="0" w:color="auto"/>
              <w:left w:val="nil"/>
              <w:bottom w:val="single" w:sz="4" w:space="0" w:color="000000"/>
              <w:right w:val="single" w:sz="4" w:space="0" w:color="000000"/>
            </w:tcBorders>
            <w:shd w:val="clear" w:color="000000" w:fill="4F81BD"/>
            <w:vAlign w:val="center"/>
          </w:tcPr>
          <w:p w:rsidR="007D48BC" w:rsidRPr="001F344E" w:rsidRDefault="007D48BC" w:rsidP="00A56BE4">
            <w:pPr>
              <w:jc w:val="center"/>
              <w:rPr>
                <w:rFonts w:ascii="Arial" w:hAnsi="Arial" w:cs="Arial"/>
                <w:color w:val="FFFFFF"/>
                <w:sz w:val="16"/>
                <w:szCs w:val="16"/>
              </w:rPr>
            </w:pPr>
            <w:r w:rsidRPr="00377991">
              <w:rPr>
                <w:rFonts w:ascii="Arial" w:hAnsi="Arial" w:cs="Arial"/>
                <w:color w:val="FFFFFF"/>
                <w:sz w:val="16"/>
                <w:szCs w:val="16"/>
              </w:rPr>
              <w:t>Tisagenlecleucel</w:t>
            </w:r>
          </w:p>
        </w:tc>
        <w:tc>
          <w:tcPr>
            <w:tcW w:w="1397" w:type="dxa"/>
            <w:vMerge w:val="restart"/>
            <w:tcBorders>
              <w:top w:val="nil"/>
              <w:left w:val="single" w:sz="4" w:space="0" w:color="auto"/>
              <w:right w:val="single" w:sz="8" w:space="0" w:color="auto"/>
            </w:tcBorders>
            <w:shd w:val="clear" w:color="000000" w:fill="4F81BD"/>
            <w:vAlign w:val="center"/>
          </w:tcPr>
          <w:p w:rsidR="007D48BC" w:rsidRPr="001F344E" w:rsidRDefault="007D48BC" w:rsidP="006A074E">
            <w:pPr>
              <w:jc w:val="center"/>
              <w:rPr>
                <w:rFonts w:ascii="Arial" w:hAnsi="Arial" w:cs="Arial"/>
                <w:color w:val="FFFFFF"/>
                <w:sz w:val="16"/>
                <w:szCs w:val="16"/>
              </w:rPr>
            </w:pPr>
            <w:r w:rsidRPr="001F344E">
              <w:rPr>
                <w:rFonts w:ascii="Arial" w:hAnsi="Arial" w:cs="Arial"/>
                <w:color w:val="FFFFFF"/>
                <w:sz w:val="16"/>
                <w:szCs w:val="16"/>
              </w:rPr>
              <w:t>Diferencia de costes</w:t>
            </w:r>
          </w:p>
        </w:tc>
        <w:tc>
          <w:tcPr>
            <w:tcW w:w="3291" w:type="dxa"/>
            <w:gridSpan w:val="4"/>
            <w:tcBorders>
              <w:top w:val="single" w:sz="8" w:space="0" w:color="auto"/>
              <w:left w:val="nil"/>
              <w:bottom w:val="single" w:sz="4" w:space="0" w:color="000000"/>
              <w:right w:val="single" w:sz="4" w:space="0" w:color="000000"/>
            </w:tcBorders>
            <w:shd w:val="clear" w:color="000000" w:fill="4F81BD"/>
            <w:vAlign w:val="center"/>
          </w:tcPr>
          <w:p w:rsidR="007D48BC" w:rsidRPr="001F344E" w:rsidRDefault="007D48BC" w:rsidP="006A074E">
            <w:pPr>
              <w:jc w:val="center"/>
              <w:rPr>
                <w:rFonts w:ascii="Arial" w:hAnsi="Arial" w:cs="Arial"/>
                <w:color w:val="FFFFFF"/>
                <w:sz w:val="16"/>
                <w:szCs w:val="16"/>
              </w:rPr>
            </w:pPr>
            <w:r>
              <w:rPr>
                <w:rFonts w:ascii="Arial" w:hAnsi="Arial" w:cs="Arial"/>
                <w:color w:val="FFFFFF"/>
                <w:sz w:val="16"/>
                <w:szCs w:val="16"/>
              </w:rPr>
              <w:t>Pixantrona</w:t>
            </w:r>
          </w:p>
        </w:tc>
        <w:tc>
          <w:tcPr>
            <w:tcW w:w="1296" w:type="dxa"/>
            <w:vMerge w:val="restart"/>
            <w:tcBorders>
              <w:top w:val="nil"/>
              <w:left w:val="nil"/>
              <w:right w:val="single" w:sz="8" w:space="0" w:color="auto"/>
            </w:tcBorders>
            <w:shd w:val="clear" w:color="000000" w:fill="4F81BD"/>
            <w:vAlign w:val="center"/>
          </w:tcPr>
          <w:p w:rsidR="007D48BC" w:rsidRPr="001F344E" w:rsidRDefault="007D48BC" w:rsidP="006A074E">
            <w:pPr>
              <w:jc w:val="center"/>
              <w:rPr>
                <w:rFonts w:ascii="Arial" w:hAnsi="Arial" w:cs="Arial"/>
                <w:color w:val="FFFFFF"/>
                <w:sz w:val="16"/>
                <w:szCs w:val="16"/>
              </w:rPr>
            </w:pPr>
            <w:r w:rsidRPr="001F344E">
              <w:rPr>
                <w:rFonts w:ascii="Arial" w:hAnsi="Arial" w:cs="Arial"/>
                <w:color w:val="FFFFFF"/>
                <w:sz w:val="16"/>
                <w:szCs w:val="16"/>
              </w:rPr>
              <w:t>Diferencia de costes</w:t>
            </w:r>
          </w:p>
        </w:tc>
      </w:tr>
      <w:tr w:rsidR="007D48BC" w:rsidRPr="001F344E">
        <w:trPr>
          <w:trHeight w:val="402"/>
          <w:jc w:val="center"/>
        </w:trPr>
        <w:tc>
          <w:tcPr>
            <w:tcW w:w="2122" w:type="dxa"/>
            <w:vMerge/>
            <w:tcBorders>
              <w:top w:val="single" w:sz="4" w:space="0" w:color="auto"/>
              <w:left w:val="single" w:sz="4" w:space="0" w:color="auto"/>
              <w:bottom w:val="single" w:sz="4" w:space="0" w:color="auto"/>
              <w:right w:val="single" w:sz="4" w:space="0" w:color="auto"/>
            </w:tcBorders>
            <w:vAlign w:val="center"/>
          </w:tcPr>
          <w:p w:rsidR="007D48BC" w:rsidRPr="001F344E" w:rsidRDefault="007D48BC" w:rsidP="00A56BE4">
            <w:pPr>
              <w:rPr>
                <w:rFonts w:ascii="Arial" w:hAnsi="Arial" w:cs="Arial"/>
                <w:color w:val="FFFFFF"/>
                <w:sz w:val="16"/>
                <w:szCs w:val="16"/>
              </w:rPr>
            </w:pPr>
          </w:p>
        </w:tc>
        <w:tc>
          <w:tcPr>
            <w:tcW w:w="2024" w:type="dxa"/>
            <w:gridSpan w:val="2"/>
            <w:tcBorders>
              <w:top w:val="single" w:sz="4" w:space="0" w:color="auto"/>
              <w:left w:val="single" w:sz="4" w:space="0" w:color="auto"/>
              <w:bottom w:val="single" w:sz="4" w:space="0" w:color="auto"/>
              <w:right w:val="single" w:sz="4" w:space="0" w:color="000000"/>
            </w:tcBorders>
            <w:shd w:val="clear" w:color="000000" w:fill="4F81BD"/>
            <w:vAlign w:val="center"/>
          </w:tcPr>
          <w:p w:rsidR="007D48BC" w:rsidRPr="001F344E" w:rsidRDefault="007D48BC" w:rsidP="00A56BE4">
            <w:pPr>
              <w:jc w:val="center"/>
              <w:rPr>
                <w:rFonts w:ascii="Arial" w:hAnsi="Arial" w:cs="Arial"/>
                <w:color w:val="FFFFFF"/>
                <w:sz w:val="16"/>
                <w:szCs w:val="16"/>
              </w:rPr>
            </w:pPr>
            <w:r w:rsidRPr="001F344E">
              <w:rPr>
                <w:rFonts w:ascii="Arial" w:hAnsi="Arial" w:cs="Arial"/>
                <w:color w:val="FFFFFF"/>
                <w:sz w:val="16"/>
                <w:szCs w:val="16"/>
              </w:rPr>
              <w:t>Coste unitario</w:t>
            </w:r>
          </w:p>
        </w:tc>
        <w:tc>
          <w:tcPr>
            <w:tcW w:w="973" w:type="dxa"/>
            <w:tcBorders>
              <w:top w:val="nil"/>
              <w:left w:val="nil"/>
              <w:bottom w:val="single" w:sz="4" w:space="0" w:color="auto"/>
              <w:right w:val="single" w:sz="4" w:space="0" w:color="auto"/>
            </w:tcBorders>
            <w:shd w:val="clear" w:color="000000" w:fill="4F81BD"/>
            <w:vAlign w:val="center"/>
          </w:tcPr>
          <w:p w:rsidR="007D48BC" w:rsidRPr="001F344E" w:rsidRDefault="007D48BC" w:rsidP="00A56BE4">
            <w:pPr>
              <w:jc w:val="center"/>
              <w:rPr>
                <w:rFonts w:ascii="Arial" w:hAnsi="Arial" w:cs="Arial"/>
                <w:color w:val="FFFFFF"/>
                <w:sz w:val="16"/>
                <w:szCs w:val="16"/>
              </w:rPr>
            </w:pPr>
            <w:r w:rsidRPr="001F344E">
              <w:rPr>
                <w:rFonts w:ascii="Arial" w:hAnsi="Arial" w:cs="Arial"/>
                <w:color w:val="FFFFFF"/>
                <w:sz w:val="16"/>
                <w:szCs w:val="16"/>
              </w:rPr>
              <w:t>Cantidad</w:t>
            </w:r>
          </w:p>
        </w:tc>
        <w:tc>
          <w:tcPr>
            <w:tcW w:w="1297" w:type="dxa"/>
            <w:tcBorders>
              <w:top w:val="nil"/>
              <w:left w:val="nil"/>
              <w:bottom w:val="single" w:sz="4" w:space="0" w:color="auto"/>
              <w:right w:val="single" w:sz="8" w:space="0" w:color="auto"/>
            </w:tcBorders>
            <w:shd w:val="clear" w:color="000000" w:fill="4F81BD"/>
            <w:vAlign w:val="center"/>
          </w:tcPr>
          <w:p w:rsidR="007D48BC" w:rsidRPr="001F344E" w:rsidRDefault="007D48BC" w:rsidP="00A56BE4">
            <w:pPr>
              <w:jc w:val="center"/>
              <w:rPr>
                <w:rFonts w:ascii="Arial" w:hAnsi="Arial" w:cs="Arial"/>
                <w:color w:val="FFFFFF"/>
                <w:sz w:val="16"/>
                <w:szCs w:val="16"/>
              </w:rPr>
            </w:pPr>
            <w:r w:rsidRPr="001F344E">
              <w:rPr>
                <w:rFonts w:ascii="Arial" w:hAnsi="Arial" w:cs="Arial"/>
                <w:color w:val="FFFFFF"/>
                <w:sz w:val="16"/>
                <w:szCs w:val="16"/>
              </w:rPr>
              <w:t>Coste * (€)</w:t>
            </w:r>
          </w:p>
        </w:tc>
        <w:tc>
          <w:tcPr>
            <w:tcW w:w="1316" w:type="dxa"/>
            <w:gridSpan w:val="3"/>
            <w:tcBorders>
              <w:top w:val="nil"/>
              <w:left w:val="nil"/>
              <w:bottom w:val="single" w:sz="4" w:space="0" w:color="auto"/>
              <w:right w:val="single" w:sz="4" w:space="0" w:color="auto"/>
            </w:tcBorders>
            <w:shd w:val="clear" w:color="000000" w:fill="4F81BD"/>
            <w:vAlign w:val="center"/>
          </w:tcPr>
          <w:p w:rsidR="007D48BC" w:rsidRPr="001F344E" w:rsidRDefault="007D48BC" w:rsidP="00A56BE4">
            <w:pPr>
              <w:jc w:val="center"/>
              <w:rPr>
                <w:rFonts w:ascii="Arial" w:hAnsi="Arial" w:cs="Arial"/>
                <w:color w:val="FFFFFF"/>
                <w:sz w:val="16"/>
                <w:szCs w:val="16"/>
              </w:rPr>
            </w:pPr>
            <w:r w:rsidRPr="001F344E">
              <w:rPr>
                <w:rFonts w:ascii="Arial" w:hAnsi="Arial" w:cs="Arial"/>
                <w:color w:val="FFFFFF"/>
                <w:sz w:val="16"/>
                <w:szCs w:val="16"/>
              </w:rPr>
              <w:t>Coste unitario</w:t>
            </w:r>
          </w:p>
        </w:tc>
        <w:tc>
          <w:tcPr>
            <w:tcW w:w="1012" w:type="dxa"/>
            <w:tcBorders>
              <w:top w:val="nil"/>
              <w:left w:val="nil"/>
              <w:bottom w:val="single" w:sz="4" w:space="0" w:color="auto"/>
              <w:right w:val="single" w:sz="4" w:space="0" w:color="auto"/>
            </w:tcBorders>
            <w:shd w:val="clear" w:color="000000" w:fill="4F81BD"/>
            <w:vAlign w:val="center"/>
          </w:tcPr>
          <w:p w:rsidR="007D48BC" w:rsidRPr="001F344E" w:rsidRDefault="007D48BC" w:rsidP="00A56BE4">
            <w:pPr>
              <w:jc w:val="center"/>
              <w:rPr>
                <w:rFonts w:ascii="Arial" w:hAnsi="Arial" w:cs="Arial"/>
                <w:color w:val="FFFFFF"/>
                <w:sz w:val="16"/>
                <w:szCs w:val="16"/>
              </w:rPr>
            </w:pPr>
            <w:r w:rsidRPr="001F344E">
              <w:rPr>
                <w:rFonts w:ascii="Arial" w:hAnsi="Arial" w:cs="Arial"/>
                <w:color w:val="FFFFFF"/>
                <w:sz w:val="16"/>
                <w:szCs w:val="16"/>
              </w:rPr>
              <w:t>Cantidad</w:t>
            </w:r>
          </w:p>
        </w:tc>
        <w:tc>
          <w:tcPr>
            <w:tcW w:w="1227" w:type="dxa"/>
            <w:tcBorders>
              <w:top w:val="nil"/>
              <w:left w:val="nil"/>
              <w:bottom w:val="single" w:sz="4" w:space="0" w:color="auto"/>
              <w:right w:val="single" w:sz="4" w:space="0" w:color="auto"/>
            </w:tcBorders>
            <w:shd w:val="clear" w:color="000000" w:fill="4F81BD"/>
            <w:vAlign w:val="center"/>
          </w:tcPr>
          <w:p w:rsidR="007D48BC" w:rsidRPr="001F344E" w:rsidRDefault="007D48BC" w:rsidP="00A56BE4">
            <w:pPr>
              <w:jc w:val="center"/>
              <w:rPr>
                <w:rFonts w:ascii="Arial" w:hAnsi="Arial" w:cs="Arial"/>
                <w:color w:val="FFFFFF"/>
                <w:sz w:val="16"/>
                <w:szCs w:val="16"/>
              </w:rPr>
            </w:pPr>
            <w:r w:rsidRPr="001F344E">
              <w:rPr>
                <w:rFonts w:ascii="Arial" w:hAnsi="Arial" w:cs="Arial"/>
                <w:color w:val="FFFFFF"/>
                <w:sz w:val="16"/>
                <w:szCs w:val="16"/>
              </w:rPr>
              <w:t>Coste * (€)</w:t>
            </w:r>
          </w:p>
        </w:tc>
        <w:tc>
          <w:tcPr>
            <w:tcW w:w="1397" w:type="dxa"/>
            <w:vMerge/>
            <w:tcBorders>
              <w:left w:val="single" w:sz="4" w:space="0" w:color="auto"/>
              <w:bottom w:val="single" w:sz="4" w:space="0" w:color="auto"/>
              <w:right w:val="single" w:sz="8" w:space="0" w:color="auto"/>
            </w:tcBorders>
            <w:shd w:val="clear" w:color="000000" w:fill="4F81BD"/>
            <w:vAlign w:val="center"/>
          </w:tcPr>
          <w:p w:rsidR="007D48BC" w:rsidRPr="001F344E" w:rsidRDefault="007D48BC" w:rsidP="00A56BE4">
            <w:pPr>
              <w:jc w:val="center"/>
              <w:rPr>
                <w:rFonts w:ascii="Arial" w:hAnsi="Arial" w:cs="Arial"/>
                <w:color w:val="FFFFFF"/>
                <w:sz w:val="16"/>
                <w:szCs w:val="16"/>
              </w:rPr>
            </w:pPr>
          </w:p>
        </w:tc>
        <w:tc>
          <w:tcPr>
            <w:tcW w:w="1307" w:type="dxa"/>
            <w:gridSpan w:val="2"/>
            <w:tcBorders>
              <w:top w:val="single" w:sz="4" w:space="0" w:color="auto"/>
              <w:left w:val="nil"/>
              <w:bottom w:val="single" w:sz="4" w:space="0" w:color="auto"/>
              <w:right w:val="single" w:sz="4" w:space="0" w:color="000000"/>
            </w:tcBorders>
            <w:shd w:val="clear" w:color="000000" w:fill="4F81BD"/>
            <w:vAlign w:val="center"/>
          </w:tcPr>
          <w:p w:rsidR="007D48BC" w:rsidRPr="001F344E" w:rsidRDefault="007D48BC" w:rsidP="00A56BE4">
            <w:pPr>
              <w:jc w:val="center"/>
              <w:rPr>
                <w:rFonts w:ascii="Arial" w:hAnsi="Arial" w:cs="Arial"/>
                <w:color w:val="FFFFFF"/>
                <w:sz w:val="16"/>
                <w:szCs w:val="16"/>
              </w:rPr>
            </w:pPr>
            <w:r w:rsidRPr="001F344E">
              <w:rPr>
                <w:rFonts w:ascii="Arial" w:hAnsi="Arial" w:cs="Arial"/>
                <w:color w:val="FFFFFF"/>
                <w:sz w:val="16"/>
                <w:szCs w:val="16"/>
              </w:rPr>
              <w:t>Coste unitario</w:t>
            </w:r>
          </w:p>
        </w:tc>
        <w:tc>
          <w:tcPr>
            <w:tcW w:w="1033" w:type="dxa"/>
            <w:tcBorders>
              <w:top w:val="nil"/>
              <w:left w:val="nil"/>
              <w:bottom w:val="single" w:sz="4" w:space="0" w:color="auto"/>
              <w:right w:val="single" w:sz="4" w:space="0" w:color="auto"/>
            </w:tcBorders>
            <w:shd w:val="clear" w:color="000000" w:fill="4F81BD"/>
            <w:vAlign w:val="center"/>
          </w:tcPr>
          <w:p w:rsidR="007D48BC" w:rsidRPr="001F344E" w:rsidRDefault="007D48BC" w:rsidP="00A56BE4">
            <w:pPr>
              <w:jc w:val="center"/>
              <w:rPr>
                <w:rFonts w:ascii="Arial" w:hAnsi="Arial" w:cs="Arial"/>
                <w:color w:val="FFFFFF"/>
                <w:sz w:val="16"/>
                <w:szCs w:val="16"/>
              </w:rPr>
            </w:pPr>
            <w:r w:rsidRPr="001F344E">
              <w:rPr>
                <w:rFonts w:ascii="Arial" w:hAnsi="Arial" w:cs="Arial"/>
                <w:color w:val="FFFFFF"/>
                <w:sz w:val="16"/>
                <w:szCs w:val="16"/>
              </w:rPr>
              <w:t>Cantidad</w:t>
            </w:r>
          </w:p>
        </w:tc>
        <w:tc>
          <w:tcPr>
            <w:tcW w:w="951" w:type="dxa"/>
            <w:tcBorders>
              <w:top w:val="nil"/>
              <w:left w:val="nil"/>
              <w:bottom w:val="single" w:sz="4" w:space="0" w:color="auto"/>
              <w:right w:val="single" w:sz="4" w:space="0" w:color="auto"/>
            </w:tcBorders>
            <w:shd w:val="clear" w:color="000000" w:fill="4F81BD"/>
            <w:vAlign w:val="center"/>
          </w:tcPr>
          <w:p w:rsidR="007D48BC" w:rsidRPr="001F344E" w:rsidRDefault="007D48BC" w:rsidP="00A56BE4">
            <w:pPr>
              <w:jc w:val="center"/>
              <w:rPr>
                <w:rFonts w:ascii="Arial" w:hAnsi="Arial" w:cs="Arial"/>
                <w:color w:val="FFFFFF"/>
                <w:sz w:val="16"/>
                <w:szCs w:val="16"/>
              </w:rPr>
            </w:pPr>
            <w:r w:rsidRPr="001F344E">
              <w:rPr>
                <w:rFonts w:ascii="Arial" w:hAnsi="Arial" w:cs="Arial"/>
                <w:color w:val="FFFFFF"/>
                <w:sz w:val="16"/>
                <w:szCs w:val="16"/>
              </w:rPr>
              <w:t>Coste * (€)</w:t>
            </w:r>
          </w:p>
        </w:tc>
        <w:tc>
          <w:tcPr>
            <w:tcW w:w="1296" w:type="dxa"/>
            <w:vMerge/>
            <w:tcBorders>
              <w:left w:val="nil"/>
              <w:bottom w:val="single" w:sz="4" w:space="0" w:color="auto"/>
              <w:right w:val="single" w:sz="8" w:space="0" w:color="auto"/>
            </w:tcBorders>
            <w:shd w:val="clear" w:color="000000" w:fill="4F81BD"/>
            <w:vAlign w:val="center"/>
          </w:tcPr>
          <w:p w:rsidR="007D48BC" w:rsidRPr="001F344E" w:rsidRDefault="007D48BC" w:rsidP="00A56BE4">
            <w:pPr>
              <w:jc w:val="center"/>
              <w:rPr>
                <w:rFonts w:ascii="Arial" w:hAnsi="Arial" w:cs="Arial"/>
                <w:color w:val="FFFFFF"/>
                <w:sz w:val="16"/>
                <w:szCs w:val="16"/>
              </w:rPr>
            </w:pPr>
          </w:p>
        </w:tc>
      </w:tr>
      <w:tr w:rsidR="007D48BC" w:rsidRPr="001F344E">
        <w:trPr>
          <w:trHeight w:val="255"/>
          <w:jc w:val="center"/>
        </w:trPr>
        <w:tc>
          <w:tcPr>
            <w:tcW w:w="2122" w:type="dxa"/>
            <w:tcBorders>
              <w:top w:val="single" w:sz="4" w:space="0" w:color="auto"/>
              <w:left w:val="single" w:sz="4" w:space="0" w:color="auto"/>
              <w:bottom w:val="single" w:sz="4" w:space="0" w:color="auto"/>
              <w:right w:val="single" w:sz="8" w:space="0" w:color="auto"/>
            </w:tcBorders>
            <w:shd w:val="clear" w:color="000000" w:fill="D9D9D9"/>
            <w:vAlign w:val="center"/>
          </w:tcPr>
          <w:p w:rsidR="007D48BC" w:rsidRPr="001F344E" w:rsidRDefault="007D48BC" w:rsidP="00A56BE4">
            <w:pPr>
              <w:rPr>
                <w:rFonts w:ascii="Arial" w:hAnsi="Arial" w:cs="Arial"/>
                <w:sz w:val="16"/>
                <w:szCs w:val="16"/>
              </w:rPr>
            </w:pPr>
            <w:r w:rsidRPr="001F344E">
              <w:rPr>
                <w:rFonts w:ascii="Arial" w:hAnsi="Arial" w:cs="Arial"/>
                <w:sz w:val="16"/>
                <w:szCs w:val="16"/>
              </w:rPr>
              <w:t>Costes del medicamento</w:t>
            </w:r>
          </w:p>
        </w:tc>
        <w:tc>
          <w:tcPr>
            <w:tcW w:w="2024" w:type="dxa"/>
            <w:gridSpan w:val="2"/>
            <w:tcBorders>
              <w:top w:val="single" w:sz="4" w:space="0" w:color="auto"/>
              <w:left w:val="nil"/>
              <w:bottom w:val="single" w:sz="4" w:space="0" w:color="auto"/>
              <w:right w:val="single" w:sz="4" w:space="0" w:color="000000"/>
            </w:tcBorders>
            <w:shd w:val="clear" w:color="000000" w:fill="D9D9D9"/>
            <w:vAlign w:val="center"/>
          </w:tcPr>
          <w:p w:rsidR="007D48BC" w:rsidRPr="001F344E" w:rsidRDefault="007D48BC" w:rsidP="00A56BE4">
            <w:pPr>
              <w:jc w:val="center"/>
              <w:rPr>
                <w:rFonts w:ascii="Arial" w:hAnsi="Arial" w:cs="Arial"/>
                <w:sz w:val="16"/>
                <w:szCs w:val="16"/>
              </w:rPr>
            </w:pPr>
            <w:r w:rsidRPr="001F344E">
              <w:rPr>
                <w:rFonts w:ascii="Arial" w:hAnsi="Arial" w:cs="Arial"/>
                <w:sz w:val="16"/>
                <w:szCs w:val="16"/>
              </w:rPr>
              <w:t> </w:t>
            </w:r>
          </w:p>
        </w:tc>
        <w:tc>
          <w:tcPr>
            <w:tcW w:w="973" w:type="dxa"/>
            <w:tcBorders>
              <w:top w:val="nil"/>
              <w:left w:val="nil"/>
              <w:bottom w:val="single" w:sz="4" w:space="0" w:color="auto"/>
              <w:right w:val="single" w:sz="4" w:space="0" w:color="auto"/>
            </w:tcBorders>
            <w:shd w:val="clear" w:color="000000" w:fill="D9D9D9"/>
            <w:vAlign w:val="center"/>
          </w:tcPr>
          <w:p w:rsidR="007D48BC" w:rsidRPr="001F344E" w:rsidRDefault="007D48BC" w:rsidP="00A56BE4">
            <w:pPr>
              <w:rPr>
                <w:rFonts w:ascii="Arial" w:hAnsi="Arial" w:cs="Arial"/>
                <w:sz w:val="16"/>
                <w:szCs w:val="16"/>
              </w:rPr>
            </w:pPr>
            <w:r w:rsidRPr="001F344E">
              <w:rPr>
                <w:rFonts w:ascii="Arial" w:hAnsi="Arial" w:cs="Arial"/>
                <w:sz w:val="16"/>
                <w:szCs w:val="16"/>
              </w:rPr>
              <w:t> </w:t>
            </w:r>
          </w:p>
        </w:tc>
        <w:tc>
          <w:tcPr>
            <w:tcW w:w="1297" w:type="dxa"/>
            <w:tcBorders>
              <w:top w:val="nil"/>
              <w:left w:val="nil"/>
              <w:bottom w:val="single" w:sz="4" w:space="0" w:color="auto"/>
              <w:right w:val="single" w:sz="8" w:space="0" w:color="auto"/>
            </w:tcBorders>
            <w:shd w:val="clear" w:color="000000" w:fill="D9D9D9"/>
            <w:vAlign w:val="center"/>
          </w:tcPr>
          <w:p w:rsidR="007D48BC" w:rsidRPr="00E2229E" w:rsidRDefault="007D48BC" w:rsidP="00A56BE4">
            <w:pPr>
              <w:rPr>
                <w:rFonts w:ascii="Arial" w:hAnsi="Arial" w:cs="Arial"/>
                <w:sz w:val="16"/>
                <w:szCs w:val="16"/>
              </w:rPr>
            </w:pPr>
            <w:r w:rsidRPr="00E2229E">
              <w:rPr>
                <w:rFonts w:ascii="Arial" w:hAnsi="Arial" w:cs="Arial"/>
                <w:sz w:val="16"/>
                <w:szCs w:val="16"/>
              </w:rPr>
              <w:t xml:space="preserve">    420.169,79 € </w:t>
            </w:r>
          </w:p>
        </w:tc>
        <w:tc>
          <w:tcPr>
            <w:tcW w:w="1316" w:type="dxa"/>
            <w:gridSpan w:val="3"/>
            <w:tcBorders>
              <w:top w:val="nil"/>
              <w:left w:val="nil"/>
              <w:bottom w:val="single" w:sz="4" w:space="0" w:color="auto"/>
              <w:right w:val="single" w:sz="4" w:space="0" w:color="auto"/>
            </w:tcBorders>
            <w:shd w:val="clear" w:color="000000" w:fill="D9D9D9"/>
            <w:vAlign w:val="center"/>
          </w:tcPr>
          <w:p w:rsidR="007D48BC" w:rsidRPr="00E2229E" w:rsidRDefault="007D48BC" w:rsidP="00A56BE4">
            <w:pPr>
              <w:rPr>
                <w:rFonts w:ascii="Arial" w:hAnsi="Arial" w:cs="Arial"/>
                <w:sz w:val="16"/>
                <w:szCs w:val="16"/>
              </w:rPr>
            </w:pPr>
            <w:r w:rsidRPr="00E2229E">
              <w:rPr>
                <w:rFonts w:ascii="Arial" w:hAnsi="Arial" w:cs="Arial"/>
                <w:sz w:val="16"/>
                <w:szCs w:val="16"/>
              </w:rPr>
              <w:t> </w:t>
            </w:r>
          </w:p>
        </w:tc>
        <w:tc>
          <w:tcPr>
            <w:tcW w:w="1012" w:type="dxa"/>
            <w:tcBorders>
              <w:top w:val="nil"/>
              <w:left w:val="nil"/>
              <w:bottom w:val="single" w:sz="4" w:space="0" w:color="auto"/>
              <w:right w:val="single" w:sz="4" w:space="0" w:color="auto"/>
            </w:tcBorders>
            <w:shd w:val="clear" w:color="000000" w:fill="D9D9D9"/>
            <w:vAlign w:val="center"/>
          </w:tcPr>
          <w:p w:rsidR="007D48BC" w:rsidRPr="00E2229E" w:rsidRDefault="007D48BC" w:rsidP="00A56BE4">
            <w:pPr>
              <w:rPr>
                <w:rFonts w:ascii="Arial" w:hAnsi="Arial" w:cs="Arial"/>
                <w:sz w:val="16"/>
                <w:szCs w:val="16"/>
              </w:rPr>
            </w:pPr>
            <w:r w:rsidRPr="00E2229E">
              <w:rPr>
                <w:rFonts w:ascii="Arial" w:hAnsi="Arial" w:cs="Arial"/>
                <w:sz w:val="16"/>
                <w:szCs w:val="16"/>
              </w:rPr>
              <w:t> </w:t>
            </w:r>
          </w:p>
        </w:tc>
        <w:tc>
          <w:tcPr>
            <w:tcW w:w="1227" w:type="dxa"/>
            <w:tcBorders>
              <w:top w:val="nil"/>
              <w:left w:val="nil"/>
              <w:bottom w:val="single" w:sz="4" w:space="0" w:color="auto"/>
              <w:right w:val="single" w:sz="4" w:space="0" w:color="auto"/>
            </w:tcBorders>
            <w:shd w:val="clear" w:color="000000" w:fill="D9D9D9"/>
            <w:vAlign w:val="center"/>
          </w:tcPr>
          <w:p w:rsidR="007D48BC" w:rsidRPr="00377991" w:rsidRDefault="007D48BC" w:rsidP="00A56BE4">
            <w:pPr>
              <w:jc w:val="right"/>
              <w:rPr>
                <w:rFonts w:ascii="Arial" w:hAnsi="Arial" w:cs="Arial"/>
                <w:sz w:val="16"/>
                <w:szCs w:val="16"/>
                <w:highlight w:val="yellow"/>
              </w:rPr>
            </w:pPr>
            <w:r w:rsidRPr="00E2229E">
              <w:rPr>
                <w:rFonts w:ascii="Arial" w:hAnsi="Arial" w:cs="Arial"/>
                <w:sz w:val="16"/>
                <w:szCs w:val="16"/>
              </w:rPr>
              <w:t>334.755,79  €</w:t>
            </w:r>
          </w:p>
        </w:tc>
        <w:tc>
          <w:tcPr>
            <w:tcW w:w="1397" w:type="dxa"/>
            <w:tcBorders>
              <w:top w:val="nil"/>
              <w:left w:val="nil"/>
              <w:bottom w:val="single" w:sz="4" w:space="0" w:color="auto"/>
              <w:right w:val="single" w:sz="8" w:space="0" w:color="auto"/>
            </w:tcBorders>
            <w:shd w:val="clear" w:color="000000" w:fill="D9D9D9"/>
            <w:vAlign w:val="center"/>
          </w:tcPr>
          <w:p w:rsidR="007D48BC" w:rsidRPr="00377991" w:rsidRDefault="007D48BC" w:rsidP="00A56BE4">
            <w:pPr>
              <w:jc w:val="right"/>
              <w:rPr>
                <w:rFonts w:ascii="Arial" w:hAnsi="Arial" w:cs="Arial"/>
                <w:color w:val="FF0000"/>
                <w:sz w:val="16"/>
                <w:szCs w:val="16"/>
                <w:highlight w:val="yellow"/>
              </w:rPr>
            </w:pPr>
            <w:r w:rsidRPr="00EB302A">
              <w:rPr>
                <w:rFonts w:ascii="Arial" w:hAnsi="Arial" w:cs="Arial"/>
                <w:color w:val="FF0000"/>
                <w:sz w:val="16"/>
                <w:szCs w:val="16"/>
              </w:rPr>
              <w:t>85.414 €</w:t>
            </w:r>
          </w:p>
        </w:tc>
        <w:tc>
          <w:tcPr>
            <w:tcW w:w="1307" w:type="dxa"/>
            <w:gridSpan w:val="2"/>
            <w:tcBorders>
              <w:top w:val="single" w:sz="4" w:space="0" w:color="auto"/>
              <w:left w:val="nil"/>
              <w:bottom w:val="single" w:sz="4" w:space="0" w:color="auto"/>
              <w:right w:val="single" w:sz="4" w:space="0" w:color="000000"/>
            </w:tcBorders>
            <w:shd w:val="clear" w:color="000000" w:fill="D9D9D9"/>
            <w:vAlign w:val="center"/>
          </w:tcPr>
          <w:p w:rsidR="007D48BC" w:rsidRPr="00733ED1" w:rsidRDefault="007D48BC" w:rsidP="00A56BE4">
            <w:pPr>
              <w:jc w:val="center"/>
              <w:rPr>
                <w:rFonts w:ascii="Arial" w:hAnsi="Arial" w:cs="Arial"/>
                <w:sz w:val="16"/>
                <w:szCs w:val="16"/>
              </w:rPr>
            </w:pPr>
            <w:r w:rsidRPr="00733ED1">
              <w:rPr>
                <w:rFonts w:ascii="Arial" w:hAnsi="Arial" w:cs="Arial"/>
                <w:sz w:val="16"/>
                <w:szCs w:val="16"/>
              </w:rPr>
              <w:t> </w:t>
            </w:r>
          </w:p>
        </w:tc>
        <w:tc>
          <w:tcPr>
            <w:tcW w:w="1033" w:type="dxa"/>
            <w:tcBorders>
              <w:top w:val="nil"/>
              <w:left w:val="nil"/>
              <w:bottom w:val="single" w:sz="4" w:space="0" w:color="auto"/>
              <w:right w:val="single" w:sz="4" w:space="0" w:color="auto"/>
            </w:tcBorders>
            <w:shd w:val="clear" w:color="000000" w:fill="D9D9D9"/>
            <w:vAlign w:val="center"/>
          </w:tcPr>
          <w:p w:rsidR="007D48BC" w:rsidRPr="00733ED1" w:rsidRDefault="007D48BC" w:rsidP="00A56BE4">
            <w:pPr>
              <w:rPr>
                <w:rFonts w:ascii="Arial" w:hAnsi="Arial" w:cs="Arial"/>
                <w:sz w:val="16"/>
                <w:szCs w:val="16"/>
              </w:rPr>
            </w:pPr>
            <w:r w:rsidRPr="00733ED1">
              <w:rPr>
                <w:rFonts w:ascii="Arial" w:hAnsi="Arial" w:cs="Arial"/>
                <w:sz w:val="16"/>
                <w:szCs w:val="16"/>
              </w:rPr>
              <w:t> </w:t>
            </w:r>
          </w:p>
        </w:tc>
        <w:tc>
          <w:tcPr>
            <w:tcW w:w="951" w:type="dxa"/>
            <w:tcBorders>
              <w:top w:val="nil"/>
              <w:left w:val="nil"/>
              <w:bottom w:val="single" w:sz="4" w:space="0" w:color="auto"/>
              <w:right w:val="single" w:sz="4" w:space="0" w:color="auto"/>
            </w:tcBorders>
            <w:shd w:val="clear" w:color="000000" w:fill="D9D9D9"/>
            <w:vAlign w:val="center"/>
          </w:tcPr>
          <w:p w:rsidR="007D48BC" w:rsidRPr="00377991" w:rsidRDefault="007D48BC" w:rsidP="00A56BE4">
            <w:pPr>
              <w:jc w:val="center"/>
              <w:rPr>
                <w:rFonts w:ascii="Arial" w:hAnsi="Arial" w:cs="Arial"/>
                <w:strike/>
                <w:sz w:val="16"/>
                <w:szCs w:val="16"/>
                <w:highlight w:val="yellow"/>
              </w:rPr>
            </w:pPr>
            <w:r>
              <w:rPr>
                <w:rFonts w:ascii="Arial" w:hAnsi="Arial" w:cs="Arial"/>
                <w:sz w:val="16"/>
                <w:szCs w:val="16"/>
              </w:rPr>
              <w:t>6.076,95</w:t>
            </w:r>
            <w:r w:rsidRPr="001F344E">
              <w:rPr>
                <w:rFonts w:ascii="Arial" w:hAnsi="Arial" w:cs="Arial"/>
                <w:sz w:val="16"/>
                <w:szCs w:val="16"/>
              </w:rPr>
              <w:t xml:space="preserve"> €</w:t>
            </w:r>
          </w:p>
        </w:tc>
        <w:tc>
          <w:tcPr>
            <w:tcW w:w="1296" w:type="dxa"/>
            <w:tcBorders>
              <w:top w:val="nil"/>
              <w:left w:val="nil"/>
              <w:bottom w:val="single" w:sz="4" w:space="0" w:color="auto"/>
              <w:right w:val="single" w:sz="4" w:space="0" w:color="auto"/>
            </w:tcBorders>
            <w:shd w:val="clear" w:color="000000" w:fill="D9D9D9"/>
            <w:vAlign w:val="center"/>
          </w:tcPr>
          <w:p w:rsidR="007D48BC" w:rsidRPr="00DF68A8" w:rsidRDefault="007D48BC" w:rsidP="00DF68A8">
            <w:pPr>
              <w:jc w:val="right"/>
              <w:rPr>
                <w:rFonts w:ascii="Arial" w:hAnsi="Arial" w:cs="Arial"/>
                <w:color w:val="FF0000"/>
                <w:sz w:val="16"/>
                <w:szCs w:val="16"/>
              </w:rPr>
            </w:pPr>
            <w:r w:rsidRPr="00DF68A8">
              <w:rPr>
                <w:rFonts w:ascii="Arial" w:hAnsi="Arial" w:cs="Arial"/>
                <w:color w:val="FF0000"/>
                <w:sz w:val="16"/>
                <w:szCs w:val="16"/>
              </w:rPr>
              <w:t>414.092,84 €</w:t>
            </w:r>
          </w:p>
        </w:tc>
      </w:tr>
      <w:tr w:rsidR="007D48BC" w:rsidRPr="001F344E">
        <w:trPr>
          <w:trHeight w:val="1096"/>
          <w:jc w:val="center"/>
        </w:trPr>
        <w:tc>
          <w:tcPr>
            <w:tcW w:w="2122" w:type="dxa"/>
            <w:tcBorders>
              <w:top w:val="nil"/>
              <w:left w:val="single" w:sz="4" w:space="0" w:color="auto"/>
              <w:bottom w:val="single" w:sz="4" w:space="0" w:color="auto"/>
              <w:right w:val="single" w:sz="8" w:space="0" w:color="auto"/>
            </w:tcBorders>
            <w:vAlign w:val="center"/>
          </w:tcPr>
          <w:p w:rsidR="007D48BC" w:rsidRPr="001F344E" w:rsidRDefault="007D48BC" w:rsidP="00A56BE4">
            <w:pPr>
              <w:rPr>
                <w:rFonts w:ascii="Arial" w:hAnsi="Arial" w:cs="Arial"/>
                <w:sz w:val="16"/>
                <w:szCs w:val="16"/>
              </w:rPr>
            </w:pPr>
            <w:r w:rsidRPr="001F344E">
              <w:rPr>
                <w:rFonts w:ascii="Arial" w:hAnsi="Arial" w:cs="Arial"/>
                <w:sz w:val="16"/>
                <w:szCs w:val="16"/>
              </w:rPr>
              <w:t xml:space="preserve">Coste adquisición del medicamento </w:t>
            </w:r>
          </w:p>
        </w:tc>
        <w:tc>
          <w:tcPr>
            <w:tcW w:w="2024" w:type="dxa"/>
            <w:gridSpan w:val="2"/>
            <w:tcBorders>
              <w:top w:val="single" w:sz="4" w:space="0" w:color="auto"/>
              <w:left w:val="nil"/>
              <w:bottom w:val="single" w:sz="4" w:space="0" w:color="auto"/>
              <w:right w:val="single" w:sz="4" w:space="0" w:color="000000"/>
            </w:tcBorders>
            <w:vAlign w:val="center"/>
          </w:tcPr>
          <w:p w:rsidR="007D48BC" w:rsidRPr="001F344E" w:rsidRDefault="007D48BC" w:rsidP="00A56BE4">
            <w:pPr>
              <w:jc w:val="center"/>
              <w:rPr>
                <w:rFonts w:ascii="Arial" w:hAnsi="Arial" w:cs="Arial"/>
                <w:sz w:val="16"/>
                <w:szCs w:val="16"/>
              </w:rPr>
            </w:pPr>
            <w:r>
              <w:rPr>
                <w:rFonts w:ascii="Arial" w:hAnsi="Arial" w:cs="Arial"/>
                <w:sz w:val="16"/>
                <w:szCs w:val="16"/>
              </w:rPr>
              <w:t>Yescarta</w:t>
            </w:r>
            <w:r w:rsidRPr="001F344E">
              <w:rPr>
                <w:rFonts w:ascii="Arial" w:hAnsi="Arial" w:cs="Arial"/>
                <w:sz w:val="16"/>
                <w:szCs w:val="16"/>
              </w:rPr>
              <w:t xml:space="preserve"> 1,2 x 10</w:t>
            </w:r>
            <w:r w:rsidRPr="001F344E">
              <w:rPr>
                <w:rFonts w:ascii="Arial" w:hAnsi="Arial" w:cs="Arial"/>
                <w:sz w:val="16"/>
                <w:szCs w:val="16"/>
                <w:vertAlign w:val="superscript"/>
              </w:rPr>
              <w:t>6</w:t>
            </w:r>
            <w:r w:rsidRPr="001F344E">
              <w:rPr>
                <w:rFonts w:ascii="Arial" w:hAnsi="Arial" w:cs="Arial"/>
                <w:sz w:val="16"/>
                <w:szCs w:val="16"/>
              </w:rPr>
              <w:t xml:space="preserve"> – 6 x 10</w:t>
            </w:r>
            <w:r w:rsidRPr="001F344E">
              <w:rPr>
                <w:rFonts w:ascii="Arial" w:hAnsi="Arial" w:cs="Arial"/>
                <w:sz w:val="16"/>
                <w:szCs w:val="16"/>
                <w:vertAlign w:val="superscript"/>
              </w:rPr>
              <w:t>8</w:t>
            </w:r>
            <w:r w:rsidRPr="001F344E">
              <w:rPr>
                <w:rFonts w:ascii="Arial" w:hAnsi="Arial" w:cs="Arial"/>
                <w:sz w:val="16"/>
                <w:szCs w:val="16"/>
              </w:rPr>
              <w:t xml:space="preserve"> Dispersión de células para infusión: 332.800 €</w:t>
            </w:r>
          </w:p>
        </w:tc>
        <w:tc>
          <w:tcPr>
            <w:tcW w:w="973" w:type="dxa"/>
            <w:tcBorders>
              <w:top w:val="nil"/>
              <w:left w:val="nil"/>
              <w:bottom w:val="single" w:sz="4" w:space="0" w:color="auto"/>
              <w:right w:val="single" w:sz="4" w:space="0" w:color="auto"/>
            </w:tcBorders>
            <w:vAlign w:val="center"/>
          </w:tcPr>
          <w:p w:rsidR="007D48BC" w:rsidRPr="001F344E" w:rsidRDefault="007D48BC" w:rsidP="00A56BE4">
            <w:pPr>
              <w:jc w:val="right"/>
              <w:rPr>
                <w:rFonts w:ascii="Arial" w:hAnsi="Arial" w:cs="Arial"/>
                <w:sz w:val="16"/>
                <w:szCs w:val="16"/>
              </w:rPr>
            </w:pPr>
            <w:r w:rsidRPr="001F344E">
              <w:rPr>
                <w:rFonts w:ascii="Arial" w:hAnsi="Arial" w:cs="Arial"/>
                <w:sz w:val="16"/>
                <w:szCs w:val="16"/>
              </w:rPr>
              <w:t>1</w:t>
            </w:r>
          </w:p>
        </w:tc>
        <w:tc>
          <w:tcPr>
            <w:tcW w:w="1297" w:type="dxa"/>
            <w:tcBorders>
              <w:top w:val="nil"/>
              <w:left w:val="nil"/>
              <w:bottom w:val="single" w:sz="4" w:space="0" w:color="auto"/>
              <w:right w:val="single" w:sz="8" w:space="0" w:color="auto"/>
            </w:tcBorders>
            <w:vAlign w:val="center"/>
          </w:tcPr>
          <w:p w:rsidR="007D48BC" w:rsidRPr="001F344E" w:rsidRDefault="007D48BC" w:rsidP="00A56BE4">
            <w:pPr>
              <w:rPr>
                <w:rFonts w:ascii="Arial" w:hAnsi="Arial" w:cs="Arial"/>
                <w:sz w:val="16"/>
                <w:szCs w:val="16"/>
              </w:rPr>
            </w:pPr>
            <w:r>
              <w:rPr>
                <w:rFonts w:ascii="Arial" w:hAnsi="Arial" w:cs="Arial"/>
                <w:sz w:val="16"/>
                <w:szCs w:val="16"/>
              </w:rPr>
              <w:t xml:space="preserve">    418</w:t>
            </w:r>
            <w:r w:rsidRPr="001F344E">
              <w:rPr>
                <w:rFonts w:ascii="Arial" w:hAnsi="Arial" w:cs="Arial"/>
                <w:sz w:val="16"/>
                <w:szCs w:val="16"/>
              </w:rPr>
              <w:t>.</w:t>
            </w:r>
            <w:r>
              <w:rPr>
                <w:rFonts w:ascii="Arial" w:hAnsi="Arial" w:cs="Arial"/>
                <w:sz w:val="16"/>
                <w:szCs w:val="16"/>
              </w:rPr>
              <w:t>214</w:t>
            </w:r>
            <w:r w:rsidRPr="001F344E">
              <w:rPr>
                <w:rFonts w:ascii="Arial" w:hAnsi="Arial" w:cs="Arial"/>
                <w:sz w:val="16"/>
                <w:szCs w:val="16"/>
              </w:rPr>
              <w:t xml:space="preserve">,00 € </w:t>
            </w:r>
          </w:p>
        </w:tc>
        <w:tc>
          <w:tcPr>
            <w:tcW w:w="1316" w:type="dxa"/>
            <w:gridSpan w:val="3"/>
            <w:tcBorders>
              <w:top w:val="nil"/>
              <w:left w:val="nil"/>
              <w:bottom w:val="single" w:sz="4" w:space="0" w:color="auto"/>
              <w:right w:val="single" w:sz="4" w:space="0" w:color="auto"/>
            </w:tcBorders>
            <w:vAlign w:val="center"/>
          </w:tcPr>
          <w:p w:rsidR="007D48BC" w:rsidRPr="001F344E" w:rsidRDefault="007D48BC" w:rsidP="00A56BE4">
            <w:pPr>
              <w:rPr>
                <w:rFonts w:ascii="Arial" w:hAnsi="Arial" w:cs="Arial"/>
                <w:sz w:val="16"/>
                <w:szCs w:val="16"/>
              </w:rPr>
            </w:pPr>
            <w:r w:rsidRPr="001F344E">
              <w:rPr>
                <w:rFonts w:ascii="Arial" w:hAnsi="Arial" w:cs="Arial"/>
                <w:sz w:val="16"/>
                <w:szCs w:val="16"/>
              </w:rPr>
              <w:t>Kymriah 1,2 x 10</w:t>
            </w:r>
            <w:r w:rsidRPr="001F344E">
              <w:rPr>
                <w:rFonts w:ascii="Arial" w:hAnsi="Arial" w:cs="Arial"/>
                <w:sz w:val="16"/>
                <w:szCs w:val="16"/>
                <w:vertAlign w:val="superscript"/>
              </w:rPr>
              <w:t>6</w:t>
            </w:r>
            <w:r w:rsidRPr="001F344E">
              <w:rPr>
                <w:rFonts w:ascii="Arial" w:hAnsi="Arial" w:cs="Arial"/>
                <w:sz w:val="16"/>
                <w:szCs w:val="16"/>
              </w:rPr>
              <w:t xml:space="preserve"> – 6 x 10</w:t>
            </w:r>
            <w:r w:rsidRPr="001F344E">
              <w:rPr>
                <w:rFonts w:ascii="Arial" w:hAnsi="Arial" w:cs="Arial"/>
                <w:sz w:val="16"/>
                <w:szCs w:val="16"/>
                <w:vertAlign w:val="superscript"/>
              </w:rPr>
              <w:t>8</w:t>
            </w:r>
            <w:r w:rsidRPr="001F344E">
              <w:rPr>
                <w:rFonts w:ascii="Arial" w:hAnsi="Arial" w:cs="Arial"/>
                <w:sz w:val="16"/>
                <w:szCs w:val="16"/>
              </w:rPr>
              <w:t xml:space="preserve"> Dispersión de células para infusión: 332.800 €</w:t>
            </w:r>
          </w:p>
        </w:tc>
        <w:tc>
          <w:tcPr>
            <w:tcW w:w="1012" w:type="dxa"/>
            <w:tcBorders>
              <w:top w:val="nil"/>
              <w:left w:val="nil"/>
              <w:bottom w:val="single" w:sz="4" w:space="0" w:color="auto"/>
              <w:right w:val="single" w:sz="4" w:space="0" w:color="auto"/>
            </w:tcBorders>
            <w:vAlign w:val="center"/>
          </w:tcPr>
          <w:p w:rsidR="007D48BC" w:rsidRPr="001F344E" w:rsidRDefault="007D48BC" w:rsidP="00A56BE4">
            <w:pPr>
              <w:jc w:val="right"/>
              <w:rPr>
                <w:rFonts w:ascii="Arial" w:hAnsi="Arial" w:cs="Arial"/>
                <w:sz w:val="16"/>
                <w:szCs w:val="16"/>
              </w:rPr>
            </w:pPr>
            <w:r w:rsidRPr="001F344E">
              <w:rPr>
                <w:rFonts w:ascii="Arial" w:hAnsi="Arial" w:cs="Arial"/>
                <w:sz w:val="16"/>
                <w:szCs w:val="16"/>
              </w:rPr>
              <w:t>1</w:t>
            </w:r>
          </w:p>
        </w:tc>
        <w:tc>
          <w:tcPr>
            <w:tcW w:w="1227" w:type="dxa"/>
            <w:tcBorders>
              <w:top w:val="nil"/>
              <w:left w:val="nil"/>
              <w:bottom w:val="single" w:sz="4" w:space="0" w:color="auto"/>
              <w:right w:val="single" w:sz="4" w:space="0" w:color="auto"/>
            </w:tcBorders>
            <w:vAlign w:val="center"/>
          </w:tcPr>
          <w:p w:rsidR="007D48BC" w:rsidRPr="001F344E" w:rsidRDefault="007D48BC" w:rsidP="00A56BE4">
            <w:pPr>
              <w:rPr>
                <w:rFonts w:ascii="Arial" w:hAnsi="Arial" w:cs="Arial"/>
                <w:sz w:val="16"/>
                <w:szCs w:val="16"/>
              </w:rPr>
            </w:pPr>
            <w:r>
              <w:rPr>
                <w:rFonts w:ascii="Arial" w:hAnsi="Arial" w:cs="Arial"/>
                <w:sz w:val="16"/>
                <w:szCs w:val="16"/>
              </w:rPr>
              <w:t xml:space="preserve"> </w:t>
            </w:r>
            <w:r w:rsidRPr="001F344E">
              <w:rPr>
                <w:rFonts w:ascii="Arial" w:hAnsi="Arial" w:cs="Arial"/>
                <w:sz w:val="16"/>
                <w:szCs w:val="16"/>
              </w:rPr>
              <w:t xml:space="preserve"> 332.800,00 € </w:t>
            </w:r>
          </w:p>
        </w:tc>
        <w:tc>
          <w:tcPr>
            <w:tcW w:w="1397" w:type="dxa"/>
            <w:tcBorders>
              <w:top w:val="nil"/>
              <w:left w:val="nil"/>
              <w:bottom w:val="single" w:sz="4" w:space="0" w:color="auto"/>
              <w:right w:val="single" w:sz="8" w:space="0" w:color="auto"/>
            </w:tcBorders>
            <w:shd w:val="clear" w:color="000000" w:fill="D9D9D9"/>
            <w:vAlign w:val="center"/>
          </w:tcPr>
          <w:p w:rsidR="007D48BC" w:rsidRPr="00AC3878" w:rsidRDefault="007D48BC" w:rsidP="00EB302A">
            <w:pPr>
              <w:jc w:val="right"/>
              <w:rPr>
                <w:rFonts w:ascii="Arial" w:hAnsi="Arial" w:cs="Arial"/>
                <w:sz w:val="16"/>
                <w:szCs w:val="16"/>
                <w:highlight w:val="yellow"/>
              </w:rPr>
            </w:pPr>
            <w:r w:rsidRPr="00EB302A">
              <w:rPr>
                <w:rFonts w:ascii="Arial" w:hAnsi="Arial" w:cs="Arial"/>
                <w:color w:val="FF0000"/>
                <w:sz w:val="16"/>
                <w:szCs w:val="16"/>
              </w:rPr>
              <w:t>85.414 €</w:t>
            </w:r>
          </w:p>
        </w:tc>
        <w:tc>
          <w:tcPr>
            <w:tcW w:w="1307" w:type="dxa"/>
            <w:gridSpan w:val="2"/>
            <w:tcBorders>
              <w:top w:val="single" w:sz="4" w:space="0" w:color="auto"/>
              <w:left w:val="nil"/>
              <w:bottom w:val="single" w:sz="4" w:space="0" w:color="auto"/>
              <w:right w:val="single" w:sz="4" w:space="0" w:color="000000"/>
            </w:tcBorders>
            <w:vAlign w:val="center"/>
          </w:tcPr>
          <w:p w:rsidR="007D48BC" w:rsidRPr="001F344E" w:rsidRDefault="007D48BC" w:rsidP="00A56BE4">
            <w:pPr>
              <w:jc w:val="center"/>
              <w:rPr>
                <w:rFonts w:ascii="Arial" w:hAnsi="Arial" w:cs="Arial"/>
                <w:sz w:val="16"/>
                <w:szCs w:val="16"/>
              </w:rPr>
            </w:pPr>
            <w:r>
              <w:rPr>
                <w:rFonts w:ascii="Arial" w:hAnsi="Arial" w:cs="Arial"/>
                <w:sz w:val="16"/>
                <w:szCs w:val="16"/>
              </w:rPr>
              <w:t xml:space="preserve">Víal 29 mg: 679,17 </w:t>
            </w:r>
            <w:r w:rsidRPr="001F344E">
              <w:rPr>
                <w:rFonts w:ascii="Arial" w:hAnsi="Arial" w:cs="Arial"/>
                <w:sz w:val="16"/>
                <w:szCs w:val="16"/>
              </w:rPr>
              <w:t>€</w:t>
            </w:r>
          </w:p>
        </w:tc>
        <w:tc>
          <w:tcPr>
            <w:tcW w:w="1033" w:type="dxa"/>
            <w:tcBorders>
              <w:top w:val="nil"/>
              <w:left w:val="nil"/>
              <w:bottom w:val="single" w:sz="4" w:space="0" w:color="auto"/>
              <w:right w:val="single" w:sz="4" w:space="0" w:color="auto"/>
            </w:tcBorders>
            <w:vAlign w:val="center"/>
          </w:tcPr>
          <w:p w:rsidR="007D48BC" w:rsidRPr="001F344E" w:rsidRDefault="007D48BC" w:rsidP="00A56BE4">
            <w:pPr>
              <w:rPr>
                <w:rFonts w:ascii="Arial" w:hAnsi="Arial" w:cs="Arial"/>
                <w:sz w:val="16"/>
                <w:szCs w:val="16"/>
              </w:rPr>
            </w:pPr>
            <w:r>
              <w:rPr>
                <w:rFonts w:ascii="Arial" w:hAnsi="Arial" w:cs="Arial"/>
                <w:sz w:val="16"/>
                <w:szCs w:val="16"/>
              </w:rPr>
              <w:t xml:space="preserve">50 </w:t>
            </w:r>
            <w:r w:rsidRPr="001F344E">
              <w:rPr>
                <w:rFonts w:ascii="Arial" w:hAnsi="Arial" w:cs="Arial"/>
                <w:sz w:val="16"/>
                <w:szCs w:val="16"/>
              </w:rPr>
              <w:t>mg/m</w:t>
            </w:r>
            <w:r w:rsidRPr="001F344E">
              <w:rPr>
                <w:rFonts w:ascii="Arial" w:hAnsi="Arial" w:cs="Arial"/>
                <w:sz w:val="16"/>
                <w:szCs w:val="16"/>
                <w:vertAlign w:val="superscript"/>
              </w:rPr>
              <w:t>2</w:t>
            </w:r>
            <w:r>
              <w:rPr>
                <w:rFonts w:ascii="Arial" w:hAnsi="Arial" w:cs="Arial"/>
                <w:sz w:val="16"/>
                <w:szCs w:val="16"/>
              </w:rPr>
              <w:t xml:space="preserve"> c/24h D1,8,1</w:t>
            </w:r>
            <w:r w:rsidRPr="001F344E">
              <w:rPr>
                <w:rFonts w:ascii="Arial" w:hAnsi="Arial" w:cs="Arial"/>
                <w:sz w:val="16"/>
                <w:szCs w:val="16"/>
              </w:rPr>
              <w:t>5.</w:t>
            </w:r>
          </w:p>
        </w:tc>
        <w:tc>
          <w:tcPr>
            <w:tcW w:w="951" w:type="dxa"/>
            <w:tcBorders>
              <w:top w:val="nil"/>
              <w:left w:val="nil"/>
              <w:bottom w:val="single" w:sz="4" w:space="0" w:color="auto"/>
              <w:right w:val="single" w:sz="4" w:space="0" w:color="auto"/>
            </w:tcBorders>
            <w:vAlign w:val="center"/>
          </w:tcPr>
          <w:p w:rsidR="007D48BC" w:rsidRPr="001F344E" w:rsidRDefault="007D48BC" w:rsidP="00A56BE4">
            <w:pPr>
              <w:jc w:val="right"/>
              <w:rPr>
                <w:rFonts w:ascii="Arial" w:hAnsi="Arial" w:cs="Arial"/>
                <w:sz w:val="16"/>
                <w:szCs w:val="16"/>
              </w:rPr>
            </w:pPr>
            <w:r w:rsidRPr="004F5355">
              <w:rPr>
                <w:rFonts w:ascii="Arial" w:hAnsi="Arial" w:cs="Arial"/>
                <w:sz w:val="16"/>
                <w:szCs w:val="16"/>
              </w:rPr>
              <w:t>41.285 €</w:t>
            </w:r>
          </w:p>
        </w:tc>
        <w:tc>
          <w:tcPr>
            <w:tcW w:w="1296" w:type="dxa"/>
            <w:tcBorders>
              <w:top w:val="nil"/>
              <w:left w:val="nil"/>
              <w:bottom w:val="single" w:sz="4" w:space="0" w:color="auto"/>
              <w:right w:val="single" w:sz="4" w:space="0" w:color="auto"/>
            </w:tcBorders>
            <w:shd w:val="clear" w:color="000000" w:fill="D9D9D9"/>
            <w:vAlign w:val="center"/>
          </w:tcPr>
          <w:p w:rsidR="007D48BC" w:rsidRPr="00DF68A8" w:rsidRDefault="007D48BC" w:rsidP="006577E6">
            <w:pPr>
              <w:jc w:val="right"/>
              <w:rPr>
                <w:rFonts w:ascii="Arial" w:hAnsi="Arial" w:cs="Arial"/>
                <w:color w:val="FF0000"/>
                <w:sz w:val="16"/>
                <w:szCs w:val="16"/>
              </w:rPr>
            </w:pPr>
            <w:r w:rsidRPr="00DF68A8">
              <w:rPr>
                <w:rFonts w:ascii="Arial" w:hAnsi="Arial" w:cs="Arial"/>
                <w:color w:val="FF0000"/>
                <w:sz w:val="16"/>
                <w:szCs w:val="16"/>
              </w:rPr>
              <w:t>414.092,84 €</w:t>
            </w:r>
          </w:p>
        </w:tc>
      </w:tr>
      <w:tr w:rsidR="007D48BC" w:rsidRPr="001F344E">
        <w:trPr>
          <w:trHeight w:val="285"/>
          <w:jc w:val="center"/>
        </w:trPr>
        <w:tc>
          <w:tcPr>
            <w:tcW w:w="2122" w:type="dxa"/>
            <w:tcBorders>
              <w:top w:val="nil"/>
              <w:left w:val="single" w:sz="4" w:space="0" w:color="auto"/>
              <w:bottom w:val="single" w:sz="4" w:space="0" w:color="auto"/>
              <w:right w:val="single" w:sz="8" w:space="0" w:color="auto"/>
            </w:tcBorders>
            <w:vAlign w:val="center"/>
          </w:tcPr>
          <w:p w:rsidR="007D48BC" w:rsidRPr="001F344E" w:rsidRDefault="007D48BC" w:rsidP="00A56BE4">
            <w:pPr>
              <w:rPr>
                <w:rFonts w:ascii="Arial" w:hAnsi="Arial" w:cs="Arial"/>
                <w:sz w:val="16"/>
                <w:szCs w:val="16"/>
              </w:rPr>
            </w:pPr>
            <w:r w:rsidRPr="001F344E">
              <w:rPr>
                <w:rFonts w:ascii="Arial" w:hAnsi="Arial" w:cs="Arial"/>
                <w:sz w:val="16"/>
                <w:szCs w:val="16"/>
              </w:rPr>
              <w:t>Coste de preparación</w:t>
            </w:r>
          </w:p>
        </w:tc>
        <w:tc>
          <w:tcPr>
            <w:tcW w:w="1275" w:type="dxa"/>
            <w:tcBorders>
              <w:top w:val="nil"/>
              <w:left w:val="nil"/>
              <w:bottom w:val="single" w:sz="4" w:space="0" w:color="auto"/>
              <w:right w:val="single" w:sz="4" w:space="0" w:color="auto"/>
            </w:tcBorders>
            <w:vAlign w:val="center"/>
          </w:tcPr>
          <w:p w:rsidR="007D48BC" w:rsidRPr="001F344E" w:rsidRDefault="007D48BC" w:rsidP="00A56BE4">
            <w:pPr>
              <w:rPr>
                <w:rFonts w:ascii="Arial" w:hAnsi="Arial" w:cs="Arial"/>
                <w:sz w:val="16"/>
                <w:szCs w:val="16"/>
              </w:rPr>
            </w:pPr>
            <w:r w:rsidRPr="001F344E">
              <w:rPr>
                <w:rFonts w:ascii="Arial" w:hAnsi="Arial" w:cs="Arial"/>
                <w:sz w:val="16"/>
                <w:szCs w:val="16"/>
              </w:rPr>
              <w:t>Leucoaféresis</w:t>
            </w:r>
          </w:p>
        </w:tc>
        <w:tc>
          <w:tcPr>
            <w:tcW w:w="749" w:type="dxa"/>
            <w:tcBorders>
              <w:top w:val="nil"/>
              <w:left w:val="nil"/>
              <w:bottom w:val="single" w:sz="4" w:space="0" w:color="auto"/>
              <w:right w:val="single" w:sz="4" w:space="0" w:color="auto"/>
            </w:tcBorders>
            <w:vAlign w:val="center"/>
          </w:tcPr>
          <w:p w:rsidR="007D48BC" w:rsidRPr="001F344E" w:rsidRDefault="007D48BC" w:rsidP="00A56BE4">
            <w:pPr>
              <w:jc w:val="right"/>
              <w:rPr>
                <w:rFonts w:ascii="Arial" w:hAnsi="Arial" w:cs="Arial"/>
                <w:sz w:val="16"/>
                <w:szCs w:val="16"/>
              </w:rPr>
            </w:pPr>
            <w:r w:rsidRPr="001F344E">
              <w:rPr>
                <w:rFonts w:ascii="Arial" w:hAnsi="Arial" w:cs="Arial"/>
                <w:sz w:val="16"/>
                <w:szCs w:val="16"/>
              </w:rPr>
              <w:t>1955,79</w:t>
            </w:r>
          </w:p>
        </w:tc>
        <w:tc>
          <w:tcPr>
            <w:tcW w:w="973" w:type="dxa"/>
            <w:tcBorders>
              <w:top w:val="nil"/>
              <w:left w:val="nil"/>
              <w:bottom w:val="single" w:sz="4" w:space="0" w:color="auto"/>
              <w:right w:val="single" w:sz="4" w:space="0" w:color="auto"/>
            </w:tcBorders>
            <w:vAlign w:val="center"/>
          </w:tcPr>
          <w:p w:rsidR="007D48BC" w:rsidRPr="001F344E" w:rsidRDefault="007D48BC" w:rsidP="00A56BE4">
            <w:pPr>
              <w:jc w:val="right"/>
              <w:rPr>
                <w:rFonts w:ascii="Arial" w:hAnsi="Arial" w:cs="Arial"/>
                <w:sz w:val="16"/>
                <w:szCs w:val="16"/>
              </w:rPr>
            </w:pPr>
            <w:r w:rsidRPr="001F344E">
              <w:rPr>
                <w:rFonts w:ascii="Arial" w:hAnsi="Arial" w:cs="Arial"/>
                <w:sz w:val="16"/>
                <w:szCs w:val="16"/>
              </w:rPr>
              <w:t>1</w:t>
            </w:r>
          </w:p>
        </w:tc>
        <w:tc>
          <w:tcPr>
            <w:tcW w:w="1297" w:type="dxa"/>
            <w:tcBorders>
              <w:top w:val="nil"/>
              <w:left w:val="nil"/>
              <w:bottom w:val="single" w:sz="4" w:space="0" w:color="auto"/>
              <w:right w:val="single" w:sz="8" w:space="0" w:color="auto"/>
            </w:tcBorders>
            <w:vAlign w:val="center"/>
          </w:tcPr>
          <w:p w:rsidR="007D48BC" w:rsidRPr="001F344E" w:rsidRDefault="007D48BC" w:rsidP="00A56BE4">
            <w:pPr>
              <w:rPr>
                <w:rFonts w:ascii="Arial" w:hAnsi="Arial" w:cs="Arial"/>
                <w:sz w:val="16"/>
                <w:szCs w:val="16"/>
              </w:rPr>
            </w:pPr>
            <w:r w:rsidRPr="001F344E">
              <w:rPr>
                <w:rFonts w:ascii="Arial" w:hAnsi="Arial" w:cs="Arial"/>
                <w:sz w:val="16"/>
                <w:szCs w:val="16"/>
              </w:rPr>
              <w:t xml:space="preserve">        1.955,79 € </w:t>
            </w:r>
          </w:p>
        </w:tc>
        <w:tc>
          <w:tcPr>
            <w:tcW w:w="658" w:type="dxa"/>
            <w:tcBorders>
              <w:top w:val="nil"/>
              <w:left w:val="nil"/>
              <w:bottom w:val="single" w:sz="4" w:space="0" w:color="auto"/>
              <w:right w:val="single" w:sz="4" w:space="0" w:color="auto"/>
            </w:tcBorders>
            <w:vAlign w:val="center"/>
          </w:tcPr>
          <w:p w:rsidR="007D48BC" w:rsidRPr="001F344E" w:rsidRDefault="007D48BC" w:rsidP="00A56BE4">
            <w:pPr>
              <w:rPr>
                <w:rFonts w:ascii="Arial" w:hAnsi="Arial" w:cs="Arial"/>
                <w:sz w:val="16"/>
                <w:szCs w:val="16"/>
              </w:rPr>
            </w:pPr>
            <w:r w:rsidRPr="001F344E">
              <w:rPr>
                <w:rFonts w:ascii="Arial" w:hAnsi="Arial" w:cs="Arial"/>
                <w:sz w:val="16"/>
                <w:szCs w:val="16"/>
              </w:rPr>
              <w:t>Leucoaféresis</w:t>
            </w:r>
          </w:p>
        </w:tc>
        <w:tc>
          <w:tcPr>
            <w:tcW w:w="658" w:type="dxa"/>
            <w:gridSpan w:val="2"/>
            <w:tcBorders>
              <w:top w:val="nil"/>
              <w:left w:val="nil"/>
              <w:bottom w:val="single" w:sz="4" w:space="0" w:color="auto"/>
              <w:right w:val="single" w:sz="4" w:space="0" w:color="auto"/>
            </w:tcBorders>
            <w:vAlign w:val="center"/>
          </w:tcPr>
          <w:p w:rsidR="007D48BC" w:rsidRPr="001F344E" w:rsidRDefault="007D48BC" w:rsidP="00A56BE4">
            <w:pPr>
              <w:jc w:val="right"/>
              <w:rPr>
                <w:rFonts w:ascii="Arial" w:hAnsi="Arial" w:cs="Arial"/>
                <w:sz w:val="16"/>
                <w:szCs w:val="16"/>
              </w:rPr>
            </w:pPr>
            <w:r w:rsidRPr="001F344E">
              <w:rPr>
                <w:rFonts w:ascii="Arial" w:hAnsi="Arial" w:cs="Arial"/>
                <w:sz w:val="16"/>
                <w:szCs w:val="16"/>
              </w:rPr>
              <w:t>1955,79</w:t>
            </w:r>
          </w:p>
        </w:tc>
        <w:tc>
          <w:tcPr>
            <w:tcW w:w="1012" w:type="dxa"/>
            <w:tcBorders>
              <w:top w:val="nil"/>
              <w:left w:val="nil"/>
              <w:bottom w:val="single" w:sz="4" w:space="0" w:color="auto"/>
              <w:right w:val="single" w:sz="4" w:space="0" w:color="auto"/>
            </w:tcBorders>
            <w:vAlign w:val="center"/>
          </w:tcPr>
          <w:p w:rsidR="007D48BC" w:rsidRPr="001F344E" w:rsidRDefault="007D48BC" w:rsidP="00A56BE4">
            <w:pPr>
              <w:jc w:val="right"/>
              <w:rPr>
                <w:rFonts w:ascii="Arial" w:hAnsi="Arial" w:cs="Arial"/>
                <w:sz w:val="16"/>
                <w:szCs w:val="16"/>
              </w:rPr>
            </w:pPr>
            <w:r w:rsidRPr="001F344E">
              <w:rPr>
                <w:rFonts w:ascii="Arial" w:hAnsi="Arial" w:cs="Arial"/>
                <w:sz w:val="16"/>
                <w:szCs w:val="16"/>
              </w:rPr>
              <w:t>1</w:t>
            </w:r>
          </w:p>
        </w:tc>
        <w:tc>
          <w:tcPr>
            <w:tcW w:w="1227" w:type="dxa"/>
            <w:tcBorders>
              <w:top w:val="nil"/>
              <w:left w:val="nil"/>
              <w:bottom w:val="single" w:sz="4" w:space="0" w:color="auto"/>
              <w:right w:val="single" w:sz="4" w:space="0" w:color="auto"/>
            </w:tcBorders>
            <w:vAlign w:val="center"/>
          </w:tcPr>
          <w:p w:rsidR="007D48BC" w:rsidRPr="001F344E" w:rsidRDefault="007D48BC" w:rsidP="00A56BE4">
            <w:pPr>
              <w:rPr>
                <w:rFonts w:ascii="Arial" w:hAnsi="Arial" w:cs="Arial"/>
                <w:sz w:val="16"/>
                <w:szCs w:val="16"/>
              </w:rPr>
            </w:pPr>
            <w:r>
              <w:rPr>
                <w:rFonts w:ascii="Arial" w:hAnsi="Arial" w:cs="Arial"/>
                <w:sz w:val="16"/>
                <w:szCs w:val="16"/>
              </w:rPr>
              <w:t xml:space="preserve">    </w:t>
            </w:r>
            <w:r w:rsidRPr="001F344E">
              <w:rPr>
                <w:rFonts w:ascii="Arial" w:hAnsi="Arial" w:cs="Arial"/>
                <w:sz w:val="16"/>
                <w:szCs w:val="16"/>
              </w:rPr>
              <w:t xml:space="preserve">1.955,79 € </w:t>
            </w:r>
          </w:p>
        </w:tc>
        <w:tc>
          <w:tcPr>
            <w:tcW w:w="1397" w:type="dxa"/>
            <w:tcBorders>
              <w:top w:val="nil"/>
              <w:left w:val="nil"/>
              <w:bottom w:val="single" w:sz="4" w:space="0" w:color="auto"/>
              <w:right w:val="single" w:sz="8" w:space="0" w:color="auto"/>
            </w:tcBorders>
            <w:shd w:val="clear" w:color="000000" w:fill="D9D9D9"/>
            <w:vAlign w:val="center"/>
          </w:tcPr>
          <w:p w:rsidR="007D48BC" w:rsidRPr="00EB302A" w:rsidRDefault="007D48BC" w:rsidP="00EB302A">
            <w:pPr>
              <w:jc w:val="right"/>
              <w:rPr>
                <w:rFonts w:ascii="Arial" w:hAnsi="Arial" w:cs="Arial"/>
                <w:color w:val="FF0000"/>
                <w:sz w:val="16"/>
                <w:szCs w:val="16"/>
              </w:rPr>
            </w:pPr>
            <w:r w:rsidRPr="00EB302A">
              <w:rPr>
                <w:rFonts w:ascii="Arial" w:hAnsi="Arial" w:cs="Arial"/>
                <w:color w:val="FF0000"/>
                <w:sz w:val="16"/>
                <w:szCs w:val="16"/>
              </w:rPr>
              <w:t xml:space="preserve">0 € </w:t>
            </w:r>
          </w:p>
        </w:tc>
        <w:tc>
          <w:tcPr>
            <w:tcW w:w="1307" w:type="dxa"/>
            <w:gridSpan w:val="2"/>
            <w:tcBorders>
              <w:top w:val="single" w:sz="4" w:space="0" w:color="auto"/>
              <w:left w:val="nil"/>
              <w:bottom w:val="single" w:sz="4" w:space="0" w:color="auto"/>
              <w:right w:val="single" w:sz="4" w:space="0" w:color="000000"/>
            </w:tcBorders>
            <w:shd w:val="clear" w:color="000000" w:fill="FFFFFF"/>
            <w:vAlign w:val="center"/>
          </w:tcPr>
          <w:p w:rsidR="007D48BC" w:rsidRPr="001F344E" w:rsidRDefault="007D48BC" w:rsidP="00A56BE4">
            <w:pPr>
              <w:jc w:val="center"/>
              <w:rPr>
                <w:rFonts w:ascii="Arial" w:hAnsi="Arial" w:cs="Arial"/>
                <w:sz w:val="16"/>
                <w:szCs w:val="16"/>
              </w:rPr>
            </w:pPr>
            <w:r w:rsidRPr="001F344E">
              <w:rPr>
                <w:rFonts w:ascii="Arial" w:hAnsi="Arial" w:cs="Arial"/>
                <w:sz w:val="16"/>
                <w:szCs w:val="16"/>
              </w:rPr>
              <w:t> </w:t>
            </w:r>
          </w:p>
        </w:tc>
        <w:tc>
          <w:tcPr>
            <w:tcW w:w="1033" w:type="dxa"/>
            <w:tcBorders>
              <w:top w:val="nil"/>
              <w:left w:val="nil"/>
              <w:bottom w:val="single" w:sz="4" w:space="0" w:color="auto"/>
              <w:right w:val="single" w:sz="4" w:space="0" w:color="auto"/>
            </w:tcBorders>
            <w:vAlign w:val="center"/>
          </w:tcPr>
          <w:p w:rsidR="007D48BC" w:rsidRPr="001F344E" w:rsidRDefault="007D48BC" w:rsidP="00A56BE4">
            <w:pPr>
              <w:rPr>
                <w:rFonts w:ascii="Arial" w:hAnsi="Arial" w:cs="Arial"/>
                <w:sz w:val="16"/>
                <w:szCs w:val="16"/>
              </w:rPr>
            </w:pPr>
            <w:r w:rsidRPr="001F344E">
              <w:rPr>
                <w:rFonts w:ascii="Arial" w:hAnsi="Arial" w:cs="Arial"/>
                <w:sz w:val="16"/>
                <w:szCs w:val="16"/>
              </w:rPr>
              <w:t> </w:t>
            </w:r>
          </w:p>
        </w:tc>
        <w:tc>
          <w:tcPr>
            <w:tcW w:w="951" w:type="dxa"/>
            <w:tcBorders>
              <w:top w:val="nil"/>
              <w:left w:val="nil"/>
              <w:bottom w:val="single" w:sz="4" w:space="0" w:color="auto"/>
              <w:right w:val="single" w:sz="4" w:space="0" w:color="auto"/>
            </w:tcBorders>
            <w:vAlign w:val="center"/>
          </w:tcPr>
          <w:p w:rsidR="007D48BC" w:rsidRPr="001F344E" w:rsidRDefault="007D48BC" w:rsidP="00A56BE4">
            <w:pPr>
              <w:rPr>
                <w:rFonts w:ascii="Arial" w:hAnsi="Arial" w:cs="Arial"/>
                <w:sz w:val="16"/>
                <w:szCs w:val="16"/>
              </w:rPr>
            </w:pPr>
            <w:r w:rsidRPr="001F344E">
              <w:rPr>
                <w:rFonts w:ascii="Arial" w:hAnsi="Arial" w:cs="Arial"/>
                <w:sz w:val="16"/>
                <w:szCs w:val="16"/>
              </w:rPr>
              <w:t> </w:t>
            </w:r>
          </w:p>
        </w:tc>
        <w:tc>
          <w:tcPr>
            <w:tcW w:w="1296" w:type="dxa"/>
            <w:tcBorders>
              <w:top w:val="nil"/>
              <w:left w:val="nil"/>
              <w:bottom w:val="single" w:sz="4" w:space="0" w:color="auto"/>
              <w:right w:val="single" w:sz="4" w:space="0" w:color="auto"/>
            </w:tcBorders>
            <w:shd w:val="clear" w:color="000000" w:fill="D9D9D9"/>
            <w:vAlign w:val="center"/>
          </w:tcPr>
          <w:p w:rsidR="007D48BC" w:rsidRPr="00DF68A8" w:rsidRDefault="007D48BC" w:rsidP="00A56BE4">
            <w:pPr>
              <w:rPr>
                <w:rFonts w:ascii="Arial" w:hAnsi="Arial" w:cs="Arial"/>
                <w:color w:val="FF0000"/>
                <w:sz w:val="16"/>
                <w:szCs w:val="16"/>
              </w:rPr>
            </w:pPr>
            <w:r w:rsidRPr="00DF68A8">
              <w:rPr>
                <w:rFonts w:ascii="Arial" w:hAnsi="Arial" w:cs="Arial"/>
                <w:color w:val="FF0000"/>
                <w:sz w:val="16"/>
                <w:szCs w:val="16"/>
              </w:rPr>
              <w:t xml:space="preserve">        1.955,79 € </w:t>
            </w:r>
          </w:p>
        </w:tc>
      </w:tr>
      <w:tr w:rsidR="007D48BC" w:rsidRPr="001F344E">
        <w:trPr>
          <w:trHeight w:val="300"/>
          <w:jc w:val="center"/>
        </w:trPr>
        <w:tc>
          <w:tcPr>
            <w:tcW w:w="2122" w:type="dxa"/>
            <w:tcBorders>
              <w:top w:val="nil"/>
              <w:left w:val="single" w:sz="4" w:space="0" w:color="auto"/>
              <w:bottom w:val="single" w:sz="4" w:space="0" w:color="auto"/>
              <w:right w:val="single" w:sz="8" w:space="0" w:color="auto"/>
            </w:tcBorders>
            <w:shd w:val="clear" w:color="000000" w:fill="D9D9D9"/>
            <w:vAlign w:val="center"/>
          </w:tcPr>
          <w:p w:rsidR="007D48BC" w:rsidRPr="001F344E" w:rsidRDefault="007D48BC" w:rsidP="00A56BE4">
            <w:pPr>
              <w:rPr>
                <w:rFonts w:ascii="Arial" w:hAnsi="Arial" w:cs="Arial"/>
                <w:sz w:val="16"/>
                <w:szCs w:val="16"/>
              </w:rPr>
            </w:pPr>
            <w:r w:rsidRPr="001F344E">
              <w:rPr>
                <w:rFonts w:ascii="Arial" w:hAnsi="Arial" w:cs="Arial"/>
                <w:sz w:val="16"/>
                <w:szCs w:val="16"/>
              </w:rPr>
              <w:t>Costes administración</w:t>
            </w:r>
          </w:p>
        </w:tc>
        <w:tc>
          <w:tcPr>
            <w:tcW w:w="2024" w:type="dxa"/>
            <w:gridSpan w:val="2"/>
            <w:tcBorders>
              <w:top w:val="single" w:sz="4" w:space="0" w:color="auto"/>
              <w:left w:val="nil"/>
              <w:bottom w:val="single" w:sz="4" w:space="0" w:color="auto"/>
              <w:right w:val="single" w:sz="4" w:space="0" w:color="000000"/>
            </w:tcBorders>
            <w:shd w:val="clear" w:color="000000" w:fill="D9D9D9"/>
            <w:vAlign w:val="center"/>
          </w:tcPr>
          <w:p w:rsidR="007D48BC" w:rsidRPr="001F344E" w:rsidRDefault="007D48BC" w:rsidP="00A56BE4">
            <w:pPr>
              <w:jc w:val="center"/>
              <w:rPr>
                <w:rFonts w:ascii="Arial" w:hAnsi="Arial" w:cs="Arial"/>
                <w:sz w:val="16"/>
                <w:szCs w:val="16"/>
              </w:rPr>
            </w:pPr>
            <w:r w:rsidRPr="001F344E">
              <w:rPr>
                <w:rFonts w:ascii="Arial" w:hAnsi="Arial" w:cs="Arial"/>
                <w:sz w:val="16"/>
                <w:szCs w:val="16"/>
              </w:rPr>
              <w:t> </w:t>
            </w:r>
          </w:p>
        </w:tc>
        <w:tc>
          <w:tcPr>
            <w:tcW w:w="973" w:type="dxa"/>
            <w:tcBorders>
              <w:top w:val="nil"/>
              <w:left w:val="nil"/>
              <w:bottom w:val="single" w:sz="4" w:space="0" w:color="auto"/>
              <w:right w:val="single" w:sz="4" w:space="0" w:color="auto"/>
            </w:tcBorders>
            <w:shd w:val="clear" w:color="000000" w:fill="D9D9D9"/>
            <w:vAlign w:val="center"/>
          </w:tcPr>
          <w:p w:rsidR="007D48BC" w:rsidRPr="001F344E" w:rsidRDefault="007D48BC" w:rsidP="00A56BE4">
            <w:pPr>
              <w:rPr>
                <w:rFonts w:ascii="Arial" w:hAnsi="Arial" w:cs="Arial"/>
                <w:sz w:val="16"/>
                <w:szCs w:val="16"/>
              </w:rPr>
            </w:pPr>
            <w:r w:rsidRPr="001F344E">
              <w:rPr>
                <w:rFonts w:ascii="Arial" w:hAnsi="Arial" w:cs="Arial"/>
                <w:sz w:val="16"/>
                <w:szCs w:val="16"/>
              </w:rPr>
              <w:t> </w:t>
            </w:r>
          </w:p>
        </w:tc>
        <w:tc>
          <w:tcPr>
            <w:tcW w:w="1297" w:type="dxa"/>
            <w:tcBorders>
              <w:top w:val="nil"/>
              <w:left w:val="nil"/>
              <w:bottom w:val="single" w:sz="4" w:space="0" w:color="auto"/>
              <w:right w:val="single" w:sz="8" w:space="0" w:color="auto"/>
            </w:tcBorders>
            <w:shd w:val="clear" w:color="000000" w:fill="D9D9D9"/>
            <w:vAlign w:val="center"/>
          </w:tcPr>
          <w:p w:rsidR="007D48BC" w:rsidRPr="001F344E" w:rsidRDefault="007D48BC" w:rsidP="00A56BE4">
            <w:pPr>
              <w:rPr>
                <w:rFonts w:ascii="Arial" w:hAnsi="Arial" w:cs="Arial"/>
                <w:sz w:val="16"/>
                <w:szCs w:val="16"/>
              </w:rPr>
            </w:pPr>
            <w:r>
              <w:rPr>
                <w:rFonts w:ascii="Arial" w:hAnsi="Arial" w:cs="Arial"/>
                <w:sz w:val="16"/>
                <w:szCs w:val="16"/>
              </w:rPr>
              <w:t xml:space="preserve">           385,50</w:t>
            </w:r>
            <w:r w:rsidRPr="001F344E">
              <w:rPr>
                <w:rFonts w:ascii="Arial" w:hAnsi="Arial" w:cs="Arial"/>
                <w:sz w:val="16"/>
                <w:szCs w:val="16"/>
              </w:rPr>
              <w:t xml:space="preserve"> € </w:t>
            </w:r>
          </w:p>
        </w:tc>
        <w:tc>
          <w:tcPr>
            <w:tcW w:w="1316" w:type="dxa"/>
            <w:gridSpan w:val="3"/>
            <w:tcBorders>
              <w:top w:val="nil"/>
              <w:left w:val="nil"/>
              <w:bottom w:val="single" w:sz="4" w:space="0" w:color="auto"/>
              <w:right w:val="single" w:sz="4" w:space="0" w:color="auto"/>
            </w:tcBorders>
            <w:shd w:val="clear" w:color="000000" w:fill="D9D9D9"/>
            <w:vAlign w:val="center"/>
          </w:tcPr>
          <w:p w:rsidR="007D48BC" w:rsidRPr="001F344E" w:rsidRDefault="007D48BC" w:rsidP="00A56BE4">
            <w:pPr>
              <w:rPr>
                <w:rFonts w:ascii="Arial" w:hAnsi="Arial" w:cs="Arial"/>
                <w:sz w:val="16"/>
                <w:szCs w:val="16"/>
              </w:rPr>
            </w:pPr>
            <w:r w:rsidRPr="001F344E">
              <w:rPr>
                <w:rFonts w:ascii="Arial" w:hAnsi="Arial" w:cs="Arial"/>
                <w:sz w:val="16"/>
                <w:szCs w:val="16"/>
              </w:rPr>
              <w:t> </w:t>
            </w:r>
          </w:p>
        </w:tc>
        <w:tc>
          <w:tcPr>
            <w:tcW w:w="1012" w:type="dxa"/>
            <w:tcBorders>
              <w:top w:val="nil"/>
              <w:left w:val="nil"/>
              <w:bottom w:val="single" w:sz="4" w:space="0" w:color="auto"/>
              <w:right w:val="single" w:sz="4" w:space="0" w:color="auto"/>
            </w:tcBorders>
            <w:shd w:val="clear" w:color="000000" w:fill="D9D9D9"/>
            <w:vAlign w:val="center"/>
          </w:tcPr>
          <w:p w:rsidR="007D48BC" w:rsidRPr="001F344E" w:rsidRDefault="007D48BC" w:rsidP="00A56BE4">
            <w:pPr>
              <w:rPr>
                <w:rFonts w:ascii="Arial" w:hAnsi="Arial" w:cs="Arial"/>
                <w:sz w:val="16"/>
                <w:szCs w:val="16"/>
              </w:rPr>
            </w:pPr>
            <w:r w:rsidRPr="001F344E">
              <w:rPr>
                <w:rFonts w:ascii="Arial" w:hAnsi="Arial" w:cs="Arial"/>
                <w:sz w:val="16"/>
                <w:szCs w:val="16"/>
              </w:rPr>
              <w:t> </w:t>
            </w:r>
          </w:p>
        </w:tc>
        <w:tc>
          <w:tcPr>
            <w:tcW w:w="1227" w:type="dxa"/>
            <w:tcBorders>
              <w:top w:val="nil"/>
              <w:left w:val="nil"/>
              <w:bottom w:val="single" w:sz="4" w:space="0" w:color="auto"/>
              <w:right w:val="single" w:sz="4" w:space="0" w:color="auto"/>
            </w:tcBorders>
            <w:shd w:val="clear" w:color="000000" w:fill="D9D9D9"/>
            <w:vAlign w:val="center"/>
          </w:tcPr>
          <w:p w:rsidR="007D48BC" w:rsidRPr="001F344E" w:rsidRDefault="007D48BC" w:rsidP="00A56BE4">
            <w:pPr>
              <w:rPr>
                <w:rFonts w:ascii="Arial" w:hAnsi="Arial" w:cs="Arial"/>
                <w:sz w:val="16"/>
                <w:szCs w:val="16"/>
              </w:rPr>
            </w:pPr>
            <w:r w:rsidRPr="001F344E">
              <w:rPr>
                <w:rFonts w:ascii="Arial" w:hAnsi="Arial" w:cs="Arial"/>
                <w:sz w:val="16"/>
                <w:szCs w:val="16"/>
              </w:rPr>
              <w:t> </w:t>
            </w:r>
            <w:r>
              <w:rPr>
                <w:rFonts w:ascii="Arial" w:hAnsi="Arial" w:cs="Arial"/>
                <w:sz w:val="16"/>
                <w:szCs w:val="16"/>
              </w:rPr>
              <w:t xml:space="preserve"> </w:t>
            </w:r>
            <w:r w:rsidRPr="001F344E">
              <w:rPr>
                <w:rFonts w:ascii="Arial" w:hAnsi="Arial" w:cs="Arial"/>
                <w:sz w:val="16"/>
                <w:szCs w:val="16"/>
              </w:rPr>
              <w:t xml:space="preserve">    250,20 €</w:t>
            </w:r>
          </w:p>
        </w:tc>
        <w:tc>
          <w:tcPr>
            <w:tcW w:w="1397" w:type="dxa"/>
            <w:tcBorders>
              <w:top w:val="nil"/>
              <w:left w:val="nil"/>
              <w:bottom w:val="single" w:sz="4" w:space="0" w:color="auto"/>
              <w:right w:val="single" w:sz="8" w:space="0" w:color="auto"/>
            </w:tcBorders>
            <w:shd w:val="clear" w:color="000000" w:fill="D9D9D9"/>
            <w:vAlign w:val="center"/>
          </w:tcPr>
          <w:p w:rsidR="007D48BC" w:rsidRPr="00EB302A" w:rsidRDefault="007D48BC" w:rsidP="00EB302A">
            <w:pPr>
              <w:jc w:val="right"/>
              <w:rPr>
                <w:rFonts w:ascii="Arial" w:hAnsi="Arial" w:cs="Arial"/>
                <w:color w:val="FF0000"/>
                <w:sz w:val="16"/>
                <w:szCs w:val="16"/>
              </w:rPr>
            </w:pPr>
            <w:r w:rsidRPr="00EB302A">
              <w:rPr>
                <w:rFonts w:ascii="Arial" w:hAnsi="Arial" w:cs="Arial"/>
                <w:color w:val="FF0000"/>
                <w:sz w:val="16"/>
                <w:szCs w:val="16"/>
              </w:rPr>
              <w:t xml:space="preserve">135,30 € </w:t>
            </w:r>
          </w:p>
        </w:tc>
        <w:tc>
          <w:tcPr>
            <w:tcW w:w="1307" w:type="dxa"/>
            <w:gridSpan w:val="2"/>
            <w:tcBorders>
              <w:top w:val="single" w:sz="4" w:space="0" w:color="auto"/>
              <w:left w:val="nil"/>
              <w:bottom w:val="single" w:sz="4" w:space="0" w:color="auto"/>
              <w:right w:val="single" w:sz="4" w:space="0" w:color="000000"/>
            </w:tcBorders>
            <w:shd w:val="clear" w:color="000000" w:fill="D9D9D9"/>
            <w:vAlign w:val="center"/>
          </w:tcPr>
          <w:p w:rsidR="007D48BC" w:rsidRPr="001F344E" w:rsidRDefault="007D48BC" w:rsidP="00A56BE4">
            <w:pPr>
              <w:jc w:val="center"/>
              <w:rPr>
                <w:rFonts w:ascii="Arial" w:hAnsi="Arial" w:cs="Arial"/>
                <w:strike/>
                <w:sz w:val="16"/>
                <w:szCs w:val="16"/>
              </w:rPr>
            </w:pPr>
            <w:r w:rsidRPr="001F344E">
              <w:rPr>
                <w:rFonts w:ascii="Arial" w:hAnsi="Arial" w:cs="Arial"/>
                <w:strike/>
                <w:sz w:val="16"/>
                <w:szCs w:val="16"/>
              </w:rPr>
              <w:t> </w:t>
            </w:r>
          </w:p>
        </w:tc>
        <w:tc>
          <w:tcPr>
            <w:tcW w:w="1033" w:type="dxa"/>
            <w:tcBorders>
              <w:top w:val="nil"/>
              <w:left w:val="nil"/>
              <w:bottom w:val="single" w:sz="4" w:space="0" w:color="auto"/>
              <w:right w:val="single" w:sz="4" w:space="0" w:color="auto"/>
            </w:tcBorders>
            <w:shd w:val="clear" w:color="000000" w:fill="D9D9D9"/>
            <w:vAlign w:val="center"/>
          </w:tcPr>
          <w:p w:rsidR="007D48BC" w:rsidRPr="001F344E" w:rsidRDefault="007D48BC" w:rsidP="00A56BE4">
            <w:pPr>
              <w:rPr>
                <w:rFonts w:ascii="Arial" w:hAnsi="Arial" w:cs="Arial"/>
                <w:strike/>
                <w:sz w:val="16"/>
                <w:szCs w:val="16"/>
              </w:rPr>
            </w:pPr>
            <w:r w:rsidRPr="001F344E">
              <w:rPr>
                <w:rFonts w:ascii="Arial" w:hAnsi="Arial" w:cs="Arial"/>
                <w:strike/>
                <w:sz w:val="16"/>
                <w:szCs w:val="16"/>
              </w:rPr>
              <w:t> </w:t>
            </w:r>
          </w:p>
        </w:tc>
        <w:tc>
          <w:tcPr>
            <w:tcW w:w="951" w:type="dxa"/>
            <w:tcBorders>
              <w:top w:val="nil"/>
              <w:left w:val="nil"/>
              <w:bottom w:val="single" w:sz="4" w:space="0" w:color="auto"/>
              <w:right w:val="single" w:sz="4" w:space="0" w:color="auto"/>
            </w:tcBorders>
            <w:shd w:val="clear" w:color="000000" w:fill="D9D9D9"/>
            <w:vAlign w:val="center"/>
          </w:tcPr>
          <w:p w:rsidR="007D48BC" w:rsidRPr="001F344E" w:rsidRDefault="007D48BC" w:rsidP="00A56BE4">
            <w:pPr>
              <w:jc w:val="center"/>
              <w:rPr>
                <w:rFonts w:ascii="Arial" w:hAnsi="Arial" w:cs="Arial"/>
                <w:strike/>
                <w:sz w:val="16"/>
                <w:szCs w:val="16"/>
              </w:rPr>
            </w:pPr>
          </w:p>
        </w:tc>
        <w:tc>
          <w:tcPr>
            <w:tcW w:w="1296" w:type="dxa"/>
            <w:tcBorders>
              <w:top w:val="nil"/>
              <w:left w:val="nil"/>
              <w:bottom w:val="single" w:sz="4" w:space="0" w:color="auto"/>
              <w:right w:val="single" w:sz="4" w:space="0" w:color="auto"/>
            </w:tcBorders>
            <w:shd w:val="clear" w:color="000000" w:fill="D9D9D9"/>
            <w:vAlign w:val="center"/>
          </w:tcPr>
          <w:p w:rsidR="007D48BC" w:rsidRPr="00DF68A8" w:rsidRDefault="007D48BC" w:rsidP="00A56BE4">
            <w:pPr>
              <w:jc w:val="right"/>
              <w:rPr>
                <w:rFonts w:ascii="Arial" w:hAnsi="Arial" w:cs="Arial"/>
                <w:color w:val="FF0000"/>
                <w:sz w:val="16"/>
                <w:szCs w:val="16"/>
              </w:rPr>
            </w:pPr>
            <w:r w:rsidRPr="00DF68A8">
              <w:rPr>
                <w:rFonts w:ascii="Arial" w:hAnsi="Arial" w:cs="Arial"/>
                <w:color w:val="FF0000"/>
                <w:sz w:val="16"/>
                <w:szCs w:val="16"/>
              </w:rPr>
              <w:t>385,50 €</w:t>
            </w:r>
          </w:p>
        </w:tc>
      </w:tr>
      <w:tr w:rsidR="007D48BC" w:rsidRPr="001F344E">
        <w:trPr>
          <w:trHeight w:val="485"/>
          <w:jc w:val="center"/>
        </w:trPr>
        <w:tc>
          <w:tcPr>
            <w:tcW w:w="2122" w:type="dxa"/>
            <w:tcBorders>
              <w:top w:val="nil"/>
              <w:left w:val="single" w:sz="4" w:space="0" w:color="auto"/>
              <w:bottom w:val="single" w:sz="4" w:space="0" w:color="auto"/>
              <w:right w:val="single" w:sz="8" w:space="0" w:color="auto"/>
            </w:tcBorders>
            <w:vAlign w:val="center"/>
          </w:tcPr>
          <w:p w:rsidR="007D48BC" w:rsidRPr="001F344E" w:rsidRDefault="007D48BC" w:rsidP="00A56BE4">
            <w:pPr>
              <w:rPr>
                <w:rFonts w:ascii="Arial" w:hAnsi="Arial" w:cs="Arial"/>
                <w:sz w:val="16"/>
                <w:szCs w:val="16"/>
              </w:rPr>
            </w:pPr>
            <w:r w:rsidRPr="001F344E">
              <w:rPr>
                <w:rFonts w:ascii="Arial" w:hAnsi="Arial" w:cs="Arial"/>
                <w:sz w:val="16"/>
                <w:szCs w:val="16"/>
              </w:rPr>
              <w:t>Costes de acondicionamiento del paciente</w:t>
            </w:r>
          </w:p>
        </w:tc>
        <w:tc>
          <w:tcPr>
            <w:tcW w:w="1275" w:type="dxa"/>
            <w:tcBorders>
              <w:top w:val="nil"/>
              <w:left w:val="nil"/>
              <w:bottom w:val="single" w:sz="4" w:space="0" w:color="auto"/>
              <w:right w:val="single" w:sz="4" w:space="0" w:color="auto"/>
            </w:tcBorders>
            <w:vAlign w:val="center"/>
          </w:tcPr>
          <w:p w:rsidR="007D48BC" w:rsidRPr="001F344E" w:rsidRDefault="007D48BC" w:rsidP="00A56BE4">
            <w:pPr>
              <w:rPr>
                <w:rFonts w:ascii="Arial" w:hAnsi="Arial" w:cs="Arial"/>
                <w:sz w:val="16"/>
                <w:szCs w:val="16"/>
              </w:rPr>
            </w:pPr>
            <w:r w:rsidRPr="001F344E">
              <w:rPr>
                <w:rFonts w:ascii="Arial" w:hAnsi="Arial" w:cs="Arial"/>
                <w:sz w:val="16"/>
                <w:szCs w:val="16"/>
              </w:rPr>
              <w:t>Tratamiento linfoablativo</w:t>
            </w:r>
          </w:p>
        </w:tc>
        <w:tc>
          <w:tcPr>
            <w:tcW w:w="749" w:type="dxa"/>
            <w:tcBorders>
              <w:top w:val="nil"/>
              <w:left w:val="nil"/>
              <w:bottom w:val="single" w:sz="4" w:space="0" w:color="auto"/>
              <w:right w:val="single" w:sz="4" w:space="0" w:color="auto"/>
            </w:tcBorders>
            <w:vAlign w:val="center"/>
          </w:tcPr>
          <w:p w:rsidR="007D48BC" w:rsidRPr="001F344E" w:rsidRDefault="007D48BC" w:rsidP="00A56BE4">
            <w:pPr>
              <w:jc w:val="right"/>
              <w:rPr>
                <w:rFonts w:ascii="Arial" w:hAnsi="Arial" w:cs="Arial"/>
                <w:sz w:val="16"/>
                <w:szCs w:val="16"/>
              </w:rPr>
            </w:pPr>
            <w:r w:rsidRPr="001F344E">
              <w:rPr>
                <w:rFonts w:ascii="Arial" w:hAnsi="Arial" w:cs="Arial"/>
                <w:sz w:val="16"/>
                <w:szCs w:val="16"/>
              </w:rPr>
              <w:t>53,93</w:t>
            </w:r>
          </w:p>
        </w:tc>
        <w:tc>
          <w:tcPr>
            <w:tcW w:w="973" w:type="dxa"/>
            <w:tcBorders>
              <w:top w:val="nil"/>
              <w:left w:val="nil"/>
              <w:bottom w:val="single" w:sz="4" w:space="0" w:color="auto"/>
              <w:right w:val="single" w:sz="4" w:space="0" w:color="auto"/>
            </w:tcBorders>
            <w:vAlign w:val="center"/>
          </w:tcPr>
          <w:p w:rsidR="007D48BC" w:rsidRPr="001F344E" w:rsidRDefault="007D48BC" w:rsidP="00A56BE4">
            <w:pPr>
              <w:jc w:val="right"/>
              <w:rPr>
                <w:rFonts w:ascii="Arial" w:hAnsi="Arial" w:cs="Arial"/>
                <w:sz w:val="16"/>
                <w:szCs w:val="16"/>
              </w:rPr>
            </w:pPr>
            <w:r w:rsidRPr="001F344E">
              <w:rPr>
                <w:rFonts w:ascii="Arial" w:hAnsi="Arial" w:cs="Arial"/>
                <w:sz w:val="16"/>
                <w:szCs w:val="16"/>
              </w:rPr>
              <w:t>1</w:t>
            </w:r>
          </w:p>
        </w:tc>
        <w:tc>
          <w:tcPr>
            <w:tcW w:w="1297" w:type="dxa"/>
            <w:tcBorders>
              <w:top w:val="nil"/>
              <w:left w:val="nil"/>
              <w:bottom w:val="single" w:sz="4" w:space="0" w:color="auto"/>
              <w:right w:val="single" w:sz="8" w:space="0" w:color="auto"/>
            </w:tcBorders>
            <w:vAlign w:val="center"/>
          </w:tcPr>
          <w:p w:rsidR="007D48BC" w:rsidRPr="001F344E" w:rsidRDefault="007D48BC" w:rsidP="00A56BE4">
            <w:pPr>
              <w:rPr>
                <w:rFonts w:ascii="Arial" w:hAnsi="Arial" w:cs="Arial"/>
                <w:sz w:val="16"/>
                <w:szCs w:val="16"/>
              </w:rPr>
            </w:pPr>
            <w:r>
              <w:rPr>
                <w:rFonts w:ascii="Arial" w:hAnsi="Arial" w:cs="Arial"/>
                <w:sz w:val="16"/>
                <w:szCs w:val="16"/>
              </w:rPr>
              <w:t xml:space="preserve">            189,23</w:t>
            </w:r>
            <w:r w:rsidRPr="001F344E">
              <w:rPr>
                <w:rFonts w:ascii="Arial" w:hAnsi="Arial" w:cs="Arial"/>
                <w:sz w:val="16"/>
                <w:szCs w:val="16"/>
              </w:rPr>
              <w:t xml:space="preserve"> € </w:t>
            </w:r>
          </w:p>
        </w:tc>
        <w:tc>
          <w:tcPr>
            <w:tcW w:w="739" w:type="dxa"/>
            <w:gridSpan w:val="2"/>
            <w:tcBorders>
              <w:top w:val="nil"/>
              <w:left w:val="nil"/>
              <w:bottom w:val="single" w:sz="4" w:space="0" w:color="auto"/>
              <w:right w:val="single" w:sz="4" w:space="0" w:color="auto"/>
            </w:tcBorders>
            <w:vAlign w:val="center"/>
          </w:tcPr>
          <w:p w:rsidR="007D48BC" w:rsidRPr="001F344E" w:rsidRDefault="007D48BC" w:rsidP="00A56BE4">
            <w:pPr>
              <w:rPr>
                <w:rFonts w:ascii="Arial" w:hAnsi="Arial" w:cs="Arial"/>
                <w:sz w:val="16"/>
                <w:szCs w:val="16"/>
              </w:rPr>
            </w:pPr>
            <w:r w:rsidRPr="001F344E">
              <w:rPr>
                <w:rFonts w:ascii="Arial" w:hAnsi="Arial" w:cs="Arial"/>
                <w:sz w:val="16"/>
                <w:szCs w:val="16"/>
              </w:rPr>
              <w:t>Tratamiento linfoablativo</w:t>
            </w:r>
          </w:p>
        </w:tc>
        <w:tc>
          <w:tcPr>
            <w:tcW w:w="577" w:type="dxa"/>
            <w:tcBorders>
              <w:top w:val="nil"/>
              <w:left w:val="nil"/>
              <w:bottom w:val="single" w:sz="4" w:space="0" w:color="auto"/>
              <w:right w:val="single" w:sz="4" w:space="0" w:color="auto"/>
            </w:tcBorders>
            <w:vAlign w:val="center"/>
          </w:tcPr>
          <w:p w:rsidR="007D48BC" w:rsidRPr="001F344E" w:rsidRDefault="007D48BC" w:rsidP="00A56BE4">
            <w:pPr>
              <w:jc w:val="right"/>
              <w:rPr>
                <w:rFonts w:ascii="Arial" w:hAnsi="Arial" w:cs="Arial"/>
                <w:sz w:val="16"/>
                <w:szCs w:val="16"/>
              </w:rPr>
            </w:pPr>
            <w:r w:rsidRPr="001F344E">
              <w:rPr>
                <w:rFonts w:ascii="Arial" w:hAnsi="Arial" w:cs="Arial"/>
                <w:sz w:val="16"/>
                <w:szCs w:val="16"/>
              </w:rPr>
              <w:t>53,93</w:t>
            </w:r>
          </w:p>
        </w:tc>
        <w:tc>
          <w:tcPr>
            <w:tcW w:w="1012" w:type="dxa"/>
            <w:tcBorders>
              <w:top w:val="nil"/>
              <w:left w:val="nil"/>
              <w:bottom w:val="single" w:sz="4" w:space="0" w:color="auto"/>
              <w:right w:val="single" w:sz="4" w:space="0" w:color="auto"/>
            </w:tcBorders>
            <w:vAlign w:val="center"/>
          </w:tcPr>
          <w:p w:rsidR="007D48BC" w:rsidRPr="001F344E" w:rsidRDefault="007D48BC" w:rsidP="00A56BE4">
            <w:pPr>
              <w:jc w:val="right"/>
              <w:rPr>
                <w:rFonts w:ascii="Arial" w:hAnsi="Arial" w:cs="Arial"/>
                <w:sz w:val="16"/>
                <w:szCs w:val="16"/>
              </w:rPr>
            </w:pPr>
            <w:r w:rsidRPr="001F344E">
              <w:rPr>
                <w:rFonts w:ascii="Arial" w:hAnsi="Arial" w:cs="Arial"/>
                <w:sz w:val="16"/>
                <w:szCs w:val="16"/>
              </w:rPr>
              <w:t>1</w:t>
            </w:r>
          </w:p>
        </w:tc>
        <w:tc>
          <w:tcPr>
            <w:tcW w:w="1227" w:type="dxa"/>
            <w:tcBorders>
              <w:top w:val="nil"/>
              <w:left w:val="nil"/>
              <w:bottom w:val="single" w:sz="4" w:space="0" w:color="auto"/>
              <w:right w:val="single" w:sz="4" w:space="0" w:color="auto"/>
            </w:tcBorders>
            <w:vAlign w:val="center"/>
          </w:tcPr>
          <w:p w:rsidR="007D48BC" w:rsidRPr="001F344E" w:rsidRDefault="007D48BC" w:rsidP="00A56BE4">
            <w:pPr>
              <w:rPr>
                <w:rFonts w:ascii="Arial" w:hAnsi="Arial" w:cs="Arial"/>
                <w:sz w:val="16"/>
                <w:szCs w:val="16"/>
              </w:rPr>
            </w:pPr>
            <w:r>
              <w:rPr>
                <w:rFonts w:ascii="Arial" w:hAnsi="Arial" w:cs="Arial"/>
                <w:sz w:val="16"/>
                <w:szCs w:val="16"/>
              </w:rPr>
              <w:t xml:space="preserve">       </w:t>
            </w:r>
            <w:r w:rsidRPr="001F344E">
              <w:rPr>
                <w:rFonts w:ascii="Arial" w:hAnsi="Arial" w:cs="Arial"/>
                <w:sz w:val="16"/>
                <w:szCs w:val="16"/>
              </w:rPr>
              <w:t xml:space="preserve"> 53,93 € </w:t>
            </w:r>
          </w:p>
        </w:tc>
        <w:tc>
          <w:tcPr>
            <w:tcW w:w="1397" w:type="dxa"/>
            <w:tcBorders>
              <w:top w:val="nil"/>
              <w:left w:val="nil"/>
              <w:bottom w:val="single" w:sz="4" w:space="0" w:color="auto"/>
              <w:right w:val="single" w:sz="8" w:space="0" w:color="auto"/>
            </w:tcBorders>
            <w:shd w:val="clear" w:color="000000" w:fill="D9D9D9"/>
            <w:vAlign w:val="center"/>
          </w:tcPr>
          <w:p w:rsidR="007D48BC" w:rsidRPr="00EB302A" w:rsidRDefault="007D48BC" w:rsidP="00EB302A">
            <w:pPr>
              <w:pStyle w:val="Prrafodelista"/>
              <w:numPr>
                <w:ilvl w:val="0"/>
                <w:numId w:val="1"/>
              </w:numPr>
              <w:jc w:val="right"/>
              <w:rPr>
                <w:rFonts w:ascii="Arial" w:hAnsi="Arial" w:cs="Arial"/>
                <w:color w:val="FF0000"/>
                <w:sz w:val="16"/>
                <w:szCs w:val="16"/>
              </w:rPr>
            </w:pPr>
            <w:r w:rsidRPr="00EB302A">
              <w:rPr>
                <w:rFonts w:ascii="Arial" w:hAnsi="Arial" w:cs="Arial"/>
                <w:color w:val="FF0000"/>
                <w:sz w:val="16"/>
                <w:szCs w:val="16"/>
              </w:rPr>
              <w:t xml:space="preserve"> € </w:t>
            </w:r>
          </w:p>
        </w:tc>
        <w:tc>
          <w:tcPr>
            <w:tcW w:w="1307" w:type="dxa"/>
            <w:gridSpan w:val="2"/>
            <w:tcBorders>
              <w:top w:val="single" w:sz="4" w:space="0" w:color="auto"/>
              <w:left w:val="nil"/>
              <w:bottom w:val="single" w:sz="4" w:space="0" w:color="auto"/>
              <w:right w:val="single" w:sz="4" w:space="0" w:color="000000"/>
            </w:tcBorders>
            <w:shd w:val="clear" w:color="000000" w:fill="FFFFFF"/>
            <w:vAlign w:val="center"/>
          </w:tcPr>
          <w:p w:rsidR="007D48BC" w:rsidRPr="001F344E" w:rsidRDefault="007D48BC" w:rsidP="00A56BE4">
            <w:pPr>
              <w:jc w:val="center"/>
              <w:rPr>
                <w:rFonts w:ascii="Arial" w:hAnsi="Arial" w:cs="Arial"/>
                <w:sz w:val="16"/>
                <w:szCs w:val="16"/>
              </w:rPr>
            </w:pPr>
            <w:r w:rsidRPr="001F344E">
              <w:rPr>
                <w:rFonts w:ascii="Arial" w:hAnsi="Arial" w:cs="Arial"/>
                <w:sz w:val="16"/>
                <w:szCs w:val="16"/>
              </w:rPr>
              <w:t> </w:t>
            </w:r>
          </w:p>
        </w:tc>
        <w:tc>
          <w:tcPr>
            <w:tcW w:w="1033" w:type="dxa"/>
            <w:tcBorders>
              <w:top w:val="nil"/>
              <w:left w:val="nil"/>
              <w:bottom w:val="single" w:sz="4" w:space="0" w:color="auto"/>
              <w:right w:val="single" w:sz="4" w:space="0" w:color="auto"/>
            </w:tcBorders>
            <w:vAlign w:val="center"/>
          </w:tcPr>
          <w:p w:rsidR="007D48BC" w:rsidRPr="001F344E" w:rsidRDefault="007D48BC" w:rsidP="00A56BE4">
            <w:pPr>
              <w:rPr>
                <w:rFonts w:ascii="Arial" w:hAnsi="Arial" w:cs="Arial"/>
                <w:sz w:val="16"/>
                <w:szCs w:val="16"/>
              </w:rPr>
            </w:pPr>
            <w:r w:rsidRPr="001F344E">
              <w:rPr>
                <w:rFonts w:ascii="Arial" w:hAnsi="Arial" w:cs="Arial"/>
                <w:sz w:val="16"/>
                <w:szCs w:val="16"/>
              </w:rPr>
              <w:t> </w:t>
            </w:r>
          </w:p>
        </w:tc>
        <w:tc>
          <w:tcPr>
            <w:tcW w:w="951" w:type="dxa"/>
            <w:tcBorders>
              <w:top w:val="nil"/>
              <w:left w:val="nil"/>
              <w:bottom w:val="single" w:sz="4" w:space="0" w:color="auto"/>
              <w:right w:val="single" w:sz="4" w:space="0" w:color="auto"/>
            </w:tcBorders>
            <w:vAlign w:val="center"/>
          </w:tcPr>
          <w:p w:rsidR="007D48BC" w:rsidRPr="001F344E" w:rsidRDefault="007D48BC" w:rsidP="00A56BE4">
            <w:pPr>
              <w:rPr>
                <w:rFonts w:ascii="Arial" w:hAnsi="Arial" w:cs="Arial"/>
                <w:sz w:val="16"/>
                <w:szCs w:val="16"/>
              </w:rPr>
            </w:pPr>
            <w:r w:rsidRPr="001F344E">
              <w:rPr>
                <w:rFonts w:ascii="Arial" w:hAnsi="Arial" w:cs="Arial"/>
                <w:sz w:val="16"/>
                <w:szCs w:val="16"/>
              </w:rPr>
              <w:t> </w:t>
            </w:r>
          </w:p>
        </w:tc>
        <w:tc>
          <w:tcPr>
            <w:tcW w:w="1296" w:type="dxa"/>
            <w:tcBorders>
              <w:top w:val="nil"/>
              <w:left w:val="nil"/>
              <w:bottom w:val="single" w:sz="4" w:space="0" w:color="auto"/>
              <w:right w:val="single" w:sz="4" w:space="0" w:color="auto"/>
            </w:tcBorders>
            <w:shd w:val="clear" w:color="000000" w:fill="D9D9D9"/>
            <w:vAlign w:val="center"/>
          </w:tcPr>
          <w:p w:rsidR="007D48BC" w:rsidRPr="00DF68A8" w:rsidRDefault="007D48BC" w:rsidP="00A56BE4">
            <w:pPr>
              <w:rPr>
                <w:rFonts w:ascii="Arial" w:hAnsi="Arial" w:cs="Arial"/>
                <w:color w:val="FF0000"/>
                <w:sz w:val="16"/>
                <w:szCs w:val="16"/>
                <w:highlight w:val="yellow"/>
              </w:rPr>
            </w:pPr>
            <w:r w:rsidRPr="00DF68A8">
              <w:rPr>
                <w:rFonts w:ascii="Arial" w:hAnsi="Arial" w:cs="Arial"/>
                <w:color w:val="FF0000"/>
                <w:sz w:val="16"/>
                <w:szCs w:val="16"/>
              </w:rPr>
              <w:t xml:space="preserve">           189,23 €</w:t>
            </w:r>
          </w:p>
        </w:tc>
      </w:tr>
      <w:tr w:rsidR="007D48BC" w:rsidRPr="001F344E">
        <w:trPr>
          <w:trHeight w:val="375"/>
          <w:jc w:val="center"/>
        </w:trPr>
        <w:tc>
          <w:tcPr>
            <w:tcW w:w="2122" w:type="dxa"/>
            <w:tcBorders>
              <w:top w:val="nil"/>
              <w:left w:val="single" w:sz="4" w:space="0" w:color="auto"/>
              <w:bottom w:val="single" w:sz="4" w:space="0" w:color="auto"/>
              <w:right w:val="single" w:sz="8" w:space="0" w:color="auto"/>
            </w:tcBorders>
            <w:vAlign w:val="center"/>
          </w:tcPr>
          <w:p w:rsidR="007D48BC" w:rsidRPr="001F344E" w:rsidRDefault="007D48BC" w:rsidP="00A56BE4">
            <w:pPr>
              <w:rPr>
                <w:rFonts w:ascii="Arial" w:hAnsi="Arial" w:cs="Arial"/>
                <w:sz w:val="16"/>
                <w:szCs w:val="16"/>
              </w:rPr>
            </w:pPr>
            <w:r w:rsidRPr="001F344E">
              <w:rPr>
                <w:rFonts w:ascii="Arial" w:hAnsi="Arial" w:cs="Arial"/>
                <w:sz w:val="16"/>
                <w:szCs w:val="16"/>
              </w:rPr>
              <w:t>Coste de administración por enfermería</w:t>
            </w:r>
          </w:p>
        </w:tc>
        <w:tc>
          <w:tcPr>
            <w:tcW w:w="2024" w:type="dxa"/>
            <w:gridSpan w:val="2"/>
            <w:tcBorders>
              <w:top w:val="single" w:sz="4" w:space="0" w:color="auto"/>
              <w:left w:val="nil"/>
              <w:bottom w:val="single" w:sz="4" w:space="0" w:color="auto"/>
              <w:right w:val="single" w:sz="4" w:space="0" w:color="000000"/>
            </w:tcBorders>
            <w:vAlign w:val="center"/>
          </w:tcPr>
          <w:p w:rsidR="007D48BC" w:rsidRPr="001F344E" w:rsidRDefault="007D48BC" w:rsidP="00A56BE4">
            <w:pPr>
              <w:jc w:val="center"/>
              <w:rPr>
                <w:rFonts w:ascii="Arial" w:hAnsi="Arial" w:cs="Arial"/>
                <w:sz w:val="16"/>
                <w:szCs w:val="16"/>
              </w:rPr>
            </w:pPr>
            <w:r w:rsidRPr="001F344E">
              <w:rPr>
                <w:rFonts w:ascii="Arial" w:hAnsi="Arial" w:cs="Arial"/>
                <w:sz w:val="16"/>
                <w:szCs w:val="16"/>
              </w:rPr>
              <w:t>196,27</w:t>
            </w:r>
          </w:p>
        </w:tc>
        <w:tc>
          <w:tcPr>
            <w:tcW w:w="973" w:type="dxa"/>
            <w:tcBorders>
              <w:top w:val="nil"/>
              <w:left w:val="nil"/>
              <w:bottom w:val="single" w:sz="4" w:space="0" w:color="auto"/>
              <w:right w:val="single" w:sz="4" w:space="0" w:color="auto"/>
            </w:tcBorders>
            <w:vAlign w:val="center"/>
          </w:tcPr>
          <w:p w:rsidR="007D48BC" w:rsidRPr="001F344E" w:rsidRDefault="007D48BC" w:rsidP="00A56BE4">
            <w:pPr>
              <w:jc w:val="right"/>
              <w:rPr>
                <w:rFonts w:ascii="Arial" w:hAnsi="Arial" w:cs="Arial"/>
                <w:sz w:val="16"/>
                <w:szCs w:val="16"/>
              </w:rPr>
            </w:pPr>
            <w:r w:rsidRPr="001F344E">
              <w:rPr>
                <w:rFonts w:ascii="Arial" w:hAnsi="Arial" w:cs="Arial"/>
                <w:sz w:val="16"/>
                <w:szCs w:val="16"/>
              </w:rPr>
              <w:t>1</w:t>
            </w:r>
          </w:p>
        </w:tc>
        <w:tc>
          <w:tcPr>
            <w:tcW w:w="1297" w:type="dxa"/>
            <w:tcBorders>
              <w:top w:val="nil"/>
              <w:left w:val="nil"/>
              <w:bottom w:val="single" w:sz="4" w:space="0" w:color="auto"/>
              <w:right w:val="single" w:sz="8" w:space="0" w:color="auto"/>
            </w:tcBorders>
            <w:vAlign w:val="center"/>
          </w:tcPr>
          <w:p w:rsidR="007D48BC" w:rsidRPr="001F344E" w:rsidRDefault="007D48BC" w:rsidP="00A56BE4">
            <w:pPr>
              <w:rPr>
                <w:rFonts w:ascii="Arial" w:hAnsi="Arial" w:cs="Arial"/>
                <w:sz w:val="16"/>
                <w:szCs w:val="16"/>
              </w:rPr>
            </w:pPr>
            <w:r w:rsidRPr="001F344E">
              <w:rPr>
                <w:rFonts w:ascii="Arial" w:hAnsi="Arial" w:cs="Arial"/>
                <w:sz w:val="16"/>
                <w:szCs w:val="16"/>
              </w:rPr>
              <w:t xml:space="preserve">           196,27 € </w:t>
            </w:r>
          </w:p>
        </w:tc>
        <w:tc>
          <w:tcPr>
            <w:tcW w:w="1316" w:type="dxa"/>
            <w:gridSpan w:val="3"/>
            <w:tcBorders>
              <w:top w:val="nil"/>
              <w:left w:val="nil"/>
              <w:bottom w:val="single" w:sz="4" w:space="0" w:color="auto"/>
              <w:right w:val="single" w:sz="4" w:space="0" w:color="auto"/>
            </w:tcBorders>
            <w:vAlign w:val="center"/>
          </w:tcPr>
          <w:p w:rsidR="007D48BC" w:rsidRPr="001F344E" w:rsidRDefault="007D48BC" w:rsidP="00A56BE4">
            <w:pPr>
              <w:jc w:val="center"/>
              <w:rPr>
                <w:rFonts w:ascii="Arial" w:hAnsi="Arial" w:cs="Arial"/>
                <w:strike/>
                <w:sz w:val="16"/>
                <w:szCs w:val="16"/>
                <w:highlight w:val="yellow"/>
              </w:rPr>
            </w:pPr>
            <w:r w:rsidRPr="001F344E">
              <w:rPr>
                <w:rFonts w:ascii="Arial" w:hAnsi="Arial" w:cs="Arial"/>
                <w:sz w:val="16"/>
                <w:szCs w:val="16"/>
              </w:rPr>
              <w:t>196,27</w:t>
            </w:r>
          </w:p>
        </w:tc>
        <w:tc>
          <w:tcPr>
            <w:tcW w:w="1012" w:type="dxa"/>
            <w:tcBorders>
              <w:top w:val="nil"/>
              <w:left w:val="nil"/>
              <w:bottom w:val="single" w:sz="4" w:space="0" w:color="auto"/>
              <w:right w:val="single" w:sz="4" w:space="0" w:color="auto"/>
            </w:tcBorders>
            <w:vAlign w:val="center"/>
          </w:tcPr>
          <w:p w:rsidR="007D48BC" w:rsidRPr="001F344E" w:rsidRDefault="007D48BC" w:rsidP="00A56BE4">
            <w:pPr>
              <w:jc w:val="right"/>
              <w:rPr>
                <w:rFonts w:ascii="Arial" w:hAnsi="Arial" w:cs="Arial"/>
                <w:sz w:val="16"/>
                <w:szCs w:val="16"/>
              </w:rPr>
            </w:pPr>
            <w:r w:rsidRPr="001F344E">
              <w:rPr>
                <w:rFonts w:ascii="Arial" w:hAnsi="Arial" w:cs="Arial"/>
                <w:sz w:val="16"/>
                <w:szCs w:val="16"/>
              </w:rPr>
              <w:t>1</w:t>
            </w:r>
          </w:p>
        </w:tc>
        <w:tc>
          <w:tcPr>
            <w:tcW w:w="1227" w:type="dxa"/>
            <w:tcBorders>
              <w:top w:val="nil"/>
              <w:left w:val="nil"/>
              <w:bottom w:val="single" w:sz="4" w:space="0" w:color="auto"/>
              <w:right w:val="single" w:sz="4" w:space="0" w:color="auto"/>
            </w:tcBorders>
            <w:vAlign w:val="center"/>
          </w:tcPr>
          <w:p w:rsidR="007D48BC" w:rsidRPr="001F344E" w:rsidRDefault="007D48BC" w:rsidP="00A56BE4">
            <w:pPr>
              <w:rPr>
                <w:rFonts w:ascii="Arial" w:hAnsi="Arial" w:cs="Arial"/>
                <w:sz w:val="16"/>
                <w:szCs w:val="16"/>
              </w:rPr>
            </w:pPr>
            <w:r>
              <w:rPr>
                <w:rFonts w:ascii="Arial" w:hAnsi="Arial" w:cs="Arial"/>
                <w:sz w:val="16"/>
                <w:szCs w:val="16"/>
              </w:rPr>
              <w:t xml:space="preserve">      </w:t>
            </w:r>
            <w:r w:rsidRPr="001F344E">
              <w:rPr>
                <w:rFonts w:ascii="Arial" w:hAnsi="Arial" w:cs="Arial"/>
                <w:sz w:val="16"/>
                <w:szCs w:val="16"/>
              </w:rPr>
              <w:t xml:space="preserve">196,27 € </w:t>
            </w:r>
          </w:p>
        </w:tc>
        <w:tc>
          <w:tcPr>
            <w:tcW w:w="1397" w:type="dxa"/>
            <w:tcBorders>
              <w:top w:val="nil"/>
              <w:left w:val="nil"/>
              <w:bottom w:val="single" w:sz="4" w:space="0" w:color="auto"/>
              <w:right w:val="single" w:sz="8" w:space="0" w:color="auto"/>
            </w:tcBorders>
            <w:shd w:val="clear" w:color="000000" w:fill="D9D9D9"/>
            <w:vAlign w:val="center"/>
          </w:tcPr>
          <w:p w:rsidR="007D48BC" w:rsidRPr="00EB302A" w:rsidRDefault="007D48BC" w:rsidP="00EB302A">
            <w:pPr>
              <w:jc w:val="right"/>
              <w:rPr>
                <w:rFonts w:ascii="Arial" w:hAnsi="Arial" w:cs="Arial"/>
                <w:color w:val="FF0000"/>
                <w:sz w:val="16"/>
                <w:szCs w:val="16"/>
              </w:rPr>
            </w:pPr>
            <w:r w:rsidRPr="00EB302A">
              <w:rPr>
                <w:rFonts w:ascii="Arial" w:hAnsi="Arial" w:cs="Arial"/>
                <w:color w:val="FF0000"/>
                <w:sz w:val="16"/>
                <w:szCs w:val="16"/>
              </w:rPr>
              <w:t>-  €</w:t>
            </w:r>
          </w:p>
        </w:tc>
        <w:tc>
          <w:tcPr>
            <w:tcW w:w="1307" w:type="dxa"/>
            <w:gridSpan w:val="2"/>
            <w:tcBorders>
              <w:top w:val="single" w:sz="4" w:space="0" w:color="auto"/>
              <w:left w:val="nil"/>
              <w:bottom w:val="single" w:sz="4" w:space="0" w:color="auto"/>
              <w:right w:val="single" w:sz="4" w:space="0" w:color="000000"/>
            </w:tcBorders>
            <w:vAlign w:val="center"/>
          </w:tcPr>
          <w:p w:rsidR="007D48BC" w:rsidRPr="001F344E" w:rsidRDefault="007D48BC" w:rsidP="00A56BE4">
            <w:pPr>
              <w:jc w:val="center"/>
              <w:rPr>
                <w:rFonts w:ascii="Arial" w:hAnsi="Arial" w:cs="Arial"/>
                <w:strike/>
                <w:sz w:val="16"/>
                <w:szCs w:val="16"/>
              </w:rPr>
            </w:pPr>
          </w:p>
        </w:tc>
        <w:tc>
          <w:tcPr>
            <w:tcW w:w="1033" w:type="dxa"/>
            <w:tcBorders>
              <w:top w:val="nil"/>
              <w:left w:val="nil"/>
              <w:bottom w:val="single" w:sz="4" w:space="0" w:color="auto"/>
              <w:right w:val="single" w:sz="4" w:space="0" w:color="auto"/>
            </w:tcBorders>
            <w:vAlign w:val="center"/>
          </w:tcPr>
          <w:p w:rsidR="007D48BC" w:rsidRPr="001F344E" w:rsidRDefault="007D48BC" w:rsidP="00A56BE4">
            <w:pPr>
              <w:rPr>
                <w:rFonts w:ascii="Arial" w:hAnsi="Arial" w:cs="Arial"/>
                <w:strike/>
                <w:sz w:val="16"/>
                <w:szCs w:val="16"/>
              </w:rPr>
            </w:pPr>
          </w:p>
        </w:tc>
        <w:tc>
          <w:tcPr>
            <w:tcW w:w="951" w:type="dxa"/>
            <w:tcBorders>
              <w:top w:val="nil"/>
              <w:left w:val="nil"/>
              <w:bottom w:val="single" w:sz="4" w:space="0" w:color="auto"/>
              <w:right w:val="single" w:sz="4" w:space="0" w:color="auto"/>
            </w:tcBorders>
            <w:vAlign w:val="center"/>
          </w:tcPr>
          <w:p w:rsidR="007D48BC" w:rsidRPr="001F344E" w:rsidRDefault="007D48BC" w:rsidP="00A56BE4">
            <w:pPr>
              <w:rPr>
                <w:rFonts w:ascii="Arial" w:hAnsi="Arial" w:cs="Arial"/>
                <w:strike/>
                <w:sz w:val="16"/>
                <w:szCs w:val="16"/>
              </w:rPr>
            </w:pPr>
            <w:r w:rsidRPr="001F344E">
              <w:rPr>
                <w:rFonts w:ascii="Arial" w:hAnsi="Arial" w:cs="Arial"/>
                <w:strike/>
                <w:sz w:val="16"/>
                <w:szCs w:val="16"/>
              </w:rPr>
              <w:t xml:space="preserve">       </w:t>
            </w:r>
          </w:p>
        </w:tc>
        <w:tc>
          <w:tcPr>
            <w:tcW w:w="1296" w:type="dxa"/>
            <w:tcBorders>
              <w:top w:val="nil"/>
              <w:left w:val="nil"/>
              <w:bottom w:val="single" w:sz="4" w:space="0" w:color="auto"/>
              <w:right w:val="single" w:sz="4" w:space="0" w:color="auto"/>
            </w:tcBorders>
            <w:shd w:val="clear" w:color="000000" w:fill="D9D9D9"/>
            <w:vAlign w:val="center"/>
          </w:tcPr>
          <w:p w:rsidR="007D48BC" w:rsidRPr="00DF68A8" w:rsidRDefault="007D48BC" w:rsidP="00DF68A8">
            <w:pPr>
              <w:jc w:val="right"/>
              <w:rPr>
                <w:rFonts w:ascii="Arial" w:hAnsi="Arial" w:cs="Arial"/>
                <w:strike/>
                <w:color w:val="FF0000"/>
                <w:sz w:val="16"/>
                <w:szCs w:val="16"/>
              </w:rPr>
            </w:pPr>
            <w:r w:rsidRPr="00DF68A8">
              <w:rPr>
                <w:rFonts w:ascii="Arial" w:hAnsi="Arial" w:cs="Arial"/>
                <w:color w:val="FF0000"/>
                <w:sz w:val="16"/>
                <w:szCs w:val="16"/>
              </w:rPr>
              <w:t>196,27 €</w:t>
            </w:r>
          </w:p>
        </w:tc>
      </w:tr>
      <w:tr w:rsidR="007D48BC" w:rsidRPr="001F344E">
        <w:trPr>
          <w:trHeight w:val="255"/>
          <w:jc w:val="center"/>
        </w:trPr>
        <w:tc>
          <w:tcPr>
            <w:tcW w:w="2122" w:type="dxa"/>
            <w:tcBorders>
              <w:top w:val="nil"/>
              <w:left w:val="single" w:sz="4" w:space="0" w:color="auto"/>
              <w:bottom w:val="single" w:sz="4" w:space="0" w:color="auto"/>
              <w:right w:val="single" w:sz="8" w:space="0" w:color="auto"/>
            </w:tcBorders>
            <w:shd w:val="clear" w:color="000000" w:fill="D9D9D9"/>
            <w:vAlign w:val="center"/>
          </w:tcPr>
          <w:p w:rsidR="007D48BC" w:rsidRPr="001F344E" w:rsidRDefault="007D48BC" w:rsidP="00A56BE4">
            <w:pPr>
              <w:rPr>
                <w:rFonts w:ascii="Arial" w:hAnsi="Arial" w:cs="Arial"/>
                <w:sz w:val="16"/>
                <w:szCs w:val="16"/>
              </w:rPr>
            </w:pPr>
            <w:r w:rsidRPr="001F344E">
              <w:rPr>
                <w:rFonts w:ascii="Arial" w:hAnsi="Arial" w:cs="Arial"/>
                <w:sz w:val="16"/>
                <w:szCs w:val="16"/>
              </w:rPr>
              <w:t>Costes de monitorización</w:t>
            </w:r>
          </w:p>
        </w:tc>
        <w:tc>
          <w:tcPr>
            <w:tcW w:w="2024" w:type="dxa"/>
            <w:gridSpan w:val="2"/>
            <w:tcBorders>
              <w:top w:val="single" w:sz="4" w:space="0" w:color="auto"/>
              <w:left w:val="nil"/>
              <w:bottom w:val="single" w:sz="4" w:space="0" w:color="auto"/>
              <w:right w:val="single" w:sz="4" w:space="0" w:color="000000"/>
            </w:tcBorders>
            <w:shd w:val="clear" w:color="000000" w:fill="D9D9D9"/>
            <w:vAlign w:val="center"/>
          </w:tcPr>
          <w:p w:rsidR="007D48BC" w:rsidRPr="001F344E" w:rsidRDefault="007D48BC" w:rsidP="00A56BE4">
            <w:pPr>
              <w:jc w:val="center"/>
              <w:rPr>
                <w:rFonts w:ascii="Arial" w:hAnsi="Arial" w:cs="Arial"/>
                <w:sz w:val="16"/>
                <w:szCs w:val="16"/>
              </w:rPr>
            </w:pPr>
            <w:r w:rsidRPr="001F344E">
              <w:rPr>
                <w:rFonts w:ascii="Arial" w:hAnsi="Arial" w:cs="Arial"/>
                <w:sz w:val="16"/>
                <w:szCs w:val="16"/>
              </w:rPr>
              <w:t> </w:t>
            </w:r>
          </w:p>
        </w:tc>
        <w:tc>
          <w:tcPr>
            <w:tcW w:w="973" w:type="dxa"/>
            <w:tcBorders>
              <w:top w:val="nil"/>
              <w:left w:val="nil"/>
              <w:bottom w:val="single" w:sz="4" w:space="0" w:color="auto"/>
              <w:right w:val="single" w:sz="4" w:space="0" w:color="auto"/>
            </w:tcBorders>
            <w:shd w:val="clear" w:color="000000" w:fill="D9D9D9"/>
            <w:vAlign w:val="center"/>
          </w:tcPr>
          <w:p w:rsidR="007D48BC" w:rsidRPr="001F344E" w:rsidRDefault="007D48BC" w:rsidP="00A56BE4">
            <w:pPr>
              <w:rPr>
                <w:rFonts w:ascii="Arial" w:hAnsi="Arial" w:cs="Arial"/>
                <w:sz w:val="16"/>
                <w:szCs w:val="16"/>
              </w:rPr>
            </w:pPr>
            <w:r w:rsidRPr="001F344E">
              <w:rPr>
                <w:rFonts w:ascii="Arial" w:hAnsi="Arial" w:cs="Arial"/>
                <w:sz w:val="16"/>
                <w:szCs w:val="16"/>
              </w:rPr>
              <w:t> </w:t>
            </w:r>
          </w:p>
        </w:tc>
        <w:tc>
          <w:tcPr>
            <w:tcW w:w="1297" w:type="dxa"/>
            <w:tcBorders>
              <w:top w:val="nil"/>
              <w:left w:val="nil"/>
              <w:bottom w:val="single" w:sz="4" w:space="0" w:color="auto"/>
              <w:right w:val="single" w:sz="8" w:space="0" w:color="auto"/>
            </w:tcBorders>
            <w:shd w:val="clear" w:color="000000" w:fill="D9D9D9"/>
            <w:vAlign w:val="center"/>
          </w:tcPr>
          <w:p w:rsidR="007D48BC" w:rsidRPr="001F344E" w:rsidRDefault="007D48BC" w:rsidP="00A56BE4">
            <w:pPr>
              <w:rPr>
                <w:rFonts w:ascii="Arial" w:hAnsi="Arial" w:cs="Arial"/>
                <w:sz w:val="16"/>
                <w:szCs w:val="16"/>
              </w:rPr>
            </w:pPr>
            <w:r w:rsidRPr="001F344E">
              <w:rPr>
                <w:rFonts w:ascii="Arial" w:hAnsi="Arial" w:cs="Arial"/>
                <w:sz w:val="16"/>
                <w:szCs w:val="16"/>
              </w:rPr>
              <w:t> </w:t>
            </w:r>
          </w:p>
        </w:tc>
        <w:tc>
          <w:tcPr>
            <w:tcW w:w="1316" w:type="dxa"/>
            <w:gridSpan w:val="3"/>
            <w:tcBorders>
              <w:top w:val="nil"/>
              <w:left w:val="nil"/>
              <w:bottom w:val="single" w:sz="4" w:space="0" w:color="auto"/>
              <w:right w:val="single" w:sz="4" w:space="0" w:color="auto"/>
            </w:tcBorders>
            <w:shd w:val="clear" w:color="000000" w:fill="D9D9D9"/>
            <w:vAlign w:val="center"/>
          </w:tcPr>
          <w:p w:rsidR="007D48BC" w:rsidRPr="001F344E" w:rsidRDefault="007D48BC" w:rsidP="00A56BE4">
            <w:pPr>
              <w:rPr>
                <w:rFonts w:ascii="Arial" w:hAnsi="Arial" w:cs="Arial"/>
                <w:sz w:val="16"/>
                <w:szCs w:val="16"/>
              </w:rPr>
            </w:pPr>
            <w:r w:rsidRPr="001F344E">
              <w:rPr>
                <w:rFonts w:ascii="Arial" w:hAnsi="Arial" w:cs="Arial"/>
                <w:sz w:val="16"/>
                <w:szCs w:val="16"/>
              </w:rPr>
              <w:t> </w:t>
            </w:r>
          </w:p>
        </w:tc>
        <w:tc>
          <w:tcPr>
            <w:tcW w:w="1012" w:type="dxa"/>
            <w:tcBorders>
              <w:top w:val="nil"/>
              <w:left w:val="nil"/>
              <w:bottom w:val="single" w:sz="4" w:space="0" w:color="auto"/>
              <w:right w:val="single" w:sz="4" w:space="0" w:color="auto"/>
            </w:tcBorders>
            <w:shd w:val="clear" w:color="000000" w:fill="D9D9D9"/>
            <w:vAlign w:val="center"/>
          </w:tcPr>
          <w:p w:rsidR="007D48BC" w:rsidRPr="001F344E" w:rsidRDefault="007D48BC" w:rsidP="00A56BE4">
            <w:pPr>
              <w:rPr>
                <w:rFonts w:ascii="Arial" w:hAnsi="Arial" w:cs="Arial"/>
                <w:sz w:val="16"/>
                <w:szCs w:val="16"/>
              </w:rPr>
            </w:pPr>
            <w:r w:rsidRPr="001F344E">
              <w:rPr>
                <w:rFonts w:ascii="Arial" w:hAnsi="Arial" w:cs="Arial"/>
                <w:sz w:val="16"/>
                <w:szCs w:val="16"/>
              </w:rPr>
              <w:t> </w:t>
            </w:r>
          </w:p>
        </w:tc>
        <w:tc>
          <w:tcPr>
            <w:tcW w:w="1227" w:type="dxa"/>
            <w:tcBorders>
              <w:top w:val="nil"/>
              <w:left w:val="nil"/>
              <w:bottom w:val="single" w:sz="4" w:space="0" w:color="auto"/>
              <w:right w:val="single" w:sz="4" w:space="0" w:color="auto"/>
            </w:tcBorders>
            <w:shd w:val="clear" w:color="000000" w:fill="D9D9D9"/>
            <w:vAlign w:val="center"/>
          </w:tcPr>
          <w:p w:rsidR="007D48BC" w:rsidRPr="001F344E" w:rsidRDefault="007D48BC" w:rsidP="00A56BE4">
            <w:pPr>
              <w:rPr>
                <w:rFonts w:ascii="Arial" w:hAnsi="Arial" w:cs="Arial"/>
                <w:sz w:val="16"/>
                <w:szCs w:val="16"/>
              </w:rPr>
            </w:pPr>
            <w:r w:rsidRPr="001F344E">
              <w:rPr>
                <w:rFonts w:ascii="Arial" w:hAnsi="Arial" w:cs="Arial"/>
                <w:sz w:val="16"/>
                <w:szCs w:val="16"/>
              </w:rPr>
              <w:t> </w:t>
            </w:r>
          </w:p>
        </w:tc>
        <w:tc>
          <w:tcPr>
            <w:tcW w:w="1397" w:type="dxa"/>
            <w:tcBorders>
              <w:top w:val="nil"/>
              <w:left w:val="nil"/>
              <w:bottom w:val="single" w:sz="4" w:space="0" w:color="auto"/>
              <w:right w:val="single" w:sz="8" w:space="0" w:color="auto"/>
            </w:tcBorders>
            <w:shd w:val="clear" w:color="000000" w:fill="D9D9D9"/>
            <w:vAlign w:val="center"/>
          </w:tcPr>
          <w:p w:rsidR="007D48BC" w:rsidRPr="00EB302A" w:rsidRDefault="007D48BC" w:rsidP="00EB302A">
            <w:pPr>
              <w:jc w:val="right"/>
              <w:rPr>
                <w:rFonts w:ascii="Arial" w:hAnsi="Arial" w:cs="Arial"/>
                <w:color w:val="FF0000"/>
                <w:sz w:val="16"/>
                <w:szCs w:val="16"/>
              </w:rPr>
            </w:pPr>
            <w:r w:rsidRPr="00EB302A">
              <w:rPr>
                <w:rFonts w:ascii="Arial" w:hAnsi="Arial" w:cs="Arial"/>
                <w:color w:val="FF0000"/>
                <w:sz w:val="16"/>
                <w:szCs w:val="16"/>
              </w:rPr>
              <w:t xml:space="preserve">                   -   € </w:t>
            </w:r>
          </w:p>
        </w:tc>
        <w:tc>
          <w:tcPr>
            <w:tcW w:w="1307" w:type="dxa"/>
            <w:gridSpan w:val="2"/>
            <w:tcBorders>
              <w:top w:val="single" w:sz="4" w:space="0" w:color="auto"/>
              <w:left w:val="nil"/>
              <w:bottom w:val="single" w:sz="4" w:space="0" w:color="auto"/>
              <w:right w:val="single" w:sz="4" w:space="0" w:color="000000"/>
            </w:tcBorders>
            <w:shd w:val="clear" w:color="000000" w:fill="D9D9D9"/>
            <w:vAlign w:val="center"/>
          </w:tcPr>
          <w:p w:rsidR="007D48BC" w:rsidRPr="001F344E" w:rsidRDefault="007D48BC" w:rsidP="00A56BE4">
            <w:pPr>
              <w:jc w:val="center"/>
              <w:rPr>
                <w:rFonts w:ascii="Arial" w:hAnsi="Arial" w:cs="Arial"/>
                <w:sz w:val="16"/>
                <w:szCs w:val="16"/>
              </w:rPr>
            </w:pPr>
            <w:r w:rsidRPr="001F344E">
              <w:rPr>
                <w:rFonts w:ascii="Arial" w:hAnsi="Arial" w:cs="Arial"/>
                <w:sz w:val="16"/>
                <w:szCs w:val="16"/>
              </w:rPr>
              <w:t> </w:t>
            </w:r>
          </w:p>
        </w:tc>
        <w:tc>
          <w:tcPr>
            <w:tcW w:w="1033" w:type="dxa"/>
            <w:tcBorders>
              <w:top w:val="nil"/>
              <w:left w:val="nil"/>
              <w:bottom w:val="single" w:sz="4" w:space="0" w:color="auto"/>
              <w:right w:val="single" w:sz="4" w:space="0" w:color="auto"/>
            </w:tcBorders>
            <w:shd w:val="clear" w:color="000000" w:fill="D9D9D9"/>
            <w:vAlign w:val="center"/>
          </w:tcPr>
          <w:p w:rsidR="007D48BC" w:rsidRPr="001F344E" w:rsidRDefault="007D48BC" w:rsidP="00A56BE4">
            <w:pPr>
              <w:rPr>
                <w:rFonts w:ascii="Arial" w:hAnsi="Arial" w:cs="Arial"/>
                <w:sz w:val="16"/>
                <w:szCs w:val="16"/>
              </w:rPr>
            </w:pPr>
            <w:r w:rsidRPr="001F344E">
              <w:rPr>
                <w:rFonts w:ascii="Arial" w:hAnsi="Arial" w:cs="Arial"/>
                <w:sz w:val="16"/>
                <w:szCs w:val="16"/>
              </w:rPr>
              <w:t> </w:t>
            </w:r>
          </w:p>
        </w:tc>
        <w:tc>
          <w:tcPr>
            <w:tcW w:w="951" w:type="dxa"/>
            <w:tcBorders>
              <w:top w:val="nil"/>
              <w:left w:val="nil"/>
              <w:bottom w:val="single" w:sz="4" w:space="0" w:color="auto"/>
              <w:right w:val="single" w:sz="4" w:space="0" w:color="auto"/>
            </w:tcBorders>
            <w:shd w:val="clear" w:color="000000" w:fill="D9D9D9"/>
            <w:vAlign w:val="center"/>
          </w:tcPr>
          <w:p w:rsidR="007D48BC" w:rsidRPr="001F344E" w:rsidRDefault="007D48BC" w:rsidP="00A56BE4">
            <w:pPr>
              <w:rPr>
                <w:rFonts w:ascii="Arial" w:hAnsi="Arial" w:cs="Arial"/>
                <w:sz w:val="16"/>
                <w:szCs w:val="16"/>
              </w:rPr>
            </w:pPr>
            <w:r w:rsidRPr="001F344E">
              <w:rPr>
                <w:rFonts w:ascii="Arial" w:hAnsi="Arial" w:cs="Arial"/>
                <w:sz w:val="16"/>
                <w:szCs w:val="16"/>
              </w:rPr>
              <w:t> </w:t>
            </w:r>
          </w:p>
        </w:tc>
        <w:tc>
          <w:tcPr>
            <w:tcW w:w="1296" w:type="dxa"/>
            <w:tcBorders>
              <w:top w:val="nil"/>
              <w:left w:val="nil"/>
              <w:bottom w:val="single" w:sz="4" w:space="0" w:color="auto"/>
              <w:right w:val="single" w:sz="4" w:space="0" w:color="auto"/>
            </w:tcBorders>
            <w:shd w:val="clear" w:color="000000" w:fill="D9D9D9"/>
            <w:vAlign w:val="center"/>
          </w:tcPr>
          <w:p w:rsidR="007D48BC" w:rsidRPr="00DF68A8" w:rsidRDefault="007D48BC" w:rsidP="00DF68A8">
            <w:pPr>
              <w:pStyle w:val="Prrafodelista"/>
              <w:numPr>
                <w:ilvl w:val="0"/>
                <w:numId w:val="1"/>
              </w:numPr>
              <w:jc w:val="right"/>
              <w:rPr>
                <w:rFonts w:ascii="Arial" w:hAnsi="Arial" w:cs="Arial"/>
                <w:color w:val="FF0000"/>
                <w:sz w:val="16"/>
                <w:szCs w:val="16"/>
              </w:rPr>
            </w:pPr>
            <w:r w:rsidRPr="00DF68A8">
              <w:rPr>
                <w:rFonts w:ascii="Arial" w:hAnsi="Arial" w:cs="Arial"/>
                <w:color w:val="FF0000"/>
                <w:sz w:val="16"/>
                <w:szCs w:val="16"/>
              </w:rPr>
              <w:t xml:space="preserve"> € </w:t>
            </w:r>
          </w:p>
        </w:tc>
      </w:tr>
      <w:tr w:rsidR="007D48BC" w:rsidRPr="001F344E">
        <w:trPr>
          <w:trHeight w:val="450"/>
          <w:jc w:val="center"/>
        </w:trPr>
        <w:tc>
          <w:tcPr>
            <w:tcW w:w="2122" w:type="dxa"/>
            <w:tcBorders>
              <w:top w:val="nil"/>
              <w:left w:val="single" w:sz="4" w:space="0" w:color="auto"/>
              <w:bottom w:val="single" w:sz="4" w:space="0" w:color="auto"/>
              <w:right w:val="single" w:sz="8" w:space="0" w:color="auto"/>
            </w:tcBorders>
            <w:vAlign w:val="center"/>
          </w:tcPr>
          <w:p w:rsidR="007D48BC" w:rsidRPr="001F344E" w:rsidRDefault="007D48BC" w:rsidP="00A56BE4">
            <w:pPr>
              <w:rPr>
                <w:rFonts w:ascii="Arial" w:hAnsi="Arial" w:cs="Arial"/>
                <w:sz w:val="16"/>
                <w:szCs w:val="16"/>
              </w:rPr>
            </w:pPr>
            <w:r w:rsidRPr="001F344E">
              <w:rPr>
                <w:rFonts w:ascii="Arial" w:hAnsi="Arial" w:cs="Arial"/>
                <w:sz w:val="16"/>
                <w:szCs w:val="16"/>
              </w:rPr>
              <w:t>Coste de monitorización para prevenir toxicidad</w:t>
            </w:r>
          </w:p>
        </w:tc>
        <w:tc>
          <w:tcPr>
            <w:tcW w:w="2024" w:type="dxa"/>
            <w:gridSpan w:val="2"/>
            <w:tcBorders>
              <w:top w:val="single" w:sz="4" w:space="0" w:color="auto"/>
              <w:left w:val="nil"/>
              <w:bottom w:val="single" w:sz="4" w:space="0" w:color="auto"/>
              <w:right w:val="single" w:sz="4" w:space="0" w:color="000000"/>
            </w:tcBorders>
            <w:vAlign w:val="center"/>
          </w:tcPr>
          <w:p w:rsidR="007D48BC" w:rsidRPr="001F344E" w:rsidRDefault="007D48BC" w:rsidP="00A56BE4">
            <w:pPr>
              <w:jc w:val="center"/>
              <w:rPr>
                <w:rFonts w:ascii="Arial" w:hAnsi="Arial" w:cs="Arial"/>
                <w:sz w:val="16"/>
                <w:szCs w:val="16"/>
              </w:rPr>
            </w:pPr>
            <w:r w:rsidRPr="001F344E">
              <w:rPr>
                <w:rFonts w:ascii="Arial" w:hAnsi="Arial" w:cs="Arial"/>
                <w:sz w:val="16"/>
                <w:szCs w:val="16"/>
              </w:rPr>
              <w:t> </w:t>
            </w:r>
          </w:p>
        </w:tc>
        <w:tc>
          <w:tcPr>
            <w:tcW w:w="973" w:type="dxa"/>
            <w:tcBorders>
              <w:top w:val="nil"/>
              <w:left w:val="nil"/>
              <w:bottom w:val="single" w:sz="4" w:space="0" w:color="auto"/>
              <w:right w:val="single" w:sz="4" w:space="0" w:color="auto"/>
            </w:tcBorders>
            <w:vAlign w:val="center"/>
          </w:tcPr>
          <w:p w:rsidR="007D48BC" w:rsidRPr="001F344E" w:rsidRDefault="007D48BC" w:rsidP="00A56BE4">
            <w:pPr>
              <w:rPr>
                <w:rFonts w:ascii="Arial" w:hAnsi="Arial" w:cs="Arial"/>
                <w:sz w:val="16"/>
                <w:szCs w:val="16"/>
              </w:rPr>
            </w:pPr>
            <w:r w:rsidRPr="001F344E">
              <w:rPr>
                <w:rFonts w:ascii="Arial" w:hAnsi="Arial" w:cs="Arial"/>
                <w:sz w:val="16"/>
                <w:szCs w:val="16"/>
              </w:rPr>
              <w:t> </w:t>
            </w:r>
          </w:p>
        </w:tc>
        <w:tc>
          <w:tcPr>
            <w:tcW w:w="1297" w:type="dxa"/>
            <w:tcBorders>
              <w:top w:val="nil"/>
              <w:left w:val="nil"/>
              <w:bottom w:val="single" w:sz="4" w:space="0" w:color="auto"/>
              <w:right w:val="single" w:sz="8" w:space="0" w:color="auto"/>
            </w:tcBorders>
            <w:vAlign w:val="center"/>
          </w:tcPr>
          <w:p w:rsidR="007D48BC" w:rsidRPr="001F344E" w:rsidRDefault="007D48BC" w:rsidP="00A56BE4">
            <w:pPr>
              <w:rPr>
                <w:rFonts w:ascii="Arial" w:hAnsi="Arial" w:cs="Arial"/>
                <w:sz w:val="16"/>
                <w:szCs w:val="16"/>
              </w:rPr>
            </w:pPr>
            <w:r w:rsidRPr="001F344E">
              <w:rPr>
                <w:rFonts w:ascii="Arial" w:hAnsi="Arial" w:cs="Arial"/>
                <w:sz w:val="16"/>
                <w:szCs w:val="16"/>
              </w:rPr>
              <w:t> </w:t>
            </w:r>
          </w:p>
        </w:tc>
        <w:tc>
          <w:tcPr>
            <w:tcW w:w="1316" w:type="dxa"/>
            <w:gridSpan w:val="3"/>
            <w:tcBorders>
              <w:top w:val="nil"/>
              <w:left w:val="nil"/>
              <w:bottom w:val="single" w:sz="4" w:space="0" w:color="auto"/>
              <w:right w:val="single" w:sz="4" w:space="0" w:color="auto"/>
            </w:tcBorders>
            <w:vAlign w:val="center"/>
          </w:tcPr>
          <w:p w:rsidR="007D48BC" w:rsidRPr="001F344E" w:rsidRDefault="007D48BC" w:rsidP="00A56BE4">
            <w:pPr>
              <w:rPr>
                <w:rFonts w:ascii="Arial" w:hAnsi="Arial" w:cs="Arial"/>
                <w:sz w:val="16"/>
                <w:szCs w:val="16"/>
              </w:rPr>
            </w:pPr>
            <w:r w:rsidRPr="001F344E">
              <w:rPr>
                <w:rFonts w:ascii="Arial" w:hAnsi="Arial" w:cs="Arial"/>
                <w:sz w:val="16"/>
                <w:szCs w:val="16"/>
              </w:rPr>
              <w:t> </w:t>
            </w:r>
          </w:p>
        </w:tc>
        <w:tc>
          <w:tcPr>
            <w:tcW w:w="1012" w:type="dxa"/>
            <w:tcBorders>
              <w:top w:val="nil"/>
              <w:left w:val="nil"/>
              <w:bottom w:val="single" w:sz="4" w:space="0" w:color="auto"/>
              <w:right w:val="single" w:sz="4" w:space="0" w:color="auto"/>
            </w:tcBorders>
            <w:vAlign w:val="center"/>
          </w:tcPr>
          <w:p w:rsidR="007D48BC" w:rsidRPr="001F344E" w:rsidRDefault="007D48BC" w:rsidP="00A56BE4">
            <w:pPr>
              <w:rPr>
                <w:rFonts w:ascii="Arial" w:hAnsi="Arial" w:cs="Arial"/>
                <w:sz w:val="16"/>
                <w:szCs w:val="16"/>
              </w:rPr>
            </w:pPr>
            <w:r w:rsidRPr="001F344E">
              <w:rPr>
                <w:rFonts w:ascii="Arial" w:hAnsi="Arial" w:cs="Arial"/>
                <w:sz w:val="16"/>
                <w:szCs w:val="16"/>
              </w:rPr>
              <w:t> </w:t>
            </w:r>
          </w:p>
        </w:tc>
        <w:tc>
          <w:tcPr>
            <w:tcW w:w="1227" w:type="dxa"/>
            <w:tcBorders>
              <w:top w:val="nil"/>
              <w:left w:val="nil"/>
              <w:bottom w:val="single" w:sz="4" w:space="0" w:color="auto"/>
              <w:right w:val="single" w:sz="4" w:space="0" w:color="auto"/>
            </w:tcBorders>
            <w:vAlign w:val="center"/>
          </w:tcPr>
          <w:p w:rsidR="007D48BC" w:rsidRPr="001F344E" w:rsidRDefault="007D48BC" w:rsidP="00A56BE4">
            <w:pPr>
              <w:rPr>
                <w:rFonts w:ascii="Arial" w:hAnsi="Arial" w:cs="Arial"/>
                <w:sz w:val="16"/>
                <w:szCs w:val="16"/>
              </w:rPr>
            </w:pPr>
            <w:r w:rsidRPr="001F344E">
              <w:rPr>
                <w:rFonts w:ascii="Arial" w:hAnsi="Arial" w:cs="Arial"/>
                <w:sz w:val="16"/>
                <w:szCs w:val="16"/>
              </w:rPr>
              <w:t> </w:t>
            </w:r>
          </w:p>
        </w:tc>
        <w:tc>
          <w:tcPr>
            <w:tcW w:w="1397" w:type="dxa"/>
            <w:tcBorders>
              <w:top w:val="nil"/>
              <w:left w:val="nil"/>
              <w:bottom w:val="single" w:sz="4" w:space="0" w:color="auto"/>
              <w:right w:val="single" w:sz="8" w:space="0" w:color="auto"/>
            </w:tcBorders>
            <w:shd w:val="clear" w:color="000000" w:fill="D9D9D9"/>
            <w:vAlign w:val="center"/>
          </w:tcPr>
          <w:p w:rsidR="007D48BC" w:rsidRPr="00EB302A" w:rsidRDefault="007D48BC" w:rsidP="00EB302A">
            <w:pPr>
              <w:jc w:val="right"/>
              <w:rPr>
                <w:rFonts w:ascii="Arial" w:hAnsi="Arial" w:cs="Arial"/>
                <w:color w:val="FF0000"/>
                <w:sz w:val="16"/>
                <w:szCs w:val="16"/>
              </w:rPr>
            </w:pPr>
            <w:r w:rsidRPr="00EB302A">
              <w:rPr>
                <w:rFonts w:ascii="Arial" w:hAnsi="Arial" w:cs="Arial"/>
                <w:color w:val="FF0000"/>
                <w:sz w:val="16"/>
                <w:szCs w:val="16"/>
              </w:rPr>
              <w:t xml:space="preserve">                   -   € </w:t>
            </w:r>
          </w:p>
        </w:tc>
        <w:tc>
          <w:tcPr>
            <w:tcW w:w="768" w:type="dxa"/>
            <w:tcBorders>
              <w:top w:val="nil"/>
              <w:left w:val="nil"/>
              <w:bottom w:val="single" w:sz="4" w:space="0" w:color="auto"/>
              <w:right w:val="single" w:sz="4" w:space="0" w:color="auto"/>
            </w:tcBorders>
            <w:vAlign w:val="center"/>
          </w:tcPr>
          <w:p w:rsidR="007D48BC" w:rsidRPr="001F344E" w:rsidRDefault="007D48BC" w:rsidP="00A56BE4">
            <w:pPr>
              <w:rPr>
                <w:rFonts w:ascii="Arial" w:hAnsi="Arial" w:cs="Arial"/>
                <w:sz w:val="16"/>
                <w:szCs w:val="16"/>
              </w:rPr>
            </w:pPr>
          </w:p>
        </w:tc>
        <w:tc>
          <w:tcPr>
            <w:tcW w:w="539" w:type="dxa"/>
            <w:tcBorders>
              <w:top w:val="nil"/>
              <w:left w:val="nil"/>
              <w:bottom w:val="single" w:sz="4" w:space="0" w:color="auto"/>
              <w:right w:val="nil"/>
            </w:tcBorders>
            <w:vAlign w:val="center"/>
          </w:tcPr>
          <w:p w:rsidR="007D48BC" w:rsidRPr="001F344E" w:rsidRDefault="007D48BC" w:rsidP="00A56BE4">
            <w:pPr>
              <w:jc w:val="right"/>
              <w:rPr>
                <w:rFonts w:ascii="Arial" w:hAnsi="Arial" w:cs="Arial"/>
                <w:sz w:val="16"/>
                <w:szCs w:val="16"/>
              </w:rPr>
            </w:pPr>
          </w:p>
        </w:tc>
        <w:tc>
          <w:tcPr>
            <w:tcW w:w="1033" w:type="dxa"/>
            <w:tcBorders>
              <w:top w:val="nil"/>
              <w:left w:val="single" w:sz="4" w:space="0" w:color="auto"/>
              <w:bottom w:val="single" w:sz="4" w:space="0" w:color="auto"/>
              <w:right w:val="single" w:sz="4" w:space="0" w:color="auto"/>
            </w:tcBorders>
            <w:vAlign w:val="center"/>
          </w:tcPr>
          <w:p w:rsidR="007D48BC" w:rsidRPr="001F344E" w:rsidRDefault="007D48BC" w:rsidP="00A56BE4">
            <w:pPr>
              <w:jc w:val="right"/>
              <w:rPr>
                <w:rFonts w:ascii="Arial" w:hAnsi="Arial" w:cs="Arial"/>
                <w:sz w:val="16"/>
                <w:szCs w:val="16"/>
              </w:rPr>
            </w:pPr>
          </w:p>
        </w:tc>
        <w:tc>
          <w:tcPr>
            <w:tcW w:w="951" w:type="dxa"/>
            <w:tcBorders>
              <w:top w:val="nil"/>
              <w:left w:val="nil"/>
              <w:bottom w:val="single" w:sz="4" w:space="0" w:color="auto"/>
              <w:right w:val="single" w:sz="4" w:space="0" w:color="auto"/>
            </w:tcBorders>
            <w:vAlign w:val="center"/>
          </w:tcPr>
          <w:p w:rsidR="007D48BC" w:rsidRPr="001F344E" w:rsidRDefault="007D48BC" w:rsidP="00A56BE4">
            <w:pPr>
              <w:rPr>
                <w:rFonts w:ascii="Arial" w:hAnsi="Arial" w:cs="Arial"/>
                <w:sz w:val="16"/>
                <w:szCs w:val="16"/>
              </w:rPr>
            </w:pPr>
          </w:p>
        </w:tc>
        <w:tc>
          <w:tcPr>
            <w:tcW w:w="1296" w:type="dxa"/>
            <w:tcBorders>
              <w:top w:val="nil"/>
              <w:left w:val="nil"/>
              <w:bottom w:val="single" w:sz="4" w:space="0" w:color="auto"/>
              <w:right w:val="single" w:sz="4" w:space="0" w:color="auto"/>
            </w:tcBorders>
            <w:shd w:val="clear" w:color="000000" w:fill="D9D9D9"/>
            <w:vAlign w:val="center"/>
          </w:tcPr>
          <w:p w:rsidR="007D48BC" w:rsidRPr="00DF68A8" w:rsidRDefault="007D48BC" w:rsidP="00DF68A8">
            <w:pPr>
              <w:jc w:val="right"/>
              <w:rPr>
                <w:rFonts w:ascii="Arial" w:hAnsi="Arial" w:cs="Arial"/>
                <w:color w:val="FF0000"/>
                <w:sz w:val="16"/>
                <w:szCs w:val="16"/>
              </w:rPr>
            </w:pPr>
            <w:r w:rsidRPr="00DF68A8">
              <w:rPr>
                <w:rFonts w:ascii="Arial" w:hAnsi="Arial" w:cs="Arial"/>
                <w:color w:val="FF0000"/>
                <w:sz w:val="16"/>
                <w:szCs w:val="16"/>
              </w:rPr>
              <w:t xml:space="preserve">-   € </w:t>
            </w:r>
          </w:p>
        </w:tc>
      </w:tr>
      <w:tr w:rsidR="007D48BC" w:rsidRPr="00DF68A8">
        <w:trPr>
          <w:trHeight w:val="255"/>
          <w:jc w:val="center"/>
        </w:trPr>
        <w:tc>
          <w:tcPr>
            <w:tcW w:w="2122" w:type="dxa"/>
            <w:tcBorders>
              <w:top w:val="nil"/>
              <w:left w:val="single" w:sz="4" w:space="0" w:color="auto"/>
              <w:bottom w:val="single" w:sz="4" w:space="0" w:color="auto"/>
              <w:right w:val="single" w:sz="8" w:space="0" w:color="auto"/>
            </w:tcBorders>
            <w:shd w:val="clear" w:color="000000" w:fill="D9D9D9"/>
            <w:vAlign w:val="center"/>
          </w:tcPr>
          <w:p w:rsidR="007D48BC" w:rsidRPr="001F344E" w:rsidRDefault="007D48BC" w:rsidP="00A56BE4">
            <w:pPr>
              <w:rPr>
                <w:rFonts w:ascii="Arial" w:hAnsi="Arial" w:cs="Arial"/>
                <w:sz w:val="16"/>
                <w:szCs w:val="16"/>
              </w:rPr>
            </w:pPr>
            <w:r w:rsidRPr="001F344E">
              <w:rPr>
                <w:rFonts w:ascii="Arial" w:hAnsi="Arial" w:cs="Arial"/>
                <w:sz w:val="16"/>
                <w:szCs w:val="16"/>
              </w:rPr>
              <w:t>Costes efectos adversos</w:t>
            </w:r>
          </w:p>
        </w:tc>
        <w:tc>
          <w:tcPr>
            <w:tcW w:w="2024" w:type="dxa"/>
            <w:gridSpan w:val="2"/>
            <w:tcBorders>
              <w:top w:val="single" w:sz="4" w:space="0" w:color="auto"/>
              <w:left w:val="nil"/>
              <w:bottom w:val="single" w:sz="4" w:space="0" w:color="auto"/>
              <w:right w:val="single" w:sz="4" w:space="0" w:color="000000"/>
            </w:tcBorders>
            <w:shd w:val="clear" w:color="000000" w:fill="D9D9D9"/>
            <w:vAlign w:val="center"/>
          </w:tcPr>
          <w:p w:rsidR="007D48BC" w:rsidRPr="001F344E" w:rsidRDefault="007D48BC" w:rsidP="00A56BE4">
            <w:pPr>
              <w:jc w:val="center"/>
              <w:rPr>
                <w:rFonts w:ascii="Arial" w:hAnsi="Arial" w:cs="Arial"/>
                <w:sz w:val="16"/>
                <w:szCs w:val="16"/>
              </w:rPr>
            </w:pPr>
            <w:r w:rsidRPr="001F344E">
              <w:rPr>
                <w:rFonts w:ascii="Arial" w:hAnsi="Arial" w:cs="Arial"/>
                <w:sz w:val="16"/>
                <w:szCs w:val="16"/>
              </w:rPr>
              <w:t> </w:t>
            </w:r>
          </w:p>
        </w:tc>
        <w:tc>
          <w:tcPr>
            <w:tcW w:w="973" w:type="dxa"/>
            <w:tcBorders>
              <w:top w:val="nil"/>
              <w:left w:val="nil"/>
              <w:bottom w:val="single" w:sz="4" w:space="0" w:color="auto"/>
              <w:right w:val="single" w:sz="4" w:space="0" w:color="auto"/>
            </w:tcBorders>
            <w:shd w:val="clear" w:color="000000" w:fill="D9D9D9"/>
            <w:vAlign w:val="center"/>
          </w:tcPr>
          <w:p w:rsidR="007D48BC" w:rsidRPr="001F344E" w:rsidRDefault="007D48BC" w:rsidP="00A56BE4">
            <w:pPr>
              <w:rPr>
                <w:rFonts w:ascii="Arial" w:hAnsi="Arial" w:cs="Arial"/>
                <w:sz w:val="16"/>
                <w:szCs w:val="16"/>
              </w:rPr>
            </w:pPr>
            <w:r w:rsidRPr="001F344E">
              <w:rPr>
                <w:rFonts w:ascii="Arial" w:hAnsi="Arial" w:cs="Arial"/>
                <w:sz w:val="16"/>
                <w:szCs w:val="16"/>
              </w:rPr>
              <w:t> </w:t>
            </w:r>
          </w:p>
        </w:tc>
        <w:tc>
          <w:tcPr>
            <w:tcW w:w="1297" w:type="dxa"/>
            <w:tcBorders>
              <w:top w:val="nil"/>
              <w:left w:val="nil"/>
              <w:bottom w:val="single" w:sz="4" w:space="0" w:color="auto"/>
              <w:right w:val="single" w:sz="8" w:space="0" w:color="auto"/>
            </w:tcBorders>
            <w:shd w:val="clear" w:color="000000" w:fill="D9D9D9"/>
            <w:vAlign w:val="center"/>
          </w:tcPr>
          <w:p w:rsidR="007D48BC" w:rsidRPr="001F344E" w:rsidRDefault="007D48BC" w:rsidP="00A56BE4">
            <w:pPr>
              <w:rPr>
                <w:rFonts w:ascii="Arial" w:hAnsi="Arial" w:cs="Arial"/>
                <w:sz w:val="16"/>
                <w:szCs w:val="16"/>
              </w:rPr>
            </w:pPr>
            <w:r>
              <w:rPr>
                <w:rFonts w:ascii="Arial" w:hAnsi="Arial" w:cs="Arial"/>
                <w:sz w:val="16"/>
                <w:szCs w:val="16"/>
              </w:rPr>
              <w:t xml:space="preserve">        472,52</w:t>
            </w:r>
            <w:r w:rsidRPr="001F344E">
              <w:rPr>
                <w:rFonts w:ascii="Arial" w:hAnsi="Arial" w:cs="Arial"/>
                <w:sz w:val="16"/>
                <w:szCs w:val="16"/>
              </w:rPr>
              <w:t xml:space="preserve"> € </w:t>
            </w:r>
          </w:p>
        </w:tc>
        <w:tc>
          <w:tcPr>
            <w:tcW w:w="1316" w:type="dxa"/>
            <w:gridSpan w:val="3"/>
            <w:tcBorders>
              <w:top w:val="nil"/>
              <w:left w:val="nil"/>
              <w:bottom w:val="single" w:sz="4" w:space="0" w:color="auto"/>
              <w:right w:val="single" w:sz="4" w:space="0" w:color="auto"/>
            </w:tcBorders>
            <w:shd w:val="clear" w:color="000000" w:fill="D9D9D9"/>
            <w:vAlign w:val="center"/>
          </w:tcPr>
          <w:p w:rsidR="007D48BC" w:rsidRPr="001F344E" w:rsidRDefault="007D48BC" w:rsidP="00A56BE4">
            <w:pPr>
              <w:rPr>
                <w:rFonts w:ascii="Arial" w:hAnsi="Arial" w:cs="Arial"/>
                <w:sz w:val="16"/>
                <w:szCs w:val="16"/>
              </w:rPr>
            </w:pPr>
            <w:r w:rsidRPr="001F344E">
              <w:rPr>
                <w:rFonts w:ascii="Arial" w:hAnsi="Arial" w:cs="Arial"/>
                <w:sz w:val="16"/>
                <w:szCs w:val="16"/>
              </w:rPr>
              <w:t> </w:t>
            </w:r>
          </w:p>
        </w:tc>
        <w:tc>
          <w:tcPr>
            <w:tcW w:w="1012" w:type="dxa"/>
            <w:tcBorders>
              <w:top w:val="nil"/>
              <w:left w:val="nil"/>
              <w:bottom w:val="single" w:sz="4" w:space="0" w:color="auto"/>
              <w:right w:val="single" w:sz="4" w:space="0" w:color="auto"/>
            </w:tcBorders>
            <w:shd w:val="clear" w:color="000000" w:fill="D9D9D9"/>
            <w:vAlign w:val="center"/>
          </w:tcPr>
          <w:p w:rsidR="007D48BC" w:rsidRPr="001F344E" w:rsidRDefault="007D48BC" w:rsidP="00A56BE4">
            <w:pPr>
              <w:rPr>
                <w:rFonts w:ascii="Arial" w:hAnsi="Arial" w:cs="Arial"/>
                <w:sz w:val="16"/>
                <w:szCs w:val="16"/>
              </w:rPr>
            </w:pPr>
            <w:r w:rsidRPr="001F344E">
              <w:rPr>
                <w:rFonts w:ascii="Arial" w:hAnsi="Arial" w:cs="Arial"/>
                <w:sz w:val="16"/>
                <w:szCs w:val="16"/>
              </w:rPr>
              <w:t> </w:t>
            </w:r>
          </w:p>
        </w:tc>
        <w:tc>
          <w:tcPr>
            <w:tcW w:w="1227" w:type="dxa"/>
            <w:tcBorders>
              <w:top w:val="nil"/>
              <w:left w:val="nil"/>
              <w:bottom w:val="single" w:sz="4" w:space="0" w:color="auto"/>
              <w:right w:val="single" w:sz="4" w:space="0" w:color="auto"/>
            </w:tcBorders>
            <w:shd w:val="clear" w:color="000000" w:fill="D9D9D9"/>
            <w:vAlign w:val="center"/>
          </w:tcPr>
          <w:p w:rsidR="007D48BC" w:rsidRPr="001F344E" w:rsidRDefault="007D48BC" w:rsidP="00A56BE4">
            <w:pPr>
              <w:rPr>
                <w:rFonts w:ascii="Arial" w:hAnsi="Arial" w:cs="Arial"/>
                <w:sz w:val="16"/>
                <w:szCs w:val="16"/>
              </w:rPr>
            </w:pPr>
            <w:r w:rsidRPr="001F344E">
              <w:rPr>
                <w:rFonts w:ascii="Arial" w:hAnsi="Arial" w:cs="Arial"/>
                <w:sz w:val="16"/>
                <w:szCs w:val="16"/>
              </w:rPr>
              <w:t> </w:t>
            </w:r>
            <w:r>
              <w:rPr>
                <w:rFonts w:ascii="Arial" w:hAnsi="Arial" w:cs="Arial"/>
                <w:sz w:val="16"/>
                <w:szCs w:val="16"/>
              </w:rPr>
              <w:t xml:space="preserve">    </w:t>
            </w:r>
            <w:r w:rsidRPr="001F344E">
              <w:rPr>
                <w:rFonts w:ascii="Arial" w:hAnsi="Arial" w:cs="Arial"/>
                <w:sz w:val="16"/>
                <w:szCs w:val="16"/>
              </w:rPr>
              <w:t xml:space="preserve"> 6.871,54 €</w:t>
            </w:r>
          </w:p>
        </w:tc>
        <w:tc>
          <w:tcPr>
            <w:tcW w:w="1397" w:type="dxa"/>
            <w:tcBorders>
              <w:top w:val="nil"/>
              <w:left w:val="nil"/>
              <w:bottom w:val="single" w:sz="4" w:space="0" w:color="auto"/>
              <w:right w:val="single" w:sz="8" w:space="0" w:color="auto"/>
            </w:tcBorders>
            <w:shd w:val="clear" w:color="000000" w:fill="D9D9D9"/>
            <w:vAlign w:val="center"/>
          </w:tcPr>
          <w:p w:rsidR="007D48BC" w:rsidRPr="00EB302A" w:rsidRDefault="007D48BC" w:rsidP="00EB302A">
            <w:pPr>
              <w:jc w:val="right"/>
              <w:rPr>
                <w:rFonts w:ascii="Arial" w:hAnsi="Arial" w:cs="Arial"/>
                <w:color w:val="FF0000"/>
                <w:sz w:val="16"/>
                <w:szCs w:val="16"/>
              </w:rPr>
            </w:pPr>
            <w:r w:rsidRPr="00EB302A">
              <w:rPr>
                <w:rFonts w:ascii="Arial" w:hAnsi="Arial" w:cs="Arial"/>
                <w:color w:val="FF0000"/>
                <w:sz w:val="16"/>
                <w:szCs w:val="16"/>
              </w:rPr>
              <w:t xml:space="preserve">       </w:t>
            </w:r>
            <w:r>
              <w:rPr>
                <w:rFonts w:ascii="Arial" w:hAnsi="Arial" w:cs="Arial"/>
                <w:color w:val="FF0000"/>
                <w:sz w:val="16"/>
                <w:szCs w:val="16"/>
              </w:rPr>
              <w:t>-</w:t>
            </w:r>
            <w:r w:rsidRPr="00EB302A">
              <w:rPr>
                <w:rFonts w:ascii="Arial" w:hAnsi="Arial" w:cs="Arial"/>
                <w:color w:val="FF0000"/>
                <w:sz w:val="16"/>
                <w:szCs w:val="16"/>
              </w:rPr>
              <w:t xml:space="preserve"> 6.399,02 € </w:t>
            </w:r>
          </w:p>
        </w:tc>
        <w:tc>
          <w:tcPr>
            <w:tcW w:w="1307" w:type="dxa"/>
            <w:gridSpan w:val="2"/>
            <w:tcBorders>
              <w:top w:val="single" w:sz="4" w:space="0" w:color="auto"/>
              <w:left w:val="nil"/>
              <w:bottom w:val="single" w:sz="4" w:space="0" w:color="auto"/>
              <w:right w:val="single" w:sz="4" w:space="0" w:color="000000"/>
            </w:tcBorders>
            <w:shd w:val="clear" w:color="000000" w:fill="D9D9D9"/>
            <w:vAlign w:val="center"/>
          </w:tcPr>
          <w:p w:rsidR="007D48BC" w:rsidRPr="001F344E" w:rsidRDefault="007D48BC" w:rsidP="00A56BE4">
            <w:pPr>
              <w:jc w:val="center"/>
              <w:rPr>
                <w:rFonts w:ascii="Arial" w:hAnsi="Arial" w:cs="Arial"/>
                <w:sz w:val="16"/>
                <w:szCs w:val="16"/>
              </w:rPr>
            </w:pPr>
            <w:r w:rsidRPr="001F344E">
              <w:rPr>
                <w:rFonts w:ascii="Arial" w:hAnsi="Arial" w:cs="Arial"/>
                <w:sz w:val="16"/>
                <w:szCs w:val="16"/>
              </w:rPr>
              <w:t> </w:t>
            </w:r>
          </w:p>
        </w:tc>
        <w:tc>
          <w:tcPr>
            <w:tcW w:w="1033" w:type="dxa"/>
            <w:tcBorders>
              <w:top w:val="nil"/>
              <w:left w:val="nil"/>
              <w:bottom w:val="single" w:sz="4" w:space="0" w:color="auto"/>
              <w:right w:val="single" w:sz="4" w:space="0" w:color="auto"/>
            </w:tcBorders>
            <w:shd w:val="clear" w:color="000000" w:fill="D9D9D9"/>
            <w:vAlign w:val="center"/>
          </w:tcPr>
          <w:p w:rsidR="007D48BC" w:rsidRPr="001F344E" w:rsidRDefault="007D48BC" w:rsidP="00A56BE4">
            <w:pPr>
              <w:rPr>
                <w:rFonts w:ascii="Arial" w:hAnsi="Arial" w:cs="Arial"/>
                <w:sz w:val="16"/>
                <w:szCs w:val="16"/>
              </w:rPr>
            </w:pPr>
            <w:r w:rsidRPr="001F344E">
              <w:rPr>
                <w:rFonts w:ascii="Arial" w:hAnsi="Arial" w:cs="Arial"/>
                <w:sz w:val="16"/>
                <w:szCs w:val="16"/>
              </w:rPr>
              <w:t> </w:t>
            </w:r>
          </w:p>
        </w:tc>
        <w:tc>
          <w:tcPr>
            <w:tcW w:w="951" w:type="dxa"/>
            <w:tcBorders>
              <w:top w:val="nil"/>
              <w:left w:val="nil"/>
              <w:bottom w:val="single" w:sz="4" w:space="0" w:color="auto"/>
              <w:right w:val="single" w:sz="4" w:space="0" w:color="auto"/>
            </w:tcBorders>
            <w:shd w:val="clear" w:color="000000" w:fill="D9D9D9"/>
            <w:vAlign w:val="center"/>
          </w:tcPr>
          <w:p w:rsidR="007D48BC" w:rsidRPr="001F344E" w:rsidRDefault="007D48BC" w:rsidP="00A56BE4">
            <w:pPr>
              <w:rPr>
                <w:rFonts w:ascii="Arial" w:hAnsi="Arial" w:cs="Arial"/>
                <w:sz w:val="16"/>
                <w:szCs w:val="16"/>
              </w:rPr>
            </w:pPr>
            <w:r w:rsidRPr="001F344E">
              <w:rPr>
                <w:rFonts w:ascii="Arial" w:hAnsi="Arial" w:cs="Arial"/>
                <w:sz w:val="16"/>
                <w:szCs w:val="16"/>
              </w:rPr>
              <w:t> </w:t>
            </w:r>
          </w:p>
        </w:tc>
        <w:tc>
          <w:tcPr>
            <w:tcW w:w="1296" w:type="dxa"/>
            <w:tcBorders>
              <w:top w:val="nil"/>
              <w:left w:val="nil"/>
              <w:bottom w:val="single" w:sz="4" w:space="0" w:color="auto"/>
              <w:right w:val="single" w:sz="4" w:space="0" w:color="auto"/>
            </w:tcBorders>
            <w:shd w:val="clear" w:color="000000" w:fill="D9D9D9"/>
            <w:vAlign w:val="center"/>
          </w:tcPr>
          <w:p w:rsidR="007D48BC" w:rsidRPr="00DF68A8" w:rsidRDefault="007D48BC" w:rsidP="00DF68A8">
            <w:pPr>
              <w:jc w:val="right"/>
              <w:rPr>
                <w:rFonts w:ascii="Arial" w:hAnsi="Arial" w:cs="Arial"/>
                <w:color w:val="FF0000"/>
                <w:sz w:val="16"/>
                <w:szCs w:val="16"/>
                <w:highlight w:val="yellow"/>
              </w:rPr>
            </w:pPr>
            <w:r w:rsidRPr="00DF68A8">
              <w:rPr>
                <w:rFonts w:ascii="Arial" w:hAnsi="Arial" w:cs="Arial"/>
                <w:color w:val="FF0000"/>
                <w:sz w:val="16"/>
                <w:szCs w:val="16"/>
              </w:rPr>
              <w:t xml:space="preserve">        472,52 €</w:t>
            </w:r>
          </w:p>
        </w:tc>
      </w:tr>
      <w:tr w:rsidR="007D48BC" w:rsidRPr="001F344E">
        <w:trPr>
          <w:trHeight w:val="450"/>
          <w:jc w:val="center"/>
        </w:trPr>
        <w:tc>
          <w:tcPr>
            <w:tcW w:w="2122" w:type="dxa"/>
            <w:vMerge w:val="restart"/>
            <w:tcBorders>
              <w:top w:val="nil"/>
              <w:left w:val="single" w:sz="4" w:space="0" w:color="auto"/>
              <w:bottom w:val="single" w:sz="4" w:space="0" w:color="000000"/>
              <w:right w:val="single" w:sz="8" w:space="0" w:color="auto"/>
            </w:tcBorders>
            <w:vAlign w:val="center"/>
          </w:tcPr>
          <w:p w:rsidR="007D48BC" w:rsidRPr="001F344E" w:rsidRDefault="007D48BC" w:rsidP="00A56BE4">
            <w:pPr>
              <w:jc w:val="center"/>
              <w:rPr>
                <w:rFonts w:ascii="Arial" w:hAnsi="Arial" w:cs="Arial"/>
                <w:sz w:val="16"/>
                <w:szCs w:val="16"/>
              </w:rPr>
            </w:pPr>
            <w:r w:rsidRPr="001F344E">
              <w:rPr>
                <w:rFonts w:ascii="Arial" w:hAnsi="Arial" w:cs="Arial"/>
                <w:sz w:val="16"/>
                <w:szCs w:val="16"/>
              </w:rPr>
              <w:t>Coste medicamentos para prevenir efectos adversos</w:t>
            </w:r>
          </w:p>
        </w:tc>
        <w:tc>
          <w:tcPr>
            <w:tcW w:w="1275" w:type="dxa"/>
            <w:tcBorders>
              <w:top w:val="nil"/>
              <w:left w:val="nil"/>
              <w:bottom w:val="single" w:sz="4" w:space="0" w:color="auto"/>
              <w:right w:val="single" w:sz="4" w:space="0" w:color="auto"/>
            </w:tcBorders>
            <w:vAlign w:val="center"/>
          </w:tcPr>
          <w:p w:rsidR="007D48BC" w:rsidRPr="001F344E" w:rsidRDefault="007D48BC" w:rsidP="00A56BE4">
            <w:pPr>
              <w:rPr>
                <w:rFonts w:ascii="Arial" w:hAnsi="Arial" w:cs="Arial"/>
                <w:sz w:val="16"/>
                <w:szCs w:val="16"/>
              </w:rPr>
            </w:pPr>
            <w:r>
              <w:rPr>
                <w:rFonts w:ascii="Arial" w:hAnsi="Arial" w:cs="Arial"/>
                <w:sz w:val="16"/>
                <w:szCs w:val="16"/>
              </w:rPr>
              <w:t>Tocilizumab x 2</w:t>
            </w:r>
            <w:r w:rsidRPr="001F344E">
              <w:rPr>
                <w:rFonts w:ascii="Arial" w:hAnsi="Arial" w:cs="Arial"/>
                <w:sz w:val="16"/>
                <w:szCs w:val="16"/>
              </w:rPr>
              <w:t xml:space="preserve"> dosis</w:t>
            </w:r>
          </w:p>
        </w:tc>
        <w:tc>
          <w:tcPr>
            <w:tcW w:w="749" w:type="dxa"/>
            <w:tcBorders>
              <w:top w:val="nil"/>
              <w:left w:val="nil"/>
              <w:bottom w:val="single" w:sz="4" w:space="0" w:color="auto"/>
              <w:right w:val="single" w:sz="4" w:space="0" w:color="auto"/>
            </w:tcBorders>
            <w:vAlign w:val="center"/>
          </w:tcPr>
          <w:p w:rsidR="007D48BC" w:rsidRPr="001F344E" w:rsidRDefault="007D48BC" w:rsidP="00A56BE4">
            <w:pPr>
              <w:jc w:val="right"/>
              <w:rPr>
                <w:rFonts w:ascii="Arial" w:hAnsi="Arial" w:cs="Arial"/>
                <w:sz w:val="16"/>
                <w:szCs w:val="16"/>
              </w:rPr>
            </w:pPr>
            <w:r w:rsidRPr="001F344E">
              <w:rPr>
                <w:rFonts w:ascii="Arial" w:hAnsi="Arial" w:cs="Arial"/>
                <w:sz w:val="16"/>
                <w:szCs w:val="16"/>
              </w:rPr>
              <w:t>254,08</w:t>
            </w:r>
          </w:p>
        </w:tc>
        <w:tc>
          <w:tcPr>
            <w:tcW w:w="973" w:type="dxa"/>
            <w:tcBorders>
              <w:top w:val="nil"/>
              <w:left w:val="nil"/>
              <w:bottom w:val="single" w:sz="4" w:space="0" w:color="auto"/>
              <w:right w:val="single" w:sz="4" w:space="0" w:color="auto"/>
            </w:tcBorders>
            <w:vAlign w:val="center"/>
          </w:tcPr>
          <w:p w:rsidR="007D48BC" w:rsidRPr="001F344E" w:rsidRDefault="007D48BC" w:rsidP="00A56BE4">
            <w:pPr>
              <w:rPr>
                <w:rFonts w:ascii="Arial" w:hAnsi="Arial" w:cs="Arial"/>
                <w:sz w:val="16"/>
                <w:szCs w:val="16"/>
              </w:rPr>
            </w:pPr>
            <w:r>
              <w:rPr>
                <w:rFonts w:ascii="Arial" w:hAnsi="Arial" w:cs="Arial"/>
                <w:sz w:val="16"/>
                <w:szCs w:val="16"/>
              </w:rPr>
              <w:t>43</w:t>
            </w:r>
            <w:r w:rsidRPr="001F344E">
              <w:rPr>
                <w:rFonts w:ascii="Arial" w:hAnsi="Arial" w:cs="Arial"/>
                <w:sz w:val="16"/>
                <w:szCs w:val="16"/>
              </w:rPr>
              <w:t xml:space="preserve">% de los pacientes </w:t>
            </w:r>
          </w:p>
        </w:tc>
        <w:tc>
          <w:tcPr>
            <w:tcW w:w="1297" w:type="dxa"/>
            <w:tcBorders>
              <w:top w:val="nil"/>
              <w:left w:val="nil"/>
              <w:bottom w:val="single" w:sz="4" w:space="0" w:color="auto"/>
              <w:right w:val="single" w:sz="8" w:space="0" w:color="auto"/>
            </w:tcBorders>
            <w:vAlign w:val="center"/>
          </w:tcPr>
          <w:p w:rsidR="007D48BC" w:rsidRPr="001F344E" w:rsidRDefault="007D48BC" w:rsidP="00EB302A">
            <w:pPr>
              <w:jc w:val="center"/>
              <w:rPr>
                <w:rFonts w:ascii="Arial" w:hAnsi="Arial" w:cs="Arial"/>
                <w:sz w:val="16"/>
                <w:szCs w:val="16"/>
              </w:rPr>
            </w:pPr>
            <w:r>
              <w:rPr>
                <w:rFonts w:ascii="Arial" w:hAnsi="Arial" w:cs="Arial"/>
                <w:sz w:val="16"/>
                <w:szCs w:val="16"/>
              </w:rPr>
              <w:t xml:space="preserve">218,44 </w:t>
            </w:r>
            <w:r w:rsidRPr="001F344E">
              <w:rPr>
                <w:rFonts w:ascii="Arial" w:hAnsi="Arial" w:cs="Arial"/>
                <w:sz w:val="16"/>
                <w:szCs w:val="16"/>
              </w:rPr>
              <w:t>€</w:t>
            </w:r>
          </w:p>
        </w:tc>
        <w:tc>
          <w:tcPr>
            <w:tcW w:w="658" w:type="dxa"/>
            <w:tcBorders>
              <w:top w:val="nil"/>
              <w:left w:val="nil"/>
              <w:bottom w:val="single" w:sz="4" w:space="0" w:color="auto"/>
              <w:right w:val="single" w:sz="4" w:space="0" w:color="auto"/>
            </w:tcBorders>
            <w:vAlign w:val="center"/>
          </w:tcPr>
          <w:p w:rsidR="007D48BC" w:rsidRPr="001F344E" w:rsidRDefault="007D48BC" w:rsidP="00A56BE4">
            <w:pPr>
              <w:rPr>
                <w:rFonts w:ascii="Arial" w:hAnsi="Arial" w:cs="Arial"/>
                <w:sz w:val="16"/>
                <w:szCs w:val="16"/>
              </w:rPr>
            </w:pPr>
            <w:r w:rsidRPr="001F344E">
              <w:rPr>
                <w:rFonts w:ascii="Arial" w:hAnsi="Arial" w:cs="Arial"/>
                <w:sz w:val="16"/>
                <w:szCs w:val="16"/>
              </w:rPr>
              <w:t>Tocilizumab x 1 dosis</w:t>
            </w:r>
          </w:p>
        </w:tc>
        <w:tc>
          <w:tcPr>
            <w:tcW w:w="658" w:type="dxa"/>
            <w:gridSpan w:val="2"/>
            <w:tcBorders>
              <w:top w:val="nil"/>
              <w:left w:val="nil"/>
              <w:bottom w:val="single" w:sz="4" w:space="0" w:color="auto"/>
              <w:right w:val="single" w:sz="4" w:space="0" w:color="auto"/>
            </w:tcBorders>
            <w:vAlign w:val="center"/>
          </w:tcPr>
          <w:p w:rsidR="007D48BC" w:rsidRPr="001F344E" w:rsidRDefault="007D48BC" w:rsidP="00A56BE4">
            <w:pPr>
              <w:jc w:val="right"/>
              <w:rPr>
                <w:rFonts w:ascii="Arial" w:hAnsi="Arial" w:cs="Arial"/>
                <w:sz w:val="16"/>
                <w:szCs w:val="16"/>
              </w:rPr>
            </w:pPr>
            <w:r w:rsidRPr="001F344E">
              <w:rPr>
                <w:rFonts w:ascii="Arial" w:hAnsi="Arial" w:cs="Arial"/>
                <w:sz w:val="16"/>
                <w:szCs w:val="16"/>
              </w:rPr>
              <w:t>254,08</w:t>
            </w:r>
          </w:p>
        </w:tc>
        <w:tc>
          <w:tcPr>
            <w:tcW w:w="1012" w:type="dxa"/>
            <w:tcBorders>
              <w:top w:val="nil"/>
              <w:left w:val="nil"/>
              <w:bottom w:val="single" w:sz="4" w:space="0" w:color="auto"/>
              <w:right w:val="single" w:sz="4" w:space="0" w:color="auto"/>
            </w:tcBorders>
            <w:vAlign w:val="center"/>
          </w:tcPr>
          <w:p w:rsidR="007D48BC" w:rsidRPr="001F344E" w:rsidRDefault="007D48BC" w:rsidP="00A56BE4">
            <w:pPr>
              <w:rPr>
                <w:rFonts w:ascii="Arial" w:hAnsi="Arial" w:cs="Arial"/>
                <w:sz w:val="16"/>
                <w:szCs w:val="16"/>
              </w:rPr>
            </w:pPr>
            <w:r w:rsidRPr="001F344E">
              <w:rPr>
                <w:rFonts w:ascii="Arial" w:hAnsi="Arial" w:cs="Arial"/>
                <w:sz w:val="16"/>
                <w:szCs w:val="16"/>
              </w:rPr>
              <w:t xml:space="preserve">37% de los pacientes </w:t>
            </w:r>
          </w:p>
        </w:tc>
        <w:tc>
          <w:tcPr>
            <w:tcW w:w="1227" w:type="dxa"/>
            <w:tcBorders>
              <w:top w:val="nil"/>
              <w:left w:val="nil"/>
              <w:bottom w:val="single" w:sz="4" w:space="0" w:color="auto"/>
              <w:right w:val="single" w:sz="4" w:space="0" w:color="auto"/>
            </w:tcBorders>
            <w:vAlign w:val="center"/>
          </w:tcPr>
          <w:p w:rsidR="007D48BC" w:rsidRPr="001F344E" w:rsidRDefault="007D48BC" w:rsidP="00A56BE4">
            <w:pPr>
              <w:rPr>
                <w:rFonts w:ascii="Arial" w:hAnsi="Arial" w:cs="Arial"/>
                <w:sz w:val="16"/>
                <w:szCs w:val="16"/>
              </w:rPr>
            </w:pPr>
            <w:r>
              <w:rPr>
                <w:rFonts w:ascii="Arial" w:hAnsi="Arial" w:cs="Arial"/>
                <w:sz w:val="16"/>
                <w:szCs w:val="16"/>
              </w:rPr>
              <w:t xml:space="preserve">         </w:t>
            </w:r>
            <w:r w:rsidRPr="001F344E">
              <w:rPr>
                <w:rFonts w:ascii="Arial" w:hAnsi="Arial" w:cs="Arial"/>
                <w:sz w:val="16"/>
                <w:szCs w:val="16"/>
              </w:rPr>
              <w:t xml:space="preserve">  94,00 € </w:t>
            </w:r>
          </w:p>
        </w:tc>
        <w:tc>
          <w:tcPr>
            <w:tcW w:w="1397" w:type="dxa"/>
            <w:tcBorders>
              <w:top w:val="nil"/>
              <w:left w:val="nil"/>
              <w:bottom w:val="single" w:sz="4" w:space="0" w:color="auto"/>
              <w:right w:val="single" w:sz="8" w:space="0" w:color="auto"/>
            </w:tcBorders>
            <w:shd w:val="clear" w:color="000000" w:fill="D9D9D9"/>
            <w:vAlign w:val="center"/>
          </w:tcPr>
          <w:p w:rsidR="007D48BC" w:rsidRPr="00EB302A" w:rsidRDefault="007D48BC" w:rsidP="00EB302A">
            <w:pPr>
              <w:rPr>
                <w:rFonts w:ascii="Arial" w:hAnsi="Arial" w:cs="Arial"/>
                <w:color w:val="FF0000"/>
                <w:sz w:val="16"/>
                <w:szCs w:val="16"/>
              </w:rPr>
            </w:pPr>
            <w:r w:rsidRPr="00EB302A">
              <w:rPr>
                <w:rFonts w:ascii="Arial" w:hAnsi="Arial" w:cs="Arial"/>
                <w:color w:val="FF0000"/>
                <w:sz w:val="16"/>
                <w:szCs w:val="16"/>
              </w:rPr>
              <w:t xml:space="preserve">             124,44 € </w:t>
            </w:r>
          </w:p>
        </w:tc>
        <w:tc>
          <w:tcPr>
            <w:tcW w:w="1307" w:type="dxa"/>
            <w:gridSpan w:val="2"/>
            <w:tcBorders>
              <w:top w:val="single" w:sz="4" w:space="0" w:color="auto"/>
              <w:left w:val="nil"/>
              <w:bottom w:val="single" w:sz="4" w:space="0" w:color="auto"/>
              <w:right w:val="single" w:sz="4" w:space="0" w:color="000000"/>
            </w:tcBorders>
            <w:shd w:val="clear" w:color="000000" w:fill="FFFFFF"/>
            <w:vAlign w:val="center"/>
          </w:tcPr>
          <w:p w:rsidR="007D48BC" w:rsidRPr="001F344E" w:rsidRDefault="007D48BC" w:rsidP="00A56BE4">
            <w:pPr>
              <w:jc w:val="center"/>
              <w:rPr>
                <w:rFonts w:ascii="Arial" w:hAnsi="Arial" w:cs="Arial"/>
                <w:sz w:val="16"/>
                <w:szCs w:val="16"/>
              </w:rPr>
            </w:pPr>
            <w:r w:rsidRPr="001F344E">
              <w:rPr>
                <w:rFonts w:ascii="Arial" w:hAnsi="Arial" w:cs="Arial"/>
                <w:sz w:val="16"/>
                <w:szCs w:val="16"/>
              </w:rPr>
              <w:t> </w:t>
            </w:r>
          </w:p>
        </w:tc>
        <w:tc>
          <w:tcPr>
            <w:tcW w:w="1033" w:type="dxa"/>
            <w:tcBorders>
              <w:top w:val="nil"/>
              <w:left w:val="nil"/>
              <w:bottom w:val="single" w:sz="4" w:space="0" w:color="auto"/>
              <w:right w:val="single" w:sz="4" w:space="0" w:color="auto"/>
            </w:tcBorders>
            <w:vAlign w:val="center"/>
          </w:tcPr>
          <w:p w:rsidR="007D48BC" w:rsidRPr="001F344E" w:rsidRDefault="007D48BC" w:rsidP="00A56BE4">
            <w:pPr>
              <w:rPr>
                <w:rFonts w:ascii="Arial" w:hAnsi="Arial" w:cs="Arial"/>
                <w:sz w:val="16"/>
                <w:szCs w:val="16"/>
              </w:rPr>
            </w:pPr>
            <w:r w:rsidRPr="001F344E">
              <w:rPr>
                <w:rFonts w:ascii="Arial" w:hAnsi="Arial" w:cs="Arial"/>
                <w:sz w:val="16"/>
                <w:szCs w:val="16"/>
              </w:rPr>
              <w:t> </w:t>
            </w:r>
          </w:p>
        </w:tc>
        <w:tc>
          <w:tcPr>
            <w:tcW w:w="951" w:type="dxa"/>
            <w:tcBorders>
              <w:top w:val="nil"/>
              <w:left w:val="nil"/>
              <w:bottom w:val="single" w:sz="4" w:space="0" w:color="auto"/>
              <w:right w:val="single" w:sz="4" w:space="0" w:color="auto"/>
            </w:tcBorders>
            <w:vAlign w:val="center"/>
          </w:tcPr>
          <w:p w:rsidR="007D48BC" w:rsidRPr="001F344E" w:rsidRDefault="007D48BC" w:rsidP="00A56BE4">
            <w:pPr>
              <w:rPr>
                <w:rFonts w:ascii="Arial" w:hAnsi="Arial" w:cs="Arial"/>
                <w:sz w:val="16"/>
                <w:szCs w:val="16"/>
              </w:rPr>
            </w:pPr>
            <w:r w:rsidRPr="001F344E">
              <w:rPr>
                <w:rFonts w:ascii="Arial" w:hAnsi="Arial" w:cs="Arial"/>
                <w:sz w:val="16"/>
                <w:szCs w:val="16"/>
              </w:rPr>
              <w:t> </w:t>
            </w:r>
          </w:p>
        </w:tc>
        <w:tc>
          <w:tcPr>
            <w:tcW w:w="1296" w:type="dxa"/>
            <w:tcBorders>
              <w:top w:val="nil"/>
              <w:left w:val="nil"/>
              <w:bottom w:val="single" w:sz="4" w:space="0" w:color="auto"/>
              <w:right w:val="single" w:sz="4" w:space="0" w:color="auto"/>
            </w:tcBorders>
            <w:shd w:val="clear" w:color="000000" w:fill="D9D9D9"/>
            <w:vAlign w:val="center"/>
          </w:tcPr>
          <w:p w:rsidR="007D48BC" w:rsidRPr="00DF68A8" w:rsidRDefault="007D48BC" w:rsidP="00DF68A8">
            <w:pPr>
              <w:jc w:val="right"/>
              <w:rPr>
                <w:rFonts w:ascii="Arial" w:hAnsi="Arial" w:cs="Arial"/>
                <w:color w:val="FF0000"/>
                <w:sz w:val="16"/>
                <w:szCs w:val="16"/>
              </w:rPr>
            </w:pPr>
            <w:r w:rsidRPr="00DF68A8">
              <w:rPr>
                <w:rFonts w:ascii="Arial" w:hAnsi="Arial" w:cs="Arial"/>
                <w:color w:val="FF0000"/>
                <w:sz w:val="16"/>
                <w:szCs w:val="16"/>
              </w:rPr>
              <w:t>218,44 €</w:t>
            </w:r>
          </w:p>
        </w:tc>
      </w:tr>
      <w:tr w:rsidR="007D48BC" w:rsidRPr="001F344E">
        <w:trPr>
          <w:trHeight w:val="450"/>
          <w:jc w:val="center"/>
        </w:trPr>
        <w:tc>
          <w:tcPr>
            <w:tcW w:w="2122" w:type="dxa"/>
            <w:vMerge/>
            <w:tcBorders>
              <w:top w:val="nil"/>
              <w:left w:val="single" w:sz="4" w:space="0" w:color="auto"/>
              <w:bottom w:val="single" w:sz="4" w:space="0" w:color="000000"/>
              <w:right w:val="single" w:sz="8" w:space="0" w:color="auto"/>
            </w:tcBorders>
            <w:vAlign w:val="center"/>
          </w:tcPr>
          <w:p w:rsidR="007D48BC" w:rsidRPr="001F344E" w:rsidRDefault="007D48BC" w:rsidP="00A56BE4">
            <w:pPr>
              <w:rPr>
                <w:rFonts w:ascii="Arial" w:hAnsi="Arial" w:cs="Arial"/>
                <w:sz w:val="16"/>
                <w:szCs w:val="16"/>
              </w:rPr>
            </w:pPr>
          </w:p>
        </w:tc>
        <w:tc>
          <w:tcPr>
            <w:tcW w:w="1275" w:type="dxa"/>
            <w:tcBorders>
              <w:top w:val="nil"/>
              <w:left w:val="nil"/>
              <w:bottom w:val="single" w:sz="4" w:space="0" w:color="auto"/>
              <w:right w:val="single" w:sz="4" w:space="0" w:color="auto"/>
            </w:tcBorders>
            <w:vAlign w:val="center"/>
          </w:tcPr>
          <w:p w:rsidR="007D48BC" w:rsidRPr="001F344E" w:rsidRDefault="007D48BC" w:rsidP="00A56BE4">
            <w:pPr>
              <w:rPr>
                <w:rFonts w:ascii="Arial" w:hAnsi="Arial" w:cs="Arial"/>
                <w:sz w:val="16"/>
                <w:szCs w:val="16"/>
              </w:rPr>
            </w:pPr>
            <w:r>
              <w:rPr>
                <w:rFonts w:ascii="Arial" w:hAnsi="Arial" w:cs="Arial"/>
                <w:sz w:val="16"/>
                <w:szCs w:val="16"/>
              </w:rPr>
              <w:t>Tocilizumab + corticoides 4</w:t>
            </w:r>
            <w:r w:rsidRPr="001F344E">
              <w:rPr>
                <w:rFonts w:ascii="Arial" w:hAnsi="Arial" w:cs="Arial"/>
                <w:sz w:val="16"/>
                <w:szCs w:val="16"/>
              </w:rPr>
              <w:t xml:space="preserve"> dosis**</w:t>
            </w:r>
          </w:p>
        </w:tc>
        <w:tc>
          <w:tcPr>
            <w:tcW w:w="749" w:type="dxa"/>
            <w:tcBorders>
              <w:top w:val="nil"/>
              <w:left w:val="nil"/>
              <w:bottom w:val="single" w:sz="4" w:space="0" w:color="auto"/>
              <w:right w:val="single" w:sz="4" w:space="0" w:color="auto"/>
            </w:tcBorders>
            <w:vAlign w:val="center"/>
          </w:tcPr>
          <w:p w:rsidR="007D48BC" w:rsidRPr="001F344E" w:rsidRDefault="007D48BC" w:rsidP="00A56BE4">
            <w:pPr>
              <w:jc w:val="right"/>
              <w:rPr>
                <w:rFonts w:ascii="Arial" w:hAnsi="Arial" w:cs="Arial"/>
                <w:sz w:val="16"/>
                <w:szCs w:val="16"/>
              </w:rPr>
            </w:pPr>
            <w:r w:rsidRPr="001F344E">
              <w:rPr>
                <w:rFonts w:ascii="Arial" w:hAnsi="Arial" w:cs="Arial"/>
                <w:sz w:val="16"/>
                <w:szCs w:val="16"/>
              </w:rPr>
              <w:t>254,08</w:t>
            </w:r>
          </w:p>
        </w:tc>
        <w:tc>
          <w:tcPr>
            <w:tcW w:w="973" w:type="dxa"/>
            <w:tcBorders>
              <w:top w:val="nil"/>
              <w:left w:val="nil"/>
              <w:bottom w:val="single" w:sz="4" w:space="0" w:color="auto"/>
              <w:right w:val="single" w:sz="4" w:space="0" w:color="auto"/>
            </w:tcBorders>
            <w:vAlign w:val="center"/>
          </w:tcPr>
          <w:p w:rsidR="007D48BC" w:rsidRPr="001F344E" w:rsidRDefault="007D48BC" w:rsidP="00A56BE4">
            <w:pPr>
              <w:rPr>
                <w:rFonts w:ascii="Arial" w:hAnsi="Arial" w:cs="Arial"/>
                <w:sz w:val="16"/>
                <w:szCs w:val="16"/>
              </w:rPr>
            </w:pPr>
            <w:r>
              <w:rPr>
                <w:rFonts w:ascii="Arial" w:hAnsi="Arial" w:cs="Arial"/>
                <w:sz w:val="16"/>
                <w:szCs w:val="16"/>
              </w:rPr>
              <w:t>25</w:t>
            </w:r>
            <w:r w:rsidRPr="001F344E">
              <w:rPr>
                <w:rFonts w:ascii="Arial" w:hAnsi="Arial" w:cs="Arial"/>
                <w:sz w:val="16"/>
                <w:szCs w:val="16"/>
              </w:rPr>
              <w:t xml:space="preserve"> % de los pacientes</w:t>
            </w:r>
          </w:p>
        </w:tc>
        <w:tc>
          <w:tcPr>
            <w:tcW w:w="1297" w:type="dxa"/>
            <w:tcBorders>
              <w:top w:val="nil"/>
              <w:left w:val="nil"/>
              <w:bottom w:val="single" w:sz="4" w:space="0" w:color="auto"/>
              <w:right w:val="single" w:sz="8" w:space="0" w:color="auto"/>
            </w:tcBorders>
            <w:vAlign w:val="center"/>
          </w:tcPr>
          <w:p w:rsidR="007D48BC" w:rsidRPr="001F344E" w:rsidRDefault="007D48BC" w:rsidP="00EB302A">
            <w:pPr>
              <w:jc w:val="center"/>
              <w:rPr>
                <w:rFonts w:ascii="Arial" w:hAnsi="Arial" w:cs="Arial"/>
                <w:sz w:val="16"/>
                <w:szCs w:val="16"/>
              </w:rPr>
            </w:pPr>
            <w:r>
              <w:rPr>
                <w:rFonts w:ascii="Arial" w:hAnsi="Arial" w:cs="Arial"/>
                <w:sz w:val="16"/>
                <w:szCs w:val="16"/>
              </w:rPr>
              <w:t>254,08</w:t>
            </w:r>
            <w:r w:rsidRPr="001F344E">
              <w:rPr>
                <w:rFonts w:ascii="Arial" w:hAnsi="Arial" w:cs="Arial"/>
                <w:sz w:val="16"/>
                <w:szCs w:val="16"/>
              </w:rPr>
              <w:t xml:space="preserve"> €</w:t>
            </w:r>
          </w:p>
        </w:tc>
        <w:tc>
          <w:tcPr>
            <w:tcW w:w="658" w:type="dxa"/>
            <w:tcBorders>
              <w:top w:val="nil"/>
              <w:left w:val="nil"/>
              <w:bottom w:val="single" w:sz="4" w:space="0" w:color="auto"/>
              <w:right w:val="single" w:sz="4" w:space="0" w:color="auto"/>
            </w:tcBorders>
            <w:vAlign w:val="center"/>
          </w:tcPr>
          <w:p w:rsidR="007D48BC" w:rsidRPr="001F344E" w:rsidRDefault="007D48BC" w:rsidP="00A56BE4">
            <w:pPr>
              <w:rPr>
                <w:rFonts w:ascii="Arial" w:hAnsi="Arial" w:cs="Arial"/>
                <w:sz w:val="16"/>
                <w:szCs w:val="16"/>
              </w:rPr>
            </w:pPr>
            <w:r w:rsidRPr="001F344E">
              <w:rPr>
                <w:rFonts w:ascii="Arial" w:hAnsi="Arial" w:cs="Arial"/>
                <w:sz w:val="16"/>
                <w:szCs w:val="16"/>
              </w:rPr>
              <w:t>Tocilizumab x 2 dosis**</w:t>
            </w:r>
          </w:p>
        </w:tc>
        <w:tc>
          <w:tcPr>
            <w:tcW w:w="658" w:type="dxa"/>
            <w:gridSpan w:val="2"/>
            <w:tcBorders>
              <w:top w:val="nil"/>
              <w:left w:val="nil"/>
              <w:bottom w:val="single" w:sz="4" w:space="0" w:color="auto"/>
              <w:right w:val="single" w:sz="4" w:space="0" w:color="auto"/>
            </w:tcBorders>
            <w:vAlign w:val="center"/>
          </w:tcPr>
          <w:p w:rsidR="007D48BC" w:rsidRPr="001F344E" w:rsidRDefault="007D48BC" w:rsidP="00A56BE4">
            <w:pPr>
              <w:jc w:val="right"/>
              <w:rPr>
                <w:rFonts w:ascii="Arial" w:hAnsi="Arial" w:cs="Arial"/>
                <w:sz w:val="16"/>
                <w:szCs w:val="16"/>
              </w:rPr>
            </w:pPr>
            <w:r w:rsidRPr="001F344E">
              <w:rPr>
                <w:rFonts w:ascii="Arial" w:hAnsi="Arial" w:cs="Arial"/>
                <w:sz w:val="16"/>
                <w:szCs w:val="16"/>
              </w:rPr>
              <w:t>254,08</w:t>
            </w:r>
          </w:p>
        </w:tc>
        <w:tc>
          <w:tcPr>
            <w:tcW w:w="1012" w:type="dxa"/>
            <w:tcBorders>
              <w:top w:val="nil"/>
              <w:left w:val="nil"/>
              <w:bottom w:val="single" w:sz="4" w:space="0" w:color="auto"/>
              <w:right w:val="single" w:sz="4" w:space="0" w:color="auto"/>
            </w:tcBorders>
            <w:vAlign w:val="center"/>
          </w:tcPr>
          <w:p w:rsidR="007D48BC" w:rsidRPr="001F344E" w:rsidRDefault="007D48BC" w:rsidP="00A56BE4">
            <w:pPr>
              <w:rPr>
                <w:rFonts w:ascii="Arial" w:hAnsi="Arial" w:cs="Arial"/>
                <w:sz w:val="16"/>
                <w:szCs w:val="16"/>
              </w:rPr>
            </w:pPr>
            <w:r w:rsidRPr="001F344E">
              <w:rPr>
                <w:rFonts w:ascii="Arial" w:hAnsi="Arial" w:cs="Arial"/>
                <w:sz w:val="16"/>
                <w:szCs w:val="16"/>
              </w:rPr>
              <w:t>16,44 % de los pacientes</w:t>
            </w:r>
          </w:p>
        </w:tc>
        <w:tc>
          <w:tcPr>
            <w:tcW w:w="1227" w:type="dxa"/>
            <w:tcBorders>
              <w:top w:val="nil"/>
              <w:left w:val="nil"/>
              <w:bottom w:val="single" w:sz="4" w:space="0" w:color="auto"/>
              <w:right w:val="single" w:sz="4" w:space="0" w:color="auto"/>
            </w:tcBorders>
            <w:vAlign w:val="center"/>
          </w:tcPr>
          <w:p w:rsidR="007D48BC" w:rsidRPr="001F344E" w:rsidRDefault="007D48BC" w:rsidP="00A56BE4">
            <w:pPr>
              <w:rPr>
                <w:rFonts w:ascii="Arial" w:hAnsi="Arial" w:cs="Arial"/>
                <w:sz w:val="16"/>
                <w:szCs w:val="16"/>
              </w:rPr>
            </w:pPr>
            <w:r w:rsidRPr="001F344E">
              <w:rPr>
                <w:rFonts w:ascii="Arial" w:hAnsi="Arial" w:cs="Arial"/>
                <w:sz w:val="16"/>
                <w:szCs w:val="16"/>
              </w:rPr>
              <w:t xml:space="preserve">            41,78 € </w:t>
            </w:r>
          </w:p>
        </w:tc>
        <w:tc>
          <w:tcPr>
            <w:tcW w:w="1397" w:type="dxa"/>
            <w:tcBorders>
              <w:top w:val="nil"/>
              <w:left w:val="nil"/>
              <w:bottom w:val="single" w:sz="4" w:space="0" w:color="auto"/>
              <w:right w:val="single" w:sz="8" w:space="0" w:color="auto"/>
            </w:tcBorders>
            <w:shd w:val="clear" w:color="000000" w:fill="D9D9D9"/>
            <w:vAlign w:val="center"/>
          </w:tcPr>
          <w:p w:rsidR="007D48BC" w:rsidRPr="00EB302A" w:rsidRDefault="007D48BC" w:rsidP="00EB302A">
            <w:pPr>
              <w:rPr>
                <w:rFonts w:ascii="Arial" w:hAnsi="Arial" w:cs="Arial"/>
                <w:color w:val="FF0000"/>
                <w:sz w:val="16"/>
                <w:szCs w:val="16"/>
              </w:rPr>
            </w:pPr>
            <w:r w:rsidRPr="00EB302A">
              <w:rPr>
                <w:rFonts w:ascii="Arial" w:hAnsi="Arial" w:cs="Arial"/>
                <w:color w:val="FF0000"/>
                <w:sz w:val="16"/>
                <w:szCs w:val="16"/>
              </w:rPr>
              <w:t xml:space="preserve">             212,30 € </w:t>
            </w:r>
          </w:p>
        </w:tc>
        <w:tc>
          <w:tcPr>
            <w:tcW w:w="1307" w:type="dxa"/>
            <w:gridSpan w:val="2"/>
            <w:tcBorders>
              <w:top w:val="single" w:sz="4" w:space="0" w:color="auto"/>
              <w:left w:val="nil"/>
              <w:bottom w:val="single" w:sz="4" w:space="0" w:color="auto"/>
              <w:right w:val="single" w:sz="4" w:space="0" w:color="000000"/>
            </w:tcBorders>
            <w:shd w:val="clear" w:color="000000" w:fill="FFFFFF"/>
            <w:vAlign w:val="center"/>
          </w:tcPr>
          <w:p w:rsidR="007D48BC" w:rsidRPr="001F344E" w:rsidRDefault="007D48BC" w:rsidP="00A56BE4">
            <w:pPr>
              <w:jc w:val="center"/>
              <w:rPr>
                <w:rFonts w:ascii="Arial" w:hAnsi="Arial" w:cs="Arial"/>
                <w:sz w:val="16"/>
                <w:szCs w:val="16"/>
              </w:rPr>
            </w:pPr>
            <w:r w:rsidRPr="001F344E">
              <w:rPr>
                <w:rFonts w:ascii="Arial" w:hAnsi="Arial" w:cs="Arial"/>
                <w:sz w:val="16"/>
                <w:szCs w:val="16"/>
              </w:rPr>
              <w:t> </w:t>
            </w:r>
          </w:p>
        </w:tc>
        <w:tc>
          <w:tcPr>
            <w:tcW w:w="1033" w:type="dxa"/>
            <w:tcBorders>
              <w:top w:val="nil"/>
              <w:left w:val="nil"/>
              <w:bottom w:val="single" w:sz="4" w:space="0" w:color="auto"/>
              <w:right w:val="single" w:sz="4" w:space="0" w:color="auto"/>
            </w:tcBorders>
            <w:vAlign w:val="center"/>
          </w:tcPr>
          <w:p w:rsidR="007D48BC" w:rsidRPr="001F344E" w:rsidRDefault="007D48BC" w:rsidP="00A56BE4">
            <w:pPr>
              <w:rPr>
                <w:rFonts w:ascii="Arial" w:hAnsi="Arial" w:cs="Arial"/>
                <w:sz w:val="16"/>
                <w:szCs w:val="16"/>
              </w:rPr>
            </w:pPr>
            <w:r w:rsidRPr="001F344E">
              <w:rPr>
                <w:rFonts w:ascii="Arial" w:hAnsi="Arial" w:cs="Arial"/>
                <w:sz w:val="16"/>
                <w:szCs w:val="16"/>
              </w:rPr>
              <w:t> </w:t>
            </w:r>
          </w:p>
        </w:tc>
        <w:tc>
          <w:tcPr>
            <w:tcW w:w="951" w:type="dxa"/>
            <w:tcBorders>
              <w:top w:val="nil"/>
              <w:left w:val="nil"/>
              <w:bottom w:val="single" w:sz="4" w:space="0" w:color="auto"/>
              <w:right w:val="single" w:sz="4" w:space="0" w:color="auto"/>
            </w:tcBorders>
            <w:vAlign w:val="center"/>
          </w:tcPr>
          <w:p w:rsidR="007D48BC" w:rsidRPr="001F344E" w:rsidRDefault="007D48BC" w:rsidP="00A56BE4">
            <w:pPr>
              <w:rPr>
                <w:rFonts w:ascii="Arial" w:hAnsi="Arial" w:cs="Arial"/>
                <w:sz w:val="16"/>
                <w:szCs w:val="16"/>
              </w:rPr>
            </w:pPr>
            <w:r w:rsidRPr="001F344E">
              <w:rPr>
                <w:rFonts w:ascii="Arial" w:hAnsi="Arial" w:cs="Arial"/>
                <w:sz w:val="16"/>
                <w:szCs w:val="16"/>
              </w:rPr>
              <w:t> </w:t>
            </w:r>
          </w:p>
        </w:tc>
        <w:tc>
          <w:tcPr>
            <w:tcW w:w="1296" w:type="dxa"/>
            <w:tcBorders>
              <w:top w:val="nil"/>
              <w:left w:val="nil"/>
              <w:bottom w:val="single" w:sz="4" w:space="0" w:color="auto"/>
              <w:right w:val="single" w:sz="4" w:space="0" w:color="auto"/>
            </w:tcBorders>
            <w:shd w:val="clear" w:color="000000" w:fill="D9D9D9"/>
            <w:vAlign w:val="center"/>
          </w:tcPr>
          <w:p w:rsidR="007D48BC" w:rsidRPr="00DF68A8" w:rsidRDefault="007D48BC" w:rsidP="00DF68A8">
            <w:pPr>
              <w:jc w:val="right"/>
              <w:rPr>
                <w:rFonts w:ascii="Arial" w:hAnsi="Arial" w:cs="Arial"/>
                <w:color w:val="FF0000"/>
                <w:sz w:val="16"/>
                <w:szCs w:val="16"/>
              </w:rPr>
            </w:pPr>
            <w:r w:rsidRPr="00DF68A8">
              <w:rPr>
                <w:rFonts w:ascii="Arial" w:hAnsi="Arial" w:cs="Arial"/>
                <w:color w:val="FF0000"/>
                <w:sz w:val="16"/>
                <w:szCs w:val="16"/>
              </w:rPr>
              <w:t>254,08 €</w:t>
            </w:r>
          </w:p>
        </w:tc>
      </w:tr>
      <w:tr w:rsidR="007D48BC" w:rsidRPr="00DF68A8">
        <w:trPr>
          <w:trHeight w:val="675"/>
          <w:jc w:val="center"/>
        </w:trPr>
        <w:tc>
          <w:tcPr>
            <w:tcW w:w="2122" w:type="dxa"/>
            <w:tcBorders>
              <w:top w:val="nil"/>
              <w:left w:val="single" w:sz="4" w:space="0" w:color="auto"/>
              <w:bottom w:val="single" w:sz="4" w:space="0" w:color="auto"/>
              <w:right w:val="single" w:sz="8" w:space="0" w:color="auto"/>
            </w:tcBorders>
            <w:vAlign w:val="center"/>
          </w:tcPr>
          <w:p w:rsidR="007D48BC" w:rsidRPr="001F344E" w:rsidRDefault="007D48BC" w:rsidP="00A56BE4">
            <w:pPr>
              <w:rPr>
                <w:rFonts w:ascii="Arial" w:hAnsi="Arial" w:cs="Arial"/>
                <w:sz w:val="16"/>
                <w:szCs w:val="16"/>
              </w:rPr>
            </w:pPr>
            <w:r w:rsidRPr="001F344E">
              <w:rPr>
                <w:rFonts w:ascii="Arial" w:hAnsi="Arial" w:cs="Arial"/>
                <w:sz w:val="16"/>
                <w:szCs w:val="16"/>
              </w:rPr>
              <w:t>Coste del tratamiento de los efectos adversos</w:t>
            </w:r>
          </w:p>
        </w:tc>
        <w:tc>
          <w:tcPr>
            <w:tcW w:w="1275" w:type="dxa"/>
            <w:tcBorders>
              <w:top w:val="nil"/>
              <w:left w:val="nil"/>
              <w:bottom w:val="single" w:sz="4" w:space="0" w:color="auto"/>
              <w:right w:val="single" w:sz="4" w:space="0" w:color="auto"/>
            </w:tcBorders>
            <w:vAlign w:val="center"/>
          </w:tcPr>
          <w:p w:rsidR="007D48BC" w:rsidRPr="001F344E" w:rsidRDefault="007D48BC" w:rsidP="00A56BE4">
            <w:pPr>
              <w:rPr>
                <w:rFonts w:ascii="Arial" w:hAnsi="Arial" w:cs="Arial"/>
                <w:sz w:val="16"/>
                <w:szCs w:val="16"/>
              </w:rPr>
            </w:pPr>
            <w:r w:rsidRPr="001F344E">
              <w:rPr>
                <w:rFonts w:ascii="Arial" w:hAnsi="Arial" w:cs="Arial"/>
                <w:sz w:val="16"/>
                <w:szCs w:val="16"/>
              </w:rPr>
              <w:t>Estancia en UCI para control de SLC***</w:t>
            </w:r>
          </w:p>
        </w:tc>
        <w:tc>
          <w:tcPr>
            <w:tcW w:w="749" w:type="dxa"/>
            <w:tcBorders>
              <w:top w:val="nil"/>
              <w:left w:val="nil"/>
              <w:bottom w:val="single" w:sz="4" w:space="0" w:color="auto"/>
              <w:right w:val="single" w:sz="4" w:space="0" w:color="auto"/>
            </w:tcBorders>
            <w:vAlign w:val="center"/>
          </w:tcPr>
          <w:p w:rsidR="007D48BC" w:rsidRPr="001F344E" w:rsidRDefault="007D48BC" w:rsidP="00A56BE4">
            <w:pPr>
              <w:rPr>
                <w:rFonts w:ascii="Arial" w:hAnsi="Arial" w:cs="Arial"/>
                <w:sz w:val="16"/>
                <w:szCs w:val="16"/>
              </w:rPr>
            </w:pPr>
          </w:p>
        </w:tc>
        <w:tc>
          <w:tcPr>
            <w:tcW w:w="973" w:type="dxa"/>
            <w:tcBorders>
              <w:top w:val="nil"/>
              <w:left w:val="nil"/>
              <w:bottom w:val="single" w:sz="4" w:space="0" w:color="auto"/>
              <w:right w:val="single" w:sz="4" w:space="0" w:color="auto"/>
            </w:tcBorders>
            <w:vAlign w:val="center"/>
          </w:tcPr>
          <w:p w:rsidR="007D48BC" w:rsidRPr="001F344E" w:rsidRDefault="007D48BC" w:rsidP="00A56BE4">
            <w:pPr>
              <w:rPr>
                <w:rFonts w:ascii="Arial" w:hAnsi="Arial" w:cs="Arial"/>
                <w:sz w:val="16"/>
                <w:szCs w:val="16"/>
              </w:rPr>
            </w:pPr>
          </w:p>
        </w:tc>
        <w:tc>
          <w:tcPr>
            <w:tcW w:w="1297" w:type="dxa"/>
            <w:tcBorders>
              <w:top w:val="nil"/>
              <w:left w:val="nil"/>
              <w:bottom w:val="single" w:sz="4" w:space="0" w:color="auto"/>
              <w:right w:val="single" w:sz="8" w:space="0" w:color="auto"/>
            </w:tcBorders>
            <w:vAlign w:val="center"/>
          </w:tcPr>
          <w:p w:rsidR="007D48BC" w:rsidRPr="001F344E" w:rsidRDefault="007D48BC" w:rsidP="00A56BE4">
            <w:pPr>
              <w:rPr>
                <w:rFonts w:ascii="Arial" w:hAnsi="Arial" w:cs="Arial"/>
                <w:sz w:val="16"/>
                <w:szCs w:val="16"/>
              </w:rPr>
            </w:pPr>
            <w:r w:rsidRPr="001F344E">
              <w:rPr>
                <w:rFonts w:ascii="Arial" w:hAnsi="Arial" w:cs="Arial"/>
                <w:sz w:val="16"/>
                <w:szCs w:val="16"/>
              </w:rPr>
              <w:t xml:space="preserve">       </w:t>
            </w:r>
          </w:p>
        </w:tc>
        <w:tc>
          <w:tcPr>
            <w:tcW w:w="658" w:type="dxa"/>
            <w:tcBorders>
              <w:top w:val="nil"/>
              <w:left w:val="nil"/>
              <w:bottom w:val="single" w:sz="4" w:space="0" w:color="auto"/>
              <w:right w:val="single" w:sz="4" w:space="0" w:color="auto"/>
            </w:tcBorders>
            <w:vAlign w:val="center"/>
          </w:tcPr>
          <w:p w:rsidR="007D48BC" w:rsidRPr="001F344E" w:rsidRDefault="007D48BC" w:rsidP="00A56BE4">
            <w:pPr>
              <w:rPr>
                <w:rFonts w:ascii="Arial" w:hAnsi="Arial" w:cs="Arial"/>
                <w:sz w:val="16"/>
                <w:szCs w:val="16"/>
              </w:rPr>
            </w:pPr>
            <w:r w:rsidRPr="001F344E">
              <w:rPr>
                <w:rFonts w:ascii="Arial" w:hAnsi="Arial" w:cs="Arial"/>
                <w:sz w:val="16"/>
                <w:szCs w:val="16"/>
              </w:rPr>
              <w:t>Estancia en UCI para control de SLC***</w:t>
            </w:r>
          </w:p>
        </w:tc>
        <w:tc>
          <w:tcPr>
            <w:tcW w:w="658" w:type="dxa"/>
            <w:gridSpan w:val="2"/>
            <w:tcBorders>
              <w:top w:val="nil"/>
              <w:left w:val="nil"/>
              <w:bottom w:val="single" w:sz="4" w:space="0" w:color="auto"/>
              <w:right w:val="single" w:sz="4" w:space="0" w:color="auto"/>
            </w:tcBorders>
            <w:vAlign w:val="center"/>
          </w:tcPr>
          <w:p w:rsidR="007D48BC" w:rsidRPr="001F344E" w:rsidRDefault="007D48BC" w:rsidP="00A56BE4">
            <w:pPr>
              <w:rPr>
                <w:rFonts w:ascii="Arial" w:hAnsi="Arial" w:cs="Arial"/>
                <w:sz w:val="16"/>
                <w:szCs w:val="16"/>
              </w:rPr>
            </w:pPr>
            <w:r w:rsidRPr="001F344E">
              <w:rPr>
                <w:rFonts w:ascii="Arial" w:hAnsi="Arial" w:cs="Arial"/>
                <w:sz w:val="16"/>
                <w:szCs w:val="16"/>
              </w:rPr>
              <w:t>14331,40</w:t>
            </w:r>
          </w:p>
        </w:tc>
        <w:tc>
          <w:tcPr>
            <w:tcW w:w="1012" w:type="dxa"/>
            <w:tcBorders>
              <w:top w:val="nil"/>
              <w:left w:val="nil"/>
              <w:bottom w:val="single" w:sz="4" w:space="0" w:color="auto"/>
              <w:right w:val="single" w:sz="4" w:space="0" w:color="auto"/>
            </w:tcBorders>
            <w:vAlign w:val="center"/>
          </w:tcPr>
          <w:p w:rsidR="007D48BC" w:rsidRPr="001F344E" w:rsidRDefault="007D48BC" w:rsidP="00A56BE4">
            <w:pPr>
              <w:rPr>
                <w:rFonts w:ascii="Arial" w:hAnsi="Arial" w:cs="Arial"/>
                <w:sz w:val="16"/>
                <w:szCs w:val="16"/>
              </w:rPr>
            </w:pPr>
            <w:r w:rsidRPr="001F344E">
              <w:rPr>
                <w:rFonts w:ascii="Arial" w:hAnsi="Arial" w:cs="Arial"/>
                <w:sz w:val="16"/>
                <w:szCs w:val="16"/>
              </w:rPr>
              <w:t>47% de los pacientes</w:t>
            </w:r>
          </w:p>
        </w:tc>
        <w:tc>
          <w:tcPr>
            <w:tcW w:w="1227" w:type="dxa"/>
            <w:tcBorders>
              <w:top w:val="nil"/>
              <w:left w:val="nil"/>
              <w:bottom w:val="single" w:sz="4" w:space="0" w:color="auto"/>
              <w:right w:val="single" w:sz="4" w:space="0" w:color="auto"/>
            </w:tcBorders>
            <w:vAlign w:val="center"/>
          </w:tcPr>
          <w:p w:rsidR="007D48BC" w:rsidRPr="001F344E" w:rsidRDefault="007D48BC" w:rsidP="00A56BE4">
            <w:pPr>
              <w:rPr>
                <w:rFonts w:ascii="Arial" w:hAnsi="Arial" w:cs="Arial"/>
                <w:sz w:val="16"/>
                <w:szCs w:val="16"/>
              </w:rPr>
            </w:pPr>
            <w:r>
              <w:rPr>
                <w:rFonts w:ascii="Arial" w:hAnsi="Arial" w:cs="Arial"/>
                <w:sz w:val="16"/>
                <w:szCs w:val="16"/>
              </w:rPr>
              <w:t xml:space="preserve">      </w:t>
            </w:r>
            <w:r w:rsidRPr="001F344E">
              <w:rPr>
                <w:rFonts w:ascii="Arial" w:hAnsi="Arial" w:cs="Arial"/>
                <w:sz w:val="16"/>
                <w:szCs w:val="16"/>
              </w:rPr>
              <w:t xml:space="preserve"> 6.735,76 € </w:t>
            </w:r>
          </w:p>
        </w:tc>
        <w:tc>
          <w:tcPr>
            <w:tcW w:w="1397" w:type="dxa"/>
            <w:tcBorders>
              <w:top w:val="nil"/>
              <w:left w:val="nil"/>
              <w:bottom w:val="single" w:sz="4" w:space="0" w:color="auto"/>
              <w:right w:val="single" w:sz="8" w:space="0" w:color="auto"/>
            </w:tcBorders>
            <w:shd w:val="clear" w:color="000000" w:fill="D9D9D9"/>
            <w:vAlign w:val="center"/>
          </w:tcPr>
          <w:p w:rsidR="007D48BC" w:rsidRPr="00EB302A" w:rsidRDefault="007D48BC" w:rsidP="00A56BE4">
            <w:pPr>
              <w:rPr>
                <w:rFonts w:ascii="Arial" w:hAnsi="Arial" w:cs="Arial"/>
                <w:color w:val="FF0000"/>
                <w:sz w:val="16"/>
                <w:szCs w:val="16"/>
              </w:rPr>
            </w:pPr>
            <w:r w:rsidRPr="00EB302A">
              <w:rPr>
                <w:rFonts w:ascii="Arial" w:hAnsi="Arial" w:cs="Arial"/>
                <w:color w:val="FF0000"/>
                <w:sz w:val="16"/>
                <w:szCs w:val="16"/>
              </w:rPr>
              <w:t xml:space="preserve">       - 6.735,76 € </w:t>
            </w:r>
          </w:p>
        </w:tc>
        <w:tc>
          <w:tcPr>
            <w:tcW w:w="1307" w:type="dxa"/>
            <w:gridSpan w:val="2"/>
            <w:tcBorders>
              <w:top w:val="single" w:sz="4" w:space="0" w:color="auto"/>
              <w:left w:val="nil"/>
              <w:bottom w:val="single" w:sz="4" w:space="0" w:color="auto"/>
              <w:right w:val="single" w:sz="4" w:space="0" w:color="000000"/>
            </w:tcBorders>
            <w:shd w:val="clear" w:color="000000" w:fill="FFFFFF"/>
            <w:vAlign w:val="center"/>
          </w:tcPr>
          <w:p w:rsidR="007D48BC" w:rsidRPr="001F344E" w:rsidRDefault="007D48BC" w:rsidP="00A56BE4">
            <w:pPr>
              <w:jc w:val="center"/>
              <w:rPr>
                <w:rFonts w:ascii="Arial" w:hAnsi="Arial" w:cs="Arial"/>
                <w:sz w:val="16"/>
                <w:szCs w:val="16"/>
              </w:rPr>
            </w:pPr>
            <w:r w:rsidRPr="001F344E">
              <w:rPr>
                <w:rFonts w:ascii="Arial" w:hAnsi="Arial" w:cs="Arial"/>
                <w:sz w:val="16"/>
                <w:szCs w:val="16"/>
              </w:rPr>
              <w:t> </w:t>
            </w:r>
          </w:p>
        </w:tc>
        <w:tc>
          <w:tcPr>
            <w:tcW w:w="1033" w:type="dxa"/>
            <w:tcBorders>
              <w:top w:val="nil"/>
              <w:left w:val="nil"/>
              <w:bottom w:val="single" w:sz="4" w:space="0" w:color="auto"/>
              <w:right w:val="single" w:sz="4" w:space="0" w:color="auto"/>
            </w:tcBorders>
            <w:vAlign w:val="center"/>
          </w:tcPr>
          <w:p w:rsidR="007D48BC" w:rsidRPr="001F344E" w:rsidRDefault="007D48BC" w:rsidP="00A56BE4">
            <w:pPr>
              <w:rPr>
                <w:rFonts w:ascii="Arial" w:hAnsi="Arial" w:cs="Arial"/>
                <w:sz w:val="16"/>
                <w:szCs w:val="16"/>
              </w:rPr>
            </w:pPr>
            <w:r w:rsidRPr="001F344E">
              <w:rPr>
                <w:rFonts w:ascii="Arial" w:hAnsi="Arial" w:cs="Arial"/>
                <w:sz w:val="16"/>
                <w:szCs w:val="16"/>
              </w:rPr>
              <w:t> </w:t>
            </w:r>
          </w:p>
        </w:tc>
        <w:tc>
          <w:tcPr>
            <w:tcW w:w="951" w:type="dxa"/>
            <w:tcBorders>
              <w:top w:val="nil"/>
              <w:left w:val="nil"/>
              <w:bottom w:val="single" w:sz="4" w:space="0" w:color="auto"/>
              <w:right w:val="single" w:sz="4" w:space="0" w:color="auto"/>
            </w:tcBorders>
            <w:vAlign w:val="center"/>
          </w:tcPr>
          <w:p w:rsidR="007D48BC" w:rsidRPr="001F344E" w:rsidRDefault="007D48BC" w:rsidP="00A56BE4">
            <w:pPr>
              <w:rPr>
                <w:rFonts w:ascii="Arial" w:hAnsi="Arial" w:cs="Arial"/>
                <w:sz w:val="16"/>
                <w:szCs w:val="16"/>
              </w:rPr>
            </w:pPr>
            <w:r w:rsidRPr="001F344E">
              <w:rPr>
                <w:rFonts w:ascii="Arial" w:hAnsi="Arial" w:cs="Arial"/>
                <w:sz w:val="16"/>
                <w:szCs w:val="16"/>
              </w:rPr>
              <w:t> </w:t>
            </w:r>
          </w:p>
        </w:tc>
        <w:tc>
          <w:tcPr>
            <w:tcW w:w="1296" w:type="dxa"/>
            <w:tcBorders>
              <w:top w:val="nil"/>
              <w:left w:val="nil"/>
              <w:bottom w:val="single" w:sz="4" w:space="0" w:color="auto"/>
              <w:right w:val="single" w:sz="4" w:space="0" w:color="auto"/>
            </w:tcBorders>
            <w:shd w:val="clear" w:color="000000" w:fill="D9D9D9"/>
            <w:vAlign w:val="center"/>
          </w:tcPr>
          <w:p w:rsidR="007D48BC" w:rsidRPr="00DF68A8" w:rsidRDefault="007D48BC" w:rsidP="00DF68A8">
            <w:pPr>
              <w:pStyle w:val="Prrafodelista"/>
              <w:numPr>
                <w:ilvl w:val="0"/>
                <w:numId w:val="1"/>
              </w:numPr>
              <w:jc w:val="right"/>
              <w:rPr>
                <w:rFonts w:ascii="Arial" w:hAnsi="Arial" w:cs="Arial"/>
                <w:color w:val="FF0000"/>
                <w:sz w:val="16"/>
                <w:szCs w:val="16"/>
              </w:rPr>
            </w:pPr>
            <w:r w:rsidRPr="00DF68A8">
              <w:rPr>
                <w:rFonts w:ascii="Arial" w:hAnsi="Arial" w:cs="Arial"/>
                <w:color w:val="FF0000"/>
                <w:sz w:val="16"/>
                <w:szCs w:val="16"/>
              </w:rPr>
              <w:t xml:space="preserve"> € </w:t>
            </w:r>
          </w:p>
        </w:tc>
      </w:tr>
      <w:tr w:rsidR="007D48BC" w:rsidRPr="001F344E">
        <w:trPr>
          <w:trHeight w:val="255"/>
          <w:jc w:val="center"/>
        </w:trPr>
        <w:tc>
          <w:tcPr>
            <w:tcW w:w="2122" w:type="dxa"/>
            <w:tcBorders>
              <w:top w:val="nil"/>
              <w:left w:val="single" w:sz="4" w:space="0" w:color="auto"/>
              <w:bottom w:val="single" w:sz="4" w:space="0" w:color="auto"/>
              <w:right w:val="single" w:sz="8" w:space="0" w:color="auto"/>
            </w:tcBorders>
            <w:shd w:val="clear" w:color="000000" w:fill="D9D9D9"/>
            <w:vAlign w:val="center"/>
          </w:tcPr>
          <w:p w:rsidR="007D48BC" w:rsidRPr="001F344E" w:rsidRDefault="007D48BC" w:rsidP="00A56BE4">
            <w:pPr>
              <w:rPr>
                <w:rFonts w:ascii="Arial" w:hAnsi="Arial" w:cs="Arial"/>
                <w:sz w:val="16"/>
                <w:szCs w:val="16"/>
              </w:rPr>
            </w:pPr>
            <w:r w:rsidRPr="001F344E">
              <w:rPr>
                <w:rFonts w:ascii="Arial" w:hAnsi="Arial" w:cs="Arial"/>
                <w:sz w:val="16"/>
                <w:szCs w:val="16"/>
              </w:rPr>
              <w:t>Otros costes asistenciales</w:t>
            </w:r>
          </w:p>
        </w:tc>
        <w:tc>
          <w:tcPr>
            <w:tcW w:w="2024" w:type="dxa"/>
            <w:gridSpan w:val="2"/>
            <w:tcBorders>
              <w:top w:val="single" w:sz="4" w:space="0" w:color="auto"/>
              <w:left w:val="nil"/>
              <w:bottom w:val="single" w:sz="4" w:space="0" w:color="auto"/>
              <w:right w:val="single" w:sz="4" w:space="0" w:color="000000"/>
            </w:tcBorders>
            <w:shd w:val="clear" w:color="000000" w:fill="D9D9D9"/>
            <w:vAlign w:val="center"/>
          </w:tcPr>
          <w:p w:rsidR="007D48BC" w:rsidRPr="001F344E" w:rsidRDefault="007D48BC" w:rsidP="00A56BE4">
            <w:pPr>
              <w:jc w:val="center"/>
              <w:rPr>
                <w:rFonts w:ascii="Arial" w:hAnsi="Arial" w:cs="Arial"/>
                <w:sz w:val="16"/>
                <w:szCs w:val="16"/>
              </w:rPr>
            </w:pPr>
            <w:r w:rsidRPr="001F344E">
              <w:rPr>
                <w:rFonts w:ascii="Arial" w:hAnsi="Arial" w:cs="Arial"/>
                <w:sz w:val="16"/>
                <w:szCs w:val="16"/>
              </w:rPr>
              <w:t> </w:t>
            </w:r>
          </w:p>
        </w:tc>
        <w:tc>
          <w:tcPr>
            <w:tcW w:w="973" w:type="dxa"/>
            <w:tcBorders>
              <w:top w:val="nil"/>
              <w:left w:val="nil"/>
              <w:bottom w:val="single" w:sz="4" w:space="0" w:color="auto"/>
              <w:right w:val="single" w:sz="4" w:space="0" w:color="auto"/>
            </w:tcBorders>
            <w:shd w:val="clear" w:color="000000" w:fill="D9D9D9"/>
            <w:vAlign w:val="center"/>
          </w:tcPr>
          <w:p w:rsidR="007D48BC" w:rsidRPr="001F344E" w:rsidRDefault="007D48BC" w:rsidP="00A56BE4">
            <w:pPr>
              <w:rPr>
                <w:rFonts w:ascii="Arial" w:hAnsi="Arial" w:cs="Arial"/>
                <w:sz w:val="16"/>
                <w:szCs w:val="16"/>
              </w:rPr>
            </w:pPr>
            <w:r w:rsidRPr="001F344E">
              <w:rPr>
                <w:rFonts w:ascii="Arial" w:hAnsi="Arial" w:cs="Arial"/>
                <w:sz w:val="16"/>
                <w:szCs w:val="16"/>
              </w:rPr>
              <w:t> </w:t>
            </w:r>
          </w:p>
        </w:tc>
        <w:tc>
          <w:tcPr>
            <w:tcW w:w="1297" w:type="dxa"/>
            <w:tcBorders>
              <w:top w:val="nil"/>
              <w:left w:val="nil"/>
              <w:bottom w:val="single" w:sz="4" w:space="0" w:color="auto"/>
              <w:right w:val="single" w:sz="8" w:space="0" w:color="auto"/>
            </w:tcBorders>
            <w:shd w:val="clear" w:color="000000" w:fill="D9D9D9"/>
            <w:vAlign w:val="center"/>
          </w:tcPr>
          <w:p w:rsidR="007D48BC" w:rsidRPr="001F344E" w:rsidRDefault="007D48BC" w:rsidP="00A56BE4">
            <w:pPr>
              <w:jc w:val="center"/>
              <w:rPr>
                <w:rFonts w:ascii="Arial" w:hAnsi="Arial" w:cs="Arial"/>
                <w:sz w:val="16"/>
                <w:szCs w:val="16"/>
              </w:rPr>
            </w:pPr>
            <w:r>
              <w:rPr>
                <w:rFonts w:ascii="Arial" w:hAnsi="Arial" w:cs="Arial"/>
                <w:sz w:val="16"/>
                <w:szCs w:val="16"/>
              </w:rPr>
              <w:t>17.846,70</w:t>
            </w:r>
            <w:r w:rsidRPr="001F344E">
              <w:rPr>
                <w:rFonts w:ascii="Arial" w:hAnsi="Arial" w:cs="Arial"/>
                <w:sz w:val="16"/>
                <w:szCs w:val="16"/>
              </w:rPr>
              <w:t xml:space="preserve"> €</w:t>
            </w:r>
          </w:p>
        </w:tc>
        <w:tc>
          <w:tcPr>
            <w:tcW w:w="1316" w:type="dxa"/>
            <w:gridSpan w:val="3"/>
            <w:tcBorders>
              <w:top w:val="nil"/>
              <w:left w:val="nil"/>
              <w:bottom w:val="single" w:sz="4" w:space="0" w:color="auto"/>
              <w:right w:val="single" w:sz="4" w:space="0" w:color="auto"/>
            </w:tcBorders>
            <w:shd w:val="clear" w:color="000000" w:fill="D9D9D9"/>
            <w:vAlign w:val="center"/>
          </w:tcPr>
          <w:p w:rsidR="007D48BC" w:rsidRPr="001F344E" w:rsidRDefault="007D48BC" w:rsidP="00A56BE4">
            <w:pPr>
              <w:rPr>
                <w:rFonts w:ascii="Arial" w:hAnsi="Arial" w:cs="Arial"/>
                <w:sz w:val="16"/>
                <w:szCs w:val="16"/>
              </w:rPr>
            </w:pPr>
            <w:r w:rsidRPr="001F344E">
              <w:rPr>
                <w:rFonts w:ascii="Arial" w:hAnsi="Arial" w:cs="Arial"/>
                <w:sz w:val="16"/>
                <w:szCs w:val="16"/>
              </w:rPr>
              <w:t> </w:t>
            </w:r>
          </w:p>
        </w:tc>
        <w:tc>
          <w:tcPr>
            <w:tcW w:w="1012" w:type="dxa"/>
            <w:tcBorders>
              <w:top w:val="nil"/>
              <w:left w:val="nil"/>
              <w:bottom w:val="single" w:sz="4" w:space="0" w:color="auto"/>
              <w:right w:val="single" w:sz="4" w:space="0" w:color="auto"/>
            </w:tcBorders>
            <w:shd w:val="clear" w:color="000000" w:fill="D9D9D9"/>
            <w:vAlign w:val="center"/>
          </w:tcPr>
          <w:p w:rsidR="007D48BC" w:rsidRPr="001F344E" w:rsidRDefault="007D48BC" w:rsidP="00A56BE4">
            <w:pPr>
              <w:rPr>
                <w:rFonts w:ascii="Arial" w:hAnsi="Arial" w:cs="Arial"/>
                <w:sz w:val="16"/>
                <w:szCs w:val="16"/>
              </w:rPr>
            </w:pPr>
            <w:r w:rsidRPr="001F344E">
              <w:rPr>
                <w:rFonts w:ascii="Arial" w:hAnsi="Arial" w:cs="Arial"/>
                <w:sz w:val="16"/>
                <w:szCs w:val="16"/>
              </w:rPr>
              <w:t> </w:t>
            </w:r>
          </w:p>
        </w:tc>
        <w:tc>
          <w:tcPr>
            <w:tcW w:w="1227" w:type="dxa"/>
            <w:tcBorders>
              <w:top w:val="nil"/>
              <w:left w:val="nil"/>
              <w:bottom w:val="single" w:sz="4" w:space="0" w:color="auto"/>
              <w:right w:val="single" w:sz="4" w:space="0" w:color="auto"/>
            </w:tcBorders>
            <w:shd w:val="clear" w:color="000000" w:fill="D9D9D9"/>
            <w:vAlign w:val="center"/>
          </w:tcPr>
          <w:p w:rsidR="007D48BC" w:rsidRPr="001F344E" w:rsidRDefault="007D48BC" w:rsidP="00A56BE4">
            <w:pPr>
              <w:jc w:val="center"/>
              <w:rPr>
                <w:rFonts w:ascii="Arial" w:hAnsi="Arial" w:cs="Arial"/>
                <w:sz w:val="16"/>
                <w:szCs w:val="16"/>
              </w:rPr>
            </w:pPr>
            <w:r w:rsidRPr="001F344E">
              <w:rPr>
                <w:rFonts w:ascii="Arial" w:hAnsi="Arial" w:cs="Arial"/>
                <w:sz w:val="16"/>
                <w:szCs w:val="16"/>
              </w:rPr>
              <w:t>13.800,00 €</w:t>
            </w:r>
          </w:p>
        </w:tc>
        <w:tc>
          <w:tcPr>
            <w:tcW w:w="1397" w:type="dxa"/>
            <w:tcBorders>
              <w:top w:val="nil"/>
              <w:left w:val="nil"/>
              <w:bottom w:val="single" w:sz="4" w:space="0" w:color="auto"/>
              <w:right w:val="single" w:sz="8" w:space="0" w:color="auto"/>
            </w:tcBorders>
            <w:shd w:val="clear" w:color="000000" w:fill="D9D9D9"/>
            <w:vAlign w:val="center"/>
          </w:tcPr>
          <w:p w:rsidR="007D48BC" w:rsidRPr="00EB302A" w:rsidRDefault="007D48BC" w:rsidP="00EB302A">
            <w:pPr>
              <w:rPr>
                <w:rFonts w:ascii="Arial" w:hAnsi="Arial" w:cs="Arial"/>
                <w:color w:val="FF0000"/>
                <w:sz w:val="16"/>
                <w:szCs w:val="16"/>
              </w:rPr>
            </w:pPr>
            <w:r w:rsidRPr="00EB302A">
              <w:rPr>
                <w:rFonts w:ascii="Arial" w:hAnsi="Arial" w:cs="Arial"/>
                <w:color w:val="FF0000"/>
                <w:sz w:val="16"/>
                <w:szCs w:val="16"/>
              </w:rPr>
              <w:t xml:space="preserve">        </w:t>
            </w:r>
            <w:r>
              <w:rPr>
                <w:rFonts w:ascii="Arial" w:hAnsi="Arial" w:cs="Arial"/>
                <w:color w:val="FF0000"/>
                <w:sz w:val="16"/>
                <w:szCs w:val="16"/>
              </w:rPr>
              <w:t>4</w:t>
            </w:r>
            <w:r w:rsidRPr="00EB302A">
              <w:rPr>
                <w:rFonts w:ascii="Arial" w:hAnsi="Arial" w:cs="Arial"/>
                <w:color w:val="FF0000"/>
                <w:sz w:val="16"/>
                <w:szCs w:val="16"/>
              </w:rPr>
              <w:t>.</w:t>
            </w:r>
            <w:r>
              <w:rPr>
                <w:rFonts w:ascii="Arial" w:hAnsi="Arial" w:cs="Arial"/>
                <w:color w:val="FF0000"/>
                <w:sz w:val="16"/>
                <w:szCs w:val="16"/>
              </w:rPr>
              <w:t>046</w:t>
            </w:r>
            <w:r w:rsidRPr="00EB302A">
              <w:rPr>
                <w:rFonts w:ascii="Arial" w:hAnsi="Arial" w:cs="Arial"/>
                <w:color w:val="FF0000"/>
                <w:sz w:val="16"/>
                <w:szCs w:val="16"/>
              </w:rPr>
              <w:t>,</w:t>
            </w:r>
            <w:r>
              <w:rPr>
                <w:rFonts w:ascii="Arial" w:hAnsi="Arial" w:cs="Arial"/>
                <w:color w:val="FF0000"/>
                <w:sz w:val="16"/>
                <w:szCs w:val="16"/>
              </w:rPr>
              <w:t>7</w:t>
            </w:r>
            <w:r w:rsidRPr="00EB302A">
              <w:rPr>
                <w:rFonts w:ascii="Arial" w:hAnsi="Arial" w:cs="Arial"/>
                <w:color w:val="FF0000"/>
                <w:sz w:val="16"/>
                <w:szCs w:val="16"/>
              </w:rPr>
              <w:t xml:space="preserve"> € </w:t>
            </w:r>
          </w:p>
        </w:tc>
        <w:tc>
          <w:tcPr>
            <w:tcW w:w="1307" w:type="dxa"/>
            <w:gridSpan w:val="2"/>
            <w:tcBorders>
              <w:top w:val="single" w:sz="4" w:space="0" w:color="auto"/>
              <w:left w:val="nil"/>
              <w:bottom w:val="single" w:sz="4" w:space="0" w:color="auto"/>
              <w:right w:val="single" w:sz="4" w:space="0" w:color="000000"/>
            </w:tcBorders>
            <w:shd w:val="clear" w:color="000000" w:fill="D9D9D9"/>
            <w:vAlign w:val="center"/>
          </w:tcPr>
          <w:p w:rsidR="007D48BC" w:rsidRPr="001F344E" w:rsidRDefault="007D48BC" w:rsidP="00A56BE4">
            <w:pPr>
              <w:jc w:val="center"/>
              <w:rPr>
                <w:rFonts w:ascii="Arial" w:hAnsi="Arial" w:cs="Arial"/>
                <w:sz w:val="16"/>
                <w:szCs w:val="16"/>
              </w:rPr>
            </w:pPr>
            <w:r w:rsidRPr="001F344E">
              <w:rPr>
                <w:rFonts w:ascii="Arial" w:hAnsi="Arial" w:cs="Arial"/>
                <w:sz w:val="16"/>
                <w:szCs w:val="16"/>
              </w:rPr>
              <w:t> </w:t>
            </w:r>
          </w:p>
        </w:tc>
        <w:tc>
          <w:tcPr>
            <w:tcW w:w="1033" w:type="dxa"/>
            <w:tcBorders>
              <w:top w:val="nil"/>
              <w:left w:val="nil"/>
              <w:bottom w:val="single" w:sz="4" w:space="0" w:color="auto"/>
              <w:right w:val="single" w:sz="4" w:space="0" w:color="auto"/>
            </w:tcBorders>
            <w:shd w:val="clear" w:color="000000" w:fill="D9D9D9"/>
            <w:vAlign w:val="center"/>
          </w:tcPr>
          <w:p w:rsidR="007D48BC" w:rsidRPr="001F344E" w:rsidRDefault="007D48BC" w:rsidP="00A56BE4">
            <w:pPr>
              <w:rPr>
                <w:rFonts w:ascii="Arial" w:hAnsi="Arial" w:cs="Arial"/>
                <w:sz w:val="16"/>
                <w:szCs w:val="16"/>
              </w:rPr>
            </w:pPr>
            <w:r w:rsidRPr="001F344E">
              <w:rPr>
                <w:rFonts w:ascii="Arial" w:hAnsi="Arial" w:cs="Arial"/>
                <w:sz w:val="16"/>
                <w:szCs w:val="16"/>
              </w:rPr>
              <w:t> </w:t>
            </w:r>
          </w:p>
        </w:tc>
        <w:tc>
          <w:tcPr>
            <w:tcW w:w="951" w:type="dxa"/>
            <w:tcBorders>
              <w:top w:val="nil"/>
              <w:left w:val="nil"/>
              <w:bottom w:val="single" w:sz="4" w:space="0" w:color="auto"/>
              <w:right w:val="single" w:sz="4" w:space="0" w:color="auto"/>
            </w:tcBorders>
            <w:shd w:val="clear" w:color="000000" w:fill="D9D9D9"/>
            <w:vAlign w:val="center"/>
          </w:tcPr>
          <w:p w:rsidR="007D48BC" w:rsidRPr="001F344E" w:rsidRDefault="007D48BC" w:rsidP="00A56BE4">
            <w:pPr>
              <w:rPr>
                <w:rFonts w:ascii="Arial" w:hAnsi="Arial" w:cs="Arial"/>
                <w:sz w:val="16"/>
                <w:szCs w:val="16"/>
              </w:rPr>
            </w:pPr>
            <w:r>
              <w:rPr>
                <w:rFonts w:ascii="Arial" w:hAnsi="Arial" w:cs="Arial"/>
                <w:sz w:val="16"/>
                <w:szCs w:val="16"/>
              </w:rPr>
              <w:t>4</w:t>
            </w:r>
            <w:r w:rsidRPr="001F344E">
              <w:rPr>
                <w:rFonts w:ascii="Arial" w:hAnsi="Arial" w:cs="Arial"/>
                <w:sz w:val="16"/>
                <w:szCs w:val="16"/>
              </w:rPr>
              <w:t>.</w:t>
            </w:r>
            <w:r>
              <w:rPr>
                <w:rFonts w:ascii="Arial" w:hAnsi="Arial" w:cs="Arial"/>
                <w:sz w:val="16"/>
                <w:szCs w:val="16"/>
              </w:rPr>
              <w:t>820</w:t>
            </w:r>
            <w:r w:rsidRPr="001F344E">
              <w:rPr>
                <w:rFonts w:ascii="Arial" w:hAnsi="Arial" w:cs="Arial"/>
                <w:sz w:val="16"/>
                <w:szCs w:val="16"/>
              </w:rPr>
              <w:t>,</w:t>
            </w:r>
            <w:r>
              <w:rPr>
                <w:rFonts w:ascii="Arial" w:hAnsi="Arial" w:cs="Arial"/>
                <w:sz w:val="16"/>
                <w:szCs w:val="16"/>
              </w:rPr>
              <w:t>94</w:t>
            </w:r>
            <w:r w:rsidRPr="001F344E">
              <w:rPr>
                <w:rFonts w:ascii="Arial" w:hAnsi="Arial" w:cs="Arial"/>
                <w:sz w:val="16"/>
                <w:szCs w:val="16"/>
              </w:rPr>
              <w:t xml:space="preserve"> €</w:t>
            </w:r>
          </w:p>
        </w:tc>
        <w:tc>
          <w:tcPr>
            <w:tcW w:w="1296" w:type="dxa"/>
            <w:tcBorders>
              <w:top w:val="nil"/>
              <w:left w:val="nil"/>
              <w:bottom w:val="single" w:sz="4" w:space="0" w:color="auto"/>
              <w:right w:val="single" w:sz="4" w:space="0" w:color="auto"/>
            </w:tcBorders>
            <w:shd w:val="clear" w:color="000000" w:fill="D9D9D9"/>
            <w:vAlign w:val="center"/>
          </w:tcPr>
          <w:p w:rsidR="007D48BC" w:rsidRPr="00AC3878" w:rsidRDefault="007D48BC" w:rsidP="00DF68A8">
            <w:pPr>
              <w:rPr>
                <w:rFonts w:ascii="Arial" w:hAnsi="Arial" w:cs="Arial"/>
                <w:color w:val="FF0000"/>
                <w:sz w:val="16"/>
                <w:szCs w:val="16"/>
                <w:highlight w:val="yellow"/>
              </w:rPr>
            </w:pPr>
            <w:r w:rsidRPr="00DF68A8">
              <w:rPr>
                <w:rFonts w:ascii="Arial" w:hAnsi="Arial" w:cs="Arial"/>
                <w:color w:val="FF0000"/>
                <w:sz w:val="16"/>
                <w:szCs w:val="16"/>
              </w:rPr>
              <w:t xml:space="preserve">      13.025,76 € </w:t>
            </w:r>
          </w:p>
        </w:tc>
      </w:tr>
      <w:tr w:rsidR="007D48BC" w:rsidRPr="001F344E">
        <w:trPr>
          <w:trHeight w:val="675"/>
          <w:jc w:val="center"/>
        </w:trPr>
        <w:tc>
          <w:tcPr>
            <w:tcW w:w="2122" w:type="dxa"/>
            <w:tcBorders>
              <w:top w:val="nil"/>
              <w:left w:val="single" w:sz="4" w:space="0" w:color="auto"/>
              <w:bottom w:val="single" w:sz="4" w:space="0" w:color="auto"/>
              <w:right w:val="single" w:sz="8" w:space="0" w:color="auto"/>
            </w:tcBorders>
            <w:vAlign w:val="center"/>
          </w:tcPr>
          <w:p w:rsidR="007D48BC" w:rsidRPr="001F344E" w:rsidRDefault="007D48BC" w:rsidP="00A56BE4">
            <w:pPr>
              <w:rPr>
                <w:rFonts w:ascii="Arial" w:hAnsi="Arial" w:cs="Arial"/>
                <w:sz w:val="16"/>
                <w:szCs w:val="16"/>
              </w:rPr>
            </w:pPr>
            <w:r w:rsidRPr="001F344E">
              <w:rPr>
                <w:rFonts w:ascii="Arial" w:hAnsi="Arial" w:cs="Arial"/>
                <w:sz w:val="16"/>
                <w:szCs w:val="16"/>
              </w:rPr>
              <w:t>Costes días de hospitalización</w:t>
            </w:r>
          </w:p>
        </w:tc>
        <w:tc>
          <w:tcPr>
            <w:tcW w:w="2024" w:type="dxa"/>
            <w:gridSpan w:val="2"/>
            <w:tcBorders>
              <w:top w:val="single" w:sz="4" w:space="0" w:color="auto"/>
              <w:left w:val="nil"/>
              <w:bottom w:val="single" w:sz="4" w:space="0" w:color="auto"/>
              <w:right w:val="single" w:sz="4" w:space="0" w:color="000000"/>
            </w:tcBorders>
            <w:vAlign w:val="center"/>
          </w:tcPr>
          <w:p w:rsidR="007D48BC" w:rsidRPr="001F344E" w:rsidRDefault="007D48BC" w:rsidP="00A56BE4">
            <w:pPr>
              <w:jc w:val="center"/>
              <w:rPr>
                <w:rFonts w:ascii="Arial" w:hAnsi="Arial" w:cs="Arial"/>
                <w:sz w:val="16"/>
                <w:szCs w:val="16"/>
              </w:rPr>
            </w:pPr>
            <w:r w:rsidRPr="001F344E">
              <w:rPr>
                <w:rFonts w:ascii="Arial" w:hAnsi="Arial" w:cs="Arial"/>
                <w:sz w:val="16"/>
                <w:szCs w:val="16"/>
              </w:rPr>
              <w:t>575,37 €/día</w:t>
            </w:r>
          </w:p>
        </w:tc>
        <w:tc>
          <w:tcPr>
            <w:tcW w:w="973" w:type="dxa"/>
            <w:tcBorders>
              <w:top w:val="nil"/>
              <w:left w:val="nil"/>
              <w:bottom w:val="single" w:sz="4" w:space="0" w:color="auto"/>
              <w:right w:val="single" w:sz="4" w:space="0" w:color="auto"/>
            </w:tcBorders>
            <w:vAlign w:val="center"/>
          </w:tcPr>
          <w:p w:rsidR="007D48BC" w:rsidRPr="001F344E" w:rsidRDefault="007D48BC" w:rsidP="00A56BE4">
            <w:pPr>
              <w:rPr>
                <w:rFonts w:ascii="Arial" w:hAnsi="Arial" w:cs="Arial"/>
                <w:sz w:val="16"/>
                <w:szCs w:val="16"/>
              </w:rPr>
            </w:pPr>
            <w:r>
              <w:rPr>
                <w:rFonts w:ascii="Arial" w:hAnsi="Arial" w:cs="Arial"/>
                <w:sz w:val="16"/>
                <w:szCs w:val="16"/>
              </w:rPr>
              <w:t>31</w:t>
            </w:r>
            <w:r w:rsidRPr="001F344E">
              <w:rPr>
                <w:rFonts w:ascii="Arial" w:hAnsi="Arial" w:cs="Arial"/>
                <w:sz w:val="16"/>
                <w:szCs w:val="16"/>
              </w:rPr>
              <w:t xml:space="preserve"> días</w:t>
            </w:r>
            <w:r>
              <w:rPr>
                <w:rFonts w:ascii="Arial" w:hAnsi="Arial" w:cs="Arial"/>
                <w:sz w:val="16"/>
                <w:szCs w:val="16"/>
              </w:rPr>
              <w:t xml:space="preserve"> (17 QT linfoablativa + 14 observación tras infusión</w:t>
            </w:r>
          </w:p>
        </w:tc>
        <w:tc>
          <w:tcPr>
            <w:tcW w:w="1297" w:type="dxa"/>
            <w:tcBorders>
              <w:top w:val="nil"/>
              <w:left w:val="nil"/>
              <w:bottom w:val="single" w:sz="4" w:space="0" w:color="auto"/>
              <w:right w:val="single" w:sz="8" w:space="0" w:color="auto"/>
            </w:tcBorders>
            <w:vAlign w:val="center"/>
          </w:tcPr>
          <w:p w:rsidR="007D48BC" w:rsidRPr="001F344E" w:rsidRDefault="007D48BC" w:rsidP="00A56BE4">
            <w:pPr>
              <w:rPr>
                <w:rFonts w:ascii="Arial" w:hAnsi="Arial" w:cs="Arial"/>
                <w:sz w:val="16"/>
                <w:szCs w:val="16"/>
              </w:rPr>
            </w:pPr>
            <w:r>
              <w:rPr>
                <w:rFonts w:ascii="Arial" w:hAnsi="Arial" w:cs="Arial"/>
                <w:sz w:val="16"/>
                <w:szCs w:val="16"/>
              </w:rPr>
              <w:t xml:space="preserve">      17.846,70</w:t>
            </w:r>
            <w:r w:rsidRPr="001F344E">
              <w:rPr>
                <w:rFonts w:ascii="Arial" w:hAnsi="Arial" w:cs="Arial"/>
                <w:sz w:val="16"/>
                <w:szCs w:val="16"/>
              </w:rPr>
              <w:t xml:space="preserve"> € </w:t>
            </w:r>
          </w:p>
        </w:tc>
        <w:tc>
          <w:tcPr>
            <w:tcW w:w="1316" w:type="dxa"/>
            <w:gridSpan w:val="3"/>
            <w:tcBorders>
              <w:top w:val="nil"/>
              <w:left w:val="nil"/>
              <w:bottom w:val="single" w:sz="4" w:space="0" w:color="auto"/>
              <w:right w:val="single" w:sz="4" w:space="0" w:color="auto"/>
            </w:tcBorders>
            <w:vAlign w:val="center"/>
          </w:tcPr>
          <w:p w:rsidR="007D48BC" w:rsidRPr="001F344E" w:rsidRDefault="007D48BC" w:rsidP="00A56BE4">
            <w:pPr>
              <w:rPr>
                <w:rFonts w:ascii="Arial" w:hAnsi="Arial" w:cs="Arial"/>
                <w:sz w:val="16"/>
                <w:szCs w:val="16"/>
              </w:rPr>
            </w:pPr>
            <w:r w:rsidRPr="001F344E">
              <w:rPr>
                <w:rFonts w:ascii="Arial" w:hAnsi="Arial" w:cs="Arial"/>
                <w:sz w:val="16"/>
                <w:szCs w:val="16"/>
              </w:rPr>
              <w:t>575,37 €/día</w:t>
            </w:r>
          </w:p>
        </w:tc>
        <w:tc>
          <w:tcPr>
            <w:tcW w:w="1012" w:type="dxa"/>
            <w:tcBorders>
              <w:top w:val="nil"/>
              <w:left w:val="nil"/>
              <w:bottom w:val="nil"/>
              <w:right w:val="single" w:sz="4" w:space="0" w:color="auto"/>
            </w:tcBorders>
            <w:vAlign w:val="center"/>
          </w:tcPr>
          <w:p w:rsidR="007D48BC" w:rsidRPr="001F344E" w:rsidRDefault="007D48BC" w:rsidP="00A56BE4">
            <w:pPr>
              <w:rPr>
                <w:rFonts w:ascii="Arial" w:hAnsi="Arial" w:cs="Arial"/>
                <w:sz w:val="16"/>
                <w:szCs w:val="16"/>
              </w:rPr>
            </w:pPr>
            <w:r w:rsidRPr="001F344E">
              <w:rPr>
                <w:rFonts w:ascii="Arial" w:hAnsi="Arial" w:cs="Arial"/>
                <w:sz w:val="16"/>
                <w:szCs w:val="16"/>
              </w:rPr>
              <w:t>24 días ****</w:t>
            </w:r>
          </w:p>
        </w:tc>
        <w:tc>
          <w:tcPr>
            <w:tcW w:w="1227" w:type="dxa"/>
            <w:tcBorders>
              <w:top w:val="nil"/>
              <w:left w:val="nil"/>
              <w:bottom w:val="single" w:sz="4" w:space="0" w:color="auto"/>
              <w:right w:val="single" w:sz="4" w:space="0" w:color="auto"/>
            </w:tcBorders>
            <w:vAlign w:val="center"/>
          </w:tcPr>
          <w:p w:rsidR="007D48BC" w:rsidRPr="001F344E" w:rsidRDefault="007D48BC" w:rsidP="00A56BE4">
            <w:pPr>
              <w:rPr>
                <w:rFonts w:ascii="Arial" w:hAnsi="Arial" w:cs="Arial"/>
                <w:sz w:val="16"/>
                <w:szCs w:val="16"/>
              </w:rPr>
            </w:pPr>
            <w:r>
              <w:rPr>
                <w:rFonts w:ascii="Arial" w:hAnsi="Arial" w:cs="Arial"/>
                <w:sz w:val="16"/>
                <w:szCs w:val="16"/>
              </w:rPr>
              <w:t xml:space="preserve">  </w:t>
            </w:r>
            <w:r w:rsidRPr="001F344E">
              <w:rPr>
                <w:rFonts w:ascii="Arial" w:hAnsi="Arial" w:cs="Arial"/>
                <w:sz w:val="16"/>
                <w:szCs w:val="16"/>
              </w:rPr>
              <w:t xml:space="preserve"> 13.800,00 € </w:t>
            </w:r>
          </w:p>
        </w:tc>
        <w:tc>
          <w:tcPr>
            <w:tcW w:w="1397" w:type="dxa"/>
            <w:tcBorders>
              <w:top w:val="nil"/>
              <w:left w:val="nil"/>
              <w:bottom w:val="single" w:sz="4" w:space="0" w:color="auto"/>
              <w:right w:val="single" w:sz="8" w:space="0" w:color="auto"/>
            </w:tcBorders>
            <w:shd w:val="clear" w:color="000000" w:fill="D9D9D9"/>
            <w:vAlign w:val="center"/>
          </w:tcPr>
          <w:p w:rsidR="007D48BC" w:rsidRPr="004861CD" w:rsidRDefault="007D48BC" w:rsidP="004861CD">
            <w:pPr>
              <w:rPr>
                <w:rFonts w:ascii="Arial" w:hAnsi="Arial" w:cs="Arial"/>
                <w:sz w:val="16"/>
                <w:szCs w:val="16"/>
              </w:rPr>
            </w:pPr>
            <w:r w:rsidRPr="004861CD">
              <w:rPr>
                <w:rFonts w:ascii="Arial" w:hAnsi="Arial" w:cs="Arial"/>
                <w:sz w:val="16"/>
                <w:szCs w:val="16"/>
              </w:rPr>
              <w:t xml:space="preserve">       5.046,70 € </w:t>
            </w:r>
          </w:p>
        </w:tc>
        <w:tc>
          <w:tcPr>
            <w:tcW w:w="1307" w:type="dxa"/>
            <w:gridSpan w:val="2"/>
            <w:tcBorders>
              <w:top w:val="single" w:sz="4" w:space="0" w:color="auto"/>
              <w:left w:val="nil"/>
              <w:bottom w:val="single" w:sz="4" w:space="0" w:color="auto"/>
              <w:right w:val="single" w:sz="4" w:space="0" w:color="000000"/>
            </w:tcBorders>
            <w:vAlign w:val="center"/>
          </w:tcPr>
          <w:p w:rsidR="007D48BC" w:rsidRPr="001F344E" w:rsidRDefault="007D48BC" w:rsidP="00A56BE4">
            <w:pPr>
              <w:jc w:val="center"/>
              <w:rPr>
                <w:rFonts w:ascii="Arial" w:hAnsi="Arial" w:cs="Arial"/>
                <w:sz w:val="16"/>
                <w:szCs w:val="16"/>
              </w:rPr>
            </w:pPr>
            <w:r w:rsidRPr="001F344E">
              <w:rPr>
                <w:rFonts w:ascii="Arial" w:hAnsi="Arial" w:cs="Arial"/>
                <w:sz w:val="16"/>
                <w:szCs w:val="16"/>
              </w:rPr>
              <w:t> </w:t>
            </w:r>
          </w:p>
        </w:tc>
        <w:tc>
          <w:tcPr>
            <w:tcW w:w="1033" w:type="dxa"/>
            <w:tcBorders>
              <w:top w:val="nil"/>
              <w:left w:val="nil"/>
              <w:bottom w:val="nil"/>
              <w:right w:val="single" w:sz="4" w:space="0" w:color="auto"/>
            </w:tcBorders>
            <w:vAlign w:val="center"/>
          </w:tcPr>
          <w:p w:rsidR="007D48BC" w:rsidRPr="001F344E" w:rsidRDefault="007D48BC" w:rsidP="00A56BE4">
            <w:pPr>
              <w:rPr>
                <w:rFonts w:ascii="Arial" w:hAnsi="Arial" w:cs="Arial"/>
                <w:sz w:val="16"/>
                <w:szCs w:val="16"/>
              </w:rPr>
            </w:pPr>
            <w:r w:rsidRPr="001F344E">
              <w:rPr>
                <w:rFonts w:ascii="Arial" w:hAnsi="Arial" w:cs="Arial"/>
                <w:sz w:val="16"/>
                <w:szCs w:val="16"/>
              </w:rPr>
              <w:t> </w:t>
            </w:r>
          </w:p>
        </w:tc>
        <w:tc>
          <w:tcPr>
            <w:tcW w:w="951" w:type="dxa"/>
            <w:tcBorders>
              <w:top w:val="nil"/>
              <w:left w:val="nil"/>
              <w:bottom w:val="single" w:sz="4" w:space="0" w:color="auto"/>
              <w:right w:val="single" w:sz="4" w:space="0" w:color="auto"/>
            </w:tcBorders>
            <w:vAlign w:val="center"/>
          </w:tcPr>
          <w:p w:rsidR="007D48BC" w:rsidRPr="001F344E" w:rsidRDefault="007D48BC" w:rsidP="00A56BE4">
            <w:pPr>
              <w:rPr>
                <w:rFonts w:ascii="Arial" w:hAnsi="Arial" w:cs="Arial"/>
                <w:sz w:val="16"/>
                <w:szCs w:val="16"/>
              </w:rPr>
            </w:pPr>
            <w:r w:rsidRPr="001F344E">
              <w:rPr>
                <w:rFonts w:ascii="Arial" w:hAnsi="Arial" w:cs="Arial"/>
                <w:sz w:val="16"/>
                <w:szCs w:val="16"/>
              </w:rPr>
              <w:t> </w:t>
            </w:r>
          </w:p>
        </w:tc>
        <w:tc>
          <w:tcPr>
            <w:tcW w:w="1296" w:type="dxa"/>
            <w:tcBorders>
              <w:top w:val="nil"/>
              <w:left w:val="nil"/>
              <w:bottom w:val="single" w:sz="4" w:space="0" w:color="auto"/>
              <w:right w:val="single" w:sz="4" w:space="0" w:color="auto"/>
            </w:tcBorders>
            <w:shd w:val="clear" w:color="000000" w:fill="D9D9D9"/>
            <w:vAlign w:val="center"/>
          </w:tcPr>
          <w:p w:rsidR="007D48BC" w:rsidRPr="00AC3878" w:rsidRDefault="007D48BC" w:rsidP="00A56BE4">
            <w:pPr>
              <w:rPr>
                <w:rFonts w:ascii="Arial" w:hAnsi="Arial" w:cs="Arial"/>
                <w:sz w:val="16"/>
                <w:szCs w:val="16"/>
                <w:highlight w:val="yellow"/>
              </w:rPr>
            </w:pPr>
            <w:r>
              <w:rPr>
                <w:rFonts w:ascii="Arial" w:hAnsi="Arial" w:cs="Arial"/>
                <w:sz w:val="16"/>
                <w:szCs w:val="16"/>
              </w:rPr>
              <w:t xml:space="preserve">      17.846,70</w:t>
            </w:r>
            <w:r w:rsidRPr="001F344E">
              <w:rPr>
                <w:rFonts w:ascii="Arial" w:hAnsi="Arial" w:cs="Arial"/>
                <w:sz w:val="16"/>
                <w:szCs w:val="16"/>
              </w:rPr>
              <w:t xml:space="preserve"> €</w:t>
            </w:r>
          </w:p>
        </w:tc>
      </w:tr>
      <w:tr w:rsidR="007D48BC" w:rsidRPr="001F344E">
        <w:trPr>
          <w:trHeight w:val="255"/>
          <w:jc w:val="center"/>
        </w:trPr>
        <w:tc>
          <w:tcPr>
            <w:tcW w:w="2122" w:type="dxa"/>
            <w:tcBorders>
              <w:top w:val="nil"/>
              <w:left w:val="single" w:sz="4" w:space="0" w:color="auto"/>
              <w:bottom w:val="single" w:sz="4" w:space="0" w:color="auto"/>
              <w:right w:val="single" w:sz="8" w:space="0" w:color="auto"/>
            </w:tcBorders>
            <w:vAlign w:val="center"/>
          </w:tcPr>
          <w:p w:rsidR="007D48BC" w:rsidRPr="001F344E" w:rsidRDefault="007D48BC" w:rsidP="00A56BE4">
            <w:pPr>
              <w:rPr>
                <w:rFonts w:ascii="Arial" w:hAnsi="Arial" w:cs="Arial"/>
                <w:sz w:val="16"/>
                <w:szCs w:val="16"/>
              </w:rPr>
            </w:pPr>
            <w:r w:rsidRPr="001F344E">
              <w:rPr>
                <w:rFonts w:ascii="Arial" w:hAnsi="Arial" w:cs="Arial"/>
                <w:sz w:val="16"/>
                <w:szCs w:val="16"/>
              </w:rPr>
              <w:t>Costes de Hospital de Día</w:t>
            </w:r>
          </w:p>
        </w:tc>
        <w:tc>
          <w:tcPr>
            <w:tcW w:w="2024" w:type="dxa"/>
            <w:gridSpan w:val="2"/>
            <w:tcBorders>
              <w:top w:val="single" w:sz="4" w:space="0" w:color="auto"/>
              <w:left w:val="nil"/>
              <w:bottom w:val="single" w:sz="4" w:space="0" w:color="auto"/>
              <w:right w:val="single" w:sz="4" w:space="0" w:color="000000"/>
            </w:tcBorders>
            <w:vAlign w:val="center"/>
          </w:tcPr>
          <w:p w:rsidR="007D48BC" w:rsidRPr="001F344E" w:rsidRDefault="007D48BC" w:rsidP="00A56BE4">
            <w:pPr>
              <w:jc w:val="center"/>
              <w:rPr>
                <w:rFonts w:ascii="Arial" w:hAnsi="Arial" w:cs="Arial"/>
                <w:sz w:val="16"/>
                <w:szCs w:val="16"/>
              </w:rPr>
            </w:pPr>
            <w:r w:rsidRPr="001F344E">
              <w:rPr>
                <w:rFonts w:ascii="Arial" w:hAnsi="Arial" w:cs="Arial"/>
                <w:sz w:val="16"/>
                <w:szCs w:val="16"/>
              </w:rPr>
              <w:t>0</w:t>
            </w:r>
          </w:p>
        </w:tc>
        <w:tc>
          <w:tcPr>
            <w:tcW w:w="973" w:type="dxa"/>
            <w:tcBorders>
              <w:top w:val="nil"/>
              <w:left w:val="nil"/>
              <w:bottom w:val="single" w:sz="4" w:space="0" w:color="auto"/>
              <w:right w:val="single" w:sz="4" w:space="0" w:color="auto"/>
            </w:tcBorders>
            <w:vAlign w:val="center"/>
          </w:tcPr>
          <w:p w:rsidR="007D48BC" w:rsidRPr="001F344E" w:rsidRDefault="007D48BC" w:rsidP="00A56BE4">
            <w:pPr>
              <w:rPr>
                <w:rFonts w:ascii="Arial" w:hAnsi="Arial" w:cs="Arial"/>
                <w:sz w:val="16"/>
                <w:szCs w:val="16"/>
              </w:rPr>
            </w:pPr>
            <w:r w:rsidRPr="001F344E">
              <w:rPr>
                <w:rFonts w:ascii="Arial" w:hAnsi="Arial" w:cs="Arial"/>
                <w:sz w:val="16"/>
                <w:szCs w:val="16"/>
              </w:rPr>
              <w:t> </w:t>
            </w:r>
          </w:p>
        </w:tc>
        <w:tc>
          <w:tcPr>
            <w:tcW w:w="1297" w:type="dxa"/>
            <w:tcBorders>
              <w:top w:val="nil"/>
              <w:left w:val="nil"/>
              <w:bottom w:val="single" w:sz="4" w:space="0" w:color="auto"/>
              <w:right w:val="single" w:sz="8" w:space="0" w:color="auto"/>
            </w:tcBorders>
            <w:vAlign w:val="center"/>
          </w:tcPr>
          <w:p w:rsidR="007D48BC" w:rsidRPr="001F344E" w:rsidRDefault="007D48BC" w:rsidP="00A56BE4">
            <w:pPr>
              <w:rPr>
                <w:rFonts w:ascii="Arial" w:hAnsi="Arial" w:cs="Arial"/>
                <w:sz w:val="16"/>
                <w:szCs w:val="16"/>
              </w:rPr>
            </w:pPr>
            <w:r>
              <w:rPr>
                <w:rFonts w:ascii="Arial" w:hAnsi="Arial" w:cs="Arial"/>
                <w:sz w:val="16"/>
                <w:szCs w:val="16"/>
              </w:rPr>
              <w:t xml:space="preserve">                   -</w:t>
            </w:r>
            <w:r w:rsidRPr="001F344E">
              <w:rPr>
                <w:rFonts w:ascii="Arial" w:hAnsi="Arial" w:cs="Arial"/>
                <w:sz w:val="16"/>
                <w:szCs w:val="16"/>
              </w:rPr>
              <w:t xml:space="preserve">  € </w:t>
            </w:r>
          </w:p>
        </w:tc>
        <w:tc>
          <w:tcPr>
            <w:tcW w:w="1316" w:type="dxa"/>
            <w:gridSpan w:val="3"/>
            <w:tcBorders>
              <w:top w:val="nil"/>
              <w:left w:val="nil"/>
              <w:bottom w:val="single" w:sz="4" w:space="0" w:color="auto"/>
              <w:right w:val="single" w:sz="4" w:space="0" w:color="auto"/>
            </w:tcBorders>
            <w:vAlign w:val="center"/>
          </w:tcPr>
          <w:p w:rsidR="007D48BC" w:rsidRPr="001F344E" w:rsidRDefault="007D48BC" w:rsidP="00A56BE4">
            <w:pPr>
              <w:rPr>
                <w:rFonts w:ascii="Arial" w:hAnsi="Arial" w:cs="Arial"/>
                <w:sz w:val="16"/>
                <w:szCs w:val="16"/>
              </w:rPr>
            </w:pPr>
            <w:r>
              <w:rPr>
                <w:rFonts w:ascii="Arial" w:hAnsi="Arial" w:cs="Arial"/>
                <w:sz w:val="16"/>
                <w:szCs w:val="16"/>
              </w:rPr>
              <w:t>0</w:t>
            </w:r>
          </w:p>
        </w:tc>
        <w:tc>
          <w:tcPr>
            <w:tcW w:w="1012" w:type="dxa"/>
            <w:tcBorders>
              <w:top w:val="single" w:sz="4" w:space="0" w:color="auto"/>
              <w:left w:val="nil"/>
              <w:bottom w:val="single" w:sz="4" w:space="0" w:color="auto"/>
              <w:right w:val="single" w:sz="4" w:space="0" w:color="auto"/>
            </w:tcBorders>
            <w:vAlign w:val="center"/>
          </w:tcPr>
          <w:p w:rsidR="007D48BC" w:rsidRPr="001F344E" w:rsidRDefault="007D48BC" w:rsidP="00A56BE4">
            <w:pPr>
              <w:rPr>
                <w:rFonts w:ascii="Arial" w:hAnsi="Arial" w:cs="Arial"/>
                <w:sz w:val="16"/>
                <w:szCs w:val="16"/>
              </w:rPr>
            </w:pPr>
          </w:p>
        </w:tc>
        <w:tc>
          <w:tcPr>
            <w:tcW w:w="1227" w:type="dxa"/>
            <w:tcBorders>
              <w:top w:val="nil"/>
              <w:left w:val="nil"/>
              <w:bottom w:val="single" w:sz="4" w:space="0" w:color="auto"/>
              <w:right w:val="single" w:sz="4" w:space="0" w:color="auto"/>
            </w:tcBorders>
            <w:vAlign w:val="center"/>
          </w:tcPr>
          <w:p w:rsidR="007D48BC" w:rsidRPr="001F344E" w:rsidRDefault="007D48BC" w:rsidP="00A56BE4">
            <w:pPr>
              <w:jc w:val="center"/>
              <w:rPr>
                <w:rFonts w:ascii="Arial" w:hAnsi="Arial" w:cs="Arial"/>
                <w:sz w:val="16"/>
                <w:szCs w:val="16"/>
              </w:rPr>
            </w:pPr>
            <w:r>
              <w:rPr>
                <w:rFonts w:ascii="Arial" w:hAnsi="Arial" w:cs="Arial"/>
                <w:sz w:val="16"/>
                <w:szCs w:val="16"/>
              </w:rPr>
              <w:t xml:space="preserve">- </w:t>
            </w:r>
            <w:r w:rsidRPr="001F344E">
              <w:rPr>
                <w:rFonts w:ascii="Arial" w:hAnsi="Arial" w:cs="Arial"/>
                <w:sz w:val="16"/>
                <w:szCs w:val="16"/>
              </w:rPr>
              <w:t xml:space="preserve"> €</w:t>
            </w:r>
          </w:p>
        </w:tc>
        <w:tc>
          <w:tcPr>
            <w:tcW w:w="1397" w:type="dxa"/>
            <w:tcBorders>
              <w:top w:val="nil"/>
              <w:left w:val="nil"/>
              <w:bottom w:val="single" w:sz="4" w:space="0" w:color="auto"/>
              <w:right w:val="single" w:sz="8" w:space="0" w:color="auto"/>
            </w:tcBorders>
            <w:shd w:val="clear" w:color="000000" w:fill="D9D9D9"/>
            <w:vAlign w:val="center"/>
          </w:tcPr>
          <w:p w:rsidR="007D48BC" w:rsidRPr="004861CD" w:rsidRDefault="007D48BC" w:rsidP="00A56BE4">
            <w:pPr>
              <w:rPr>
                <w:rFonts w:ascii="Arial" w:hAnsi="Arial" w:cs="Arial"/>
                <w:sz w:val="16"/>
                <w:szCs w:val="16"/>
              </w:rPr>
            </w:pPr>
            <w:r w:rsidRPr="004861CD">
              <w:rPr>
                <w:rFonts w:ascii="Arial" w:hAnsi="Arial" w:cs="Arial"/>
                <w:sz w:val="16"/>
                <w:szCs w:val="16"/>
              </w:rPr>
              <w:t xml:space="preserve">                   -   € </w:t>
            </w:r>
          </w:p>
        </w:tc>
        <w:tc>
          <w:tcPr>
            <w:tcW w:w="1307" w:type="dxa"/>
            <w:gridSpan w:val="2"/>
            <w:tcBorders>
              <w:top w:val="single" w:sz="4" w:space="0" w:color="auto"/>
              <w:left w:val="nil"/>
              <w:bottom w:val="single" w:sz="4" w:space="0" w:color="auto"/>
              <w:right w:val="single" w:sz="4" w:space="0" w:color="000000"/>
            </w:tcBorders>
            <w:vAlign w:val="center"/>
          </w:tcPr>
          <w:p w:rsidR="007D48BC" w:rsidRPr="001F344E" w:rsidRDefault="007D48BC" w:rsidP="00A56BE4">
            <w:pPr>
              <w:jc w:val="center"/>
              <w:rPr>
                <w:rFonts w:ascii="Arial" w:hAnsi="Arial" w:cs="Arial"/>
                <w:sz w:val="16"/>
                <w:szCs w:val="16"/>
              </w:rPr>
            </w:pPr>
            <w:r w:rsidRPr="001F344E">
              <w:rPr>
                <w:rFonts w:ascii="Arial" w:hAnsi="Arial" w:cs="Arial"/>
                <w:sz w:val="16"/>
                <w:szCs w:val="16"/>
              </w:rPr>
              <w:t>267,83 €/día</w:t>
            </w:r>
          </w:p>
        </w:tc>
        <w:tc>
          <w:tcPr>
            <w:tcW w:w="1033" w:type="dxa"/>
            <w:tcBorders>
              <w:top w:val="single" w:sz="4" w:space="0" w:color="auto"/>
              <w:left w:val="nil"/>
              <w:bottom w:val="single" w:sz="4" w:space="0" w:color="auto"/>
              <w:right w:val="single" w:sz="4" w:space="0" w:color="auto"/>
            </w:tcBorders>
            <w:vAlign w:val="center"/>
          </w:tcPr>
          <w:p w:rsidR="007D48BC" w:rsidRPr="001F344E" w:rsidRDefault="007D48BC" w:rsidP="00A56BE4">
            <w:pPr>
              <w:rPr>
                <w:rFonts w:ascii="Arial" w:hAnsi="Arial" w:cs="Arial"/>
                <w:sz w:val="16"/>
                <w:szCs w:val="16"/>
              </w:rPr>
            </w:pPr>
            <w:r>
              <w:rPr>
                <w:rFonts w:ascii="Arial" w:hAnsi="Arial" w:cs="Arial"/>
                <w:sz w:val="16"/>
                <w:szCs w:val="16"/>
              </w:rPr>
              <w:t>3</w:t>
            </w:r>
            <w:r w:rsidRPr="001F344E">
              <w:rPr>
                <w:rFonts w:ascii="Arial" w:hAnsi="Arial" w:cs="Arial"/>
                <w:sz w:val="16"/>
                <w:szCs w:val="16"/>
              </w:rPr>
              <w:t xml:space="preserve"> dias por ciclo</w:t>
            </w:r>
          </w:p>
        </w:tc>
        <w:tc>
          <w:tcPr>
            <w:tcW w:w="951" w:type="dxa"/>
            <w:tcBorders>
              <w:top w:val="nil"/>
              <w:left w:val="nil"/>
              <w:bottom w:val="single" w:sz="4" w:space="0" w:color="auto"/>
              <w:right w:val="single" w:sz="4" w:space="0" w:color="auto"/>
            </w:tcBorders>
            <w:vAlign w:val="center"/>
          </w:tcPr>
          <w:p w:rsidR="007D48BC" w:rsidRPr="001F344E" w:rsidRDefault="007D48BC" w:rsidP="00A56BE4">
            <w:pPr>
              <w:rPr>
                <w:rFonts w:ascii="Arial" w:hAnsi="Arial" w:cs="Arial"/>
                <w:sz w:val="16"/>
                <w:szCs w:val="16"/>
              </w:rPr>
            </w:pPr>
            <w:r w:rsidRPr="001F344E">
              <w:rPr>
                <w:rFonts w:ascii="Arial" w:hAnsi="Arial" w:cs="Arial"/>
                <w:sz w:val="16"/>
                <w:szCs w:val="16"/>
              </w:rPr>
              <w:t xml:space="preserve">       </w:t>
            </w:r>
            <w:r>
              <w:rPr>
                <w:rFonts w:ascii="Arial" w:hAnsi="Arial" w:cs="Arial"/>
                <w:sz w:val="16"/>
                <w:szCs w:val="16"/>
              </w:rPr>
              <w:t>4</w:t>
            </w:r>
            <w:r w:rsidRPr="001F344E">
              <w:rPr>
                <w:rFonts w:ascii="Arial" w:hAnsi="Arial" w:cs="Arial"/>
                <w:sz w:val="16"/>
                <w:szCs w:val="16"/>
              </w:rPr>
              <w:t>.</w:t>
            </w:r>
            <w:r>
              <w:rPr>
                <w:rFonts w:ascii="Arial" w:hAnsi="Arial" w:cs="Arial"/>
                <w:sz w:val="16"/>
                <w:szCs w:val="16"/>
              </w:rPr>
              <w:t>820</w:t>
            </w:r>
            <w:r w:rsidRPr="001F344E">
              <w:rPr>
                <w:rFonts w:ascii="Arial" w:hAnsi="Arial" w:cs="Arial"/>
                <w:sz w:val="16"/>
                <w:szCs w:val="16"/>
              </w:rPr>
              <w:t>,</w:t>
            </w:r>
            <w:r>
              <w:rPr>
                <w:rFonts w:ascii="Arial" w:hAnsi="Arial" w:cs="Arial"/>
                <w:sz w:val="16"/>
                <w:szCs w:val="16"/>
              </w:rPr>
              <w:t>94</w:t>
            </w:r>
            <w:r w:rsidRPr="001F344E">
              <w:rPr>
                <w:rFonts w:ascii="Arial" w:hAnsi="Arial" w:cs="Arial"/>
                <w:sz w:val="16"/>
                <w:szCs w:val="16"/>
              </w:rPr>
              <w:t xml:space="preserve"> € </w:t>
            </w:r>
          </w:p>
        </w:tc>
        <w:tc>
          <w:tcPr>
            <w:tcW w:w="1296" w:type="dxa"/>
            <w:tcBorders>
              <w:top w:val="nil"/>
              <w:left w:val="nil"/>
              <w:bottom w:val="single" w:sz="4" w:space="0" w:color="auto"/>
              <w:right w:val="single" w:sz="4" w:space="0" w:color="auto"/>
            </w:tcBorders>
            <w:shd w:val="clear" w:color="000000" w:fill="D9D9D9"/>
            <w:vAlign w:val="center"/>
          </w:tcPr>
          <w:p w:rsidR="007D48BC" w:rsidRPr="00AC3878" w:rsidRDefault="007D48BC" w:rsidP="004861CD">
            <w:pPr>
              <w:jc w:val="right"/>
              <w:rPr>
                <w:rFonts w:ascii="Arial" w:hAnsi="Arial" w:cs="Arial"/>
                <w:sz w:val="16"/>
                <w:szCs w:val="16"/>
                <w:highlight w:val="yellow"/>
              </w:rPr>
            </w:pPr>
            <w:r>
              <w:rPr>
                <w:rFonts w:ascii="Arial" w:hAnsi="Arial" w:cs="Arial"/>
                <w:sz w:val="16"/>
                <w:szCs w:val="16"/>
              </w:rPr>
              <w:t>- 4</w:t>
            </w:r>
            <w:r w:rsidRPr="001F344E">
              <w:rPr>
                <w:rFonts w:ascii="Arial" w:hAnsi="Arial" w:cs="Arial"/>
                <w:sz w:val="16"/>
                <w:szCs w:val="16"/>
              </w:rPr>
              <w:t>.</w:t>
            </w:r>
            <w:r>
              <w:rPr>
                <w:rFonts w:ascii="Arial" w:hAnsi="Arial" w:cs="Arial"/>
                <w:sz w:val="16"/>
                <w:szCs w:val="16"/>
              </w:rPr>
              <w:t>820</w:t>
            </w:r>
            <w:r w:rsidRPr="001F344E">
              <w:rPr>
                <w:rFonts w:ascii="Arial" w:hAnsi="Arial" w:cs="Arial"/>
                <w:sz w:val="16"/>
                <w:szCs w:val="16"/>
              </w:rPr>
              <w:t>,</w:t>
            </w:r>
            <w:r>
              <w:rPr>
                <w:rFonts w:ascii="Arial" w:hAnsi="Arial" w:cs="Arial"/>
                <w:sz w:val="16"/>
                <w:szCs w:val="16"/>
              </w:rPr>
              <w:t>94</w:t>
            </w:r>
            <w:r w:rsidRPr="001F344E">
              <w:rPr>
                <w:rFonts w:ascii="Arial" w:hAnsi="Arial" w:cs="Arial"/>
                <w:sz w:val="16"/>
                <w:szCs w:val="16"/>
              </w:rPr>
              <w:t xml:space="preserve"> €</w:t>
            </w:r>
          </w:p>
        </w:tc>
      </w:tr>
      <w:tr w:rsidR="007D48BC" w:rsidRPr="004861CD">
        <w:trPr>
          <w:trHeight w:val="270"/>
          <w:jc w:val="center"/>
        </w:trPr>
        <w:tc>
          <w:tcPr>
            <w:tcW w:w="2122" w:type="dxa"/>
            <w:tcBorders>
              <w:top w:val="nil"/>
              <w:left w:val="single" w:sz="4" w:space="0" w:color="auto"/>
              <w:bottom w:val="nil"/>
              <w:right w:val="single" w:sz="8" w:space="0" w:color="auto"/>
            </w:tcBorders>
            <w:shd w:val="clear" w:color="000000" w:fill="D9D9D9"/>
            <w:vAlign w:val="center"/>
          </w:tcPr>
          <w:p w:rsidR="007D48BC" w:rsidRPr="001F344E" w:rsidRDefault="007D48BC" w:rsidP="00A56BE4">
            <w:pPr>
              <w:rPr>
                <w:rFonts w:ascii="Arial" w:hAnsi="Arial" w:cs="Arial"/>
                <w:color w:val="FF0000"/>
                <w:sz w:val="18"/>
                <w:szCs w:val="18"/>
              </w:rPr>
            </w:pPr>
            <w:r w:rsidRPr="001F344E">
              <w:rPr>
                <w:rFonts w:ascii="Arial" w:hAnsi="Arial" w:cs="Arial"/>
                <w:color w:val="FF0000"/>
                <w:sz w:val="18"/>
                <w:szCs w:val="18"/>
              </w:rPr>
              <w:t xml:space="preserve">TOTAL GLOBAL </w:t>
            </w:r>
          </w:p>
        </w:tc>
        <w:tc>
          <w:tcPr>
            <w:tcW w:w="2024" w:type="dxa"/>
            <w:gridSpan w:val="2"/>
            <w:tcBorders>
              <w:top w:val="single" w:sz="4" w:space="0" w:color="auto"/>
              <w:left w:val="nil"/>
              <w:bottom w:val="nil"/>
              <w:right w:val="single" w:sz="4" w:space="0" w:color="000000"/>
            </w:tcBorders>
            <w:shd w:val="clear" w:color="000000" w:fill="D9D9D9"/>
            <w:vAlign w:val="center"/>
          </w:tcPr>
          <w:p w:rsidR="007D48BC" w:rsidRPr="00EB302A" w:rsidRDefault="007D48BC" w:rsidP="00A56BE4">
            <w:pPr>
              <w:jc w:val="center"/>
              <w:rPr>
                <w:rFonts w:ascii="Arial" w:hAnsi="Arial" w:cs="Arial"/>
                <w:color w:val="FF0000"/>
                <w:sz w:val="18"/>
                <w:szCs w:val="18"/>
              </w:rPr>
            </w:pPr>
            <w:r w:rsidRPr="00EB302A">
              <w:rPr>
                <w:rFonts w:ascii="Arial" w:hAnsi="Arial" w:cs="Arial"/>
                <w:color w:val="FF0000"/>
                <w:sz w:val="18"/>
                <w:szCs w:val="18"/>
              </w:rPr>
              <w:t> </w:t>
            </w:r>
          </w:p>
        </w:tc>
        <w:tc>
          <w:tcPr>
            <w:tcW w:w="973" w:type="dxa"/>
            <w:tcBorders>
              <w:top w:val="nil"/>
              <w:left w:val="nil"/>
              <w:bottom w:val="nil"/>
              <w:right w:val="single" w:sz="4" w:space="0" w:color="auto"/>
            </w:tcBorders>
            <w:shd w:val="clear" w:color="000000" w:fill="D9D9D9"/>
            <w:vAlign w:val="center"/>
          </w:tcPr>
          <w:p w:rsidR="007D48BC" w:rsidRPr="00EB302A" w:rsidRDefault="007D48BC" w:rsidP="00A56BE4">
            <w:pPr>
              <w:rPr>
                <w:rFonts w:ascii="Arial" w:hAnsi="Arial" w:cs="Arial"/>
                <w:color w:val="FF0000"/>
                <w:sz w:val="18"/>
                <w:szCs w:val="18"/>
              </w:rPr>
            </w:pPr>
            <w:r w:rsidRPr="00EB302A">
              <w:rPr>
                <w:rFonts w:ascii="Arial" w:hAnsi="Arial" w:cs="Arial"/>
                <w:color w:val="FF0000"/>
                <w:sz w:val="18"/>
                <w:szCs w:val="18"/>
              </w:rPr>
              <w:t> </w:t>
            </w:r>
          </w:p>
        </w:tc>
        <w:tc>
          <w:tcPr>
            <w:tcW w:w="1297" w:type="dxa"/>
            <w:tcBorders>
              <w:top w:val="nil"/>
              <w:left w:val="nil"/>
              <w:bottom w:val="nil"/>
              <w:right w:val="single" w:sz="8" w:space="0" w:color="auto"/>
            </w:tcBorders>
            <w:shd w:val="clear" w:color="000000" w:fill="D9D9D9"/>
            <w:vAlign w:val="center"/>
          </w:tcPr>
          <w:p w:rsidR="007D48BC" w:rsidRPr="00EB302A" w:rsidRDefault="007D48BC" w:rsidP="00A56BE4">
            <w:pPr>
              <w:jc w:val="right"/>
              <w:rPr>
                <w:rFonts w:ascii="Arial" w:hAnsi="Arial" w:cs="Arial"/>
                <w:sz w:val="18"/>
                <w:szCs w:val="18"/>
              </w:rPr>
            </w:pPr>
            <w:r w:rsidRPr="00EB302A">
              <w:rPr>
                <w:rFonts w:ascii="Arial" w:hAnsi="Arial" w:cs="Arial"/>
                <w:sz w:val="18"/>
                <w:szCs w:val="18"/>
              </w:rPr>
              <w:t xml:space="preserve">439.874,51 € </w:t>
            </w:r>
          </w:p>
        </w:tc>
        <w:tc>
          <w:tcPr>
            <w:tcW w:w="1316" w:type="dxa"/>
            <w:gridSpan w:val="3"/>
            <w:tcBorders>
              <w:top w:val="nil"/>
              <w:left w:val="nil"/>
              <w:bottom w:val="nil"/>
              <w:right w:val="single" w:sz="4" w:space="0" w:color="auto"/>
            </w:tcBorders>
            <w:shd w:val="clear" w:color="000000" w:fill="D9D9D9"/>
            <w:vAlign w:val="center"/>
          </w:tcPr>
          <w:p w:rsidR="007D48BC" w:rsidRPr="00E2229E" w:rsidRDefault="007D48BC" w:rsidP="00A56BE4">
            <w:pPr>
              <w:rPr>
                <w:rFonts w:ascii="Arial" w:hAnsi="Arial" w:cs="Arial"/>
                <w:color w:val="FF0000"/>
                <w:sz w:val="18"/>
                <w:szCs w:val="18"/>
              </w:rPr>
            </w:pPr>
            <w:r w:rsidRPr="00E2229E">
              <w:rPr>
                <w:rFonts w:ascii="Arial" w:hAnsi="Arial" w:cs="Arial"/>
                <w:color w:val="FF0000"/>
                <w:sz w:val="18"/>
                <w:szCs w:val="18"/>
              </w:rPr>
              <w:t> </w:t>
            </w:r>
          </w:p>
        </w:tc>
        <w:tc>
          <w:tcPr>
            <w:tcW w:w="1012" w:type="dxa"/>
            <w:tcBorders>
              <w:top w:val="nil"/>
              <w:left w:val="nil"/>
              <w:bottom w:val="nil"/>
              <w:right w:val="single" w:sz="4" w:space="0" w:color="auto"/>
            </w:tcBorders>
            <w:shd w:val="clear" w:color="000000" w:fill="D9D9D9"/>
            <w:vAlign w:val="center"/>
          </w:tcPr>
          <w:p w:rsidR="007D48BC" w:rsidRPr="00E2229E" w:rsidRDefault="007D48BC" w:rsidP="00A56BE4">
            <w:pPr>
              <w:rPr>
                <w:rFonts w:ascii="Arial" w:hAnsi="Arial" w:cs="Arial"/>
                <w:color w:val="FF0000"/>
                <w:sz w:val="18"/>
                <w:szCs w:val="18"/>
              </w:rPr>
            </w:pPr>
            <w:r w:rsidRPr="00E2229E">
              <w:rPr>
                <w:rFonts w:ascii="Arial" w:hAnsi="Arial" w:cs="Arial"/>
                <w:color w:val="FF0000"/>
                <w:sz w:val="18"/>
                <w:szCs w:val="18"/>
              </w:rPr>
              <w:t> </w:t>
            </w:r>
          </w:p>
        </w:tc>
        <w:tc>
          <w:tcPr>
            <w:tcW w:w="1227" w:type="dxa"/>
            <w:tcBorders>
              <w:top w:val="nil"/>
              <w:left w:val="nil"/>
              <w:bottom w:val="nil"/>
              <w:right w:val="single" w:sz="4" w:space="0" w:color="auto"/>
            </w:tcBorders>
            <w:shd w:val="clear" w:color="000000" w:fill="D9D9D9"/>
            <w:vAlign w:val="center"/>
          </w:tcPr>
          <w:p w:rsidR="007D48BC" w:rsidRPr="00AC3878" w:rsidRDefault="007D48BC" w:rsidP="00A56BE4">
            <w:pPr>
              <w:jc w:val="right"/>
              <w:rPr>
                <w:rFonts w:ascii="Arial" w:hAnsi="Arial" w:cs="Arial"/>
                <w:sz w:val="18"/>
                <w:szCs w:val="18"/>
                <w:highlight w:val="yellow"/>
              </w:rPr>
            </w:pPr>
            <w:r w:rsidRPr="00E2229E">
              <w:rPr>
                <w:rFonts w:ascii="Arial" w:hAnsi="Arial" w:cs="Arial"/>
                <w:sz w:val="18"/>
                <w:szCs w:val="18"/>
              </w:rPr>
              <w:t xml:space="preserve">355.677,53 € </w:t>
            </w:r>
          </w:p>
        </w:tc>
        <w:tc>
          <w:tcPr>
            <w:tcW w:w="1397" w:type="dxa"/>
            <w:tcBorders>
              <w:top w:val="nil"/>
              <w:left w:val="nil"/>
              <w:bottom w:val="nil"/>
              <w:right w:val="single" w:sz="8" w:space="0" w:color="auto"/>
            </w:tcBorders>
            <w:shd w:val="clear" w:color="000000" w:fill="D9D9D9"/>
            <w:vAlign w:val="center"/>
          </w:tcPr>
          <w:p w:rsidR="007D48BC" w:rsidRPr="004861CD" w:rsidRDefault="007D48BC" w:rsidP="004861CD">
            <w:pPr>
              <w:jc w:val="right"/>
              <w:rPr>
                <w:rFonts w:ascii="Arial" w:hAnsi="Arial" w:cs="Arial"/>
                <w:color w:val="FF0000"/>
                <w:sz w:val="18"/>
                <w:szCs w:val="18"/>
              </w:rPr>
            </w:pPr>
            <w:r w:rsidRPr="004861CD">
              <w:rPr>
                <w:rFonts w:ascii="Arial" w:hAnsi="Arial" w:cs="Arial"/>
                <w:color w:val="FF0000"/>
                <w:sz w:val="18"/>
                <w:szCs w:val="18"/>
              </w:rPr>
              <w:t>84.196,98 €</w:t>
            </w:r>
          </w:p>
        </w:tc>
        <w:tc>
          <w:tcPr>
            <w:tcW w:w="1307" w:type="dxa"/>
            <w:gridSpan w:val="2"/>
            <w:tcBorders>
              <w:top w:val="single" w:sz="4" w:space="0" w:color="auto"/>
              <w:left w:val="nil"/>
              <w:bottom w:val="nil"/>
              <w:right w:val="single" w:sz="4" w:space="0" w:color="000000"/>
            </w:tcBorders>
            <w:shd w:val="clear" w:color="000000" w:fill="D9D9D9"/>
            <w:vAlign w:val="center"/>
          </w:tcPr>
          <w:p w:rsidR="007D48BC" w:rsidRPr="00E2229E" w:rsidRDefault="007D48BC" w:rsidP="00A56BE4">
            <w:pPr>
              <w:jc w:val="right"/>
              <w:rPr>
                <w:rFonts w:ascii="Arial" w:hAnsi="Arial" w:cs="Arial"/>
                <w:color w:val="FF0000"/>
                <w:sz w:val="18"/>
                <w:szCs w:val="18"/>
              </w:rPr>
            </w:pPr>
            <w:r w:rsidRPr="00E2229E">
              <w:rPr>
                <w:rFonts w:ascii="Arial" w:hAnsi="Arial" w:cs="Arial"/>
                <w:color w:val="FF0000"/>
                <w:sz w:val="18"/>
                <w:szCs w:val="18"/>
              </w:rPr>
              <w:t> </w:t>
            </w:r>
          </w:p>
        </w:tc>
        <w:tc>
          <w:tcPr>
            <w:tcW w:w="1033" w:type="dxa"/>
            <w:tcBorders>
              <w:top w:val="nil"/>
              <w:left w:val="nil"/>
              <w:bottom w:val="nil"/>
              <w:right w:val="single" w:sz="4" w:space="0" w:color="auto"/>
            </w:tcBorders>
            <w:shd w:val="clear" w:color="000000" w:fill="D9D9D9"/>
            <w:vAlign w:val="center"/>
          </w:tcPr>
          <w:p w:rsidR="007D48BC" w:rsidRPr="00E2229E" w:rsidRDefault="007D48BC" w:rsidP="00A56BE4">
            <w:pPr>
              <w:jc w:val="right"/>
              <w:rPr>
                <w:rFonts w:ascii="Arial" w:hAnsi="Arial" w:cs="Arial"/>
                <w:color w:val="FF0000"/>
                <w:sz w:val="18"/>
                <w:szCs w:val="18"/>
              </w:rPr>
            </w:pPr>
            <w:r w:rsidRPr="00E2229E">
              <w:rPr>
                <w:rFonts w:ascii="Arial" w:hAnsi="Arial" w:cs="Arial"/>
                <w:color w:val="FF0000"/>
                <w:sz w:val="18"/>
                <w:szCs w:val="18"/>
              </w:rPr>
              <w:t> </w:t>
            </w:r>
          </w:p>
        </w:tc>
        <w:tc>
          <w:tcPr>
            <w:tcW w:w="951" w:type="dxa"/>
            <w:tcBorders>
              <w:top w:val="nil"/>
              <w:left w:val="nil"/>
              <w:bottom w:val="nil"/>
              <w:right w:val="single" w:sz="4" w:space="0" w:color="auto"/>
            </w:tcBorders>
            <w:shd w:val="clear" w:color="000000" w:fill="D9D9D9"/>
            <w:vAlign w:val="center"/>
          </w:tcPr>
          <w:p w:rsidR="007D48BC" w:rsidRPr="00AC3878" w:rsidRDefault="007D48BC" w:rsidP="00A56BE4">
            <w:pPr>
              <w:jc w:val="right"/>
              <w:rPr>
                <w:rFonts w:ascii="Arial" w:hAnsi="Arial" w:cs="Arial"/>
                <w:sz w:val="18"/>
                <w:szCs w:val="18"/>
                <w:highlight w:val="yellow"/>
              </w:rPr>
            </w:pPr>
            <w:r>
              <w:rPr>
                <w:rFonts w:ascii="Arial" w:hAnsi="Arial" w:cs="Arial"/>
                <w:sz w:val="18"/>
                <w:szCs w:val="18"/>
              </w:rPr>
              <w:t>46</w:t>
            </w:r>
            <w:r w:rsidRPr="00E2229E">
              <w:rPr>
                <w:rFonts w:ascii="Arial" w:hAnsi="Arial" w:cs="Arial"/>
                <w:sz w:val="18"/>
                <w:szCs w:val="18"/>
              </w:rPr>
              <w:t>.</w:t>
            </w:r>
            <w:r>
              <w:rPr>
                <w:rFonts w:ascii="Arial" w:hAnsi="Arial" w:cs="Arial"/>
                <w:sz w:val="18"/>
                <w:szCs w:val="18"/>
              </w:rPr>
              <w:t>105</w:t>
            </w:r>
            <w:r w:rsidRPr="00E2229E">
              <w:rPr>
                <w:rFonts w:ascii="Arial" w:hAnsi="Arial" w:cs="Arial"/>
                <w:sz w:val="18"/>
                <w:szCs w:val="18"/>
              </w:rPr>
              <w:t>,9</w:t>
            </w:r>
            <w:r>
              <w:rPr>
                <w:rFonts w:ascii="Arial" w:hAnsi="Arial" w:cs="Arial"/>
                <w:sz w:val="18"/>
                <w:szCs w:val="18"/>
              </w:rPr>
              <w:t>4</w:t>
            </w:r>
            <w:r w:rsidRPr="00E2229E">
              <w:rPr>
                <w:rFonts w:ascii="Arial" w:hAnsi="Arial" w:cs="Arial"/>
                <w:sz w:val="18"/>
                <w:szCs w:val="18"/>
              </w:rPr>
              <w:t xml:space="preserve"> €</w:t>
            </w:r>
          </w:p>
        </w:tc>
        <w:tc>
          <w:tcPr>
            <w:tcW w:w="1296" w:type="dxa"/>
            <w:tcBorders>
              <w:top w:val="nil"/>
              <w:left w:val="nil"/>
              <w:bottom w:val="nil"/>
              <w:right w:val="single" w:sz="4" w:space="0" w:color="auto"/>
            </w:tcBorders>
            <w:shd w:val="clear" w:color="000000" w:fill="D9D9D9"/>
            <w:vAlign w:val="center"/>
          </w:tcPr>
          <w:p w:rsidR="007D48BC" w:rsidRPr="004861CD" w:rsidRDefault="007D48BC" w:rsidP="004861CD">
            <w:pPr>
              <w:jc w:val="right"/>
              <w:rPr>
                <w:rFonts w:ascii="Arial" w:hAnsi="Arial" w:cs="Arial"/>
                <w:color w:val="FF0000"/>
                <w:sz w:val="18"/>
                <w:szCs w:val="18"/>
              </w:rPr>
            </w:pPr>
            <w:r w:rsidRPr="004861CD">
              <w:rPr>
                <w:rFonts w:ascii="Arial" w:hAnsi="Arial" w:cs="Arial"/>
                <w:color w:val="FF0000"/>
                <w:sz w:val="18"/>
                <w:szCs w:val="18"/>
              </w:rPr>
              <w:t xml:space="preserve"> </w:t>
            </w:r>
            <w:r>
              <w:rPr>
                <w:rFonts w:ascii="Arial" w:hAnsi="Arial" w:cs="Arial"/>
                <w:color w:val="FF0000"/>
                <w:sz w:val="18"/>
                <w:szCs w:val="18"/>
              </w:rPr>
              <w:t>393</w:t>
            </w:r>
            <w:r w:rsidRPr="004861CD">
              <w:rPr>
                <w:rFonts w:ascii="Arial" w:hAnsi="Arial" w:cs="Arial"/>
                <w:color w:val="FF0000"/>
                <w:sz w:val="18"/>
                <w:szCs w:val="18"/>
              </w:rPr>
              <w:t>.76</w:t>
            </w:r>
            <w:r>
              <w:rPr>
                <w:rFonts w:ascii="Arial" w:hAnsi="Arial" w:cs="Arial"/>
                <w:color w:val="FF0000"/>
                <w:sz w:val="18"/>
                <w:szCs w:val="18"/>
              </w:rPr>
              <w:t>8</w:t>
            </w:r>
            <w:r w:rsidRPr="004861CD">
              <w:rPr>
                <w:rFonts w:ascii="Arial" w:hAnsi="Arial" w:cs="Arial"/>
                <w:color w:val="FF0000"/>
                <w:sz w:val="18"/>
                <w:szCs w:val="18"/>
              </w:rPr>
              <w:t>,</w:t>
            </w:r>
            <w:r>
              <w:rPr>
                <w:rFonts w:ascii="Arial" w:hAnsi="Arial" w:cs="Arial"/>
                <w:color w:val="FF0000"/>
                <w:sz w:val="18"/>
                <w:szCs w:val="18"/>
              </w:rPr>
              <w:t>57</w:t>
            </w:r>
            <w:r w:rsidRPr="004861CD">
              <w:rPr>
                <w:rFonts w:ascii="Arial" w:hAnsi="Arial" w:cs="Arial"/>
                <w:color w:val="FF0000"/>
                <w:sz w:val="18"/>
                <w:szCs w:val="18"/>
              </w:rPr>
              <w:t xml:space="preserve"> €</w:t>
            </w:r>
          </w:p>
        </w:tc>
      </w:tr>
      <w:tr w:rsidR="007D48BC" w:rsidRPr="001F344E">
        <w:trPr>
          <w:trHeight w:val="555"/>
          <w:jc w:val="center"/>
        </w:trPr>
        <w:tc>
          <w:tcPr>
            <w:tcW w:w="15955" w:type="dxa"/>
            <w:gridSpan w:val="16"/>
            <w:tcBorders>
              <w:top w:val="single" w:sz="8" w:space="0" w:color="auto"/>
              <w:left w:val="single" w:sz="8" w:space="0" w:color="auto"/>
              <w:bottom w:val="single" w:sz="8" w:space="0" w:color="auto"/>
              <w:right w:val="single" w:sz="8" w:space="0" w:color="000000"/>
            </w:tcBorders>
            <w:shd w:val="clear" w:color="000000" w:fill="D9D9D9"/>
            <w:vAlign w:val="center"/>
          </w:tcPr>
          <w:p w:rsidR="007D48BC" w:rsidRPr="001F344E" w:rsidRDefault="007D48BC" w:rsidP="00A56BE4">
            <w:pPr>
              <w:rPr>
                <w:rFonts w:ascii="Arial" w:hAnsi="Arial" w:cs="Arial"/>
              </w:rPr>
            </w:pPr>
            <w:r w:rsidRPr="001F344E">
              <w:rPr>
                <w:rFonts w:ascii="Arial" w:hAnsi="Arial" w:cs="Arial"/>
              </w:rPr>
              <w:t xml:space="preserve">*SC calculada a través de la media de peso de los pacientes incluidos en </w:t>
            </w:r>
            <w:r w:rsidRPr="001F344E">
              <w:rPr>
                <w:rFonts w:ascii="Arial" w:hAnsi="Arial" w:cs="Arial"/>
                <w:i/>
                <w:iCs/>
              </w:rPr>
              <w:t>Maude et al.2018</w:t>
            </w:r>
            <w:r w:rsidRPr="001F344E">
              <w:rPr>
                <w:rFonts w:ascii="Arial" w:hAnsi="Arial" w:cs="Arial"/>
              </w:rPr>
              <w:t xml:space="preserve">. **Calculado a partir de los datos de administración de tocilizumab publicado en </w:t>
            </w:r>
            <w:r w:rsidRPr="001F344E">
              <w:rPr>
                <w:rFonts w:ascii="Arial" w:hAnsi="Arial" w:cs="Arial"/>
                <w:i/>
                <w:iCs/>
              </w:rPr>
              <w:t xml:space="preserve">Maude et al. 2014. </w:t>
            </w:r>
            <w:r w:rsidRPr="001F344E">
              <w:rPr>
                <w:rFonts w:ascii="Arial" w:hAnsi="Arial" w:cs="Arial"/>
              </w:rPr>
              <w:t>***Mediana de la estancia en UCI: 7 días (</w:t>
            </w:r>
            <w:r w:rsidRPr="001F344E">
              <w:rPr>
                <w:rFonts w:ascii="Arial" w:hAnsi="Arial" w:cs="Arial"/>
                <w:i/>
                <w:iCs/>
              </w:rPr>
              <w:t>Maude et al. 2018</w:t>
            </w:r>
            <w:r w:rsidRPr="001F344E">
              <w:rPr>
                <w:rFonts w:ascii="Arial" w:hAnsi="Arial" w:cs="Arial"/>
              </w:rPr>
              <w:t>). **** Total según EPAR: mínimo 14 días para QT linfoablativa + 10 días de observación tras infusión</w:t>
            </w:r>
          </w:p>
        </w:tc>
      </w:tr>
    </w:tbl>
    <w:p w:rsidR="007D48BC" w:rsidRDefault="007D48BC" w:rsidP="00A56BE4">
      <w:pPr>
        <w:snapToGrid w:val="0"/>
        <w:rPr>
          <w:rFonts w:ascii="Arial" w:hAnsi="Arial" w:cs="Arial"/>
          <w:color w:val="000080"/>
          <w:lang w:eastAsia="en-US"/>
        </w:rPr>
        <w:sectPr w:rsidR="007D48BC" w:rsidSect="006A074E">
          <w:pgSz w:w="16838" w:h="11906" w:orient="landscape"/>
          <w:pgMar w:top="1134" w:right="1134" w:bottom="1134" w:left="1134" w:header="709" w:footer="709" w:gutter="0"/>
          <w:cols w:space="708"/>
          <w:docGrid w:linePitch="360"/>
        </w:sectPr>
      </w:pPr>
    </w:p>
    <w:tbl>
      <w:tblPr>
        <w:tblW w:w="10732" w:type="dxa"/>
        <w:jc w:val="center"/>
        <w:tblLayout w:type="fixed"/>
        <w:tblCellMar>
          <w:left w:w="70" w:type="dxa"/>
          <w:right w:w="70" w:type="dxa"/>
        </w:tblCellMar>
        <w:tblLook w:val="00A0"/>
      </w:tblPr>
      <w:tblGrid>
        <w:gridCol w:w="1922"/>
        <w:gridCol w:w="1187"/>
        <w:gridCol w:w="748"/>
        <w:gridCol w:w="973"/>
        <w:gridCol w:w="1297"/>
        <w:gridCol w:w="768"/>
        <w:gridCol w:w="539"/>
        <w:gridCol w:w="1033"/>
        <w:gridCol w:w="951"/>
        <w:gridCol w:w="1296"/>
        <w:gridCol w:w="18"/>
      </w:tblGrid>
      <w:tr w:rsidR="007D48BC" w:rsidRPr="001F344E">
        <w:trPr>
          <w:trHeight w:val="261"/>
          <w:jc w:val="center"/>
        </w:trPr>
        <w:tc>
          <w:tcPr>
            <w:tcW w:w="10732" w:type="dxa"/>
            <w:gridSpan w:val="11"/>
            <w:tcBorders>
              <w:top w:val="single" w:sz="4" w:space="0" w:color="auto"/>
              <w:left w:val="single" w:sz="4" w:space="0" w:color="auto"/>
              <w:bottom w:val="single" w:sz="4" w:space="0" w:color="auto"/>
              <w:right w:val="single" w:sz="4" w:space="0" w:color="auto"/>
            </w:tcBorders>
            <w:shd w:val="clear" w:color="000000" w:fill="B6DDE8"/>
            <w:vAlign w:val="center"/>
          </w:tcPr>
          <w:p w:rsidR="007D48BC" w:rsidRPr="001F344E" w:rsidRDefault="007D48BC" w:rsidP="00A56BE4">
            <w:pPr>
              <w:jc w:val="center"/>
              <w:rPr>
                <w:rFonts w:ascii="Arial" w:hAnsi="Arial" w:cs="Arial"/>
              </w:rPr>
            </w:pPr>
            <w:r w:rsidRPr="001F344E">
              <w:rPr>
                <w:rFonts w:ascii="Arial" w:hAnsi="Arial" w:cs="Arial"/>
                <w:sz w:val="18"/>
                <w:szCs w:val="18"/>
              </w:rPr>
              <w:t xml:space="preserve">ANEXO </w:t>
            </w:r>
            <w:r>
              <w:rPr>
                <w:rFonts w:ascii="Arial" w:hAnsi="Arial" w:cs="Arial"/>
                <w:sz w:val="18"/>
                <w:szCs w:val="18"/>
              </w:rPr>
              <w:t>VI</w:t>
            </w:r>
            <w:r w:rsidRPr="001F344E">
              <w:rPr>
                <w:rFonts w:ascii="Arial" w:hAnsi="Arial" w:cs="Arial"/>
                <w:sz w:val="18"/>
                <w:szCs w:val="18"/>
              </w:rPr>
              <w:t xml:space="preserve">: Tabla de costes directos sanitarios     </w:t>
            </w:r>
          </w:p>
        </w:tc>
      </w:tr>
      <w:tr w:rsidR="007D48BC" w:rsidRPr="001F344E">
        <w:trPr>
          <w:gridAfter w:val="1"/>
          <w:wAfter w:w="18" w:type="dxa"/>
          <w:trHeight w:val="359"/>
          <w:jc w:val="center"/>
        </w:trPr>
        <w:tc>
          <w:tcPr>
            <w:tcW w:w="1922" w:type="dxa"/>
            <w:vMerge w:val="restart"/>
            <w:tcBorders>
              <w:top w:val="single" w:sz="4" w:space="0" w:color="auto"/>
              <w:left w:val="single" w:sz="4" w:space="0" w:color="auto"/>
              <w:bottom w:val="single" w:sz="4" w:space="0" w:color="auto"/>
              <w:right w:val="single" w:sz="4" w:space="0" w:color="auto"/>
            </w:tcBorders>
            <w:shd w:val="clear" w:color="000000" w:fill="4F81BD"/>
            <w:vAlign w:val="center"/>
          </w:tcPr>
          <w:p w:rsidR="007D48BC" w:rsidRPr="001F344E" w:rsidRDefault="007D48BC" w:rsidP="00A56BE4">
            <w:pPr>
              <w:jc w:val="center"/>
              <w:rPr>
                <w:rFonts w:ascii="Arial" w:hAnsi="Arial" w:cs="Arial"/>
                <w:color w:val="FFFFFF"/>
                <w:sz w:val="16"/>
                <w:szCs w:val="16"/>
              </w:rPr>
            </w:pPr>
            <w:r w:rsidRPr="001F344E">
              <w:rPr>
                <w:rFonts w:ascii="Arial" w:hAnsi="Arial" w:cs="Arial"/>
                <w:color w:val="FFFFFF"/>
                <w:sz w:val="16"/>
                <w:szCs w:val="16"/>
              </w:rPr>
              <w:t> </w:t>
            </w:r>
          </w:p>
        </w:tc>
        <w:tc>
          <w:tcPr>
            <w:tcW w:w="4205" w:type="dxa"/>
            <w:gridSpan w:val="4"/>
            <w:tcBorders>
              <w:top w:val="single" w:sz="8" w:space="0" w:color="auto"/>
              <w:left w:val="single" w:sz="4" w:space="0" w:color="auto"/>
              <w:bottom w:val="single" w:sz="4" w:space="0" w:color="000000"/>
              <w:right w:val="single" w:sz="8" w:space="0" w:color="000000"/>
            </w:tcBorders>
            <w:shd w:val="clear" w:color="000000" w:fill="4F81BD"/>
            <w:vAlign w:val="center"/>
          </w:tcPr>
          <w:p w:rsidR="007D48BC" w:rsidRPr="001F344E" w:rsidRDefault="007D48BC" w:rsidP="00A56BE4">
            <w:pPr>
              <w:jc w:val="center"/>
              <w:rPr>
                <w:rFonts w:ascii="Arial" w:hAnsi="Arial" w:cs="Arial"/>
                <w:color w:val="FFFFFF"/>
                <w:sz w:val="16"/>
                <w:szCs w:val="16"/>
              </w:rPr>
            </w:pPr>
            <w:r>
              <w:rPr>
                <w:rFonts w:ascii="Arial" w:hAnsi="Arial" w:cs="Arial"/>
                <w:color w:val="FFFFFF"/>
                <w:sz w:val="16"/>
                <w:szCs w:val="16"/>
              </w:rPr>
              <w:t>Yescarta</w:t>
            </w:r>
          </w:p>
        </w:tc>
        <w:tc>
          <w:tcPr>
            <w:tcW w:w="3291" w:type="dxa"/>
            <w:gridSpan w:val="4"/>
            <w:tcBorders>
              <w:top w:val="single" w:sz="8" w:space="0" w:color="auto"/>
              <w:left w:val="nil"/>
              <w:bottom w:val="single" w:sz="4" w:space="0" w:color="000000"/>
              <w:right w:val="single" w:sz="4" w:space="0" w:color="000000"/>
            </w:tcBorders>
            <w:shd w:val="clear" w:color="000000" w:fill="4F81BD"/>
            <w:vAlign w:val="center"/>
          </w:tcPr>
          <w:p w:rsidR="007D48BC" w:rsidRPr="001F344E" w:rsidRDefault="007D48BC" w:rsidP="00A56BE4">
            <w:pPr>
              <w:jc w:val="center"/>
              <w:rPr>
                <w:rFonts w:ascii="Arial" w:hAnsi="Arial" w:cs="Arial"/>
                <w:color w:val="FFFFFF"/>
                <w:sz w:val="16"/>
                <w:szCs w:val="16"/>
              </w:rPr>
            </w:pPr>
            <w:r>
              <w:rPr>
                <w:rFonts w:ascii="Arial" w:hAnsi="Arial" w:cs="Arial"/>
                <w:color w:val="FFFFFF"/>
                <w:sz w:val="16"/>
                <w:szCs w:val="16"/>
              </w:rPr>
              <w:t>R-GEMOX</w:t>
            </w:r>
          </w:p>
        </w:tc>
        <w:tc>
          <w:tcPr>
            <w:tcW w:w="1296" w:type="dxa"/>
            <w:tcBorders>
              <w:top w:val="nil"/>
              <w:left w:val="nil"/>
              <w:bottom w:val="nil"/>
              <w:right w:val="single" w:sz="8" w:space="0" w:color="auto"/>
            </w:tcBorders>
            <w:shd w:val="clear" w:color="000000" w:fill="4F81BD"/>
            <w:vAlign w:val="center"/>
          </w:tcPr>
          <w:p w:rsidR="007D48BC" w:rsidRPr="001F344E" w:rsidRDefault="007D48BC" w:rsidP="00A56BE4">
            <w:pPr>
              <w:jc w:val="center"/>
              <w:rPr>
                <w:rFonts w:ascii="Arial" w:hAnsi="Arial" w:cs="Arial"/>
                <w:color w:val="FFFFFF"/>
                <w:sz w:val="16"/>
                <w:szCs w:val="16"/>
              </w:rPr>
            </w:pPr>
            <w:r w:rsidRPr="001F344E">
              <w:rPr>
                <w:rFonts w:ascii="Arial" w:hAnsi="Arial" w:cs="Arial"/>
                <w:color w:val="FFFFFF"/>
                <w:sz w:val="16"/>
                <w:szCs w:val="16"/>
              </w:rPr>
              <w:t>Diferencia de costes</w:t>
            </w:r>
          </w:p>
        </w:tc>
      </w:tr>
      <w:tr w:rsidR="007D48BC" w:rsidRPr="001F344E">
        <w:trPr>
          <w:gridAfter w:val="1"/>
          <w:wAfter w:w="18" w:type="dxa"/>
          <w:trHeight w:val="381"/>
          <w:jc w:val="center"/>
        </w:trPr>
        <w:tc>
          <w:tcPr>
            <w:tcW w:w="1922" w:type="dxa"/>
            <w:vMerge/>
            <w:tcBorders>
              <w:top w:val="single" w:sz="4" w:space="0" w:color="auto"/>
              <w:left w:val="single" w:sz="4" w:space="0" w:color="auto"/>
              <w:bottom w:val="single" w:sz="4" w:space="0" w:color="auto"/>
              <w:right w:val="single" w:sz="4" w:space="0" w:color="auto"/>
            </w:tcBorders>
            <w:vAlign w:val="center"/>
          </w:tcPr>
          <w:p w:rsidR="007D48BC" w:rsidRPr="001F344E" w:rsidRDefault="007D48BC" w:rsidP="00A56BE4">
            <w:pPr>
              <w:rPr>
                <w:rFonts w:ascii="Arial" w:hAnsi="Arial" w:cs="Arial"/>
                <w:color w:val="FFFFFF"/>
                <w:sz w:val="16"/>
                <w:szCs w:val="16"/>
              </w:rPr>
            </w:pPr>
          </w:p>
        </w:tc>
        <w:tc>
          <w:tcPr>
            <w:tcW w:w="1935" w:type="dxa"/>
            <w:gridSpan w:val="2"/>
            <w:tcBorders>
              <w:top w:val="single" w:sz="4" w:space="0" w:color="auto"/>
              <w:left w:val="single" w:sz="4" w:space="0" w:color="auto"/>
              <w:bottom w:val="single" w:sz="4" w:space="0" w:color="auto"/>
              <w:right w:val="single" w:sz="4" w:space="0" w:color="000000"/>
            </w:tcBorders>
            <w:shd w:val="clear" w:color="000000" w:fill="4F81BD"/>
            <w:vAlign w:val="center"/>
          </w:tcPr>
          <w:p w:rsidR="007D48BC" w:rsidRPr="001F344E" w:rsidRDefault="007D48BC" w:rsidP="00A56BE4">
            <w:pPr>
              <w:jc w:val="center"/>
              <w:rPr>
                <w:rFonts w:ascii="Arial" w:hAnsi="Arial" w:cs="Arial"/>
                <w:color w:val="FFFFFF"/>
                <w:sz w:val="16"/>
                <w:szCs w:val="16"/>
              </w:rPr>
            </w:pPr>
            <w:r w:rsidRPr="001F344E">
              <w:rPr>
                <w:rFonts w:ascii="Arial" w:hAnsi="Arial" w:cs="Arial"/>
                <w:color w:val="FFFFFF"/>
                <w:sz w:val="16"/>
                <w:szCs w:val="16"/>
              </w:rPr>
              <w:t>Coste unitario</w:t>
            </w:r>
          </w:p>
        </w:tc>
        <w:tc>
          <w:tcPr>
            <w:tcW w:w="973" w:type="dxa"/>
            <w:tcBorders>
              <w:top w:val="nil"/>
              <w:left w:val="nil"/>
              <w:bottom w:val="single" w:sz="4" w:space="0" w:color="auto"/>
              <w:right w:val="single" w:sz="4" w:space="0" w:color="auto"/>
            </w:tcBorders>
            <w:shd w:val="clear" w:color="000000" w:fill="4F81BD"/>
            <w:vAlign w:val="center"/>
          </w:tcPr>
          <w:p w:rsidR="007D48BC" w:rsidRPr="001F344E" w:rsidRDefault="007D48BC" w:rsidP="00A56BE4">
            <w:pPr>
              <w:jc w:val="center"/>
              <w:rPr>
                <w:rFonts w:ascii="Arial" w:hAnsi="Arial" w:cs="Arial"/>
                <w:color w:val="FFFFFF"/>
                <w:sz w:val="16"/>
                <w:szCs w:val="16"/>
              </w:rPr>
            </w:pPr>
            <w:r w:rsidRPr="001F344E">
              <w:rPr>
                <w:rFonts w:ascii="Arial" w:hAnsi="Arial" w:cs="Arial"/>
                <w:color w:val="FFFFFF"/>
                <w:sz w:val="16"/>
                <w:szCs w:val="16"/>
              </w:rPr>
              <w:t>Cantidad</w:t>
            </w:r>
          </w:p>
        </w:tc>
        <w:tc>
          <w:tcPr>
            <w:tcW w:w="1297" w:type="dxa"/>
            <w:tcBorders>
              <w:top w:val="nil"/>
              <w:left w:val="nil"/>
              <w:bottom w:val="single" w:sz="4" w:space="0" w:color="auto"/>
              <w:right w:val="single" w:sz="8" w:space="0" w:color="auto"/>
            </w:tcBorders>
            <w:shd w:val="clear" w:color="000000" w:fill="4F81BD"/>
            <w:vAlign w:val="center"/>
          </w:tcPr>
          <w:p w:rsidR="007D48BC" w:rsidRPr="001F344E" w:rsidRDefault="007D48BC" w:rsidP="00A56BE4">
            <w:pPr>
              <w:jc w:val="center"/>
              <w:rPr>
                <w:rFonts w:ascii="Arial" w:hAnsi="Arial" w:cs="Arial"/>
                <w:color w:val="FFFFFF"/>
                <w:sz w:val="16"/>
                <w:szCs w:val="16"/>
              </w:rPr>
            </w:pPr>
            <w:r w:rsidRPr="001F344E">
              <w:rPr>
                <w:rFonts w:ascii="Arial" w:hAnsi="Arial" w:cs="Arial"/>
                <w:color w:val="FFFFFF"/>
                <w:sz w:val="16"/>
                <w:szCs w:val="16"/>
              </w:rPr>
              <w:t>Coste * (€)</w:t>
            </w:r>
          </w:p>
        </w:tc>
        <w:tc>
          <w:tcPr>
            <w:tcW w:w="1307" w:type="dxa"/>
            <w:gridSpan w:val="2"/>
            <w:tcBorders>
              <w:top w:val="single" w:sz="4" w:space="0" w:color="auto"/>
              <w:left w:val="nil"/>
              <w:bottom w:val="single" w:sz="4" w:space="0" w:color="auto"/>
              <w:right w:val="single" w:sz="4" w:space="0" w:color="000000"/>
            </w:tcBorders>
            <w:shd w:val="clear" w:color="000000" w:fill="4F81BD"/>
            <w:vAlign w:val="center"/>
          </w:tcPr>
          <w:p w:rsidR="007D48BC" w:rsidRPr="001F344E" w:rsidRDefault="007D48BC" w:rsidP="00A56BE4">
            <w:pPr>
              <w:jc w:val="center"/>
              <w:rPr>
                <w:rFonts w:ascii="Arial" w:hAnsi="Arial" w:cs="Arial"/>
                <w:color w:val="FFFFFF"/>
                <w:sz w:val="16"/>
                <w:szCs w:val="16"/>
              </w:rPr>
            </w:pPr>
            <w:r w:rsidRPr="001F344E">
              <w:rPr>
                <w:rFonts w:ascii="Arial" w:hAnsi="Arial" w:cs="Arial"/>
                <w:color w:val="FFFFFF"/>
                <w:sz w:val="16"/>
                <w:szCs w:val="16"/>
              </w:rPr>
              <w:t>Coste unitario</w:t>
            </w:r>
          </w:p>
        </w:tc>
        <w:tc>
          <w:tcPr>
            <w:tcW w:w="1033" w:type="dxa"/>
            <w:tcBorders>
              <w:top w:val="nil"/>
              <w:left w:val="nil"/>
              <w:bottom w:val="single" w:sz="4" w:space="0" w:color="auto"/>
              <w:right w:val="single" w:sz="4" w:space="0" w:color="auto"/>
            </w:tcBorders>
            <w:shd w:val="clear" w:color="000000" w:fill="4F81BD"/>
            <w:vAlign w:val="center"/>
          </w:tcPr>
          <w:p w:rsidR="007D48BC" w:rsidRPr="001F344E" w:rsidRDefault="007D48BC" w:rsidP="00A56BE4">
            <w:pPr>
              <w:jc w:val="center"/>
              <w:rPr>
                <w:rFonts w:ascii="Arial" w:hAnsi="Arial" w:cs="Arial"/>
                <w:color w:val="FFFFFF"/>
                <w:sz w:val="16"/>
                <w:szCs w:val="16"/>
              </w:rPr>
            </w:pPr>
            <w:r w:rsidRPr="001F344E">
              <w:rPr>
                <w:rFonts w:ascii="Arial" w:hAnsi="Arial" w:cs="Arial"/>
                <w:color w:val="FFFFFF"/>
                <w:sz w:val="16"/>
                <w:szCs w:val="16"/>
              </w:rPr>
              <w:t>Cantidad</w:t>
            </w:r>
          </w:p>
        </w:tc>
        <w:tc>
          <w:tcPr>
            <w:tcW w:w="951" w:type="dxa"/>
            <w:tcBorders>
              <w:top w:val="nil"/>
              <w:left w:val="nil"/>
              <w:bottom w:val="single" w:sz="4" w:space="0" w:color="auto"/>
              <w:right w:val="single" w:sz="4" w:space="0" w:color="auto"/>
            </w:tcBorders>
            <w:shd w:val="clear" w:color="000000" w:fill="4F81BD"/>
            <w:vAlign w:val="center"/>
          </w:tcPr>
          <w:p w:rsidR="007D48BC" w:rsidRPr="001F344E" w:rsidRDefault="007D48BC" w:rsidP="00A56BE4">
            <w:pPr>
              <w:jc w:val="center"/>
              <w:rPr>
                <w:rFonts w:ascii="Arial" w:hAnsi="Arial" w:cs="Arial"/>
                <w:color w:val="FFFFFF"/>
                <w:sz w:val="16"/>
                <w:szCs w:val="16"/>
              </w:rPr>
            </w:pPr>
            <w:r w:rsidRPr="001F344E">
              <w:rPr>
                <w:rFonts w:ascii="Arial" w:hAnsi="Arial" w:cs="Arial"/>
                <w:color w:val="FFFFFF"/>
                <w:sz w:val="16"/>
                <w:szCs w:val="16"/>
              </w:rPr>
              <w:t>Coste * (€)</w:t>
            </w:r>
          </w:p>
        </w:tc>
        <w:tc>
          <w:tcPr>
            <w:tcW w:w="1296" w:type="dxa"/>
            <w:tcBorders>
              <w:top w:val="single" w:sz="4" w:space="0" w:color="auto"/>
              <w:left w:val="nil"/>
              <w:bottom w:val="single" w:sz="4" w:space="0" w:color="auto"/>
              <w:right w:val="single" w:sz="4" w:space="0" w:color="auto"/>
            </w:tcBorders>
            <w:shd w:val="clear" w:color="000000" w:fill="4F81BD"/>
            <w:vAlign w:val="center"/>
          </w:tcPr>
          <w:p w:rsidR="007D48BC" w:rsidRPr="001F344E" w:rsidRDefault="007D48BC" w:rsidP="00A56BE4">
            <w:pPr>
              <w:jc w:val="center"/>
              <w:rPr>
                <w:rFonts w:ascii="Arial" w:hAnsi="Arial" w:cs="Arial"/>
                <w:color w:val="FFFFFF"/>
                <w:sz w:val="16"/>
                <w:szCs w:val="16"/>
              </w:rPr>
            </w:pPr>
            <w:r w:rsidRPr="001F344E">
              <w:rPr>
                <w:rFonts w:ascii="Arial" w:hAnsi="Arial" w:cs="Arial"/>
                <w:color w:val="FFFFFF"/>
                <w:sz w:val="16"/>
                <w:szCs w:val="16"/>
              </w:rPr>
              <w:t> </w:t>
            </w:r>
          </w:p>
        </w:tc>
      </w:tr>
      <w:tr w:rsidR="007D48BC" w:rsidRPr="001F344E">
        <w:trPr>
          <w:gridAfter w:val="1"/>
          <w:wAfter w:w="18" w:type="dxa"/>
          <w:trHeight w:val="255"/>
          <w:jc w:val="center"/>
        </w:trPr>
        <w:tc>
          <w:tcPr>
            <w:tcW w:w="1922" w:type="dxa"/>
            <w:tcBorders>
              <w:top w:val="single" w:sz="4" w:space="0" w:color="auto"/>
              <w:left w:val="single" w:sz="4" w:space="0" w:color="auto"/>
              <w:bottom w:val="single" w:sz="4" w:space="0" w:color="auto"/>
              <w:right w:val="single" w:sz="8" w:space="0" w:color="auto"/>
            </w:tcBorders>
            <w:shd w:val="clear" w:color="000000" w:fill="D9D9D9"/>
            <w:vAlign w:val="center"/>
          </w:tcPr>
          <w:p w:rsidR="007D48BC" w:rsidRPr="001F344E" w:rsidRDefault="007D48BC" w:rsidP="00A56BE4">
            <w:pPr>
              <w:rPr>
                <w:rFonts w:ascii="Arial" w:hAnsi="Arial" w:cs="Arial"/>
                <w:sz w:val="16"/>
                <w:szCs w:val="16"/>
              </w:rPr>
            </w:pPr>
            <w:r w:rsidRPr="001F344E">
              <w:rPr>
                <w:rFonts w:ascii="Arial" w:hAnsi="Arial" w:cs="Arial"/>
                <w:sz w:val="16"/>
                <w:szCs w:val="16"/>
              </w:rPr>
              <w:t>Costes del medicamento</w:t>
            </w:r>
          </w:p>
        </w:tc>
        <w:tc>
          <w:tcPr>
            <w:tcW w:w="1935" w:type="dxa"/>
            <w:gridSpan w:val="2"/>
            <w:tcBorders>
              <w:top w:val="single" w:sz="4" w:space="0" w:color="auto"/>
              <w:left w:val="nil"/>
              <w:bottom w:val="single" w:sz="4" w:space="0" w:color="auto"/>
              <w:right w:val="single" w:sz="4" w:space="0" w:color="000000"/>
            </w:tcBorders>
            <w:shd w:val="clear" w:color="000000" w:fill="D9D9D9"/>
            <w:vAlign w:val="center"/>
          </w:tcPr>
          <w:p w:rsidR="007D48BC" w:rsidRPr="001F344E" w:rsidRDefault="007D48BC" w:rsidP="00A56BE4">
            <w:pPr>
              <w:jc w:val="center"/>
              <w:rPr>
                <w:rFonts w:ascii="Arial" w:hAnsi="Arial" w:cs="Arial"/>
                <w:sz w:val="16"/>
                <w:szCs w:val="16"/>
              </w:rPr>
            </w:pPr>
            <w:r w:rsidRPr="001F344E">
              <w:rPr>
                <w:rFonts w:ascii="Arial" w:hAnsi="Arial" w:cs="Arial"/>
                <w:sz w:val="16"/>
                <w:szCs w:val="16"/>
              </w:rPr>
              <w:t> </w:t>
            </w:r>
          </w:p>
        </w:tc>
        <w:tc>
          <w:tcPr>
            <w:tcW w:w="973" w:type="dxa"/>
            <w:tcBorders>
              <w:top w:val="nil"/>
              <w:left w:val="nil"/>
              <w:bottom w:val="single" w:sz="4" w:space="0" w:color="auto"/>
              <w:right w:val="single" w:sz="4" w:space="0" w:color="auto"/>
            </w:tcBorders>
            <w:shd w:val="clear" w:color="000000" w:fill="D9D9D9"/>
            <w:vAlign w:val="center"/>
          </w:tcPr>
          <w:p w:rsidR="007D48BC" w:rsidRPr="001F344E" w:rsidRDefault="007D48BC" w:rsidP="00A56BE4">
            <w:pPr>
              <w:rPr>
                <w:rFonts w:ascii="Arial" w:hAnsi="Arial" w:cs="Arial"/>
                <w:sz w:val="16"/>
                <w:szCs w:val="16"/>
              </w:rPr>
            </w:pPr>
            <w:r w:rsidRPr="001F344E">
              <w:rPr>
                <w:rFonts w:ascii="Arial" w:hAnsi="Arial" w:cs="Arial"/>
                <w:sz w:val="16"/>
                <w:szCs w:val="16"/>
              </w:rPr>
              <w:t> </w:t>
            </w:r>
          </w:p>
        </w:tc>
        <w:tc>
          <w:tcPr>
            <w:tcW w:w="1297" w:type="dxa"/>
            <w:tcBorders>
              <w:top w:val="nil"/>
              <w:left w:val="nil"/>
              <w:bottom w:val="single" w:sz="4" w:space="0" w:color="auto"/>
              <w:right w:val="single" w:sz="8" w:space="0" w:color="auto"/>
            </w:tcBorders>
            <w:shd w:val="clear" w:color="000000" w:fill="D9D9D9"/>
            <w:vAlign w:val="center"/>
          </w:tcPr>
          <w:p w:rsidR="007D48BC" w:rsidRPr="00377991" w:rsidRDefault="007D48BC" w:rsidP="007872CC">
            <w:pPr>
              <w:rPr>
                <w:rFonts w:ascii="Arial" w:hAnsi="Arial" w:cs="Arial"/>
                <w:sz w:val="16"/>
                <w:szCs w:val="16"/>
                <w:highlight w:val="yellow"/>
              </w:rPr>
            </w:pPr>
            <w:r w:rsidRPr="00E2229E">
              <w:rPr>
                <w:rFonts w:ascii="Arial" w:hAnsi="Arial" w:cs="Arial"/>
                <w:sz w:val="16"/>
                <w:szCs w:val="16"/>
              </w:rPr>
              <w:t xml:space="preserve">420.169,79 € </w:t>
            </w:r>
          </w:p>
        </w:tc>
        <w:tc>
          <w:tcPr>
            <w:tcW w:w="1307" w:type="dxa"/>
            <w:gridSpan w:val="2"/>
            <w:tcBorders>
              <w:top w:val="single" w:sz="4" w:space="0" w:color="auto"/>
              <w:left w:val="nil"/>
              <w:bottom w:val="single" w:sz="4" w:space="0" w:color="auto"/>
              <w:right w:val="single" w:sz="4" w:space="0" w:color="000000"/>
            </w:tcBorders>
            <w:shd w:val="clear" w:color="000000" w:fill="D9D9D9"/>
            <w:vAlign w:val="center"/>
          </w:tcPr>
          <w:p w:rsidR="007D48BC" w:rsidRPr="00E75A86" w:rsidRDefault="007D48BC" w:rsidP="00A56BE4">
            <w:pPr>
              <w:jc w:val="center"/>
              <w:rPr>
                <w:rFonts w:ascii="Arial" w:hAnsi="Arial" w:cs="Arial"/>
                <w:sz w:val="16"/>
                <w:szCs w:val="16"/>
              </w:rPr>
            </w:pPr>
            <w:r w:rsidRPr="00E75A86">
              <w:rPr>
                <w:rFonts w:ascii="Arial" w:hAnsi="Arial" w:cs="Arial"/>
                <w:sz w:val="16"/>
                <w:szCs w:val="16"/>
              </w:rPr>
              <w:t> </w:t>
            </w:r>
          </w:p>
        </w:tc>
        <w:tc>
          <w:tcPr>
            <w:tcW w:w="1033" w:type="dxa"/>
            <w:tcBorders>
              <w:top w:val="nil"/>
              <w:left w:val="nil"/>
              <w:bottom w:val="single" w:sz="4" w:space="0" w:color="auto"/>
              <w:right w:val="single" w:sz="4" w:space="0" w:color="auto"/>
            </w:tcBorders>
            <w:shd w:val="clear" w:color="000000" w:fill="D9D9D9"/>
            <w:vAlign w:val="center"/>
          </w:tcPr>
          <w:p w:rsidR="007D48BC" w:rsidRPr="00E75A86" w:rsidRDefault="007D48BC" w:rsidP="00A56BE4">
            <w:pPr>
              <w:rPr>
                <w:rFonts w:ascii="Arial" w:hAnsi="Arial" w:cs="Arial"/>
                <w:sz w:val="16"/>
                <w:szCs w:val="16"/>
              </w:rPr>
            </w:pPr>
            <w:r w:rsidRPr="00E75A86">
              <w:rPr>
                <w:rFonts w:ascii="Arial" w:hAnsi="Arial" w:cs="Arial"/>
                <w:sz w:val="16"/>
                <w:szCs w:val="16"/>
              </w:rPr>
              <w:t> </w:t>
            </w:r>
          </w:p>
        </w:tc>
        <w:tc>
          <w:tcPr>
            <w:tcW w:w="951" w:type="dxa"/>
            <w:tcBorders>
              <w:top w:val="nil"/>
              <w:left w:val="nil"/>
              <w:bottom w:val="single" w:sz="4" w:space="0" w:color="auto"/>
              <w:right w:val="single" w:sz="4" w:space="0" w:color="auto"/>
            </w:tcBorders>
            <w:shd w:val="clear" w:color="000000" w:fill="D9D9D9"/>
            <w:vAlign w:val="center"/>
          </w:tcPr>
          <w:p w:rsidR="007D48BC" w:rsidRPr="00377991" w:rsidRDefault="007D48BC" w:rsidP="00A56BE4">
            <w:pPr>
              <w:jc w:val="center"/>
              <w:rPr>
                <w:rFonts w:ascii="Arial" w:hAnsi="Arial" w:cs="Arial"/>
                <w:strike/>
                <w:sz w:val="16"/>
                <w:szCs w:val="16"/>
                <w:highlight w:val="yellow"/>
              </w:rPr>
            </w:pPr>
            <w:r>
              <w:rPr>
                <w:rFonts w:ascii="Arial" w:hAnsi="Arial" w:cs="Arial"/>
                <w:sz w:val="16"/>
                <w:szCs w:val="16"/>
              </w:rPr>
              <w:t xml:space="preserve">8.478 – 11.304 </w:t>
            </w:r>
            <w:r w:rsidRPr="001F344E">
              <w:rPr>
                <w:rFonts w:ascii="Arial" w:hAnsi="Arial" w:cs="Arial"/>
                <w:sz w:val="16"/>
                <w:szCs w:val="16"/>
              </w:rPr>
              <w:t>€</w:t>
            </w:r>
          </w:p>
        </w:tc>
        <w:tc>
          <w:tcPr>
            <w:tcW w:w="1296" w:type="dxa"/>
            <w:tcBorders>
              <w:top w:val="nil"/>
              <w:left w:val="nil"/>
              <w:bottom w:val="single" w:sz="4" w:space="0" w:color="auto"/>
              <w:right w:val="single" w:sz="4" w:space="0" w:color="auto"/>
            </w:tcBorders>
            <w:shd w:val="clear" w:color="000000" w:fill="D9D9D9"/>
            <w:vAlign w:val="center"/>
          </w:tcPr>
          <w:p w:rsidR="007D48BC" w:rsidRPr="00E75A86" w:rsidRDefault="007D48BC" w:rsidP="00E75A86">
            <w:pPr>
              <w:jc w:val="right"/>
              <w:rPr>
                <w:rFonts w:ascii="Arial" w:hAnsi="Arial" w:cs="Arial"/>
                <w:color w:val="FF0000"/>
                <w:sz w:val="16"/>
                <w:szCs w:val="16"/>
              </w:rPr>
            </w:pPr>
            <w:r w:rsidRPr="00E75A86">
              <w:rPr>
                <w:rFonts w:ascii="Arial" w:hAnsi="Arial" w:cs="Arial"/>
                <w:color w:val="FF0000"/>
                <w:sz w:val="16"/>
                <w:szCs w:val="16"/>
              </w:rPr>
              <w:t xml:space="preserve"> 411.691,79 </w:t>
            </w:r>
            <w:r>
              <w:rPr>
                <w:rFonts w:ascii="Arial" w:hAnsi="Arial" w:cs="Arial"/>
                <w:color w:val="FF0000"/>
                <w:sz w:val="16"/>
                <w:szCs w:val="16"/>
              </w:rPr>
              <w:t xml:space="preserve">- 408.865.79 </w:t>
            </w:r>
            <w:r w:rsidRPr="00E75A86">
              <w:rPr>
                <w:rFonts w:ascii="Arial" w:hAnsi="Arial" w:cs="Arial"/>
                <w:color w:val="FF0000"/>
                <w:sz w:val="16"/>
                <w:szCs w:val="16"/>
              </w:rPr>
              <w:t>€</w:t>
            </w:r>
          </w:p>
        </w:tc>
      </w:tr>
      <w:tr w:rsidR="007D48BC" w:rsidRPr="001F344E">
        <w:trPr>
          <w:gridAfter w:val="1"/>
          <w:wAfter w:w="18" w:type="dxa"/>
          <w:trHeight w:val="1096"/>
          <w:jc w:val="center"/>
        </w:trPr>
        <w:tc>
          <w:tcPr>
            <w:tcW w:w="1922" w:type="dxa"/>
            <w:tcBorders>
              <w:top w:val="nil"/>
              <w:left w:val="single" w:sz="4" w:space="0" w:color="auto"/>
              <w:bottom w:val="single" w:sz="4" w:space="0" w:color="auto"/>
              <w:right w:val="single" w:sz="8" w:space="0" w:color="auto"/>
            </w:tcBorders>
            <w:vAlign w:val="center"/>
          </w:tcPr>
          <w:p w:rsidR="007D48BC" w:rsidRPr="001F344E" w:rsidRDefault="007D48BC" w:rsidP="00A56BE4">
            <w:pPr>
              <w:rPr>
                <w:rFonts w:ascii="Arial" w:hAnsi="Arial" w:cs="Arial"/>
                <w:sz w:val="16"/>
                <w:szCs w:val="16"/>
              </w:rPr>
            </w:pPr>
            <w:r w:rsidRPr="001F344E">
              <w:rPr>
                <w:rFonts w:ascii="Arial" w:hAnsi="Arial" w:cs="Arial"/>
                <w:sz w:val="16"/>
                <w:szCs w:val="16"/>
              </w:rPr>
              <w:t xml:space="preserve">Coste adquisición del medicamento </w:t>
            </w:r>
          </w:p>
        </w:tc>
        <w:tc>
          <w:tcPr>
            <w:tcW w:w="1935" w:type="dxa"/>
            <w:gridSpan w:val="2"/>
            <w:tcBorders>
              <w:top w:val="single" w:sz="4" w:space="0" w:color="auto"/>
              <w:left w:val="nil"/>
              <w:bottom w:val="single" w:sz="4" w:space="0" w:color="auto"/>
              <w:right w:val="single" w:sz="4" w:space="0" w:color="000000"/>
            </w:tcBorders>
            <w:vAlign w:val="center"/>
          </w:tcPr>
          <w:p w:rsidR="007D48BC" w:rsidRPr="001F344E" w:rsidRDefault="007D48BC" w:rsidP="00A56BE4">
            <w:pPr>
              <w:jc w:val="center"/>
              <w:rPr>
                <w:rFonts w:ascii="Arial" w:hAnsi="Arial" w:cs="Arial"/>
                <w:sz w:val="16"/>
                <w:szCs w:val="16"/>
              </w:rPr>
            </w:pPr>
            <w:r>
              <w:rPr>
                <w:rFonts w:ascii="Arial" w:hAnsi="Arial" w:cs="Arial"/>
                <w:sz w:val="16"/>
                <w:szCs w:val="16"/>
              </w:rPr>
              <w:t>Yescarta</w:t>
            </w:r>
            <w:r w:rsidRPr="001F344E">
              <w:rPr>
                <w:rFonts w:ascii="Arial" w:hAnsi="Arial" w:cs="Arial"/>
                <w:sz w:val="16"/>
                <w:szCs w:val="16"/>
              </w:rPr>
              <w:t xml:space="preserve"> 1,2 x 10</w:t>
            </w:r>
            <w:r w:rsidRPr="001F344E">
              <w:rPr>
                <w:rFonts w:ascii="Arial" w:hAnsi="Arial" w:cs="Arial"/>
                <w:sz w:val="16"/>
                <w:szCs w:val="16"/>
                <w:vertAlign w:val="superscript"/>
              </w:rPr>
              <w:t>6</w:t>
            </w:r>
            <w:r w:rsidRPr="001F344E">
              <w:rPr>
                <w:rFonts w:ascii="Arial" w:hAnsi="Arial" w:cs="Arial"/>
                <w:sz w:val="16"/>
                <w:szCs w:val="16"/>
              </w:rPr>
              <w:t xml:space="preserve"> – 6 x 10</w:t>
            </w:r>
            <w:r w:rsidRPr="001F344E">
              <w:rPr>
                <w:rFonts w:ascii="Arial" w:hAnsi="Arial" w:cs="Arial"/>
                <w:sz w:val="16"/>
                <w:szCs w:val="16"/>
                <w:vertAlign w:val="superscript"/>
              </w:rPr>
              <w:t>8</w:t>
            </w:r>
            <w:r w:rsidRPr="001F344E">
              <w:rPr>
                <w:rFonts w:ascii="Arial" w:hAnsi="Arial" w:cs="Arial"/>
                <w:sz w:val="16"/>
                <w:szCs w:val="16"/>
              </w:rPr>
              <w:t xml:space="preserve"> Dispersión de células para infusión: 332.800 €</w:t>
            </w:r>
          </w:p>
        </w:tc>
        <w:tc>
          <w:tcPr>
            <w:tcW w:w="973" w:type="dxa"/>
            <w:tcBorders>
              <w:top w:val="nil"/>
              <w:left w:val="nil"/>
              <w:bottom w:val="single" w:sz="4" w:space="0" w:color="auto"/>
              <w:right w:val="single" w:sz="4" w:space="0" w:color="auto"/>
            </w:tcBorders>
            <w:vAlign w:val="center"/>
          </w:tcPr>
          <w:p w:rsidR="007D48BC" w:rsidRPr="001F344E" w:rsidRDefault="007D48BC" w:rsidP="00A56BE4">
            <w:pPr>
              <w:jc w:val="right"/>
              <w:rPr>
                <w:rFonts w:ascii="Arial" w:hAnsi="Arial" w:cs="Arial"/>
                <w:sz w:val="16"/>
                <w:szCs w:val="16"/>
              </w:rPr>
            </w:pPr>
            <w:r w:rsidRPr="001F344E">
              <w:rPr>
                <w:rFonts w:ascii="Arial" w:hAnsi="Arial" w:cs="Arial"/>
                <w:sz w:val="16"/>
                <w:szCs w:val="16"/>
              </w:rPr>
              <w:t>1</w:t>
            </w:r>
          </w:p>
        </w:tc>
        <w:tc>
          <w:tcPr>
            <w:tcW w:w="1297" w:type="dxa"/>
            <w:tcBorders>
              <w:top w:val="nil"/>
              <w:left w:val="nil"/>
              <w:bottom w:val="single" w:sz="4" w:space="0" w:color="auto"/>
              <w:right w:val="single" w:sz="8" w:space="0" w:color="auto"/>
            </w:tcBorders>
            <w:vAlign w:val="center"/>
          </w:tcPr>
          <w:p w:rsidR="007D48BC" w:rsidRPr="001F344E" w:rsidRDefault="007D48BC" w:rsidP="00A56BE4">
            <w:pPr>
              <w:rPr>
                <w:rFonts w:ascii="Arial" w:hAnsi="Arial" w:cs="Arial"/>
                <w:sz w:val="16"/>
                <w:szCs w:val="16"/>
              </w:rPr>
            </w:pPr>
            <w:r w:rsidRPr="001F344E">
              <w:rPr>
                <w:rFonts w:ascii="Arial" w:hAnsi="Arial" w:cs="Arial"/>
                <w:sz w:val="16"/>
                <w:szCs w:val="16"/>
              </w:rPr>
              <w:t xml:space="preserve">    </w:t>
            </w:r>
            <w:r>
              <w:rPr>
                <w:rFonts w:ascii="Arial" w:hAnsi="Arial" w:cs="Arial"/>
                <w:sz w:val="16"/>
                <w:szCs w:val="16"/>
              </w:rPr>
              <w:t>418</w:t>
            </w:r>
            <w:r w:rsidRPr="001F344E">
              <w:rPr>
                <w:rFonts w:ascii="Arial" w:hAnsi="Arial" w:cs="Arial"/>
                <w:sz w:val="16"/>
                <w:szCs w:val="16"/>
              </w:rPr>
              <w:t>.</w:t>
            </w:r>
            <w:r>
              <w:rPr>
                <w:rFonts w:ascii="Arial" w:hAnsi="Arial" w:cs="Arial"/>
                <w:sz w:val="16"/>
                <w:szCs w:val="16"/>
              </w:rPr>
              <w:t>214</w:t>
            </w:r>
            <w:r w:rsidRPr="001F344E">
              <w:rPr>
                <w:rFonts w:ascii="Arial" w:hAnsi="Arial" w:cs="Arial"/>
                <w:sz w:val="16"/>
                <w:szCs w:val="16"/>
              </w:rPr>
              <w:t xml:space="preserve">,00 € </w:t>
            </w:r>
          </w:p>
        </w:tc>
        <w:tc>
          <w:tcPr>
            <w:tcW w:w="1307" w:type="dxa"/>
            <w:gridSpan w:val="2"/>
            <w:tcBorders>
              <w:top w:val="single" w:sz="4" w:space="0" w:color="auto"/>
              <w:left w:val="nil"/>
              <w:bottom w:val="single" w:sz="4" w:space="0" w:color="auto"/>
              <w:right w:val="single" w:sz="4" w:space="0" w:color="000000"/>
            </w:tcBorders>
            <w:vAlign w:val="center"/>
          </w:tcPr>
          <w:p w:rsidR="007D48BC" w:rsidRDefault="007D48BC" w:rsidP="00A56BE4">
            <w:pPr>
              <w:rPr>
                <w:rFonts w:ascii="Arial" w:hAnsi="Arial" w:cs="Arial"/>
                <w:sz w:val="16"/>
                <w:szCs w:val="16"/>
              </w:rPr>
            </w:pPr>
            <w:r>
              <w:rPr>
                <w:rFonts w:ascii="Arial" w:hAnsi="Arial" w:cs="Arial"/>
                <w:sz w:val="16"/>
                <w:szCs w:val="16"/>
              </w:rPr>
              <w:t xml:space="preserve">Rituximab 500 mg : 1027,12 </w:t>
            </w:r>
            <w:r w:rsidRPr="001F344E">
              <w:rPr>
                <w:rFonts w:ascii="Arial" w:hAnsi="Arial" w:cs="Arial"/>
                <w:sz w:val="16"/>
                <w:szCs w:val="16"/>
              </w:rPr>
              <w:t>€</w:t>
            </w:r>
          </w:p>
          <w:p w:rsidR="007D48BC" w:rsidRDefault="007D48BC" w:rsidP="00A56BE4">
            <w:pPr>
              <w:jc w:val="center"/>
              <w:rPr>
                <w:rFonts w:ascii="Arial" w:hAnsi="Arial" w:cs="Arial"/>
                <w:sz w:val="16"/>
                <w:szCs w:val="16"/>
              </w:rPr>
            </w:pPr>
            <w:r>
              <w:rPr>
                <w:rFonts w:ascii="Arial" w:hAnsi="Arial" w:cs="Arial"/>
                <w:sz w:val="16"/>
                <w:szCs w:val="16"/>
              </w:rPr>
              <w:t xml:space="preserve">Gemcitabina 500 mg: 45,45 </w:t>
            </w:r>
            <w:r w:rsidRPr="001F344E">
              <w:rPr>
                <w:rFonts w:ascii="Arial" w:hAnsi="Arial" w:cs="Arial"/>
                <w:sz w:val="16"/>
                <w:szCs w:val="16"/>
              </w:rPr>
              <w:t>€</w:t>
            </w:r>
          </w:p>
          <w:p w:rsidR="007D48BC" w:rsidRDefault="007D48BC" w:rsidP="00A56BE4">
            <w:pPr>
              <w:jc w:val="center"/>
              <w:rPr>
                <w:rFonts w:ascii="Arial" w:hAnsi="Arial" w:cs="Arial"/>
                <w:sz w:val="16"/>
                <w:szCs w:val="16"/>
              </w:rPr>
            </w:pPr>
            <w:r>
              <w:rPr>
                <w:rFonts w:ascii="Arial" w:hAnsi="Arial" w:cs="Arial"/>
                <w:sz w:val="16"/>
                <w:szCs w:val="16"/>
              </w:rPr>
              <w:t xml:space="preserve">Oxaliplatino 100 mg. 132,25 </w:t>
            </w:r>
            <w:r w:rsidRPr="001F344E">
              <w:rPr>
                <w:rFonts w:ascii="Arial" w:hAnsi="Arial" w:cs="Arial"/>
                <w:sz w:val="16"/>
                <w:szCs w:val="16"/>
              </w:rPr>
              <w:t>€</w:t>
            </w:r>
          </w:p>
          <w:p w:rsidR="007D48BC" w:rsidRPr="001F344E" w:rsidRDefault="007D48BC" w:rsidP="00A56BE4">
            <w:pPr>
              <w:jc w:val="center"/>
              <w:rPr>
                <w:rFonts w:ascii="Arial" w:hAnsi="Arial" w:cs="Arial"/>
                <w:sz w:val="16"/>
                <w:szCs w:val="16"/>
              </w:rPr>
            </w:pPr>
          </w:p>
        </w:tc>
        <w:tc>
          <w:tcPr>
            <w:tcW w:w="1033" w:type="dxa"/>
            <w:tcBorders>
              <w:top w:val="nil"/>
              <w:left w:val="nil"/>
              <w:bottom w:val="single" w:sz="4" w:space="0" w:color="auto"/>
              <w:right w:val="single" w:sz="4" w:space="0" w:color="auto"/>
            </w:tcBorders>
            <w:vAlign w:val="center"/>
          </w:tcPr>
          <w:p w:rsidR="007D48BC" w:rsidRDefault="007D48BC" w:rsidP="00A56BE4">
            <w:pPr>
              <w:rPr>
                <w:rFonts w:ascii="Arial" w:hAnsi="Arial" w:cs="Arial"/>
                <w:sz w:val="16"/>
                <w:szCs w:val="16"/>
              </w:rPr>
            </w:pPr>
          </w:p>
          <w:p w:rsidR="007D48BC" w:rsidRPr="00575A85" w:rsidRDefault="007D48BC" w:rsidP="00A56BE4">
            <w:pPr>
              <w:rPr>
                <w:rFonts w:ascii="Arial" w:hAnsi="Arial" w:cs="Arial"/>
                <w:sz w:val="16"/>
                <w:szCs w:val="16"/>
                <w:lang w:val="pt-BR"/>
              </w:rPr>
            </w:pPr>
            <w:r w:rsidRPr="00575A85">
              <w:rPr>
                <w:rFonts w:ascii="Arial" w:hAnsi="Arial" w:cs="Arial"/>
                <w:sz w:val="16"/>
                <w:szCs w:val="16"/>
                <w:lang w:val="pt-BR"/>
              </w:rPr>
              <w:t>375 mg/m</w:t>
            </w:r>
            <w:r w:rsidRPr="00575A85">
              <w:rPr>
                <w:rFonts w:ascii="Arial" w:hAnsi="Arial" w:cs="Arial"/>
                <w:sz w:val="16"/>
                <w:szCs w:val="16"/>
                <w:vertAlign w:val="superscript"/>
                <w:lang w:val="pt-BR"/>
              </w:rPr>
              <w:t>2</w:t>
            </w:r>
            <w:r w:rsidRPr="00575A85">
              <w:rPr>
                <w:rFonts w:ascii="Arial" w:hAnsi="Arial" w:cs="Arial"/>
                <w:sz w:val="16"/>
                <w:szCs w:val="16"/>
                <w:lang w:val="pt-BR"/>
              </w:rPr>
              <w:t xml:space="preserve"> c/24h D1</w:t>
            </w:r>
          </w:p>
          <w:p w:rsidR="007D48BC" w:rsidRPr="00575A85" w:rsidRDefault="007D48BC" w:rsidP="00A56BE4">
            <w:pPr>
              <w:rPr>
                <w:rFonts w:ascii="Arial" w:hAnsi="Arial" w:cs="Arial"/>
                <w:sz w:val="16"/>
                <w:szCs w:val="16"/>
                <w:lang w:val="pt-BR"/>
              </w:rPr>
            </w:pPr>
            <w:r w:rsidRPr="00575A85">
              <w:rPr>
                <w:rFonts w:ascii="Arial" w:hAnsi="Arial" w:cs="Arial"/>
                <w:sz w:val="16"/>
                <w:szCs w:val="16"/>
                <w:lang w:val="pt-BR"/>
              </w:rPr>
              <w:t>1000 mg/m</w:t>
            </w:r>
            <w:r w:rsidRPr="00575A85">
              <w:rPr>
                <w:rFonts w:ascii="Arial" w:hAnsi="Arial" w:cs="Arial"/>
                <w:sz w:val="16"/>
                <w:szCs w:val="16"/>
                <w:vertAlign w:val="superscript"/>
                <w:lang w:val="pt-BR"/>
              </w:rPr>
              <w:t>2</w:t>
            </w:r>
            <w:r w:rsidRPr="00575A85">
              <w:rPr>
                <w:rFonts w:ascii="Arial" w:hAnsi="Arial" w:cs="Arial"/>
                <w:sz w:val="16"/>
                <w:szCs w:val="16"/>
                <w:lang w:val="pt-BR"/>
              </w:rPr>
              <w:t xml:space="preserve"> c/24h D2</w:t>
            </w:r>
          </w:p>
          <w:p w:rsidR="007D48BC" w:rsidRDefault="007D48BC" w:rsidP="00A56BE4">
            <w:pPr>
              <w:rPr>
                <w:rFonts w:ascii="Arial" w:hAnsi="Arial" w:cs="Arial"/>
                <w:sz w:val="16"/>
                <w:szCs w:val="16"/>
              </w:rPr>
            </w:pPr>
            <w:r>
              <w:rPr>
                <w:rFonts w:ascii="Arial" w:hAnsi="Arial" w:cs="Arial"/>
                <w:sz w:val="16"/>
                <w:szCs w:val="16"/>
              </w:rPr>
              <w:t xml:space="preserve">100 </w:t>
            </w:r>
            <w:r w:rsidRPr="001F344E">
              <w:rPr>
                <w:rFonts w:ascii="Arial" w:hAnsi="Arial" w:cs="Arial"/>
                <w:sz w:val="16"/>
                <w:szCs w:val="16"/>
              </w:rPr>
              <w:t>mg/m</w:t>
            </w:r>
            <w:r w:rsidRPr="001F344E">
              <w:rPr>
                <w:rFonts w:ascii="Arial" w:hAnsi="Arial" w:cs="Arial"/>
                <w:sz w:val="16"/>
                <w:szCs w:val="16"/>
                <w:vertAlign w:val="superscript"/>
              </w:rPr>
              <w:t>2</w:t>
            </w:r>
            <w:r>
              <w:rPr>
                <w:rFonts w:ascii="Arial" w:hAnsi="Arial" w:cs="Arial"/>
                <w:sz w:val="16"/>
                <w:szCs w:val="16"/>
              </w:rPr>
              <w:t xml:space="preserve"> c/24h D2</w:t>
            </w:r>
          </w:p>
          <w:p w:rsidR="007D48BC" w:rsidRDefault="007D48BC" w:rsidP="00A56BE4">
            <w:pPr>
              <w:rPr>
                <w:rFonts w:ascii="Arial" w:hAnsi="Arial" w:cs="Arial"/>
                <w:sz w:val="16"/>
                <w:szCs w:val="16"/>
              </w:rPr>
            </w:pPr>
          </w:p>
          <w:p w:rsidR="007D48BC" w:rsidRPr="001F344E" w:rsidRDefault="007D48BC" w:rsidP="00A56BE4">
            <w:pPr>
              <w:rPr>
                <w:rFonts w:ascii="Arial" w:hAnsi="Arial" w:cs="Arial"/>
                <w:sz w:val="16"/>
                <w:szCs w:val="16"/>
              </w:rPr>
            </w:pPr>
          </w:p>
        </w:tc>
        <w:tc>
          <w:tcPr>
            <w:tcW w:w="951" w:type="dxa"/>
            <w:tcBorders>
              <w:top w:val="nil"/>
              <w:left w:val="nil"/>
              <w:bottom w:val="single" w:sz="4" w:space="0" w:color="auto"/>
              <w:right w:val="single" w:sz="4" w:space="0" w:color="auto"/>
            </w:tcBorders>
            <w:vAlign w:val="center"/>
          </w:tcPr>
          <w:p w:rsidR="007D48BC" w:rsidRPr="001F344E" w:rsidRDefault="007D48BC" w:rsidP="00A56BE4">
            <w:pPr>
              <w:jc w:val="right"/>
              <w:rPr>
                <w:rFonts w:ascii="Arial" w:hAnsi="Arial" w:cs="Arial"/>
                <w:sz w:val="16"/>
                <w:szCs w:val="16"/>
              </w:rPr>
            </w:pPr>
            <w:r>
              <w:rPr>
                <w:rFonts w:ascii="Arial" w:hAnsi="Arial" w:cs="Arial"/>
                <w:sz w:val="16"/>
                <w:szCs w:val="16"/>
              </w:rPr>
              <w:t xml:space="preserve">8.478 – 11.304 </w:t>
            </w:r>
            <w:r w:rsidRPr="001F344E">
              <w:rPr>
                <w:rFonts w:ascii="Arial" w:hAnsi="Arial" w:cs="Arial"/>
                <w:sz w:val="16"/>
                <w:szCs w:val="16"/>
              </w:rPr>
              <w:t>€</w:t>
            </w:r>
          </w:p>
        </w:tc>
        <w:tc>
          <w:tcPr>
            <w:tcW w:w="1296" w:type="dxa"/>
            <w:tcBorders>
              <w:top w:val="nil"/>
              <w:left w:val="nil"/>
              <w:bottom w:val="single" w:sz="4" w:space="0" w:color="auto"/>
              <w:right w:val="single" w:sz="4" w:space="0" w:color="auto"/>
            </w:tcBorders>
            <w:shd w:val="clear" w:color="000000" w:fill="D9D9D9"/>
            <w:vAlign w:val="center"/>
          </w:tcPr>
          <w:p w:rsidR="007D48BC" w:rsidRPr="00E75A86" w:rsidRDefault="007D48BC" w:rsidP="00A56BE4">
            <w:pPr>
              <w:jc w:val="right"/>
              <w:rPr>
                <w:rFonts w:ascii="Arial" w:hAnsi="Arial" w:cs="Arial"/>
                <w:strike/>
                <w:color w:val="FF0000"/>
                <w:sz w:val="16"/>
                <w:szCs w:val="16"/>
              </w:rPr>
            </w:pPr>
            <w:r w:rsidRPr="00E75A86">
              <w:rPr>
                <w:rFonts w:ascii="Arial" w:hAnsi="Arial" w:cs="Arial"/>
                <w:color w:val="FF0000"/>
                <w:sz w:val="16"/>
                <w:szCs w:val="16"/>
              </w:rPr>
              <w:t xml:space="preserve">     409.736 – 406.910  €</w:t>
            </w:r>
          </w:p>
        </w:tc>
      </w:tr>
      <w:tr w:rsidR="007D48BC" w:rsidRPr="001F344E">
        <w:trPr>
          <w:gridAfter w:val="1"/>
          <w:wAfter w:w="18" w:type="dxa"/>
          <w:trHeight w:val="285"/>
          <w:jc w:val="center"/>
        </w:trPr>
        <w:tc>
          <w:tcPr>
            <w:tcW w:w="1922" w:type="dxa"/>
            <w:tcBorders>
              <w:top w:val="nil"/>
              <w:left w:val="single" w:sz="4" w:space="0" w:color="auto"/>
              <w:bottom w:val="single" w:sz="4" w:space="0" w:color="auto"/>
              <w:right w:val="single" w:sz="8" w:space="0" w:color="auto"/>
            </w:tcBorders>
            <w:vAlign w:val="center"/>
          </w:tcPr>
          <w:p w:rsidR="007D48BC" w:rsidRPr="001F344E" w:rsidRDefault="007D48BC" w:rsidP="00A56BE4">
            <w:pPr>
              <w:rPr>
                <w:rFonts w:ascii="Arial" w:hAnsi="Arial" w:cs="Arial"/>
                <w:sz w:val="16"/>
                <w:szCs w:val="16"/>
              </w:rPr>
            </w:pPr>
            <w:r w:rsidRPr="001F344E">
              <w:rPr>
                <w:rFonts w:ascii="Arial" w:hAnsi="Arial" w:cs="Arial"/>
                <w:sz w:val="16"/>
                <w:szCs w:val="16"/>
              </w:rPr>
              <w:t>Coste de preparación</w:t>
            </w:r>
          </w:p>
        </w:tc>
        <w:tc>
          <w:tcPr>
            <w:tcW w:w="1187" w:type="dxa"/>
            <w:tcBorders>
              <w:top w:val="nil"/>
              <w:left w:val="nil"/>
              <w:bottom w:val="single" w:sz="4" w:space="0" w:color="auto"/>
              <w:right w:val="single" w:sz="4" w:space="0" w:color="auto"/>
            </w:tcBorders>
            <w:vAlign w:val="center"/>
          </w:tcPr>
          <w:p w:rsidR="007D48BC" w:rsidRPr="001F344E" w:rsidRDefault="007D48BC" w:rsidP="00A56BE4">
            <w:pPr>
              <w:rPr>
                <w:rFonts w:ascii="Arial" w:hAnsi="Arial" w:cs="Arial"/>
                <w:sz w:val="16"/>
                <w:szCs w:val="16"/>
              </w:rPr>
            </w:pPr>
            <w:r w:rsidRPr="001F344E">
              <w:rPr>
                <w:rFonts w:ascii="Arial" w:hAnsi="Arial" w:cs="Arial"/>
                <w:sz w:val="16"/>
                <w:szCs w:val="16"/>
              </w:rPr>
              <w:t>Leucoaféresis</w:t>
            </w:r>
          </w:p>
        </w:tc>
        <w:tc>
          <w:tcPr>
            <w:tcW w:w="748" w:type="dxa"/>
            <w:tcBorders>
              <w:top w:val="nil"/>
              <w:left w:val="nil"/>
              <w:bottom w:val="single" w:sz="4" w:space="0" w:color="auto"/>
              <w:right w:val="single" w:sz="4" w:space="0" w:color="auto"/>
            </w:tcBorders>
            <w:vAlign w:val="center"/>
          </w:tcPr>
          <w:p w:rsidR="007D48BC" w:rsidRPr="001F344E" w:rsidRDefault="007D48BC" w:rsidP="00A56BE4">
            <w:pPr>
              <w:jc w:val="right"/>
              <w:rPr>
                <w:rFonts w:ascii="Arial" w:hAnsi="Arial" w:cs="Arial"/>
                <w:sz w:val="16"/>
                <w:szCs w:val="16"/>
              </w:rPr>
            </w:pPr>
            <w:r w:rsidRPr="001F344E">
              <w:rPr>
                <w:rFonts w:ascii="Arial" w:hAnsi="Arial" w:cs="Arial"/>
                <w:sz w:val="16"/>
                <w:szCs w:val="16"/>
              </w:rPr>
              <w:t>1955,79</w:t>
            </w:r>
          </w:p>
        </w:tc>
        <w:tc>
          <w:tcPr>
            <w:tcW w:w="973" w:type="dxa"/>
            <w:tcBorders>
              <w:top w:val="nil"/>
              <w:left w:val="nil"/>
              <w:bottom w:val="single" w:sz="4" w:space="0" w:color="auto"/>
              <w:right w:val="single" w:sz="4" w:space="0" w:color="auto"/>
            </w:tcBorders>
            <w:vAlign w:val="center"/>
          </w:tcPr>
          <w:p w:rsidR="007D48BC" w:rsidRPr="001F344E" w:rsidRDefault="007D48BC" w:rsidP="00A56BE4">
            <w:pPr>
              <w:jc w:val="right"/>
              <w:rPr>
                <w:rFonts w:ascii="Arial" w:hAnsi="Arial" w:cs="Arial"/>
                <w:sz w:val="16"/>
                <w:szCs w:val="16"/>
              </w:rPr>
            </w:pPr>
            <w:r w:rsidRPr="001F344E">
              <w:rPr>
                <w:rFonts w:ascii="Arial" w:hAnsi="Arial" w:cs="Arial"/>
                <w:sz w:val="16"/>
                <w:szCs w:val="16"/>
              </w:rPr>
              <w:t>1</w:t>
            </w:r>
          </w:p>
        </w:tc>
        <w:tc>
          <w:tcPr>
            <w:tcW w:w="1297" w:type="dxa"/>
            <w:tcBorders>
              <w:top w:val="nil"/>
              <w:left w:val="nil"/>
              <w:bottom w:val="single" w:sz="4" w:space="0" w:color="auto"/>
              <w:right w:val="single" w:sz="8" w:space="0" w:color="auto"/>
            </w:tcBorders>
            <w:vAlign w:val="center"/>
          </w:tcPr>
          <w:p w:rsidR="007D48BC" w:rsidRPr="001F344E" w:rsidRDefault="007D48BC" w:rsidP="00A56BE4">
            <w:pPr>
              <w:rPr>
                <w:rFonts w:ascii="Arial" w:hAnsi="Arial" w:cs="Arial"/>
                <w:sz w:val="16"/>
                <w:szCs w:val="16"/>
              </w:rPr>
            </w:pPr>
            <w:r w:rsidRPr="001F344E">
              <w:rPr>
                <w:rFonts w:ascii="Arial" w:hAnsi="Arial" w:cs="Arial"/>
                <w:sz w:val="16"/>
                <w:szCs w:val="16"/>
              </w:rPr>
              <w:t xml:space="preserve">        1.955,79 € </w:t>
            </w:r>
          </w:p>
        </w:tc>
        <w:tc>
          <w:tcPr>
            <w:tcW w:w="1307" w:type="dxa"/>
            <w:gridSpan w:val="2"/>
            <w:tcBorders>
              <w:top w:val="single" w:sz="4" w:space="0" w:color="auto"/>
              <w:left w:val="nil"/>
              <w:bottom w:val="single" w:sz="4" w:space="0" w:color="auto"/>
              <w:right w:val="single" w:sz="4" w:space="0" w:color="000000"/>
            </w:tcBorders>
            <w:shd w:val="clear" w:color="000000" w:fill="FFFFFF"/>
            <w:vAlign w:val="center"/>
          </w:tcPr>
          <w:p w:rsidR="007D48BC" w:rsidRPr="001F344E" w:rsidRDefault="007D48BC" w:rsidP="00A56BE4">
            <w:pPr>
              <w:jc w:val="center"/>
              <w:rPr>
                <w:rFonts w:ascii="Arial" w:hAnsi="Arial" w:cs="Arial"/>
                <w:sz w:val="16"/>
                <w:szCs w:val="16"/>
              </w:rPr>
            </w:pPr>
            <w:r w:rsidRPr="001F344E">
              <w:rPr>
                <w:rFonts w:ascii="Arial" w:hAnsi="Arial" w:cs="Arial"/>
                <w:sz w:val="16"/>
                <w:szCs w:val="16"/>
              </w:rPr>
              <w:t> </w:t>
            </w:r>
          </w:p>
        </w:tc>
        <w:tc>
          <w:tcPr>
            <w:tcW w:w="1033" w:type="dxa"/>
            <w:tcBorders>
              <w:top w:val="nil"/>
              <w:left w:val="nil"/>
              <w:bottom w:val="single" w:sz="4" w:space="0" w:color="auto"/>
              <w:right w:val="single" w:sz="4" w:space="0" w:color="auto"/>
            </w:tcBorders>
            <w:vAlign w:val="center"/>
          </w:tcPr>
          <w:p w:rsidR="007D48BC" w:rsidRPr="001F344E" w:rsidRDefault="007D48BC" w:rsidP="00A56BE4">
            <w:pPr>
              <w:rPr>
                <w:rFonts w:ascii="Arial" w:hAnsi="Arial" w:cs="Arial"/>
                <w:sz w:val="16"/>
                <w:szCs w:val="16"/>
              </w:rPr>
            </w:pPr>
            <w:r w:rsidRPr="001F344E">
              <w:rPr>
                <w:rFonts w:ascii="Arial" w:hAnsi="Arial" w:cs="Arial"/>
                <w:sz w:val="16"/>
                <w:szCs w:val="16"/>
              </w:rPr>
              <w:t> </w:t>
            </w:r>
          </w:p>
        </w:tc>
        <w:tc>
          <w:tcPr>
            <w:tcW w:w="951" w:type="dxa"/>
            <w:tcBorders>
              <w:top w:val="nil"/>
              <w:left w:val="nil"/>
              <w:bottom w:val="single" w:sz="4" w:space="0" w:color="auto"/>
              <w:right w:val="single" w:sz="4" w:space="0" w:color="auto"/>
            </w:tcBorders>
            <w:vAlign w:val="center"/>
          </w:tcPr>
          <w:p w:rsidR="007D48BC" w:rsidRPr="001F344E" w:rsidRDefault="007D48BC" w:rsidP="00A56BE4">
            <w:pPr>
              <w:rPr>
                <w:rFonts w:ascii="Arial" w:hAnsi="Arial" w:cs="Arial"/>
                <w:sz w:val="16"/>
                <w:szCs w:val="16"/>
              </w:rPr>
            </w:pPr>
            <w:r w:rsidRPr="001F344E">
              <w:rPr>
                <w:rFonts w:ascii="Arial" w:hAnsi="Arial" w:cs="Arial"/>
                <w:sz w:val="16"/>
                <w:szCs w:val="16"/>
              </w:rPr>
              <w:t> </w:t>
            </w:r>
          </w:p>
        </w:tc>
        <w:tc>
          <w:tcPr>
            <w:tcW w:w="1296" w:type="dxa"/>
            <w:tcBorders>
              <w:top w:val="nil"/>
              <w:left w:val="nil"/>
              <w:bottom w:val="single" w:sz="4" w:space="0" w:color="auto"/>
              <w:right w:val="single" w:sz="4" w:space="0" w:color="auto"/>
            </w:tcBorders>
            <w:shd w:val="clear" w:color="000000" w:fill="D9D9D9"/>
            <w:vAlign w:val="center"/>
          </w:tcPr>
          <w:p w:rsidR="007D48BC" w:rsidRPr="00E75A86" w:rsidRDefault="007D48BC" w:rsidP="00E75A86">
            <w:pPr>
              <w:jc w:val="right"/>
              <w:rPr>
                <w:rFonts w:ascii="Arial" w:hAnsi="Arial" w:cs="Arial"/>
                <w:color w:val="FF0000"/>
                <w:sz w:val="16"/>
                <w:szCs w:val="16"/>
                <w:highlight w:val="yellow"/>
              </w:rPr>
            </w:pPr>
            <w:r w:rsidRPr="00545183">
              <w:rPr>
                <w:rFonts w:ascii="Arial" w:hAnsi="Arial" w:cs="Arial"/>
                <w:color w:val="FF0000"/>
                <w:sz w:val="16"/>
                <w:szCs w:val="16"/>
              </w:rPr>
              <w:t xml:space="preserve">        1.955,79 €</w:t>
            </w:r>
          </w:p>
        </w:tc>
      </w:tr>
      <w:tr w:rsidR="007D48BC" w:rsidRPr="001F344E">
        <w:trPr>
          <w:gridAfter w:val="1"/>
          <w:wAfter w:w="18" w:type="dxa"/>
          <w:trHeight w:val="300"/>
          <w:jc w:val="center"/>
        </w:trPr>
        <w:tc>
          <w:tcPr>
            <w:tcW w:w="1922" w:type="dxa"/>
            <w:tcBorders>
              <w:top w:val="nil"/>
              <w:left w:val="single" w:sz="4" w:space="0" w:color="auto"/>
              <w:bottom w:val="single" w:sz="4" w:space="0" w:color="auto"/>
              <w:right w:val="single" w:sz="8" w:space="0" w:color="auto"/>
            </w:tcBorders>
            <w:shd w:val="clear" w:color="000000" w:fill="D9D9D9"/>
            <w:vAlign w:val="center"/>
          </w:tcPr>
          <w:p w:rsidR="007D48BC" w:rsidRPr="001F344E" w:rsidRDefault="007D48BC" w:rsidP="00A56BE4">
            <w:pPr>
              <w:rPr>
                <w:rFonts w:ascii="Arial" w:hAnsi="Arial" w:cs="Arial"/>
                <w:sz w:val="16"/>
                <w:szCs w:val="16"/>
              </w:rPr>
            </w:pPr>
            <w:r w:rsidRPr="001F344E">
              <w:rPr>
                <w:rFonts w:ascii="Arial" w:hAnsi="Arial" w:cs="Arial"/>
                <w:sz w:val="16"/>
                <w:szCs w:val="16"/>
              </w:rPr>
              <w:t>Costes de administración</w:t>
            </w:r>
          </w:p>
        </w:tc>
        <w:tc>
          <w:tcPr>
            <w:tcW w:w="1935" w:type="dxa"/>
            <w:gridSpan w:val="2"/>
            <w:tcBorders>
              <w:top w:val="single" w:sz="4" w:space="0" w:color="auto"/>
              <w:left w:val="nil"/>
              <w:bottom w:val="single" w:sz="4" w:space="0" w:color="auto"/>
              <w:right w:val="single" w:sz="4" w:space="0" w:color="000000"/>
            </w:tcBorders>
            <w:shd w:val="clear" w:color="000000" w:fill="D9D9D9"/>
            <w:vAlign w:val="center"/>
          </w:tcPr>
          <w:p w:rsidR="007D48BC" w:rsidRPr="001F344E" w:rsidRDefault="007D48BC" w:rsidP="00A56BE4">
            <w:pPr>
              <w:jc w:val="center"/>
              <w:rPr>
                <w:rFonts w:ascii="Arial" w:hAnsi="Arial" w:cs="Arial"/>
                <w:sz w:val="16"/>
                <w:szCs w:val="16"/>
              </w:rPr>
            </w:pPr>
            <w:r w:rsidRPr="001F344E">
              <w:rPr>
                <w:rFonts w:ascii="Arial" w:hAnsi="Arial" w:cs="Arial"/>
                <w:sz w:val="16"/>
                <w:szCs w:val="16"/>
              </w:rPr>
              <w:t> </w:t>
            </w:r>
          </w:p>
        </w:tc>
        <w:tc>
          <w:tcPr>
            <w:tcW w:w="973" w:type="dxa"/>
            <w:tcBorders>
              <w:top w:val="nil"/>
              <w:left w:val="nil"/>
              <w:bottom w:val="single" w:sz="4" w:space="0" w:color="auto"/>
              <w:right w:val="single" w:sz="4" w:space="0" w:color="auto"/>
            </w:tcBorders>
            <w:shd w:val="clear" w:color="000000" w:fill="D9D9D9"/>
            <w:vAlign w:val="center"/>
          </w:tcPr>
          <w:p w:rsidR="007D48BC" w:rsidRPr="001F344E" w:rsidRDefault="007D48BC" w:rsidP="00A56BE4">
            <w:pPr>
              <w:rPr>
                <w:rFonts w:ascii="Arial" w:hAnsi="Arial" w:cs="Arial"/>
                <w:sz w:val="16"/>
                <w:szCs w:val="16"/>
              </w:rPr>
            </w:pPr>
            <w:r w:rsidRPr="001F344E">
              <w:rPr>
                <w:rFonts w:ascii="Arial" w:hAnsi="Arial" w:cs="Arial"/>
                <w:sz w:val="16"/>
                <w:szCs w:val="16"/>
              </w:rPr>
              <w:t> </w:t>
            </w:r>
          </w:p>
        </w:tc>
        <w:tc>
          <w:tcPr>
            <w:tcW w:w="1297" w:type="dxa"/>
            <w:tcBorders>
              <w:top w:val="nil"/>
              <w:left w:val="nil"/>
              <w:bottom w:val="single" w:sz="4" w:space="0" w:color="auto"/>
              <w:right w:val="single" w:sz="8" w:space="0" w:color="auto"/>
            </w:tcBorders>
            <w:shd w:val="clear" w:color="000000" w:fill="D9D9D9"/>
            <w:vAlign w:val="center"/>
          </w:tcPr>
          <w:p w:rsidR="007D48BC" w:rsidRPr="001F344E" w:rsidRDefault="007D48BC" w:rsidP="00A56BE4">
            <w:pPr>
              <w:rPr>
                <w:rFonts w:ascii="Arial" w:hAnsi="Arial" w:cs="Arial"/>
                <w:sz w:val="16"/>
                <w:szCs w:val="16"/>
              </w:rPr>
            </w:pPr>
            <w:r>
              <w:rPr>
                <w:rFonts w:ascii="Arial" w:hAnsi="Arial" w:cs="Arial"/>
                <w:sz w:val="16"/>
                <w:szCs w:val="16"/>
              </w:rPr>
              <w:t xml:space="preserve">           385,50</w:t>
            </w:r>
            <w:r w:rsidRPr="001F344E">
              <w:rPr>
                <w:rFonts w:ascii="Arial" w:hAnsi="Arial" w:cs="Arial"/>
                <w:sz w:val="16"/>
                <w:szCs w:val="16"/>
              </w:rPr>
              <w:t xml:space="preserve"> €</w:t>
            </w:r>
          </w:p>
        </w:tc>
        <w:tc>
          <w:tcPr>
            <w:tcW w:w="1307" w:type="dxa"/>
            <w:gridSpan w:val="2"/>
            <w:tcBorders>
              <w:top w:val="single" w:sz="4" w:space="0" w:color="auto"/>
              <w:left w:val="nil"/>
              <w:bottom w:val="single" w:sz="4" w:space="0" w:color="auto"/>
              <w:right w:val="single" w:sz="4" w:space="0" w:color="000000"/>
            </w:tcBorders>
            <w:shd w:val="clear" w:color="000000" w:fill="D9D9D9"/>
            <w:vAlign w:val="center"/>
          </w:tcPr>
          <w:p w:rsidR="007D48BC" w:rsidRPr="001F344E" w:rsidRDefault="007D48BC" w:rsidP="00A56BE4">
            <w:pPr>
              <w:jc w:val="center"/>
              <w:rPr>
                <w:rFonts w:ascii="Arial" w:hAnsi="Arial" w:cs="Arial"/>
                <w:strike/>
                <w:sz w:val="16"/>
                <w:szCs w:val="16"/>
              </w:rPr>
            </w:pPr>
            <w:r w:rsidRPr="001F344E">
              <w:rPr>
                <w:rFonts w:ascii="Arial" w:hAnsi="Arial" w:cs="Arial"/>
                <w:strike/>
                <w:sz w:val="16"/>
                <w:szCs w:val="16"/>
              </w:rPr>
              <w:t> </w:t>
            </w:r>
          </w:p>
        </w:tc>
        <w:tc>
          <w:tcPr>
            <w:tcW w:w="1033" w:type="dxa"/>
            <w:tcBorders>
              <w:top w:val="nil"/>
              <w:left w:val="nil"/>
              <w:bottom w:val="single" w:sz="4" w:space="0" w:color="auto"/>
              <w:right w:val="single" w:sz="4" w:space="0" w:color="auto"/>
            </w:tcBorders>
            <w:shd w:val="clear" w:color="000000" w:fill="D9D9D9"/>
            <w:vAlign w:val="center"/>
          </w:tcPr>
          <w:p w:rsidR="007D48BC" w:rsidRPr="001F344E" w:rsidRDefault="007D48BC" w:rsidP="00A56BE4">
            <w:pPr>
              <w:rPr>
                <w:rFonts w:ascii="Arial" w:hAnsi="Arial" w:cs="Arial"/>
                <w:strike/>
                <w:sz w:val="16"/>
                <w:szCs w:val="16"/>
              </w:rPr>
            </w:pPr>
            <w:r w:rsidRPr="001F344E">
              <w:rPr>
                <w:rFonts w:ascii="Arial" w:hAnsi="Arial" w:cs="Arial"/>
                <w:strike/>
                <w:sz w:val="16"/>
                <w:szCs w:val="16"/>
              </w:rPr>
              <w:t> </w:t>
            </w:r>
          </w:p>
        </w:tc>
        <w:tc>
          <w:tcPr>
            <w:tcW w:w="951" w:type="dxa"/>
            <w:tcBorders>
              <w:top w:val="nil"/>
              <w:left w:val="nil"/>
              <w:bottom w:val="single" w:sz="4" w:space="0" w:color="auto"/>
              <w:right w:val="single" w:sz="4" w:space="0" w:color="auto"/>
            </w:tcBorders>
            <w:shd w:val="clear" w:color="000000" w:fill="D9D9D9"/>
            <w:vAlign w:val="center"/>
          </w:tcPr>
          <w:p w:rsidR="007D48BC" w:rsidRPr="001F344E" w:rsidRDefault="007D48BC" w:rsidP="00A56BE4">
            <w:pPr>
              <w:jc w:val="center"/>
              <w:rPr>
                <w:rFonts w:ascii="Arial" w:hAnsi="Arial" w:cs="Arial"/>
                <w:strike/>
                <w:sz w:val="16"/>
                <w:szCs w:val="16"/>
              </w:rPr>
            </w:pPr>
          </w:p>
        </w:tc>
        <w:tc>
          <w:tcPr>
            <w:tcW w:w="1296" w:type="dxa"/>
            <w:tcBorders>
              <w:top w:val="nil"/>
              <w:left w:val="nil"/>
              <w:bottom w:val="single" w:sz="4" w:space="0" w:color="auto"/>
              <w:right w:val="single" w:sz="4" w:space="0" w:color="auto"/>
            </w:tcBorders>
            <w:shd w:val="clear" w:color="000000" w:fill="D9D9D9"/>
            <w:vAlign w:val="center"/>
          </w:tcPr>
          <w:p w:rsidR="007D48BC" w:rsidRPr="00E75A86" w:rsidRDefault="007D48BC" w:rsidP="00A56BE4">
            <w:pPr>
              <w:jc w:val="right"/>
              <w:rPr>
                <w:rFonts w:ascii="Arial" w:hAnsi="Arial" w:cs="Arial"/>
                <w:color w:val="FF0000"/>
                <w:sz w:val="16"/>
                <w:szCs w:val="16"/>
                <w:highlight w:val="yellow"/>
              </w:rPr>
            </w:pPr>
            <w:r w:rsidRPr="00E75A86">
              <w:rPr>
                <w:rFonts w:ascii="Arial" w:hAnsi="Arial" w:cs="Arial"/>
                <w:color w:val="FF0000"/>
                <w:sz w:val="16"/>
                <w:szCs w:val="16"/>
              </w:rPr>
              <w:t>385,50 €</w:t>
            </w:r>
          </w:p>
        </w:tc>
      </w:tr>
      <w:tr w:rsidR="007D48BC" w:rsidRPr="001F344E">
        <w:trPr>
          <w:gridAfter w:val="1"/>
          <w:wAfter w:w="18" w:type="dxa"/>
          <w:trHeight w:val="485"/>
          <w:jc w:val="center"/>
        </w:trPr>
        <w:tc>
          <w:tcPr>
            <w:tcW w:w="1922" w:type="dxa"/>
            <w:tcBorders>
              <w:top w:val="nil"/>
              <w:left w:val="single" w:sz="4" w:space="0" w:color="auto"/>
              <w:bottom w:val="single" w:sz="4" w:space="0" w:color="auto"/>
              <w:right w:val="single" w:sz="8" w:space="0" w:color="auto"/>
            </w:tcBorders>
            <w:vAlign w:val="center"/>
          </w:tcPr>
          <w:p w:rsidR="007D48BC" w:rsidRPr="001F344E" w:rsidRDefault="007D48BC" w:rsidP="00A56BE4">
            <w:pPr>
              <w:rPr>
                <w:rFonts w:ascii="Arial" w:hAnsi="Arial" w:cs="Arial"/>
                <w:sz w:val="16"/>
                <w:szCs w:val="16"/>
              </w:rPr>
            </w:pPr>
            <w:r w:rsidRPr="001F344E">
              <w:rPr>
                <w:rFonts w:ascii="Arial" w:hAnsi="Arial" w:cs="Arial"/>
                <w:sz w:val="16"/>
                <w:szCs w:val="16"/>
              </w:rPr>
              <w:t>Costes de acondicionamiento del paciente</w:t>
            </w:r>
          </w:p>
        </w:tc>
        <w:tc>
          <w:tcPr>
            <w:tcW w:w="1187" w:type="dxa"/>
            <w:tcBorders>
              <w:top w:val="nil"/>
              <w:left w:val="nil"/>
              <w:bottom w:val="single" w:sz="4" w:space="0" w:color="auto"/>
              <w:right w:val="single" w:sz="4" w:space="0" w:color="auto"/>
            </w:tcBorders>
            <w:vAlign w:val="center"/>
          </w:tcPr>
          <w:p w:rsidR="007D48BC" w:rsidRPr="001F344E" w:rsidRDefault="007D48BC" w:rsidP="00A56BE4">
            <w:pPr>
              <w:rPr>
                <w:rFonts w:ascii="Arial" w:hAnsi="Arial" w:cs="Arial"/>
                <w:sz w:val="16"/>
                <w:szCs w:val="16"/>
              </w:rPr>
            </w:pPr>
            <w:r w:rsidRPr="001F344E">
              <w:rPr>
                <w:rFonts w:ascii="Arial" w:hAnsi="Arial" w:cs="Arial"/>
                <w:sz w:val="16"/>
                <w:szCs w:val="16"/>
              </w:rPr>
              <w:t>Tratamiento linfoablativo</w:t>
            </w:r>
          </w:p>
        </w:tc>
        <w:tc>
          <w:tcPr>
            <w:tcW w:w="748" w:type="dxa"/>
            <w:tcBorders>
              <w:top w:val="nil"/>
              <w:left w:val="nil"/>
              <w:bottom w:val="single" w:sz="4" w:space="0" w:color="auto"/>
              <w:right w:val="single" w:sz="4" w:space="0" w:color="auto"/>
            </w:tcBorders>
            <w:vAlign w:val="center"/>
          </w:tcPr>
          <w:p w:rsidR="007D48BC" w:rsidRPr="001F344E" w:rsidRDefault="007D48BC" w:rsidP="00A56BE4">
            <w:pPr>
              <w:jc w:val="right"/>
              <w:rPr>
                <w:rFonts w:ascii="Arial" w:hAnsi="Arial" w:cs="Arial"/>
                <w:sz w:val="16"/>
                <w:szCs w:val="16"/>
              </w:rPr>
            </w:pPr>
            <w:r w:rsidRPr="001F344E">
              <w:rPr>
                <w:rFonts w:ascii="Arial" w:hAnsi="Arial" w:cs="Arial"/>
                <w:sz w:val="16"/>
                <w:szCs w:val="16"/>
              </w:rPr>
              <w:t>53,93</w:t>
            </w:r>
          </w:p>
        </w:tc>
        <w:tc>
          <w:tcPr>
            <w:tcW w:w="973" w:type="dxa"/>
            <w:tcBorders>
              <w:top w:val="nil"/>
              <w:left w:val="nil"/>
              <w:bottom w:val="single" w:sz="4" w:space="0" w:color="auto"/>
              <w:right w:val="single" w:sz="4" w:space="0" w:color="auto"/>
            </w:tcBorders>
            <w:vAlign w:val="center"/>
          </w:tcPr>
          <w:p w:rsidR="007D48BC" w:rsidRPr="001F344E" w:rsidRDefault="007D48BC" w:rsidP="00A56BE4">
            <w:pPr>
              <w:jc w:val="right"/>
              <w:rPr>
                <w:rFonts w:ascii="Arial" w:hAnsi="Arial" w:cs="Arial"/>
                <w:sz w:val="16"/>
                <w:szCs w:val="16"/>
              </w:rPr>
            </w:pPr>
            <w:r w:rsidRPr="001F344E">
              <w:rPr>
                <w:rFonts w:ascii="Arial" w:hAnsi="Arial" w:cs="Arial"/>
                <w:sz w:val="16"/>
                <w:szCs w:val="16"/>
              </w:rPr>
              <w:t>1</w:t>
            </w:r>
          </w:p>
        </w:tc>
        <w:tc>
          <w:tcPr>
            <w:tcW w:w="1297" w:type="dxa"/>
            <w:tcBorders>
              <w:top w:val="nil"/>
              <w:left w:val="nil"/>
              <w:bottom w:val="single" w:sz="4" w:space="0" w:color="auto"/>
              <w:right w:val="single" w:sz="8" w:space="0" w:color="auto"/>
            </w:tcBorders>
            <w:vAlign w:val="center"/>
          </w:tcPr>
          <w:p w:rsidR="007D48BC" w:rsidRPr="001F344E" w:rsidRDefault="007D48BC" w:rsidP="00A56BE4">
            <w:pPr>
              <w:rPr>
                <w:rFonts w:ascii="Arial" w:hAnsi="Arial" w:cs="Arial"/>
                <w:sz w:val="16"/>
                <w:szCs w:val="16"/>
              </w:rPr>
            </w:pPr>
            <w:r>
              <w:rPr>
                <w:rFonts w:ascii="Arial" w:hAnsi="Arial" w:cs="Arial"/>
                <w:sz w:val="16"/>
                <w:szCs w:val="16"/>
              </w:rPr>
              <w:t xml:space="preserve">            189,23</w:t>
            </w:r>
            <w:r w:rsidRPr="001F344E">
              <w:rPr>
                <w:rFonts w:ascii="Arial" w:hAnsi="Arial" w:cs="Arial"/>
                <w:sz w:val="16"/>
                <w:szCs w:val="16"/>
              </w:rPr>
              <w:t xml:space="preserve"> €</w:t>
            </w:r>
          </w:p>
        </w:tc>
        <w:tc>
          <w:tcPr>
            <w:tcW w:w="1307" w:type="dxa"/>
            <w:gridSpan w:val="2"/>
            <w:tcBorders>
              <w:top w:val="single" w:sz="4" w:space="0" w:color="auto"/>
              <w:left w:val="nil"/>
              <w:bottom w:val="single" w:sz="4" w:space="0" w:color="auto"/>
              <w:right w:val="single" w:sz="4" w:space="0" w:color="000000"/>
            </w:tcBorders>
            <w:shd w:val="clear" w:color="000000" w:fill="FFFFFF"/>
            <w:vAlign w:val="center"/>
          </w:tcPr>
          <w:p w:rsidR="007D48BC" w:rsidRPr="001F344E" w:rsidRDefault="007D48BC" w:rsidP="00A56BE4">
            <w:pPr>
              <w:jc w:val="center"/>
              <w:rPr>
                <w:rFonts w:ascii="Arial" w:hAnsi="Arial" w:cs="Arial"/>
                <w:sz w:val="16"/>
                <w:szCs w:val="16"/>
              </w:rPr>
            </w:pPr>
            <w:r w:rsidRPr="001F344E">
              <w:rPr>
                <w:rFonts w:ascii="Arial" w:hAnsi="Arial" w:cs="Arial"/>
                <w:sz w:val="16"/>
                <w:szCs w:val="16"/>
              </w:rPr>
              <w:t> </w:t>
            </w:r>
          </w:p>
        </w:tc>
        <w:tc>
          <w:tcPr>
            <w:tcW w:w="1033" w:type="dxa"/>
            <w:tcBorders>
              <w:top w:val="nil"/>
              <w:left w:val="nil"/>
              <w:bottom w:val="single" w:sz="4" w:space="0" w:color="auto"/>
              <w:right w:val="single" w:sz="4" w:space="0" w:color="auto"/>
            </w:tcBorders>
            <w:vAlign w:val="center"/>
          </w:tcPr>
          <w:p w:rsidR="007D48BC" w:rsidRPr="001F344E" w:rsidRDefault="007D48BC" w:rsidP="00A56BE4">
            <w:pPr>
              <w:rPr>
                <w:rFonts w:ascii="Arial" w:hAnsi="Arial" w:cs="Arial"/>
                <w:sz w:val="16"/>
                <w:szCs w:val="16"/>
              </w:rPr>
            </w:pPr>
            <w:r w:rsidRPr="001F344E">
              <w:rPr>
                <w:rFonts w:ascii="Arial" w:hAnsi="Arial" w:cs="Arial"/>
                <w:sz w:val="16"/>
                <w:szCs w:val="16"/>
              </w:rPr>
              <w:t> </w:t>
            </w:r>
          </w:p>
        </w:tc>
        <w:tc>
          <w:tcPr>
            <w:tcW w:w="951" w:type="dxa"/>
            <w:tcBorders>
              <w:top w:val="nil"/>
              <w:left w:val="nil"/>
              <w:bottom w:val="single" w:sz="4" w:space="0" w:color="auto"/>
              <w:right w:val="single" w:sz="4" w:space="0" w:color="auto"/>
            </w:tcBorders>
            <w:vAlign w:val="center"/>
          </w:tcPr>
          <w:p w:rsidR="007D48BC" w:rsidRPr="001F344E" w:rsidRDefault="007D48BC" w:rsidP="00A56BE4">
            <w:pPr>
              <w:rPr>
                <w:rFonts w:ascii="Arial" w:hAnsi="Arial" w:cs="Arial"/>
                <w:sz w:val="16"/>
                <w:szCs w:val="16"/>
              </w:rPr>
            </w:pPr>
            <w:r w:rsidRPr="001F344E">
              <w:rPr>
                <w:rFonts w:ascii="Arial" w:hAnsi="Arial" w:cs="Arial"/>
                <w:sz w:val="16"/>
                <w:szCs w:val="16"/>
              </w:rPr>
              <w:t> </w:t>
            </w:r>
          </w:p>
        </w:tc>
        <w:tc>
          <w:tcPr>
            <w:tcW w:w="1296" w:type="dxa"/>
            <w:tcBorders>
              <w:top w:val="nil"/>
              <w:left w:val="nil"/>
              <w:bottom w:val="single" w:sz="4" w:space="0" w:color="auto"/>
              <w:right w:val="single" w:sz="4" w:space="0" w:color="auto"/>
            </w:tcBorders>
            <w:shd w:val="clear" w:color="000000" w:fill="D9D9D9"/>
            <w:vAlign w:val="center"/>
          </w:tcPr>
          <w:p w:rsidR="007D48BC" w:rsidRPr="00E75A86" w:rsidRDefault="007D48BC" w:rsidP="00A56BE4">
            <w:pPr>
              <w:rPr>
                <w:rFonts w:ascii="Arial" w:hAnsi="Arial" w:cs="Arial"/>
                <w:color w:val="FF0000"/>
                <w:sz w:val="16"/>
                <w:szCs w:val="16"/>
                <w:highlight w:val="yellow"/>
              </w:rPr>
            </w:pPr>
            <w:r w:rsidRPr="00E75A86">
              <w:rPr>
                <w:rFonts w:ascii="Arial" w:hAnsi="Arial" w:cs="Arial"/>
                <w:color w:val="FF0000"/>
                <w:sz w:val="16"/>
                <w:szCs w:val="16"/>
              </w:rPr>
              <w:t xml:space="preserve">           189,23 €</w:t>
            </w:r>
          </w:p>
        </w:tc>
      </w:tr>
      <w:tr w:rsidR="007D48BC" w:rsidRPr="001F344E">
        <w:trPr>
          <w:gridAfter w:val="1"/>
          <w:wAfter w:w="18" w:type="dxa"/>
          <w:trHeight w:val="375"/>
          <w:jc w:val="center"/>
        </w:trPr>
        <w:tc>
          <w:tcPr>
            <w:tcW w:w="1922" w:type="dxa"/>
            <w:tcBorders>
              <w:top w:val="nil"/>
              <w:left w:val="single" w:sz="4" w:space="0" w:color="auto"/>
              <w:bottom w:val="single" w:sz="4" w:space="0" w:color="auto"/>
              <w:right w:val="single" w:sz="8" w:space="0" w:color="auto"/>
            </w:tcBorders>
            <w:vAlign w:val="center"/>
          </w:tcPr>
          <w:p w:rsidR="007D48BC" w:rsidRPr="001F344E" w:rsidRDefault="007D48BC" w:rsidP="00A56BE4">
            <w:pPr>
              <w:rPr>
                <w:rFonts w:ascii="Arial" w:hAnsi="Arial" w:cs="Arial"/>
                <w:sz w:val="16"/>
                <w:szCs w:val="16"/>
              </w:rPr>
            </w:pPr>
            <w:r w:rsidRPr="001F344E">
              <w:rPr>
                <w:rFonts w:ascii="Arial" w:hAnsi="Arial" w:cs="Arial"/>
                <w:sz w:val="16"/>
                <w:szCs w:val="16"/>
              </w:rPr>
              <w:t>Coste de administración por enfermería</w:t>
            </w:r>
          </w:p>
        </w:tc>
        <w:tc>
          <w:tcPr>
            <w:tcW w:w="1935" w:type="dxa"/>
            <w:gridSpan w:val="2"/>
            <w:tcBorders>
              <w:top w:val="single" w:sz="4" w:space="0" w:color="auto"/>
              <w:left w:val="nil"/>
              <w:bottom w:val="single" w:sz="4" w:space="0" w:color="auto"/>
              <w:right w:val="single" w:sz="4" w:space="0" w:color="000000"/>
            </w:tcBorders>
            <w:vAlign w:val="center"/>
          </w:tcPr>
          <w:p w:rsidR="007D48BC" w:rsidRPr="001F344E" w:rsidRDefault="007D48BC" w:rsidP="00A56BE4">
            <w:pPr>
              <w:jc w:val="center"/>
              <w:rPr>
                <w:rFonts w:ascii="Arial" w:hAnsi="Arial" w:cs="Arial"/>
                <w:sz w:val="16"/>
                <w:szCs w:val="16"/>
              </w:rPr>
            </w:pPr>
            <w:r w:rsidRPr="001F344E">
              <w:rPr>
                <w:rFonts w:ascii="Arial" w:hAnsi="Arial" w:cs="Arial"/>
                <w:sz w:val="16"/>
                <w:szCs w:val="16"/>
              </w:rPr>
              <w:t>196,27</w:t>
            </w:r>
          </w:p>
        </w:tc>
        <w:tc>
          <w:tcPr>
            <w:tcW w:w="973" w:type="dxa"/>
            <w:tcBorders>
              <w:top w:val="nil"/>
              <w:left w:val="nil"/>
              <w:bottom w:val="single" w:sz="4" w:space="0" w:color="auto"/>
              <w:right w:val="single" w:sz="4" w:space="0" w:color="auto"/>
            </w:tcBorders>
            <w:vAlign w:val="center"/>
          </w:tcPr>
          <w:p w:rsidR="007D48BC" w:rsidRPr="001F344E" w:rsidRDefault="007D48BC" w:rsidP="00A56BE4">
            <w:pPr>
              <w:jc w:val="right"/>
              <w:rPr>
                <w:rFonts w:ascii="Arial" w:hAnsi="Arial" w:cs="Arial"/>
                <w:sz w:val="16"/>
                <w:szCs w:val="16"/>
              </w:rPr>
            </w:pPr>
            <w:r w:rsidRPr="001F344E">
              <w:rPr>
                <w:rFonts w:ascii="Arial" w:hAnsi="Arial" w:cs="Arial"/>
                <w:sz w:val="16"/>
                <w:szCs w:val="16"/>
              </w:rPr>
              <w:t>1</w:t>
            </w:r>
          </w:p>
        </w:tc>
        <w:tc>
          <w:tcPr>
            <w:tcW w:w="1297" w:type="dxa"/>
            <w:tcBorders>
              <w:top w:val="nil"/>
              <w:left w:val="nil"/>
              <w:bottom w:val="single" w:sz="4" w:space="0" w:color="auto"/>
              <w:right w:val="single" w:sz="8" w:space="0" w:color="auto"/>
            </w:tcBorders>
            <w:vAlign w:val="center"/>
          </w:tcPr>
          <w:p w:rsidR="007D48BC" w:rsidRPr="001F344E" w:rsidRDefault="007D48BC" w:rsidP="00A56BE4">
            <w:pPr>
              <w:rPr>
                <w:rFonts w:ascii="Arial" w:hAnsi="Arial" w:cs="Arial"/>
                <w:sz w:val="16"/>
                <w:szCs w:val="16"/>
              </w:rPr>
            </w:pPr>
            <w:r w:rsidRPr="001F344E">
              <w:rPr>
                <w:rFonts w:ascii="Arial" w:hAnsi="Arial" w:cs="Arial"/>
                <w:sz w:val="16"/>
                <w:szCs w:val="16"/>
              </w:rPr>
              <w:t xml:space="preserve">           196,27 € </w:t>
            </w:r>
          </w:p>
        </w:tc>
        <w:tc>
          <w:tcPr>
            <w:tcW w:w="1307" w:type="dxa"/>
            <w:gridSpan w:val="2"/>
            <w:tcBorders>
              <w:top w:val="single" w:sz="4" w:space="0" w:color="auto"/>
              <w:left w:val="nil"/>
              <w:bottom w:val="single" w:sz="4" w:space="0" w:color="auto"/>
              <w:right w:val="single" w:sz="4" w:space="0" w:color="000000"/>
            </w:tcBorders>
            <w:vAlign w:val="center"/>
          </w:tcPr>
          <w:p w:rsidR="007D48BC" w:rsidRPr="001F344E" w:rsidRDefault="007D48BC" w:rsidP="00A56BE4">
            <w:pPr>
              <w:jc w:val="center"/>
              <w:rPr>
                <w:rFonts w:ascii="Arial" w:hAnsi="Arial" w:cs="Arial"/>
                <w:strike/>
                <w:sz w:val="16"/>
                <w:szCs w:val="16"/>
              </w:rPr>
            </w:pPr>
          </w:p>
        </w:tc>
        <w:tc>
          <w:tcPr>
            <w:tcW w:w="1033" w:type="dxa"/>
            <w:tcBorders>
              <w:top w:val="nil"/>
              <w:left w:val="nil"/>
              <w:bottom w:val="single" w:sz="4" w:space="0" w:color="auto"/>
              <w:right w:val="single" w:sz="4" w:space="0" w:color="auto"/>
            </w:tcBorders>
            <w:vAlign w:val="center"/>
          </w:tcPr>
          <w:p w:rsidR="007D48BC" w:rsidRPr="001F344E" w:rsidRDefault="007D48BC" w:rsidP="00A56BE4">
            <w:pPr>
              <w:rPr>
                <w:rFonts w:ascii="Arial" w:hAnsi="Arial" w:cs="Arial"/>
                <w:strike/>
                <w:sz w:val="16"/>
                <w:szCs w:val="16"/>
              </w:rPr>
            </w:pPr>
          </w:p>
        </w:tc>
        <w:tc>
          <w:tcPr>
            <w:tcW w:w="951" w:type="dxa"/>
            <w:tcBorders>
              <w:top w:val="nil"/>
              <w:left w:val="nil"/>
              <w:bottom w:val="single" w:sz="4" w:space="0" w:color="auto"/>
              <w:right w:val="single" w:sz="4" w:space="0" w:color="auto"/>
            </w:tcBorders>
            <w:vAlign w:val="center"/>
          </w:tcPr>
          <w:p w:rsidR="007D48BC" w:rsidRPr="001F344E" w:rsidRDefault="007D48BC" w:rsidP="00A56BE4">
            <w:pPr>
              <w:rPr>
                <w:rFonts w:ascii="Arial" w:hAnsi="Arial" w:cs="Arial"/>
                <w:strike/>
                <w:sz w:val="16"/>
                <w:szCs w:val="16"/>
              </w:rPr>
            </w:pPr>
            <w:r w:rsidRPr="001F344E">
              <w:rPr>
                <w:rFonts w:ascii="Arial" w:hAnsi="Arial" w:cs="Arial"/>
                <w:strike/>
                <w:sz w:val="16"/>
                <w:szCs w:val="16"/>
              </w:rPr>
              <w:t xml:space="preserve">       </w:t>
            </w:r>
          </w:p>
        </w:tc>
        <w:tc>
          <w:tcPr>
            <w:tcW w:w="1296" w:type="dxa"/>
            <w:tcBorders>
              <w:top w:val="nil"/>
              <w:left w:val="nil"/>
              <w:bottom w:val="single" w:sz="4" w:space="0" w:color="auto"/>
              <w:right w:val="single" w:sz="4" w:space="0" w:color="auto"/>
            </w:tcBorders>
            <w:shd w:val="clear" w:color="000000" w:fill="D9D9D9"/>
            <w:vAlign w:val="center"/>
          </w:tcPr>
          <w:p w:rsidR="007D48BC" w:rsidRPr="00E75A86" w:rsidRDefault="007D48BC" w:rsidP="00A56BE4">
            <w:pPr>
              <w:jc w:val="right"/>
              <w:rPr>
                <w:rFonts w:ascii="Arial" w:hAnsi="Arial" w:cs="Arial"/>
                <w:strike/>
                <w:color w:val="FF0000"/>
                <w:sz w:val="16"/>
                <w:szCs w:val="16"/>
                <w:highlight w:val="yellow"/>
              </w:rPr>
            </w:pPr>
            <w:r w:rsidRPr="00E75A86">
              <w:rPr>
                <w:rFonts w:ascii="Arial" w:hAnsi="Arial" w:cs="Arial"/>
                <w:color w:val="FF0000"/>
                <w:sz w:val="16"/>
                <w:szCs w:val="16"/>
              </w:rPr>
              <w:t>196,27 €</w:t>
            </w:r>
          </w:p>
        </w:tc>
      </w:tr>
      <w:tr w:rsidR="007D48BC" w:rsidRPr="001F344E">
        <w:trPr>
          <w:gridAfter w:val="1"/>
          <w:wAfter w:w="18" w:type="dxa"/>
          <w:trHeight w:val="255"/>
          <w:jc w:val="center"/>
        </w:trPr>
        <w:tc>
          <w:tcPr>
            <w:tcW w:w="1922" w:type="dxa"/>
            <w:tcBorders>
              <w:top w:val="nil"/>
              <w:left w:val="single" w:sz="4" w:space="0" w:color="auto"/>
              <w:bottom w:val="single" w:sz="4" w:space="0" w:color="auto"/>
              <w:right w:val="single" w:sz="8" w:space="0" w:color="auto"/>
            </w:tcBorders>
            <w:shd w:val="clear" w:color="000000" w:fill="D9D9D9"/>
            <w:vAlign w:val="center"/>
          </w:tcPr>
          <w:p w:rsidR="007D48BC" w:rsidRPr="001F344E" w:rsidRDefault="007D48BC" w:rsidP="00A56BE4">
            <w:pPr>
              <w:rPr>
                <w:rFonts w:ascii="Arial" w:hAnsi="Arial" w:cs="Arial"/>
                <w:sz w:val="16"/>
                <w:szCs w:val="16"/>
              </w:rPr>
            </w:pPr>
            <w:r w:rsidRPr="001F344E">
              <w:rPr>
                <w:rFonts w:ascii="Arial" w:hAnsi="Arial" w:cs="Arial"/>
                <w:sz w:val="16"/>
                <w:szCs w:val="16"/>
              </w:rPr>
              <w:t>Costes de monitorización</w:t>
            </w:r>
          </w:p>
        </w:tc>
        <w:tc>
          <w:tcPr>
            <w:tcW w:w="1935" w:type="dxa"/>
            <w:gridSpan w:val="2"/>
            <w:tcBorders>
              <w:top w:val="single" w:sz="4" w:space="0" w:color="auto"/>
              <w:left w:val="nil"/>
              <w:bottom w:val="single" w:sz="4" w:space="0" w:color="auto"/>
              <w:right w:val="single" w:sz="4" w:space="0" w:color="000000"/>
            </w:tcBorders>
            <w:shd w:val="clear" w:color="000000" w:fill="D9D9D9"/>
            <w:vAlign w:val="center"/>
          </w:tcPr>
          <w:p w:rsidR="007D48BC" w:rsidRPr="001F344E" w:rsidRDefault="007D48BC" w:rsidP="00A56BE4">
            <w:pPr>
              <w:jc w:val="center"/>
              <w:rPr>
                <w:rFonts w:ascii="Arial" w:hAnsi="Arial" w:cs="Arial"/>
                <w:sz w:val="16"/>
                <w:szCs w:val="16"/>
              </w:rPr>
            </w:pPr>
            <w:r w:rsidRPr="001F344E">
              <w:rPr>
                <w:rFonts w:ascii="Arial" w:hAnsi="Arial" w:cs="Arial"/>
                <w:sz w:val="16"/>
                <w:szCs w:val="16"/>
              </w:rPr>
              <w:t> </w:t>
            </w:r>
          </w:p>
        </w:tc>
        <w:tc>
          <w:tcPr>
            <w:tcW w:w="973" w:type="dxa"/>
            <w:tcBorders>
              <w:top w:val="nil"/>
              <w:left w:val="nil"/>
              <w:bottom w:val="single" w:sz="4" w:space="0" w:color="auto"/>
              <w:right w:val="single" w:sz="4" w:space="0" w:color="auto"/>
            </w:tcBorders>
            <w:shd w:val="clear" w:color="000000" w:fill="D9D9D9"/>
            <w:vAlign w:val="center"/>
          </w:tcPr>
          <w:p w:rsidR="007D48BC" w:rsidRPr="001F344E" w:rsidRDefault="007D48BC" w:rsidP="00A56BE4">
            <w:pPr>
              <w:rPr>
                <w:rFonts w:ascii="Arial" w:hAnsi="Arial" w:cs="Arial"/>
                <w:sz w:val="16"/>
                <w:szCs w:val="16"/>
              </w:rPr>
            </w:pPr>
            <w:r w:rsidRPr="001F344E">
              <w:rPr>
                <w:rFonts w:ascii="Arial" w:hAnsi="Arial" w:cs="Arial"/>
                <w:sz w:val="16"/>
                <w:szCs w:val="16"/>
              </w:rPr>
              <w:t> </w:t>
            </w:r>
          </w:p>
        </w:tc>
        <w:tc>
          <w:tcPr>
            <w:tcW w:w="1297" w:type="dxa"/>
            <w:tcBorders>
              <w:top w:val="nil"/>
              <w:left w:val="nil"/>
              <w:bottom w:val="single" w:sz="4" w:space="0" w:color="auto"/>
              <w:right w:val="single" w:sz="8" w:space="0" w:color="auto"/>
            </w:tcBorders>
            <w:shd w:val="clear" w:color="000000" w:fill="D9D9D9"/>
            <w:vAlign w:val="center"/>
          </w:tcPr>
          <w:p w:rsidR="007D48BC" w:rsidRPr="001F344E" w:rsidRDefault="007D48BC" w:rsidP="00A56BE4">
            <w:pPr>
              <w:rPr>
                <w:rFonts w:ascii="Arial" w:hAnsi="Arial" w:cs="Arial"/>
                <w:sz w:val="16"/>
                <w:szCs w:val="16"/>
              </w:rPr>
            </w:pPr>
            <w:r w:rsidRPr="001F344E">
              <w:rPr>
                <w:rFonts w:ascii="Arial" w:hAnsi="Arial" w:cs="Arial"/>
                <w:sz w:val="16"/>
                <w:szCs w:val="16"/>
              </w:rPr>
              <w:t> </w:t>
            </w:r>
          </w:p>
        </w:tc>
        <w:tc>
          <w:tcPr>
            <w:tcW w:w="1307" w:type="dxa"/>
            <w:gridSpan w:val="2"/>
            <w:tcBorders>
              <w:top w:val="single" w:sz="4" w:space="0" w:color="auto"/>
              <w:left w:val="nil"/>
              <w:bottom w:val="single" w:sz="4" w:space="0" w:color="auto"/>
              <w:right w:val="single" w:sz="4" w:space="0" w:color="000000"/>
            </w:tcBorders>
            <w:shd w:val="clear" w:color="000000" w:fill="D9D9D9"/>
            <w:vAlign w:val="center"/>
          </w:tcPr>
          <w:p w:rsidR="007D48BC" w:rsidRPr="001F344E" w:rsidRDefault="007D48BC" w:rsidP="00A56BE4">
            <w:pPr>
              <w:jc w:val="center"/>
              <w:rPr>
                <w:rFonts w:ascii="Arial" w:hAnsi="Arial" w:cs="Arial"/>
                <w:sz w:val="16"/>
                <w:szCs w:val="16"/>
              </w:rPr>
            </w:pPr>
            <w:r w:rsidRPr="001F344E">
              <w:rPr>
                <w:rFonts w:ascii="Arial" w:hAnsi="Arial" w:cs="Arial"/>
                <w:sz w:val="16"/>
                <w:szCs w:val="16"/>
              </w:rPr>
              <w:t> </w:t>
            </w:r>
          </w:p>
        </w:tc>
        <w:tc>
          <w:tcPr>
            <w:tcW w:w="1033" w:type="dxa"/>
            <w:tcBorders>
              <w:top w:val="nil"/>
              <w:left w:val="nil"/>
              <w:bottom w:val="single" w:sz="4" w:space="0" w:color="auto"/>
              <w:right w:val="single" w:sz="4" w:space="0" w:color="auto"/>
            </w:tcBorders>
            <w:shd w:val="clear" w:color="000000" w:fill="D9D9D9"/>
            <w:vAlign w:val="center"/>
          </w:tcPr>
          <w:p w:rsidR="007D48BC" w:rsidRPr="001F344E" w:rsidRDefault="007D48BC" w:rsidP="00A56BE4">
            <w:pPr>
              <w:rPr>
                <w:rFonts w:ascii="Arial" w:hAnsi="Arial" w:cs="Arial"/>
                <w:sz w:val="16"/>
                <w:szCs w:val="16"/>
              </w:rPr>
            </w:pPr>
            <w:r w:rsidRPr="001F344E">
              <w:rPr>
                <w:rFonts w:ascii="Arial" w:hAnsi="Arial" w:cs="Arial"/>
                <w:sz w:val="16"/>
                <w:szCs w:val="16"/>
              </w:rPr>
              <w:t> </w:t>
            </w:r>
          </w:p>
        </w:tc>
        <w:tc>
          <w:tcPr>
            <w:tcW w:w="951" w:type="dxa"/>
            <w:tcBorders>
              <w:top w:val="nil"/>
              <w:left w:val="nil"/>
              <w:bottom w:val="single" w:sz="4" w:space="0" w:color="auto"/>
              <w:right w:val="single" w:sz="4" w:space="0" w:color="auto"/>
            </w:tcBorders>
            <w:shd w:val="clear" w:color="000000" w:fill="D9D9D9"/>
            <w:vAlign w:val="center"/>
          </w:tcPr>
          <w:p w:rsidR="007D48BC" w:rsidRPr="001F344E" w:rsidRDefault="007D48BC" w:rsidP="00A56BE4">
            <w:pPr>
              <w:rPr>
                <w:rFonts w:ascii="Arial" w:hAnsi="Arial" w:cs="Arial"/>
                <w:sz w:val="16"/>
                <w:szCs w:val="16"/>
              </w:rPr>
            </w:pPr>
            <w:r w:rsidRPr="001F344E">
              <w:rPr>
                <w:rFonts w:ascii="Arial" w:hAnsi="Arial" w:cs="Arial"/>
                <w:sz w:val="16"/>
                <w:szCs w:val="16"/>
              </w:rPr>
              <w:t> </w:t>
            </w:r>
          </w:p>
        </w:tc>
        <w:tc>
          <w:tcPr>
            <w:tcW w:w="1296" w:type="dxa"/>
            <w:tcBorders>
              <w:top w:val="nil"/>
              <w:left w:val="nil"/>
              <w:bottom w:val="single" w:sz="4" w:space="0" w:color="auto"/>
              <w:right w:val="single" w:sz="4" w:space="0" w:color="auto"/>
            </w:tcBorders>
            <w:shd w:val="clear" w:color="000000" w:fill="D9D9D9"/>
            <w:vAlign w:val="center"/>
          </w:tcPr>
          <w:p w:rsidR="007D48BC" w:rsidRPr="00E75A86" w:rsidRDefault="007D48BC" w:rsidP="00A56BE4">
            <w:pPr>
              <w:rPr>
                <w:rFonts w:ascii="Arial" w:hAnsi="Arial" w:cs="Arial"/>
                <w:color w:val="FF0000"/>
                <w:sz w:val="16"/>
                <w:szCs w:val="16"/>
                <w:highlight w:val="yellow"/>
              </w:rPr>
            </w:pPr>
          </w:p>
        </w:tc>
      </w:tr>
      <w:tr w:rsidR="007D48BC" w:rsidRPr="001F344E">
        <w:trPr>
          <w:gridAfter w:val="1"/>
          <w:wAfter w:w="18" w:type="dxa"/>
          <w:trHeight w:val="450"/>
          <w:jc w:val="center"/>
        </w:trPr>
        <w:tc>
          <w:tcPr>
            <w:tcW w:w="1922" w:type="dxa"/>
            <w:tcBorders>
              <w:top w:val="nil"/>
              <w:left w:val="single" w:sz="4" w:space="0" w:color="auto"/>
              <w:bottom w:val="single" w:sz="4" w:space="0" w:color="auto"/>
              <w:right w:val="single" w:sz="8" w:space="0" w:color="auto"/>
            </w:tcBorders>
            <w:vAlign w:val="center"/>
          </w:tcPr>
          <w:p w:rsidR="007D48BC" w:rsidRPr="001F344E" w:rsidRDefault="007D48BC" w:rsidP="00A56BE4">
            <w:pPr>
              <w:rPr>
                <w:rFonts w:ascii="Arial" w:hAnsi="Arial" w:cs="Arial"/>
                <w:sz w:val="16"/>
                <w:szCs w:val="16"/>
              </w:rPr>
            </w:pPr>
            <w:r w:rsidRPr="001F344E">
              <w:rPr>
                <w:rFonts w:ascii="Arial" w:hAnsi="Arial" w:cs="Arial"/>
                <w:sz w:val="16"/>
                <w:szCs w:val="16"/>
              </w:rPr>
              <w:t>Coste de monitorización para prevenir toxicidad</w:t>
            </w:r>
          </w:p>
        </w:tc>
        <w:tc>
          <w:tcPr>
            <w:tcW w:w="1935" w:type="dxa"/>
            <w:gridSpan w:val="2"/>
            <w:tcBorders>
              <w:top w:val="single" w:sz="4" w:space="0" w:color="auto"/>
              <w:left w:val="nil"/>
              <w:bottom w:val="single" w:sz="4" w:space="0" w:color="auto"/>
              <w:right w:val="single" w:sz="4" w:space="0" w:color="000000"/>
            </w:tcBorders>
            <w:vAlign w:val="center"/>
          </w:tcPr>
          <w:p w:rsidR="007D48BC" w:rsidRPr="001F344E" w:rsidRDefault="007D48BC" w:rsidP="00A56BE4">
            <w:pPr>
              <w:jc w:val="center"/>
              <w:rPr>
                <w:rFonts w:ascii="Arial" w:hAnsi="Arial" w:cs="Arial"/>
                <w:sz w:val="16"/>
                <w:szCs w:val="16"/>
              </w:rPr>
            </w:pPr>
            <w:r w:rsidRPr="001F344E">
              <w:rPr>
                <w:rFonts w:ascii="Arial" w:hAnsi="Arial" w:cs="Arial"/>
                <w:sz w:val="16"/>
                <w:szCs w:val="16"/>
              </w:rPr>
              <w:t> </w:t>
            </w:r>
          </w:p>
        </w:tc>
        <w:tc>
          <w:tcPr>
            <w:tcW w:w="973" w:type="dxa"/>
            <w:tcBorders>
              <w:top w:val="nil"/>
              <w:left w:val="nil"/>
              <w:bottom w:val="single" w:sz="4" w:space="0" w:color="auto"/>
              <w:right w:val="single" w:sz="4" w:space="0" w:color="auto"/>
            </w:tcBorders>
            <w:vAlign w:val="center"/>
          </w:tcPr>
          <w:p w:rsidR="007D48BC" w:rsidRPr="001F344E" w:rsidRDefault="007D48BC" w:rsidP="00A56BE4">
            <w:pPr>
              <w:rPr>
                <w:rFonts w:ascii="Arial" w:hAnsi="Arial" w:cs="Arial"/>
                <w:sz w:val="16"/>
                <w:szCs w:val="16"/>
              </w:rPr>
            </w:pPr>
            <w:r w:rsidRPr="001F344E">
              <w:rPr>
                <w:rFonts w:ascii="Arial" w:hAnsi="Arial" w:cs="Arial"/>
                <w:sz w:val="16"/>
                <w:szCs w:val="16"/>
              </w:rPr>
              <w:t> </w:t>
            </w:r>
          </w:p>
        </w:tc>
        <w:tc>
          <w:tcPr>
            <w:tcW w:w="1297" w:type="dxa"/>
            <w:tcBorders>
              <w:top w:val="nil"/>
              <w:left w:val="nil"/>
              <w:bottom w:val="single" w:sz="4" w:space="0" w:color="auto"/>
              <w:right w:val="single" w:sz="8" w:space="0" w:color="auto"/>
            </w:tcBorders>
            <w:vAlign w:val="center"/>
          </w:tcPr>
          <w:p w:rsidR="007D48BC" w:rsidRPr="001F344E" w:rsidRDefault="007D48BC" w:rsidP="00A56BE4">
            <w:pPr>
              <w:rPr>
                <w:rFonts w:ascii="Arial" w:hAnsi="Arial" w:cs="Arial"/>
                <w:sz w:val="16"/>
                <w:szCs w:val="16"/>
              </w:rPr>
            </w:pPr>
            <w:r w:rsidRPr="001F344E">
              <w:rPr>
                <w:rFonts w:ascii="Arial" w:hAnsi="Arial" w:cs="Arial"/>
                <w:sz w:val="16"/>
                <w:szCs w:val="16"/>
              </w:rPr>
              <w:t> </w:t>
            </w:r>
          </w:p>
        </w:tc>
        <w:tc>
          <w:tcPr>
            <w:tcW w:w="768" w:type="dxa"/>
            <w:tcBorders>
              <w:top w:val="nil"/>
              <w:left w:val="nil"/>
              <w:bottom w:val="single" w:sz="4" w:space="0" w:color="auto"/>
              <w:right w:val="single" w:sz="4" w:space="0" w:color="auto"/>
            </w:tcBorders>
            <w:vAlign w:val="center"/>
          </w:tcPr>
          <w:p w:rsidR="007D48BC" w:rsidRPr="001F344E" w:rsidRDefault="007D48BC" w:rsidP="00A56BE4">
            <w:pPr>
              <w:rPr>
                <w:rFonts w:ascii="Arial" w:hAnsi="Arial" w:cs="Arial"/>
                <w:sz w:val="16"/>
                <w:szCs w:val="16"/>
              </w:rPr>
            </w:pPr>
          </w:p>
        </w:tc>
        <w:tc>
          <w:tcPr>
            <w:tcW w:w="539" w:type="dxa"/>
            <w:tcBorders>
              <w:top w:val="nil"/>
              <w:left w:val="nil"/>
              <w:bottom w:val="single" w:sz="4" w:space="0" w:color="auto"/>
              <w:right w:val="nil"/>
            </w:tcBorders>
            <w:vAlign w:val="center"/>
          </w:tcPr>
          <w:p w:rsidR="007D48BC" w:rsidRPr="001F344E" w:rsidRDefault="007D48BC" w:rsidP="00A56BE4">
            <w:pPr>
              <w:jc w:val="right"/>
              <w:rPr>
                <w:rFonts w:ascii="Arial" w:hAnsi="Arial" w:cs="Arial"/>
                <w:sz w:val="16"/>
                <w:szCs w:val="16"/>
              </w:rPr>
            </w:pPr>
          </w:p>
        </w:tc>
        <w:tc>
          <w:tcPr>
            <w:tcW w:w="1033" w:type="dxa"/>
            <w:tcBorders>
              <w:top w:val="nil"/>
              <w:left w:val="single" w:sz="4" w:space="0" w:color="auto"/>
              <w:bottom w:val="single" w:sz="4" w:space="0" w:color="auto"/>
              <w:right w:val="single" w:sz="4" w:space="0" w:color="auto"/>
            </w:tcBorders>
            <w:vAlign w:val="center"/>
          </w:tcPr>
          <w:p w:rsidR="007D48BC" w:rsidRPr="001F344E" w:rsidRDefault="007D48BC" w:rsidP="00A56BE4">
            <w:pPr>
              <w:jc w:val="right"/>
              <w:rPr>
                <w:rFonts w:ascii="Arial" w:hAnsi="Arial" w:cs="Arial"/>
                <w:sz w:val="16"/>
                <w:szCs w:val="16"/>
              </w:rPr>
            </w:pPr>
          </w:p>
        </w:tc>
        <w:tc>
          <w:tcPr>
            <w:tcW w:w="951" w:type="dxa"/>
            <w:tcBorders>
              <w:top w:val="nil"/>
              <w:left w:val="nil"/>
              <w:bottom w:val="single" w:sz="4" w:space="0" w:color="auto"/>
              <w:right w:val="single" w:sz="4" w:space="0" w:color="auto"/>
            </w:tcBorders>
            <w:vAlign w:val="center"/>
          </w:tcPr>
          <w:p w:rsidR="007D48BC" w:rsidRPr="001F344E" w:rsidRDefault="007D48BC" w:rsidP="00A56BE4">
            <w:pPr>
              <w:rPr>
                <w:rFonts w:ascii="Arial" w:hAnsi="Arial" w:cs="Arial"/>
                <w:sz w:val="16"/>
                <w:szCs w:val="16"/>
              </w:rPr>
            </w:pPr>
          </w:p>
        </w:tc>
        <w:tc>
          <w:tcPr>
            <w:tcW w:w="1296" w:type="dxa"/>
            <w:tcBorders>
              <w:top w:val="nil"/>
              <w:left w:val="nil"/>
              <w:bottom w:val="single" w:sz="4" w:space="0" w:color="auto"/>
              <w:right w:val="single" w:sz="4" w:space="0" w:color="auto"/>
            </w:tcBorders>
            <w:shd w:val="clear" w:color="000000" w:fill="D9D9D9"/>
            <w:vAlign w:val="center"/>
          </w:tcPr>
          <w:p w:rsidR="007D48BC" w:rsidRPr="00E75A86" w:rsidRDefault="007D48BC" w:rsidP="00A56BE4">
            <w:pPr>
              <w:rPr>
                <w:rFonts w:ascii="Arial" w:hAnsi="Arial" w:cs="Arial"/>
                <w:color w:val="FF0000"/>
                <w:sz w:val="16"/>
                <w:szCs w:val="16"/>
                <w:highlight w:val="yellow"/>
              </w:rPr>
            </w:pPr>
          </w:p>
        </w:tc>
      </w:tr>
      <w:tr w:rsidR="007D48BC" w:rsidRPr="001F344E">
        <w:trPr>
          <w:gridAfter w:val="1"/>
          <w:wAfter w:w="18" w:type="dxa"/>
          <w:trHeight w:val="255"/>
          <w:jc w:val="center"/>
        </w:trPr>
        <w:tc>
          <w:tcPr>
            <w:tcW w:w="1922" w:type="dxa"/>
            <w:tcBorders>
              <w:top w:val="nil"/>
              <w:left w:val="single" w:sz="4" w:space="0" w:color="auto"/>
              <w:bottom w:val="single" w:sz="4" w:space="0" w:color="auto"/>
              <w:right w:val="single" w:sz="8" w:space="0" w:color="auto"/>
            </w:tcBorders>
            <w:shd w:val="clear" w:color="000000" w:fill="D9D9D9"/>
            <w:vAlign w:val="center"/>
          </w:tcPr>
          <w:p w:rsidR="007D48BC" w:rsidRPr="001F344E" w:rsidRDefault="007D48BC" w:rsidP="00A56BE4">
            <w:pPr>
              <w:rPr>
                <w:rFonts w:ascii="Arial" w:hAnsi="Arial" w:cs="Arial"/>
                <w:sz w:val="16"/>
                <w:szCs w:val="16"/>
              </w:rPr>
            </w:pPr>
            <w:r w:rsidRPr="001F344E">
              <w:rPr>
                <w:rFonts w:ascii="Arial" w:hAnsi="Arial" w:cs="Arial"/>
                <w:sz w:val="16"/>
                <w:szCs w:val="16"/>
              </w:rPr>
              <w:t>Costes efectos adversos</w:t>
            </w:r>
          </w:p>
        </w:tc>
        <w:tc>
          <w:tcPr>
            <w:tcW w:w="1935" w:type="dxa"/>
            <w:gridSpan w:val="2"/>
            <w:tcBorders>
              <w:top w:val="single" w:sz="4" w:space="0" w:color="auto"/>
              <w:left w:val="nil"/>
              <w:bottom w:val="single" w:sz="4" w:space="0" w:color="auto"/>
              <w:right w:val="single" w:sz="4" w:space="0" w:color="000000"/>
            </w:tcBorders>
            <w:shd w:val="clear" w:color="000000" w:fill="D9D9D9"/>
            <w:vAlign w:val="center"/>
          </w:tcPr>
          <w:p w:rsidR="007D48BC" w:rsidRPr="001F344E" w:rsidRDefault="007D48BC" w:rsidP="00A56BE4">
            <w:pPr>
              <w:jc w:val="center"/>
              <w:rPr>
                <w:rFonts w:ascii="Arial" w:hAnsi="Arial" w:cs="Arial"/>
                <w:sz w:val="16"/>
                <w:szCs w:val="16"/>
              </w:rPr>
            </w:pPr>
            <w:r w:rsidRPr="001F344E">
              <w:rPr>
                <w:rFonts w:ascii="Arial" w:hAnsi="Arial" w:cs="Arial"/>
                <w:sz w:val="16"/>
                <w:szCs w:val="16"/>
              </w:rPr>
              <w:t> </w:t>
            </w:r>
          </w:p>
        </w:tc>
        <w:tc>
          <w:tcPr>
            <w:tcW w:w="973" w:type="dxa"/>
            <w:tcBorders>
              <w:top w:val="nil"/>
              <w:left w:val="nil"/>
              <w:bottom w:val="single" w:sz="4" w:space="0" w:color="auto"/>
              <w:right w:val="single" w:sz="4" w:space="0" w:color="auto"/>
            </w:tcBorders>
            <w:shd w:val="clear" w:color="000000" w:fill="D9D9D9"/>
            <w:vAlign w:val="center"/>
          </w:tcPr>
          <w:p w:rsidR="007D48BC" w:rsidRPr="001F344E" w:rsidRDefault="007D48BC" w:rsidP="00A56BE4">
            <w:pPr>
              <w:rPr>
                <w:rFonts w:ascii="Arial" w:hAnsi="Arial" w:cs="Arial"/>
                <w:sz w:val="16"/>
                <w:szCs w:val="16"/>
              </w:rPr>
            </w:pPr>
            <w:r w:rsidRPr="001F344E">
              <w:rPr>
                <w:rFonts w:ascii="Arial" w:hAnsi="Arial" w:cs="Arial"/>
                <w:sz w:val="16"/>
                <w:szCs w:val="16"/>
              </w:rPr>
              <w:t> </w:t>
            </w:r>
          </w:p>
        </w:tc>
        <w:tc>
          <w:tcPr>
            <w:tcW w:w="1297" w:type="dxa"/>
            <w:tcBorders>
              <w:top w:val="nil"/>
              <w:left w:val="nil"/>
              <w:bottom w:val="single" w:sz="4" w:space="0" w:color="auto"/>
              <w:right w:val="single" w:sz="8" w:space="0" w:color="auto"/>
            </w:tcBorders>
            <w:shd w:val="clear" w:color="000000" w:fill="D9D9D9"/>
            <w:vAlign w:val="center"/>
          </w:tcPr>
          <w:p w:rsidR="007D48BC" w:rsidRPr="001F344E" w:rsidRDefault="007D48BC" w:rsidP="007872CC">
            <w:pPr>
              <w:jc w:val="center"/>
              <w:rPr>
                <w:rFonts w:ascii="Arial" w:hAnsi="Arial" w:cs="Arial"/>
                <w:sz w:val="16"/>
                <w:szCs w:val="16"/>
              </w:rPr>
            </w:pPr>
            <w:r>
              <w:rPr>
                <w:rFonts w:ascii="Arial" w:hAnsi="Arial" w:cs="Arial"/>
                <w:sz w:val="16"/>
                <w:szCs w:val="16"/>
              </w:rPr>
              <w:t>472,52</w:t>
            </w:r>
            <w:r w:rsidRPr="001F344E">
              <w:rPr>
                <w:rFonts w:ascii="Arial" w:hAnsi="Arial" w:cs="Arial"/>
                <w:sz w:val="16"/>
                <w:szCs w:val="16"/>
              </w:rPr>
              <w:t xml:space="preserve"> €</w:t>
            </w:r>
          </w:p>
        </w:tc>
        <w:tc>
          <w:tcPr>
            <w:tcW w:w="1307" w:type="dxa"/>
            <w:gridSpan w:val="2"/>
            <w:tcBorders>
              <w:top w:val="single" w:sz="4" w:space="0" w:color="auto"/>
              <w:left w:val="nil"/>
              <w:bottom w:val="single" w:sz="4" w:space="0" w:color="auto"/>
              <w:right w:val="single" w:sz="4" w:space="0" w:color="000000"/>
            </w:tcBorders>
            <w:shd w:val="clear" w:color="000000" w:fill="D9D9D9"/>
            <w:vAlign w:val="center"/>
          </w:tcPr>
          <w:p w:rsidR="007D48BC" w:rsidRPr="001F344E" w:rsidRDefault="007D48BC" w:rsidP="00A56BE4">
            <w:pPr>
              <w:jc w:val="center"/>
              <w:rPr>
                <w:rFonts w:ascii="Arial" w:hAnsi="Arial" w:cs="Arial"/>
                <w:sz w:val="16"/>
                <w:szCs w:val="16"/>
              </w:rPr>
            </w:pPr>
            <w:r w:rsidRPr="001F344E">
              <w:rPr>
                <w:rFonts w:ascii="Arial" w:hAnsi="Arial" w:cs="Arial"/>
                <w:sz w:val="16"/>
                <w:szCs w:val="16"/>
              </w:rPr>
              <w:t> </w:t>
            </w:r>
          </w:p>
        </w:tc>
        <w:tc>
          <w:tcPr>
            <w:tcW w:w="1033" w:type="dxa"/>
            <w:tcBorders>
              <w:top w:val="nil"/>
              <w:left w:val="nil"/>
              <w:bottom w:val="single" w:sz="4" w:space="0" w:color="auto"/>
              <w:right w:val="single" w:sz="4" w:space="0" w:color="auto"/>
            </w:tcBorders>
            <w:shd w:val="clear" w:color="000000" w:fill="D9D9D9"/>
            <w:vAlign w:val="center"/>
          </w:tcPr>
          <w:p w:rsidR="007D48BC" w:rsidRPr="001F344E" w:rsidRDefault="007D48BC" w:rsidP="00A56BE4">
            <w:pPr>
              <w:rPr>
                <w:rFonts w:ascii="Arial" w:hAnsi="Arial" w:cs="Arial"/>
                <w:sz w:val="16"/>
                <w:szCs w:val="16"/>
              </w:rPr>
            </w:pPr>
            <w:r w:rsidRPr="001F344E">
              <w:rPr>
                <w:rFonts w:ascii="Arial" w:hAnsi="Arial" w:cs="Arial"/>
                <w:sz w:val="16"/>
                <w:szCs w:val="16"/>
              </w:rPr>
              <w:t> </w:t>
            </w:r>
          </w:p>
        </w:tc>
        <w:tc>
          <w:tcPr>
            <w:tcW w:w="951" w:type="dxa"/>
            <w:tcBorders>
              <w:top w:val="nil"/>
              <w:left w:val="nil"/>
              <w:bottom w:val="single" w:sz="4" w:space="0" w:color="auto"/>
              <w:right w:val="single" w:sz="4" w:space="0" w:color="auto"/>
            </w:tcBorders>
            <w:shd w:val="clear" w:color="000000" w:fill="D9D9D9"/>
            <w:vAlign w:val="center"/>
          </w:tcPr>
          <w:p w:rsidR="007D48BC" w:rsidRPr="001F344E" w:rsidRDefault="007D48BC" w:rsidP="00A56BE4">
            <w:pPr>
              <w:rPr>
                <w:rFonts w:ascii="Arial" w:hAnsi="Arial" w:cs="Arial"/>
                <w:sz w:val="16"/>
                <w:szCs w:val="16"/>
              </w:rPr>
            </w:pPr>
            <w:r w:rsidRPr="001F344E">
              <w:rPr>
                <w:rFonts w:ascii="Arial" w:hAnsi="Arial" w:cs="Arial"/>
                <w:sz w:val="16"/>
                <w:szCs w:val="16"/>
              </w:rPr>
              <w:t> </w:t>
            </w:r>
          </w:p>
        </w:tc>
        <w:tc>
          <w:tcPr>
            <w:tcW w:w="1296" w:type="dxa"/>
            <w:tcBorders>
              <w:top w:val="nil"/>
              <w:left w:val="nil"/>
              <w:bottom w:val="single" w:sz="4" w:space="0" w:color="auto"/>
              <w:right w:val="single" w:sz="4" w:space="0" w:color="auto"/>
            </w:tcBorders>
            <w:shd w:val="clear" w:color="000000" w:fill="D9D9D9"/>
            <w:vAlign w:val="center"/>
          </w:tcPr>
          <w:p w:rsidR="007D48BC" w:rsidRPr="00E75A86" w:rsidRDefault="007D48BC" w:rsidP="00E75A86">
            <w:pPr>
              <w:jc w:val="right"/>
              <w:rPr>
                <w:rFonts w:ascii="Arial" w:hAnsi="Arial" w:cs="Arial"/>
                <w:color w:val="FF0000"/>
                <w:sz w:val="16"/>
                <w:szCs w:val="16"/>
                <w:highlight w:val="yellow"/>
              </w:rPr>
            </w:pPr>
            <w:r w:rsidRPr="00E75A86">
              <w:rPr>
                <w:rFonts w:ascii="Arial" w:hAnsi="Arial" w:cs="Arial"/>
                <w:color w:val="FF0000"/>
                <w:sz w:val="16"/>
                <w:szCs w:val="16"/>
              </w:rPr>
              <w:t>472,52 €</w:t>
            </w:r>
          </w:p>
        </w:tc>
      </w:tr>
      <w:tr w:rsidR="007D48BC" w:rsidRPr="001F344E">
        <w:trPr>
          <w:gridAfter w:val="1"/>
          <w:wAfter w:w="18" w:type="dxa"/>
          <w:trHeight w:val="450"/>
          <w:jc w:val="center"/>
        </w:trPr>
        <w:tc>
          <w:tcPr>
            <w:tcW w:w="1922" w:type="dxa"/>
            <w:vMerge w:val="restart"/>
            <w:tcBorders>
              <w:top w:val="nil"/>
              <w:left w:val="single" w:sz="4" w:space="0" w:color="auto"/>
              <w:bottom w:val="single" w:sz="4" w:space="0" w:color="000000"/>
              <w:right w:val="single" w:sz="8" w:space="0" w:color="auto"/>
            </w:tcBorders>
            <w:vAlign w:val="center"/>
          </w:tcPr>
          <w:p w:rsidR="007D48BC" w:rsidRPr="001F344E" w:rsidRDefault="007D48BC" w:rsidP="00A56BE4">
            <w:pPr>
              <w:jc w:val="center"/>
              <w:rPr>
                <w:rFonts w:ascii="Arial" w:hAnsi="Arial" w:cs="Arial"/>
                <w:sz w:val="16"/>
                <w:szCs w:val="16"/>
              </w:rPr>
            </w:pPr>
            <w:r w:rsidRPr="001F344E">
              <w:rPr>
                <w:rFonts w:ascii="Arial" w:hAnsi="Arial" w:cs="Arial"/>
                <w:sz w:val="16"/>
                <w:szCs w:val="16"/>
              </w:rPr>
              <w:t>Coste medicamentos para prevenir efectos adversos</w:t>
            </w:r>
          </w:p>
        </w:tc>
        <w:tc>
          <w:tcPr>
            <w:tcW w:w="1187" w:type="dxa"/>
            <w:tcBorders>
              <w:top w:val="nil"/>
              <w:left w:val="nil"/>
              <w:bottom w:val="single" w:sz="4" w:space="0" w:color="auto"/>
              <w:right w:val="single" w:sz="4" w:space="0" w:color="auto"/>
            </w:tcBorders>
            <w:vAlign w:val="center"/>
          </w:tcPr>
          <w:p w:rsidR="007D48BC" w:rsidRPr="001F344E" w:rsidRDefault="007D48BC" w:rsidP="00A56BE4">
            <w:pPr>
              <w:rPr>
                <w:rFonts w:ascii="Arial" w:hAnsi="Arial" w:cs="Arial"/>
                <w:sz w:val="16"/>
                <w:szCs w:val="16"/>
              </w:rPr>
            </w:pPr>
            <w:r>
              <w:rPr>
                <w:rFonts w:ascii="Arial" w:hAnsi="Arial" w:cs="Arial"/>
                <w:sz w:val="16"/>
                <w:szCs w:val="16"/>
              </w:rPr>
              <w:t>Tocilizumab x 2</w:t>
            </w:r>
            <w:r w:rsidRPr="001F344E">
              <w:rPr>
                <w:rFonts w:ascii="Arial" w:hAnsi="Arial" w:cs="Arial"/>
                <w:sz w:val="16"/>
                <w:szCs w:val="16"/>
              </w:rPr>
              <w:t xml:space="preserve"> dosis</w:t>
            </w:r>
          </w:p>
        </w:tc>
        <w:tc>
          <w:tcPr>
            <w:tcW w:w="748" w:type="dxa"/>
            <w:tcBorders>
              <w:top w:val="nil"/>
              <w:left w:val="nil"/>
              <w:bottom w:val="single" w:sz="4" w:space="0" w:color="auto"/>
              <w:right w:val="single" w:sz="4" w:space="0" w:color="auto"/>
            </w:tcBorders>
            <w:vAlign w:val="center"/>
          </w:tcPr>
          <w:p w:rsidR="007D48BC" w:rsidRPr="001F344E" w:rsidRDefault="007D48BC" w:rsidP="00A56BE4">
            <w:pPr>
              <w:jc w:val="right"/>
              <w:rPr>
                <w:rFonts w:ascii="Arial" w:hAnsi="Arial" w:cs="Arial"/>
                <w:sz w:val="16"/>
                <w:szCs w:val="16"/>
              </w:rPr>
            </w:pPr>
            <w:r w:rsidRPr="001F344E">
              <w:rPr>
                <w:rFonts w:ascii="Arial" w:hAnsi="Arial" w:cs="Arial"/>
                <w:sz w:val="16"/>
                <w:szCs w:val="16"/>
              </w:rPr>
              <w:t>254,08</w:t>
            </w:r>
          </w:p>
        </w:tc>
        <w:tc>
          <w:tcPr>
            <w:tcW w:w="973" w:type="dxa"/>
            <w:tcBorders>
              <w:top w:val="nil"/>
              <w:left w:val="nil"/>
              <w:bottom w:val="single" w:sz="4" w:space="0" w:color="auto"/>
              <w:right w:val="single" w:sz="4" w:space="0" w:color="auto"/>
            </w:tcBorders>
            <w:vAlign w:val="center"/>
          </w:tcPr>
          <w:p w:rsidR="007D48BC" w:rsidRPr="001F344E" w:rsidRDefault="007D48BC" w:rsidP="00A56BE4">
            <w:pPr>
              <w:rPr>
                <w:rFonts w:ascii="Arial" w:hAnsi="Arial" w:cs="Arial"/>
                <w:sz w:val="16"/>
                <w:szCs w:val="16"/>
              </w:rPr>
            </w:pPr>
            <w:r>
              <w:rPr>
                <w:rFonts w:ascii="Arial" w:hAnsi="Arial" w:cs="Arial"/>
                <w:sz w:val="16"/>
                <w:szCs w:val="16"/>
              </w:rPr>
              <w:t>43</w:t>
            </w:r>
            <w:r w:rsidRPr="001F344E">
              <w:rPr>
                <w:rFonts w:ascii="Arial" w:hAnsi="Arial" w:cs="Arial"/>
                <w:sz w:val="16"/>
                <w:szCs w:val="16"/>
              </w:rPr>
              <w:t xml:space="preserve">% de los pacientes </w:t>
            </w:r>
          </w:p>
        </w:tc>
        <w:tc>
          <w:tcPr>
            <w:tcW w:w="1297" w:type="dxa"/>
            <w:tcBorders>
              <w:top w:val="nil"/>
              <w:left w:val="nil"/>
              <w:bottom w:val="single" w:sz="4" w:space="0" w:color="auto"/>
              <w:right w:val="single" w:sz="8" w:space="0" w:color="auto"/>
            </w:tcBorders>
            <w:vAlign w:val="center"/>
          </w:tcPr>
          <w:p w:rsidR="007D48BC" w:rsidRPr="001F344E" w:rsidRDefault="007D48BC" w:rsidP="006577E6">
            <w:pPr>
              <w:jc w:val="center"/>
              <w:rPr>
                <w:rFonts w:ascii="Arial" w:hAnsi="Arial" w:cs="Arial"/>
                <w:sz w:val="16"/>
                <w:szCs w:val="16"/>
              </w:rPr>
            </w:pPr>
            <w:r>
              <w:rPr>
                <w:rFonts w:ascii="Arial" w:hAnsi="Arial" w:cs="Arial"/>
                <w:sz w:val="16"/>
                <w:szCs w:val="16"/>
              </w:rPr>
              <w:t xml:space="preserve">218,44 </w:t>
            </w:r>
            <w:r w:rsidRPr="001F344E">
              <w:rPr>
                <w:rFonts w:ascii="Arial" w:hAnsi="Arial" w:cs="Arial"/>
                <w:sz w:val="16"/>
                <w:szCs w:val="16"/>
              </w:rPr>
              <w:t>€</w:t>
            </w:r>
          </w:p>
        </w:tc>
        <w:tc>
          <w:tcPr>
            <w:tcW w:w="1307" w:type="dxa"/>
            <w:gridSpan w:val="2"/>
            <w:tcBorders>
              <w:top w:val="single" w:sz="4" w:space="0" w:color="auto"/>
              <w:left w:val="nil"/>
              <w:bottom w:val="single" w:sz="4" w:space="0" w:color="auto"/>
              <w:right w:val="single" w:sz="4" w:space="0" w:color="000000"/>
            </w:tcBorders>
            <w:shd w:val="clear" w:color="000000" w:fill="FFFFFF"/>
            <w:vAlign w:val="center"/>
          </w:tcPr>
          <w:p w:rsidR="007D48BC" w:rsidRPr="001F344E" w:rsidRDefault="007D48BC" w:rsidP="00A56BE4">
            <w:pPr>
              <w:jc w:val="center"/>
              <w:rPr>
                <w:rFonts w:ascii="Arial" w:hAnsi="Arial" w:cs="Arial"/>
                <w:sz w:val="16"/>
                <w:szCs w:val="16"/>
              </w:rPr>
            </w:pPr>
            <w:r w:rsidRPr="001F344E">
              <w:rPr>
                <w:rFonts w:ascii="Arial" w:hAnsi="Arial" w:cs="Arial"/>
                <w:sz w:val="16"/>
                <w:szCs w:val="16"/>
              </w:rPr>
              <w:t> </w:t>
            </w:r>
          </w:p>
        </w:tc>
        <w:tc>
          <w:tcPr>
            <w:tcW w:w="1033" w:type="dxa"/>
            <w:tcBorders>
              <w:top w:val="nil"/>
              <w:left w:val="nil"/>
              <w:bottom w:val="single" w:sz="4" w:space="0" w:color="auto"/>
              <w:right w:val="single" w:sz="4" w:space="0" w:color="auto"/>
            </w:tcBorders>
            <w:vAlign w:val="center"/>
          </w:tcPr>
          <w:p w:rsidR="007D48BC" w:rsidRPr="001F344E" w:rsidRDefault="007D48BC" w:rsidP="00A56BE4">
            <w:pPr>
              <w:rPr>
                <w:rFonts w:ascii="Arial" w:hAnsi="Arial" w:cs="Arial"/>
                <w:sz w:val="16"/>
                <w:szCs w:val="16"/>
              </w:rPr>
            </w:pPr>
            <w:r w:rsidRPr="001F344E">
              <w:rPr>
                <w:rFonts w:ascii="Arial" w:hAnsi="Arial" w:cs="Arial"/>
                <w:sz w:val="16"/>
                <w:szCs w:val="16"/>
              </w:rPr>
              <w:t> </w:t>
            </w:r>
          </w:p>
        </w:tc>
        <w:tc>
          <w:tcPr>
            <w:tcW w:w="951" w:type="dxa"/>
            <w:tcBorders>
              <w:top w:val="nil"/>
              <w:left w:val="nil"/>
              <w:bottom w:val="single" w:sz="4" w:space="0" w:color="auto"/>
              <w:right w:val="single" w:sz="4" w:space="0" w:color="auto"/>
            </w:tcBorders>
            <w:vAlign w:val="center"/>
          </w:tcPr>
          <w:p w:rsidR="007D48BC" w:rsidRPr="001F344E" w:rsidRDefault="007D48BC" w:rsidP="00A56BE4">
            <w:pPr>
              <w:rPr>
                <w:rFonts w:ascii="Arial" w:hAnsi="Arial" w:cs="Arial"/>
                <w:sz w:val="16"/>
                <w:szCs w:val="16"/>
              </w:rPr>
            </w:pPr>
            <w:r w:rsidRPr="001F344E">
              <w:rPr>
                <w:rFonts w:ascii="Arial" w:hAnsi="Arial" w:cs="Arial"/>
                <w:sz w:val="16"/>
                <w:szCs w:val="16"/>
              </w:rPr>
              <w:t> </w:t>
            </w:r>
          </w:p>
        </w:tc>
        <w:tc>
          <w:tcPr>
            <w:tcW w:w="1296" w:type="dxa"/>
            <w:tcBorders>
              <w:top w:val="nil"/>
              <w:left w:val="nil"/>
              <w:bottom w:val="single" w:sz="4" w:space="0" w:color="auto"/>
              <w:right w:val="single" w:sz="4" w:space="0" w:color="auto"/>
            </w:tcBorders>
            <w:shd w:val="clear" w:color="000000" w:fill="D9D9D9"/>
            <w:vAlign w:val="center"/>
          </w:tcPr>
          <w:p w:rsidR="007D48BC" w:rsidRPr="00E75A86" w:rsidRDefault="007D48BC" w:rsidP="00E75A86">
            <w:pPr>
              <w:jc w:val="right"/>
              <w:rPr>
                <w:rFonts w:ascii="Arial" w:hAnsi="Arial" w:cs="Arial"/>
                <w:color w:val="FF0000"/>
                <w:sz w:val="16"/>
                <w:szCs w:val="16"/>
                <w:highlight w:val="yellow"/>
              </w:rPr>
            </w:pPr>
            <w:r w:rsidRPr="00E75A86">
              <w:rPr>
                <w:rFonts w:ascii="Arial" w:hAnsi="Arial" w:cs="Arial"/>
                <w:color w:val="FF0000"/>
                <w:sz w:val="16"/>
                <w:szCs w:val="16"/>
              </w:rPr>
              <w:t>218,44 €</w:t>
            </w:r>
          </w:p>
        </w:tc>
      </w:tr>
      <w:tr w:rsidR="007D48BC" w:rsidRPr="001F344E">
        <w:trPr>
          <w:gridAfter w:val="1"/>
          <w:wAfter w:w="18" w:type="dxa"/>
          <w:trHeight w:val="450"/>
          <w:jc w:val="center"/>
        </w:trPr>
        <w:tc>
          <w:tcPr>
            <w:tcW w:w="1922" w:type="dxa"/>
            <w:vMerge/>
            <w:tcBorders>
              <w:top w:val="nil"/>
              <w:left w:val="single" w:sz="4" w:space="0" w:color="auto"/>
              <w:bottom w:val="single" w:sz="4" w:space="0" w:color="000000"/>
              <w:right w:val="single" w:sz="8" w:space="0" w:color="auto"/>
            </w:tcBorders>
            <w:vAlign w:val="center"/>
          </w:tcPr>
          <w:p w:rsidR="007D48BC" w:rsidRPr="001F344E" w:rsidRDefault="007D48BC" w:rsidP="00A56BE4">
            <w:pPr>
              <w:rPr>
                <w:rFonts w:ascii="Arial" w:hAnsi="Arial" w:cs="Arial"/>
                <w:sz w:val="16"/>
                <w:szCs w:val="16"/>
              </w:rPr>
            </w:pPr>
          </w:p>
        </w:tc>
        <w:tc>
          <w:tcPr>
            <w:tcW w:w="1187" w:type="dxa"/>
            <w:tcBorders>
              <w:top w:val="nil"/>
              <w:left w:val="nil"/>
              <w:bottom w:val="single" w:sz="4" w:space="0" w:color="auto"/>
              <w:right w:val="single" w:sz="4" w:space="0" w:color="auto"/>
            </w:tcBorders>
            <w:vAlign w:val="center"/>
          </w:tcPr>
          <w:p w:rsidR="007D48BC" w:rsidRPr="001F344E" w:rsidRDefault="007D48BC" w:rsidP="00A56BE4">
            <w:pPr>
              <w:rPr>
                <w:rFonts w:ascii="Arial" w:hAnsi="Arial" w:cs="Arial"/>
                <w:sz w:val="16"/>
                <w:szCs w:val="16"/>
              </w:rPr>
            </w:pPr>
            <w:r>
              <w:rPr>
                <w:rFonts w:ascii="Arial" w:hAnsi="Arial" w:cs="Arial"/>
                <w:sz w:val="16"/>
                <w:szCs w:val="16"/>
              </w:rPr>
              <w:t>Tocilizumab + corticoides 4</w:t>
            </w:r>
            <w:r w:rsidRPr="001F344E">
              <w:rPr>
                <w:rFonts w:ascii="Arial" w:hAnsi="Arial" w:cs="Arial"/>
                <w:sz w:val="16"/>
                <w:szCs w:val="16"/>
              </w:rPr>
              <w:t xml:space="preserve"> dosis**</w:t>
            </w:r>
          </w:p>
        </w:tc>
        <w:tc>
          <w:tcPr>
            <w:tcW w:w="748" w:type="dxa"/>
            <w:tcBorders>
              <w:top w:val="nil"/>
              <w:left w:val="nil"/>
              <w:bottom w:val="single" w:sz="4" w:space="0" w:color="auto"/>
              <w:right w:val="single" w:sz="4" w:space="0" w:color="auto"/>
            </w:tcBorders>
            <w:vAlign w:val="center"/>
          </w:tcPr>
          <w:p w:rsidR="007D48BC" w:rsidRPr="001F344E" w:rsidRDefault="007D48BC" w:rsidP="00A56BE4">
            <w:pPr>
              <w:jc w:val="right"/>
              <w:rPr>
                <w:rFonts w:ascii="Arial" w:hAnsi="Arial" w:cs="Arial"/>
                <w:sz w:val="16"/>
                <w:szCs w:val="16"/>
              </w:rPr>
            </w:pPr>
            <w:r w:rsidRPr="001F344E">
              <w:rPr>
                <w:rFonts w:ascii="Arial" w:hAnsi="Arial" w:cs="Arial"/>
                <w:sz w:val="16"/>
                <w:szCs w:val="16"/>
              </w:rPr>
              <w:t>254,08</w:t>
            </w:r>
          </w:p>
        </w:tc>
        <w:tc>
          <w:tcPr>
            <w:tcW w:w="973" w:type="dxa"/>
            <w:tcBorders>
              <w:top w:val="nil"/>
              <w:left w:val="nil"/>
              <w:bottom w:val="single" w:sz="4" w:space="0" w:color="auto"/>
              <w:right w:val="single" w:sz="4" w:space="0" w:color="auto"/>
            </w:tcBorders>
            <w:vAlign w:val="center"/>
          </w:tcPr>
          <w:p w:rsidR="007D48BC" w:rsidRPr="001F344E" w:rsidRDefault="007D48BC" w:rsidP="00A56BE4">
            <w:pPr>
              <w:rPr>
                <w:rFonts w:ascii="Arial" w:hAnsi="Arial" w:cs="Arial"/>
                <w:sz w:val="16"/>
                <w:szCs w:val="16"/>
              </w:rPr>
            </w:pPr>
            <w:r>
              <w:rPr>
                <w:rFonts w:ascii="Arial" w:hAnsi="Arial" w:cs="Arial"/>
                <w:sz w:val="16"/>
                <w:szCs w:val="16"/>
              </w:rPr>
              <w:t>25</w:t>
            </w:r>
            <w:r w:rsidRPr="001F344E">
              <w:rPr>
                <w:rFonts w:ascii="Arial" w:hAnsi="Arial" w:cs="Arial"/>
                <w:sz w:val="16"/>
                <w:szCs w:val="16"/>
              </w:rPr>
              <w:t xml:space="preserve"> % de los pacientes</w:t>
            </w:r>
          </w:p>
        </w:tc>
        <w:tc>
          <w:tcPr>
            <w:tcW w:w="1297" w:type="dxa"/>
            <w:tcBorders>
              <w:top w:val="nil"/>
              <w:left w:val="nil"/>
              <w:bottom w:val="single" w:sz="4" w:space="0" w:color="auto"/>
              <w:right w:val="single" w:sz="8" w:space="0" w:color="auto"/>
            </w:tcBorders>
            <w:vAlign w:val="center"/>
          </w:tcPr>
          <w:p w:rsidR="007D48BC" w:rsidRPr="001F344E" w:rsidRDefault="007D48BC" w:rsidP="006577E6">
            <w:pPr>
              <w:jc w:val="center"/>
              <w:rPr>
                <w:rFonts w:ascii="Arial" w:hAnsi="Arial" w:cs="Arial"/>
                <w:sz w:val="16"/>
                <w:szCs w:val="16"/>
              </w:rPr>
            </w:pPr>
            <w:r>
              <w:rPr>
                <w:rFonts w:ascii="Arial" w:hAnsi="Arial" w:cs="Arial"/>
                <w:sz w:val="16"/>
                <w:szCs w:val="16"/>
              </w:rPr>
              <w:t>254,08</w:t>
            </w:r>
            <w:r w:rsidRPr="001F344E">
              <w:rPr>
                <w:rFonts w:ascii="Arial" w:hAnsi="Arial" w:cs="Arial"/>
                <w:sz w:val="16"/>
                <w:szCs w:val="16"/>
              </w:rPr>
              <w:t xml:space="preserve"> €</w:t>
            </w:r>
          </w:p>
        </w:tc>
        <w:tc>
          <w:tcPr>
            <w:tcW w:w="1307" w:type="dxa"/>
            <w:gridSpan w:val="2"/>
            <w:tcBorders>
              <w:top w:val="single" w:sz="4" w:space="0" w:color="auto"/>
              <w:left w:val="nil"/>
              <w:bottom w:val="single" w:sz="4" w:space="0" w:color="auto"/>
              <w:right w:val="single" w:sz="4" w:space="0" w:color="000000"/>
            </w:tcBorders>
            <w:shd w:val="clear" w:color="000000" w:fill="FFFFFF"/>
            <w:vAlign w:val="center"/>
          </w:tcPr>
          <w:p w:rsidR="007D48BC" w:rsidRPr="001F344E" w:rsidRDefault="007D48BC" w:rsidP="00A56BE4">
            <w:pPr>
              <w:jc w:val="center"/>
              <w:rPr>
                <w:rFonts w:ascii="Arial" w:hAnsi="Arial" w:cs="Arial"/>
                <w:sz w:val="16"/>
                <w:szCs w:val="16"/>
              </w:rPr>
            </w:pPr>
            <w:r w:rsidRPr="001F344E">
              <w:rPr>
                <w:rFonts w:ascii="Arial" w:hAnsi="Arial" w:cs="Arial"/>
                <w:sz w:val="16"/>
                <w:szCs w:val="16"/>
              </w:rPr>
              <w:t> </w:t>
            </w:r>
          </w:p>
        </w:tc>
        <w:tc>
          <w:tcPr>
            <w:tcW w:w="1033" w:type="dxa"/>
            <w:tcBorders>
              <w:top w:val="nil"/>
              <w:left w:val="nil"/>
              <w:bottom w:val="single" w:sz="4" w:space="0" w:color="auto"/>
              <w:right w:val="single" w:sz="4" w:space="0" w:color="auto"/>
            </w:tcBorders>
            <w:vAlign w:val="center"/>
          </w:tcPr>
          <w:p w:rsidR="007D48BC" w:rsidRPr="001F344E" w:rsidRDefault="007D48BC" w:rsidP="00A56BE4">
            <w:pPr>
              <w:rPr>
                <w:rFonts w:ascii="Arial" w:hAnsi="Arial" w:cs="Arial"/>
                <w:sz w:val="16"/>
                <w:szCs w:val="16"/>
              </w:rPr>
            </w:pPr>
            <w:r w:rsidRPr="001F344E">
              <w:rPr>
                <w:rFonts w:ascii="Arial" w:hAnsi="Arial" w:cs="Arial"/>
                <w:sz w:val="16"/>
                <w:szCs w:val="16"/>
              </w:rPr>
              <w:t> </w:t>
            </w:r>
          </w:p>
        </w:tc>
        <w:tc>
          <w:tcPr>
            <w:tcW w:w="951" w:type="dxa"/>
            <w:tcBorders>
              <w:top w:val="nil"/>
              <w:left w:val="nil"/>
              <w:bottom w:val="single" w:sz="4" w:space="0" w:color="auto"/>
              <w:right w:val="single" w:sz="4" w:space="0" w:color="auto"/>
            </w:tcBorders>
            <w:vAlign w:val="center"/>
          </w:tcPr>
          <w:p w:rsidR="007D48BC" w:rsidRPr="001F344E" w:rsidRDefault="007D48BC" w:rsidP="00A56BE4">
            <w:pPr>
              <w:rPr>
                <w:rFonts w:ascii="Arial" w:hAnsi="Arial" w:cs="Arial"/>
                <w:sz w:val="16"/>
                <w:szCs w:val="16"/>
              </w:rPr>
            </w:pPr>
            <w:r w:rsidRPr="001F344E">
              <w:rPr>
                <w:rFonts w:ascii="Arial" w:hAnsi="Arial" w:cs="Arial"/>
                <w:sz w:val="16"/>
                <w:szCs w:val="16"/>
              </w:rPr>
              <w:t> </w:t>
            </w:r>
          </w:p>
        </w:tc>
        <w:tc>
          <w:tcPr>
            <w:tcW w:w="1296" w:type="dxa"/>
            <w:tcBorders>
              <w:top w:val="nil"/>
              <w:left w:val="nil"/>
              <w:bottom w:val="single" w:sz="4" w:space="0" w:color="auto"/>
              <w:right w:val="single" w:sz="4" w:space="0" w:color="auto"/>
            </w:tcBorders>
            <w:shd w:val="clear" w:color="000000" w:fill="D9D9D9"/>
            <w:vAlign w:val="center"/>
          </w:tcPr>
          <w:p w:rsidR="007D48BC" w:rsidRPr="00E75A86" w:rsidRDefault="007D48BC" w:rsidP="00E75A86">
            <w:pPr>
              <w:jc w:val="right"/>
              <w:rPr>
                <w:rFonts w:ascii="Arial" w:hAnsi="Arial" w:cs="Arial"/>
                <w:color w:val="FF0000"/>
                <w:sz w:val="16"/>
                <w:szCs w:val="16"/>
                <w:highlight w:val="yellow"/>
              </w:rPr>
            </w:pPr>
            <w:r w:rsidRPr="00E75A86">
              <w:rPr>
                <w:rFonts w:ascii="Arial" w:hAnsi="Arial" w:cs="Arial"/>
                <w:color w:val="FF0000"/>
                <w:sz w:val="16"/>
                <w:szCs w:val="16"/>
              </w:rPr>
              <w:t>254,08 €</w:t>
            </w:r>
          </w:p>
        </w:tc>
      </w:tr>
      <w:tr w:rsidR="007D48BC" w:rsidRPr="001F344E">
        <w:trPr>
          <w:gridAfter w:val="1"/>
          <w:wAfter w:w="18" w:type="dxa"/>
          <w:trHeight w:val="675"/>
          <w:jc w:val="center"/>
        </w:trPr>
        <w:tc>
          <w:tcPr>
            <w:tcW w:w="1922" w:type="dxa"/>
            <w:tcBorders>
              <w:top w:val="nil"/>
              <w:left w:val="single" w:sz="4" w:space="0" w:color="auto"/>
              <w:bottom w:val="single" w:sz="4" w:space="0" w:color="auto"/>
              <w:right w:val="single" w:sz="8" w:space="0" w:color="auto"/>
            </w:tcBorders>
            <w:vAlign w:val="center"/>
          </w:tcPr>
          <w:p w:rsidR="007D48BC" w:rsidRPr="001F344E" w:rsidRDefault="007D48BC" w:rsidP="00A56BE4">
            <w:pPr>
              <w:rPr>
                <w:rFonts w:ascii="Arial" w:hAnsi="Arial" w:cs="Arial"/>
                <w:sz w:val="16"/>
                <w:szCs w:val="16"/>
              </w:rPr>
            </w:pPr>
            <w:commentRangeStart w:id="103"/>
            <w:commentRangeStart w:id="104"/>
            <w:r w:rsidRPr="001F344E">
              <w:rPr>
                <w:rFonts w:ascii="Arial" w:hAnsi="Arial" w:cs="Arial"/>
                <w:sz w:val="16"/>
                <w:szCs w:val="16"/>
              </w:rPr>
              <w:t>Coste del tratamiento de los efectos adversos</w:t>
            </w:r>
          </w:p>
        </w:tc>
        <w:tc>
          <w:tcPr>
            <w:tcW w:w="1187" w:type="dxa"/>
            <w:tcBorders>
              <w:top w:val="nil"/>
              <w:left w:val="nil"/>
              <w:bottom w:val="single" w:sz="4" w:space="0" w:color="auto"/>
              <w:right w:val="single" w:sz="4" w:space="0" w:color="auto"/>
            </w:tcBorders>
            <w:vAlign w:val="center"/>
          </w:tcPr>
          <w:p w:rsidR="007D48BC" w:rsidRPr="001F344E" w:rsidRDefault="007D48BC" w:rsidP="00A56BE4">
            <w:pPr>
              <w:rPr>
                <w:rFonts w:ascii="Arial" w:hAnsi="Arial" w:cs="Arial"/>
                <w:sz w:val="16"/>
                <w:szCs w:val="16"/>
              </w:rPr>
            </w:pPr>
            <w:r w:rsidRPr="001F344E">
              <w:rPr>
                <w:rFonts w:ascii="Arial" w:hAnsi="Arial" w:cs="Arial"/>
                <w:sz w:val="16"/>
                <w:szCs w:val="16"/>
              </w:rPr>
              <w:t>Estancia en UCI para control de SLC***</w:t>
            </w:r>
            <w:commentRangeEnd w:id="103"/>
            <w:r w:rsidR="00792519">
              <w:rPr>
                <w:rStyle w:val="Refdecomentario"/>
              </w:rPr>
              <w:commentReference w:id="103"/>
            </w:r>
            <w:r w:rsidR="00910676">
              <w:rPr>
                <w:rStyle w:val="Refdecomentario"/>
              </w:rPr>
              <w:commentReference w:id="104"/>
            </w:r>
          </w:p>
        </w:tc>
        <w:tc>
          <w:tcPr>
            <w:tcW w:w="748" w:type="dxa"/>
            <w:tcBorders>
              <w:top w:val="nil"/>
              <w:left w:val="nil"/>
              <w:bottom w:val="single" w:sz="4" w:space="0" w:color="auto"/>
              <w:right w:val="single" w:sz="4" w:space="0" w:color="auto"/>
            </w:tcBorders>
            <w:vAlign w:val="center"/>
          </w:tcPr>
          <w:p w:rsidR="007D48BC" w:rsidRPr="001F344E" w:rsidRDefault="007D48BC" w:rsidP="00A56BE4">
            <w:pPr>
              <w:rPr>
                <w:rFonts w:ascii="Arial" w:hAnsi="Arial" w:cs="Arial"/>
                <w:sz w:val="16"/>
                <w:szCs w:val="16"/>
              </w:rPr>
            </w:pPr>
          </w:p>
        </w:tc>
        <w:tc>
          <w:tcPr>
            <w:tcW w:w="973" w:type="dxa"/>
            <w:tcBorders>
              <w:top w:val="nil"/>
              <w:left w:val="nil"/>
              <w:bottom w:val="single" w:sz="4" w:space="0" w:color="auto"/>
              <w:right w:val="single" w:sz="4" w:space="0" w:color="auto"/>
            </w:tcBorders>
            <w:vAlign w:val="center"/>
          </w:tcPr>
          <w:p w:rsidR="007D48BC" w:rsidRPr="001F344E" w:rsidRDefault="007D48BC" w:rsidP="00A56BE4">
            <w:pPr>
              <w:rPr>
                <w:rFonts w:ascii="Arial" w:hAnsi="Arial" w:cs="Arial"/>
                <w:sz w:val="16"/>
                <w:szCs w:val="16"/>
              </w:rPr>
            </w:pPr>
          </w:p>
        </w:tc>
        <w:tc>
          <w:tcPr>
            <w:tcW w:w="1297" w:type="dxa"/>
            <w:tcBorders>
              <w:top w:val="nil"/>
              <w:left w:val="nil"/>
              <w:bottom w:val="single" w:sz="4" w:space="0" w:color="auto"/>
              <w:right w:val="single" w:sz="8" w:space="0" w:color="auto"/>
            </w:tcBorders>
            <w:vAlign w:val="center"/>
          </w:tcPr>
          <w:p w:rsidR="007D48BC" w:rsidRPr="001F344E" w:rsidRDefault="007D48BC" w:rsidP="00A56BE4">
            <w:pPr>
              <w:rPr>
                <w:rFonts w:ascii="Arial" w:hAnsi="Arial" w:cs="Arial"/>
                <w:sz w:val="16"/>
                <w:szCs w:val="16"/>
              </w:rPr>
            </w:pPr>
            <w:r w:rsidRPr="001F344E">
              <w:rPr>
                <w:rFonts w:ascii="Arial" w:hAnsi="Arial" w:cs="Arial"/>
                <w:sz w:val="16"/>
                <w:szCs w:val="16"/>
              </w:rPr>
              <w:t xml:space="preserve">       </w:t>
            </w:r>
          </w:p>
        </w:tc>
        <w:tc>
          <w:tcPr>
            <w:tcW w:w="1307" w:type="dxa"/>
            <w:gridSpan w:val="2"/>
            <w:tcBorders>
              <w:top w:val="single" w:sz="4" w:space="0" w:color="auto"/>
              <w:left w:val="nil"/>
              <w:bottom w:val="single" w:sz="4" w:space="0" w:color="auto"/>
              <w:right w:val="single" w:sz="4" w:space="0" w:color="000000"/>
            </w:tcBorders>
            <w:shd w:val="clear" w:color="000000" w:fill="FFFFFF"/>
            <w:vAlign w:val="center"/>
          </w:tcPr>
          <w:p w:rsidR="007D48BC" w:rsidRPr="001F344E" w:rsidRDefault="007D48BC" w:rsidP="00A56BE4">
            <w:pPr>
              <w:jc w:val="center"/>
              <w:rPr>
                <w:rFonts w:ascii="Arial" w:hAnsi="Arial" w:cs="Arial"/>
                <w:sz w:val="16"/>
                <w:szCs w:val="16"/>
              </w:rPr>
            </w:pPr>
            <w:r w:rsidRPr="001F344E">
              <w:rPr>
                <w:rFonts w:ascii="Arial" w:hAnsi="Arial" w:cs="Arial"/>
                <w:sz w:val="16"/>
                <w:szCs w:val="16"/>
              </w:rPr>
              <w:t> </w:t>
            </w:r>
          </w:p>
        </w:tc>
        <w:tc>
          <w:tcPr>
            <w:tcW w:w="1033" w:type="dxa"/>
            <w:tcBorders>
              <w:top w:val="nil"/>
              <w:left w:val="nil"/>
              <w:bottom w:val="single" w:sz="4" w:space="0" w:color="auto"/>
              <w:right w:val="single" w:sz="4" w:space="0" w:color="auto"/>
            </w:tcBorders>
            <w:vAlign w:val="center"/>
          </w:tcPr>
          <w:p w:rsidR="007D48BC" w:rsidRPr="001F344E" w:rsidRDefault="007D48BC" w:rsidP="00A56BE4">
            <w:pPr>
              <w:rPr>
                <w:rFonts w:ascii="Arial" w:hAnsi="Arial" w:cs="Arial"/>
                <w:sz w:val="16"/>
                <w:szCs w:val="16"/>
              </w:rPr>
            </w:pPr>
            <w:r w:rsidRPr="001F344E">
              <w:rPr>
                <w:rFonts w:ascii="Arial" w:hAnsi="Arial" w:cs="Arial"/>
                <w:sz w:val="16"/>
                <w:szCs w:val="16"/>
              </w:rPr>
              <w:t> </w:t>
            </w:r>
          </w:p>
        </w:tc>
        <w:tc>
          <w:tcPr>
            <w:tcW w:w="951" w:type="dxa"/>
            <w:tcBorders>
              <w:top w:val="nil"/>
              <w:left w:val="nil"/>
              <w:bottom w:val="single" w:sz="4" w:space="0" w:color="auto"/>
              <w:right w:val="single" w:sz="4" w:space="0" w:color="auto"/>
            </w:tcBorders>
            <w:vAlign w:val="center"/>
          </w:tcPr>
          <w:p w:rsidR="007D48BC" w:rsidRPr="001F344E" w:rsidRDefault="007D48BC" w:rsidP="00A56BE4">
            <w:pPr>
              <w:rPr>
                <w:rFonts w:ascii="Arial" w:hAnsi="Arial" w:cs="Arial"/>
                <w:sz w:val="16"/>
                <w:szCs w:val="16"/>
              </w:rPr>
            </w:pPr>
            <w:r w:rsidRPr="001F344E">
              <w:rPr>
                <w:rFonts w:ascii="Arial" w:hAnsi="Arial" w:cs="Arial"/>
                <w:sz w:val="16"/>
                <w:szCs w:val="16"/>
              </w:rPr>
              <w:t> </w:t>
            </w:r>
          </w:p>
        </w:tc>
        <w:tc>
          <w:tcPr>
            <w:tcW w:w="1296" w:type="dxa"/>
            <w:tcBorders>
              <w:top w:val="nil"/>
              <w:left w:val="nil"/>
              <w:bottom w:val="single" w:sz="4" w:space="0" w:color="auto"/>
              <w:right w:val="single" w:sz="4" w:space="0" w:color="auto"/>
            </w:tcBorders>
            <w:shd w:val="clear" w:color="000000" w:fill="D9D9D9"/>
            <w:vAlign w:val="center"/>
          </w:tcPr>
          <w:p w:rsidR="007D48BC" w:rsidRPr="00AC3878" w:rsidRDefault="007D48BC" w:rsidP="00A56BE4">
            <w:pPr>
              <w:rPr>
                <w:rFonts w:ascii="Arial" w:hAnsi="Arial" w:cs="Arial"/>
                <w:sz w:val="16"/>
                <w:szCs w:val="16"/>
                <w:highlight w:val="yellow"/>
              </w:rPr>
            </w:pPr>
            <w:r>
              <w:rPr>
                <w:rFonts w:ascii="Arial" w:hAnsi="Arial" w:cs="Arial"/>
                <w:sz w:val="16"/>
                <w:szCs w:val="16"/>
                <w:highlight w:val="yellow"/>
              </w:rPr>
              <w:t xml:space="preserve">       </w:t>
            </w:r>
            <w:r w:rsidRPr="00AC3878">
              <w:rPr>
                <w:rFonts w:ascii="Arial" w:hAnsi="Arial" w:cs="Arial"/>
                <w:sz w:val="16"/>
                <w:szCs w:val="16"/>
                <w:highlight w:val="yellow"/>
              </w:rPr>
              <w:t xml:space="preserve"> </w:t>
            </w:r>
          </w:p>
        </w:tc>
      </w:tr>
      <w:commentRangeEnd w:id="104"/>
      <w:tr w:rsidR="007D48BC" w:rsidRPr="001F344E">
        <w:trPr>
          <w:gridAfter w:val="1"/>
          <w:wAfter w:w="18" w:type="dxa"/>
          <w:trHeight w:val="255"/>
          <w:jc w:val="center"/>
        </w:trPr>
        <w:tc>
          <w:tcPr>
            <w:tcW w:w="1922" w:type="dxa"/>
            <w:tcBorders>
              <w:top w:val="nil"/>
              <w:left w:val="single" w:sz="4" w:space="0" w:color="auto"/>
              <w:bottom w:val="single" w:sz="4" w:space="0" w:color="auto"/>
              <w:right w:val="single" w:sz="8" w:space="0" w:color="auto"/>
            </w:tcBorders>
            <w:shd w:val="clear" w:color="000000" w:fill="D9D9D9"/>
            <w:vAlign w:val="center"/>
          </w:tcPr>
          <w:p w:rsidR="007D48BC" w:rsidRPr="001F344E" w:rsidRDefault="007D48BC" w:rsidP="00A56BE4">
            <w:pPr>
              <w:rPr>
                <w:rFonts w:ascii="Arial" w:hAnsi="Arial" w:cs="Arial"/>
                <w:sz w:val="16"/>
                <w:szCs w:val="16"/>
              </w:rPr>
            </w:pPr>
            <w:r w:rsidRPr="001F344E">
              <w:rPr>
                <w:rFonts w:ascii="Arial" w:hAnsi="Arial" w:cs="Arial"/>
                <w:sz w:val="16"/>
                <w:szCs w:val="16"/>
              </w:rPr>
              <w:t>Otros costes asistenciales</w:t>
            </w:r>
          </w:p>
        </w:tc>
        <w:tc>
          <w:tcPr>
            <w:tcW w:w="1935" w:type="dxa"/>
            <w:gridSpan w:val="2"/>
            <w:tcBorders>
              <w:top w:val="single" w:sz="4" w:space="0" w:color="auto"/>
              <w:left w:val="nil"/>
              <w:bottom w:val="single" w:sz="4" w:space="0" w:color="auto"/>
              <w:right w:val="single" w:sz="4" w:space="0" w:color="000000"/>
            </w:tcBorders>
            <w:shd w:val="clear" w:color="000000" w:fill="D9D9D9"/>
            <w:vAlign w:val="center"/>
          </w:tcPr>
          <w:p w:rsidR="007D48BC" w:rsidRPr="001F344E" w:rsidRDefault="007D48BC" w:rsidP="00A56BE4">
            <w:pPr>
              <w:jc w:val="center"/>
              <w:rPr>
                <w:rFonts w:ascii="Arial" w:hAnsi="Arial" w:cs="Arial"/>
                <w:sz w:val="16"/>
                <w:szCs w:val="16"/>
              </w:rPr>
            </w:pPr>
            <w:r w:rsidRPr="001F344E">
              <w:rPr>
                <w:rFonts w:ascii="Arial" w:hAnsi="Arial" w:cs="Arial"/>
                <w:sz w:val="16"/>
                <w:szCs w:val="16"/>
              </w:rPr>
              <w:t> </w:t>
            </w:r>
          </w:p>
        </w:tc>
        <w:tc>
          <w:tcPr>
            <w:tcW w:w="973" w:type="dxa"/>
            <w:tcBorders>
              <w:top w:val="nil"/>
              <w:left w:val="nil"/>
              <w:bottom w:val="single" w:sz="4" w:space="0" w:color="auto"/>
              <w:right w:val="single" w:sz="4" w:space="0" w:color="auto"/>
            </w:tcBorders>
            <w:shd w:val="clear" w:color="000000" w:fill="D9D9D9"/>
            <w:vAlign w:val="center"/>
          </w:tcPr>
          <w:p w:rsidR="007D48BC" w:rsidRPr="001F344E" w:rsidRDefault="007D48BC" w:rsidP="00A56BE4">
            <w:pPr>
              <w:rPr>
                <w:rFonts w:ascii="Arial" w:hAnsi="Arial" w:cs="Arial"/>
                <w:sz w:val="16"/>
                <w:szCs w:val="16"/>
              </w:rPr>
            </w:pPr>
            <w:r w:rsidRPr="001F344E">
              <w:rPr>
                <w:rFonts w:ascii="Arial" w:hAnsi="Arial" w:cs="Arial"/>
                <w:sz w:val="16"/>
                <w:szCs w:val="16"/>
              </w:rPr>
              <w:t> </w:t>
            </w:r>
          </w:p>
        </w:tc>
        <w:tc>
          <w:tcPr>
            <w:tcW w:w="1297" w:type="dxa"/>
            <w:tcBorders>
              <w:top w:val="nil"/>
              <w:left w:val="nil"/>
              <w:bottom w:val="single" w:sz="4" w:space="0" w:color="auto"/>
              <w:right w:val="single" w:sz="8" w:space="0" w:color="auto"/>
            </w:tcBorders>
            <w:shd w:val="clear" w:color="000000" w:fill="D9D9D9"/>
            <w:vAlign w:val="center"/>
          </w:tcPr>
          <w:p w:rsidR="007D48BC" w:rsidRPr="001F344E" w:rsidRDefault="007D48BC" w:rsidP="00A56BE4">
            <w:pPr>
              <w:rPr>
                <w:rFonts w:ascii="Arial" w:hAnsi="Arial" w:cs="Arial"/>
                <w:sz w:val="16"/>
                <w:szCs w:val="16"/>
              </w:rPr>
            </w:pPr>
            <w:r w:rsidRPr="001F344E">
              <w:rPr>
                <w:rFonts w:ascii="Arial" w:hAnsi="Arial" w:cs="Arial"/>
                <w:sz w:val="16"/>
                <w:szCs w:val="16"/>
              </w:rPr>
              <w:t xml:space="preserve">      1</w:t>
            </w:r>
            <w:r>
              <w:rPr>
                <w:rFonts w:ascii="Arial" w:hAnsi="Arial" w:cs="Arial"/>
                <w:sz w:val="16"/>
                <w:szCs w:val="16"/>
              </w:rPr>
              <w:t>7</w:t>
            </w:r>
            <w:r w:rsidRPr="001F344E">
              <w:rPr>
                <w:rFonts w:ascii="Arial" w:hAnsi="Arial" w:cs="Arial"/>
                <w:sz w:val="16"/>
                <w:szCs w:val="16"/>
              </w:rPr>
              <w:t>.8</w:t>
            </w:r>
            <w:r>
              <w:rPr>
                <w:rFonts w:ascii="Arial" w:hAnsi="Arial" w:cs="Arial"/>
                <w:sz w:val="16"/>
                <w:szCs w:val="16"/>
              </w:rPr>
              <w:t>46</w:t>
            </w:r>
            <w:r w:rsidRPr="001F344E">
              <w:rPr>
                <w:rFonts w:ascii="Arial" w:hAnsi="Arial" w:cs="Arial"/>
                <w:sz w:val="16"/>
                <w:szCs w:val="16"/>
              </w:rPr>
              <w:t>,</w:t>
            </w:r>
            <w:r>
              <w:rPr>
                <w:rFonts w:ascii="Arial" w:hAnsi="Arial" w:cs="Arial"/>
                <w:sz w:val="16"/>
                <w:szCs w:val="16"/>
              </w:rPr>
              <w:t>7</w:t>
            </w:r>
            <w:r w:rsidRPr="001F344E">
              <w:rPr>
                <w:rFonts w:ascii="Arial" w:hAnsi="Arial" w:cs="Arial"/>
                <w:sz w:val="16"/>
                <w:szCs w:val="16"/>
              </w:rPr>
              <w:t xml:space="preserve">0 € </w:t>
            </w:r>
          </w:p>
        </w:tc>
        <w:tc>
          <w:tcPr>
            <w:tcW w:w="1307" w:type="dxa"/>
            <w:gridSpan w:val="2"/>
            <w:tcBorders>
              <w:top w:val="single" w:sz="4" w:space="0" w:color="auto"/>
              <w:left w:val="nil"/>
              <w:bottom w:val="single" w:sz="4" w:space="0" w:color="auto"/>
              <w:right w:val="single" w:sz="4" w:space="0" w:color="000000"/>
            </w:tcBorders>
            <w:shd w:val="clear" w:color="000000" w:fill="D9D9D9"/>
            <w:vAlign w:val="center"/>
          </w:tcPr>
          <w:p w:rsidR="007D48BC" w:rsidRPr="001F344E" w:rsidRDefault="007D48BC" w:rsidP="00A56BE4">
            <w:pPr>
              <w:jc w:val="center"/>
              <w:rPr>
                <w:rFonts w:ascii="Arial" w:hAnsi="Arial" w:cs="Arial"/>
                <w:sz w:val="16"/>
                <w:szCs w:val="16"/>
              </w:rPr>
            </w:pPr>
            <w:r w:rsidRPr="001F344E">
              <w:rPr>
                <w:rFonts w:ascii="Arial" w:hAnsi="Arial" w:cs="Arial"/>
                <w:sz w:val="16"/>
                <w:szCs w:val="16"/>
              </w:rPr>
              <w:t> </w:t>
            </w:r>
          </w:p>
        </w:tc>
        <w:tc>
          <w:tcPr>
            <w:tcW w:w="1033" w:type="dxa"/>
            <w:tcBorders>
              <w:top w:val="nil"/>
              <w:left w:val="nil"/>
              <w:bottom w:val="single" w:sz="4" w:space="0" w:color="auto"/>
              <w:right w:val="single" w:sz="4" w:space="0" w:color="auto"/>
            </w:tcBorders>
            <w:shd w:val="clear" w:color="000000" w:fill="D9D9D9"/>
            <w:vAlign w:val="center"/>
          </w:tcPr>
          <w:p w:rsidR="007D48BC" w:rsidRPr="001F344E" w:rsidRDefault="007D48BC" w:rsidP="00A56BE4">
            <w:pPr>
              <w:rPr>
                <w:rFonts w:ascii="Arial" w:hAnsi="Arial" w:cs="Arial"/>
                <w:sz w:val="16"/>
                <w:szCs w:val="16"/>
              </w:rPr>
            </w:pPr>
            <w:r w:rsidRPr="001F344E">
              <w:rPr>
                <w:rFonts w:ascii="Arial" w:hAnsi="Arial" w:cs="Arial"/>
                <w:sz w:val="16"/>
                <w:szCs w:val="16"/>
              </w:rPr>
              <w:t> </w:t>
            </w:r>
          </w:p>
        </w:tc>
        <w:tc>
          <w:tcPr>
            <w:tcW w:w="951" w:type="dxa"/>
            <w:tcBorders>
              <w:top w:val="nil"/>
              <w:left w:val="nil"/>
              <w:bottom w:val="single" w:sz="4" w:space="0" w:color="auto"/>
              <w:right w:val="single" w:sz="4" w:space="0" w:color="auto"/>
            </w:tcBorders>
            <w:shd w:val="clear" w:color="000000" w:fill="D9D9D9"/>
            <w:vAlign w:val="center"/>
          </w:tcPr>
          <w:p w:rsidR="007D48BC" w:rsidRPr="001F344E" w:rsidRDefault="007D48BC" w:rsidP="00A56BE4">
            <w:pPr>
              <w:rPr>
                <w:rFonts w:ascii="Arial" w:hAnsi="Arial" w:cs="Arial"/>
                <w:sz w:val="16"/>
                <w:szCs w:val="16"/>
              </w:rPr>
            </w:pPr>
            <w:r>
              <w:rPr>
                <w:rFonts w:ascii="Arial" w:hAnsi="Arial" w:cs="Arial"/>
                <w:sz w:val="16"/>
                <w:szCs w:val="16"/>
              </w:rPr>
              <w:t>3.213,96 - 4</w:t>
            </w:r>
            <w:r w:rsidRPr="001F344E">
              <w:rPr>
                <w:rFonts w:ascii="Arial" w:hAnsi="Arial" w:cs="Arial"/>
                <w:sz w:val="16"/>
                <w:szCs w:val="16"/>
              </w:rPr>
              <w:t>.</w:t>
            </w:r>
            <w:r>
              <w:rPr>
                <w:rFonts w:ascii="Arial" w:hAnsi="Arial" w:cs="Arial"/>
                <w:sz w:val="16"/>
                <w:szCs w:val="16"/>
              </w:rPr>
              <w:t>285</w:t>
            </w:r>
            <w:r w:rsidRPr="001F344E">
              <w:rPr>
                <w:rFonts w:ascii="Arial" w:hAnsi="Arial" w:cs="Arial"/>
                <w:sz w:val="16"/>
                <w:szCs w:val="16"/>
              </w:rPr>
              <w:t>,</w:t>
            </w:r>
            <w:r>
              <w:rPr>
                <w:rFonts w:ascii="Arial" w:hAnsi="Arial" w:cs="Arial"/>
                <w:sz w:val="16"/>
                <w:szCs w:val="16"/>
              </w:rPr>
              <w:t>28</w:t>
            </w:r>
            <w:r w:rsidRPr="001F344E">
              <w:rPr>
                <w:rFonts w:ascii="Arial" w:hAnsi="Arial" w:cs="Arial"/>
                <w:sz w:val="16"/>
                <w:szCs w:val="16"/>
              </w:rPr>
              <w:t xml:space="preserve"> €</w:t>
            </w:r>
          </w:p>
        </w:tc>
        <w:tc>
          <w:tcPr>
            <w:tcW w:w="1296" w:type="dxa"/>
            <w:tcBorders>
              <w:top w:val="nil"/>
              <w:left w:val="nil"/>
              <w:bottom w:val="single" w:sz="4" w:space="0" w:color="auto"/>
              <w:right w:val="single" w:sz="4" w:space="0" w:color="auto"/>
            </w:tcBorders>
            <w:shd w:val="clear" w:color="000000" w:fill="D9D9D9"/>
            <w:vAlign w:val="center"/>
          </w:tcPr>
          <w:p w:rsidR="007D48BC" w:rsidRPr="00AC3878" w:rsidRDefault="007D48BC" w:rsidP="00545183">
            <w:pPr>
              <w:jc w:val="right"/>
              <w:rPr>
                <w:rFonts w:ascii="Arial" w:hAnsi="Arial" w:cs="Arial"/>
                <w:color w:val="FF0000"/>
                <w:sz w:val="16"/>
                <w:szCs w:val="16"/>
                <w:highlight w:val="yellow"/>
              </w:rPr>
            </w:pPr>
            <w:r w:rsidRPr="00E75A86">
              <w:rPr>
                <w:rFonts w:ascii="Arial" w:hAnsi="Arial" w:cs="Arial"/>
                <w:color w:val="FF0000"/>
                <w:sz w:val="16"/>
                <w:szCs w:val="16"/>
              </w:rPr>
              <w:t xml:space="preserve">      14.632,74</w:t>
            </w:r>
            <w:r>
              <w:rPr>
                <w:rFonts w:ascii="Arial" w:hAnsi="Arial" w:cs="Arial"/>
                <w:color w:val="FF0000"/>
                <w:sz w:val="16"/>
                <w:szCs w:val="16"/>
              </w:rPr>
              <w:t xml:space="preserve"> - 13.561,42</w:t>
            </w:r>
            <w:r w:rsidRPr="00E75A86">
              <w:rPr>
                <w:rFonts w:ascii="Arial" w:hAnsi="Arial" w:cs="Arial"/>
                <w:color w:val="FF0000"/>
                <w:sz w:val="16"/>
                <w:szCs w:val="16"/>
              </w:rPr>
              <w:t xml:space="preserve"> € </w:t>
            </w:r>
          </w:p>
        </w:tc>
      </w:tr>
      <w:tr w:rsidR="007D48BC" w:rsidRPr="00A754AC">
        <w:trPr>
          <w:gridAfter w:val="1"/>
          <w:wAfter w:w="18" w:type="dxa"/>
          <w:trHeight w:val="675"/>
          <w:jc w:val="center"/>
        </w:trPr>
        <w:tc>
          <w:tcPr>
            <w:tcW w:w="1922" w:type="dxa"/>
            <w:tcBorders>
              <w:top w:val="nil"/>
              <w:left w:val="single" w:sz="4" w:space="0" w:color="auto"/>
              <w:bottom w:val="single" w:sz="4" w:space="0" w:color="auto"/>
              <w:right w:val="single" w:sz="8" w:space="0" w:color="auto"/>
            </w:tcBorders>
            <w:vAlign w:val="center"/>
          </w:tcPr>
          <w:p w:rsidR="007D48BC" w:rsidRPr="001F344E" w:rsidRDefault="007D48BC" w:rsidP="00A56BE4">
            <w:pPr>
              <w:rPr>
                <w:rFonts w:ascii="Arial" w:hAnsi="Arial" w:cs="Arial"/>
                <w:sz w:val="16"/>
                <w:szCs w:val="16"/>
              </w:rPr>
            </w:pPr>
            <w:r w:rsidRPr="001F344E">
              <w:rPr>
                <w:rFonts w:ascii="Arial" w:hAnsi="Arial" w:cs="Arial"/>
                <w:sz w:val="16"/>
                <w:szCs w:val="16"/>
              </w:rPr>
              <w:t>Costes días de hospitalización</w:t>
            </w:r>
          </w:p>
        </w:tc>
        <w:tc>
          <w:tcPr>
            <w:tcW w:w="1935" w:type="dxa"/>
            <w:gridSpan w:val="2"/>
            <w:tcBorders>
              <w:top w:val="single" w:sz="4" w:space="0" w:color="auto"/>
              <w:left w:val="nil"/>
              <w:bottom w:val="single" w:sz="4" w:space="0" w:color="auto"/>
              <w:right w:val="single" w:sz="4" w:space="0" w:color="000000"/>
            </w:tcBorders>
            <w:vAlign w:val="center"/>
          </w:tcPr>
          <w:p w:rsidR="007D48BC" w:rsidRPr="001F344E" w:rsidRDefault="007D48BC" w:rsidP="00A56BE4">
            <w:pPr>
              <w:jc w:val="center"/>
              <w:rPr>
                <w:rFonts w:ascii="Arial" w:hAnsi="Arial" w:cs="Arial"/>
                <w:sz w:val="16"/>
                <w:szCs w:val="16"/>
              </w:rPr>
            </w:pPr>
            <w:r w:rsidRPr="001F344E">
              <w:rPr>
                <w:rFonts w:ascii="Arial" w:hAnsi="Arial" w:cs="Arial"/>
                <w:sz w:val="16"/>
                <w:szCs w:val="16"/>
              </w:rPr>
              <w:t>575,37 €/día</w:t>
            </w:r>
          </w:p>
        </w:tc>
        <w:tc>
          <w:tcPr>
            <w:tcW w:w="973" w:type="dxa"/>
            <w:tcBorders>
              <w:top w:val="nil"/>
              <w:left w:val="nil"/>
              <w:bottom w:val="single" w:sz="4" w:space="0" w:color="auto"/>
              <w:right w:val="single" w:sz="4" w:space="0" w:color="auto"/>
            </w:tcBorders>
            <w:vAlign w:val="center"/>
          </w:tcPr>
          <w:p w:rsidR="007D48BC" w:rsidRPr="001F344E" w:rsidRDefault="007D48BC" w:rsidP="00A56BE4">
            <w:pPr>
              <w:rPr>
                <w:rFonts w:ascii="Arial" w:hAnsi="Arial" w:cs="Arial"/>
                <w:sz w:val="16"/>
                <w:szCs w:val="16"/>
              </w:rPr>
            </w:pPr>
            <w:r>
              <w:rPr>
                <w:rFonts w:ascii="Arial" w:hAnsi="Arial" w:cs="Arial"/>
                <w:sz w:val="16"/>
                <w:szCs w:val="16"/>
              </w:rPr>
              <w:t>31</w:t>
            </w:r>
            <w:r w:rsidRPr="001F344E">
              <w:rPr>
                <w:rFonts w:ascii="Arial" w:hAnsi="Arial" w:cs="Arial"/>
                <w:sz w:val="16"/>
                <w:szCs w:val="16"/>
              </w:rPr>
              <w:t xml:space="preserve"> días</w:t>
            </w:r>
            <w:r>
              <w:rPr>
                <w:rFonts w:ascii="Arial" w:hAnsi="Arial" w:cs="Arial"/>
                <w:sz w:val="16"/>
                <w:szCs w:val="16"/>
              </w:rPr>
              <w:t xml:space="preserve"> (17 QT linfoablativa + 14 observaion tras infusión</w:t>
            </w:r>
          </w:p>
        </w:tc>
        <w:tc>
          <w:tcPr>
            <w:tcW w:w="1297" w:type="dxa"/>
            <w:tcBorders>
              <w:top w:val="nil"/>
              <w:left w:val="nil"/>
              <w:bottom w:val="single" w:sz="4" w:space="0" w:color="auto"/>
              <w:right w:val="single" w:sz="8" w:space="0" w:color="auto"/>
            </w:tcBorders>
            <w:vAlign w:val="center"/>
          </w:tcPr>
          <w:p w:rsidR="007D48BC" w:rsidRPr="001F344E" w:rsidRDefault="007D48BC" w:rsidP="00A56BE4">
            <w:pPr>
              <w:rPr>
                <w:rFonts w:ascii="Arial" w:hAnsi="Arial" w:cs="Arial"/>
                <w:sz w:val="16"/>
                <w:szCs w:val="16"/>
              </w:rPr>
            </w:pPr>
            <w:r>
              <w:rPr>
                <w:rFonts w:ascii="Arial" w:hAnsi="Arial" w:cs="Arial"/>
                <w:sz w:val="16"/>
                <w:szCs w:val="16"/>
              </w:rPr>
              <w:t xml:space="preserve">      17.846,70</w:t>
            </w:r>
            <w:r w:rsidRPr="001F344E">
              <w:rPr>
                <w:rFonts w:ascii="Arial" w:hAnsi="Arial" w:cs="Arial"/>
                <w:sz w:val="16"/>
                <w:szCs w:val="16"/>
              </w:rPr>
              <w:t xml:space="preserve"> € </w:t>
            </w:r>
          </w:p>
        </w:tc>
        <w:tc>
          <w:tcPr>
            <w:tcW w:w="1307" w:type="dxa"/>
            <w:gridSpan w:val="2"/>
            <w:tcBorders>
              <w:top w:val="single" w:sz="4" w:space="0" w:color="auto"/>
              <w:left w:val="nil"/>
              <w:bottom w:val="single" w:sz="4" w:space="0" w:color="auto"/>
              <w:right w:val="single" w:sz="4" w:space="0" w:color="000000"/>
            </w:tcBorders>
            <w:vAlign w:val="center"/>
          </w:tcPr>
          <w:p w:rsidR="007D48BC" w:rsidRPr="001F344E" w:rsidRDefault="007D48BC" w:rsidP="00A56BE4">
            <w:pPr>
              <w:jc w:val="center"/>
              <w:rPr>
                <w:rFonts w:ascii="Arial" w:hAnsi="Arial" w:cs="Arial"/>
                <w:sz w:val="16"/>
                <w:szCs w:val="16"/>
              </w:rPr>
            </w:pPr>
            <w:r w:rsidRPr="001F344E">
              <w:rPr>
                <w:rFonts w:ascii="Arial" w:hAnsi="Arial" w:cs="Arial"/>
                <w:sz w:val="16"/>
                <w:szCs w:val="16"/>
              </w:rPr>
              <w:t> </w:t>
            </w:r>
          </w:p>
        </w:tc>
        <w:tc>
          <w:tcPr>
            <w:tcW w:w="1033" w:type="dxa"/>
            <w:tcBorders>
              <w:top w:val="nil"/>
              <w:left w:val="nil"/>
              <w:bottom w:val="nil"/>
              <w:right w:val="single" w:sz="4" w:space="0" w:color="auto"/>
            </w:tcBorders>
            <w:vAlign w:val="center"/>
          </w:tcPr>
          <w:p w:rsidR="007D48BC" w:rsidRPr="001F344E" w:rsidRDefault="007D48BC" w:rsidP="00A56BE4">
            <w:pPr>
              <w:rPr>
                <w:rFonts w:ascii="Arial" w:hAnsi="Arial" w:cs="Arial"/>
                <w:sz w:val="16"/>
                <w:szCs w:val="16"/>
              </w:rPr>
            </w:pPr>
            <w:r w:rsidRPr="001F344E">
              <w:rPr>
                <w:rFonts w:ascii="Arial" w:hAnsi="Arial" w:cs="Arial"/>
                <w:sz w:val="16"/>
                <w:szCs w:val="16"/>
              </w:rPr>
              <w:t> </w:t>
            </w:r>
          </w:p>
        </w:tc>
        <w:tc>
          <w:tcPr>
            <w:tcW w:w="951" w:type="dxa"/>
            <w:tcBorders>
              <w:top w:val="nil"/>
              <w:left w:val="nil"/>
              <w:bottom w:val="single" w:sz="4" w:space="0" w:color="auto"/>
              <w:right w:val="single" w:sz="4" w:space="0" w:color="auto"/>
            </w:tcBorders>
            <w:vAlign w:val="center"/>
          </w:tcPr>
          <w:p w:rsidR="007D48BC" w:rsidRPr="001F344E" w:rsidRDefault="007D48BC" w:rsidP="00A56BE4">
            <w:pPr>
              <w:rPr>
                <w:rFonts w:ascii="Arial" w:hAnsi="Arial" w:cs="Arial"/>
                <w:sz w:val="16"/>
                <w:szCs w:val="16"/>
              </w:rPr>
            </w:pPr>
            <w:r w:rsidRPr="001F344E">
              <w:rPr>
                <w:rFonts w:ascii="Arial" w:hAnsi="Arial" w:cs="Arial"/>
                <w:sz w:val="16"/>
                <w:szCs w:val="16"/>
              </w:rPr>
              <w:t> </w:t>
            </w:r>
          </w:p>
        </w:tc>
        <w:tc>
          <w:tcPr>
            <w:tcW w:w="1296" w:type="dxa"/>
            <w:tcBorders>
              <w:top w:val="nil"/>
              <w:left w:val="nil"/>
              <w:bottom w:val="single" w:sz="4" w:space="0" w:color="auto"/>
              <w:right w:val="single" w:sz="4" w:space="0" w:color="auto"/>
            </w:tcBorders>
            <w:shd w:val="clear" w:color="000000" w:fill="D9D9D9"/>
            <w:vAlign w:val="center"/>
          </w:tcPr>
          <w:p w:rsidR="007D48BC" w:rsidRPr="00A754AC" w:rsidRDefault="007D48BC" w:rsidP="00A56BE4">
            <w:pPr>
              <w:rPr>
                <w:rFonts w:ascii="Arial" w:hAnsi="Arial" w:cs="Arial"/>
                <w:color w:val="FF0000"/>
                <w:sz w:val="16"/>
                <w:szCs w:val="16"/>
              </w:rPr>
            </w:pPr>
            <w:r w:rsidRPr="00A754AC">
              <w:rPr>
                <w:rFonts w:ascii="Arial" w:hAnsi="Arial" w:cs="Arial"/>
                <w:color w:val="FF0000"/>
                <w:sz w:val="16"/>
                <w:szCs w:val="16"/>
              </w:rPr>
              <w:t xml:space="preserve">      17.846,70 €</w:t>
            </w:r>
          </w:p>
        </w:tc>
      </w:tr>
      <w:tr w:rsidR="007D48BC" w:rsidRPr="00A754AC">
        <w:trPr>
          <w:gridAfter w:val="1"/>
          <w:wAfter w:w="18" w:type="dxa"/>
          <w:trHeight w:val="255"/>
          <w:jc w:val="center"/>
        </w:trPr>
        <w:tc>
          <w:tcPr>
            <w:tcW w:w="1922" w:type="dxa"/>
            <w:tcBorders>
              <w:top w:val="nil"/>
              <w:left w:val="single" w:sz="4" w:space="0" w:color="auto"/>
              <w:bottom w:val="single" w:sz="4" w:space="0" w:color="auto"/>
              <w:right w:val="single" w:sz="8" w:space="0" w:color="auto"/>
            </w:tcBorders>
            <w:vAlign w:val="center"/>
          </w:tcPr>
          <w:p w:rsidR="007D48BC" w:rsidRPr="001F344E" w:rsidRDefault="007D48BC" w:rsidP="00A56BE4">
            <w:pPr>
              <w:rPr>
                <w:rFonts w:ascii="Arial" w:hAnsi="Arial" w:cs="Arial"/>
                <w:sz w:val="16"/>
                <w:szCs w:val="16"/>
              </w:rPr>
            </w:pPr>
            <w:r w:rsidRPr="001F344E">
              <w:rPr>
                <w:rFonts w:ascii="Arial" w:hAnsi="Arial" w:cs="Arial"/>
                <w:sz w:val="16"/>
                <w:szCs w:val="16"/>
              </w:rPr>
              <w:t>Costes de Hospital de Día</w:t>
            </w:r>
          </w:p>
        </w:tc>
        <w:tc>
          <w:tcPr>
            <w:tcW w:w="1935" w:type="dxa"/>
            <w:gridSpan w:val="2"/>
            <w:tcBorders>
              <w:top w:val="single" w:sz="4" w:space="0" w:color="auto"/>
              <w:left w:val="nil"/>
              <w:bottom w:val="single" w:sz="4" w:space="0" w:color="auto"/>
              <w:right w:val="single" w:sz="4" w:space="0" w:color="000000"/>
            </w:tcBorders>
            <w:vAlign w:val="center"/>
          </w:tcPr>
          <w:p w:rsidR="007D48BC" w:rsidRPr="001F344E" w:rsidRDefault="007D48BC" w:rsidP="00A56BE4">
            <w:pPr>
              <w:jc w:val="center"/>
              <w:rPr>
                <w:rFonts w:ascii="Arial" w:hAnsi="Arial" w:cs="Arial"/>
                <w:sz w:val="16"/>
                <w:szCs w:val="16"/>
              </w:rPr>
            </w:pPr>
            <w:r w:rsidRPr="001F344E">
              <w:rPr>
                <w:rFonts w:ascii="Arial" w:hAnsi="Arial" w:cs="Arial"/>
                <w:sz w:val="16"/>
                <w:szCs w:val="16"/>
              </w:rPr>
              <w:t>0</w:t>
            </w:r>
          </w:p>
        </w:tc>
        <w:tc>
          <w:tcPr>
            <w:tcW w:w="973" w:type="dxa"/>
            <w:tcBorders>
              <w:top w:val="nil"/>
              <w:left w:val="nil"/>
              <w:bottom w:val="single" w:sz="4" w:space="0" w:color="auto"/>
              <w:right w:val="single" w:sz="4" w:space="0" w:color="auto"/>
            </w:tcBorders>
            <w:vAlign w:val="center"/>
          </w:tcPr>
          <w:p w:rsidR="007D48BC" w:rsidRPr="001F344E" w:rsidRDefault="007D48BC" w:rsidP="00A56BE4">
            <w:pPr>
              <w:rPr>
                <w:rFonts w:ascii="Arial" w:hAnsi="Arial" w:cs="Arial"/>
                <w:sz w:val="16"/>
                <w:szCs w:val="16"/>
              </w:rPr>
            </w:pPr>
            <w:r w:rsidRPr="001F344E">
              <w:rPr>
                <w:rFonts w:ascii="Arial" w:hAnsi="Arial" w:cs="Arial"/>
                <w:sz w:val="16"/>
                <w:szCs w:val="16"/>
              </w:rPr>
              <w:t> </w:t>
            </w:r>
          </w:p>
        </w:tc>
        <w:tc>
          <w:tcPr>
            <w:tcW w:w="1297" w:type="dxa"/>
            <w:tcBorders>
              <w:top w:val="nil"/>
              <w:left w:val="nil"/>
              <w:bottom w:val="single" w:sz="4" w:space="0" w:color="auto"/>
              <w:right w:val="single" w:sz="8" w:space="0" w:color="auto"/>
            </w:tcBorders>
            <w:vAlign w:val="center"/>
          </w:tcPr>
          <w:p w:rsidR="007D48BC" w:rsidRPr="001F344E" w:rsidRDefault="007D48BC" w:rsidP="00A56BE4">
            <w:pPr>
              <w:rPr>
                <w:rFonts w:ascii="Arial" w:hAnsi="Arial" w:cs="Arial"/>
                <w:sz w:val="16"/>
                <w:szCs w:val="16"/>
              </w:rPr>
            </w:pPr>
            <w:r>
              <w:rPr>
                <w:rFonts w:ascii="Arial" w:hAnsi="Arial" w:cs="Arial"/>
                <w:sz w:val="16"/>
                <w:szCs w:val="16"/>
              </w:rPr>
              <w:t xml:space="preserve">                   -</w:t>
            </w:r>
            <w:r w:rsidRPr="001F344E">
              <w:rPr>
                <w:rFonts w:ascii="Arial" w:hAnsi="Arial" w:cs="Arial"/>
                <w:sz w:val="16"/>
                <w:szCs w:val="16"/>
              </w:rPr>
              <w:t xml:space="preserve">  € </w:t>
            </w:r>
          </w:p>
        </w:tc>
        <w:tc>
          <w:tcPr>
            <w:tcW w:w="1307" w:type="dxa"/>
            <w:gridSpan w:val="2"/>
            <w:tcBorders>
              <w:top w:val="single" w:sz="4" w:space="0" w:color="auto"/>
              <w:left w:val="nil"/>
              <w:bottom w:val="single" w:sz="4" w:space="0" w:color="auto"/>
              <w:right w:val="single" w:sz="4" w:space="0" w:color="000000"/>
            </w:tcBorders>
            <w:vAlign w:val="center"/>
          </w:tcPr>
          <w:p w:rsidR="007D48BC" w:rsidRPr="001F344E" w:rsidRDefault="007D48BC" w:rsidP="00A56BE4">
            <w:pPr>
              <w:jc w:val="center"/>
              <w:rPr>
                <w:rFonts w:ascii="Arial" w:hAnsi="Arial" w:cs="Arial"/>
                <w:sz w:val="16"/>
                <w:szCs w:val="16"/>
              </w:rPr>
            </w:pPr>
            <w:r w:rsidRPr="001F344E">
              <w:rPr>
                <w:rFonts w:ascii="Arial" w:hAnsi="Arial" w:cs="Arial"/>
                <w:sz w:val="16"/>
                <w:szCs w:val="16"/>
              </w:rPr>
              <w:t>267,83 €/día</w:t>
            </w:r>
          </w:p>
        </w:tc>
        <w:tc>
          <w:tcPr>
            <w:tcW w:w="1033" w:type="dxa"/>
            <w:tcBorders>
              <w:top w:val="single" w:sz="4" w:space="0" w:color="auto"/>
              <w:left w:val="nil"/>
              <w:bottom w:val="single" w:sz="4" w:space="0" w:color="auto"/>
              <w:right w:val="single" w:sz="4" w:space="0" w:color="auto"/>
            </w:tcBorders>
            <w:vAlign w:val="center"/>
          </w:tcPr>
          <w:p w:rsidR="007D48BC" w:rsidRPr="001F344E" w:rsidRDefault="007D48BC" w:rsidP="00A56BE4">
            <w:pPr>
              <w:rPr>
                <w:rFonts w:ascii="Arial" w:hAnsi="Arial" w:cs="Arial"/>
                <w:sz w:val="16"/>
                <w:szCs w:val="16"/>
              </w:rPr>
            </w:pPr>
            <w:r>
              <w:rPr>
                <w:rFonts w:ascii="Arial" w:hAnsi="Arial" w:cs="Arial"/>
                <w:sz w:val="16"/>
                <w:szCs w:val="16"/>
              </w:rPr>
              <w:t>2</w:t>
            </w:r>
            <w:r w:rsidRPr="001F344E">
              <w:rPr>
                <w:rFonts w:ascii="Arial" w:hAnsi="Arial" w:cs="Arial"/>
                <w:sz w:val="16"/>
                <w:szCs w:val="16"/>
              </w:rPr>
              <w:t xml:space="preserve"> dias por ciclo</w:t>
            </w:r>
          </w:p>
        </w:tc>
        <w:tc>
          <w:tcPr>
            <w:tcW w:w="951" w:type="dxa"/>
            <w:tcBorders>
              <w:top w:val="nil"/>
              <w:left w:val="nil"/>
              <w:bottom w:val="single" w:sz="4" w:space="0" w:color="auto"/>
              <w:right w:val="single" w:sz="4" w:space="0" w:color="auto"/>
            </w:tcBorders>
            <w:vAlign w:val="center"/>
          </w:tcPr>
          <w:p w:rsidR="007D48BC" w:rsidRPr="001F344E" w:rsidRDefault="007D48BC" w:rsidP="00A56BE4">
            <w:pPr>
              <w:rPr>
                <w:rFonts w:ascii="Arial" w:hAnsi="Arial" w:cs="Arial"/>
                <w:sz w:val="16"/>
                <w:szCs w:val="16"/>
              </w:rPr>
            </w:pPr>
            <w:r w:rsidRPr="001F344E">
              <w:rPr>
                <w:rFonts w:ascii="Arial" w:hAnsi="Arial" w:cs="Arial"/>
                <w:sz w:val="16"/>
                <w:szCs w:val="16"/>
              </w:rPr>
              <w:t xml:space="preserve">       </w:t>
            </w:r>
            <w:r>
              <w:rPr>
                <w:rFonts w:ascii="Arial" w:hAnsi="Arial" w:cs="Arial"/>
                <w:sz w:val="16"/>
                <w:szCs w:val="16"/>
              </w:rPr>
              <w:t>3.213,96 - 4</w:t>
            </w:r>
            <w:r w:rsidRPr="001F344E">
              <w:rPr>
                <w:rFonts w:ascii="Arial" w:hAnsi="Arial" w:cs="Arial"/>
                <w:sz w:val="16"/>
                <w:szCs w:val="16"/>
              </w:rPr>
              <w:t>.</w:t>
            </w:r>
            <w:r>
              <w:rPr>
                <w:rFonts w:ascii="Arial" w:hAnsi="Arial" w:cs="Arial"/>
                <w:sz w:val="16"/>
                <w:szCs w:val="16"/>
              </w:rPr>
              <w:t>285</w:t>
            </w:r>
            <w:r w:rsidRPr="001F344E">
              <w:rPr>
                <w:rFonts w:ascii="Arial" w:hAnsi="Arial" w:cs="Arial"/>
                <w:sz w:val="16"/>
                <w:szCs w:val="16"/>
              </w:rPr>
              <w:t>,</w:t>
            </w:r>
            <w:r>
              <w:rPr>
                <w:rFonts w:ascii="Arial" w:hAnsi="Arial" w:cs="Arial"/>
                <w:sz w:val="16"/>
                <w:szCs w:val="16"/>
              </w:rPr>
              <w:t>28</w:t>
            </w:r>
            <w:r w:rsidRPr="001F344E">
              <w:rPr>
                <w:rFonts w:ascii="Arial" w:hAnsi="Arial" w:cs="Arial"/>
                <w:sz w:val="16"/>
                <w:szCs w:val="16"/>
              </w:rPr>
              <w:t xml:space="preserve"> € </w:t>
            </w:r>
          </w:p>
        </w:tc>
        <w:tc>
          <w:tcPr>
            <w:tcW w:w="1296" w:type="dxa"/>
            <w:tcBorders>
              <w:top w:val="nil"/>
              <w:left w:val="nil"/>
              <w:bottom w:val="single" w:sz="4" w:space="0" w:color="auto"/>
              <w:right w:val="single" w:sz="4" w:space="0" w:color="auto"/>
            </w:tcBorders>
            <w:shd w:val="clear" w:color="000000" w:fill="D9D9D9"/>
            <w:vAlign w:val="center"/>
          </w:tcPr>
          <w:p w:rsidR="007D48BC" w:rsidRPr="00A754AC" w:rsidRDefault="007D48BC" w:rsidP="00A754AC">
            <w:pPr>
              <w:jc w:val="right"/>
              <w:rPr>
                <w:rFonts w:ascii="Arial" w:hAnsi="Arial" w:cs="Arial"/>
                <w:color w:val="FF0000"/>
                <w:sz w:val="16"/>
                <w:szCs w:val="16"/>
                <w:highlight w:val="yellow"/>
              </w:rPr>
            </w:pPr>
            <w:r>
              <w:rPr>
                <w:rFonts w:ascii="Arial" w:hAnsi="Arial" w:cs="Arial"/>
                <w:color w:val="FF0000"/>
                <w:sz w:val="16"/>
                <w:szCs w:val="16"/>
              </w:rPr>
              <w:t xml:space="preserve">- </w:t>
            </w:r>
            <w:r w:rsidRPr="00A754AC">
              <w:rPr>
                <w:rFonts w:ascii="Arial" w:hAnsi="Arial" w:cs="Arial"/>
                <w:color w:val="FF0000"/>
                <w:sz w:val="16"/>
                <w:szCs w:val="16"/>
              </w:rPr>
              <w:t>3.213,96 - 4.285,28 €</w:t>
            </w:r>
          </w:p>
        </w:tc>
      </w:tr>
      <w:tr w:rsidR="007D48BC" w:rsidRPr="00A754AC">
        <w:trPr>
          <w:gridAfter w:val="1"/>
          <w:wAfter w:w="18" w:type="dxa"/>
          <w:trHeight w:val="270"/>
          <w:jc w:val="center"/>
        </w:trPr>
        <w:tc>
          <w:tcPr>
            <w:tcW w:w="1922" w:type="dxa"/>
            <w:tcBorders>
              <w:top w:val="nil"/>
              <w:left w:val="single" w:sz="4" w:space="0" w:color="auto"/>
              <w:bottom w:val="nil"/>
              <w:right w:val="single" w:sz="8" w:space="0" w:color="auto"/>
            </w:tcBorders>
            <w:shd w:val="clear" w:color="000000" w:fill="D9D9D9"/>
            <w:vAlign w:val="center"/>
          </w:tcPr>
          <w:p w:rsidR="007D48BC" w:rsidRPr="001F344E" w:rsidRDefault="007D48BC" w:rsidP="00A56BE4">
            <w:pPr>
              <w:rPr>
                <w:rFonts w:ascii="Arial" w:hAnsi="Arial" w:cs="Arial"/>
                <w:color w:val="FF0000"/>
                <w:sz w:val="18"/>
                <w:szCs w:val="18"/>
              </w:rPr>
            </w:pPr>
            <w:r w:rsidRPr="001F344E">
              <w:rPr>
                <w:rFonts w:ascii="Arial" w:hAnsi="Arial" w:cs="Arial"/>
                <w:color w:val="FF0000"/>
                <w:sz w:val="18"/>
                <w:szCs w:val="18"/>
              </w:rPr>
              <w:t xml:space="preserve">TOTAL GLOBAL </w:t>
            </w:r>
          </w:p>
        </w:tc>
        <w:tc>
          <w:tcPr>
            <w:tcW w:w="1935" w:type="dxa"/>
            <w:gridSpan w:val="2"/>
            <w:tcBorders>
              <w:top w:val="single" w:sz="4" w:space="0" w:color="auto"/>
              <w:left w:val="nil"/>
              <w:bottom w:val="nil"/>
              <w:right w:val="single" w:sz="4" w:space="0" w:color="000000"/>
            </w:tcBorders>
            <w:shd w:val="clear" w:color="000000" w:fill="D9D9D9"/>
            <w:vAlign w:val="center"/>
          </w:tcPr>
          <w:p w:rsidR="007D48BC" w:rsidRPr="007872CC" w:rsidRDefault="007D48BC" w:rsidP="00A56BE4">
            <w:pPr>
              <w:jc w:val="center"/>
              <w:rPr>
                <w:rFonts w:ascii="Arial" w:hAnsi="Arial" w:cs="Arial"/>
                <w:color w:val="FF0000"/>
                <w:sz w:val="18"/>
                <w:szCs w:val="18"/>
              </w:rPr>
            </w:pPr>
            <w:r w:rsidRPr="007872CC">
              <w:rPr>
                <w:rFonts w:ascii="Arial" w:hAnsi="Arial" w:cs="Arial"/>
                <w:color w:val="FF0000"/>
                <w:sz w:val="18"/>
                <w:szCs w:val="18"/>
              </w:rPr>
              <w:t> </w:t>
            </w:r>
          </w:p>
        </w:tc>
        <w:tc>
          <w:tcPr>
            <w:tcW w:w="973" w:type="dxa"/>
            <w:tcBorders>
              <w:top w:val="nil"/>
              <w:left w:val="nil"/>
              <w:bottom w:val="nil"/>
              <w:right w:val="single" w:sz="4" w:space="0" w:color="auto"/>
            </w:tcBorders>
            <w:shd w:val="clear" w:color="000000" w:fill="D9D9D9"/>
            <w:vAlign w:val="center"/>
          </w:tcPr>
          <w:p w:rsidR="007D48BC" w:rsidRPr="007872CC" w:rsidRDefault="007D48BC" w:rsidP="00A56BE4">
            <w:pPr>
              <w:rPr>
                <w:rFonts w:ascii="Arial" w:hAnsi="Arial" w:cs="Arial"/>
                <w:color w:val="FF0000"/>
                <w:sz w:val="18"/>
                <w:szCs w:val="18"/>
              </w:rPr>
            </w:pPr>
            <w:r w:rsidRPr="007872CC">
              <w:rPr>
                <w:rFonts w:ascii="Arial" w:hAnsi="Arial" w:cs="Arial"/>
                <w:color w:val="FF0000"/>
                <w:sz w:val="18"/>
                <w:szCs w:val="18"/>
              </w:rPr>
              <w:t> </w:t>
            </w:r>
          </w:p>
        </w:tc>
        <w:tc>
          <w:tcPr>
            <w:tcW w:w="1297" w:type="dxa"/>
            <w:tcBorders>
              <w:top w:val="nil"/>
              <w:left w:val="nil"/>
              <w:bottom w:val="nil"/>
              <w:right w:val="single" w:sz="8" w:space="0" w:color="auto"/>
            </w:tcBorders>
            <w:shd w:val="clear" w:color="000000" w:fill="D9D9D9"/>
            <w:vAlign w:val="center"/>
          </w:tcPr>
          <w:p w:rsidR="007D48BC" w:rsidRPr="007872CC" w:rsidRDefault="007D48BC" w:rsidP="00A56BE4">
            <w:pPr>
              <w:jc w:val="right"/>
              <w:rPr>
                <w:rFonts w:ascii="Arial" w:hAnsi="Arial" w:cs="Arial"/>
                <w:sz w:val="18"/>
                <w:szCs w:val="18"/>
              </w:rPr>
            </w:pPr>
            <w:r w:rsidRPr="007872CC">
              <w:rPr>
                <w:rFonts w:ascii="Arial" w:hAnsi="Arial" w:cs="Arial"/>
                <w:sz w:val="18"/>
                <w:szCs w:val="18"/>
              </w:rPr>
              <w:t xml:space="preserve"> 439.874,51 €</w:t>
            </w:r>
          </w:p>
        </w:tc>
        <w:tc>
          <w:tcPr>
            <w:tcW w:w="1307" w:type="dxa"/>
            <w:gridSpan w:val="2"/>
            <w:tcBorders>
              <w:top w:val="single" w:sz="4" w:space="0" w:color="auto"/>
              <w:left w:val="nil"/>
              <w:bottom w:val="nil"/>
              <w:right w:val="single" w:sz="4" w:space="0" w:color="000000"/>
            </w:tcBorders>
            <w:shd w:val="clear" w:color="000000" w:fill="D9D9D9"/>
            <w:vAlign w:val="center"/>
          </w:tcPr>
          <w:p w:rsidR="007D48BC" w:rsidRPr="000F7F00" w:rsidRDefault="007D48BC" w:rsidP="00A56BE4">
            <w:pPr>
              <w:jc w:val="right"/>
              <w:rPr>
                <w:rFonts w:ascii="Arial" w:hAnsi="Arial" w:cs="Arial"/>
                <w:color w:val="FF0000"/>
                <w:sz w:val="18"/>
                <w:szCs w:val="18"/>
              </w:rPr>
            </w:pPr>
            <w:r w:rsidRPr="000F7F00">
              <w:rPr>
                <w:rFonts w:ascii="Arial" w:hAnsi="Arial" w:cs="Arial"/>
                <w:color w:val="FF0000"/>
                <w:sz w:val="18"/>
                <w:szCs w:val="18"/>
              </w:rPr>
              <w:t> </w:t>
            </w:r>
          </w:p>
        </w:tc>
        <w:tc>
          <w:tcPr>
            <w:tcW w:w="1033" w:type="dxa"/>
            <w:tcBorders>
              <w:top w:val="nil"/>
              <w:left w:val="nil"/>
              <w:bottom w:val="nil"/>
              <w:right w:val="single" w:sz="4" w:space="0" w:color="auto"/>
            </w:tcBorders>
            <w:shd w:val="clear" w:color="000000" w:fill="D9D9D9"/>
            <w:vAlign w:val="center"/>
          </w:tcPr>
          <w:p w:rsidR="007D48BC" w:rsidRPr="000F7F00" w:rsidRDefault="007D48BC" w:rsidP="00A56BE4">
            <w:pPr>
              <w:jc w:val="right"/>
              <w:rPr>
                <w:rFonts w:ascii="Arial" w:hAnsi="Arial" w:cs="Arial"/>
                <w:color w:val="FF0000"/>
                <w:sz w:val="18"/>
                <w:szCs w:val="18"/>
              </w:rPr>
            </w:pPr>
            <w:r w:rsidRPr="000F7F00">
              <w:rPr>
                <w:rFonts w:ascii="Arial" w:hAnsi="Arial" w:cs="Arial"/>
                <w:color w:val="FF0000"/>
                <w:sz w:val="18"/>
                <w:szCs w:val="18"/>
              </w:rPr>
              <w:t> </w:t>
            </w:r>
          </w:p>
        </w:tc>
        <w:tc>
          <w:tcPr>
            <w:tcW w:w="951" w:type="dxa"/>
            <w:tcBorders>
              <w:top w:val="nil"/>
              <w:left w:val="nil"/>
              <w:bottom w:val="nil"/>
              <w:right w:val="single" w:sz="4" w:space="0" w:color="auto"/>
            </w:tcBorders>
            <w:shd w:val="clear" w:color="000000" w:fill="D9D9D9"/>
            <w:vAlign w:val="center"/>
          </w:tcPr>
          <w:p w:rsidR="007D48BC" w:rsidRPr="00AC3878" w:rsidRDefault="007D48BC" w:rsidP="00A56BE4">
            <w:pPr>
              <w:jc w:val="right"/>
              <w:rPr>
                <w:rFonts w:ascii="Arial" w:hAnsi="Arial" w:cs="Arial"/>
                <w:sz w:val="18"/>
                <w:szCs w:val="18"/>
                <w:highlight w:val="yellow"/>
              </w:rPr>
            </w:pPr>
            <w:r w:rsidRPr="00007619">
              <w:rPr>
                <w:rFonts w:ascii="Arial" w:hAnsi="Arial" w:cs="Arial"/>
                <w:sz w:val="18"/>
                <w:szCs w:val="18"/>
              </w:rPr>
              <w:t>11.691,96 – 15.589,28 €</w:t>
            </w:r>
          </w:p>
        </w:tc>
        <w:tc>
          <w:tcPr>
            <w:tcW w:w="1296" w:type="dxa"/>
            <w:tcBorders>
              <w:top w:val="nil"/>
              <w:left w:val="nil"/>
              <w:bottom w:val="nil"/>
              <w:right w:val="single" w:sz="4" w:space="0" w:color="auto"/>
            </w:tcBorders>
            <w:shd w:val="clear" w:color="000000" w:fill="D9D9D9"/>
            <w:vAlign w:val="center"/>
          </w:tcPr>
          <w:p w:rsidR="007D48BC" w:rsidRPr="00A754AC" w:rsidRDefault="007D48BC" w:rsidP="00A56BE4">
            <w:pPr>
              <w:jc w:val="right"/>
              <w:rPr>
                <w:rFonts w:ascii="Arial" w:hAnsi="Arial" w:cs="Arial"/>
                <w:color w:val="FF0000"/>
                <w:sz w:val="18"/>
                <w:szCs w:val="18"/>
              </w:rPr>
            </w:pPr>
            <w:r w:rsidRPr="00A754AC">
              <w:rPr>
                <w:rFonts w:ascii="Arial" w:hAnsi="Arial" w:cs="Arial"/>
                <w:color w:val="FF0000"/>
                <w:sz w:val="18"/>
                <w:szCs w:val="18"/>
              </w:rPr>
              <w:t xml:space="preserve"> 424.285,23 €</w:t>
            </w:r>
          </w:p>
        </w:tc>
      </w:tr>
      <w:tr w:rsidR="007D48BC" w:rsidRPr="001F344E">
        <w:trPr>
          <w:trHeight w:val="555"/>
          <w:jc w:val="center"/>
        </w:trPr>
        <w:tc>
          <w:tcPr>
            <w:tcW w:w="10732" w:type="dxa"/>
            <w:gridSpan w:val="11"/>
            <w:tcBorders>
              <w:top w:val="single" w:sz="8" w:space="0" w:color="auto"/>
              <w:left w:val="single" w:sz="8" w:space="0" w:color="auto"/>
              <w:bottom w:val="single" w:sz="8" w:space="0" w:color="auto"/>
              <w:right w:val="single" w:sz="8" w:space="0" w:color="000000"/>
            </w:tcBorders>
            <w:shd w:val="clear" w:color="000000" w:fill="D9D9D9"/>
            <w:vAlign w:val="center"/>
          </w:tcPr>
          <w:p w:rsidR="007D48BC" w:rsidRPr="001F344E" w:rsidRDefault="007D48BC" w:rsidP="00A56BE4">
            <w:pPr>
              <w:rPr>
                <w:rFonts w:ascii="Arial" w:hAnsi="Arial" w:cs="Arial"/>
              </w:rPr>
            </w:pPr>
            <w:r w:rsidRPr="001F344E">
              <w:rPr>
                <w:rFonts w:ascii="Arial" w:hAnsi="Arial" w:cs="Arial"/>
              </w:rPr>
              <w:t xml:space="preserve">*SC calculada a través de la media de peso de los pacientes incluidos en </w:t>
            </w:r>
            <w:r w:rsidRPr="001F344E">
              <w:rPr>
                <w:rFonts w:ascii="Arial" w:hAnsi="Arial" w:cs="Arial"/>
                <w:i/>
                <w:iCs/>
              </w:rPr>
              <w:t>Maude et al.2018</w:t>
            </w:r>
            <w:r w:rsidRPr="001F344E">
              <w:rPr>
                <w:rFonts w:ascii="Arial" w:hAnsi="Arial" w:cs="Arial"/>
              </w:rPr>
              <w:t xml:space="preserve">. **Calculado a partir de los datos de administración de tocilizumab publicado en </w:t>
            </w:r>
            <w:r w:rsidRPr="001F344E">
              <w:rPr>
                <w:rFonts w:ascii="Arial" w:hAnsi="Arial" w:cs="Arial"/>
                <w:i/>
                <w:iCs/>
              </w:rPr>
              <w:t xml:space="preserve">Maude et al. 2014. </w:t>
            </w:r>
            <w:r w:rsidRPr="001F344E">
              <w:rPr>
                <w:rFonts w:ascii="Arial" w:hAnsi="Arial" w:cs="Arial"/>
              </w:rPr>
              <w:t>***Mediana de la estancia en UCI: 7 días (</w:t>
            </w:r>
            <w:r w:rsidRPr="001F344E">
              <w:rPr>
                <w:rFonts w:ascii="Arial" w:hAnsi="Arial" w:cs="Arial"/>
                <w:i/>
                <w:iCs/>
              </w:rPr>
              <w:t>Maude et al. 2018</w:t>
            </w:r>
            <w:r w:rsidRPr="001F344E">
              <w:rPr>
                <w:rFonts w:ascii="Arial" w:hAnsi="Arial" w:cs="Arial"/>
              </w:rPr>
              <w:t>). **** Total según EPAR: mínimo 14 días para QT linfoablativa + 10 días de observación tras infusión</w:t>
            </w:r>
          </w:p>
        </w:tc>
      </w:tr>
    </w:tbl>
    <w:p w:rsidR="007D48BC" w:rsidRPr="0082659E" w:rsidRDefault="007D48BC" w:rsidP="00A56BE4">
      <w:pPr>
        <w:snapToGrid w:val="0"/>
        <w:rPr>
          <w:rFonts w:ascii="Arial" w:hAnsi="Arial" w:cs="Arial"/>
          <w:color w:val="000080"/>
          <w:lang w:eastAsia="en-US"/>
        </w:rPr>
      </w:pPr>
    </w:p>
    <w:p w:rsidR="007D48BC" w:rsidRPr="0082659E" w:rsidRDefault="007D48BC" w:rsidP="0082659E">
      <w:pPr>
        <w:snapToGrid w:val="0"/>
        <w:rPr>
          <w:rFonts w:ascii="Arial" w:hAnsi="Arial" w:cs="Arial"/>
          <w:color w:val="000080"/>
          <w:lang w:eastAsia="en-US"/>
        </w:rPr>
      </w:pPr>
    </w:p>
    <w:sectPr w:rsidR="007D48BC" w:rsidRPr="0082659E" w:rsidSect="00A56BE4">
      <w:pgSz w:w="16838" w:h="11906" w:orient="landscape"/>
      <w:pgMar w:top="1469" w:right="1418" w:bottom="1701" w:left="1418" w:header="709" w:footer="709" w:gutter="0"/>
      <w:cols w:space="708"/>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103" w:author="Dolores Fraga" w:date="2019-05-04T19:10:00Z" w:initials="DFF">
    <w:p w:rsidR="00C404C6" w:rsidRDefault="00C404C6">
      <w:pPr>
        <w:pStyle w:val="Textocomentario"/>
      </w:pPr>
      <w:r>
        <w:rPr>
          <w:rStyle w:val="Refdecomentario"/>
        </w:rPr>
        <w:annotationRef/>
      </w:r>
      <w:r>
        <w:t>Deberían incluirse los costes de estancia en UCI me parecen muy relevantes, utilizar los de informe de tisagen</w:t>
      </w:r>
    </w:p>
  </w:comment>
  <w:comment w:id="104" w:author="Espinosa Bosch, María" w:date="2019-05-07T18:50:00Z" w:initials="EBM">
    <w:p w:rsidR="00C404C6" w:rsidRDefault="00C404C6">
      <w:pPr>
        <w:pStyle w:val="Textocomentario"/>
      </w:pPr>
      <w:r>
        <w:rPr>
          <w:rStyle w:val="Refdecomentario"/>
        </w:rPr>
        <w:annotationRef/>
      </w:r>
      <w:r>
        <w:t>No tengo el dato de % de pacientes que requieren UCI, no lo localizo</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1FD235D7" w15:done="0"/>
  <w15:commentEx w15:paraId="1A7FDAEA" w15:paraIdParent="1FD235D7"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FD235D7" w16cid:durableId="20792581"/>
  <w16cid:commentId w16cid:paraId="1A7FDAEA" w16cid:durableId="207C5201"/>
</w16cid:commentsId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F7876" w:rsidRDefault="005F7876">
      <w:r>
        <w:separator/>
      </w:r>
    </w:p>
  </w:endnote>
  <w:endnote w:type="continuationSeparator" w:id="0">
    <w:p w:rsidR="005F7876" w:rsidRDefault="005F787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ZYYKLI+TimesTen-Roman">
    <w:altName w:val="Times New Roman"/>
    <w:charset w:val="00"/>
    <w:family w:val="roman"/>
    <w:pitch w:val="default"/>
    <w:sig w:usb0="00000000"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NBIQZG+HelveticaNeue-Light">
    <w:altName w:val="Segoe Print"/>
    <w:charset w:val="00"/>
    <w:family w:val="swiss"/>
    <w:pitch w:val="default"/>
    <w:sig w:usb0="00000000" w:usb1="00000000" w:usb2="00000000" w:usb3="00000000" w:csb0="00000001" w:csb1="00000000"/>
  </w:font>
  <w:font w:name="GNQAFU+HelveticaNeue-Black">
    <w:altName w:val="Segoe Print"/>
    <w:charset w:val="00"/>
    <w:family w:val="swiss"/>
    <w:pitch w:val="default"/>
    <w:sig w:usb0="00000000" w:usb1="00000000" w:usb2="00000000" w:usb3="00000000" w:csb0="00000001" w:csb1="00000000"/>
  </w:font>
  <w:font w:name="DZMIPA+HelveticaNeue-Medium">
    <w:altName w:val="Cambria"/>
    <w:charset w:val="00"/>
    <w:family w:val="swiss"/>
    <w:pitch w:val="default"/>
    <w:sig w:usb0="00000000" w:usb1="00000000" w:usb2="00000000" w:usb3="00000000" w:csb0="00000001" w:csb1="00000000"/>
  </w:font>
  <w:font w:name="等?">
    <w:altName w:val="Arial Unicode MS"/>
    <w:panose1 w:val="00000000000000000000"/>
    <w:charset w:val="80"/>
    <w:family w:val="roman"/>
    <w:notTrueType/>
    <w:pitch w:val="default"/>
    <w:sig w:usb0="00000001" w:usb1="08070000" w:usb2="00000010" w:usb3="00000000" w:csb0="00020000"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04C6" w:rsidRPr="00EE44B8" w:rsidRDefault="00FE59AC">
    <w:pPr>
      <w:pStyle w:val="Piedepgina"/>
      <w:framePr w:w="700" w:h="548" w:hRule="exact" w:wrap="auto" w:vAnchor="text" w:hAnchor="page" w:x="5662" w:y="-89"/>
      <w:rPr>
        <w:rStyle w:val="Nmerodepgina"/>
      </w:rPr>
    </w:pPr>
    <w:r w:rsidRPr="00EE44B8">
      <w:rPr>
        <w:rStyle w:val="Nmerodepgina"/>
      </w:rPr>
      <w:fldChar w:fldCharType="begin"/>
    </w:r>
    <w:r w:rsidR="00C404C6" w:rsidRPr="00EE44B8">
      <w:rPr>
        <w:rStyle w:val="Nmerodepgina"/>
      </w:rPr>
      <w:instrText xml:space="preserve">PAGE  </w:instrText>
    </w:r>
    <w:r w:rsidRPr="00EE44B8">
      <w:rPr>
        <w:rStyle w:val="Nmerodepgina"/>
      </w:rPr>
      <w:fldChar w:fldCharType="separate"/>
    </w:r>
    <w:r w:rsidR="00D46893">
      <w:rPr>
        <w:rStyle w:val="Nmerodepgina"/>
        <w:noProof/>
      </w:rPr>
      <w:t>1</w:t>
    </w:r>
    <w:r w:rsidRPr="00EE44B8">
      <w:rPr>
        <w:rStyle w:val="Nmerodepgina"/>
      </w:rPr>
      <w:fldChar w:fldCharType="end"/>
    </w:r>
  </w:p>
  <w:p w:rsidR="00C404C6" w:rsidRDefault="00C404C6">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F7876" w:rsidRDefault="005F7876">
      <w:r>
        <w:separator/>
      </w:r>
    </w:p>
  </w:footnote>
  <w:footnote w:type="continuationSeparator" w:id="0">
    <w:p w:rsidR="005F7876" w:rsidRDefault="005F7876">
      <w:r>
        <w:continuationSeparator/>
      </w:r>
    </w:p>
  </w:footnote>
  <w:footnote w:id="1">
    <w:p w:rsidR="00C404C6" w:rsidRDefault="00C404C6" w:rsidP="00A93E29">
      <w:pPr>
        <w:widowControl w:val="0"/>
        <w:suppressAutoHyphens/>
        <w:jc w:val="both"/>
        <w:rPr>
          <w:rFonts w:ascii="Arial" w:hAnsi="Arial" w:cs="Arial"/>
          <w:sz w:val="16"/>
          <w:szCs w:val="16"/>
        </w:rPr>
      </w:pPr>
      <w:r>
        <w:rPr>
          <w:rStyle w:val="Refdenotaalpie"/>
          <w:rFonts w:ascii="Arial" w:hAnsi="Arial" w:cs="Arial"/>
          <w:sz w:val="16"/>
          <w:szCs w:val="16"/>
        </w:rPr>
        <w:footnoteRef/>
      </w:r>
      <w:r>
        <w:rPr>
          <w:rFonts w:ascii="Arial" w:hAnsi="Arial" w:cs="Arial"/>
          <w:sz w:val="16"/>
          <w:szCs w:val="16"/>
        </w:rPr>
        <w:t xml:space="preserve"> </w:t>
      </w:r>
      <w:r>
        <w:rPr>
          <w:rFonts w:ascii="Arial" w:hAnsi="Arial" w:cs="Arial"/>
          <w:b/>
          <w:bCs/>
          <w:i/>
          <w:iCs/>
          <w:sz w:val="16"/>
          <w:szCs w:val="16"/>
        </w:rPr>
        <w:t>Marín R, Puigventós F, Fraga MD, Ortega A, López-Briz E, Arocas V, Santos B.</w:t>
      </w:r>
      <w:r>
        <w:rPr>
          <w:rFonts w:ascii="Arial" w:hAnsi="Arial" w:cs="Arial"/>
          <w:sz w:val="16"/>
          <w:szCs w:val="16"/>
        </w:rPr>
        <w:t xml:space="preserve"> Grupo de Evaluación de Novedades y Estandarización e Investigación en Selección de Medicamentos (GENESIS)  de la Sociedad Española de Farmacia Hospitalaria (SEFH). Método de Ayuda para la toma de Decisiones y la Realización de Evaluaciones de medicamentos (MADRE). Versión 4.0. Madrid: SEFH (ed.), 2013. ISBN: 978-84-695-7629-8. Disponible en </w:t>
      </w:r>
      <w:hyperlink r:id="rId1" w:tgtFrame="_blank" w:history="1">
        <w:r>
          <w:rPr>
            <w:rStyle w:val="Hipervnculo"/>
            <w:rFonts w:ascii="Arial" w:hAnsi="Arial" w:cs="Arial"/>
            <w:sz w:val="16"/>
            <w:szCs w:val="16"/>
          </w:rPr>
          <w:t>http://gruposdetrabajo.sefh.es/genesis/genesis/basesmetodologicas/programamadre/index.html</w:t>
        </w:r>
      </w:hyperlink>
    </w:p>
    <w:p w:rsidR="00C404C6" w:rsidRDefault="00C404C6" w:rsidP="00A93E29">
      <w:pPr>
        <w:widowControl w:val="0"/>
        <w:suppressAutoHyphens/>
        <w:jc w:val="both"/>
      </w:pPr>
    </w:p>
  </w:footnote>
  <w:footnote w:id="2">
    <w:p w:rsidR="00C404C6" w:rsidRDefault="00C404C6" w:rsidP="005B245C">
      <w:pPr>
        <w:jc w:val="both"/>
        <w:rPr>
          <w:b/>
          <w:bCs/>
          <w:sz w:val="22"/>
          <w:szCs w:val="22"/>
        </w:rPr>
      </w:pPr>
      <w:r>
        <w:rPr>
          <w:rStyle w:val="Refdenotaalpie"/>
        </w:rPr>
        <w:footnoteRef/>
      </w:r>
      <w:r>
        <w:t xml:space="preserve"> </w:t>
      </w:r>
      <w:r w:rsidRPr="005B245C">
        <w:rPr>
          <w:rFonts w:ascii="Arial" w:hAnsi="Arial" w:cs="Arial"/>
          <w:b/>
          <w:bCs/>
          <w:i/>
          <w:iCs/>
          <w:sz w:val="16"/>
          <w:szCs w:val="16"/>
        </w:rPr>
        <w:t>Ortega Eslava A, Marín Gil R, Fraga Fuentes MD, López-Briz E, Puigventós Latorre F (GENESIS-SEFH</w:t>
      </w:r>
      <w:r>
        <w:rPr>
          <w:rFonts w:ascii="Arial" w:hAnsi="Arial" w:cs="Arial"/>
          <w:sz w:val="16"/>
          <w:szCs w:val="16"/>
        </w:rPr>
        <w:t>)</w:t>
      </w:r>
      <w:r w:rsidRPr="005B245C">
        <w:rPr>
          <w:rFonts w:ascii="Arial" w:hAnsi="Arial" w:cs="Arial"/>
          <w:sz w:val="16"/>
          <w:szCs w:val="16"/>
        </w:rPr>
        <w:t>. Guía de evaluación económica e impacto presupuestario en los informes de evaluación de medicamentos. Guía práctica asociada al programa MADRE v4.0. Madrid: SEFH (e.), 2016 ISBN: 978-84-617-6757-1. Disponible en: http://gruposdetrabajo.sefh.es/genesis</w:t>
      </w:r>
      <w:r>
        <w:rPr>
          <w:sz w:val="22"/>
          <w:szCs w:val="22"/>
        </w:rPr>
        <w:t xml:space="preserve"> </w:t>
      </w:r>
    </w:p>
    <w:p w:rsidR="00C404C6" w:rsidRDefault="00C404C6" w:rsidP="005B245C">
      <w:pPr>
        <w:jc w:val="both"/>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20" w:type="dxa"/>
      <w:tblInd w:w="-68" w:type="dxa"/>
      <w:tblLayout w:type="fixed"/>
      <w:tblCellMar>
        <w:left w:w="70" w:type="dxa"/>
        <w:right w:w="70" w:type="dxa"/>
      </w:tblCellMar>
      <w:tblLook w:val="0000"/>
    </w:tblPr>
    <w:tblGrid>
      <w:gridCol w:w="6300"/>
      <w:gridCol w:w="1080"/>
      <w:gridCol w:w="1440"/>
    </w:tblGrid>
    <w:tr w:rsidR="00C404C6" w:rsidRPr="00CA38BF">
      <w:trPr>
        <w:cantSplit/>
        <w:trHeight w:val="240"/>
      </w:trPr>
      <w:tc>
        <w:tcPr>
          <w:tcW w:w="6300" w:type="dxa"/>
          <w:vMerge w:val="restart"/>
          <w:tcBorders>
            <w:top w:val="single" w:sz="4" w:space="0" w:color="auto"/>
            <w:left w:val="single" w:sz="4" w:space="0" w:color="auto"/>
            <w:right w:val="single" w:sz="4" w:space="0" w:color="auto"/>
          </w:tcBorders>
          <w:shd w:val="clear" w:color="auto" w:fill="000080"/>
          <w:vAlign w:val="center"/>
        </w:tcPr>
        <w:p w:rsidR="00C404C6" w:rsidRPr="006105D5" w:rsidRDefault="00C404C6">
          <w:pPr>
            <w:pStyle w:val="Encabezado"/>
            <w:rPr>
              <w:rFonts w:ascii="Arial" w:hAnsi="Arial" w:cs="Arial"/>
              <w:color w:val="FFFFFF"/>
              <w:sz w:val="20"/>
              <w:szCs w:val="20"/>
            </w:rPr>
          </w:pPr>
          <w:r w:rsidRPr="006105D5">
            <w:rPr>
              <w:rFonts w:ascii="Arial" w:hAnsi="Arial" w:cs="Arial"/>
              <w:color w:val="FFFFFF"/>
              <w:sz w:val="20"/>
              <w:szCs w:val="20"/>
            </w:rPr>
            <w:t>GENESIS-SEFH</w:t>
          </w:r>
        </w:p>
        <w:p w:rsidR="00C404C6" w:rsidRPr="006105D5" w:rsidRDefault="00C404C6">
          <w:pPr>
            <w:pStyle w:val="Encabezado"/>
            <w:jc w:val="right"/>
            <w:rPr>
              <w:rFonts w:ascii="Arial" w:hAnsi="Arial" w:cs="Arial"/>
              <w:color w:val="FFFFFF"/>
              <w:sz w:val="20"/>
              <w:szCs w:val="20"/>
            </w:rPr>
          </w:pPr>
          <w:r w:rsidRPr="006105D5">
            <w:rPr>
              <w:rFonts w:ascii="Arial" w:hAnsi="Arial" w:cs="Arial"/>
              <w:color w:val="FFFFFF"/>
              <w:sz w:val="20"/>
              <w:szCs w:val="20"/>
            </w:rPr>
            <w:t xml:space="preserve">Programa MADRE versión 4.1  </w:t>
          </w:r>
        </w:p>
        <w:p w:rsidR="00C404C6" w:rsidRPr="006105D5" w:rsidRDefault="00C404C6">
          <w:pPr>
            <w:pStyle w:val="Encabezado"/>
            <w:jc w:val="right"/>
            <w:rPr>
              <w:rFonts w:ascii="Arial" w:hAnsi="Arial" w:cs="Arial"/>
              <w:b/>
              <w:bCs/>
              <w:color w:val="FFFFFF"/>
              <w:sz w:val="22"/>
              <w:szCs w:val="22"/>
            </w:rPr>
          </w:pPr>
          <w:r w:rsidRPr="006105D5">
            <w:rPr>
              <w:rFonts w:ascii="Arial" w:hAnsi="Arial" w:cs="Arial"/>
              <w:color w:val="FFFFFF"/>
              <w:sz w:val="20"/>
              <w:szCs w:val="20"/>
            </w:rPr>
            <w:t xml:space="preserve">Informe base actualizado 2017 </w:t>
          </w:r>
          <w:r w:rsidRPr="006105D5">
            <w:rPr>
              <w:rFonts w:ascii="Arial" w:hAnsi="Arial" w:cs="Arial"/>
              <w:b/>
              <w:bCs/>
              <w:color w:val="FFFFFF"/>
              <w:sz w:val="22"/>
              <w:szCs w:val="22"/>
            </w:rPr>
            <w:t xml:space="preserve">  </w:t>
          </w:r>
        </w:p>
      </w:tc>
      <w:tc>
        <w:tcPr>
          <w:tcW w:w="1080" w:type="dxa"/>
          <w:tcBorders>
            <w:top w:val="single" w:sz="4" w:space="0" w:color="auto"/>
            <w:left w:val="nil"/>
          </w:tcBorders>
          <w:shd w:val="clear" w:color="auto" w:fill="000080"/>
        </w:tcPr>
        <w:p w:rsidR="00C404C6" w:rsidRPr="006105D5" w:rsidRDefault="00C404C6">
          <w:pPr>
            <w:pStyle w:val="Encabezado"/>
            <w:rPr>
              <w:rFonts w:ascii="Arial" w:hAnsi="Arial" w:cs="Arial"/>
              <w:color w:val="FFFFFF"/>
              <w:sz w:val="18"/>
              <w:szCs w:val="18"/>
            </w:rPr>
          </w:pPr>
          <w:r w:rsidRPr="006105D5">
            <w:rPr>
              <w:rFonts w:ascii="Arial" w:hAnsi="Arial" w:cs="Arial"/>
              <w:color w:val="FFFFFF"/>
              <w:sz w:val="18"/>
              <w:szCs w:val="18"/>
            </w:rPr>
            <w:t>Versión:</w:t>
          </w:r>
        </w:p>
      </w:tc>
      <w:tc>
        <w:tcPr>
          <w:tcW w:w="1440" w:type="dxa"/>
          <w:tcBorders>
            <w:top w:val="single" w:sz="4" w:space="0" w:color="auto"/>
            <w:right w:val="single" w:sz="4" w:space="0" w:color="auto"/>
          </w:tcBorders>
          <w:shd w:val="clear" w:color="auto" w:fill="000080"/>
          <w:vAlign w:val="bottom"/>
        </w:tcPr>
        <w:p w:rsidR="00C404C6" w:rsidRPr="006105D5" w:rsidRDefault="00C404C6">
          <w:pPr>
            <w:pStyle w:val="Encabezado"/>
            <w:tabs>
              <w:tab w:val="left" w:pos="1206"/>
            </w:tabs>
            <w:ind w:right="71"/>
            <w:jc w:val="right"/>
            <w:rPr>
              <w:rFonts w:ascii="Arial" w:hAnsi="Arial" w:cs="Arial"/>
              <w:color w:val="FFFFFF"/>
              <w:sz w:val="18"/>
              <w:szCs w:val="18"/>
            </w:rPr>
          </w:pPr>
          <w:r w:rsidRPr="006105D5">
            <w:rPr>
              <w:rFonts w:ascii="Arial" w:hAnsi="Arial" w:cs="Arial"/>
              <w:color w:val="FFFFFF"/>
              <w:sz w:val="18"/>
              <w:szCs w:val="18"/>
            </w:rPr>
            <w:t>4.1</w:t>
          </w:r>
        </w:p>
      </w:tc>
    </w:tr>
    <w:tr w:rsidR="00C404C6" w:rsidRPr="00CA38BF">
      <w:trPr>
        <w:cantSplit/>
        <w:trHeight w:val="240"/>
      </w:trPr>
      <w:tc>
        <w:tcPr>
          <w:tcW w:w="6300" w:type="dxa"/>
          <w:vMerge/>
          <w:tcBorders>
            <w:left w:val="single" w:sz="4" w:space="0" w:color="auto"/>
            <w:right w:val="single" w:sz="4" w:space="0" w:color="auto"/>
          </w:tcBorders>
          <w:shd w:val="clear" w:color="auto" w:fill="000080"/>
          <w:vAlign w:val="center"/>
        </w:tcPr>
        <w:p w:rsidR="00C404C6" w:rsidRPr="006105D5" w:rsidRDefault="00C404C6">
          <w:pPr>
            <w:pStyle w:val="Encabezado"/>
            <w:spacing w:line="360" w:lineRule="auto"/>
            <w:jc w:val="center"/>
            <w:rPr>
              <w:rFonts w:ascii="Arial" w:hAnsi="Arial" w:cs="Arial"/>
              <w:b/>
              <w:bCs/>
              <w:color w:val="FFFFFF"/>
              <w:sz w:val="20"/>
              <w:szCs w:val="20"/>
            </w:rPr>
          </w:pPr>
        </w:p>
      </w:tc>
      <w:tc>
        <w:tcPr>
          <w:tcW w:w="1080" w:type="dxa"/>
          <w:tcBorders>
            <w:left w:val="nil"/>
          </w:tcBorders>
          <w:shd w:val="clear" w:color="auto" w:fill="000080"/>
        </w:tcPr>
        <w:p w:rsidR="00C404C6" w:rsidRPr="006105D5" w:rsidRDefault="00C404C6">
          <w:pPr>
            <w:pStyle w:val="Encabezado"/>
            <w:rPr>
              <w:rFonts w:ascii="Arial" w:hAnsi="Arial" w:cs="Arial"/>
              <w:color w:val="FFFFFF"/>
              <w:sz w:val="18"/>
              <w:szCs w:val="18"/>
            </w:rPr>
          </w:pPr>
          <w:r w:rsidRPr="006105D5">
            <w:rPr>
              <w:rFonts w:ascii="Arial" w:hAnsi="Arial" w:cs="Arial"/>
              <w:color w:val="FFFFFF"/>
              <w:sz w:val="18"/>
              <w:szCs w:val="18"/>
            </w:rPr>
            <w:t>Fecha:</w:t>
          </w:r>
        </w:p>
      </w:tc>
      <w:tc>
        <w:tcPr>
          <w:tcW w:w="1440" w:type="dxa"/>
          <w:tcBorders>
            <w:right w:val="single" w:sz="4" w:space="0" w:color="auto"/>
          </w:tcBorders>
          <w:shd w:val="clear" w:color="auto" w:fill="000080"/>
          <w:vAlign w:val="bottom"/>
        </w:tcPr>
        <w:p w:rsidR="00C404C6" w:rsidRPr="006105D5" w:rsidRDefault="00C404C6">
          <w:pPr>
            <w:pStyle w:val="Encabezado"/>
            <w:tabs>
              <w:tab w:val="left" w:pos="1206"/>
            </w:tabs>
            <w:ind w:right="71"/>
            <w:jc w:val="right"/>
            <w:rPr>
              <w:rFonts w:ascii="Arial" w:hAnsi="Arial" w:cs="Arial"/>
              <w:color w:val="FFFFFF"/>
              <w:sz w:val="18"/>
              <w:szCs w:val="18"/>
            </w:rPr>
          </w:pPr>
          <w:r w:rsidRPr="006105D5">
            <w:rPr>
              <w:rFonts w:ascii="Arial" w:hAnsi="Arial" w:cs="Arial"/>
              <w:color w:val="FFFFFF"/>
              <w:sz w:val="18"/>
              <w:szCs w:val="18"/>
            </w:rPr>
            <w:t>15-11-2018</w:t>
          </w:r>
        </w:p>
      </w:tc>
    </w:tr>
    <w:tr w:rsidR="00C404C6" w:rsidRPr="00CA38BF">
      <w:trPr>
        <w:cantSplit/>
        <w:trHeight w:val="240"/>
      </w:trPr>
      <w:tc>
        <w:tcPr>
          <w:tcW w:w="6300" w:type="dxa"/>
          <w:vMerge/>
          <w:tcBorders>
            <w:left w:val="single" w:sz="4" w:space="0" w:color="auto"/>
            <w:bottom w:val="single" w:sz="4" w:space="0" w:color="auto"/>
            <w:right w:val="single" w:sz="4" w:space="0" w:color="auto"/>
          </w:tcBorders>
          <w:shd w:val="clear" w:color="auto" w:fill="000080"/>
          <w:vAlign w:val="center"/>
        </w:tcPr>
        <w:p w:rsidR="00C404C6" w:rsidRPr="006105D5" w:rsidRDefault="00C404C6">
          <w:pPr>
            <w:pStyle w:val="Encabezado"/>
            <w:spacing w:line="360" w:lineRule="auto"/>
            <w:jc w:val="center"/>
            <w:rPr>
              <w:rFonts w:ascii="Arial" w:hAnsi="Arial" w:cs="Arial"/>
              <w:b/>
              <w:bCs/>
              <w:color w:val="FFFFFF"/>
              <w:sz w:val="20"/>
              <w:szCs w:val="20"/>
            </w:rPr>
          </w:pPr>
        </w:p>
      </w:tc>
      <w:tc>
        <w:tcPr>
          <w:tcW w:w="1080" w:type="dxa"/>
          <w:tcBorders>
            <w:left w:val="nil"/>
            <w:bottom w:val="single" w:sz="4" w:space="0" w:color="auto"/>
          </w:tcBorders>
          <w:shd w:val="clear" w:color="auto" w:fill="000080"/>
        </w:tcPr>
        <w:p w:rsidR="00C404C6" w:rsidRPr="006105D5" w:rsidRDefault="00C404C6">
          <w:pPr>
            <w:pStyle w:val="Encabezado"/>
            <w:rPr>
              <w:rFonts w:ascii="Arial" w:hAnsi="Arial" w:cs="Arial"/>
              <w:color w:val="FFFFFF"/>
              <w:sz w:val="18"/>
              <w:szCs w:val="18"/>
            </w:rPr>
          </w:pPr>
          <w:r w:rsidRPr="006105D5">
            <w:rPr>
              <w:rFonts w:ascii="Arial" w:hAnsi="Arial" w:cs="Arial"/>
              <w:color w:val="FFFFFF"/>
              <w:sz w:val="18"/>
              <w:szCs w:val="18"/>
            </w:rPr>
            <w:t>Página:</w:t>
          </w:r>
        </w:p>
      </w:tc>
      <w:tc>
        <w:tcPr>
          <w:tcW w:w="1440" w:type="dxa"/>
          <w:tcBorders>
            <w:bottom w:val="single" w:sz="4" w:space="0" w:color="auto"/>
            <w:right w:val="single" w:sz="4" w:space="0" w:color="auto"/>
          </w:tcBorders>
          <w:shd w:val="clear" w:color="auto" w:fill="000080"/>
          <w:vAlign w:val="bottom"/>
        </w:tcPr>
        <w:p w:rsidR="00C404C6" w:rsidRPr="006105D5" w:rsidRDefault="00FE59AC" w:rsidP="00C8252E">
          <w:pPr>
            <w:pStyle w:val="Encabezado"/>
            <w:tabs>
              <w:tab w:val="left" w:pos="1206"/>
            </w:tabs>
            <w:ind w:right="71"/>
            <w:jc w:val="right"/>
            <w:rPr>
              <w:rFonts w:ascii="Arial" w:hAnsi="Arial" w:cs="Arial"/>
              <w:color w:val="FFFFFF"/>
              <w:sz w:val="18"/>
              <w:szCs w:val="18"/>
            </w:rPr>
          </w:pPr>
          <w:r w:rsidRPr="006105D5">
            <w:rPr>
              <w:rStyle w:val="Nmerodepgina"/>
              <w:rFonts w:ascii="Arial" w:hAnsi="Arial" w:cs="Arial"/>
              <w:color w:val="FFFFFF"/>
              <w:sz w:val="18"/>
              <w:szCs w:val="18"/>
            </w:rPr>
            <w:fldChar w:fldCharType="begin"/>
          </w:r>
          <w:r w:rsidR="00C404C6" w:rsidRPr="006105D5">
            <w:rPr>
              <w:rStyle w:val="Nmerodepgina"/>
              <w:rFonts w:ascii="Arial" w:hAnsi="Arial" w:cs="Arial"/>
              <w:color w:val="FFFFFF"/>
              <w:sz w:val="18"/>
              <w:szCs w:val="18"/>
            </w:rPr>
            <w:instrText xml:space="preserve"> PAGE </w:instrText>
          </w:r>
          <w:r w:rsidRPr="006105D5">
            <w:rPr>
              <w:rStyle w:val="Nmerodepgina"/>
              <w:rFonts w:ascii="Arial" w:hAnsi="Arial" w:cs="Arial"/>
              <w:color w:val="FFFFFF"/>
              <w:sz w:val="18"/>
              <w:szCs w:val="18"/>
            </w:rPr>
            <w:fldChar w:fldCharType="separate"/>
          </w:r>
          <w:r w:rsidR="00D46893">
            <w:rPr>
              <w:rStyle w:val="Nmerodepgina"/>
              <w:rFonts w:ascii="Arial" w:hAnsi="Arial" w:cs="Arial"/>
              <w:noProof/>
              <w:color w:val="FFFFFF"/>
              <w:sz w:val="18"/>
              <w:szCs w:val="18"/>
            </w:rPr>
            <w:t>1</w:t>
          </w:r>
          <w:r w:rsidRPr="006105D5">
            <w:rPr>
              <w:rStyle w:val="Nmerodepgina"/>
              <w:rFonts w:ascii="Arial" w:hAnsi="Arial" w:cs="Arial"/>
              <w:color w:val="FFFFFF"/>
              <w:sz w:val="18"/>
              <w:szCs w:val="18"/>
            </w:rPr>
            <w:fldChar w:fldCharType="end"/>
          </w:r>
        </w:p>
      </w:tc>
    </w:tr>
  </w:tbl>
  <w:p w:rsidR="00C404C6" w:rsidRPr="00CA38BF" w:rsidRDefault="00C404C6">
    <w:pPr>
      <w:pStyle w:val="Encabezado"/>
      <w:rPr>
        <w:color w:val="FFFFFF"/>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singleLevel"/>
    <w:tmpl w:val="00000002"/>
    <w:name w:val="WW8Num2"/>
    <w:lvl w:ilvl="0">
      <w:start w:val="1"/>
      <w:numFmt w:val="bullet"/>
      <w:lvlText w:val="-"/>
      <w:lvlJc w:val="left"/>
      <w:pPr>
        <w:tabs>
          <w:tab w:val="num" w:pos="0"/>
        </w:tabs>
        <w:ind w:left="720" w:hanging="360"/>
      </w:pPr>
      <w:rPr>
        <w:rFonts w:ascii="Times New Roman" w:hAnsi="Times New Roman" w:cs="Times New Roman"/>
      </w:rPr>
    </w:lvl>
  </w:abstractNum>
  <w:abstractNum w:abstractNumId="1">
    <w:nsid w:val="00000007"/>
    <w:multiLevelType w:val="singleLevel"/>
    <w:tmpl w:val="00000007"/>
    <w:name w:val="WW8Num7"/>
    <w:lvl w:ilvl="0">
      <w:start w:val="1"/>
      <w:numFmt w:val="bullet"/>
      <w:lvlText w:val="-"/>
      <w:lvlJc w:val="left"/>
      <w:pPr>
        <w:tabs>
          <w:tab w:val="num" w:pos="0"/>
        </w:tabs>
        <w:ind w:left="360" w:hanging="360"/>
      </w:pPr>
      <w:rPr>
        <w:rFonts w:ascii="Times New Roman" w:hAnsi="Times New Roman" w:cs="Times New Roman"/>
        <w:sz w:val="20"/>
        <w:szCs w:val="20"/>
      </w:rPr>
    </w:lvl>
  </w:abstractNum>
  <w:abstractNum w:abstractNumId="2">
    <w:nsid w:val="082A5C71"/>
    <w:multiLevelType w:val="hybridMultilevel"/>
    <w:tmpl w:val="1B387756"/>
    <w:lvl w:ilvl="0" w:tplc="08090017">
      <w:start w:val="1"/>
      <w:numFmt w:val="lowerLetter"/>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
    <w:nsid w:val="08817484"/>
    <w:multiLevelType w:val="multilevel"/>
    <w:tmpl w:val="31A27464"/>
    <w:lvl w:ilvl="0">
      <w:start w:val="1"/>
      <w:numFmt w:val="decimal"/>
      <w:lvlText w:val="%1."/>
      <w:lvlJc w:val="left"/>
      <w:pPr>
        <w:ind w:left="1068" w:hanging="360"/>
      </w:pPr>
      <w:rPr>
        <w:rFonts w:ascii="Times New Roman" w:eastAsia="Times New Roman" w:hAnsi="Times New Roman"/>
      </w:r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4">
    <w:nsid w:val="0D8F4CD1"/>
    <w:multiLevelType w:val="hybridMultilevel"/>
    <w:tmpl w:val="A2DE9D00"/>
    <w:lvl w:ilvl="0" w:tplc="290E7276">
      <w:start w:val="1"/>
      <w:numFmt w:val="decimal"/>
      <w:lvlText w:val="%1."/>
      <w:lvlJc w:val="left"/>
      <w:pPr>
        <w:ind w:left="720" w:hanging="360"/>
      </w:pPr>
      <w:rPr>
        <w:rFonts w:ascii="Arial" w:hAnsi="Arial" w:cs="Arial" w:hint="default"/>
        <w:sz w:val="16"/>
        <w:szCs w:val="16"/>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5">
    <w:nsid w:val="14D2638C"/>
    <w:multiLevelType w:val="hybridMultilevel"/>
    <w:tmpl w:val="A80AF510"/>
    <w:lvl w:ilvl="0" w:tplc="24A4301A">
      <w:start w:val="1"/>
      <w:numFmt w:val="decimal"/>
      <w:lvlText w:val="(%1)"/>
      <w:lvlJc w:val="left"/>
      <w:pPr>
        <w:ind w:left="1080" w:hanging="360"/>
      </w:pPr>
      <w:rPr>
        <w:rFonts w:hint="default"/>
      </w:rPr>
    </w:lvl>
    <w:lvl w:ilvl="1" w:tplc="0C0A0019">
      <w:start w:val="1"/>
      <w:numFmt w:val="lowerLetter"/>
      <w:lvlText w:val="%2."/>
      <w:lvlJc w:val="left"/>
      <w:pPr>
        <w:ind w:left="1800" w:hanging="360"/>
      </w:pPr>
    </w:lvl>
    <w:lvl w:ilvl="2" w:tplc="0C0A001B">
      <w:start w:val="1"/>
      <w:numFmt w:val="lowerRoman"/>
      <w:lvlText w:val="%3."/>
      <w:lvlJc w:val="right"/>
      <w:pPr>
        <w:ind w:left="2520" w:hanging="180"/>
      </w:pPr>
    </w:lvl>
    <w:lvl w:ilvl="3" w:tplc="0C0A000F">
      <w:start w:val="1"/>
      <w:numFmt w:val="decimal"/>
      <w:lvlText w:val="%4."/>
      <w:lvlJc w:val="left"/>
      <w:pPr>
        <w:ind w:left="3240" w:hanging="360"/>
      </w:pPr>
    </w:lvl>
    <w:lvl w:ilvl="4" w:tplc="0C0A0019">
      <w:start w:val="1"/>
      <w:numFmt w:val="lowerLetter"/>
      <w:lvlText w:val="%5."/>
      <w:lvlJc w:val="left"/>
      <w:pPr>
        <w:ind w:left="3960" w:hanging="360"/>
      </w:pPr>
    </w:lvl>
    <w:lvl w:ilvl="5" w:tplc="0C0A001B">
      <w:start w:val="1"/>
      <w:numFmt w:val="lowerRoman"/>
      <w:lvlText w:val="%6."/>
      <w:lvlJc w:val="right"/>
      <w:pPr>
        <w:ind w:left="4680" w:hanging="180"/>
      </w:pPr>
    </w:lvl>
    <w:lvl w:ilvl="6" w:tplc="0C0A000F">
      <w:start w:val="1"/>
      <w:numFmt w:val="decimal"/>
      <w:lvlText w:val="%7."/>
      <w:lvlJc w:val="left"/>
      <w:pPr>
        <w:ind w:left="5400" w:hanging="360"/>
      </w:pPr>
    </w:lvl>
    <w:lvl w:ilvl="7" w:tplc="0C0A0019">
      <w:start w:val="1"/>
      <w:numFmt w:val="lowerLetter"/>
      <w:lvlText w:val="%8."/>
      <w:lvlJc w:val="left"/>
      <w:pPr>
        <w:ind w:left="6120" w:hanging="360"/>
      </w:pPr>
    </w:lvl>
    <w:lvl w:ilvl="8" w:tplc="0C0A001B">
      <w:start w:val="1"/>
      <w:numFmt w:val="lowerRoman"/>
      <w:lvlText w:val="%9."/>
      <w:lvlJc w:val="right"/>
      <w:pPr>
        <w:ind w:left="6840" w:hanging="180"/>
      </w:pPr>
    </w:lvl>
  </w:abstractNum>
  <w:abstractNum w:abstractNumId="6">
    <w:nsid w:val="15A2160A"/>
    <w:multiLevelType w:val="hybridMultilevel"/>
    <w:tmpl w:val="4134C99A"/>
    <w:lvl w:ilvl="0" w:tplc="0C0A0017">
      <w:start w:val="1"/>
      <w:numFmt w:val="lowerLetter"/>
      <w:lvlText w:val="%1)"/>
      <w:lvlJc w:val="left"/>
      <w:pPr>
        <w:ind w:left="720" w:hanging="360"/>
      </w:pPr>
      <w:rPr>
        <w:rFonts w:hint="default"/>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7">
    <w:nsid w:val="15B617B6"/>
    <w:multiLevelType w:val="hybridMultilevel"/>
    <w:tmpl w:val="B1B885C6"/>
    <w:lvl w:ilvl="0" w:tplc="00000005">
      <w:start w:val="1"/>
      <w:numFmt w:val="bullet"/>
      <w:lvlText w:val=""/>
      <w:lvlJc w:val="left"/>
      <w:pPr>
        <w:ind w:left="720" w:hanging="360"/>
      </w:pPr>
      <w:rPr>
        <w:rFonts w:ascii="Symbol" w:hAnsi="Symbol" w:cs="Symbol"/>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cs="Wingdings" w:hint="default"/>
      </w:rPr>
    </w:lvl>
    <w:lvl w:ilvl="3" w:tplc="0C0A0001">
      <w:start w:val="1"/>
      <w:numFmt w:val="bullet"/>
      <w:lvlText w:val=""/>
      <w:lvlJc w:val="left"/>
      <w:pPr>
        <w:ind w:left="2880" w:hanging="360"/>
      </w:pPr>
      <w:rPr>
        <w:rFonts w:ascii="Symbol" w:hAnsi="Symbol" w:cs="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cs="Wingdings" w:hint="default"/>
      </w:rPr>
    </w:lvl>
    <w:lvl w:ilvl="6" w:tplc="0C0A0001">
      <w:start w:val="1"/>
      <w:numFmt w:val="bullet"/>
      <w:lvlText w:val=""/>
      <w:lvlJc w:val="left"/>
      <w:pPr>
        <w:ind w:left="5040" w:hanging="360"/>
      </w:pPr>
      <w:rPr>
        <w:rFonts w:ascii="Symbol" w:hAnsi="Symbol" w:cs="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cs="Wingdings" w:hint="default"/>
      </w:rPr>
    </w:lvl>
  </w:abstractNum>
  <w:abstractNum w:abstractNumId="8">
    <w:nsid w:val="1B0135BF"/>
    <w:multiLevelType w:val="hybridMultilevel"/>
    <w:tmpl w:val="A2DE9D00"/>
    <w:lvl w:ilvl="0" w:tplc="290E7276">
      <w:start w:val="1"/>
      <w:numFmt w:val="decimal"/>
      <w:lvlText w:val="%1."/>
      <w:lvlJc w:val="left"/>
      <w:pPr>
        <w:ind w:left="720" w:hanging="360"/>
      </w:pPr>
      <w:rPr>
        <w:rFonts w:ascii="Arial" w:hAnsi="Arial" w:cs="Arial" w:hint="default"/>
        <w:sz w:val="16"/>
        <w:szCs w:val="16"/>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9">
    <w:nsid w:val="21C40B75"/>
    <w:multiLevelType w:val="hybridMultilevel"/>
    <w:tmpl w:val="D8D06086"/>
    <w:lvl w:ilvl="0" w:tplc="3662DBC6">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10">
    <w:nsid w:val="2363479B"/>
    <w:multiLevelType w:val="multilevel"/>
    <w:tmpl w:val="70C84124"/>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Zero"/>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24B55DB5"/>
    <w:multiLevelType w:val="hybridMultilevel"/>
    <w:tmpl w:val="8B5E1BD8"/>
    <w:lvl w:ilvl="0" w:tplc="0C0A0019">
      <w:start w:val="1"/>
      <w:numFmt w:val="lowerLetter"/>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12">
    <w:nsid w:val="29914932"/>
    <w:multiLevelType w:val="hybridMultilevel"/>
    <w:tmpl w:val="D1068E1E"/>
    <w:lvl w:ilvl="0" w:tplc="1A7ED39E">
      <w:start w:val="8"/>
      <w:numFmt w:val="bullet"/>
      <w:lvlText w:val="-"/>
      <w:lvlJc w:val="left"/>
      <w:pPr>
        <w:ind w:left="720" w:hanging="360"/>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2ABB1409"/>
    <w:multiLevelType w:val="multilevel"/>
    <w:tmpl w:val="2ABB1409"/>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nsid w:val="2EAC42C1"/>
    <w:multiLevelType w:val="multilevel"/>
    <w:tmpl w:val="2EAC42C1"/>
    <w:lvl w:ilvl="0">
      <w:start w:val="1"/>
      <w:numFmt w:val="decimal"/>
      <w:lvlText w:val="%1."/>
      <w:lvlJc w:val="left"/>
      <w:pPr>
        <w:ind w:left="720" w:hanging="360"/>
      </w:pPr>
    </w:lvl>
    <w:lvl w:ilvl="1">
      <w:start w:val="1"/>
      <w:numFmt w:val="lowerLetter"/>
      <w:lvlText w:val="%2."/>
      <w:lvlJc w:val="left"/>
      <w:pPr>
        <w:ind w:left="1440" w:hanging="360"/>
      </w:pPr>
      <w:rPr>
        <w:color w:val="auto"/>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nsid w:val="31A6720D"/>
    <w:multiLevelType w:val="hybridMultilevel"/>
    <w:tmpl w:val="50E25602"/>
    <w:lvl w:ilvl="0" w:tplc="00000005">
      <w:start w:val="1"/>
      <w:numFmt w:val="bullet"/>
      <w:lvlText w:val=""/>
      <w:lvlJc w:val="left"/>
      <w:pPr>
        <w:ind w:left="720" w:hanging="360"/>
      </w:pPr>
      <w:rPr>
        <w:rFonts w:ascii="Symbol" w:hAnsi="Symbol" w:cs="Symbol"/>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cs="Wingdings" w:hint="default"/>
      </w:rPr>
    </w:lvl>
    <w:lvl w:ilvl="3" w:tplc="0C0A0001">
      <w:start w:val="1"/>
      <w:numFmt w:val="bullet"/>
      <w:lvlText w:val=""/>
      <w:lvlJc w:val="left"/>
      <w:pPr>
        <w:ind w:left="2880" w:hanging="360"/>
      </w:pPr>
      <w:rPr>
        <w:rFonts w:ascii="Symbol" w:hAnsi="Symbol" w:cs="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cs="Wingdings" w:hint="default"/>
      </w:rPr>
    </w:lvl>
    <w:lvl w:ilvl="6" w:tplc="0C0A0001">
      <w:start w:val="1"/>
      <w:numFmt w:val="bullet"/>
      <w:lvlText w:val=""/>
      <w:lvlJc w:val="left"/>
      <w:pPr>
        <w:ind w:left="5040" w:hanging="360"/>
      </w:pPr>
      <w:rPr>
        <w:rFonts w:ascii="Symbol" w:hAnsi="Symbol" w:cs="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cs="Wingdings" w:hint="default"/>
      </w:rPr>
    </w:lvl>
  </w:abstractNum>
  <w:abstractNum w:abstractNumId="16">
    <w:nsid w:val="328847D6"/>
    <w:multiLevelType w:val="hybridMultilevel"/>
    <w:tmpl w:val="2BC22170"/>
    <w:lvl w:ilvl="0" w:tplc="00000005">
      <w:start w:val="1"/>
      <w:numFmt w:val="bullet"/>
      <w:lvlText w:val=""/>
      <w:lvlJc w:val="left"/>
      <w:pPr>
        <w:ind w:left="720" w:hanging="360"/>
      </w:pPr>
      <w:rPr>
        <w:rFonts w:ascii="Symbol" w:hAnsi="Symbol" w:cs="Symbol"/>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cs="Wingdings" w:hint="default"/>
      </w:rPr>
    </w:lvl>
    <w:lvl w:ilvl="3" w:tplc="0C0A0001">
      <w:start w:val="1"/>
      <w:numFmt w:val="bullet"/>
      <w:lvlText w:val=""/>
      <w:lvlJc w:val="left"/>
      <w:pPr>
        <w:ind w:left="2880" w:hanging="360"/>
      </w:pPr>
      <w:rPr>
        <w:rFonts w:ascii="Symbol" w:hAnsi="Symbol" w:cs="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cs="Wingdings" w:hint="default"/>
      </w:rPr>
    </w:lvl>
    <w:lvl w:ilvl="6" w:tplc="0C0A0001">
      <w:start w:val="1"/>
      <w:numFmt w:val="bullet"/>
      <w:lvlText w:val=""/>
      <w:lvlJc w:val="left"/>
      <w:pPr>
        <w:ind w:left="5040" w:hanging="360"/>
      </w:pPr>
      <w:rPr>
        <w:rFonts w:ascii="Symbol" w:hAnsi="Symbol" w:cs="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cs="Wingdings" w:hint="default"/>
      </w:rPr>
    </w:lvl>
  </w:abstractNum>
  <w:abstractNum w:abstractNumId="17">
    <w:nsid w:val="39843143"/>
    <w:multiLevelType w:val="multilevel"/>
    <w:tmpl w:val="0322A078"/>
    <w:lvl w:ilvl="0">
      <w:start w:val="9"/>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8">
    <w:nsid w:val="3E2978EE"/>
    <w:multiLevelType w:val="hybridMultilevel"/>
    <w:tmpl w:val="F9224EBE"/>
    <w:lvl w:ilvl="0" w:tplc="934083A0">
      <w:start w:val="1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19">
    <w:nsid w:val="3ED06C1F"/>
    <w:multiLevelType w:val="hybridMultilevel"/>
    <w:tmpl w:val="68366A0E"/>
    <w:lvl w:ilvl="0" w:tplc="00000005">
      <w:start w:val="1"/>
      <w:numFmt w:val="bullet"/>
      <w:lvlText w:val=""/>
      <w:lvlJc w:val="left"/>
      <w:pPr>
        <w:ind w:left="720" w:hanging="360"/>
      </w:pPr>
      <w:rPr>
        <w:rFonts w:ascii="Symbol" w:hAnsi="Symbol" w:cs="Symbol"/>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cs="Wingdings" w:hint="default"/>
      </w:rPr>
    </w:lvl>
    <w:lvl w:ilvl="3" w:tplc="0C0A0001">
      <w:start w:val="1"/>
      <w:numFmt w:val="bullet"/>
      <w:lvlText w:val=""/>
      <w:lvlJc w:val="left"/>
      <w:pPr>
        <w:ind w:left="2880" w:hanging="360"/>
      </w:pPr>
      <w:rPr>
        <w:rFonts w:ascii="Symbol" w:hAnsi="Symbol" w:cs="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cs="Wingdings" w:hint="default"/>
      </w:rPr>
    </w:lvl>
    <w:lvl w:ilvl="6" w:tplc="0C0A0001">
      <w:start w:val="1"/>
      <w:numFmt w:val="bullet"/>
      <w:lvlText w:val=""/>
      <w:lvlJc w:val="left"/>
      <w:pPr>
        <w:ind w:left="5040" w:hanging="360"/>
      </w:pPr>
      <w:rPr>
        <w:rFonts w:ascii="Symbol" w:hAnsi="Symbol" w:cs="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cs="Wingdings" w:hint="default"/>
      </w:rPr>
    </w:lvl>
  </w:abstractNum>
  <w:abstractNum w:abstractNumId="20">
    <w:nsid w:val="415C33A2"/>
    <w:multiLevelType w:val="hybridMultilevel"/>
    <w:tmpl w:val="DC347322"/>
    <w:lvl w:ilvl="0" w:tplc="0C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1">
    <w:nsid w:val="47596D16"/>
    <w:multiLevelType w:val="hybridMultilevel"/>
    <w:tmpl w:val="CA20DA72"/>
    <w:lvl w:ilvl="0" w:tplc="D354E42A">
      <w:start w:val="1"/>
      <w:numFmt w:val="lowerRoman"/>
      <w:lvlText w:val="%1)"/>
      <w:lvlJc w:val="left"/>
      <w:pPr>
        <w:ind w:left="644" w:hanging="720"/>
      </w:pPr>
      <w:rPr>
        <w:rFonts w:hint="default"/>
      </w:rPr>
    </w:lvl>
    <w:lvl w:ilvl="1" w:tplc="0C0A0019">
      <w:start w:val="1"/>
      <w:numFmt w:val="lowerLetter"/>
      <w:lvlText w:val="%2."/>
      <w:lvlJc w:val="left"/>
      <w:pPr>
        <w:ind w:left="1004" w:hanging="360"/>
      </w:pPr>
    </w:lvl>
    <w:lvl w:ilvl="2" w:tplc="0C0A001B">
      <w:start w:val="1"/>
      <w:numFmt w:val="lowerRoman"/>
      <w:lvlText w:val="%3."/>
      <w:lvlJc w:val="right"/>
      <w:pPr>
        <w:ind w:left="1724" w:hanging="180"/>
      </w:pPr>
    </w:lvl>
    <w:lvl w:ilvl="3" w:tplc="0C0A000F">
      <w:start w:val="1"/>
      <w:numFmt w:val="decimal"/>
      <w:lvlText w:val="%4."/>
      <w:lvlJc w:val="left"/>
      <w:pPr>
        <w:ind w:left="2444" w:hanging="360"/>
      </w:pPr>
    </w:lvl>
    <w:lvl w:ilvl="4" w:tplc="0C0A0019">
      <w:start w:val="1"/>
      <w:numFmt w:val="lowerLetter"/>
      <w:lvlText w:val="%5."/>
      <w:lvlJc w:val="left"/>
      <w:pPr>
        <w:ind w:left="3164" w:hanging="360"/>
      </w:pPr>
    </w:lvl>
    <w:lvl w:ilvl="5" w:tplc="0C0A001B">
      <w:start w:val="1"/>
      <w:numFmt w:val="lowerRoman"/>
      <w:lvlText w:val="%6."/>
      <w:lvlJc w:val="right"/>
      <w:pPr>
        <w:ind w:left="3884" w:hanging="180"/>
      </w:pPr>
    </w:lvl>
    <w:lvl w:ilvl="6" w:tplc="0C0A000F">
      <w:start w:val="1"/>
      <w:numFmt w:val="decimal"/>
      <w:lvlText w:val="%7."/>
      <w:lvlJc w:val="left"/>
      <w:pPr>
        <w:ind w:left="4604" w:hanging="360"/>
      </w:pPr>
    </w:lvl>
    <w:lvl w:ilvl="7" w:tplc="0C0A0019">
      <w:start w:val="1"/>
      <w:numFmt w:val="lowerLetter"/>
      <w:lvlText w:val="%8."/>
      <w:lvlJc w:val="left"/>
      <w:pPr>
        <w:ind w:left="5324" w:hanging="360"/>
      </w:pPr>
    </w:lvl>
    <w:lvl w:ilvl="8" w:tplc="0C0A001B">
      <w:start w:val="1"/>
      <w:numFmt w:val="lowerRoman"/>
      <w:lvlText w:val="%9."/>
      <w:lvlJc w:val="right"/>
      <w:pPr>
        <w:ind w:left="6044" w:hanging="180"/>
      </w:pPr>
    </w:lvl>
  </w:abstractNum>
  <w:abstractNum w:abstractNumId="22">
    <w:nsid w:val="494F0ED5"/>
    <w:multiLevelType w:val="multilevel"/>
    <w:tmpl w:val="2EAC42C1"/>
    <w:lvl w:ilvl="0">
      <w:start w:val="1"/>
      <w:numFmt w:val="decimal"/>
      <w:lvlText w:val="%1."/>
      <w:lvlJc w:val="left"/>
      <w:pPr>
        <w:ind w:left="720" w:hanging="360"/>
      </w:pPr>
    </w:lvl>
    <w:lvl w:ilvl="1">
      <w:start w:val="1"/>
      <w:numFmt w:val="lowerLetter"/>
      <w:lvlText w:val="%2."/>
      <w:lvlJc w:val="left"/>
      <w:pPr>
        <w:ind w:left="1440" w:hanging="360"/>
      </w:pPr>
      <w:rPr>
        <w:color w:val="auto"/>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nsid w:val="50424717"/>
    <w:multiLevelType w:val="multilevel"/>
    <w:tmpl w:val="2EAC42C1"/>
    <w:lvl w:ilvl="0">
      <w:start w:val="1"/>
      <w:numFmt w:val="decimal"/>
      <w:lvlText w:val="%1."/>
      <w:lvlJc w:val="left"/>
      <w:pPr>
        <w:ind w:left="720" w:hanging="360"/>
      </w:pPr>
    </w:lvl>
    <w:lvl w:ilvl="1">
      <w:start w:val="1"/>
      <w:numFmt w:val="lowerLetter"/>
      <w:lvlText w:val="%2."/>
      <w:lvlJc w:val="left"/>
      <w:pPr>
        <w:ind w:left="1440" w:hanging="360"/>
      </w:pPr>
      <w:rPr>
        <w:color w:val="auto"/>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nsid w:val="560E2587"/>
    <w:multiLevelType w:val="hybridMultilevel"/>
    <w:tmpl w:val="AF5029C2"/>
    <w:lvl w:ilvl="0" w:tplc="FF8E902E">
      <w:start w:val="10"/>
      <w:numFmt w:val="lowerLetter"/>
      <w:lvlText w:val="%1)"/>
      <w:lvlJc w:val="left"/>
      <w:pPr>
        <w:ind w:left="720" w:hanging="360"/>
      </w:pPr>
      <w:rPr>
        <w:rFonts w:hint="default"/>
        <w:b w:val="0"/>
        <w:bCs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nsid w:val="57BA3B05"/>
    <w:multiLevelType w:val="multilevel"/>
    <w:tmpl w:val="2EAC42C1"/>
    <w:lvl w:ilvl="0">
      <w:start w:val="1"/>
      <w:numFmt w:val="decimal"/>
      <w:lvlText w:val="%1."/>
      <w:lvlJc w:val="left"/>
      <w:pPr>
        <w:ind w:left="720" w:hanging="360"/>
      </w:pPr>
    </w:lvl>
    <w:lvl w:ilvl="1">
      <w:start w:val="1"/>
      <w:numFmt w:val="lowerLetter"/>
      <w:lvlText w:val="%2."/>
      <w:lvlJc w:val="left"/>
      <w:pPr>
        <w:ind w:left="1440" w:hanging="360"/>
      </w:pPr>
      <w:rPr>
        <w:color w:val="auto"/>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nsid w:val="58B5668D"/>
    <w:multiLevelType w:val="hybridMultilevel"/>
    <w:tmpl w:val="51A6B602"/>
    <w:lvl w:ilvl="0" w:tplc="175C67EE">
      <w:start w:val="9"/>
      <w:numFmt w:val="lowerLetter"/>
      <w:lvlText w:val="%1)"/>
      <w:lvlJc w:val="left"/>
      <w:pPr>
        <w:ind w:left="720" w:hanging="360"/>
      </w:pPr>
      <w:rPr>
        <w:rFonts w:hint="default"/>
        <w:b w:val="0"/>
        <w:bCs w:val="0"/>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27">
    <w:nsid w:val="598A4972"/>
    <w:multiLevelType w:val="hybridMultilevel"/>
    <w:tmpl w:val="5D0E35E8"/>
    <w:lvl w:ilvl="0" w:tplc="0C0A000F">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28">
    <w:nsid w:val="5F690596"/>
    <w:multiLevelType w:val="hybridMultilevel"/>
    <w:tmpl w:val="E832546A"/>
    <w:lvl w:ilvl="0" w:tplc="57861D3C">
      <w:start w:val="6"/>
      <w:numFmt w:val="bullet"/>
      <w:lvlText w:val="-"/>
      <w:lvlJc w:val="left"/>
      <w:pPr>
        <w:ind w:left="720" w:hanging="360"/>
      </w:pPr>
      <w:rPr>
        <w:rFonts w:ascii="Arial" w:eastAsia="Times New Roman" w:hAnsi="Arial" w:hint="default"/>
        <w:color w:val="auto"/>
        <w:sz w:val="20"/>
        <w:szCs w:val="20"/>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cs="Wingdings" w:hint="default"/>
      </w:rPr>
    </w:lvl>
    <w:lvl w:ilvl="3" w:tplc="0C0A0001">
      <w:start w:val="1"/>
      <w:numFmt w:val="bullet"/>
      <w:lvlText w:val=""/>
      <w:lvlJc w:val="left"/>
      <w:pPr>
        <w:ind w:left="2880" w:hanging="360"/>
      </w:pPr>
      <w:rPr>
        <w:rFonts w:ascii="Symbol" w:hAnsi="Symbol" w:cs="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cs="Wingdings" w:hint="default"/>
      </w:rPr>
    </w:lvl>
    <w:lvl w:ilvl="6" w:tplc="0C0A0001">
      <w:start w:val="1"/>
      <w:numFmt w:val="bullet"/>
      <w:lvlText w:val=""/>
      <w:lvlJc w:val="left"/>
      <w:pPr>
        <w:ind w:left="5040" w:hanging="360"/>
      </w:pPr>
      <w:rPr>
        <w:rFonts w:ascii="Symbol" w:hAnsi="Symbol" w:cs="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cs="Wingdings" w:hint="default"/>
      </w:rPr>
    </w:lvl>
  </w:abstractNum>
  <w:abstractNum w:abstractNumId="29">
    <w:nsid w:val="635D24D0"/>
    <w:multiLevelType w:val="hybridMultilevel"/>
    <w:tmpl w:val="104208C6"/>
    <w:lvl w:ilvl="0" w:tplc="00000005">
      <w:start w:val="1"/>
      <w:numFmt w:val="bullet"/>
      <w:lvlText w:val=""/>
      <w:lvlJc w:val="left"/>
      <w:pPr>
        <w:ind w:left="720" w:hanging="360"/>
      </w:pPr>
      <w:rPr>
        <w:rFonts w:ascii="Symbol" w:hAnsi="Symbol" w:cs="Symbol"/>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cs="Wingdings" w:hint="default"/>
      </w:rPr>
    </w:lvl>
    <w:lvl w:ilvl="3" w:tplc="0C0A0001">
      <w:start w:val="1"/>
      <w:numFmt w:val="bullet"/>
      <w:lvlText w:val=""/>
      <w:lvlJc w:val="left"/>
      <w:pPr>
        <w:ind w:left="2880" w:hanging="360"/>
      </w:pPr>
      <w:rPr>
        <w:rFonts w:ascii="Symbol" w:hAnsi="Symbol" w:cs="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cs="Wingdings" w:hint="default"/>
      </w:rPr>
    </w:lvl>
    <w:lvl w:ilvl="6" w:tplc="0C0A0001">
      <w:start w:val="1"/>
      <w:numFmt w:val="bullet"/>
      <w:lvlText w:val=""/>
      <w:lvlJc w:val="left"/>
      <w:pPr>
        <w:ind w:left="5040" w:hanging="360"/>
      </w:pPr>
      <w:rPr>
        <w:rFonts w:ascii="Symbol" w:hAnsi="Symbol" w:cs="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cs="Wingdings" w:hint="default"/>
      </w:rPr>
    </w:lvl>
  </w:abstractNum>
  <w:abstractNum w:abstractNumId="30">
    <w:nsid w:val="67D70246"/>
    <w:multiLevelType w:val="hybridMultilevel"/>
    <w:tmpl w:val="CF244B6C"/>
    <w:lvl w:ilvl="0" w:tplc="00000005">
      <w:start w:val="1"/>
      <w:numFmt w:val="bullet"/>
      <w:lvlText w:val=""/>
      <w:lvlJc w:val="left"/>
      <w:pPr>
        <w:ind w:left="720" w:hanging="360"/>
      </w:pPr>
      <w:rPr>
        <w:rFonts w:ascii="Symbol" w:hAnsi="Symbol" w:cs="Symbol"/>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cs="Wingdings" w:hint="default"/>
      </w:rPr>
    </w:lvl>
    <w:lvl w:ilvl="3" w:tplc="0C0A0001">
      <w:start w:val="1"/>
      <w:numFmt w:val="bullet"/>
      <w:lvlText w:val=""/>
      <w:lvlJc w:val="left"/>
      <w:pPr>
        <w:ind w:left="2880" w:hanging="360"/>
      </w:pPr>
      <w:rPr>
        <w:rFonts w:ascii="Symbol" w:hAnsi="Symbol" w:cs="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cs="Wingdings" w:hint="default"/>
      </w:rPr>
    </w:lvl>
    <w:lvl w:ilvl="6" w:tplc="0C0A0001">
      <w:start w:val="1"/>
      <w:numFmt w:val="bullet"/>
      <w:lvlText w:val=""/>
      <w:lvlJc w:val="left"/>
      <w:pPr>
        <w:ind w:left="5040" w:hanging="360"/>
      </w:pPr>
      <w:rPr>
        <w:rFonts w:ascii="Symbol" w:hAnsi="Symbol" w:cs="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cs="Wingdings" w:hint="default"/>
      </w:rPr>
    </w:lvl>
  </w:abstractNum>
  <w:abstractNum w:abstractNumId="31">
    <w:nsid w:val="6BCB0BC7"/>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nsid w:val="6F3C1AC4"/>
    <w:multiLevelType w:val="multilevel"/>
    <w:tmpl w:val="36F24B30"/>
    <w:lvl w:ilvl="0">
      <w:start w:val="1"/>
      <w:numFmt w:val="decimal"/>
      <w:lvlText w:val="%1."/>
      <w:lvlJc w:val="left"/>
      <w:pPr>
        <w:ind w:left="1068" w:hanging="360"/>
      </w:pPr>
      <w:rPr>
        <w:rFonts w:ascii="Arial" w:eastAsia="Times New Roman" w:hAnsi="Arial"/>
      </w:r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33">
    <w:nsid w:val="715B71AF"/>
    <w:multiLevelType w:val="multilevel"/>
    <w:tmpl w:val="119AB246"/>
    <w:lvl w:ilvl="0">
      <w:start w:val="6"/>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lowerLetter"/>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34">
    <w:nsid w:val="7B717761"/>
    <w:multiLevelType w:val="hybridMultilevel"/>
    <w:tmpl w:val="9FDAEBB8"/>
    <w:lvl w:ilvl="0" w:tplc="0C0A0017">
      <w:start w:val="9"/>
      <w:numFmt w:val="lowerLetter"/>
      <w:lvlText w:val="%1)"/>
      <w:lvlJc w:val="left"/>
      <w:pPr>
        <w:ind w:left="720" w:hanging="360"/>
      </w:pPr>
      <w:rPr>
        <w:rFonts w:hint="default"/>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35">
    <w:nsid w:val="7C0361E4"/>
    <w:multiLevelType w:val="hybridMultilevel"/>
    <w:tmpl w:val="C14AE240"/>
    <w:lvl w:ilvl="0" w:tplc="0C0A000F">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num w:numId="1">
    <w:abstractNumId w:val="0"/>
  </w:num>
  <w:num w:numId="2">
    <w:abstractNumId w:val="11"/>
  </w:num>
  <w:num w:numId="3">
    <w:abstractNumId w:val="2"/>
  </w:num>
  <w:num w:numId="4">
    <w:abstractNumId w:val="5"/>
  </w:num>
  <w:num w:numId="5">
    <w:abstractNumId w:val="1"/>
  </w:num>
  <w:num w:numId="6">
    <w:abstractNumId w:val="16"/>
  </w:num>
  <w:num w:numId="7">
    <w:abstractNumId w:val="30"/>
  </w:num>
  <w:num w:numId="8">
    <w:abstractNumId w:val="7"/>
  </w:num>
  <w:num w:numId="9">
    <w:abstractNumId w:val="15"/>
  </w:num>
  <w:num w:numId="10">
    <w:abstractNumId w:val="19"/>
  </w:num>
  <w:num w:numId="11">
    <w:abstractNumId w:val="29"/>
  </w:num>
  <w:num w:numId="12">
    <w:abstractNumId w:val="4"/>
  </w:num>
  <w:num w:numId="13">
    <w:abstractNumId w:val="8"/>
  </w:num>
  <w:num w:numId="14">
    <w:abstractNumId w:val="18"/>
  </w:num>
  <w:num w:numId="15">
    <w:abstractNumId w:val="28"/>
  </w:num>
  <w:num w:numId="16">
    <w:abstractNumId w:val="33"/>
  </w:num>
  <w:num w:numId="17">
    <w:abstractNumId w:val="6"/>
  </w:num>
  <w:num w:numId="18">
    <w:abstractNumId w:val="9"/>
  </w:num>
  <w:num w:numId="19">
    <w:abstractNumId w:val="35"/>
  </w:num>
  <w:num w:numId="20">
    <w:abstractNumId w:val="27"/>
  </w:num>
  <w:num w:numId="21">
    <w:abstractNumId w:val="3"/>
  </w:num>
  <w:num w:numId="22">
    <w:abstractNumId w:val="13"/>
  </w:num>
  <w:num w:numId="23">
    <w:abstractNumId w:val="31"/>
  </w:num>
  <w:num w:numId="24">
    <w:abstractNumId w:val="32"/>
  </w:num>
  <w:num w:numId="2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5"/>
  </w:num>
  <w:num w:numId="27">
    <w:abstractNumId w:val="10"/>
  </w:num>
  <w:num w:numId="28">
    <w:abstractNumId w:val="23"/>
  </w:num>
  <w:num w:numId="29">
    <w:abstractNumId w:val="22"/>
  </w:num>
  <w:num w:numId="30">
    <w:abstractNumId w:val="21"/>
  </w:num>
  <w:num w:numId="31">
    <w:abstractNumId w:val="34"/>
  </w:num>
  <w:num w:numId="32">
    <w:abstractNumId w:val="26"/>
  </w:num>
  <w:num w:numId="33">
    <w:abstractNumId w:val="17"/>
  </w:num>
  <w:num w:numId="34">
    <w:abstractNumId w:val="24"/>
  </w:num>
  <w:num w:numId="35">
    <w:abstractNumId w:val="12"/>
  </w:num>
  <w:num w:numId="36">
    <w:abstractNumId w:val="2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Espinosa Bosch, María">
    <w15:presenceInfo w15:providerId="AD" w15:userId="S-1-5-21-881666314-890715370-355810188-19199"/>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08"/>
  <w:hyphenationZone w:val="425"/>
  <w:doNotHyphenateCaps/>
  <w:noPunctuationKerning/>
  <w:characterSpacingControl w:val="doNotCompress"/>
  <w:doNotValidateAgainstSchema/>
  <w:doNotDemarcateInvalidXml/>
  <w:footnotePr>
    <w:footnote w:id="-1"/>
    <w:footnote w:id="0"/>
  </w:footnotePr>
  <w:endnotePr>
    <w:endnote w:id="-1"/>
    <w:endnote w:id="0"/>
  </w:endnotePr>
  <w:compat/>
  <w:rsids>
    <w:rsidRoot w:val="002951CE"/>
    <w:rsid w:val="00000C88"/>
    <w:rsid w:val="00006326"/>
    <w:rsid w:val="0000650C"/>
    <w:rsid w:val="00007619"/>
    <w:rsid w:val="000105AD"/>
    <w:rsid w:val="000114E3"/>
    <w:rsid w:val="00011677"/>
    <w:rsid w:val="00013804"/>
    <w:rsid w:val="00014776"/>
    <w:rsid w:val="000164CD"/>
    <w:rsid w:val="000173D0"/>
    <w:rsid w:val="00020A00"/>
    <w:rsid w:val="00023AD4"/>
    <w:rsid w:val="00024D64"/>
    <w:rsid w:val="00025EB7"/>
    <w:rsid w:val="00030CC6"/>
    <w:rsid w:val="00034D6E"/>
    <w:rsid w:val="00036479"/>
    <w:rsid w:val="00037835"/>
    <w:rsid w:val="0003789E"/>
    <w:rsid w:val="000435F8"/>
    <w:rsid w:val="00043852"/>
    <w:rsid w:val="000447FB"/>
    <w:rsid w:val="000504B0"/>
    <w:rsid w:val="0005382B"/>
    <w:rsid w:val="000538C6"/>
    <w:rsid w:val="000551AC"/>
    <w:rsid w:val="00055DAD"/>
    <w:rsid w:val="00056CC9"/>
    <w:rsid w:val="0005710B"/>
    <w:rsid w:val="00060203"/>
    <w:rsid w:val="00062DAE"/>
    <w:rsid w:val="0006490F"/>
    <w:rsid w:val="00064990"/>
    <w:rsid w:val="000675D5"/>
    <w:rsid w:val="000677B6"/>
    <w:rsid w:val="00071F94"/>
    <w:rsid w:val="0007225D"/>
    <w:rsid w:val="00072351"/>
    <w:rsid w:val="000731B0"/>
    <w:rsid w:val="000731C6"/>
    <w:rsid w:val="0007769E"/>
    <w:rsid w:val="00081E1F"/>
    <w:rsid w:val="00082653"/>
    <w:rsid w:val="00082B0B"/>
    <w:rsid w:val="00083128"/>
    <w:rsid w:val="00083B42"/>
    <w:rsid w:val="00083EA9"/>
    <w:rsid w:val="00085205"/>
    <w:rsid w:val="0008591C"/>
    <w:rsid w:val="00085DBB"/>
    <w:rsid w:val="00090279"/>
    <w:rsid w:val="00092001"/>
    <w:rsid w:val="00092424"/>
    <w:rsid w:val="000929E9"/>
    <w:rsid w:val="0009464B"/>
    <w:rsid w:val="00095311"/>
    <w:rsid w:val="00097BD2"/>
    <w:rsid w:val="000A513E"/>
    <w:rsid w:val="000A5B8D"/>
    <w:rsid w:val="000B0698"/>
    <w:rsid w:val="000B09CB"/>
    <w:rsid w:val="000B0D88"/>
    <w:rsid w:val="000B5A4B"/>
    <w:rsid w:val="000B65DB"/>
    <w:rsid w:val="000B7D1B"/>
    <w:rsid w:val="000C1BEF"/>
    <w:rsid w:val="000C59F7"/>
    <w:rsid w:val="000C5CBF"/>
    <w:rsid w:val="000C61D1"/>
    <w:rsid w:val="000E29A5"/>
    <w:rsid w:val="000E4DFE"/>
    <w:rsid w:val="000E5304"/>
    <w:rsid w:val="000E5CC9"/>
    <w:rsid w:val="000E70D0"/>
    <w:rsid w:val="000F0CEA"/>
    <w:rsid w:val="000F17A7"/>
    <w:rsid w:val="000F3529"/>
    <w:rsid w:val="000F4CE4"/>
    <w:rsid w:val="000F4DA7"/>
    <w:rsid w:val="000F5691"/>
    <w:rsid w:val="000F72E1"/>
    <w:rsid w:val="000F7F00"/>
    <w:rsid w:val="00100874"/>
    <w:rsid w:val="00100F97"/>
    <w:rsid w:val="00103D28"/>
    <w:rsid w:val="00107F30"/>
    <w:rsid w:val="00112B38"/>
    <w:rsid w:val="001147CA"/>
    <w:rsid w:val="00114C50"/>
    <w:rsid w:val="00115E3B"/>
    <w:rsid w:val="00117945"/>
    <w:rsid w:val="00117967"/>
    <w:rsid w:val="00117E38"/>
    <w:rsid w:val="0012064F"/>
    <w:rsid w:val="00124B4C"/>
    <w:rsid w:val="00124E4F"/>
    <w:rsid w:val="00125D3B"/>
    <w:rsid w:val="00127501"/>
    <w:rsid w:val="00132017"/>
    <w:rsid w:val="00137313"/>
    <w:rsid w:val="00137696"/>
    <w:rsid w:val="00142AEE"/>
    <w:rsid w:val="001447FE"/>
    <w:rsid w:val="00144E66"/>
    <w:rsid w:val="00147D37"/>
    <w:rsid w:val="00151518"/>
    <w:rsid w:val="00153682"/>
    <w:rsid w:val="00153F7E"/>
    <w:rsid w:val="00154133"/>
    <w:rsid w:val="00155E7F"/>
    <w:rsid w:val="00161AE8"/>
    <w:rsid w:val="001626D4"/>
    <w:rsid w:val="00166602"/>
    <w:rsid w:val="00167464"/>
    <w:rsid w:val="00167D3D"/>
    <w:rsid w:val="001707A2"/>
    <w:rsid w:val="00171D1D"/>
    <w:rsid w:val="00173C53"/>
    <w:rsid w:val="00174508"/>
    <w:rsid w:val="00174AA1"/>
    <w:rsid w:val="00174EB6"/>
    <w:rsid w:val="001761B2"/>
    <w:rsid w:val="00177947"/>
    <w:rsid w:val="0018025A"/>
    <w:rsid w:val="00180AE8"/>
    <w:rsid w:val="00180EBC"/>
    <w:rsid w:val="0018106C"/>
    <w:rsid w:val="001823C6"/>
    <w:rsid w:val="00184AFE"/>
    <w:rsid w:val="001946BC"/>
    <w:rsid w:val="001948B0"/>
    <w:rsid w:val="0019708E"/>
    <w:rsid w:val="001A087F"/>
    <w:rsid w:val="001A159A"/>
    <w:rsid w:val="001A1718"/>
    <w:rsid w:val="001A4D92"/>
    <w:rsid w:val="001A58D1"/>
    <w:rsid w:val="001A5BAF"/>
    <w:rsid w:val="001A64E5"/>
    <w:rsid w:val="001B0EA9"/>
    <w:rsid w:val="001B54A8"/>
    <w:rsid w:val="001B6160"/>
    <w:rsid w:val="001B7610"/>
    <w:rsid w:val="001C05A2"/>
    <w:rsid w:val="001C1CDD"/>
    <w:rsid w:val="001C24DF"/>
    <w:rsid w:val="001C3651"/>
    <w:rsid w:val="001D04C9"/>
    <w:rsid w:val="001D256D"/>
    <w:rsid w:val="001D5223"/>
    <w:rsid w:val="001D5724"/>
    <w:rsid w:val="001D6093"/>
    <w:rsid w:val="001E2B86"/>
    <w:rsid w:val="001E39A3"/>
    <w:rsid w:val="001E407A"/>
    <w:rsid w:val="001E40D7"/>
    <w:rsid w:val="001E476A"/>
    <w:rsid w:val="001E4C93"/>
    <w:rsid w:val="001E702B"/>
    <w:rsid w:val="001E70E6"/>
    <w:rsid w:val="001E7AC2"/>
    <w:rsid w:val="001F344E"/>
    <w:rsid w:val="001F6130"/>
    <w:rsid w:val="001F62F0"/>
    <w:rsid w:val="0020202F"/>
    <w:rsid w:val="00202FE8"/>
    <w:rsid w:val="00205D56"/>
    <w:rsid w:val="00211945"/>
    <w:rsid w:val="002131A3"/>
    <w:rsid w:val="0021340C"/>
    <w:rsid w:val="002136E0"/>
    <w:rsid w:val="00216A11"/>
    <w:rsid w:val="00216ABC"/>
    <w:rsid w:val="002215AC"/>
    <w:rsid w:val="00223F06"/>
    <w:rsid w:val="00225B12"/>
    <w:rsid w:val="00227BB4"/>
    <w:rsid w:val="00234F10"/>
    <w:rsid w:val="00237DEA"/>
    <w:rsid w:val="00241109"/>
    <w:rsid w:val="00242C7C"/>
    <w:rsid w:val="002431BC"/>
    <w:rsid w:val="002472F9"/>
    <w:rsid w:val="00250032"/>
    <w:rsid w:val="0025168B"/>
    <w:rsid w:val="00251A73"/>
    <w:rsid w:val="00254C63"/>
    <w:rsid w:val="00255A72"/>
    <w:rsid w:val="00256BBF"/>
    <w:rsid w:val="00260F0B"/>
    <w:rsid w:val="00266A59"/>
    <w:rsid w:val="00270845"/>
    <w:rsid w:val="0027308B"/>
    <w:rsid w:val="00273DA4"/>
    <w:rsid w:val="00274A6A"/>
    <w:rsid w:val="00274B64"/>
    <w:rsid w:val="0027520B"/>
    <w:rsid w:val="00275AF0"/>
    <w:rsid w:val="00276944"/>
    <w:rsid w:val="00282C19"/>
    <w:rsid w:val="00285A73"/>
    <w:rsid w:val="00286636"/>
    <w:rsid w:val="00287CD7"/>
    <w:rsid w:val="00290575"/>
    <w:rsid w:val="0029195A"/>
    <w:rsid w:val="002940AA"/>
    <w:rsid w:val="00294A58"/>
    <w:rsid w:val="002951CE"/>
    <w:rsid w:val="0029554E"/>
    <w:rsid w:val="00296F04"/>
    <w:rsid w:val="002A26DC"/>
    <w:rsid w:val="002A29EE"/>
    <w:rsid w:val="002A3632"/>
    <w:rsid w:val="002A40D0"/>
    <w:rsid w:val="002A4A02"/>
    <w:rsid w:val="002A7771"/>
    <w:rsid w:val="002B0820"/>
    <w:rsid w:val="002B42BA"/>
    <w:rsid w:val="002C320E"/>
    <w:rsid w:val="002C3AC8"/>
    <w:rsid w:val="002C41BE"/>
    <w:rsid w:val="002C4D90"/>
    <w:rsid w:val="002C63C0"/>
    <w:rsid w:val="002C68A4"/>
    <w:rsid w:val="002D0AEF"/>
    <w:rsid w:val="002D326B"/>
    <w:rsid w:val="002D4E1A"/>
    <w:rsid w:val="002D5108"/>
    <w:rsid w:val="002D7371"/>
    <w:rsid w:val="002D7B60"/>
    <w:rsid w:val="002D7BD0"/>
    <w:rsid w:val="002D7F57"/>
    <w:rsid w:val="002E1B32"/>
    <w:rsid w:val="002E2A1A"/>
    <w:rsid w:val="002F0E8F"/>
    <w:rsid w:val="002F18F1"/>
    <w:rsid w:val="002F2893"/>
    <w:rsid w:val="002F3307"/>
    <w:rsid w:val="002F36FD"/>
    <w:rsid w:val="002F44E2"/>
    <w:rsid w:val="002F4972"/>
    <w:rsid w:val="002F61A9"/>
    <w:rsid w:val="002F7B58"/>
    <w:rsid w:val="003019DF"/>
    <w:rsid w:val="003036A0"/>
    <w:rsid w:val="00303AFE"/>
    <w:rsid w:val="00304474"/>
    <w:rsid w:val="003055E8"/>
    <w:rsid w:val="003059C0"/>
    <w:rsid w:val="00306A2D"/>
    <w:rsid w:val="00307C58"/>
    <w:rsid w:val="003132E6"/>
    <w:rsid w:val="00316AC2"/>
    <w:rsid w:val="00317E66"/>
    <w:rsid w:val="0032019C"/>
    <w:rsid w:val="00321297"/>
    <w:rsid w:val="00321AE4"/>
    <w:rsid w:val="00321C12"/>
    <w:rsid w:val="00322419"/>
    <w:rsid w:val="003226C1"/>
    <w:rsid w:val="00323F50"/>
    <w:rsid w:val="0032592E"/>
    <w:rsid w:val="0032665C"/>
    <w:rsid w:val="00326A3D"/>
    <w:rsid w:val="00330CFB"/>
    <w:rsid w:val="00330EA1"/>
    <w:rsid w:val="00331798"/>
    <w:rsid w:val="003322E3"/>
    <w:rsid w:val="0033284C"/>
    <w:rsid w:val="00332D68"/>
    <w:rsid w:val="00335792"/>
    <w:rsid w:val="003400D3"/>
    <w:rsid w:val="00342486"/>
    <w:rsid w:val="00343359"/>
    <w:rsid w:val="003441A6"/>
    <w:rsid w:val="003443A6"/>
    <w:rsid w:val="00344D6F"/>
    <w:rsid w:val="003467DA"/>
    <w:rsid w:val="003470B2"/>
    <w:rsid w:val="00350137"/>
    <w:rsid w:val="00351370"/>
    <w:rsid w:val="0036447D"/>
    <w:rsid w:val="003652DD"/>
    <w:rsid w:val="00367FE0"/>
    <w:rsid w:val="003702BA"/>
    <w:rsid w:val="00375161"/>
    <w:rsid w:val="00376C9F"/>
    <w:rsid w:val="00377991"/>
    <w:rsid w:val="00380E85"/>
    <w:rsid w:val="00381D36"/>
    <w:rsid w:val="00382A79"/>
    <w:rsid w:val="003833A0"/>
    <w:rsid w:val="00383A25"/>
    <w:rsid w:val="003841B9"/>
    <w:rsid w:val="00384203"/>
    <w:rsid w:val="003850C3"/>
    <w:rsid w:val="003853FF"/>
    <w:rsid w:val="00391A86"/>
    <w:rsid w:val="003942BD"/>
    <w:rsid w:val="00394B3D"/>
    <w:rsid w:val="00397423"/>
    <w:rsid w:val="00397CE6"/>
    <w:rsid w:val="003A2F47"/>
    <w:rsid w:val="003A4FF7"/>
    <w:rsid w:val="003A7FB9"/>
    <w:rsid w:val="003B0296"/>
    <w:rsid w:val="003B1D75"/>
    <w:rsid w:val="003B2606"/>
    <w:rsid w:val="003B4D7C"/>
    <w:rsid w:val="003B58F1"/>
    <w:rsid w:val="003B69DE"/>
    <w:rsid w:val="003B70FB"/>
    <w:rsid w:val="003C2CDB"/>
    <w:rsid w:val="003C496A"/>
    <w:rsid w:val="003C4DB7"/>
    <w:rsid w:val="003C5779"/>
    <w:rsid w:val="003C5915"/>
    <w:rsid w:val="003D10E1"/>
    <w:rsid w:val="003D2521"/>
    <w:rsid w:val="003D2952"/>
    <w:rsid w:val="003D5A89"/>
    <w:rsid w:val="003D6F6A"/>
    <w:rsid w:val="003D6FCD"/>
    <w:rsid w:val="003E0FC1"/>
    <w:rsid w:val="003E14C8"/>
    <w:rsid w:val="003E5930"/>
    <w:rsid w:val="003E74E4"/>
    <w:rsid w:val="003F1D05"/>
    <w:rsid w:val="003F3553"/>
    <w:rsid w:val="003F4DBC"/>
    <w:rsid w:val="003F6473"/>
    <w:rsid w:val="0040661E"/>
    <w:rsid w:val="00407C44"/>
    <w:rsid w:val="00407ED8"/>
    <w:rsid w:val="004124A0"/>
    <w:rsid w:val="004131A6"/>
    <w:rsid w:val="0041580C"/>
    <w:rsid w:val="004230A4"/>
    <w:rsid w:val="0042501D"/>
    <w:rsid w:val="00430EAB"/>
    <w:rsid w:val="00435053"/>
    <w:rsid w:val="0044229D"/>
    <w:rsid w:val="00443325"/>
    <w:rsid w:val="00443C09"/>
    <w:rsid w:val="00445372"/>
    <w:rsid w:val="00445D64"/>
    <w:rsid w:val="00450B54"/>
    <w:rsid w:val="00451E55"/>
    <w:rsid w:val="00452008"/>
    <w:rsid w:val="00452240"/>
    <w:rsid w:val="00453324"/>
    <w:rsid w:val="00454613"/>
    <w:rsid w:val="00455830"/>
    <w:rsid w:val="00455C78"/>
    <w:rsid w:val="00456E6C"/>
    <w:rsid w:val="00460C72"/>
    <w:rsid w:val="00461D55"/>
    <w:rsid w:val="004620D7"/>
    <w:rsid w:val="004634C7"/>
    <w:rsid w:val="0046385B"/>
    <w:rsid w:val="004642A4"/>
    <w:rsid w:val="004677DB"/>
    <w:rsid w:val="004701FB"/>
    <w:rsid w:val="00471438"/>
    <w:rsid w:val="00471A41"/>
    <w:rsid w:val="004722B7"/>
    <w:rsid w:val="004727A1"/>
    <w:rsid w:val="0047716D"/>
    <w:rsid w:val="00477AAA"/>
    <w:rsid w:val="00480033"/>
    <w:rsid w:val="00480803"/>
    <w:rsid w:val="00480AE5"/>
    <w:rsid w:val="00481FEB"/>
    <w:rsid w:val="00484C36"/>
    <w:rsid w:val="0048500F"/>
    <w:rsid w:val="004851DE"/>
    <w:rsid w:val="004861CD"/>
    <w:rsid w:val="0048622F"/>
    <w:rsid w:val="00486D68"/>
    <w:rsid w:val="00491093"/>
    <w:rsid w:val="004923FC"/>
    <w:rsid w:val="00493089"/>
    <w:rsid w:val="00494B9B"/>
    <w:rsid w:val="00495EAD"/>
    <w:rsid w:val="00495F7C"/>
    <w:rsid w:val="00497D44"/>
    <w:rsid w:val="004A05FA"/>
    <w:rsid w:val="004A1CAD"/>
    <w:rsid w:val="004A7732"/>
    <w:rsid w:val="004B1BD3"/>
    <w:rsid w:val="004B471A"/>
    <w:rsid w:val="004B5AE6"/>
    <w:rsid w:val="004B68FF"/>
    <w:rsid w:val="004C0178"/>
    <w:rsid w:val="004C0E59"/>
    <w:rsid w:val="004C2C8D"/>
    <w:rsid w:val="004C6113"/>
    <w:rsid w:val="004C6620"/>
    <w:rsid w:val="004C72D4"/>
    <w:rsid w:val="004D01E0"/>
    <w:rsid w:val="004D0268"/>
    <w:rsid w:val="004D0669"/>
    <w:rsid w:val="004D196B"/>
    <w:rsid w:val="004D1B15"/>
    <w:rsid w:val="004D1FD6"/>
    <w:rsid w:val="004D235A"/>
    <w:rsid w:val="004D4703"/>
    <w:rsid w:val="004E1156"/>
    <w:rsid w:val="004E77FB"/>
    <w:rsid w:val="004F1193"/>
    <w:rsid w:val="004F2408"/>
    <w:rsid w:val="004F4AED"/>
    <w:rsid w:val="004F5355"/>
    <w:rsid w:val="004F53C6"/>
    <w:rsid w:val="004F6EB6"/>
    <w:rsid w:val="00500778"/>
    <w:rsid w:val="00500A52"/>
    <w:rsid w:val="005011BC"/>
    <w:rsid w:val="0050122C"/>
    <w:rsid w:val="00502AC7"/>
    <w:rsid w:val="00502BFD"/>
    <w:rsid w:val="00506282"/>
    <w:rsid w:val="005072CC"/>
    <w:rsid w:val="00507B4D"/>
    <w:rsid w:val="00512C98"/>
    <w:rsid w:val="005131C1"/>
    <w:rsid w:val="00516AE7"/>
    <w:rsid w:val="00516B91"/>
    <w:rsid w:val="00516FFF"/>
    <w:rsid w:val="00520218"/>
    <w:rsid w:val="00520861"/>
    <w:rsid w:val="00521F4C"/>
    <w:rsid w:val="00522E61"/>
    <w:rsid w:val="00523924"/>
    <w:rsid w:val="00524D02"/>
    <w:rsid w:val="0052567A"/>
    <w:rsid w:val="0052741D"/>
    <w:rsid w:val="00527E85"/>
    <w:rsid w:val="0053054D"/>
    <w:rsid w:val="00533D79"/>
    <w:rsid w:val="00535868"/>
    <w:rsid w:val="00535B6C"/>
    <w:rsid w:val="00535FE3"/>
    <w:rsid w:val="00537B26"/>
    <w:rsid w:val="00540E4E"/>
    <w:rsid w:val="00541062"/>
    <w:rsid w:val="00542A13"/>
    <w:rsid w:val="00545183"/>
    <w:rsid w:val="0054519C"/>
    <w:rsid w:val="00545D5D"/>
    <w:rsid w:val="00546591"/>
    <w:rsid w:val="00550FAA"/>
    <w:rsid w:val="005532AD"/>
    <w:rsid w:val="00554ED6"/>
    <w:rsid w:val="005618E2"/>
    <w:rsid w:val="005622D5"/>
    <w:rsid w:val="00564C00"/>
    <w:rsid w:val="005661B6"/>
    <w:rsid w:val="00566465"/>
    <w:rsid w:val="00571E19"/>
    <w:rsid w:val="005733F1"/>
    <w:rsid w:val="00573BBE"/>
    <w:rsid w:val="00575A85"/>
    <w:rsid w:val="00575E39"/>
    <w:rsid w:val="005765EF"/>
    <w:rsid w:val="00576D76"/>
    <w:rsid w:val="00577FB1"/>
    <w:rsid w:val="005803FB"/>
    <w:rsid w:val="00580476"/>
    <w:rsid w:val="00581AE4"/>
    <w:rsid w:val="0058226C"/>
    <w:rsid w:val="0058236F"/>
    <w:rsid w:val="005833CD"/>
    <w:rsid w:val="0058501F"/>
    <w:rsid w:val="00585B8F"/>
    <w:rsid w:val="005865E0"/>
    <w:rsid w:val="00590BD5"/>
    <w:rsid w:val="00590CDB"/>
    <w:rsid w:val="00590D8F"/>
    <w:rsid w:val="00594314"/>
    <w:rsid w:val="005951D4"/>
    <w:rsid w:val="005951D5"/>
    <w:rsid w:val="00595236"/>
    <w:rsid w:val="00595ACB"/>
    <w:rsid w:val="00595FC6"/>
    <w:rsid w:val="00597409"/>
    <w:rsid w:val="005A16B9"/>
    <w:rsid w:val="005A265F"/>
    <w:rsid w:val="005A4729"/>
    <w:rsid w:val="005A5B23"/>
    <w:rsid w:val="005B245C"/>
    <w:rsid w:val="005B45B8"/>
    <w:rsid w:val="005B4B92"/>
    <w:rsid w:val="005B6093"/>
    <w:rsid w:val="005B696F"/>
    <w:rsid w:val="005B6F77"/>
    <w:rsid w:val="005B7447"/>
    <w:rsid w:val="005C1AA3"/>
    <w:rsid w:val="005C1F36"/>
    <w:rsid w:val="005C26B8"/>
    <w:rsid w:val="005C29A7"/>
    <w:rsid w:val="005D1809"/>
    <w:rsid w:val="005D6A28"/>
    <w:rsid w:val="005D7469"/>
    <w:rsid w:val="005E0F76"/>
    <w:rsid w:val="005E1EB6"/>
    <w:rsid w:val="005E573A"/>
    <w:rsid w:val="005E6310"/>
    <w:rsid w:val="005E7C24"/>
    <w:rsid w:val="005F07C7"/>
    <w:rsid w:val="005F08D3"/>
    <w:rsid w:val="005F118B"/>
    <w:rsid w:val="005F2188"/>
    <w:rsid w:val="005F21C0"/>
    <w:rsid w:val="005F269A"/>
    <w:rsid w:val="005F7876"/>
    <w:rsid w:val="00600383"/>
    <w:rsid w:val="006105D5"/>
    <w:rsid w:val="006114D9"/>
    <w:rsid w:val="006119AD"/>
    <w:rsid w:val="006143C3"/>
    <w:rsid w:val="00614788"/>
    <w:rsid w:val="00614AEC"/>
    <w:rsid w:val="00615A44"/>
    <w:rsid w:val="0061605E"/>
    <w:rsid w:val="00616A31"/>
    <w:rsid w:val="00616F7A"/>
    <w:rsid w:val="0061794F"/>
    <w:rsid w:val="006220EF"/>
    <w:rsid w:val="00623B89"/>
    <w:rsid w:val="00625E3D"/>
    <w:rsid w:val="00630A5D"/>
    <w:rsid w:val="0063131C"/>
    <w:rsid w:val="00635C65"/>
    <w:rsid w:val="00636029"/>
    <w:rsid w:val="00636943"/>
    <w:rsid w:val="006438E2"/>
    <w:rsid w:val="00644031"/>
    <w:rsid w:val="00644AD5"/>
    <w:rsid w:val="006455E6"/>
    <w:rsid w:val="0064757B"/>
    <w:rsid w:val="00652A73"/>
    <w:rsid w:val="00653538"/>
    <w:rsid w:val="0065473E"/>
    <w:rsid w:val="006559DD"/>
    <w:rsid w:val="00656013"/>
    <w:rsid w:val="0065682C"/>
    <w:rsid w:val="00656D2F"/>
    <w:rsid w:val="006577E6"/>
    <w:rsid w:val="00657B03"/>
    <w:rsid w:val="0066164F"/>
    <w:rsid w:val="00662723"/>
    <w:rsid w:val="00664C79"/>
    <w:rsid w:val="00670208"/>
    <w:rsid w:val="00670283"/>
    <w:rsid w:val="0067159D"/>
    <w:rsid w:val="00672515"/>
    <w:rsid w:val="006731F5"/>
    <w:rsid w:val="0067539B"/>
    <w:rsid w:val="0068402E"/>
    <w:rsid w:val="00684095"/>
    <w:rsid w:val="00690764"/>
    <w:rsid w:val="00691073"/>
    <w:rsid w:val="00691ED5"/>
    <w:rsid w:val="0069230D"/>
    <w:rsid w:val="00693B24"/>
    <w:rsid w:val="00695FF6"/>
    <w:rsid w:val="006A0347"/>
    <w:rsid w:val="006A074E"/>
    <w:rsid w:val="006A2816"/>
    <w:rsid w:val="006A2DDD"/>
    <w:rsid w:val="006A33B3"/>
    <w:rsid w:val="006A37C9"/>
    <w:rsid w:val="006A5533"/>
    <w:rsid w:val="006A58BC"/>
    <w:rsid w:val="006A5EC0"/>
    <w:rsid w:val="006A7287"/>
    <w:rsid w:val="006B1508"/>
    <w:rsid w:val="006B3422"/>
    <w:rsid w:val="006B48C7"/>
    <w:rsid w:val="006B4B5A"/>
    <w:rsid w:val="006B5526"/>
    <w:rsid w:val="006B690F"/>
    <w:rsid w:val="006B73F7"/>
    <w:rsid w:val="006B7B3B"/>
    <w:rsid w:val="006C075D"/>
    <w:rsid w:val="006C462C"/>
    <w:rsid w:val="006C6EB2"/>
    <w:rsid w:val="006D0BA8"/>
    <w:rsid w:val="006D0DF6"/>
    <w:rsid w:val="006D19F1"/>
    <w:rsid w:val="006D2D76"/>
    <w:rsid w:val="006D5DC2"/>
    <w:rsid w:val="006D759D"/>
    <w:rsid w:val="006E1092"/>
    <w:rsid w:val="006E1262"/>
    <w:rsid w:val="006E2CA6"/>
    <w:rsid w:val="006E4DEB"/>
    <w:rsid w:val="006E5761"/>
    <w:rsid w:val="006E68B7"/>
    <w:rsid w:val="006E6E91"/>
    <w:rsid w:val="006F377A"/>
    <w:rsid w:val="006F4C4F"/>
    <w:rsid w:val="006F4F2B"/>
    <w:rsid w:val="006F5FF0"/>
    <w:rsid w:val="006F6A84"/>
    <w:rsid w:val="006F6ABB"/>
    <w:rsid w:val="006F75BB"/>
    <w:rsid w:val="00702A00"/>
    <w:rsid w:val="00707E7D"/>
    <w:rsid w:val="00710ECA"/>
    <w:rsid w:val="0071288B"/>
    <w:rsid w:val="00712E2A"/>
    <w:rsid w:val="0071650E"/>
    <w:rsid w:val="0071656E"/>
    <w:rsid w:val="00722583"/>
    <w:rsid w:val="0072421C"/>
    <w:rsid w:val="00724222"/>
    <w:rsid w:val="00726AE4"/>
    <w:rsid w:val="00726C59"/>
    <w:rsid w:val="00731896"/>
    <w:rsid w:val="007322F6"/>
    <w:rsid w:val="00733ED1"/>
    <w:rsid w:val="007340E6"/>
    <w:rsid w:val="00734590"/>
    <w:rsid w:val="00735AF7"/>
    <w:rsid w:val="0073691B"/>
    <w:rsid w:val="00737397"/>
    <w:rsid w:val="0074124E"/>
    <w:rsid w:val="0074420A"/>
    <w:rsid w:val="00744C1E"/>
    <w:rsid w:val="00744D62"/>
    <w:rsid w:val="00745C84"/>
    <w:rsid w:val="007470F6"/>
    <w:rsid w:val="00752B5B"/>
    <w:rsid w:val="00752E93"/>
    <w:rsid w:val="00752F54"/>
    <w:rsid w:val="007536AE"/>
    <w:rsid w:val="00753760"/>
    <w:rsid w:val="007543F3"/>
    <w:rsid w:val="0075470A"/>
    <w:rsid w:val="00761F65"/>
    <w:rsid w:val="00762EF8"/>
    <w:rsid w:val="00763508"/>
    <w:rsid w:val="007637AC"/>
    <w:rsid w:val="00764534"/>
    <w:rsid w:val="007648CA"/>
    <w:rsid w:val="00764C0B"/>
    <w:rsid w:val="0076570B"/>
    <w:rsid w:val="007723D2"/>
    <w:rsid w:val="00775C72"/>
    <w:rsid w:val="00775DF5"/>
    <w:rsid w:val="00776AB0"/>
    <w:rsid w:val="00776FB3"/>
    <w:rsid w:val="00776FBF"/>
    <w:rsid w:val="00783621"/>
    <w:rsid w:val="0078667C"/>
    <w:rsid w:val="00786EFD"/>
    <w:rsid w:val="007872CC"/>
    <w:rsid w:val="00792519"/>
    <w:rsid w:val="00794115"/>
    <w:rsid w:val="00795FC0"/>
    <w:rsid w:val="0079730D"/>
    <w:rsid w:val="007A1526"/>
    <w:rsid w:val="007A1F3D"/>
    <w:rsid w:val="007A2E88"/>
    <w:rsid w:val="007A2EB8"/>
    <w:rsid w:val="007A3DBC"/>
    <w:rsid w:val="007A6026"/>
    <w:rsid w:val="007B17E5"/>
    <w:rsid w:val="007B476D"/>
    <w:rsid w:val="007B59A0"/>
    <w:rsid w:val="007C05B5"/>
    <w:rsid w:val="007C07CB"/>
    <w:rsid w:val="007C2431"/>
    <w:rsid w:val="007C3F13"/>
    <w:rsid w:val="007D0128"/>
    <w:rsid w:val="007D0665"/>
    <w:rsid w:val="007D25F5"/>
    <w:rsid w:val="007D2D37"/>
    <w:rsid w:val="007D37F8"/>
    <w:rsid w:val="007D48BC"/>
    <w:rsid w:val="007D5C4E"/>
    <w:rsid w:val="007D6063"/>
    <w:rsid w:val="007D7AFB"/>
    <w:rsid w:val="007E2E3B"/>
    <w:rsid w:val="007E34E7"/>
    <w:rsid w:val="007E5EF2"/>
    <w:rsid w:val="007E72E8"/>
    <w:rsid w:val="007E7ADC"/>
    <w:rsid w:val="007F0FDE"/>
    <w:rsid w:val="007F1A64"/>
    <w:rsid w:val="007F2B6B"/>
    <w:rsid w:val="007F2D12"/>
    <w:rsid w:val="007F2D28"/>
    <w:rsid w:val="007F4AB6"/>
    <w:rsid w:val="007F523B"/>
    <w:rsid w:val="007F787B"/>
    <w:rsid w:val="00801322"/>
    <w:rsid w:val="00802B13"/>
    <w:rsid w:val="00803382"/>
    <w:rsid w:val="008139FA"/>
    <w:rsid w:val="008200FA"/>
    <w:rsid w:val="00822B0C"/>
    <w:rsid w:val="008258E3"/>
    <w:rsid w:val="0082659E"/>
    <w:rsid w:val="00827C5C"/>
    <w:rsid w:val="00831867"/>
    <w:rsid w:val="00831D4D"/>
    <w:rsid w:val="00836B0B"/>
    <w:rsid w:val="00836BC8"/>
    <w:rsid w:val="00837291"/>
    <w:rsid w:val="0084050B"/>
    <w:rsid w:val="00841EED"/>
    <w:rsid w:val="0084391B"/>
    <w:rsid w:val="00843B50"/>
    <w:rsid w:val="00843C26"/>
    <w:rsid w:val="00845717"/>
    <w:rsid w:val="008479FA"/>
    <w:rsid w:val="0085065F"/>
    <w:rsid w:val="00851673"/>
    <w:rsid w:val="00853D2B"/>
    <w:rsid w:val="00853EFF"/>
    <w:rsid w:val="008542CB"/>
    <w:rsid w:val="0086156F"/>
    <w:rsid w:val="00863232"/>
    <w:rsid w:val="00872C1C"/>
    <w:rsid w:val="00872E93"/>
    <w:rsid w:val="00872F81"/>
    <w:rsid w:val="00873454"/>
    <w:rsid w:val="00874ECE"/>
    <w:rsid w:val="008752E4"/>
    <w:rsid w:val="00880FF1"/>
    <w:rsid w:val="00881C87"/>
    <w:rsid w:val="00881DCD"/>
    <w:rsid w:val="00881F72"/>
    <w:rsid w:val="00881FB1"/>
    <w:rsid w:val="00884A10"/>
    <w:rsid w:val="008874DA"/>
    <w:rsid w:val="00893150"/>
    <w:rsid w:val="008950A1"/>
    <w:rsid w:val="00895227"/>
    <w:rsid w:val="008A39D3"/>
    <w:rsid w:val="008A48C1"/>
    <w:rsid w:val="008B0C3C"/>
    <w:rsid w:val="008B1418"/>
    <w:rsid w:val="008B170B"/>
    <w:rsid w:val="008B1AA9"/>
    <w:rsid w:val="008C256E"/>
    <w:rsid w:val="008C3AB0"/>
    <w:rsid w:val="008C4BFB"/>
    <w:rsid w:val="008C5A87"/>
    <w:rsid w:val="008C7AAC"/>
    <w:rsid w:val="008D2A3D"/>
    <w:rsid w:val="008E0ECF"/>
    <w:rsid w:val="008E12EB"/>
    <w:rsid w:val="008E1E41"/>
    <w:rsid w:val="008E26F6"/>
    <w:rsid w:val="008E329E"/>
    <w:rsid w:val="008E4DAA"/>
    <w:rsid w:val="008E6D8B"/>
    <w:rsid w:val="008E713B"/>
    <w:rsid w:val="008F08BE"/>
    <w:rsid w:val="008F107F"/>
    <w:rsid w:val="008F274C"/>
    <w:rsid w:val="008F2D44"/>
    <w:rsid w:val="008F3CBB"/>
    <w:rsid w:val="008F5D01"/>
    <w:rsid w:val="008F5F0D"/>
    <w:rsid w:val="008F6C7E"/>
    <w:rsid w:val="008F7F1E"/>
    <w:rsid w:val="0090069E"/>
    <w:rsid w:val="0090151F"/>
    <w:rsid w:val="00910676"/>
    <w:rsid w:val="009120E0"/>
    <w:rsid w:val="009155D8"/>
    <w:rsid w:val="00915975"/>
    <w:rsid w:val="009173DB"/>
    <w:rsid w:val="0091752B"/>
    <w:rsid w:val="00921905"/>
    <w:rsid w:val="00921D27"/>
    <w:rsid w:val="00937E77"/>
    <w:rsid w:val="0094297E"/>
    <w:rsid w:val="0094676A"/>
    <w:rsid w:val="009468EF"/>
    <w:rsid w:val="009476C2"/>
    <w:rsid w:val="00952AB5"/>
    <w:rsid w:val="00953891"/>
    <w:rsid w:val="009548B0"/>
    <w:rsid w:val="00954B32"/>
    <w:rsid w:val="00954F9B"/>
    <w:rsid w:val="00960171"/>
    <w:rsid w:val="0096264B"/>
    <w:rsid w:val="00964F5D"/>
    <w:rsid w:val="009675EA"/>
    <w:rsid w:val="00967BC8"/>
    <w:rsid w:val="009752AE"/>
    <w:rsid w:val="009772ED"/>
    <w:rsid w:val="00977465"/>
    <w:rsid w:val="00977637"/>
    <w:rsid w:val="00980EB9"/>
    <w:rsid w:val="00982C44"/>
    <w:rsid w:val="009838F9"/>
    <w:rsid w:val="009935F1"/>
    <w:rsid w:val="00994CB6"/>
    <w:rsid w:val="00995EFE"/>
    <w:rsid w:val="009978AF"/>
    <w:rsid w:val="009A328E"/>
    <w:rsid w:val="009A38E4"/>
    <w:rsid w:val="009A409A"/>
    <w:rsid w:val="009A452F"/>
    <w:rsid w:val="009A48CA"/>
    <w:rsid w:val="009A49D0"/>
    <w:rsid w:val="009A5EDC"/>
    <w:rsid w:val="009A6B97"/>
    <w:rsid w:val="009B15B0"/>
    <w:rsid w:val="009B1EC0"/>
    <w:rsid w:val="009B3EF9"/>
    <w:rsid w:val="009B7133"/>
    <w:rsid w:val="009C2ABC"/>
    <w:rsid w:val="009C44B7"/>
    <w:rsid w:val="009C5C4A"/>
    <w:rsid w:val="009C6314"/>
    <w:rsid w:val="009C6F02"/>
    <w:rsid w:val="009D0ECA"/>
    <w:rsid w:val="009D117E"/>
    <w:rsid w:val="009D220B"/>
    <w:rsid w:val="009D5F42"/>
    <w:rsid w:val="009D626A"/>
    <w:rsid w:val="009D6683"/>
    <w:rsid w:val="009D7668"/>
    <w:rsid w:val="009E1227"/>
    <w:rsid w:val="009E1341"/>
    <w:rsid w:val="009E5916"/>
    <w:rsid w:val="009F2977"/>
    <w:rsid w:val="009F714F"/>
    <w:rsid w:val="009F71ED"/>
    <w:rsid w:val="009F7EE3"/>
    <w:rsid w:val="00A060AB"/>
    <w:rsid w:val="00A10048"/>
    <w:rsid w:val="00A12042"/>
    <w:rsid w:val="00A12C4D"/>
    <w:rsid w:val="00A137C7"/>
    <w:rsid w:val="00A14839"/>
    <w:rsid w:val="00A16A72"/>
    <w:rsid w:val="00A17809"/>
    <w:rsid w:val="00A208BC"/>
    <w:rsid w:val="00A22EEB"/>
    <w:rsid w:val="00A25027"/>
    <w:rsid w:val="00A26F15"/>
    <w:rsid w:val="00A26F8F"/>
    <w:rsid w:val="00A2769A"/>
    <w:rsid w:val="00A320FB"/>
    <w:rsid w:val="00A33872"/>
    <w:rsid w:val="00A35225"/>
    <w:rsid w:val="00A35B0B"/>
    <w:rsid w:val="00A379A0"/>
    <w:rsid w:val="00A41A7F"/>
    <w:rsid w:val="00A43963"/>
    <w:rsid w:val="00A50136"/>
    <w:rsid w:val="00A52398"/>
    <w:rsid w:val="00A53892"/>
    <w:rsid w:val="00A54369"/>
    <w:rsid w:val="00A55858"/>
    <w:rsid w:val="00A56BE4"/>
    <w:rsid w:val="00A61474"/>
    <w:rsid w:val="00A641AF"/>
    <w:rsid w:val="00A65036"/>
    <w:rsid w:val="00A6517E"/>
    <w:rsid w:val="00A67EAF"/>
    <w:rsid w:val="00A709BB"/>
    <w:rsid w:val="00A7119D"/>
    <w:rsid w:val="00A754AC"/>
    <w:rsid w:val="00A83FB2"/>
    <w:rsid w:val="00A860D9"/>
    <w:rsid w:val="00A86B5C"/>
    <w:rsid w:val="00A86DB5"/>
    <w:rsid w:val="00A878AF"/>
    <w:rsid w:val="00A9224C"/>
    <w:rsid w:val="00A92DBA"/>
    <w:rsid w:val="00A93E29"/>
    <w:rsid w:val="00A96B76"/>
    <w:rsid w:val="00A96E70"/>
    <w:rsid w:val="00AA4815"/>
    <w:rsid w:val="00AB0C92"/>
    <w:rsid w:val="00AB16D1"/>
    <w:rsid w:val="00AB3150"/>
    <w:rsid w:val="00AB7B34"/>
    <w:rsid w:val="00AC17B9"/>
    <w:rsid w:val="00AC18C5"/>
    <w:rsid w:val="00AC3878"/>
    <w:rsid w:val="00AC3D7B"/>
    <w:rsid w:val="00AC5C05"/>
    <w:rsid w:val="00AC7E13"/>
    <w:rsid w:val="00AD0E7D"/>
    <w:rsid w:val="00AD36D9"/>
    <w:rsid w:val="00AD3D31"/>
    <w:rsid w:val="00AD4459"/>
    <w:rsid w:val="00AD5091"/>
    <w:rsid w:val="00AD51E1"/>
    <w:rsid w:val="00AD724B"/>
    <w:rsid w:val="00AD741D"/>
    <w:rsid w:val="00AE2274"/>
    <w:rsid w:val="00AE2FAA"/>
    <w:rsid w:val="00AE4744"/>
    <w:rsid w:val="00AE4B23"/>
    <w:rsid w:val="00AE4F58"/>
    <w:rsid w:val="00AE733E"/>
    <w:rsid w:val="00AE75E2"/>
    <w:rsid w:val="00AE7AFB"/>
    <w:rsid w:val="00AF471B"/>
    <w:rsid w:val="00AF4BEA"/>
    <w:rsid w:val="00AF7477"/>
    <w:rsid w:val="00B00376"/>
    <w:rsid w:val="00B0076E"/>
    <w:rsid w:val="00B01CC9"/>
    <w:rsid w:val="00B0522E"/>
    <w:rsid w:val="00B072C6"/>
    <w:rsid w:val="00B10513"/>
    <w:rsid w:val="00B120E0"/>
    <w:rsid w:val="00B14CDA"/>
    <w:rsid w:val="00B169D0"/>
    <w:rsid w:val="00B25B3B"/>
    <w:rsid w:val="00B33D3A"/>
    <w:rsid w:val="00B34C6A"/>
    <w:rsid w:val="00B35A86"/>
    <w:rsid w:val="00B35EB1"/>
    <w:rsid w:val="00B37679"/>
    <w:rsid w:val="00B42A90"/>
    <w:rsid w:val="00B42AB5"/>
    <w:rsid w:val="00B42F31"/>
    <w:rsid w:val="00B5014D"/>
    <w:rsid w:val="00B51937"/>
    <w:rsid w:val="00B524A0"/>
    <w:rsid w:val="00B52C86"/>
    <w:rsid w:val="00B53FD3"/>
    <w:rsid w:val="00B56298"/>
    <w:rsid w:val="00B60C4D"/>
    <w:rsid w:val="00B63E61"/>
    <w:rsid w:val="00B6407E"/>
    <w:rsid w:val="00B6598A"/>
    <w:rsid w:val="00B65EE7"/>
    <w:rsid w:val="00B705C4"/>
    <w:rsid w:val="00B73C6E"/>
    <w:rsid w:val="00B746E8"/>
    <w:rsid w:val="00B756A2"/>
    <w:rsid w:val="00B75C61"/>
    <w:rsid w:val="00B761DA"/>
    <w:rsid w:val="00B8529F"/>
    <w:rsid w:val="00B871EE"/>
    <w:rsid w:val="00B90196"/>
    <w:rsid w:val="00B90548"/>
    <w:rsid w:val="00B9399C"/>
    <w:rsid w:val="00B94D8B"/>
    <w:rsid w:val="00B960EB"/>
    <w:rsid w:val="00B9700B"/>
    <w:rsid w:val="00BA0D48"/>
    <w:rsid w:val="00BA1BB6"/>
    <w:rsid w:val="00BA3B05"/>
    <w:rsid w:val="00BA5C9F"/>
    <w:rsid w:val="00BB4F9A"/>
    <w:rsid w:val="00BB5F27"/>
    <w:rsid w:val="00BB6945"/>
    <w:rsid w:val="00BC0A25"/>
    <w:rsid w:val="00BC16D4"/>
    <w:rsid w:val="00BC3AB9"/>
    <w:rsid w:val="00BC3E8E"/>
    <w:rsid w:val="00BC4139"/>
    <w:rsid w:val="00BC60F2"/>
    <w:rsid w:val="00BC6768"/>
    <w:rsid w:val="00BD16B7"/>
    <w:rsid w:val="00BD244D"/>
    <w:rsid w:val="00BD3013"/>
    <w:rsid w:val="00BD5129"/>
    <w:rsid w:val="00BD64F3"/>
    <w:rsid w:val="00BD7B33"/>
    <w:rsid w:val="00BE0BE0"/>
    <w:rsid w:val="00BE2861"/>
    <w:rsid w:val="00BE3C83"/>
    <w:rsid w:val="00BE59AE"/>
    <w:rsid w:val="00BE5D26"/>
    <w:rsid w:val="00BE5FC4"/>
    <w:rsid w:val="00BE764D"/>
    <w:rsid w:val="00BE76C3"/>
    <w:rsid w:val="00BE7956"/>
    <w:rsid w:val="00BF0FFC"/>
    <w:rsid w:val="00BF1636"/>
    <w:rsid w:val="00BF3C74"/>
    <w:rsid w:val="00BF72B7"/>
    <w:rsid w:val="00C0036A"/>
    <w:rsid w:val="00C01E35"/>
    <w:rsid w:val="00C0436B"/>
    <w:rsid w:val="00C04454"/>
    <w:rsid w:val="00C05F67"/>
    <w:rsid w:val="00C06FBD"/>
    <w:rsid w:val="00C11756"/>
    <w:rsid w:val="00C11F33"/>
    <w:rsid w:val="00C147EB"/>
    <w:rsid w:val="00C16842"/>
    <w:rsid w:val="00C20D6E"/>
    <w:rsid w:val="00C2117F"/>
    <w:rsid w:val="00C215D3"/>
    <w:rsid w:val="00C22FC4"/>
    <w:rsid w:val="00C24A37"/>
    <w:rsid w:val="00C2586B"/>
    <w:rsid w:val="00C259B5"/>
    <w:rsid w:val="00C25C19"/>
    <w:rsid w:val="00C26104"/>
    <w:rsid w:val="00C268FB"/>
    <w:rsid w:val="00C26BD0"/>
    <w:rsid w:val="00C27376"/>
    <w:rsid w:val="00C32A6E"/>
    <w:rsid w:val="00C33309"/>
    <w:rsid w:val="00C33ADF"/>
    <w:rsid w:val="00C34472"/>
    <w:rsid w:val="00C349B4"/>
    <w:rsid w:val="00C35A0E"/>
    <w:rsid w:val="00C3751A"/>
    <w:rsid w:val="00C37AF8"/>
    <w:rsid w:val="00C404C6"/>
    <w:rsid w:val="00C40CD5"/>
    <w:rsid w:val="00C427B0"/>
    <w:rsid w:val="00C43A26"/>
    <w:rsid w:val="00C43CB4"/>
    <w:rsid w:val="00C44A39"/>
    <w:rsid w:val="00C44C25"/>
    <w:rsid w:val="00C46CF5"/>
    <w:rsid w:val="00C475DA"/>
    <w:rsid w:val="00C50164"/>
    <w:rsid w:val="00C502FC"/>
    <w:rsid w:val="00C51B80"/>
    <w:rsid w:val="00C54C1B"/>
    <w:rsid w:val="00C56691"/>
    <w:rsid w:val="00C6014E"/>
    <w:rsid w:val="00C60747"/>
    <w:rsid w:val="00C619E3"/>
    <w:rsid w:val="00C631C4"/>
    <w:rsid w:val="00C63AE6"/>
    <w:rsid w:val="00C65089"/>
    <w:rsid w:val="00C6533E"/>
    <w:rsid w:val="00C654D8"/>
    <w:rsid w:val="00C67DF8"/>
    <w:rsid w:val="00C74B89"/>
    <w:rsid w:val="00C77F05"/>
    <w:rsid w:val="00C804F2"/>
    <w:rsid w:val="00C8252E"/>
    <w:rsid w:val="00C83343"/>
    <w:rsid w:val="00C83394"/>
    <w:rsid w:val="00C83F6B"/>
    <w:rsid w:val="00C845C0"/>
    <w:rsid w:val="00C85053"/>
    <w:rsid w:val="00C90FF5"/>
    <w:rsid w:val="00C91056"/>
    <w:rsid w:val="00C910A1"/>
    <w:rsid w:val="00C939C9"/>
    <w:rsid w:val="00C95418"/>
    <w:rsid w:val="00C957B6"/>
    <w:rsid w:val="00C963C4"/>
    <w:rsid w:val="00C96FC0"/>
    <w:rsid w:val="00C97A29"/>
    <w:rsid w:val="00C97E89"/>
    <w:rsid w:val="00CA2593"/>
    <w:rsid w:val="00CA2DC5"/>
    <w:rsid w:val="00CA303A"/>
    <w:rsid w:val="00CA38BF"/>
    <w:rsid w:val="00CA4986"/>
    <w:rsid w:val="00CA4D96"/>
    <w:rsid w:val="00CB1B19"/>
    <w:rsid w:val="00CB4AC0"/>
    <w:rsid w:val="00CB77D2"/>
    <w:rsid w:val="00CC213E"/>
    <w:rsid w:val="00CC28F3"/>
    <w:rsid w:val="00CC448C"/>
    <w:rsid w:val="00CC505C"/>
    <w:rsid w:val="00CD11F9"/>
    <w:rsid w:val="00CD21AF"/>
    <w:rsid w:val="00CE13D7"/>
    <w:rsid w:val="00CE6338"/>
    <w:rsid w:val="00CF328A"/>
    <w:rsid w:val="00CF5633"/>
    <w:rsid w:val="00CF596B"/>
    <w:rsid w:val="00CF6E29"/>
    <w:rsid w:val="00CF7E20"/>
    <w:rsid w:val="00D00DA4"/>
    <w:rsid w:val="00D03BD8"/>
    <w:rsid w:val="00D041F6"/>
    <w:rsid w:val="00D11108"/>
    <w:rsid w:val="00D11A6A"/>
    <w:rsid w:val="00D11E09"/>
    <w:rsid w:val="00D12EBB"/>
    <w:rsid w:val="00D148D3"/>
    <w:rsid w:val="00D161FA"/>
    <w:rsid w:val="00D16B5A"/>
    <w:rsid w:val="00D17E21"/>
    <w:rsid w:val="00D2116C"/>
    <w:rsid w:val="00D21366"/>
    <w:rsid w:val="00D232D8"/>
    <w:rsid w:val="00D23F17"/>
    <w:rsid w:val="00D27AFF"/>
    <w:rsid w:val="00D30C5B"/>
    <w:rsid w:val="00D31278"/>
    <w:rsid w:val="00D318B1"/>
    <w:rsid w:val="00D31F50"/>
    <w:rsid w:val="00D3204F"/>
    <w:rsid w:val="00D3230C"/>
    <w:rsid w:val="00D4051E"/>
    <w:rsid w:val="00D415F4"/>
    <w:rsid w:val="00D419CB"/>
    <w:rsid w:val="00D422EA"/>
    <w:rsid w:val="00D43ABC"/>
    <w:rsid w:val="00D46599"/>
    <w:rsid w:val="00D46893"/>
    <w:rsid w:val="00D4690D"/>
    <w:rsid w:val="00D47EE1"/>
    <w:rsid w:val="00D50C66"/>
    <w:rsid w:val="00D521D5"/>
    <w:rsid w:val="00D52F63"/>
    <w:rsid w:val="00D53D8C"/>
    <w:rsid w:val="00D54200"/>
    <w:rsid w:val="00D543B5"/>
    <w:rsid w:val="00D5540F"/>
    <w:rsid w:val="00D6480C"/>
    <w:rsid w:val="00D66DED"/>
    <w:rsid w:val="00D678E5"/>
    <w:rsid w:val="00D749FC"/>
    <w:rsid w:val="00D75E49"/>
    <w:rsid w:val="00D77F91"/>
    <w:rsid w:val="00D80EE6"/>
    <w:rsid w:val="00D828F1"/>
    <w:rsid w:val="00D83E3F"/>
    <w:rsid w:val="00D851E3"/>
    <w:rsid w:val="00D85933"/>
    <w:rsid w:val="00D87A1D"/>
    <w:rsid w:val="00D91524"/>
    <w:rsid w:val="00D92C55"/>
    <w:rsid w:val="00D938A0"/>
    <w:rsid w:val="00D93FB7"/>
    <w:rsid w:val="00D95494"/>
    <w:rsid w:val="00DA0E3A"/>
    <w:rsid w:val="00DA38F3"/>
    <w:rsid w:val="00DA4C64"/>
    <w:rsid w:val="00DA730B"/>
    <w:rsid w:val="00DB064E"/>
    <w:rsid w:val="00DB3FB7"/>
    <w:rsid w:val="00DB4644"/>
    <w:rsid w:val="00DB4689"/>
    <w:rsid w:val="00DB7305"/>
    <w:rsid w:val="00DB798F"/>
    <w:rsid w:val="00DC0552"/>
    <w:rsid w:val="00DC1163"/>
    <w:rsid w:val="00DC1837"/>
    <w:rsid w:val="00DC246B"/>
    <w:rsid w:val="00DC5D7D"/>
    <w:rsid w:val="00DC710C"/>
    <w:rsid w:val="00DC78E3"/>
    <w:rsid w:val="00DD11A7"/>
    <w:rsid w:val="00DD4144"/>
    <w:rsid w:val="00DD42E4"/>
    <w:rsid w:val="00DD4A96"/>
    <w:rsid w:val="00DE0073"/>
    <w:rsid w:val="00DE468B"/>
    <w:rsid w:val="00DE47D6"/>
    <w:rsid w:val="00DF0E20"/>
    <w:rsid w:val="00DF144E"/>
    <w:rsid w:val="00DF1A97"/>
    <w:rsid w:val="00DF2E2D"/>
    <w:rsid w:val="00DF68A8"/>
    <w:rsid w:val="00DF6B69"/>
    <w:rsid w:val="00E00E2B"/>
    <w:rsid w:val="00E00FE6"/>
    <w:rsid w:val="00E01935"/>
    <w:rsid w:val="00E032D0"/>
    <w:rsid w:val="00E03E3A"/>
    <w:rsid w:val="00E045E0"/>
    <w:rsid w:val="00E04B0E"/>
    <w:rsid w:val="00E1375D"/>
    <w:rsid w:val="00E1460C"/>
    <w:rsid w:val="00E147C6"/>
    <w:rsid w:val="00E1505F"/>
    <w:rsid w:val="00E20295"/>
    <w:rsid w:val="00E20FCD"/>
    <w:rsid w:val="00E21C0F"/>
    <w:rsid w:val="00E2229E"/>
    <w:rsid w:val="00E23161"/>
    <w:rsid w:val="00E235DB"/>
    <w:rsid w:val="00E26D1D"/>
    <w:rsid w:val="00E30517"/>
    <w:rsid w:val="00E30D1F"/>
    <w:rsid w:val="00E31199"/>
    <w:rsid w:val="00E337A4"/>
    <w:rsid w:val="00E3472F"/>
    <w:rsid w:val="00E3550A"/>
    <w:rsid w:val="00E36221"/>
    <w:rsid w:val="00E409E4"/>
    <w:rsid w:val="00E417FD"/>
    <w:rsid w:val="00E43DDD"/>
    <w:rsid w:val="00E444EB"/>
    <w:rsid w:val="00E4544C"/>
    <w:rsid w:val="00E458AF"/>
    <w:rsid w:val="00E46F10"/>
    <w:rsid w:val="00E51A50"/>
    <w:rsid w:val="00E5289D"/>
    <w:rsid w:val="00E565CF"/>
    <w:rsid w:val="00E568A3"/>
    <w:rsid w:val="00E61336"/>
    <w:rsid w:val="00E61734"/>
    <w:rsid w:val="00E618CD"/>
    <w:rsid w:val="00E61B91"/>
    <w:rsid w:val="00E642A8"/>
    <w:rsid w:val="00E6718A"/>
    <w:rsid w:val="00E711A4"/>
    <w:rsid w:val="00E711B6"/>
    <w:rsid w:val="00E72CE8"/>
    <w:rsid w:val="00E73C8B"/>
    <w:rsid w:val="00E74506"/>
    <w:rsid w:val="00E75A86"/>
    <w:rsid w:val="00E770E5"/>
    <w:rsid w:val="00E816E0"/>
    <w:rsid w:val="00E85297"/>
    <w:rsid w:val="00E86699"/>
    <w:rsid w:val="00E86E94"/>
    <w:rsid w:val="00E90F53"/>
    <w:rsid w:val="00E9253D"/>
    <w:rsid w:val="00E95EA4"/>
    <w:rsid w:val="00E97E0F"/>
    <w:rsid w:val="00EA1802"/>
    <w:rsid w:val="00EA3A52"/>
    <w:rsid w:val="00EA4DDC"/>
    <w:rsid w:val="00EA57F5"/>
    <w:rsid w:val="00EA6F39"/>
    <w:rsid w:val="00EB302A"/>
    <w:rsid w:val="00EB3E08"/>
    <w:rsid w:val="00EB45D1"/>
    <w:rsid w:val="00EB55B5"/>
    <w:rsid w:val="00EB6138"/>
    <w:rsid w:val="00EB7D57"/>
    <w:rsid w:val="00EC31D6"/>
    <w:rsid w:val="00EC69B7"/>
    <w:rsid w:val="00ED1A6B"/>
    <w:rsid w:val="00ED1EBD"/>
    <w:rsid w:val="00ED21A1"/>
    <w:rsid w:val="00ED2975"/>
    <w:rsid w:val="00ED3504"/>
    <w:rsid w:val="00ED514B"/>
    <w:rsid w:val="00ED5956"/>
    <w:rsid w:val="00ED5A37"/>
    <w:rsid w:val="00ED690E"/>
    <w:rsid w:val="00EE0064"/>
    <w:rsid w:val="00EE0F5E"/>
    <w:rsid w:val="00EE2676"/>
    <w:rsid w:val="00EE2E78"/>
    <w:rsid w:val="00EE3EB9"/>
    <w:rsid w:val="00EE44B8"/>
    <w:rsid w:val="00EE5A2A"/>
    <w:rsid w:val="00EE6258"/>
    <w:rsid w:val="00EE7392"/>
    <w:rsid w:val="00EF2143"/>
    <w:rsid w:val="00EF3D15"/>
    <w:rsid w:val="00EF40F8"/>
    <w:rsid w:val="00F00622"/>
    <w:rsid w:val="00F01F2C"/>
    <w:rsid w:val="00F05EB1"/>
    <w:rsid w:val="00F0616F"/>
    <w:rsid w:val="00F112F1"/>
    <w:rsid w:val="00F1201F"/>
    <w:rsid w:val="00F122EC"/>
    <w:rsid w:val="00F132AD"/>
    <w:rsid w:val="00F160F0"/>
    <w:rsid w:val="00F204D6"/>
    <w:rsid w:val="00F215A3"/>
    <w:rsid w:val="00F22023"/>
    <w:rsid w:val="00F249CD"/>
    <w:rsid w:val="00F24E4E"/>
    <w:rsid w:val="00F250C8"/>
    <w:rsid w:val="00F25D2D"/>
    <w:rsid w:val="00F26B13"/>
    <w:rsid w:val="00F26D88"/>
    <w:rsid w:val="00F27685"/>
    <w:rsid w:val="00F27F0A"/>
    <w:rsid w:val="00F304AE"/>
    <w:rsid w:val="00F3150A"/>
    <w:rsid w:val="00F322AF"/>
    <w:rsid w:val="00F336EC"/>
    <w:rsid w:val="00F34BED"/>
    <w:rsid w:val="00F35C80"/>
    <w:rsid w:val="00F36D21"/>
    <w:rsid w:val="00F3771C"/>
    <w:rsid w:val="00F37D74"/>
    <w:rsid w:val="00F44582"/>
    <w:rsid w:val="00F4523D"/>
    <w:rsid w:val="00F47A30"/>
    <w:rsid w:val="00F47B53"/>
    <w:rsid w:val="00F52A3A"/>
    <w:rsid w:val="00F542B8"/>
    <w:rsid w:val="00F543B7"/>
    <w:rsid w:val="00F56413"/>
    <w:rsid w:val="00F57726"/>
    <w:rsid w:val="00F61785"/>
    <w:rsid w:val="00F61EF6"/>
    <w:rsid w:val="00F62568"/>
    <w:rsid w:val="00F6366D"/>
    <w:rsid w:val="00F642E0"/>
    <w:rsid w:val="00F659B1"/>
    <w:rsid w:val="00F67384"/>
    <w:rsid w:val="00F70239"/>
    <w:rsid w:val="00F70274"/>
    <w:rsid w:val="00F70FF1"/>
    <w:rsid w:val="00F7460F"/>
    <w:rsid w:val="00F76715"/>
    <w:rsid w:val="00F77C77"/>
    <w:rsid w:val="00F77F05"/>
    <w:rsid w:val="00F80D13"/>
    <w:rsid w:val="00F813F1"/>
    <w:rsid w:val="00F81E5C"/>
    <w:rsid w:val="00F8261B"/>
    <w:rsid w:val="00F83529"/>
    <w:rsid w:val="00F83E21"/>
    <w:rsid w:val="00F85A34"/>
    <w:rsid w:val="00F86BE8"/>
    <w:rsid w:val="00F87C57"/>
    <w:rsid w:val="00F92013"/>
    <w:rsid w:val="00F92198"/>
    <w:rsid w:val="00F92E23"/>
    <w:rsid w:val="00F94E3E"/>
    <w:rsid w:val="00F97234"/>
    <w:rsid w:val="00F97C94"/>
    <w:rsid w:val="00FA1840"/>
    <w:rsid w:val="00FA4A66"/>
    <w:rsid w:val="00FA71D2"/>
    <w:rsid w:val="00FA7FC5"/>
    <w:rsid w:val="00FB29E7"/>
    <w:rsid w:val="00FB3B9C"/>
    <w:rsid w:val="00FB5FCC"/>
    <w:rsid w:val="00FC010C"/>
    <w:rsid w:val="00FC02C9"/>
    <w:rsid w:val="00FC08C8"/>
    <w:rsid w:val="00FC2ECF"/>
    <w:rsid w:val="00FD10F9"/>
    <w:rsid w:val="00FD2ABD"/>
    <w:rsid w:val="00FD3B18"/>
    <w:rsid w:val="00FD529F"/>
    <w:rsid w:val="00FE0F77"/>
    <w:rsid w:val="00FE3B41"/>
    <w:rsid w:val="00FE59AC"/>
    <w:rsid w:val="00FE59EB"/>
    <w:rsid w:val="00FF36AA"/>
    <w:rsid w:val="00FF7EFA"/>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es-ES" w:eastAsia="es-E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625E3D"/>
    <w:rPr>
      <w:sz w:val="20"/>
      <w:szCs w:val="20"/>
    </w:rPr>
  </w:style>
  <w:style w:type="paragraph" w:styleId="Ttulo1">
    <w:name w:val="heading 1"/>
    <w:basedOn w:val="Normal"/>
    <w:next w:val="Normal"/>
    <w:link w:val="Ttulo1Car"/>
    <w:uiPriority w:val="99"/>
    <w:qFormat/>
    <w:rsid w:val="00A10048"/>
    <w:pPr>
      <w:keepNext/>
      <w:autoSpaceDE w:val="0"/>
      <w:autoSpaceDN w:val="0"/>
      <w:adjustRightInd w:val="0"/>
      <w:outlineLvl w:val="0"/>
    </w:pPr>
    <w:rPr>
      <w:rFonts w:ascii="Cambria" w:hAnsi="Cambria" w:cs="Cambria"/>
      <w:b/>
      <w:bCs/>
      <w:kern w:val="32"/>
      <w:sz w:val="32"/>
      <w:szCs w:val="32"/>
    </w:rPr>
  </w:style>
  <w:style w:type="paragraph" w:styleId="Ttulo2">
    <w:name w:val="heading 2"/>
    <w:basedOn w:val="Normal"/>
    <w:next w:val="Normal"/>
    <w:link w:val="Ttulo2Car"/>
    <w:uiPriority w:val="99"/>
    <w:qFormat/>
    <w:rsid w:val="00A10048"/>
    <w:pPr>
      <w:keepNext/>
      <w:shd w:val="clear" w:color="auto" w:fill="FFFFFF"/>
      <w:jc w:val="both"/>
      <w:outlineLvl w:val="1"/>
    </w:pPr>
    <w:rPr>
      <w:rFonts w:ascii="Cambria" w:hAnsi="Cambria" w:cs="Cambria"/>
      <w:b/>
      <w:bCs/>
      <w:i/>
      <w:iCs/>
      <w:sz w:val="28"/>
      <w:szCs w:val="28"/>
    </w:rPr>
  </w:style>
  <w:style w:type="paragraph" w:styleId="Ttulo3">
    <w:name w:val="heading 3"/>
    <w:basedOn w:val="Normal"/>
    <w:next w:val="Normal"/>
    <w:link w:val="Ttulo3Car"/>
    <w:uiPriority w:val="99"/>
    <w:qFormat/>
    <w:rsid w:val="00A10048"/>
    <w:pPr>
      <w:keepNext/>
      <w:jc w:val="center"/>
      <w:outlineLvl w:val="2"/>
    </w:pPr>
    <w:rPr>
      <w:rFonts w:ascii="Cambria" w:hAnsi="Cambria" w:cs="Cambria"/>
      <w:b/>
      <w:bCs/>
      <w:sz w:val="26"/>
      <w:szCs w:val="26"/>
    </w:rPr>
  </w:style>
  <w:style w:type="paragraph" w:styleId="Ttulo4">
    <w:name w:val="heading 4"/>
    <w:basedOn w:val="Normal"/>
    <w:next w:val="Normal"/>
    <w:link w:val="Ttulo4Car"/>
    <w:uiPriority w:val="99"/>
    <w:qFormat/>
    <w:rsid w:val="00A10048"/>
    <w:pPr>
      <w:keepNext/>
      <w:jc w:val="both"/>
      <w:outlineLvl w:val="3"/>
    </w:pPr>
    <w:rPr>
      <w:rFonts w:ascii="Calibri" w:hAnsi="Calibri" w:cs="Calibri"/>
      <w:b/>
      <w:bCs/>
      <w:sz w:val="28"/>
      <w:szCs w:val="28"/>
    </w:rPr>
  </w:style>
  <w:style w:type="paragraph" w:styleId="Ttulo5">
    <w:name w:val="heading 5"/>
    <w:basedOn w:val="Normal"/>
    <w:next w:val="Normal"/>
    <w:link w:val="Ttulo5Car"/>
    <w:uiPriority w:val="99"/>
    <w:qFormat/>
    <w:rsid w:val="00A10048"/>
    <w:pPr>
      <w:keepNext/>
      <w:shd w:val="clear" w:color="auto" w:fill="FFCC99"/>
      <w:outlineLvl w:val="4"/>
    </w:pPr>
    <w:rPr>
      <w:rFonts w:ascii="Calibri" w:hAnsi="Calibri" w:cs="Calibri"/>
      <w:b/>
      <w:bCs/>
      <w:i/>
      <w:iCs/>
      <w:sz w:val="26"/>
      <w:szCs w:val="26"/>
    </w:rPr>
  </w:style>
  <w:style w:type="paragraph" w:styleId="Ttulo6">
    <w:name w:val="heading 6"/>
    <w:basedOn w:val="Normal"/>
    <w:next w:val="Normal"/>
    <w:link w:val="Ttulo6Car"/>
    <w:uiPriority w:val="99"/>
    <w:qFormat/>
    <w:rsid w:val="00A10048"/>
    <w:pPr>
      <w:keepNext/>
      <w:autoSpaceDE w:val="0"/>
      <w:autoSpaceDN w:val="0"/>
      <w:adjustRightInd w:val="0"/>
      <w:outlineLvl w:val="5"/>
    </w:pPr>
    <w:rPr>
      <w:rFonts w:ascii="Calibri" w:hAnsi="Calibri" w:cs="Calibri"/>
      <w:b/>
      <w:bCs/>
      <w:sz w:val="22"/>
      <w:szCs w:val="22"/>
    </w:rPr>
  </w:style>
  <w:style w:type="paragraph" w:styleId="Ttulo7">
    <w:name w:val="heading 7"/>
    <w:basedOn w:val="Normal"/>
    <w:next w:val="Normal"/>
    <w:link w:val="Ttulo7Car"/>
    <w:uiPriority w:val="99"/>
    <w:qFormat/>
    <w:rsid w:val="00A10048"/>
    <w:pPr>
      <w:keepNext/>
      <w:tabs>
        <w:tab w:val="left" w:pos="1673"/>
      </w:tabs>
      <w:jc w:val="center"/>
      <w:outlineLvl w:val="6"/>
    </w:pPr>
    <w:rPr>
      <w:rFonts w:ascii="Calibri" w:hAnsi="Calibri" w:cs="Calibri"/>
      <w:sz w:val="24"/>
      <w:szCs w:val="24"/>
    </w:rPr>
  </w:style>
  <w:style w:type="paragraph" w:styleId="Ttulo8">
    <w:name w:val="heading 8"/>
    <w:basedOn w:val="Normal"/>
    <w:next w:val="Normal"/>
    <w:link w:val="Ttulo8Car"/>
    <w:uiPriority w:val="99"/>
    <w:qFormat/>
    <w:rsid w:val="00A10048"/>
    <w:pPr>
      <w:keepNext/>
      <w:jc w:val="both"/>
      <w:outlineLvl w:val="7"/>
    </w:pPr>
    <w:rPr>
      <w:rFonts w:ascii="Calibri" w:hAnsi="Calibri" w:cs="Calibri"/>
      <w:i/>
      <w:iCs/>
      <w:sz w:val="24"/>
      <w:szCs w:val="24"/>
    </w:rPr>
  </w:style>
  <w:style w:type="paragraph" w:styleId="Ttulo9">
    <w:name w:val="heading 9"/>
    <w:basedOn w:val="Normal"/>
    <w:next w:val="Normal"/>
    <w:link w:val="Ttulo9Car"/>
    <w:uiPriority w:val="99"/>
    <w:qFormat/>
    <w:rsid w:val="00A10048"/>
    <w:pPr>
      <w:keepNext/>
      <w:jc w:val="both"/>
      <w:outlineLvl w:val="8"/>
    </w:pPr>
    <w:rPr>
      <w:rFonts w:ascii="Cambria" w:hAnsi="Cambria" w:cs="Cambria"/>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2951CE"/>
    <w:rPr>
      <w:rFonts w:ascii="Cambria" w:hAnsi="Cambria" w:cs="Cambria"/>
      <w:b/>
      <w:bCs/>
      <w:kern w:val="32"/>
      <w:sz w:val="32"/>
      <w:szCs w:val="32"/>
    </w:rPr>
  </w:style>
  <w:style w:type="character" w:customStyle="1" w:styleId="Ttulo2Car">
    <w:name w:val="Título 2 Car"/>
    <w:basedOn w:val="Fuentedeprrafopredeter"/>
    <w:link w:val="Ttulo2"/>
    <w:uiPriority w:val="99"/>
    <w:semiHidden/>
    <w:locked/>
    <w:rsid w:val="002951CE"/>
    <w:rPr>
      <w:rFonts w:ascii="Cambria" w:hAnsi="Cambria" w:cs="Cambria"/>
      <w:b/>
      <w:bCs/>
      <w:i/>
      <w:iCs/>
      <w:sz w:val="28"/>
      <w:szCs w:val="28"/>
    </w:rPr>
  </w:style>
  <w:style w:type="character" w:customStyle="1" w:styleId="Ttulo3Car">
    <w:name w:val="Título 3 Car"/>
    <w:basedOn w:val="Fuentedeprrafopredeter"/>
    <w:link w:val="Ttulo3"/>
    <w:uiPriority w:val="99"/>
    <w:semiHidden/>
    <w:locked/>
    <w:rsid w:val="002951CE"/>
    <w:rPr>
      <w:rFonts w:ascii="Cambria" w:hAnsi="Cambria" w:cs="Cambria"/>
      <w:b/>
      <w:bCs/>
      <w:sz w:val="26"/>
      <w:szCs w:val="26"/>
    </w:rPr>
  </w:style>
  <w:style w:type="character" w:customStyle="1" w:styleId="Ttulo4Car">
    <w:name w:val="Título 4 Car"/>
    <w:basedOn w:val="Fuentedeprrafopredeter"/>
    <w:link w:val="Ttulo4"/>
    <w:uiPriority w:val="99"/>
    <w:semiHidden/>
    <w:locked/>
    <w:rsid w:val="002951CE"/>
    <w:rPr>
      <w:rFonts w:ascii="Calibri" w:hAnsi="Calibri" w:cs="Calibri"/>
      <w:b/>
      <w:bCs/>
      <w:sz w:val="28"/>
      <w:szCs w:val="28"/>
    </w:rPr>
  </w:style>
  <w:style w:type="character" w:customStyle="1" w:styleId="Ttulo5Car">
    <w:name w:val="Título 5 Car"/>
    <w:basedOn w:val="Fuentedeprrafopredeter"/>
    <w:link w:val="Ttulo5"/>
    <w:uiPriority w:val="99"/>
    <w:semiHidden/>
    <w:locked/>
    <w:rsid w:val="002951CE"/>
    <w:rPr>
      <w:rFonts w:ascii="Calibri" w:hAnsi="Calibri" w:cs="Calibri"/>
      <w:b/>
      <w:bCs/>
      <w:i/>
      <w:iCs/>
      <w:sz w:val="26"/>
      <w:szCs w:val="26"/>
    </w:rPr>
  </w:style>
  <w:style w:type="character" w:customStyle="1" w:styleId="Ttulo6Car">
    <w:name w:val="Título 6 Car"/>
    <w:basedOn w:val="Fuentedeprrafopredeter"/>
    <w:link w:val="Ttulo6"/>
    <w:uiPriority w:val="99"/>
    <w:semiHidden/>
    <w:locked/>
    <w:rsid w:val="002951CE"/>
    <w:rPr>
      <w:rFonts w:ascii="Calibri" w:hAnsi="Calibri" w:cs="Calibri"/>
      <w:b/>
      <w:bCs/>
      <w:sz w:val="22"/>
      <w:szCs w:val="22"/>
    </w:rPr>
  </w:style>
  <w:style w:type="character" w:customStyle="1" w:styleId="Ttulo7Car">
    <w:name w:val="Título 7 Car"/>
    <w:basedOn w:val="Fuentedeprrafopredeter"/>
    <w:link w:val="Ttulo7"/>
    <w:uiPriority w:val="99"/>
    <w:semiHidden/>
    <w:locked/>
    <w:rsid w:val="002951CE"/>
    <w:rPr>
      <w:rFonts w:ascii="Calibri" w:hAnsi="Calibri" w:cs="Calibri"/>
      <w:sz w:val="24"/>
      <w:szCs w:val="24"/>
    </w:rPr>
  </w:style>
  <w:style w:type="character" w:customStyle="1" w:styleId="Ttulo8Car">
    <w:name w:val="Título 8 Car"/>
    <w:basedOn w:val="Fuentedeprrafopredeter"/>
    <w:link w:val="Ttulo8"/>
    <w:uiPriority w:val="99"/>
    <w:semiHidden/>
    <w:locked/>
    <w:rsid w:val="002951CE"/>
    <w:rPr>
      <w:rFonts w:ascii="Calibri" w:hAnsi="Calibri" w:cs="Calibri"/>
      <w:i/>
      <w:iCs/>
      <w:sz w:val="24"/>
      <w:szCs w:val="24"/>
    </w:rPr>
  </w:style>
  <w:style w:type="character" w:customStyle="1" w:styleId="Ttulo9Car">
    <w:name w:val="Título 9 Car"/>
    <w:basedOn w:val="Fuentedeprrafopredeter"/>
    <w:link w:val="Ttulo9"/>
    <w:uiPriority w:val="99"/>
    <w:semiHidden/>
    <w:locked/>
    <w:rsid w:val="002951CE"/>
    <w:rPr>
      <w:rFonts w:ascii="Cambria" w:hAnsi="Cambria" w:cs="Cambria"/>
      <w:sz w:val="22"/>
      <w:szCs w:val="22"/>
    </w:rPr>
  </w:style>
  <w:style w:type="paragraph" w:styleId="Textodeglobo">
    <w:name w:val="Balloon Text"/>
    <w:basedOn w:val="Normal"/>
    <w:link w:val="TextodegloboCar"/>
    <w:uiPriority w:val="99"/>
    <w:semiHidden/>
    <w:rsid w:val="00625E3D"/>
    <w:rPr>
      <w:rFonts w:ascii="Arial" w:hAnsi="Arial" w:cs="Arial"/>
      <w:sz w:val="24"/>
      <w:szCs w:val="24"/>
    </w:rPr>
  </w:style>
  <w:style w:type="character" w:customStyle="1" w:styleId="TextodegloboCar">
    <w:name w:val="Texto de globo Car"/>
    <w:basedOn w:val="Fuentedeprrafopredeter"/>
    <w:link w:val="Textodeglobo"/>
    <w:uiPriority w:val="99"/>
    <w:semiHidden/>
    <w:locked/>
    <w:rsid w:val="00625E3D"/>
    <w:rPr>
      <w:rFonts w:ascii="Arial" w:hAnsi="Arial" w:cs="Arial"/>
      <w:sz w:val="24"/>
      <w:szCs w:val="24"/>
    </w:rPr>
  </w:style>
  <w:style w:type="character" w:styleId="Hipervnculo">
    <w:name w:val="Hyperlink"/>
    <w:basedOn w:val="Fuentedeprrafopredeter"/>
    <w:uiPriority w:val="99"/>
    <w:rsid w:val="00A10048"/>
    <w:rPr>
      <w:color w:val="0000FF"/>
      <w:u w:val="single"/>
    </w:rPr>
  </w:style>
  <w:style w:type="paragraph" w:styleId="Ttulo">
    <w:name w:val="Title"/>
    <w:basedOn w:val="Normal"/>
    <w:link w:val="TtuloCar"/>
    <w:uiPriority w:val="99"/>
    <w:qFormat/>
    <w:rsid w:val="00A10048"/>
    <w:pPr>
      <w:autoSpaceDE w:val="0"/>
      <w:autoSpaceDN w:val="0"/>
      <w:adjustRightInd w:val="0"/>
      <w:jc w:val="center"/>
    </w:pPr>
    <w:rPr>
      <w:rFonts w:ascii="Cambria" w:hAnsi="Cambria" w:cs="Cambria"/>
      <w:b/>
      <w:bCs/>
      <w:kern w:val="28"/>
      <w:sz w:val="32"/>
      <w:szCs w:val="32"/>
    </w:rPr>
  </w:style>
  <w:style w:type="character" w:customStyle="1" w:styleId="TtuloCar">
    <w:name w:val="Título Car"/>
    <w:basedOn w:val="Fuentedeprrafopredeter"/>
    <w:link w:val="Ttulo"/>
    <w:uiPriority w:val="99"/>
    <w:locked/>
    <w:rsid w:val="002951CE"/>
    <w:rPr>
      <w:rFonts w:ascii="Cambria" w:hAnsi="Cambria" w:cs="Cambria"/>
      <w:b/>
      <w:bCs/>
      <w:kern w:val="28"/>
      <w:sz w:val="32"/>
      <w:szCs w:val="32"/>
    </w:rPr>
  </w:style>
  <w:style w:type="paragraph" w:styleId="Sangradetextonormal">
    <w:name w:val="Body Text Indent"/>
    <w:basedOn w:val="Normal"/>
    <w:link w:val="SangradetextonormalCar"/>
    <w:uiPriority w:val="99"/>
    <w:semiHidden/>
    <w:rsid w:val="00A10048"/>
    <w:pPr>
      <w:shd w:val="clear" w:color="auto" w:fill="FFFFFF"/>
      <w:ind w:left="708"/>
      <w:jc w:val="both"/>
    </w:pPr>
    <w:rPr>
      <w:sz w:val="24"/>
      <w:szCs w:val="24"/>
    </w:rPr>
  </w:style>
  <w:style w:type="character" w:customStyle="1" w:styleId="SangradetextonormalCar">
    <w:name w:val="Sangría de texto normal Car"/>
    <w:basedOn w:val="Fuentedeprrafopredeter"/>
    <w:link w:val="Sangradetextonormal"/>
    <w:uiPriority w:val="99"/>
    <w:semiHidden/>
    <w:locked/>
    <w:rsid w:val="002951CE"/>
    <w:rPr>
      <w:sz w:val="24"/>
      <w:szCs w:val="24"/>
    </w:rPr>
  </w:style>
  <w:style w:type="paragraph" w:styleId="Textoindependiente">
    <w:name w:val="Body Text"/>
    <w:basedOn w:val="Normal"/>
    <w:link w:val="TextoindependienteCar"/>
    <w:uiPriority w:val="99"/>
    <w:semiHidden/>
    <w:rsid w:val="00A10048"/>
    <w:rPr>
      <w:sz w:val="24"/>
      <w:szCs w:val="24"/>
    </w:rPr>
  </w:style>
  <w:style w:type="character" w:customStyle="1" w:styleId="TextoindependienteCar">
    <w:name w:val="Texto independiente Car"/>
    <w:basedOn w:val="Fuentedeprrafopredeter"/>
    <w:link w:val="Textoindependiente"/>
    <w:uiPriority w:val="99"/>
    <w:semiHidden/>
    <w:locked/>
    <w:rsid w:val="002951CE"/>
    <w:rPr>
      <w:sz w:val="24"/>
      <w:szCs w:val="24"/>
    </w:rPr>
  </w:style>
  <w:style w:type="paragraph" w:styleId="Encabezado">
    <w:name w:val="header"/>
    <w:basedOn w:val="Normal"/>
    <w:link w:val="EncabezadoCar"/>
    <w:uiPriority w:val="99"/>
    <w:semiHidden/>
    <w:rsid w:val="00A10048"/>
    <w:pPr>
      <w:tabs>
        <w:tab w:val="center" w:pos="4252"/>
        <w:tab w:val="right" w:pos="8504"/>
      </w:tabs>
    </w:pPr>
    <w:rPr>
      <w:sz w:val="24"/>
      <w:szCs w:val="24"/>
    </w:rPr>
  </w:style>
  <w:style w:type="character" w:customStyle="1" w:styleId="HeaderChar">
    <w:name w:val="Header Char"/>
    <w:basedOn w:val="Fuentedeprrafopredeter"/>
    <w:uiPriority w:val="99"/>
    <w:semiHidden/>
    <w:locked/>
    <w:rsid w:val="00F112F1"/>
    <w:rPr>
      <w:sz w:val="24"/>
      <w:szCs w:val="24"/>
    </w:rPr>
  </w:style>
  <w:style w:type="character" w:customStyle="1" w:styleId="EncabezadoCar">
    <w:name w:val="Encabezado Car"/>
    <w:link w:val="Encabezado"/>
    <w:uiPriority w:val="99"/>
    <w:semiHidden/>
    <w:locked/>
    <w:rsid w:val="002951CE"/>
    <w:rPr>
      <w:sz w:val="24"/>
      <w:szCs w:val="24"/>
    </w:rPr>
  </w:style>
  <w:style w:type="paragraph" w:styleId="Piedepgina">
    <w:name w:val="footer"/>
    <w:basedOn w:val="Normal"/>
    <w:link w:val="PiedepginaCar"/>
    <w:uiPriority w:val="99"/>
    <w:semiHidden/>
    <w:rsid w:val="00A10048"/>
    <w:pPr>
      <w:tabs>
        <w:tab w:val="center" w:pos="4252"/>
        <w:tab w:val="right" w:pos="8504"/>
      </w:tabs>
    </w:pPr>
    <w:rPr>
      <w:sz w:val="24"/>
      <w:szCs w:val="24"/>
    </w:rPr>
  </w:style>
  <w:style w:type="character" w:customStyle="1" w:styleId="PiedepginaCar">
    <w:name w:val="Pie de página Car"/>
    <w:basedOn w:val="Fuentedeprrafopredeter"/>
    <w:link w:val="Piedepgina"/>
    <w:uiPriority w:val="99"/>
    <w:semiHidden/>
    <w:locked/>
    <w:rsid w:val="002951CE"/>
    <w:rPr>
      <w:sz w:val="24"/>
      <w:szCs w:val="24"/>
    </w:rPr>
  </w:style>
  <w:style w:type="character" w:styleId="Nmerodepgina">
    <w:name w:val="page number"/>
    <w:basedOn w:val="Fuentedeprrafopredeter"/>
    <w:uiPriority w:val="99"/>
    <w:semiHidden/>
    <w:rsid w:val="00A10048"/>
  </w:style>
  <w:style w:type="paragraph" w:styleId="Textoindependiente2">
    <w:name w:val="Body Text 2"/>
    <w:basedOn w:val="Normal"/>
    <w:link w:val="Textoindependiente2Car"/>
    <w:uiPriority w:val="99"/>
    <w:semiHidden/>
    <w:rsid w:val="00A10048"/>
    <w:pPr>
      <w:autoSpaceDE w:val="0"/>
      <w:autoSpaceDN w:val="0"/>
      <w:adjustRightInd w:val="0"/>
      <w:jc w:val="center"/>
    </w:pPr>
    <w:rPr>
      <w:sz w:val="24"/>
      <w:szCs w:val="24"/>
    </w:rPr>
  </w:style>
  <w:style w:type="character" w:customStyle="1" w:styleId="Textoindependiente2Car">
    <w:name w:val="Texto independiente 2 Car"/>
    <w:basedOn w:val="Fuentedeprrafopredeter"/>
    <w:link w:val="Textoindependiente2"/>
    <w:uiPriority w:val="99"/>
    <w:semiHidden/>
    <w:locked/>
    <w:rsid w:val="002951CE"/>
    <w:rPr>
      <w:sz w:val="24"/>
      <w:szCs w:val="24"/>
    </w:rPr>
  </w:style>
  <w:style w:type="paragraph" w:customStyle="1" w:styleId="Authors">
    <w:name w:val="Authors"/>
    <w:basedOn w:val="Normal"/>
    <w:uiPriority w:val="99"/>
    <w:rsid w:val="00A10048"/>
    <w:pPr>
      <w:keepNext/>
      <w:spacing w:before="240"/>
    </w:pPr>
    <w:rPr>
      <w:rFonts w:ascii="Arial" w:hAnsi="Arial" w:cs="Arial"/>
      <w:color w:val="000000"/>
      <w:sz w:val="22"/>
      <w:szCs w:val="22"/>
      <w:lang w:val="en-US" w:eastAsia="en-US"/>
    </w:rPr>
  </w:style>
  <w:style w:type="paragraph" w:customStyle="1" w:styleId="Encabezadobase">
    <w:name w:val="Encabezado base"/>
    <w:basedOn w:val="Normal"/>
    <w:uiPriority w:val="99"/>
    <w:rsid w:val="00A10048"/>
    <w:pPr>
      <w:keepLines/>
      <w:tabs>
        <w:tab w:val="center" w:pos="4320"/>
        <w:tab w:val="right" w:pos="8640"/>
      </w:tabs>
      <w:spacing w:after="240"/>
      <w:ind w:firstLine="709"/>
      <w:jc w:val="both"/>
    </w:pPr>
    <w:rPr>
      <w:rFonts w:ascii="Arial" w:hAnsi="Arial" w:cs="Arial"/>
      <w:spacing w:val="-4"/>
      <w:lang w:val="es-ES_tradnl"/>
    </w:rPr>
  </w:style>
  <w:style w:type="character" w:styleId="Hipervnculovisitado">
    <w:name w:val="FollowedHyperlink"/>
    <w:basedOn w:val="Fuentedeprrafopredeter"/>
    <w:uiPriority w:val="99"/>
    <w:semiHidden/>
    <w:rsid w:val="00A10048"/>
    <w:rPr>
      <w:color w:val="800080"/>
      <w:u w:val="single"/>
    </w:rPr>
  </w:style>
  <w:style w:type="paragraph" w:styleId="NormalWeb">
    <w:name w:val="Normal (Web)"/>
    <w:basedOn w:val="Normal"/>
    <w:uiPriority w:val="99"/>
    <w:semiHidden/>
    <w:rsid w:val="00A10048"/>
    <w:pPr>
      <w:spacing w:before="100" w:beforeAutospacing="1" w:after="100" w:afterAutospacing="1"/>
    </w:pPr>
  </w:style>
  <w:style w:type="paragraph" w:styleId="Textoindependiente3">
    <w:name w:val="Body Text 3"/>
    <w:basedOn w:val="Normal"/>
    <w:link w:val="Textoindependiente3Car"/>
    <w:uiPriority w:val="99"/>
    <w:semiHidden/>
    <w:rsid w:val="00A10048"/>
    <w:rPr>
      <w:sz w:val="16"/>
      <w:szCs w:val="16"/>
    </w:rPr>
  </w:style>
  <w:style w:type="character" w:customStyle="1" w:styleId="Textoindependiente3Car">
    <w:name w:val="Texto independiente 3 Car"/>
    <w:basedOn w:val="Fuentedeprrafopredeter"/>
    <w:link w:val="Textoindependiente3"/>
    <w:uiPriority w:val="99"/>
    <w:semiHidden/>
    <w:locked/>
    <w:rsid w:val="002951CE"/>
    <w:rPr>
      <w:sz w:val="16"/>
      <w:szCs w:val="16"/>
    </w:rPr>
  </w:style>
  <w:style w:type="character" w:customStyle="1" w:styleId="t101">
    <w:name w:val="t101"/>
    <w:uiPriority w:val="99"/>
    <w:rsid w:val="00A10048"/>
    <w:rPr>
      <w:rFonts w:ascii="Arial" w:hAnsi="Arial" w:cs="Arial"/>
      <w:sz w:val="24"/>
      <w:szCs w:val="24"/>
    </w:rPr>
  </w:style>
  <w:style w:type="character" w:styleId="Textoennegrita">
    <w:name w:val="Strong"/>
    <w:basedOn w:val="Fuentedeprrafopredeter"/>
    <w:uiPriority w:val="99"/>
    <w:qFormat/>
    <w:rsid w:val="00A10048"/>
    <w:rPr>
      <w:b/>
      <w:bCs/>
    </w:rPr>
  </w:style>
  <w:style w:type="character" w:customStyle="1" w:styleId="para1">
    <w:name w:val="para1"/>
    <w:uiPriority w:val="99"/>
    <w:rsid w:val="00A10048"/>
    <w:rPr>
      <w:rFonts w:ascii="Arial" w:hAnsi="Arial" w:cs="Arial"/>
      <w:sz w:val="19"/>
      <w:szCs w:val="19"/>
    </w:rPr>
  </w:style>
  <w:style w:type="paragraph" w:styleId="z-Principiodelformulario">
    <w:name w:val="HTML Top of Form"/>
    <w:basedOn w:val="Normal"/>
    <w:next w:val="Normal"/>
    <w:link w:val="z-PrincipiodelformularioCar"/>
    <w:hidden/>
    <w:uiPriority w:val="99"/>
    <w:rsid w:val="00A10048"/>
    <w:pPr>
      <w:pBdr>
        <w:bottom w:val="single" w:sz="6" w:space="1" w:color="auto"/>
      </w:pBdr>
      <w:jc w:val="center"/>
    </w:pPr>
    <w:rPr>
      <w:rFonts w:ascii="Arial" w:hAnsi="Arial" w:cs="Arial"/>
      <w:vanish/>
      <w:sz w:val="16"/>
      <w:szCs w:val="16"/>
    </w:rPr>
  </w:style>
  <w:style w:type="character" w:customStyle="1" w:styleId="z-PrincipiodelformularioCar">
    <w:name w:val="z-Principio del formulario Car"/>
    <w:basedOn w:val="Fuentedeprrafopredeter"/>
    <w:link w:val="z-Principiodelformulario"/>
    <w:uiPriority w:val="99"/>
    <w:semiHidden/>
    <w:locked/>
    <w:rsid w:val="002951CE"/>
    <w:rPr>
      <w:rFonts w:ascii="Arial" w:hAnsi="Arial" w:cs="Arial"/>
      <w:vanish/>
      <w:sz w:val="16"/>
      <w:szCs w:val="16"/>
    </w:rPr>
  </w:style>
  <w:style w:type="paragraph" w:styleId="Sangra3detindependiente">
    <w:name w:val="Body Text Indent 3"/>
    <w:basedOn w:val="Normal"/>
    <w:link w:val="Sangra3detindependienteCar"/>
    <w:uiPriority w:val="99"/>
    <w:semiHidden/>
    <w:rsid w:val="00A10048"/>
    <w:pPr>
      <w:ind w:left="708"/>
      <w:jc w:val="both"/>
    </w:pPr>
    <w:rPr>
      <w:sz w:val="16"/>
      <w:szCs w:val="16"/>
    </w:rPr>
  </w:style>
  <w:style w:type="character" w:customStyle="1" w:styleId="Sangra3detindependienteCar">
    <w:name w:val="Sangría 3 de t. independiente Car"/>
    <w:basedOn w:val="Fuentedeprrafopredeter"/>
    <w:link w:val="Sangra3detindependiente"/>
    <w:uiPriority w:val="99"/>
    <w:semiHidden/>
    <w:locked/>
    <w:rsid w:val="002951CE"/>
    <w:rPr>
      <w:sz w:val="16"/>
      <w:szCs w:val="16"/>
    </w:rPr>
  </w:style>
  <w:style w:type="paragraph" w:styleId="Textosinformato">
    <w:name w:val="Plain Text"/>
    <w:basedOn w:val="Normal"/>
    <w:link w:val="TextosinformatoCar"/>
    <w:uiPriority w:val="99"/>
    <w:semiHidden/>
    <w:rsid w:val="00A10048"/>
    <w:rPr>
      <w:rFonts w:ascii="Courier New" w:hAnsi="Courier New" w:cs="Courier New"/>
    </w:rPr>
  </w:style>
  <w:style w:type="character" w:customStyle="1" w:styleId="TextosinformatoCar">
    <w:name w:val="Texto sin formato Car"/>
    <w:basedOn w:val="Fuentedeprrafopredeter"/>
    <w:link w:val="Textosinformato"/>
    <w:uiPriority w:val="99"/>
    <w:semiHidden/>
    <w:locked/>
    <w:rsid w:val="002951CE"/>
    <w:rPr>
      <w:rFonts w:ascii="Courier New" w:hAnsi="Courier New" w:cs="Courier New"/>
    </w:rPr>
  </w:style>
  <w:style w:type="paragraph" w:customStyle="1" w:styleId="Textoindependiente31">
    <w:name w:val="Texto independiente 31"/>
    <w:basedOn w:val="Normal"/>
    <w:uiPriority w:val="99"/>
    <w:rsid w:val="00D828F1"/>
    <w:pPr>
      <w:widowControl w:val="0"/>
      <w:suppressAutoHyphens/>
    </w:pPr>
    <w:rPr>
      <w:color w:val="0000FF"/>
      <w:kern w:val="1"/>
      <w:sz w:val="48"/>
      <w:szCs w:val="48"/>
    </w:rPr>
  </w:style>
  <w:style w:type="table" w:styleId="Tablaconcuadrcula">
    <w:name w:val="Table Grid"/>
    <w:basedOn w:val="Tablanormal"/>
    <w:uiPriority w:val="99"/>
    <w:rsid w:val="00F52A3A"/>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notapie">
    <w:name w:val="footnote text"/>
    <w:basedOn w:val="Normal"/>
    <w:link w:val="TextonotapieCar"/>
    <w:uiPriority w:val="99"/>
    <w:semiHidden/>
    <w:rsid w:val="003F6473"/>
  </w:style>
  <w:style w:type="character" w:customStyle="1" w:styleId="TextonotapieCar">
    <w:name w:val="Texto nota pie Car"/>
    <w:basedOn w:val="Fuentedeprrafopredeter"/>
    <w:link w:val="Textonotapie"/>
    <w:uiPriority w:val="99"/>
    <w:semiHidden/>
    <w:locked/>
    <w:rsid w:val="00225B12"/>
    <w:rPr>
      <w:sz w:val="20"/>
      <w:szCs w:val="20"/>
    </w:rPr>
  </w:style>
  <w:style w:type="paragraph" w:styleId="Textocomentario">
    <w:name w:val="annotation text"/>
    <w:basedOn w:val="Normal"/>
    <w:link w:val="TextocomentarioCar"/>
    <w:uiPriority w:val="99"/>
    <w:semiHidden/>
    <w:rsid w:val="003F6473"/>
  </w:style>
  <w:style w:type="character" w:customStyle="1" w:styleId="TextocomentarioCar">
    <w:name w:val="Texto comentario Car"/>
    <w:basedOn w:val="Fuentedeprrafopredeter"/>
    <w:link w:val="Textocomentario"/>
    <w:uiPriority w:val="99"/>
    <w:semiHidden/>
    <w:locked/>
    <w:rsid w:val="00225B12"/>
    <w:rPr>
      <w:sz w:val="20"/>
      <w:szCs w:val="20"/>
    </w:rPr>
  </w:style>
  <w:style w:type="paragraph" w:customStyle="1" w:styleId="Default">
    <w:name w:val="Default"/>
    <w:uiPriority w:val="99"/>
    <w:rsid w:val="003F6473"/>
    <w:pPr>
      <w:autoSpaceDE w:val="0"/>
      <w:autoSpaceDN w:val="0"/>
      <w:adjustRightInd w:val="0"/>
    </w:pPr>
    <w:rPr>
      <w:rFonts w:ascii="ZYYKLI+TimesTen-Roman" w:eastAsia="MS Mincho" w:hAnsi="ZYYKLI+TimesTen-Roman" w:cs="ZYYKLI+TimesTen-Roman"/>
      <w:color w:val="000000"/>
      <w:sz w:val="24"/>
      <w:szCs w:val="24"/>
      <w:lang w:eastAsia="ja-JP"/>
    </w:rPr>
  </w:style>
  <w:style w:type="paragraph" w:customStyle="1" w:styleId="Pa17">
    <w:name w:val="Pa17"/>
    <w:basedOn w:val="Default"/>
    <w:next w:val="Default"/>
    <w:uiPriority w:val="99"/>
    <w:rsid w:val="003F6473"/>
    <w:pPr>
      <w:spacing w:line="240" w:lineRule="atLeast"/>
    </w:pPr>
    <w:rPr>
      <w:color w:val="auto"/>
    </w:rPr>
  </w:style>
  <w:style w:type="paragraph" w:customStyle="1" w:styleId="Pa50">
    <w:name w:val="Pa50"/>
    <w:basedOn w:val="Default"/>
    <w:next w:val="Default"/>
    <w:uiPriority w:val="99"/>
    <w:rsid w:val="003F6473"/>
    <w:pPr>
      <w:spacing w:line="240" w:lineRule="atLeast"/>
    </w:pPr>
    <w:rPr>
      <w:color w:val="auto"/>
    </w:rPr>
  </w:style>
  <w:style w:type="paragraph" w:customStyle="1" w:styleId="Pa51">
    <w:name w:val="Pa51"/>
    <w:basedOn w:val="Default"/>
    <w:next w:val="Default"/>
    <w:uiPriority w:val="99"/>
    <w:rsid w:val="003F6473"/>
    <w:pPr>
      <w:spacing w:line="240" w:lineRule="atLeast"/>
    </w:pPr>
    <w:rPr>
      <w:color w:val="auto"/>
    </w:rPr>
  </w:style>
  <w:style w:type="paragraph" w:customStyle="1" w:styleId="Pa53">
    <w:name w:val="Pa53"/>
    <w:basedOn w:val="Default"/>
    <w:next w:val="Default"/>
    <w:uiPriority w:val="99"/>
    <w:rsid w:val="003F6473"/>
    <w:pPr>
      <w:spacing w:line="240" w:lineRule="atLeast"/>
    </w:pPr>
    <w:rPr>
      <w:color w:val="auto"/>
    </w:rPr>
  </w:style>
  <w:style w:type="paragraph" w:customStyle="1" w:styleId="Pa14">
    <w:name w:val="Pa14"/>
    <w:basedOn w:val="Default"/>
    <w:next w:val="Default"/>
    <w:uiPriority w:val="99"/>
    <w:rsid w:val="003F6473"/>
    <w:pPr>
      <w:spacing w:line="240" w:lineRule="atLeast"/>
    </w:pPr>
    <w:rPr>
      <w:color w:val="auto"/>
    </w:rPr>
  </w:style>
  <w:style w:type="character" w:styleId="nfasis">
    <w:name w:val="Emphasis"/>
    <w:basedOn w:val="Fuentedeprrafopredeter"/>
    <w:uiPriority w:val="99"/>
    <w:qFormat/>
    <w:rsid w:val="003F6473"/>
    <w:rPr>
      <w:i/>
      <w:iCs/>
    </w:rPr>
  </w:style>
  <w:style w:type="paragraph" w:styleId="Citadestacada">
    <w:name w:val="Intense Quote"/>
    <w:basedOn w:val="Normal"/>
    <w:next w:val="Normal"/>
    <w:link w:val="CitadestacadaCar"/>
    <w:uiPriority w:val="99"/>
    <w:qFormat/>
    <w:rsid w:val="003F6473"/>
    <w:pPr>
      <w:pBdr>
        <w:bottom w:val="single" w:sz="4" w:space="4" w:color="4F81BD"/>
      </w:pBdr>
      <w:spacing w:before="200" w:after="280"/>
      <w:ind w:left="936" w:right="936"/>
    </w:pPr>
    <w:rPr>
      <w:b/>
      <w:bCs/>
      <w:i/>
      <w:iCs/>
      <w:color w:val="4F81BD"/>
      <w:sz w:val="24"/>
      <w:szCs w:val="24"/>
    </w:rPr>
  </w:style>
  <w:style w:type="character" w:customStyle="1" w:styleId="CitadestacadaCar">
    <w:name w:val="Cita destacada Car"/>
    <w:basedOn w:val="Fuentedeprrafopredeter"/>
    <w:link w:val="Citadestacada"/>
    <w:uiPriority w:val="99"/>
    <w:locked/>
    <w:rsid w:val="003F6473"/>
    <w:rPr>
      <w:b/>
      <w:bCs/>
      <w:i/>
      <w:iCs/>
      <w:color w:val="4F81BD"/>
      <w:sz w:val="24"/>
      <w:szCs w:val="24"/>
      <w:lang w:val="es-ES" w:eastAsia="es-ES"/>
    </w:rPr>
  </w:style>
  <w:style w:type="character" w:customStyle="1" w:styleId="st1">
    <w:name w:val="st1"/>
    <w:uiPriority w:val="99"/>
    <w:rsid w:val="003F6473"/>
  </w:style>
  <w:style w:type="paragraph" w:styleId="HTMLconformatoprevio">
    <w:name w:val="HTML Preformatted"/>
    <w:basedOn w:val="Normal"/>
    <w:link w:val="HTMLconformatoprevioCar"/>
    <w:uiPriority w:val="99"/>
    <w:semiHidden/>
    <w:rsid w:val="003F64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conformatoprevioCar">
    <w:name w:val="HTML con formato previo Car"/>
    <w:basedOn w:val="Fuentedeprrafopredeter"/>
    <w:link w:val="HTMLconformatoprevio"/>
    <w:uiPriority w:val="99"/>
    <w:semiHidden/>
    <w:locked/>
    <w:rsid w:val="00225B12"/>
    <w:rPr>
      <w:rFonts w:ascii="Courier New" w:hAnsi="Courier New" w:cs="Courier New"/>
      <w:sz w:val="20"/>
      <w:szCs w:val="20"/>
    </w:rPr>
  </w:style>
  <w:style w:type="paragraph" w:customStyle="1" w:styleId="Pa54">
    <w:name w:val="Pa54"/>
    <w:basedOn w:val="Normal"/>
    <w:next w:val="Normal"/>
    <w:uiPriority w:val="99"/>
    <w:rsid w:val="00137696"/>
    <w:pPr>
      <w:autoSpaceDE w:val="0"/>
      <w:autoSpaceDN w:val="0"/>
      <w:adjustRightInd w:val="0"/>
      <w:spacing w:line="240" w:lineRule="atLeast"/>
    </w:pPr>
    <w:rPr>
      <w:rFonts w:ascii="NBIQZG+HelveticaNeue-Light" w:hAnsi="NBIQZG+HelveticaNeue-Light" w:cs="NBIQZG+HelveticaNeue-Light"/>
    </w:rPr>
  </w:style>
  <w:style w:type="character" w:customStyle="1" w:styleId="A6">
    <w:name w:val="A6"/>
    <w:uiPriority w:val="99"/>
    <w:rsid w:val="00137696"/>
    <w:rPr>
      <w:color w:val="000000"/>
      <w:sz w:val="18"/>
      <w:szCs w:val="18"/>
    </w:rPr>
  </w:style>
  <w:style w:type="paragraph" w:styleId="Sangra2detindependiente">
    <w:name w:val="Body Text Indent 2"/>
    <w:basedOn w:val="Normal"/>
    <w:link w:val="Sangra2detindependienteCar"/>
    <w:uiPriority w:val="99"/>
    <w:rsid w:val="0013769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semiHidden/>
    <w:locked/>
    <w:rsid w:val="00225B12"/>
    <w:rPr>
      <w:sz w:val="20"/>
      <w:szCs w:val="20"/>
    </w:rPr>
  </w:style>
  <w:style w:type="paragraph" w:styleId="Textonotaalfinal">
    <w:name w:val="endnote text"/>
    <w:basedOn w:val="Normal"/>
    <w:link w:val="TextonotaalfinalCar"/>
    <w:uiPriority w:val="99"/>
    <w:semiHidden/>
    <w:rsid w:val="00137696"/>
  </w:style>
  <w:style w:type="character" w:customStyle="1" w:styleId="TextonotaalfinalCar">
    <w:name w:val="Texto nota al final Car"/>
    <w:basedOn w:val="Fuentedeprrafopredeter"/>
    <w:link w:val="Textonotaalfinal"/>
    <w:uiPriority w:val="99"/>
    <w:semiHidden/>
    <w:locked/>
    <w:rsid w:val="00225B12"/>
    <w:rPr>
      <w:sz w:val="20"/>
      <w:szCs w:val="20"/>
    </w:rPr>
  </w:style>
  <w:style w:type="character" w:styleId="Refdenotaalfinal">
    <w:name w:val="endnote reference"/>
    <w:basedOn w:val="Fuentedeprrafopredeter"/>
    <w:uiPriority w:val="99"/>
    <w:semiHidden/>
    <w:rsid w:val="00137696"/>
    <w:rPr>
      <w:vertAlign w:val="superscript"/>
    </w:rPr>
  </w:style>
  <w:style w:type="character" w:customStyle="1" w:styleId="sel1348427992542">
    <w:name w:val="sel_1348427992542"/>
    <w:uiPriority w:val="99"/>
    <w:rsid w:val="00137696"/>
  </w:style>
  <w:style w:type="character" w:styleId="Refdecomentario">
    <w:name w:val="annotation reference"/>
    <w:basedOn w:val="Fuentedeprrafopredeter"/>
    <w:uiPriority w:val="99"/>
    <w:semiHidden/>
    <w:rsid w:val="00290575"/>
    <w:rPr>
      <w:sz w:val="16"/>
      <w:szCs w:val="16"/>
    </w:rPr>
  </w:style>
  <w:style w:type="paragraph" w:styleId="Asuntodelcomentario">
    <w:name w:val="annotation subject"/>
    <w:basedOn w:val="Textocomentario"/>
    <w:next w:val="Textocomentario"/>
    <w:link w:val="AsuntodelcomentarioCar"/>
    <w:uiPriority w:val="99"/>
    <w:semiHidden/>
    <w:rsid w:val="00290575"/>
    <w:rPr>
      <w:b/>
      <w:bCs/>
    </w:rPr>
  </w:style>
  <w:style w:type="character" w:customStyle="1" w:styleId="AsuntodelcomentarioCar">
    <w:name w:val="Asunto del comentario Car"/>
    <w:basedOn w:val="TextocomentarioCar"/>
    <w:link w:val="Asuntodelcomentario"/>
    <w:uiPriority w:val="99"/>
    <w:semiHidden/>
    <w:locked/>
    <w:rsid w:val="00225B12"/>
    <w:rPr>
      <w:b/>
      <w:bCs/>
      <w:sz w:val="20"/>
      <w:szCs w:val="20"/>
    </w:rPr>
  </w:style>
  <w:style w:type="character" w:styleId="CitaHTML">
    <w:name w:val="HTML Cite"/>
    <w:basedOn w:val="Fuentedeprrafopredeter"/>
    <w:uiPriority w:val="99"/>
    <w:rsid w:val="00657B03"/>
    <w:rPr>
      <w:color w:val="auto"/>
    </w:rPr>
  </w:style>
  <w:style w:type="character" w:customStyle="1" w:styleId="yiv1702884738149114909-15062012">
    <w:name w:val="yiv1702884738149114909-15062012"/>
    <w:uiPriority w:val="99"/>
    <w:rsid w:val="00657B03"/>
  </w:style>
  <w:style w:type="paragraph" w:customStyle="1" w:styleId="yiv1702884738msonormal">
    <w:name w:val="yiv1702884738msonormal"/>
    <w:basedOn w:val="Normal"/>
    <w:uiPriority w:val="99"/>
    <w:rsid w:val="00657B03"/>
    <w:pPr>
      <w:spacing w:before="100" w:beforeAutospacing="1" w:after="100" w:afterAutospacing="1"/>
    </w:pPr>
  </w:style>
  <w:style w:type="paragraph" w:styleId="Prrafodelista">
    <w:name w:val="List Paragraph"/>
    <w:basedOn w:val="Normal"/>
    <w:uiPriority w:val="34"/>
    <w:qFormat/>
    <w:rsid w:val="00455830"/>
    <w:pPr>
      <w:ind w:left="708"/>
    </w:pPr>
  </w:style>
  <w:style w:type="character" w:customStyle="1" w:styleId="highlight">
    <w:name w:val="highlight"/>
    <w:uiPriority w:val="99"/>
    <w:rsid w:val="002F4972"/>
  </w:style>
  <w:style w:type="paragraph" w:styleId="TDC1">
    <w:name w:val="toc 1"/>
    <w:basedOn w:val="Normal"/>
    <w:next w:val="Normal"/>
    <w:autoRedefine/>
    <w:uiPriority w:val="99"/>
    <w:semiHidden/>
    <w:rsid w:val="005B6F77"/>
  </w:style>
  <w:style w:type="paragraph" w:styleId="TDC2">
    <w:name w:val="toc 2"/>
    <w:basedOn w:val="Normal"/>
    <w:next w:val="Normal"/>
    <w:autoRedefine/>
    <w:uiPriority w:val="99"/>
    <w:semiHidden/>
    <w:rsid w:val="005B6F77"/>
    <w:pPr>
      <w:ind w:left="240"/>
    </w:pPr>
  </w:style>
  <w:style w:type="paragraph" w:styleId="TDC3">
    <w:name w:val="toc 3"/>
    <w:basedOn w:val="Normal"/>
    <w:next w:val="Normal"/>
    <w:autoRedefine/>
    <w:uiPriority w:val="99"/>
    <w:semiHidden/>
    <w:rsid w:val="005B6F77"/>
    <w:pPr>
      <w:ind w:left="480"/>
    </w:pPr>
  </w:style>
  <w:style w:type="paragraph" w:customStyle="1" w:styleId="Pa7">
    <w:name w:val="Pa7"/>
    <w:basedOn w:val="Default"/>
    <w:next w:val="Default"/>
    <w:uiPriority w:val="99"/>
    <w:rsid w:val="003D6FCD"/>
    <w:pPr>
      <w:spacing w:line="240" w:lineRule="atLeast"/>
    </w:pPr>
    <w:rPr>
      <w:rFonts w:ascii="GNQAFU+HelveticaNeue-Black" w:eastAsia="Times New Roman" w:hAnsi="GNQAFU+HelveticaNeue-Black" w:cs="GNQAFU+HelveticaNeue-Black"/>
      <w:color w:val="auto"/>
      <w:lang w:eastAsia="es-ES"/>
    </w:rPr>
  </w:style>
  <w:style w:type="paragraph" w:customStyle="1" w:styleId="Pa24">
    <w:name w:val="Pa24"/>
    <w:basedOn w:val="Default"/>
    <w:next w:val="Default"/>
    <w:uiPriority w:val="99"/>
    <w:rsid w:val="003D6FCD"/>
    <w:pPr>
      <w:spacing w:line="240" w:lineRule="atLeast"/>
    </w:pPr>
    <w:rPr>
      <w:rFonts w:ascii="GNQAFU+HelveticaNeue-Black" w:eastAsia="Times New Roman" w:hAnsi="GNQAFU+HelveticaNeue-Black" w:cs="GNQAFU+HelveticaNeue-Black"/>
      <w:color w:val="auto"/>
      <w:lang w:eastAsia="es-ES"/>
    </w:rPr>
  </w:style>
  <w:style w:type="paragraph" w:customStyle="1" w:styleId="Pa4">
    <w:name w:val="Pa4"/>
    <w:basedOn w:val="Default"/>
    <w:next w:val="Default"/>
    <w:uiPriority w:val="99"/>
    <w:rsid w:val="003D6FCD"/>
    <w:pPr>
      <w:spacing w:line="240" w:lineRule="atLeast"/>
    </w:pPr>
    <w:rPr>
      <w:rFonts w:ascii="GNQAFU+HelveticaNeue-Black" w:eastAsia="Times New Roman" w:hAnsi="GNQAFU+HelveticaNeue-Black" w:cs="GNQAFU+HelveticaNeue-Black"/>
      <w:color w:val="auto"/>
      <w:lang w:eastAsia="es-ES"/>
    </w:rPr>
  </w:style>
  <w:style w:type="paragraph" w:customStyle="1" w:styleId="Pa1">
    <w:name w:val="Pa1"/>
    <w:basedOn w:val="Default"/>
    <w:next w:val="Default"/>
    <w:uiPriority w:val="99"/>
    <w:rsid w:val="003D6FCD"/>
    <w:pPr>
      <w:spacing w:line="240" w:lineRule="atLeast"/>
    </w:pPr>
    <w:rPr>
      <w:rFonts w:ascii="GNQAFU+HelveticaNeue-Black" w:eastAsia="Times New Roman" w:hAnsi="GNQAFU+HelveticaNeue-Black" w:cs="GNQAFU+HelveticaNeue-Black"/>
      <w:color w:val="auto"/>
      <w:lang w:eastAsia="es-ES"/>
    </w:rPr>
  </w:style>
  <w:style w:type="character" w:customStyle="1" w:styleId="CarCar22">
    <w:name w:val="Car Car22"/>
    <w:uiPriority w:val="99"/>
    <w:locked/>
    <w:rsid w:val="00BC3E8E"/>
    <w:rPr>
      <w:rFonts w:ascii="Cambria" w:hAnsi="Cambria" w:cs="Cambria"/>
      <w:b/>
      <w:bCs/>
      <w:kern w:val="32"/>
      <w:sz w:val="32"/>
      <w:szCs w:val="32"/>
    </w:rPr>
  </w:style>
  <w:style w:type="character" w:customStyle="1" w:styleId="A2">
    <w:name w:val="A2"/>
    <w:uiPriority w:val="99"/>
    <w:rsid w:val="00BC3E8E"/>
    <w:rPr>
      <w:rFonts w:ascii="DZMIPA+HelveticaNeue-Medium" w:hAnsi="DZMIPA+HelveticaNeue-Medium" w:cs="DZMIPA+HelveticaNeue-Medium"/>
      <w:color w:val="000000"/>
      <w:sz w:val="16"/>
      <w:szCs w:val="16"/>
    </w:rPr>
  </w:style>
  <w:style w:type="character" w:customStyle="1" w:styleId="longtext">
    <w:name w:val="long_text"/>
    <w:uiPriority w:val="99"/>
    <w:rsid w:val="00BC3E8E"/>
  </w:style>
  <w:style w:type="character" w:customStyle="1" w:styleId="hps">
    <w:name w:val="hps"/>
    <w:uiPriority w:val="99"/>
    <w:rsid w:val="00BC3E8E"/>
  </w:style>
  <w:style w:type="character" w:customStyle="1" w:styleId="hpsatn">
    <w:name w:val="hps atn"/>
    <w:uiPriority w:val="99"/>
    <w:rsid w:val="00BC3E8E"/>
  </w:style>
  <w:style w:type="character" w:styleId="Refdenotaalpie">
    <w:name w:val="footnote reference"/>
    <w:basedOn w:val="Fuentedeprrafopredeter"/>
    <w:uiPriority w:val="99"/>
    <w:semiHidden/>
    <w:rsid w:val="00BC3E8E"/>
    <w:rPr>
      <w:vertAlign w:val="superscript"/>
    </w:rPr>
  </w:style>
  <w:style w:type="character" w:customStyle="1" w:styleId="A7">
    <w:name w:val="A7"/>
    <w:uiPriority w:val="99"/>
    <w:rsid w:val="009935F1"/>
    <w:rPr>
      <w:color w:val="auto"/>
      <w:sz w:val="16"/>
      <w:szCs w:val="16"/>
    </w:rPr>
  </w:style>
  <w:style w:type="paragraph" w:styleId="Revisin">
    <w:name w:val="Revision"/>
    <w:hidden/>
    <w:uiPriority w:val="99"/>
    <w:semiHidden/>
    <w:rsid w:val="00DD4A96"/>
    <w:rPr>
      <w:sz w:val="20"/>
      <w:szCs w:val="20"/>
    </w:rPr>
  </w:style>
  <w:style w:type="paragraph" w:customStyle="1" w:styleId="Contenidodelatabla">
    <w:name w:val="Contenido de la tabla"/>
    <w:basedOn w:val="Normal"/>
    <w:uiPriority w:val="99"/>
    <w:rsid w:val="00C910A1"/>
    <w:pPr>
      <w:suppressLineNumbers/>
      <w:suppressAutoHyphens/>
    </w:pPr>
    <w:rPr>
      <w:sz w:val="24"/>
      <w:szCs w:val="24"/>
      <w:lang w:eastAsia="zh-CN"/>
    </w:rPr>
  </w:style>
  <w:style w:type="table" w:customStyle="1" w:styleId="Tablaconcuadrcula4-nfasis61">
    <w:name w:val="Tabla con cuadrícula 4 - Énfasis 61"/>
    <w:uiPriority w:val="99"/>
    <w:rsid w:val="00AC3D7B"/>
    <w:rPr>
      <w:rFonts w:ascii="Calibri" w:hAnsi="Calibri" w:cs="Calibri"/>
      <w:sz w:val="20"/>
      <w:szCs w:val="20"/>
      <w:lang w:eastAsia="en-US"/>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style>
  <w:style w:type="table" w:customStyle="1" w:styleId="Tablaconcuadrcula4-nfasis31">
    <w:name w:val="Tabla con cuadrícula 4 - Énfasis 31"/>
    <w:uiPriority w:val="99"/>
    <w:rsid w:val="00AC3D7B"/>
    <w:rPr>
      <w:sz w:val="20"/>
      <w:szCs w:val="20"/>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style>
  <w:style w:type="paragraph" w:styleId="Epgrafe">
    <w:name w:val="caption"/>
    <w:basedOn w:val="Normal"/>
    <w:next w:val="Normal"/>
    <w:uiPriority w:val="99"/>
    <w:qFormat/>
    <w:locked/>
    <w:rsid w:val="0032665C"/>
    <w:rPr>
      <w:b/>
      <w:bCs/>
    </w:rPr>
  </w:style>
  <w:style w:type="character" w:customStyle="1" w:styleId="Mencinsinresolver1">
    <w:name w:val="Mención sin resolver1"/>
    <w:basedOn w:val="Fuentedeprrafopredeter"/>
    <w:uiPriority w:val="99"/>
    <w:semiHidden/>
    <w:rsid w:val="00173C53"/>
    <w:rPr>
      <w:color w:val="auto"/>
      <w:shd w:val="clear" w:color="auto" w:fill="auto"/>
    </w:rPr>
  </w:style>
  <w:style w:type="paragraph" w:customStyle="1" w:styleId="m-3803666664624225339msoheader">
    <w:name w:val="m_-3803666664624225339msoheader"/>
    <w:basedOn w:val="Normal"/>
    <w:uiPriority w:val="99"/>
    <w:rsid w:val="004131A6"/>
    <w:pPr>
      <w:spacing w:before="100" w:beforeAutospacing="1" w:after="100" w:afterAutospacing="1" w:line="259" w:lineRule="auto"/>
    </w:pPr>
    <w:rPr>
      <w:rFonts w:eastAsia="等?"/>
      <w:sz w:val="24"/>
      <w:szCs w:val="24"/>
    </w:rPr>
  </w:style>
  <w:style w:type="paragraph" w:styleId="TtulodeTDC">
    <w:name w:val="TOC Heading"/>
    <w:basedOn w:val="Ttulo1"/>
    <w:next w:val="Normal"/>
    <w:uiPriority w:val="99"/>
    <w:qFormat/>
    <w:rsid w:val="00D27AFF"/>
    <w:pPr>
      <w:keepLines/>
      <w:autoSpaceDE/>
      <w:autoSpaceDN/>
      <w:adjustRightInd/>
      <w:spacing w:before="240" w:line="259" w:lineRule="auto"/>
      <w:outlineLvl w:val="9"/>
    </w:pPr>
    <w:rPr>
      <w:b w:val="0"/>
      <w:bCs w:val="0"/>
      <w:color w:val="365F91"/>
      <w:kern w:val="0"/>
    </w:rPr>
  </w:style>
  <w:style w:type="paragraph" w:styleId="ndice1">
    <w:name w:val="index 1"/>
    <w:basedOn w:val="Normal"/>
    <w:next w:val="Normal"/>
    <w:autoRedefine/>
    <w:uiPriority w:val="99"/>
    <w:semiHidden/>
    <w:locked/>
    <w:rsid w:val="00D27AFF"/>
    <w:pPr>
      <w:ind w:left="200" w:hanging="200"/>
    </w:pPr>
  </w:style>
</w:styles>
</file>

<file path=word/webSettings.xml><?xml version="1.0" encoding="utf-8"?>
<w:webSettings xmlns:r="http://schemas.openxmlformats.org/officeDocument/2006/relationships" xmlns:w="http://schemas.openxmlformats.org/wordprocessingml/2006/main">
  <w:divs>
    <w:div w:id="229312695">
      <w:bodyDiv w:val="1"/>
      <w:marLeft w:val="0"/>
      <w:marRight w:val="0"/>
      <w:marTop w:val="0"/>
      <w:marBottom w:val="0"/>
      <w:divBdr>
        <w:top w:val="none" w:sz="0" w:space="0" w:color="auto"/>
        <w:left w:val="none" w:sz="0" w:space="0" w:color="auto"/>
        <w:bottom w:val="none" w:sz="0" w:space="0" w:color="auto"/>
        <w:right w:val="none" w:sz="0" w:space="0" w:color="auto"/>
      </w:divBdr>
    </w:div>
    <w:div w:id="677388160">
      <w:bodyDiv w:val="1"/>
      <w:marLeft w:val="0"/>
      <w:marRight w:val="0"/>
      <w:marTop w:val="0"/>
      <w:marBottom w:val="0"/>
      <w:divBdr>
        <w:top w:val="none" w:sz="0" w:space="0" w:color="auto"/>
        <w:left w:val="none" w:sz="0" w:space="0" w:color="auto"/>
        <w:bottom w:val="none" w:sz="0" w:space="0" w:color="auto"/>
        <w:right w:val="none" w:sz="0" w:space="0" w:color="auto"/>
      </w:divBdr>
    </w:div>
    <w:div w:id="829636334">
      <w:bodyDiv w:val="1"/>
      <w:marLeft w:val="0"/>
      <w:marRight w:val="0"/>
      <w:marTop w:val="0"/>
      <w:marBottom w:val="0"/>
      <w:divBdr>
        <w:top w:val="none" w:sz="0" w:space="0" w:color="auto"/>
        <w:left w:val="none" w:sz="0" w:space="0" w:color="auto"/>
        <w:bottom w:val="none" w:sz="0" w:space="0" w:color="auto"/>
        <w:right w:val="none" w:sz="0" w:space="0" w:color="auto"/>
      </w:divBdr>
    </w:div>
    <w:div w:id="1078937643">
      <w:bodyDiv w:val="1"/>
      <w:marLeft w:val="0"/>
      <w:marRight w:val="0"/>
      <w:marTop w:val="0"/>
      <w:marBottom w:val="0"/>
      <w:divBdr>
        <w:top w:val="none" w:sz="0" w:space="0" w:color="auto"/>
        <w:left w:val="none" w:sz="0" w:space="0" w:color="auto"/>
        <w:bottom w:val="none" w:sz="0" w:space="0" w:color="auto"/>
        <w:right w:val="none" w:sz="0" w:space="0" w:color="auto"/>
      </w:divBdr>
    </w:div>
    <w:div w:id="1283027212">
      <w:bodyDiv w:val="1"/>
      <w:marLeft w:val="0"/>
      <w:marRight w:val="0"/>
      <w:marTop w:val="0"/>
      <w:marBottom w:val="0"/>
      <w:divBdr>
        <w:top w:val="none" w:sz="0" w:space="0" w:color="auto"/>
        <w:left w:val="none" w:sz="0" w:space="0" w:color="auto"/>
        <w:bottom w:val="none" w:sz="0" w:space="0" w:color="auto"/>
        <w:right w:val="none" w:sz="0" w:space="0" w:color="auto"/>
      </w:divBdr>
    </w:div>
    <w:div w:id="1449817909">
      <w:marLeft w:val="0"/>
      <w:marRight w:val="0"/>
      <w:marTop w:val="0"/>
      <w:marBottom w:val="0"/>
      <w:divBdr>
        <w:top w:val="none" w:sz="0" w:space="0" w:color="auto"/>
        <w:left w:val="none" w:sz="0" w:space="0" w:color="auto"/>
        <w:bottom w:val="none" w:sz="0" w:space="0" w:color="auto"/>
        <w:right w:val="none" w:sz="0" w:space="0" w:color="auto"/>
      </w:divBdr>
    </w:div>
    <w:div w:id="1449817910">
      <w:marLeft w:val="0"/>
      <w:marRight w:val="0"/>
      <w:marTop w:val="0"/>
      <w:marBottom w:val="0"/>
      <w:divBdr>
        <w:top w:val="none" w:sz="0" w:space="0" w:color="auto"/>
        <w:left w:val="none" w:sz="0" w:space="0" w:color="auto"/>
        <w:bottom w:val="none" w:sz="0" w:space="0" w:color="auto"/>
        <w:right w:val="none" w:sz="0" w:space="0" w:color="auto"/>
      </w:divBdr>
    </w:div>
    <w:div w:id="1449817911">
      <w:marLeft w:val="0"/>
      <w:marRight w:val="0"/>
      <w:marTop w:val="0"/>
      <w:marBottom w:val="0"/>
      <w:divBdr>
        <w:top w:val="none" w:sz="0" w:space="0" w:color="auto"/>
        <w:left w:val="none" w:sz="0" w:space="0" w:color="auto"/>
        <w:bottom w:val="none" w:sz="0" w:space="0" w:color="auto"/>
        <w:right w:val="none" w:sz="0" w:space="0" w:color="auto"/>
      </w:divBdr>
    </w:div>
    <w:div w:id="1449817912">
      <w:marLeft w:val="0"/>
      <w:marRight w:val="0"/>
      <w:marTop w:val="0"/>
      <w:marBottom w:val="0"/>
      <w:divBdr>
        <w:top w:val="none" w:sz="0" w:space="0" w:color="auto"/>
        <w:left w:val="none" w:sz="0" w:space="0" w:color="auto"/>
        <w:bottom w:val="none" w:sz="0" w:space="0" w:color="auto"/>
        <w:right w:val="none" w:sz="0" w:space="0" w:color="auto"/>
      </w:divBdr>
    </w:div>
    <w:div w:id="1449817913">
      <w:marLeft w:val="0"/>
      <w:marRight w:val="0"/>
      <w:marTop w:val="0"/>
      <w:marBottom w:val="0"/>
      <w:divBdr>
        <w:top w:val="none" w:sz="0" w:space="0" w:color="auto"/>
        <w:left w:val="none" w:sz="0" w:space="0" w:color="auto"/>
        <w:bottom w:val="none" w:sz="0" w:space="0" w:color="auto"/>
        <w:right w:val="none" w:sz="0" w:space="0" w:color="auto"/>
      </w:divBdr>
    </w:div>
    <w:div w:id="1449817914">
      <w:marLeft w:val="0"/>
      <w:marRight w:val="0"/>
      <w:marTop w:val="0"/>
      <w:marBottom w:val="0"/>
      <w:divBdr>
        <w:top w:val="none" w:sz="0" w:space="0" w:color="auto"/>
        <w:left w:val="none" w:sz="0" w:space="0" w:color="auto"/>
        <w:bottom w:val="none" w:sz="0" w:space="0" w:color="auto"/>
        <w:right w:val="none" w:sz="0" w:space="0" w:color="auto"/>
      </w:divBdr>
    </w:div>
    <w:div w:id="1449817915">
      <w:marLeft w:val="0"/>
      <w:marRight w:val="0"/>
      <w:marTop w:val="0"/>
      <w:marBottom w:val="0"/>
      <w:divBdr>
        <w:top w:val="none" w:sz="0" w:space="0" w:color="auto"/>
        <w:left w:val="none" w:sz="0" w:space="0" w:color="auto"/>
        <w:bottom w:val="none" w:sz="0" w:space="0" w:color="auto"/>
        <w:right w:val="none" w:sz="0" w:space="0" w:color="auto"/>
      </w:divBdr>
    </w:div>
    <w:div w:id="1449817916">
      <w:marLeft w:val="0"/>
      <w:marRight w:val="0"/>
      <w:marTop w:val="0"/>
      <w:marBottom w:val="0"/>
      <w:divBdr>
        <w:top w:val="none" w:sz="0" w:space="0" w:color="auto"/>
        <w:left w:val="none" w:sz="0" w:space="0" w:color="auto"/>
        <w:bottom w:val="none" w:sz="0" w:space="0" w:color="auto"/>
        <w:right w:val="none" w:sz="0" w:space="0" w:color="auto"/>
      </w:divBdr>
    </w:div>
    <w:div w:id="1449817917">
      <w:marLeft w:val="0"/>
      <w:marRight w:val="0"/>
      <w:marTop w:val="0"/>
      <w:marBottom w:val="0"/>
      <w:divBdr>
        <w:top w:val="none" w:sz="0" w:space="0" w:color="auto"/>
        <w:left w:val="none" w:sz="0" w:space="0" w:color="auto"/>
        <w:bottom w:val="none" w:sz="0" w:space="0" w:color="auto"/>
        <w:right w:val="none" w:sz="0" w:space="0" w:color="auto"/>
      </w:divBdr>
    </w:div>
    <w:div w:id="1449817918">
      <w:marLeft w:val="0"/>
      <w:marRight w:val="0"/>
      <w:marTop w:val="0"/>
      <w:marBottom w:val="0"/>
      <w:divBdr>
        <w:top w:val="none" w:sz="0" w:space="0" w:color="auto"/>
        <w:left w:val="none" w:sz="0" w:space="0" w:color="auto"/>
        <w:bottom w:val="none" w:sz="0" w:space="0" w:color="auto"/>
        <w:right w:val="none" w:sz="0" w:space="0" w:color="auto"/>
      </w:divBdr>
    </w:div>
    <w:div w:id="1449817921">
      <w:marLeft w:val="0"/>
      <w:marRight w:val="0"/>
      <w:marTop w:val="0"/>
      <w:marBottom w:val="0"/>
      <w:divBdr>
        <w:top w:val="none" w:sz="0" w:space="0" w:color="auto"/>
        <w:left w:val="none" w:sz="0" w:space="0" w:color="auto"/>
        <w:bottom w:val="none" w:sz="0" w:space="0" w:color="auto"/>
        <w:right w:val="none" w:sz="0" w:space="0" w:color="auto"/>
      </w:divBdr>
    </w:div>
    <w:div w:id="1449817925">
      <w:marLeft w:val="0"/>
      <w:marRight w:val="0"/>
      <w:marTop w:val="0"/>
      <w:marBottom w:val="0"/>
      <w:divBdr>
        <w:top w:val="none" w:sz="0" w:space="0" w:color="auto"/>
        <w:left w:val="none" w:sz="0" w:space="0" w:color="auto"/>
        <w:bottom w:val="none" w:sz="0" w:space="0" w:color="auto"/>
        <w:right w:val="none" w:sz="0" w:space="0" w:color="auto"/>
      </w:divBdr>
      <w:divsChild>
        <w:div w:id="1449817969">
          <w:marLeft w:val="0"/>
          <w:marRight w:val="0"/>
          <w:marTop w:val="0"/>
          <w:marBottom w:val="0"/>
          <w:divBdr>
            <w:top w:val="none" w:sz="0" w:space="0" w:color="auto"/>
            <w:left w:val="none" w:sz="0" w:space="0" w:color="auto"/>
            <w:bottom w:val="none" w:sz="0" w:space="0" w:color="auto"/>
            <w:right w:val="none" w:sz="0" w:space="0" w:color="auto"/>
          </w:divBdr>
          <w:divsChild>
            <w:div w:id="1449817971">
              <w:marLeft w:val="0"/>
              <w:marRight w:val="0"/>
              <w:marTop w:val="0"/>
              <w:marBottom w:val="0"/>
              <w:divBdr>
                <w:top w:val="none" w:sz="0" w:space="0" w:color="auto"/>
                <w:left w:val="none" w:sz="0" w:space="0" w:color="auto"/>
                <w:bottom w:val="none" w:sz="0" w:space="0" w:color="auto"/>
                <w:right w:val="none" w:sz="0" w:space="0" w:color="auto"/>
              </w:divBdr>
              <w:divsChild>
                <w:div w:id="1449817922">
                  <w:marLeft w:val="0"/>
                  <w:marRight w:val="0"/>
                  <w:marTop w:val="0"/>
                  <w:marBottom w:val="0"/>
                  <w:divBdr>
                    <w:top w:val="none" w:sz="0" w:space="0" w:color="auto"/>
                    <w:left w:val="none" w:sz="0" w:space="0" w:color="auto"/>
                    <w:bottom w:val="none" w:sz="0" w:space="0" w:color="auto"/>
                    <w:right w:val="none" w:sz="0" w:space="0" w:color="auto"/>
                  </w:divBdr>
                  <w:divsChild>
                    <w:div w:id="1449817931">
                      <w:marLeft w:val="0"/>
                      <w:marRight w:val="0"/>
                      <w:marTop w:val="0"/>
                      <w:marBottom w:val="0"/>
                      <w:divBdr>
                        <w:top w:val="none" w:sz="0" w:space="0" w:color="auto"/>
                        <w:left w:val="none" w:sz="0" w:space="0" w:color="auto"/>
                        <w:bottom w:val="none" w:sz="0" w:space="0" w:color="auto"/>
                        <w:right w:val="none" w:sz="0" w:space="0" w:color="auto"/>
                      </w:divBdr>
                      <w:divsChild>
                        <w:div w:id="1449817959">
                          <w:marLeft w:val="0"/>
                          <w:marRight w:val="0"/>
                          <w:marTop w:val="0"/>
                          <w:marBottom w:val="0"/>
                          <w:divBdr>
                            <w:top w:val="none" w:sz="0" w:space="0" w:color="auto"/>
                            <w:left w:val="none" w:sz="0" w:space="0" w:color="auto"/>
                            <w:bottom w:val="none" w:sz="0" w:space="0" w:color="auto"/>
                            <w:right w:val="none" w:sz="0" w:space="0" w:color="auto"/>
                          </w:divBdr>
                          <w:divsChild>
                            <w:div w:id="1449817973">
                              <w:marLeft w:val="0"/>
                              <w:marRight w:val="0"/>
                              <w:marTop w:val="0"/>
                              <w:marBottom w:val="0"/>
                              <w:divBdr>
                                <w:top w:val="none" w:sz="0" w:space="0" w:color="auto"/>
                                <w:left w:val="none" w:sz="0" w:space="0" w:color="auto"/>
                                <w:bottom w:val="none" w:sz="0" w:space="0" w:color="auto"/>
                                <w:right w:val="none" w:sz="0" w:space="0" w:color="auto"/>
                              </w:divBdr>
                              <w:divsChild>
                                <w:div w:id="1449817942">
                                  <w:marLeft w:val="0"/>
                                  <w:marRight w:val="0"/>
                                  <w:marTop w:val="0"/>
                                  <w:marBottom w:val="0"/>
                                  <w:divBdr>
                                    <w:top w:val="none" w:sz="0" w:space="0" w:color="auto"/>
                                    <w:left w:val="none" w:sz="0" w:space="0" w:color="auto"/>
                                    <w:bottom w:val="none" w:sz="0" w:space="0" w:color="auto"/>
                                    <w:right w:val="none" w:sz="0" w:space="0" w:color="auto"/>
                                  </w:divBdr>
                                  <w:divsChild>
                                    <w:div w:id="1449817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49817926">
      <w:marLeft w:val="0"/>
      <w:marRight w:val="0"/>
      <w:marTop w:val="0"/>
      <w:marBottom w:val="0"/>
      <w:divBdr>
        <w:top w:val="none" w:sz="0" w:space="0" w:color="auto"/>
        <w:left w:val="none" w:sz="0" w:space="0" w:color="auto"/>
        <w:bottom w:val="none" w:sz="0" w:space="0" w:color="auto"/>
        <w:right w:val="none" w:sz="0" w:space="0" w:color="auto"/>
      </w:divBdr>
      <w:divsChild>
        <w:div w:id="1449817939">
          <w:marLeft w:val="0"/>
          <w:marRight w:val="0"/>
          <w:marTop w:val="0"/>
          <w:marBottom w:val="0"/>
          <w:divBdr>
            <w:top w:val="none" w:sz="0" w:space="0" w:color="auto"/>
            <w:left w:val="none" w:sz="0" w:space="0" w:color="auto"/>
            <w:bottom w:val="none" w:sz="0" w:space="0" w:color="auto"/>
            <w:right w:val="none" w:sz="0" w:space="0" w:color="auto"/>
          </w:divBdr>
        </w:div>
        <w:div w:id="1449817946">
          <w:marLeft w:val="0"/>
          <w:marRight w:val="0"/>
          <w:marTop w:val="0"/>
          <w:marBottom w:val="0"/>
          <w:divBdr>
            <w:top w:val="none" w:sz="0" w:space="0" w:color="auto"/>
            <w:left w:val="none" w:sz="0" w:space="0" w:color="auto"/>
            <w:bottom w:val="none" w:sz="0" w:space="0" w:color="auto"/>
            <w:right w:val="none" w:sz="0" w:space="0" w:color="auto"/>
          </w:divBdr>
        </w:div>
        <w:div w:id="1449817952">
          <w:marLeft w:val="0"/>
          <w:marRight w:val="0"/>
          <w:marTop w:val="0"/>
          <w:marBottom w:val="0"/>
          <w:divBdr>
            <w:top w:val="none" w:sz="0" w:space="0" w:color="auto"/>
            <w:left w:val="none" w:sz="0" w:space="0" w:color="auto"/>
            <w:bottom w:val="none" w:sz="0" w:space="0" w:color="auto"/>
            <w:right w:val="none" w:sz="0" w:space="0" w:color="auto"/>
          </w:divBdr>
        </w:div>
        <w:div w:id="1449817966">
          <w:marLeft w:val="0"/>
          <w:marRight w:val="0"/>
          <w:marTop w:val="0"/>
          <w:marBottom w:val="0"/>
          <w:divBdr>
            <w:top w:val="none" w:sz="0" w:space="0" w:color="auto"/>
            <w:left w:val="none" w:sz="0" w:space="0" w:color="auto"/>
            <w:bottom w:val="none" w:sz="0" w:space="0" w:color="auto"/>
            <w:right w:val="none" w:sz="0" w:space="0" w:color="auto"/>
          </w:divBdr>
        </w:div>
        <w:div w:id="1449817981">
          <w:marLeft w:val="0"/>
          <w:marRight w:val="0"/>
          <w:marTop w:val="0"/>
          <w:marBottom w:val="0"/>
          <w:divBdr>
            <w:top w:val="none" w:sz="0" w:space="0" w:color="auto"/>
            <w:left w:val="none" w:sz="0" w:space="0" w:color="auto"/>
            <w:bottom w:val="none" w:sz="0" w:space="0" w:color="auto"/>
            <w:right w:val="none" w:sz="0" w:space="0" w:color="auto"/>
          </w:divBdr>
        </w:div>
      </w:divsChild>
    </w:div>
    <w:div w:id="1449817928">
      <w:marLeft w:val="0"/>
      <w:marRight w:val="0"/>
      <w:marTop w:val="0"/>
      <w:marBottom w:val="0"/>
      <w:divBdr>
        <w:top w:val="none" w:sz="0" w:space="0" w:color="auto"/>
        <w:left w:val="none" w:sz="0" w:space="0" w:color="auto"/>
        <w:bottom w:val="none" w:sz="0" w:space="0" w:color="auto"/>
        <w:right w:val="none" w:sz="0" w:space="0" w:color="auto"/>
      </w:divBdr>
      <w:divsChild>
        <w:div w:id="1449817927">
          <w:marLeft w:val="0"/>
          <w:marRight w:val="0"/>
          <w:marTop w:val="0"/>
          <w:marBottom w:val="0"/>
          <w:divBdr>
            <w:top w:val="none" w:sz="0" w:space="0" w:color="auto"/>
            <w:left w:val="none" w:sz="0" w:space="0" w:color="auto"/>
            <w:bottom w:val="none" w:sz="0" w:space="0" w:color="auto"/>
            <w:right w:val="none" w:sz="0" w:space="0" w:color="auto"/>
          </w:divBdr>
        </w:div>
      </w:divsChild>
    </w:div>
    <w:div w:id="1449817932">
      <w:marLeft w:val="0"/>
      <w:marRight w:val="0"/>
      <w:marTop w:val="0"/>
      <w:marBottom w:val="0"/>
      <w:divBdr>
        <w:top w:val="none" w:sz="0" w:space="0" w:color="auto"/>
        <w:left w:val="none" w:sz="0" w:space="0" w:color="auto"/>
        <w:bottom w:val="none" w:sz="0" w:space="0" w:color="auto"/>
        <w:right w:val="none" w:sz="0" w:space="0" w:color="auto"/>
      </w:divBdr>
    </w:div>
    <w:div w:id="1449817936">
      <w:marLeft w:val="0"/>
      <w:marRight w:val="0"/>
      <w:marTop w:val="0"/>
      <w:marBottom w:val="0"/>
      <w:divBdr>
        <w:top w:val="none" w:sz="0" w:space="0" w:color="auto"/>
        <w:left w:val="none" w:sz="0" w:space="0" w:color="auto"/>
        <w:bottom w:val="none" w:sz="0" w:space="0" w:color="auto"/>
        <w:right w:val="none" w:sz="0" w:space="0" w:color="auto"/>
      </w:divBdr>
      <w:divsChild>
        <w:div w:id="1449817943">
          <w:marLeft w:val="0"/>
          <w:marRight w:val="0"/>
          <w:marTop w:val="0"/>
          <w:marBottom w:val="0"/>
          <w:divBdr>
            <w:top w:val="none" w:sz="0" w:space="0" w:color="auto"/>
            <w:left w:val="none" w:sz="0" w:space="0" w:color="auto"/>
            <w:bottom w:val="none" w:sz="0" w:space="0" w:color="auto"/>
            <w:right w:val="none" w:sz="0" w:space="0" w:color="auto"/>
          </w:divBdr>
        </w:div>
        <w:div w:id="1449817970">
          <w:marLeft w:val="0"/>
          <w:marRight w:val="0"/>
          <w:marTop w:val="0"/>
          <w:marBottom w:val="0"/>
          <w:divBdr>
            <w:top w:val="none" w:sz="0" w:space="0" w:color="auto"/>
            <w:left w:val="none" w:sz="0" w:space="0" w:color="auto"/>
            <w:bottom w:val="none" w:sz="0" w:space="0" w:color="auto"/>
            <w:right w:val="none" w:sz="0" w:space="0" w:color="auto"/>
          </w:divBdr>
        </w:div>
      </w:divsChild>
    </w:div>
    <w:div w:id="1449817948">
      <w:marLeft w:val="0"/>
      <w:marRight w:val="0"/>
      <w:marTop w:val="0"/>
      <w:marBottom w:val="0"/>
      <w:divBdr>
        <w:top w:val="none" w:sz="0" w:space="0" w:color="auto"/>
        <w:left w:val="none" w:sz="0" w:space="0" w:color="auto"/>
        <w:bottom w:val="none" w:sz="0" w:space="0" w:color="auto"/>
        <w:right w:val="none" w:sz="0" w:space="0" w:color="auto"/>
      </w:divBdr>
    </w:div>
    <w:div w:id="1449817949">
      <w:marLeft w:val="0"/>
      <w:marRight w:val="0"/>
      <w:marTop w:val="0"/>
      <w:marBottom w:val="0"/>
      <w:divBdr>
        <w:top w:val="none" w:sz="0" w:space="0" w:color="auto"/>
        <w:left w:val="none" w:sz="0" w:space="0" w:color="auto"/>
        <w:bottom w:val="none" w:sz="0" w:space="0" w:color="auto"/>
        <w:right w:val="none" w:sz="0" w:space="0" w:color="auto"/>
      </w:divBdr>
    </w:div>
    <w:div w:id="1449817950">
      <w:marLeft w:val="0"/>
      <w:marRight w:val="0"/>
      <w:marTop w:val="0"/>
      <w:marBottom w:val="0"/>
      <w:divBdr>
        <w:top w:val="none" w:sz="0" w:space="0" w:color="auto"/>
        <w:left w:val="none" w:sz="0" w:space="0" w:color="auto"/>
        <w:bottom w:val="none" w:sz="0" w:space="0" w:color="auto"/>
        <w:right w:val="none" w:sz="0" w:space="0" w:color="auto"/>
      </w:divBdr>
    </w:div>
    <w:div w:id="1449817951">
      <w:marLeft w:val="0"/>
      <w:marRight w:val="0"/>
      <w:marTop w:val="0"/>
      <w:marBottom w:val="0"/>
      <w:divBdr>
        <w:top w:val="none" w:sz="0" w:space="0" w:color="auto"/>
        <w:left w:val="none" w:sz="0" w:space="0" w:color="auto"/>
        <w:bottom w:val="none" w:sz="0" w:space="0" w:color="auto"/>
        <w:right w:val="none" w:sz="0" w:space="0" w:color="auto"/>
      </w:divBdr>
    </w:div>
    <w:div w:id="1449817953">
      <w:marLeft w:val="0"/>
      <w:marRight w:val="0"/>
      <w:marTop w:val="0"/>
      <w:marBottom w:val="0"/>
      <w:divBdr>
        <w:top w:val="none" w:sz="0" w:space="0" w:color="auto"/>
        <w:left w:val="none" w:sz="0" w:space="0" w:color="auto"/>
        <w:bottom w:val="none" w:sz="0" w:space="0" w:color="auto"/>
        <w:right w:val="none" w:sz="0" w:space="0" w:color="auto"/>
      </w:divBdr>
      <w:divsChild>
        <w:div w:id="1449817977">
          <w:marLeft w:val="0"/>
          <w:marRight w:val="0"/>
          <w:marTop w:val="0"/>
          <w:marBottom w:val="0"/>
          <w:divBdr>
            <w:top w:val="none" w:sz="0" w:space="0" w:color="auto"/>
            <w:left w:val="none" w:sz="0" w:space="0" w:color="auto"/>
            <w:bottom w:val="none" w:sz="0" w:space="0" w:color="auto"/>
            <w:right w:val="none" w:sz="0" w:space="0" w:color="auto"/>
          </w:divBdr>
          <w:divsChild>
            <w:div w:id="1449817934">
              <w:marLeft w:val="0"/>
              <w:marRight w:val="0"/>
              <w:marTop w:val="0"/>
              <w:marBottom w:val="0"/>
              <w:divBdr>
                <w:top w:val="none" w:sz="0" w:space="0" w:color="auto"/>
                <w:left w:val="none" w:sz="0" w:space="0" w:color="auto"/>
                <w:bottom w:val="none" w:sz="0" w:space="0" w:color="auto"/>
                <w:right w:val="none" w:sz="0" w:space="0" w:color="auto"/>
              </w:divBdr>
            </w:div>
            <w:div w:id="1449817940">
              <w:marLeft w:val="0"/>
              <w:marRight w:val="0"/>
              <w:marTop w:val="0"/>
              <w:marBottom w:val="0"/>
              <w:divBdr>
                <w:top w:val="none" w:sz="0" w:space="0" w:color="auto"/>
                <w:left w:val="none" w:sz="0" w:space="0" w:color="auto"/>
                <w:bottom w:val="none" w:sz="0" w:space="0" w:color="auto"/>
                <w:right w:val="none" w:sz="0" w:space="0" w:color="auto"/>
              </w:divBdr>
            </w:div>
            <w:div w:id="1449817945">
              <w:marLeft w:val="0"/>
              <w:marRight w:val="0"/>
              <w:marTop w:val="0"/>
              <w:marBottom w:val="0"/>
              <w:divBdr>
                <w:top w:val="none" w:sz="0" w:space="0" w:color="auto"/>
                <w:left w:val="none" w:sz="0" w:space="0" w:color="auto"/>
                <w:bottom w:val="none" w:sz="0" w:space="0" w:color="auto"/>
                <w:right w:val="none" w:sz="0" w:space="0" w:color="auto"/>
              </w:divBdr>
            </w:div>
            <w:div w:id="1449817967">
              <w:marLeft w:val="0"/>
              <w:marRight w:val="0"/>
              <w:marTop w:val="0"/>
              <w:marBottom w:val="0"/>
              <w:divBdr>
                <w:top w:val="none" w:sz="0" w:space="0" w:color="auto"/>
                <w:left w:val="none" w:sz="0" w:space="0" w:color="auto"/>
                <w:bottom w:val="none" w:sz="0" w:space="0" w:color="auto"/>
                <w:right w:val="none" w:sz="0" w:space="0" w:color="auto"/>
              </w:divBdr>
            </w:div>
            <w:div w:id="1449817968">
              <w:marLeft w:val="0"/>
              <w:marRight w:val="0"/>
              <w:marTop w:val="0"/>
              <w:marBottom w:val="0"/>
              <w:divBdr>
                <w:top w:val="none" w:sz="0" w:space="0" w:color="auto"/>
                <w:left w:val="none" w:sz="0" w:space="0" w:color="auto"/>
                <w:bottom w:val="none" w:sz="0" w:space="0" w:color="auto"/>
                <w:right w:val="none" w:sz="0" w:space="0" w:color="auto"/>
              </w:divBdr>
            </w:div>
            <w:div w:id="1449817978">
              <w:marLeft w:val="0"/>
              <w:marRight w:val="0"/>
              <w:marTop w:val="0"/>
              <w:marBottom w:val="0"/>
              <w:divBdr>
                <w:top w:val="none" w:sz="0" w:space="0" w:color="auto"/>
                <w:left w:val="none" w:sz="0" w:space="0" w:color="auto"/>
                <w:bottom w:val="none" w:sz="0" w:space="0" w:color="auto"/>
                <w:right w:val="none" w:sz="0" w:space="0" w:color="auto"/>
              </w:divBdr>
            </w:div>
            <w:div w:id="1449817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9817954">
      <w:marLeft w:val="0"/>
      <w:marRight w:val="0"/>
      <w:marTop w:val="0"/>
      <w:marBottom w:val="0"/>
      <w:divBdr>
        <w:top w:val="none" w:sz="0" w:space="0" w:color="auto"/>
        <w:left w:val="none" w:sz="0" w:space="0" w:color="auto"/>
        <w:bottom w:val="none" w:sz="0" w:space="0" w:color="auto"/>
        <w:right w:val="none" w:sz="0" w:space="0" w:color="auto"/>
      </w:divBdr>
    </w:div>
    <w:div w:id="1449817955">
      <w:marLeft w:val="0"/>
      <w:marRight w:val="0"/>
      <w:marTop w:val="0"/>
      <w:marBottom w:val="0"/>
      <w:divBdr>
        <w:top w:val="none" w:sz="0" w:space="0" w:color="auto"/>
        <w:left w:val="none" w:sz="0" w:space="0" w:color="auto"/>
        <w:bottom w:val="none" w:sz="0" w:space="0" w:color="auto"/>
        <w:right w:val="none" w:sz="0" w:space="0" w:color="auto"/>
      </w:divBdr>
      <w:divsChild>
        <w:div w:id="1449817957">
          <w:marLeft w:val="0"/>
          <w:marRight w:val="0"/>
          <w:marTop w:val="0"/>
          <w:marBottom w:val="0"/>
          <w:divBdr>
            <w:top w:val="none" w:sz="0" w:space="0" w:color="auto"/>
            <w:left w:val="none" w:sz="0" w:space="0" w:color="auto"/>
            <w:bottom w:val="none" w:sz="0" w:space="0" w:color="auto"/>
            <w:right w:val="none" w:sz="0" w:space="0" w:color="auto"/>
          </w:divBdr>
        </w:div>
      </w:divsChild>
    </w:div>
    <w:div w:id="1449817958">
      <w:marLeft w:val="0"/>
      <w:marRight w:val="0"/>
      <w:marTop w:val="0"/>
      <w:marBottom w:val="0"/>
      <w:divBdr>
        <w:top w:val="none" w:sz="0" w:space="0" w:color="auto"/>
        <w:left w:val="none" w:sz="0" w:space="0" w:color="auto"/>
        <w:bottom w:val="none" w:sz="0" w:space="0" w:color="auto"/>
        <w:right w:val="none" w:sz="0" w:space="0" w:color="auto"/>
      </w:divBdr>
      <w:divsChild>
        <w:div w:id="1449817944">
          <w:marLeft w:val="0"/>
          <w:marRight w:val="0"/>
          <w:marTop w:val="0"/>
          <w:marBottom w:val="0"/>
          <w:divBdr>
            <w:top w:val="none" w:sz="0" w:space="0" w:color="auto"/>
            <w:left w:val="none" w:sz="0" w:space="0" w:color="auto"/>
            <w:bottom w:val="none" w:sz="0" w:space="0" w:color="auto"/>
            <w:right w:val="none" w:sz="0" w:space="0" w:color="auto"/>
          </w:divBdr>
          <w:divsChild>
            <w:div w:id="1449817933">
              <w:marLeft w:val="0"/>
              <w:marRight w:val="0"/>
              <w:marTop w:val="0"/>
              <w:marBottom w:val="0"/>
              <w:divBdr>
                <w:top w:val="none" w:sz="0" w:space="0" w:color="auto"/>
                <w:left w:val="none" w:sz="0" w:space="0" w:color="auto"/>
                <w:bottom w:val="none" w:sz="0" w:space="0" w:color="auto"/>
                <w:right w:val="none" w:sz="0" w:space="0" w:color="auto"/>
              </w:divBdr>
              <w:divsChild>
                <w:div w:id="1449817929">
                  <w:marLeft w:val="0"/>
                  <w:marRight w:val="0"/>
                  <w:marTop w:val="0"/>
                  <w:marBottom w:val="0"/>
                  <w:divBdr>
                    <w:top w:val="none" w:sz="0" w:space="0" w:color="auto"/>
                    <w:left w:val="none" w:sz="0" w:space="0" w:color="auto"/>
                    <w:bottom w:val="none" w:sz="0" w:space="0" w:color="auto"/>
                    <w:right w:val="none" w:sz="0" w:space="0" w:color="auto"/>
                  </w:divBdr>
                  <w:divsChild>
                    <w:div w:id="1449817979">
                      <w:marLeft w:val="0"/>
                      <w:marRight w:val="0"/>
                      <w:marTop w:val="0"/>
                      <w:marBottom w:val="0"/>
                      <w:divBdr>
                        <w:top w:val="none" w:sz="0" w:space="0" w:color="auto"/>
                        <w:left w:val="none" w:sz="0" w:space="0" w:color="auto"/>
                        <w:bottom w:val="none" w:sz="0" w:space="0" w:color="auto"/>
                        <w:right w:val="none" w:sz="0" w:space="0" w:color="auto"/>
                      </w:divBdr>
                      <w:divsChild>
                        <w:div w:id="1449817963">
                          <w:marLeft w:val="0"/>
                          <w:marRight w:val="0"/>
                          <w:marTop w:val="0"/>
                          <w:marBottom w:val="0"/>
                          <w:divBdr>
                            <w:top w:val="none" w:sz="0" w:space="0" w:color="auto"/>
                            <w:left w:val="none" w:sz="0" w:space="0" w:color="auto"/>
                            <w:bottom w:val="none" w:sz="0" w:space="0" w:color="auto"/>
                            <w:right w:val="none" w:sz="0" w:space="0" w:color="auto"/>
                          </w:divBdr>
                          <w:divsChild>
                            <w:div w:id="1449817947">
                              <w:marLeft w:val="0"/>
                              <w:marRight w:val="0"/>
                              <w:marTop w:val="0"/>
                              <w:marBottom w:val="0"/>
                              <w:divBdr>
                                <w:top w:val="none" w:sz="0" w:space="0" w:color="auto"/>
                                <w:left w:val="none" w:sz="0" w:space="0" w:color="auto"/>
                                <w:bottom w:val="none" w:sz="0" w:space="0" w:color="auto"/>
                                <w:right w:val="none" w:sz="0" w:space="0" w:color="auto"/>
                              </w:divBdr>
                              <w:divsChild>
                                <w:div w:id="1449817972">
                                  <w:marLeft w:val="0"/>
                                  <w:marRight w:val="0"/>
                                  <w:marTop w:val="0"/>
                                  <w:marBottom w:val="0"/>
                                  <w:divBdr>
                                    <w:top w:val="none" w:sz="0" w:space="0" w:color="auto"/>
                                    <w:left w:val="none" w:sz="0" w:space="0" w:color="auto"/>
                                    <w:bottom w:val="none" w:sz="0" w:space="0" w:color="auto"/>
                                    <w:right w:val="none" w:sz="0" w:space="0" w:color="auto"/>
                                  </w:divBdr>
                                  <w:divsChild>
                                    <w:div w:id="1449817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49817960">
      <w:marLeft w:val="0"/>
      <w:marRight w:val="0"/>
      <w:marTop w:val="0"/>
      <w:marBottom w:val="0"/>
      <w:divBdr>
        <w:top w:val="none" w:sz="0" w:space="0" w:color="auto"/>
        <w:left w:val="none" w:sz="0" w:space="0" w:color="auto"/>
        <w:bottom w:val="none" w:sz="0" w:space="0" w:color="auto"/>
        <w:right w:val="none" w:sz="0" w:space="0" w:color="auto"/>
      </w:divBdr>
      <w:divsChild>
        <w:div w:id="1449817941">
          <w:marLeft w:val="0"/>
          <w:marRight w:val="0"/>
          <w:marTop w:val="0"/>
          <w:marBottom w:val="0"/>
          <w:divBdr>
            <w:top w:val="none" w:sz="0" w:space="0" w:color="auto"/>
            <w:left w:val="none" w:sz="0" w:space="0" w:color="auto"/>
            <w:bottom w:val="none" w:sz="0" w:space="0" w:color="auto"/>
            <w:right w:val="none" w:sz="0" w:space="0" w:color="auto"/>
          </w:divBdr>
          <w:divsChild>
            <w:div w:id="1449817935">
              <w:marLeft w:val="0"/>
              <w:marRight w:val="0"/>
              <w:marTop w:val="0"/>
              <w:marBottom w:val="0"/>
              <w:divBdr>
                <w:top w:val="none" w:sz="0" w:space="0" w:color="auto"/>
                <w:left w:val="none" w:sz="0" w:space="0" w:color="auto"/>
                <w:bottom w:val="none" w:sz="0" w:space="0" w:color="auto"/>
                <w:right w:val="none" w:sz="0" w:space="0" w:color="auto"/>
              </w:divBdr>
              <w:divsChild>
                <w:div w:id="1449817924">
                  <w:marLeft w:val="0"/>
                  <w:marRight w:val="0"/>
                  <w:marTop w:val="0"/>
                  <w:marBottom w:val="0"/>
                  <w:divBdr>
                    <w:top w:val="none" w:sz="0" w:space="0" w:color="auto"/>
                    <w:left w:val="none" w:sz="0" w:space="0" w:color="auto"/>
                    <w:bottom w:val="none" w:sz="0" w:space="0" w:color="auto"/>
                    <w:right w:val="none" w:sz="0" w:space="0" w:color="auto"/>
                  </w:divBdr>
                  <w:divsChild>
                    <w:div w:id="1449817923">
                      <w:marLeft w:val="0"/>
                      <w:marRight w:val="0"/>
                      <w:marTop w:val="0"/>
                      <w:marBottom w:val="0"/>
                      <w:divBdr>
                        <w:top w:val="none" w:sz="0" w:space="0" w:color="auto"/>
                        <w:left w:val="none" w:sz="0" w:space="0" w:color="auto"/>
                        <w:bottom w:val="none" w:sz="0" w:space="0" w:color="auto"/>
                        <w:right w:val="none" w:sz="0" w:space="0" w:color="auto"/>
                      </w:divBdr>
                      <w:divsChild>
                        <w:div w:id="1449817930">
                          <w:marLeft w:val="0"/>
                          <w:marRight w:val="0"/>
                          <w:marTop w:val="0"/>
                          <w:marBottom w:val="0"/>
                          <w:divBdr>
                            <w:top w:val="none" w:sz="0" w:space="0" w:color="auto"/>
                            <w:left w:val="none" w:sz="0" w:space="0" w:color="auto"/>
                            <w:bottom w:val="none" w:sz="0" w:space="0" w:color="auto"/>
                            <w:right w:val="none" w:sz="0" w:space="0" w:color="auto"/>
                          </w:divBdr>
                          <w:divsChild>
                            <w:div w:id="1449817976">
                              <w:marLeft w:val="0"/>
                              <w:marRight w:val="0"/>
                              <w:marTop w:val="0"/>
                              <w:marBottom w:val="0"/>
                              <w:divBdr>
                                <w:top w:val="none" w:sz="0" w:space="0" w:color="auto"/>
                                <w:left w:val="none" w:sz="0" w:space="0" w:color="auto"/>
                                <w:bottom w:val="none" w:sz="0" w:space="0" w:color="auto"/>
                                <w:right w:val="none" w:sz="0" w:space="0" w:color="auto"/>
                              </w:divBdr>
                              <w:divsChild>
                                <w:div w:id="1449817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49817961">
      <w:marLeft w:val="0"/>
      <w:marRight w:val="0"/>
      <w:marTop w:val="0"/>
      <w:marBottom w:val="0"/>
      <w:divBdr>
        <w:top w:val="none" w:sz="0" w:space="0" w:color="auto"/>
        <w:left w:val="none" w:sz="0" w:space="0" w:color="auto"/>
        <w:bottom w:val="none" w:sz="0" w:space="0" w:color="auto"/>
        <w:right w:val="none" w:sz="0" w:space="0" w:color="auto"/>
      </w:divBdr>
      <w:divsChild>
        <w:div w:id="1449817919">
          <w:marLeft w:val="0"/>
          <w:marRight w:val="0"/>
          <w:marTop w:val="0"/>
          <w:marBottom w:val="0"/>
          <w:divBdr>
            <w:top w:val="none" w:sz="0" w:space="0" w:color="auto"/>
            <w:left w:val="none" w:sz="0" w:space="0" w:color="auto"/>
            <w:bottom w:val="none" w:sz="0" w:space="0" w:color="auto"/>
            <w:right w:val="none" w:sz="0" w:space="0" w:color="auto"/>
          </w:divBdr>
          <w:divsChild>
            <w:div w:id="1449817937">
              <w:marLeft w:val="0"/>
              <w:marRight w:val="0"/>
              <w:marTop w:val="0"/>
              <w:marBottom w:val="0"/>
              <w:divBdr>
                <w:top w:val="none" w:sz="0" w:space="0" w:color="auto"/>
                <w:left w:val="none" w:sz="0" w:space="0" w:color="auto"/>
                <w:bottom w:val="none" w:sz="0" w:space="0" w:color="auto"/>
                <w:right w:val="none" w:sz="0" w:space="0" w:color="auto"/>
              </w:divBdr>
            </w:div>
            <w:div w:id="1449817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9817962">
      <w:marLeft w:val="0"/>
      <w:marRight w:val="0"/>
      <w:marTop w:val="0"/>
      <w:marBottom w:val="0"/>
      <w:divBdr>
        <w:top w:val="none" w:sz="0" w:space="0" w:color="auto"/>
        <w:left w:val="none" w:sz="0" w:space="0" w:color="auto"/>
        <w:bottom w:val="none" w:sz="0" w:space="0" w:color="auto"/>
        <w:right w:val="none" w:sz="0" w:space="0" w:color="auto"/>
      </w:divBdr>
    </w:div>
    <w:div w:id="1449817964">
      <w:marLeft w:val="0"/>
      <w:marRight w:val="0"/>
      <w:marTop w:val="0"/>
      <w:marBottom w:val="0"/>
      <w:divBdr>
        <w:top w:val="none" w:sz="0" w:space="0" w:color="auto"/>
        <w:left w:val="none" w:sz="0" w:space="0" w:color="auto"/>
        <w:bottom w:val="none" w:sz="0" w:space="0" w:color="auto"/>
        <w:right w:val="none" w:sz="0" w:space="0" w:color="auto"/>
      </w:divBdr>
    </w:div>
    <w:div w:id="1449817965">
      <w:marLeft w:val="0"/>
      <w:marRight w:val="0"/>
      <w:marTop w:val="0"/>
      <w:marBottom w:val="0"/>
      <w:divBdr>
        <w:top w:val="none" w:sz="0" w:space="0" w:color="auto"/>
        <w:left w:val="none" w:sz="0" w:space="0" w:color="auto"/>
        <w:bottom w:val="none" w:sz="0" w:space="0" w:color="auto"/>
        <w:right w:val="none" w:sz="0" w:space="0" w:color="auto"/>
      </w:divBdr>
    </w:div>
    <w:div w:id="1449817975">
      <w:marLeft w:val="0"/>
      <w:marRight w:val="0"/>
      <w:marTop w:val="0"/>
      <w:marBottom w:val="0"/>
      <w:divBdr>
        <w:top w:val="none" w:sz="0" w:space="0" w:color="auto"/>
        <w:left w:val="none" w:sz="0" w:space="0" w:color="auto"/>
        <w:bottom w:val="none" w:sz="0" w:space="0" w:color="auto"/>
        <w:right w:val="none" w:sz="0" w:space="0" w:color="auto"/>
      </w:divBdr>
    </w:div>
    <w:div w:id="1449817982">
      <w:marLeft w:val="0"/>
      <w:marRight w:val="0"/>
      <w:marTop w:val="0"/>
      <w:marBottom w:val="0"/>
      <w:divBdr>
        <w:top w:val="none" w:sz="0" w:space="0" w:color="auto"/>
        <w:left w:val="none" w:sz="0" w:space="0" w:color="auto"/>
        <w:bottom w:val="none" w:sz="0" w:space="0" w:color="auto"/>
        <w:right w:val="none" w:sz="0" w:space="0" w:color="auto"/>
      </w:divBdr>
    </w:div>
    <w:div w:id="1449817983">
      <w:marLeft w:val="0"/>
      <w:marRight w:val="0"/>
      <w:marTop w:val="0"/>
      <w:marBottom w:val="0"/>
      <w:divBdr>
        <w:top w:val="none" w:sz="0" w:space="0" w:color="auto"/>
        <w:left w:val="none" w:sz="0" w:space="0" w:color="auto"/>
        <w:bottom w:val="none" w:sz="0" w:space="0" w:color="auto"/>
        <w:right w:val="none" w:sz="0" w:space="0" w:color="auto"/>
      </w:divBdr>
    </w:div>
    <w:div w:id="1449817984">
      <w:marLeft w:val="0"/>
      <w:marRight w:val="0"/>
      <w:marTop w:val="0"/>
      <w:marBottom w:val="0"/>
      <w:divBdr>
        <w:top w:val="none" w:sz="0" w:space="0" w:color="auto"/>
        <w:left w:val="none" w:sz="0" w:space="0" w:color="auto"/>
        <w:bottom w:val="none" w:sz="0" w:space="0" w:color="auto"/>
        <w:right w:val="none" w:sz="0" w:space="0" w:color="auto"/>
      </w:divBdr>
    </w:div>
    <w:div w:id="1449817985">
      <w:marLeft w:val="0"/>
      <w:marRight w:val="0"/>
      <w:marTop w:val="0"/>
      <w:marBottom w:val="0"/>
      <w:divBdr>
        <w:top w:val="none" w:sz="0" w:space="0" w:color="auto"/>
        <w:left w:val="none" w:sz="0" w:space="0" w:color="auto"/>
        <w:bottom w:val="none" w:sz="0" w:space="0" w:color="auto"/>
        <w:right w:val="none" w:sz="0" w:space="0" w:color="auto"/>
      </w:divBdr>
    </w:div>
    <w:div w:id="1449817986">
      <w:marLeft w:val="0"/>
      <w:marRight w:val="0"/>
      <w:marTop w:val="0"/>
      <w:marBottom w:val="0"/>
      <w:divBdr>
        <w:top w:val="none" w:sz="0" w:space="0" w:color="auto"/>
        <w:left w:val="none" w:sz="0" w:space="0" w:color="auto"/>
        <w:bottom w:val="none" w:sz="0" w:space="0" w:color="auto"/>
        <w:right w:val="none" w:sz="0" w:space="0" w:color="auto"/>
      </w:divBdr>
    </w:div>
    <w:div w:id="1449817987">
      <w:marLeft w:val="0"/>
      <w:marRight w:val="0"/>
      <w:marTop w:val="0"/>
      <w:marBottom w:val="0"/>
      <w:divBdr>
        <w:top w:val="none" w:sz="0" w:space="0" w:color="auto"/>
        <w:left w:val="none" w:sz="0" w:space="0" w:color="auto"/>
        <w:bottom w:val="none" w:sz="0" w:space="0" w:color="auto"/>
        <w:right w:val="none" w:sz="0" w:space="0" w:color="auto"/>
      </w:divBdr>
    </w:div>
    <w:div w:id="1463841724">
      <w:bodyDiv w:val="1"/>
      <w:marLeft w:val="0"/>
      <w:marRight w:val="0"/>
      <w:marTop w:val="0"/>
      <w:marBottom w:val="0"/>
      <w:divBdr>
        <w:top w:val="none" w:sz="0" w:space="0" w:color="auto"/>
        <w:left w:val="none" w:sz="0" w:space="0" w:color="auto"/>
        <w:bottom w:val="none" w:sz="0" w:space="0" w:color="auto"/>
        <w:right w:val="none" w:sz="0" w:space="0" w:color="auto"/>
      </w:divBdr>
    </w:div>
    <w:div w:id="1633634869">
      <w:bodyDiv w:val="1"/>
      <w:marLeft w:val="0"/>
      <w:marRight w:val="0"/>
      <w:marTop w:val="0"/>
      <w:marBottom w:val="0"/>
      <w:divBdr>
        <w:top w:val="none" w:sz="0" w:space="0" w:color="auto"/>
        <w:left w:val="none" w:sz="0" w:space="0" w:color="auto"/>
        <w:bottom w:val="none" w:sz="0" w:space="0" w:color="auto"/>
        <w:right w:val="none" w:sz="0" w:space="0" w:color="auto"/>
      </w:divBdr>
    </w:div>
    <w:div w:id="1781876414">
      <w:bodyDiv w:val="1"/>
      <w:marLeft w:val="0"/>
      <w:marRight w:val="0"/>
      <w:marTop w:val="0"/>
      <w:marBottom w:val="0"/>
      <w:divBdr>
        <w:top w:val="none" w:sz="0" w:space="0" w:color="auto"/>
        <w:left w:val="none" w:sz="0" w:space="0" w:color="auto"/>
        <w:bottom w:val="none" w:sz="0" w:space="0" w:color="auto"/>
        <w:right w:val="none" w:sz="0" w:space="0" w:color="auto"/>
      </w:divBdr>
    </w:div>
    <w:div w:id="1903446594">
      <w:bodyDiv w:val="1"/>
      <w:marLeft w:val="0"/>
      <w:marRight w:val="0"/>
      <w:marTop w:val="0"/>
      <w:marBottom w:val="0"/>
      <w:divBdr>
        <w:top w:val="none" w:sz="0" w:space="0" w:color="auto"/>
        <w:left w:val="none" w:sz="0" w:space="0" w:color="auto"/>
        <w:bottom w:val="none" w:sz="0" w:space="0" w:color="auto"/>
        <w:right w:val="none" w:sz="0" w:space="0" w:color="auto"/>
      </w:divBdr>
    </w:div>
    <w:div w:id="20813225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9.png"/><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hyperlink" Target="https://www.ine.es/dyngs/INEbase/es/operacion.htm?c=Estadistica_C&amp;cid=1254736176951&amp;menu=ultiDatos&amp;idp=1254735572981" TargetMode="External"/><Relationship Id="rId34" Type="http://schemas.microsoft.com/office/2016/09/relationships/commentsIds" Target="commentsId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image" Target="media/image11.png"/><Relationship Id="rId33" Type="http://schemas.microsoft.com/office/2011/relationships/people" Target="people.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hyperlink" Target="https://seom.org/seomcms/images/stories/recursos/Las_cifras_del_cancer_en_Esp_2017.pdf" TargetMode="External"/><Relationship Id="rId29" Type="http://schemas.openxmlformats.org/officeDocument/2006/relationships/comments" Target="commen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www.adrreports.eu/es" TargetMode="Externa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hyperlink" Target="https://www.nice.org.uk/guidance/ta559/resources/axicabtagene-ciloleucel-for-treating-diffuse-large-bcell-lymphoma-and-primary-mediastinal-large-bcell-lymphoma-after-2-or-more-systemic-therapies-pdf-82607030270917" TargetMode="External"/><Relationship Id="rId28" Type="http://schemas.openxmlformats.org/officeDocument/2006/relationships/image" Target="media/image14.png"/><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gruposdetrabajo.sefh.es/genesis/genesis/basesmetodologicas/programamadre/index.html" TargetMode="External"/><Relationship Id="rId27" Type="http://schemas.openxmlformats.org/officeDocument/2006/relationships/image" Target="media/image13.png"/><Relationship Id="rId30" Type="http://schemas.openxmlformats.org/officeDocument/2006/relationships/fontTable" Target="fontTable.xml"/><Relationship Id="rId35" Type="http://schemas.microsoft.com/office/2011/relationships/commentsExtended" Target="commentsExtended.xml"/></Relationships>
</file>

<file path=word/_rels/footnotes.xml.rels><?xml version="1.0" encoding="UTF-8" standalone="yes"?>
<Relationships xmlns="http://schemas.openxmlformats.org/package/2006/relationships"><Relationship Id="rId1" Type="http://schemas.openxmlformats.org/officeDocument/2006/relationships/hyperlink" Target="http://gruposdetrabajo.sefh.es/genesis/genesis/basesmetodologicas/programamadre/index.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AF054B-26CE-4A0C-80A1-E8C6E14CE5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58</Pages>
  <Words>20084</Words>
  <Characters>135247</Characters>
  <Application>Microsoft Office Word</Application>
  <DocSecurity>0</DocSecurity>
  <Lines>1127</Lines>
  <Paragraphs>310</Paragraphs>
  <ScaleCrop>false</ScaleCrop>
  <HeadingPairs>
    <vt:vector size="2" baseType="variant">
      <vt:variant>
        <vt:lpstr>Título</vt:lpstr>
      </vt:variant>
      <vt:variant>
        <vt:i4>1</vt:i4>
      </vt:variant>
    </vt:vector>
  </HeadingPairs>
  <TitlesOfParts>
    <vt:vector size="1" baseType="lpstr">
      <vt:lpstr>NOMBRE DEL FÁRMACO</vt:lpstr>
    </vt:vector>
  </TitlesOfParts>
  <Company>FPL</Company>
  <LinksUpToDate>false</LinksUpToDate>
  <CharactersWithSpaces>155021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NOMBRE DEL FÁRMACO</dc:title>
  <dc:creator>usuario</dc:creator>
  <cp:lastModifiedBy>Dolores Fraga</cp:lastModifiedBy>
  <cp:revision>2</cp:revision>
  <cp:lastPrinted>2019-05-04T11:37:00Z</cp:lastPrinted>
  <dcterms:created xsi:type="dcterms:W3CDTF">2019-05-18T12:03:00Z</dcterms:created>
  <dcterms:modified xsi:type="dcterms:W3CDTF">2019-05-18T12:03:00Z</dcterms:modified>
</cp:coreProperties>
</file>