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8644"/>
      </w:tblGrid>
      <w:tr w:rsidR="00EF7FDC" w:rsidRPr="00C95371" w:rsidTr="00F27CB2">
        <w:tc>
          <w:tcPr>
            <w:tcW w:w="8644" w:type="dxa"/>
            <w:shd w:val="clear" w:color="auto" w:fill="DEEAF6" w:themeFill="accent1" w:themeFillTint="33"/>
          </w:tcPr>
          <w:p w:rsidR="00EF7FDC" w:rsidRPr="00C95371" w:rsidRDefault="006F23D6" w:rsidP="00F27CB2">
            <w:pPr>
              <w:rPr>
                <w:rFonts w:ascii="Arial" w:eastAsia="Times New Roman" w:hAnsi="Arial" w:cs="Arial"/>
                <w:b/>
                <w:bCs/>
                <w:color w:val="000000"/>
                <w:sz w:val="24"/>
                <w:szCs w:val="24"/>
                <w:lang w:eastAsia="es-ES"/>
              </w:rPr>
            </w:pPr>
            <w:proofErr w:type="spellStart"/>
            <w:r>
              <w:rPr>
                <w:rFonts w:ascii="Arial" w:eastAsia="Times New Roman" w:hAnsi="Arial" w:cs="Arial"/>
                <w:b/>
                <w:bCs/>
                <w:color w:val="000000"/>
                <w:sz w:val="24"/>
                <w:szCs w:val="24"/>
                <w:lang w:eastAsia="es-ES"/>
              </w:rPr>
              <w:t>Imatinib</w:t>
            </w:r>
            <w:proofErr w:type="spellEnd"/>
            <w:r>
              <w:rPr>
                <w:rFonts w:ascii="Arial" w:eastAsia="Times New Roman" w:hAnsi="Arial" w:cs="Arial"/>
                <w:b/>
                <w:bCs/>
                <w:color w:val="000000"/>
                <w:sz w:val="24"/>
                <w:szCs w:val="24"/>
                <w:lang w:eastAsia="es-ES"/>
              </w:rPr>
              <w:t xml:space="preserve"> suspensión</w:t>
            </w:r>
          </w:p>
        </w:tc>
      </w:tr>
    </w:tbl>
    <w:p w:rsidR="00EF7FDC" w:rsidRPr="00C95371" w:rsidRDefault="00EF7FDC" w:rsidP="00EF7FDC">
      <w:pPr>
        <w:spacing w:after="0" w:line="240" w:lineRule="auto"/>
        <w:rPr>
          <w:rFonts w:ascii="Arial" w:eastAsia="Times New Roman" w:hAnsi="Arial" w:cs="Arial"/>
          <w:b/>
          <w:bCs/>
          <w:color w:val="000000"/>
          <w:sz w:val="24"/>
          <w:szCs w:val="24"/>
          <w:lang w:eastAsia="es-ES"/>
        </w:rPr>
      </w:pPr>
    </w:p>
    <w:p w:rsidR="00EF7FDC" w:rsidRPr="006F23D6" w:rsidRDefault="00135676" w:rsidP="006F23D6">
      <w:pPr>
        <w:spacing w:line="360" w:lineRule="auto"/>
        <w:jc w:val="both"/>
        <w:rPr>
          <w:rFonts w:ascii="Arial" w:hAnsi="Arial" w:cs="Arial"/>
          <w:color w:val="000000"/>
          <w:sz w:val="24"/>
          <w:szCs w:val="24"/>
        </w:rPr>
      </w:pPr>
      <w:r>
        <w:rPr>
          <w:rFonts w:ascii="Tahoma" w:hAnsi="Tahoma" w:cs="Tahoma"/>
          <w:color w:val="000000"/>
          <w:sz w:val="10"/>
          <w:szCs w:val="10"/>
        </w:rPr>
        <w:br/>
      </w:r>
      <w:r w:rsidR="006F23D6">
        <w:rPr>
          <w:rFonts w:ascii="Arial" w:hAnsi="Arial" w:cs="Arial"/>
          <w:color w:val="000000"/>
          <w:sz w:val="24"/>
          <w:szCs w:val="24"/>
        </w:rPr>
        <w:t>Pregunta no disponible</w:t>
      </w:r>
      <w:r w:rsidR="00EF7FDC" w:rsidRPr="00C95371">
        <w:rPr>
          <w:rFonts w:ascii="Arial" w:eastAsia="Times New Roman" w:hAnsi="Arial" w:cs="Arial"/>
          <w:sz w:val="24"/>
          <w:szCs w:val="24"/>
          <w:lang w:eastAsia="es-ES"/>
        </w:rPr>
        <w:t xml:space="preserve">                       </w:t>
      </w:r>
    </w:p>
    <w:tbl>
      <w:tblPr>
        <w:tblStyle w:val="Tablaconcuadrcula"/>
        <w:tblW w:w="0" w:type="auto"/>
        <w:tblLook w:val="04A0"/>
      </w:tblPr>
      <w:tblGrid>
        <w:gridCol w:w="8644"/>
      </w:tblGrid>
      <w:tr w:rsidR="00EF7FDC" w:rsidRPr="00C95371" w:rsidTr="00F27CB2">
        <w:tc>
          <w:tcPr>
            <w:tcW w:w="8644" w:type="dxa"/>
            <w:shd w:val="clear" w:color="auto" w:fill="DEEAF6" w:themeFill="accent1" w:themeFillTint="33"/>
          </w:tcPr>
          <w:p w:rsidR="00EF7FDC" w:rsidRPr="00C95371" w:rsidRDefault="00EF7FDC" w:rsidP="00F27CB2">
            <w:pPr>
              <w:rPr>
                <w:rFonts w:ascii="Arial" w:eastAsia="Times New Roman" w:hAnsi="Arial" w:cs="Arial"/>
                <w:b/>
                <w:bCs/>
                <w:color w:val="000000"/>
                <w:sz w:val="24"/>
                <w:szCs w:val="24"/>
                <w:lang w:eastAsia="es-ES"/>
              </w:rPr>
            </w:pPr>
            <w:r w:rsidRPr="00C95371">
              <w:rPr>
                <w:rFonts w:ascii="Arial" w:eastAsia="Times New Roman" w:hAnsi="Arial" w:cs="Arial"/>
                <w:b/>
                <w:bCs/>
                <w:color w:val="000000"/>
                <w:sz w:val="24"/>
                <w:szCs w:val="24"/>
                <w:lang w:eastAsia="es-ES"/>
              </w:rPr>
              <w:t>Respuesta</w:t>
            </w:r>
            <w:r w:rsidR="00135676">
              <w:rPr>
                <w:rFonts w:ascii="Arial" w:eastAsia="Times New Roman" w:hAnsi="Arial" w:cs="Arial"/>
                <w:b/>
                <w:bCs/>
                <w:color w:val="000000"/>
                <w:sz w:val="24"/>
                <w:szCs w:val="24"/>
                <w:lang w:eastAsia="es-ES"/>
              </w:rPr>
              <w:t xml:space="preserve"> 1</w:t>
            </w:r>
          </w:p>
        </w:tc>
      </w:tr>
    </w:tbl>
    <w:p w:rsidR="00EF7FDC" w:rsidRDefault="00EF7FDC" w:rsidP="00EF7FDC">
      <w:pPr>
        <w:spacing w:after="0" w:line="240" w:lineRule="auto"/>
        <w:rPr>
          <w:rFonts w:ascii="Arial" w:eastAsia="Times New Roman" w:hAnsi="Arial" w:cs="Arial"/>
          <w:b/>
          <w:bCs/>
          <w:color w:val="000000"/>
          <w:sz w:val="24"/>
          <w:szCs w:val="24"/>
          <w:lang w:eastAsia="es-ES"/>
        </w:rPr>
      </w:pPr>
    </w:p>
    <w:p w:rsidR="006F23D6" w:rsidRDefault="006F23D6" w:rsidP="006F23D6">
      <w:pPr>
        <w:spacing w:line="360" w:lineRule="auto"/>
        <w:jc w:val="both"/>
        <w:rPr>
          <w:rStyle w:val="apple-converted-space"/>
          <w:rFonts w:ascii="Arial" w:hAnsi="Arial" w:cs="Arial"/>
          <w:color w:val="000000"/>
          <w:sz w:val="24"/>
          <w:szCs w:val="24"/>
        </w:rPr>
      </w:pPr>
      <w:r w:rsidRPr="006F23D6">
        <w:rPr>
          <w:rFonts w:ascii="Arial" w:hAnsi="Arial" w:cs="Arial"/>
          <w:color w:val="000000"/>
          <w:sz w:val="24"/>
          <w:szCs w:val="24"/>
        </w:rPr>
        <w:br/>
        <w:t>En respuesta a la consulta sobre IMATINIB SUSPENSION ORAL:</w:t>
      </w:r>
      <w:r w:rsidRPr="006F23D6">
        <w:rPr>
          <w:rStyle w:val="apple-converted-space"/>
          <w:rFonts w:ascii="Arial" w:hAnsi="Arial" w:cs="Arial"/>
          <w:color w:val="000000"/>
          <w:sz w:val="24"/>
          <w:szCs w:val="24"/>
        </w:rPr>
        <w:t> </w:t>
      </w:r>
    </w:p>
    <w:p w:rsidR="006F23D6" w:rsidRDefault="006F23D6" w:rsidP="006F23D6">
      <w:pPr>
        <w:spacing w:line="360" w:lineRule="auto"/>
        <w:jc w:val="both"/>
        <w:rPr>
          <w:rFonts w:ascii="Arial" w:hAnsi="Arial" w:cs="Arial"/>
          <w:color w:val="000000"/>
          <w:sz w:val="24"/>
          <w:szCs w:val="24"/>
        </w:rPr>
      </w:pPr>
      <w:r w:rsidRPr="006F23D6">
        <w:rPr>
          <w:rFonts w:ascii="Arial" w:hAnsi="Arial" w:cs="Arial"/>
          <w:color w:val="000000"/>
          <w:sz w:val="24"/>
          <w:szCs w:val="24"/>
        </w:rPr>
        <w:t xml:space="preserve">Según la ficha técnica de </w:t>
      </w:r>
      <w:proofErr w:type="spellStart"/>
      <w:r w:rsidRPr="006F23D6">
        <w:rPr>
          <w:rFonts w:ascii="Arial" w:hAnsi="Arial" w:cs="Arial"/>
          <w:color w:val="000000"/>
          <w:sz w:val="24"/>
          <w:szCs w:val="24"/>
        </w:rPr>
        <w:t>Glivec</w:t>
      </w:r>
      <w:proofErr w:type="spellEnd"/>
      <w:r w:rsidRPr="006F23D6">
        <w:rPr>
          <w:rFonts w:ascii="Arial" w:hAnsi="Arial" w:cs="Arial"/>
          <w:color w:val="000000"/>
          <w:sz w:val="24"/>
          <w:szCs w:val="24"/>
        </w:rPr>
        <w:t>®, los comprimidos pueden dispersarse en un vaso de agua (50 ml para dosis de 100 mg y 200 ml para la dosis de 400 mg), y beber inmediatamente.</w:t>
      </w:r>
    </w:p>
    <w:p w:rsidR="006F23D6" w:rsidRDefault="006F23D6" w:rsidP="006F23D6">
      <w:pPr>
        <w:spacing w:line="360" w:lineRule="auto"/>
        <w:jc w:val="both"/>
        <w:rPr>
          <w:rFonts w:ascii="Arial" w:hAnsi="Arial" w:cs="Arial"/>
          <w:color w:val="000000"/>
          <w:sz w:val="24"/>
          <w:szCs w:val="24"/>
        </w:rPr>
      </w:pPr>
      <w:r w:rsidRPr="006F23D6">
        <w:rPr>
          <w:rFonts w:ascii="Arial" w:hAnsi="Arial" w:cs="Arial"/>
          <w:color w:val="000000"/>
          <w:sz w:val="24"/>
          <w:szCs w:val="24"/>
        </w:rPr>
        <w:t xml:space="preserve">En una revisión sobre métodos alternativos de administración de antineoplásicos orales, da la misma información, indicando que no hay datos de estabilidad de la suspensión de los comprimidos en agua, que no hay tampoco datos </w:t>
      </w:r>
      <w:proofErr w:type="spellStart"/>
      <w:r w:rsidRPr="006F23D6">
        <w:rPr>
          <w:rFonts w:ascii="Arial" w:hAnsi="Arial" w:cs="Arial"/>
          <w:color w:val="000000"/>
          <w:sz w:val="24"/>
          <w:szCs w:val="24"/>
        </w:rPr>
        <w:t>farmacocinéticos</w:t>
      </w:r>
      <w:proofErr w:type="spellEnd"/>
      <w:r w:rsidRPr="006F23D6">
        <w:rPr>
          <w:rFonts w:ascii="Arial" w:hAnsi="Arial" w:cs="Arial"/>
          <w:color w:val="000000"/>
          <w:sz w:val="24"/>
          <w:szCs w:val="24"/>
        </w:rPr>
        <w:t>, y que en caso de querer edulcorar la suspensión resultante, no debe hacerse con zumo de pomelo por riesgo de interacciones.</w:t>
      </w:r>
    </w:p>
    <w:p w:rsidR="006F23D6" w:rsidRDefault="006F23D6" w:rsidP="006F23D6">
      <w:pPr>
        <w:spacing w:line="360" w:lineRule="auto"/>
        <w:jc w:val="both"/>
        <w:rPr>
          <w:rFonts w:ascii="Arial" w:hAnsi="Arial" w:cs="Arial"/>
          <w:color w:val="000000"/>
          <w:sz w:val="24"/>
          <w:szCs w:val="24"/>
        </w:rPr>
      </w:pPr>
      <w:r w:rsidRPr="006F23D6">
        <w:rPr>
          <w:rFonts w:ascii="Arial" w:hAnsi="Arial" w:cs="Arial"/>
          <w:color w:val="000000"/>
          <w:sz w:val="24"/>
          <w:szCs w:val="24"/>
        </w:rPr>
        <w:t xml:space="preserve">Esperamos que esta información resulte de utilidad. </w:t>
      </w:r>
    </w:p>
    <w:p w:rsidR="006F23D6" w:rsidRDefault="006F23D6" w:rsidP="006F23D6">
      <w:pPr>
        <w:spacing w:line="360" w:lineRule="auto"/>
        <w:jc w:val="both"/>
        <w:rPr>
          <w:rFonts w:ascii="Arial" w:hAnsi="Arial" w:cs="Arial"/>
          <w:color w:val="000000"/>
          <w:sz w:val="24"/>
          <w:szCs w:val="24"/>
        </w:rPr>
      </w:pPr>
      <w:r w:rsidRPr="006F23D6">
        <w:rPr>
          <w:rFonts w:ascii="Arial" w:hAnsi="Arial" w:cs="Arial"/>
          <w:color w:val="000000"/>
          <w:sz w:val="24"/>
          <w:szCs w:val="24"/>
        </w:rPr>
        <w:t>Un saludo</w:t>
      </w:r>
    </w:p>
    <w:p w:rsidR="006F23D6" w:rsidRDefault="006F23D6" w:rsidP="006F23D6">
      <w:pPr>
        <w:pStyle w:val="Prrafodelista"/>
        <w:numPr>
          <w:ilvl w:val="0"/>
          <w:numId w:val="2"/>
        </w:numPr>
        <w:spacing w:line="240" w:lineRule="auto"/>
        <w:ind w:left="714" w:hanging="357"/>
        <w:jc w:val="both"/>
        <w:rPr>
          <w:rFonts w:ascii="Arial" w:hAnsi="Arial" w:cs="Arial"/>
          <w:color w:val="000000"/>
          <w:sz w:val="24"/>
          <w:szCs w:val="24"/>
        </w:rPr>
      </w:pPr>
      <w:r w:rsidRPr="006F23D6">
        <w:rPr>
          <w:rFonts w:ascii="Arial" w:hAnsi="Arial" w:cs="Arial"/>
          <w:color w:val="000000"/>
          <w:sz w:val="24"/>
          <w:szCs w:val="24"/>
        </w:rPr>
        <w:t xml:space="preserve">Ficha técnica </w:t>
      </w:r>
      <w:proofErr w:type="spellStart"/>
      <w:r w:rsidRPr="006F23D6">
        <w:rPr>
          <w:rFonts w:ascii="Arial" w:hAnsi="Arial" w:cs="Arial"/>
          <w:color w:val="000000"/>
          <w:sz w:val="24"/>
          <w:szCs w:val="24"/>
        </w:rPr>
        <w:t>Glivec</w:t>
      </w:r>
      <w:proofErr w:type="spellEnd"/>
      <w:r w:rsidRPr="006F23D6">
        <w:rPr>
          <w:rFonts w:ascii="Arial" w:hAnsi="Arial" w:cs="Arial"/>
          <w:color w:val="000000"/>
          <w:sz w:val="24"/>
          <w:szCs w:val="24"/>
        </w:rPr>
        <w:t xml:space="preserve">®. Consultada 17/11/2014. Disponible en </w:t>
      </w:r>
      <w:hyperlink r:id="rId6" w:history="1">
        <w:r w:rsidRPr="00E03B06">
          <w:rPr>
            <w:rStyle w:val="Hipervnculo"/>
            <w:rFonts w:ascii="Arial" w:hAnsi="Arial" w:cs="Arial"/>
            <w:sz w:val="24"/>
            <w:szCs w:val="24"/>
          </w:rPr>
          <w:t>http://www.ema.europa.eu/docs/es_ES/document_library/EPAR_-_Product_Information/human/000406/WC500022207.pdf</w:t>
        </w:r>
      </w:hyperlink>
    </w:p>
    <w:p w:rsidR="006F23D6" w:rsidRPr="006F23D6" w:rsidRDefault="006F23D6" w:rsidP="006F23D6">
      <w:pPr>
        <w:pStyle w:val="Prrafodelista"/>
        <w:numPr>
          <w:ilvl w:val="0"/>
          <w:numId w:val="2"/>
        </w:numPr>
        <w:spacing w:line="240" w:lineRule="auto"/>
        <w:ind w:left="714" w:hanging="357"/>
        <w:jc w:val="both"/>
        <w:rPr>
          <w:rFonts w:ascii="Arial" w:hAnsi="Arial" w:cs="Arial"/>
          <w:color w:val="000000"/>
          <w:sz w:val="24"/>
          <w:szCs w:val="24"/>
        </w:rPr>
      </w:pPr>
      <w:proofErr w:type="spellStart"/>
      <w:r w:rsidRPr="006F23D6">
        <w:rPr>
          <w:rFonts w:ascii="Arial" w:hAnsi="Arial" w:cs="Arial"/>
          <w:color w:val="000000"/>
          <w:sz w:val="24"/>
          <w:szCs w:val="24"/>
          <w:lang w:val="en-US"/>
        </w:rPr>
        <w:t>Masha</w:t>
      </w:r>
      <w:proofErr w:type="spellEnd"/>
      <w:r w:rsidRPr="006F23D6">
        <w:rPr>
          <w:rFonts w:ascii="Arial" w:hAnsi="Arial" w:cs="Arial"/>
          <w:color w:val="000000"/>
          <w:sz w:val="24"/>
          <w:szCs w:val="24"/>
          <w:lang w:val="en-US"/>
        </w:rPr>
        <w:t xml:space="preserve"> S. H. Lam, </w:t>
      </w:r>
      <w:proofErr w:type="spellStart"/>
      <w:r w:rsidRPr="006F23D6">
        <w:rPr>
          <w:rFonts w:ascii="Arial" w:hAnsi="Arial" w:cs="Arial"/>
          <w:color w:val="000000"/>
          <w:sz w:val="24"/>
          <w:szCs w:val="24"/>
          <w:lang w:val="en-US"/>
        </w:rPr>
        <w:t>Pharm.D</w:t>
      </w:r>
      <w:proofErr w:type="spellEnd"/>
      <w:r w:rsidRPr="006F23D6">
        <w:rPr>
          <w:rFonts w:ascii="Arial" w:hAnsi="Arial" w:cs="Arial"/>
          <w:color w:val="000000"/>
          <w:sz w:val="24"/>
          <w:szCs w:val="24"/>
          <w:lang w:val="en-US"/>
        </w:rPr>
        <w:t xml:space="preserve">. Extemporaneous Compounding of Oral Liquid Dosage Formulations and Alternative Drug Delivery Methods for Anticancer Drugs. </w:t>
      </w:r>
      <w:proofErr w:type="spellStart"/>
      <w:r w:rsidRPr="006F23D6">
        <w:rPr>
          <w:rFonts w:ascii="Arial" w:hAnsi="Arial" w:cs="Arial"/>
          <w:color w:val="000000"/>
          <w:sz w:val="24"/>
          <w:szCs w:val="24"/>
        </w:rPr>
        <w:t>Pharmacotherapy</w:t>
      </w:r>
      <w:proofErr w:type="spellEnd"/>
      <w:r w:rsidRPr="006F23D6">
        <w:rPr>
          <w:rFonts w:ascii="Arial" w:hAnsi="Arial" w:cs="Arial"/>
          <w:color w:val="000000"/>
          <w:sz w:val="24"/>
          <w:szCs w:val="24"/>
        </w:rPr>
        <w:t xml:space="preserve"> 2011;31(2):164–192</w:t>
      </w:r>
      <w:r w:rsidRPr="006F23D6">
        <w:rPr>
          <w:rFonts w:ascii="Arial" w:hAnsi="Arial" w:cs="Arial"/>
          <w:color w:val="000000"/>
          <w:sz w:val="24"/>
          <w:szCs w:val="24"/>
        </w:rPr>
        <w:br/>
      </w:r>
      <w:r w:rsidRPr="006F23D6">
        <w:rPr>
          <w:rFonts w:ascii="Arial" w:hAnsi="Arial" w:cs="Arial"/>
          <w:color w:val="000000"/>
          <w:sz w:val="24"/>
          <w:szCs w:val="24"/>
        </w:rPr>
        <w:br/>
        <w:t>Archivos adjuntos:</w:t>
      </w:r>
    </w:p>
    <w:p w:rsidR="00135676" w:rsidRPr="006F23D6" w:rsidRDefault="006F23D6" w:rsidP="006F23D6">
      <w:pPr>
        <w:pStyle w:val="Prrafodelista"/>
        <w:spacing w:line="360" w:lineRule="auto"/>
        <w:ind w:left="855"/>
        <w:jc w:val="both"/>
        <w:rPr>
          <w:rFonts w:ascii="Arial" w:hAnsi="Arial" w:cs="Arial"/>
          <w:color w:val="000000"/>
          <w:sz w:val="24"/>
          <w:szCs w:val="24"/>
        </w:rPr>
      </w:pPr>
      <w:r w:rsidRPr="006F23D6">
        <w:rPr>
          <w:rFonts w:ascii="Arial" w:hAnsi="Arial" w:cs="Arial"/>
          <w:color w:val="000000"/>
          <w:sz w:val="24"/>
          <w:szCs w:val="24"/>
        </w:rPr>
        <w:br/>
      </w:r>
      <w:hyperlink r:id="rId7" w:tgtFrame="_blank" w:history="1">
        <w:r w:rsidRPr="006F23D6">
          <w:rPr>
            <w:rStyle w:val="Hipervnculo"/>
            <w:rFonts w:ascii="Arial" w:hAnsi="Arial" w:cs="Arial"/>
            <w:sz w:val="24"/>
            <w:szCs w:val="24"/>
          </w:rPr>
          <w:t>http://www.sefh.es/fichadjuntos/EXTPREP_citos.pdf</w:t>
        </w:r>
      </w:hyperlink>
    </w:p>
    <w:p w:rsidR="00135676" w:rsidRPr="002F3733" w:rsidRDefault="00135676" w:rsidP="006F23D6">
      <w:pPr>
        <w:ind w:left="4820" w:firstLine="5"/>
        <w:jc w:val="both"/>
        <w:rPr>
          <w:rFonts w:ascii="Arial" w:hAnsi="Arial" w:cs="Arial"/>
          <w:sz w:val="24"/>
          <w:szCs w:val="24"/>
        </w:rPr>
      </w:pPr>
      <w:r w:rsidRPr="002F3733">
        <w:rPr>
          <w:rFonts w:ascii="Arial" w:hAnsi="Arial" w:cs="Arial"/>
          <w:sz w:val="24"/>
          <w:szCs w:val="24"/>
        </w:rPr>
        <w:t>[</w:t>
      </w:r>
      <w:r>
        <w:rPr>
          <w:rFonts w:ascii="Arial" w:hAnsi="Arial" w:cs="Arial"/>
          <w:sz w:val="24"/>
          <w:szCs w:val="24"/>
        </w:rPr>
        <w:t>Respuesta enviada</w:t>
      </w:r>
      <w:r w:rsidRPr="002F3733">
        <w:rPr>
          <w:rFonts w:ascii="Arial" w:hAnsi="Arial" w:cs="Arial"/>
          <w:sz w:val="24"/>
          <w:szCs w:val="24"/>
        </w:rPr>
        <w:t>:</w:t>
      </w:r>
      <w:r>
        <w:rPr>
          <w:rFonts w:ascii="Arial" w:hAnsi="Arial" w:cs="Arial"/>
          <w:sz w:val="24"/>
          <w:szCs w:val="24"/>
        </w:rPr>
        <w:t xml:space="preserve"> </w:t>
      </w:r>
      <w:r w:rsidR="006F23D6">
        <w:rPr>
          <w:rFonts w:ascii="Arial" w:hAnsi="Arial" w:cs="Arial"/>
          <w:sz w:val="24"/>
          <w:szCs w:val="24"/>
        </w:rPr>
        <w:t>18-11</w:t>
      </w:r>
      <w:r>
        <w:rPr>
          <w:rFonts w:ascii="Arial" w:hAnsi="Arial" w:cs="Arial"/>
          <w:sz w:val="24"/>
          <w:szCs w:val="24"/>
        </w:rPr>
        <w:t>-2014</w:t>
      </w:r>
      <w:r w:rsidRPr="002F3733">
        <w:rPr>
          <w:rFonts w:ascii="Arial" w:hAnsi="Arial" w:cs="Arial"/>
          <w:sz w:val="24"/>
          <w:szCs w:val="24"/>
        </w:rPr>
        <w:t>]</w:t>
      </w:r>
    </w:p>
    <w:p w:rsidR="00135676" w:rsidRPr="002F3733" w:rsidRDefault="00135676" w:rsidP="002F3733">
      <w:pPr>
        <w:jc w:val="both"/>
        <w:rPr>
          <w:rFonts w:ascii="Arial" w:hAnsi="Arial" w:cs="Arial"/>
          <w:sz w:val="24"/>
          <w:szCs w:val="24"/>
        </w:rPr>
      </w:pPr>
      <w:r w:rsidRPr="002F3733">
        <w:rPr>
          <w:rFonts w:ascii="Arial" w:hAnsi="Arial" w:cs="Arial"/>
          <w:sz w:val="24"/>
          <w:szCs w:val="24"/>
        </w:rPr>
        <w:t xml:space="preserve">Respuesta enviada por: </w:t>
      </w:r>
      <w:r w:rsidR="006F23D6">
        <w:rPr>
          <w:rFonts w:ascii="Arial" w:hAnsi="Arial" w:cs="Arial"/>
          <w:sz w:val="24"/>
          <w:szCs w:val="24"/>
        </w:rPr>
        <w:t xml:space="preserve">Marta García Palomo (Hospital Virgen de la Salud. Toledo. </w:t>
      </w:r>
      <w:r w:rsidRPr="002F3733">
        <w:rPr>
          <w:rFonts w:ascii="Arial" w:hAnsi="Arial" w:cs="Arial"/>
          <w:sz w:val="24"/>
          <w:szCs w:val="24"/>
        </w:rPr>
        <w:t>Grupo Trabajo Farmacotecnia SEFH</w:t>
      </w:r>
    </w:p>
    <w:sectPr w:rsidR="00135676" w:rsidRPr="002F3733" w:rsidSect="008B1CB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056DD"/>
    <w:multiLevelType w:val="hybridMultilevel"/>
    <w:tmpl w:val="4D46D330"/>
    <w:lvl w:ilvl="0" w:tplc="1A9C462A">
      <w:start w:val="1"/>
      <w:numFmt w:val="decimal"/>
      <w:lvlText w:val="%1."/>
      <w:lvlJc w:val="left"/>
      <w:pPr>
        <w:ind w:left="855" w:hanging="49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4634B67"/>
    <w:multiLevelType w:val="hybridMultilevel"/>
    <w:tmpl w:val="B64402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5C4AE5"/>
    <w:rsid w:val="00000819"/>
    <w:rsid w:val="00002344"/>
    <w:rsid w:val="0000256D"/>
    <w:rsid w:val="00013ED6"/>
    <w:rsid w:val="000247D4"/>
    <w:rsid w:val="0003552C"/>
    <w:rsid w:val="00043A98"/>
    <w:rsid w:val="00051251"/>
    <w:rsid w:val="000533BF"/>
    <w:rsid w:val="00064BE3"/>
    <w:rsid w:val="000707B1"/>
    <w:rsid w:val="0007214F"/>
    <w:rsid w:val="00072A4A"/>
    <w:rsid w:val="000773AC"/>
    <w:rsid w:val="00077F62"/>
    <w:rsid w:val="00084C93"/>
    <w:rsid w:val="0008649C"/>
    <w:rsid w:val="00097283"/>
    <w:rsid w:val="000B0B44"/>
    <w:rsid w:val="000D5400"/>
    <w:rsid w:val="000D711F"/>
    <w:rsid w:val="000D7FC1"/>
    <w:rsid w:val="000E2F65"/>
    <w:rsid w:val="000F3742"/>
    <w:rsid w:val="001103F9"/>
    <w:rsid w:val="001166D0"/>
    <w:rsid w:val="00116C64"/>
    <w:rsid w:val="00116CEF"/>
    <w:rsid w:val="0011735C"/>
    <w:rsid w:val="00117A13"/>
    <w:rsid w:val="001216A9"/>
    <w:rsid w:val="00135676"/>
    <w:rsid w:val="00146965"/>
    <w:rsid w:val="00151633"/>
    <w:rsid w:val="00175028"/>
    <w:rsid w:val="00194490"/>
    <w:rsid w:val="00194C03"/>
    <w:rsid w:val="001A1F35"/>
    <w:rsid w:val="001A7FEF"/>
    <w:rsid w:val="001B4A21"/>
    <w:rsid w:val="001C276F"/>
    <w:rsid w:val="001C4134"/>
    <w:rsid w:val="001D7216"/>
    <w:rsid w:val="001D7D3A"/>
    <w:rsid w:val="001E5F61"/>
    <w:rsid w:val="001F39D0"/>
    <w:rsid w:val="001F4569"/>
    <w:rsid w:val="00203DF5"/>
    <w:rsid w:val="00206D7F"/>
    <w:rsid w:val="00217175"/>
    <w:rsid w:val="00236529"/>
    <w:rsid w:val="00257A38"/>
    <w:rsid w:val="00257DBC"/>
    <w:rsid w:val="00262AE4"/>
    <w:rsid w:val="002767AC"/>
    <w:rsid w:val="00296C22"/>
    <w:rsid w:val="002A7EBC"/>
    <w:rsid w:val="002B6B51"/>
    <w:rsid w:val="002E5DD6"/>
    <w:rsid w:val="002E7203"/>
    <w:rsid w:val="002F3733"/>
    <w:rsid w:val="002F54ED"/>
    <w:rsid w:val="0030771A"/>
    <w:rsid w:val="00320031"/>
    <w:rsid w:val="0032137A"/>
    <w:rsid w:val="00322210"/>
    <w:rsid w:val="00333C85"/>
    <w:rsid w:val="0033798C"/>
    <w:rsid w:val="00344227"/>
    <w:rsid w:val="00344627"/>
    <w:rsid w:val="00357363"/>
    <w:rsid w:val="0036093C"/>
    <w:rsid w:val="00364047"/>
    <w:rsid w:val="00370D29"/>
    <w:rsid w:val="00380517"/>
    <w:rsid w:val="0039746A"/>
    <w:rsid w:val="003A7E79"/>
    <w:rsid w:val="003B34BF"/>
    <w:rsid w:val="003B4693"/>
    <w:rsid w:val="003D27A8"/>
    <w:rsid w:val="003D45A9"/>
    <w:rsid w:val="003D57ED"/>
    <w:rsid w:val="00410C4C"/>
    <w:rsid w:val="004138E1"/>
    <w:rsid w:val="0042632E"/>
    <w:rsid w:val="00434D55"/>
    <w:rsid w:val="00436EBC"/>
    <w:rsid w:val="004410BF"/>
    <w:rsid w:val="00446608"/>
    <w:rsid w:val="00454060"/>
    <w:rsid w:val="004541A4"/>
    <w:rsid w:val="004654AA"/>
    <w:rsid w:val="00467502"/>
    <w:rsid w:val="00481E8D"/>
    <w:rsid w:val="00494059"/>
    <w:rsid w:val="00495D53"/>
    <w:rsid w:val="004A21F0"/>
    <w:rsid w:val="004A67E3"/>
    <w:rsid w:val="004B0EBA"/>
    <w:rsid w:val="004B38AC"/>
    <w:rsid w:val="004B41C8"/>
    <w:rsid w:val="004C1B4D"/>
    <w:rsid w:val="004C3272"/>
    <w:rsid w:val="004C3F3A"/>
    <w:rsid w:val="004E6AD1"/>
    <w:rsid w:val="004F4158"/>
    <w:rsid w:val="004F5062"/>
    <w:rsid w:val="00500692"/>
    <w:rsid w:val="0050600C"/>
    <w:rsid w:val="00506485"/>
    <w:rsid w:val="00530CC3"/>
    <w:rsid w:val="0054173C"/>
    <w:rsid w:val="0055197A"/>
    <w:rsid w:val="00555FA9"/>
    <w:rsid w:val="00565685"/>
    <w:rsid w:val="00572338"/>
    <w:rsid w:val="0058482A"/>
    <w:rsid w:val="00593BBE"/>
    <w:rsid w:val="005A2959"/>
    <w:rsid w:val="005B297C"/>
    <w:rsid w:val="005B452D"/>
    <w:rsid w:val="005C4AE5"/>
    <w:rsid w:val="005C74CB"/>
    <w:rsid w:val="005D2EAA"/>
    <w:rsid w:val="005E6341"/>
    <w:rsid w:val="005F2D52"/>
    <w:rsid w:val="00601223"/>
    <w:rsid w:val="006067A7"/>
    <w:rsid w:val="00623FD1"/>
    <w:rsid w:val="00630B52"/>
    <w:rsid w:val="0063397A"/>
    <w:rsid w:val="00650126"/>
    <w:rsid w:val="006525B0"/>
    <w:rsid w:val="00654168"/>
    <w:rsid w:val="006850DC"/>
    <w:rsid w:val="00693F9B"/>
    <w:rsid w:val="00695D6B"/>
    <w:rsid w:val="006966E8"/>
    <w:rsid w:val="006A52EF"/>
    <w:rsid w:val="006B5C6D"/>
    <w:rsid w:val="006B6926"/>
    <w:rsid w:val="006C5637"/>
    <w:rsid w:val="006D3F03"/>
    <w:rsid w:val="006F23D6"/>
    <w:rsid w:val="00710BE7"/>
    <w:rsid w:val="007155B6"/>
    <w:rsid w:val="00734542"/>
    <w:rsid w:val="00735DB9"/>
    <w:rsid w:val="00736E01"/>
    <w:rsid w:val="0074298A"/>
    <w:rsid w:val="007621A3"/>
    <w:rsid w:val="007702C1"/>
    <w:rsid w:val="007761F4"/>
    <w:rsid w:val="00776775"/>
    <w:rsid w:val="007A446F"/>
    <w:rsid w:val="007B0CE9"/>
    <w:rsid w:val="007C7EF9"/>
    <w:rsid w:val="007E0CB5"/>
    <w:rsid w:val="007E6FB5"/>
    <w:rsid w:val="007E78AF"/>
    <w:rsid w:val="007F02C8"/>
    <w:rsid w:val="008022E9"/>
    <w:rsid w:val="008102FD"/>
    <w:rsid w:val="008120FA"/>
    <w:rsid w:val="00833738"/>
    <w:rsid w:val="008349BA"/>
    <w:rsid w:val="00840531"/>
    <w:rsid w:val="00841830"/>
    <w:rsid w:val="0084753A"/>
    <w:rsid w:val="00853F9C"/>
    <w:rsid w:val="00861ACE"/>
    <w:rsid w:val="00862F48"/>
    <w:rsid w:val="00863D18"/>
    <w:rsid w:val="00864476"/>
    <w:rsid w:val="00877F16"/>
    <w:rsid w:val="008843D6"/>
    <w:rsid w:val="008846F2"/>
    <w:rsid w:val="008908CF"/>
    <w:rsid w:val="008B1CBB"/>
    <w:rsid w:val="008B4266"/>
    <w:rsid w:val="008B4BD5"/>
    <w:rsid w:val="008C497F"/>
    <w:rsid w:val="008C778B"/>
    <w:rsid w:val="008D1680"/>
    <w:rsid w:val="008D7528"/>
    <w:rsid w:val="008F0EB3"/>
    <w:rsid w:val="008F3788"/>
    <w:rsid w:val="009175E5"/>
    <w:rsid w:val="00932BAC"/>
    <w:rsid w:val="00933AFC"/>
    <w:rsid w:val="00934479"/>
    <w:rsid w:val="00936FBB"/>
    <w:rsid w:val="00937884"/>
    <w:rsid w:val="00940210"/>
    <w:rsid w:val="00950480"/>
    <w:rsid w:val="00972093"/>
    <w:rsid w:val="00982A69"/>
    <w:rsid w:val="00987C5C"/>
    <w:rsid w:val="009933A1"/>
    <w:rsid w:val="0099375B"/>
    <w:rsid w:val="00993A93"/>
    <w:rsid w:val="009B1420"/>
    <w:rsid w:val="009B4C4F"/>
    <w:rsid w:val="009C5EE4"/>
    <w:rsid w:val="009D0C02"/>
    <w:rsid w:val="009D1A86"/>
    <w:rsid w:val="009D2AD7"/>
    <w:rsid w:val="009D3E4A"/>
    <w:rsid w:val="009E7900"/>
    <w:rsid w:val="009F603B"/>
    <w:rsid w:val="009F678E"/>
    <w:rsid w:val="00A209AD"/>
    <w:rsid w:val="00A20D34"/>
    <w:rsid w:val="00A23654"/>
    <w:rsid w:val="00A24FA0"/>
    <w:rsid w:val="00A27BC7"/>
    <w:rsid w:val="00A41849"/>
    <w:rsid w:val="00A532C9"/>
    <w:rsid w:val="00A56A2A"/>
    <w:rsid w:val="00A6372D"/>
    <w:rsid w:val="00A65DF1"/>
    <w:rsid w:val="00A72736"/>
    <w:rsid w:val="00A74B3E"/>
    <w:rsid w:val="00A76717"/>
    <w:rsid w:val="00A8463B"/>
    <w:rsid w:val="00A84C18"/>
    <w:rsid w:val="00A85998"/>
    <w:rsid w:val="00A90FF9"/>
    <w:rsid w:val="00A929D2"/>
    <w:rsid w:val="00AA3EB8"/>
    <w:rsid w:val="00AB17CF"/>
    <w:rsid w:val="00AB5E59"/>
    <w:rsid w:val="00AC0075"/>
    <w:rsid w:val="00AE5A94"/>
    <w:rsid w:val="00AF26E4"/>
    <w:rsid w:val="00B01888"/>
    <w:rsid w:val="00B04C72"/>
    <w:rsid w:val="00B07EFD"/>
    <w:rsid w:val="00B23F47"/>
    <w:rsid w:val="00B242B9"/>
    <w:rsid w:val="00B56F26"/>
    <w:rsid w:val="00B653DE"/>
    <w:rsid w:val="00B73F27"/>
    <w:rsid w:val="00BA5ADA"/>
    <w:rsid w:val="00BB3E53"/>
    <w:rsid w:val="00BC1F9E"/>
    <w:rsid w:val="00BC2B90"/>
    <w:rsid w:val="00BD379D"/>
    <w:rsid w:val="00BE5C60"/>
    <w:rsid w:val="00BF250C"/>
    <w:rsid w:val="00BF79D0"/>
    <w:rsid w:val="00C30E06"/>
    <w:rsid w:val="00C30FDB"/>
    <w:rsid w:val="00C32B83"/>
    <w:rsid w:val="00C45197"/>
    <w:rsid w:val="00C45D36"/>
    <w:rsid w:val="00C473A4"/>
    <w:rsid w:val="00C623B3"/>
    <w:rsid w:val="00C63A4E"/>
    <w:rsid w:val="00C7243F"/>
    <w:rsid w:val="00C775F7"/>
    <w:rsid w:val="00C83A5E"/>
    <w:rsid w:val="00CE339C"/>
    <w:rsid w:val="00D010F2"/>
    <w:rsid w:val="00D055A4"/>
    <w:rsid w:val="00D16707"/>
    <w:rsid w:val="00D202F8"/>
    <w:rsid w:val="00D370AB"/>
    <w:rsid w:val="00D502C1"/>
    <w:rsid w:val="00D62D37"/>
    <w:rsid w:val="00D649CC"/>
    <w:rsid w:val="00D67739"/>
    <w:rsid w:val="00D8149E"/>
    <w:rsid w:val="00D814FC"/>
    <w:rsid w:val="00DA2A04"/>
    <w:rsid w:val="00DD0CAF"/>
    <w:rsid w:val="00DD3190"/>
    <w:rsid w:val="00DE5D6B"/>
    <w:rsid w:val="00DE5E93"/>
    <w:rsid w:val="00E01E97"/>
    <w:rsid w:val="00E059A5"/>
    <w:rsid w:val="00E16935"/>
    <w:rsid w:val="00E23303"/>
    <w:rsid w:val="00E32378"/>
    <w:rsid w:val="00E35708"/>
    <w:rsid w:val="00E46630"/>
    <w:rsid w:val="00E528EE"/>
    <w:rsid w:val="00E52F92"/>
    <w:rsid w:val="00E624FB"/>
    <w:rsid w:val="00E70118"/>
    <w:rsid w:val="00E733B7"/>
    <w:rsid w:val="00E76A1C"/>
    <w:rsid w:val="00E87B63"/>
    <w:rsid w:val="00E92A98"/>
    <w:rsid w:val="00ED133F"/>
    <w:rsid w:val="00EE3B95"/>
    <w:rsid w:val="00EE5ECA"/>
    <w:rsid w:val="00EF7F17"/>
    <w:rsid w:val="00EF7FDC"/>
    <w:rsid w:val="00F00D3F"/>
    <w:rsid w:val="00F052D5"/>
    <w:rsid w:val="00F126AB"/>
    <w:rsid w:val="00F27CB2"/>
    <w:rsid w:val="00F30751"/>
    <w:rsid w:val="00F328E3"/>
    <w:rsid w:val="00F64CBE"/>
    <w:rsid w:val="00F6590F"/>
    <w:rsid w:val="00FA55C5"/>
    <w:rsid w:val="00FA60BF"/>
    <w:rsid w:val="00FB376B"/>
    <w:rsid w:val="00FD527B"/>
    <w:rsid w:val="00FE07A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CB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F5062"/>
    <w:rPr>
      <w:color w:val="0563C1" w:themeColor="hyperlink"/>
      <w:u w:val="single"/>
    </w:rPr>
  </w:style>
  <w:style w:type="table" w:styleId="Tablaconcuadrcula">
    <w:name w:val="Table Grid"/>
    <w:basedOn w:val="Tablanormal"/>
    <w:uiPriority w:val="59"/>
    <w:rsid w:val="00EF7F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EF7FDC"/>
    <w:rPr>
      <w:color w:val="954F72" w:themeColor="followedHyperlink"/>
      <w:u w:val="single"/>
    </w:rPr>
  </w:style>
  <w:style w:type="character" w:customStyle="1" w:styleId="apple-converted-space">
    <w:name w:val="apple-converted-space"/>
    <w:basedOn w:val="Fuentedeprrafopredeter"/>
    <w:rsid w:val="00135676"/>
  </w:style>
  <w:style w:type="paragraph" w:styleId="Prrafodelista">
    <w:name w:val="List Paragraph"/>
    <w:basedOn w:val="Normal"/>
    <w:uiPriority w:val="34"/>
    <w:qFormat/>
    <w:rsid w:val="006F23D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orreo.salud.madrid.org/owa/redir.aspx?C=87GiwYHYhEyJDYZoTwCgEgNEftGN5tFIR_QutfySIPLk_tZOPK2ANnFzlR0m1p3cuaX19P7RQuM.&amp;URL=http%3a%2f%2fwww.sefh.es%2ffichadjuntos%2fEXTPREP_cito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ma.europa.eu/docs/es_ES/document_library/EPAR_-_Product_Information/human/000406/WC500022207.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9C70E-EA01-445B-A040-9F2CF45D2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1407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Mimia</dc:creator>
  <cp:lastModifiedBy>Sagrario</cp:lastModifiedBy>
  <cp:revision>2</cp:revision>
  <dcterms:created xsi:type="dcterms:W3CDTF">2014-12-08T15:07:00Z</dcterms:created>
  <dcterms:modified xsi:type="dcterms:W3CDTF">2014-12-08T15:07:00Z</dcterms:modified>
</cp:coreProperties>
</file>