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8644"/>
      </w:tblGrid>
      <w:tr w:rsidR="00EF7FDC" w:rsidRPr="00C95371" w:rsidTr="00F27CB2">
        <w:tc>
          <w:tcPr>
            <w:tcW w:w="8644" w:type="dxa"/>
            <w:shd w:val="clear" w:color="auto" w:fill="DEEAF6" w:themeFill="accent1" w:themeFillTint="33"/>
          </w:tcPr>
          <w:p w:rsidR="00EF7FDC" w:rsidRPr="00C95371" w:rsidRDefault="00F27CB2" w:rsidP="00F27CB2">
            <w:pP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 xml:space="preserve">Fenol 88% gotas </w:t>
            </w:r>
            <w:proofErr w:type="spellStart"/>
            <w:r>
              <w:rPr>
                <w:rFonts w:ascii="Arial" w:eastAsia="Times New Roman" w:hAnsi="Arial" w:cs="Arial"/>
                <w:b/>
                <w:bCs/>
                <w:color w:val="000000"/>
                <w:sz w:val="24"/>
                <w:szCs w:val="24"/>
                <w:lang w:eastAsia="es-ES"/>
              </w:rPr>
              <w:t>óticas</w:t>
            </w:r>
            <w:proofErr w:type="spellEnd"/>
          </w:p>
        </w:tc>
      </w:tr>
    </w:tbl>
    <w:p w:rsidR="00EF7FDC" w:rsidRPr="00C95371" w:rsidRDefault="00EF7FDC" w:rsidP="00EF7FDC">
      <w:pPr>
        <w:spacing w:after="0" w:line="240" w:lineRule="auto"/>
        <w:rPr>
          <w:rFonts w:ascii="Arial" w:eastAsia="Times New Roman" w:hAnsi="Arial" w:cs="Arial"/>
          <w:b/>
          <w:bCs/>
          <w:color w:val="000000"/>
          <w:sz w:val="24"/>
          <w:szCs w:val="24"/>
          <w:lang w:eastAsia="es-ES"/>
        </w:rPr>
      </w:pPr>
    </w:p>
    <w:p w:rsidR="004A21F0" w:rsidRDefault="00135676" w:rsidP="00135676">
      <w:pPr>
        <w:spacing w:line="360" w:lineRule="auto"/>
        <w:ind w:left="4956" w:firstLine="708"/>
        <w:jc w:val="right"/>
        <w:rPr>
          <w:rFonts w:ascii="Arial" w:hAnsi="Arial" w:cs="Arial"/>
          <w:sz w:val="24"/>
          <w:szCs w:val="24"/>
        </w:rPr>
      </w:pPr>
      <w:r>
        <w:rPr>
          <w:rFonts w:ascii="Arial" w:hAnsi="Arial" w:cs="Arial"/>
          <w:sz w:val="24"/>
          <w:szCs w:val="24"/>
        </w:rPr>
        <w:t>29</w:t>
      </w:r>
      <w:r w:rsidR="00695D6B">
        <w:rPr>
          <w:rFonts w:ascii="Arial" w:hAnsi="Arial" w:cs="Arial"/>
          <w:sz w:val="24"/>
          <w:szCs w:val="24"/>
        </w:rPr>
        <w:t>-</w:t>
      </w:r>
      <w:r>
        <w:rPr>
          <w:rFonts w:ascii="Arial" w:hAnsi="Arial" w:cs="Arial"/>
          <w:sz w:val="24"/>
          <w:szCs w:val="24"/>
        </w:rPr>
        <w:t>9</w:t>
      </w:r>
      <w:r w:rsidR="002F3733">
        <w:rPr>
          <w:rFonts w:ascii="Arial" w:hAnsi="Arial" w:cs="Arial"/>
          <w:sz w:val="24"/>
          <w:szCs w:val="24"/>
        </w:rPr>
        <w:t>-2014</w:t>
      </w:r>
    </w:p>
    <w:p w:rsidR="00135676" w:rsidRDefault="00135676" w:rsidP="00862F48">
      <w:pPr>
        <w:spacing w:line="360" w:lineRule="auto"/>
        <w:jc w:val="both"/>
        <w:rPr>
          <w:rFonts w:ascii="Arial" w:hAnsi="Arial" w:cs="Arial"/>
          <w:color w:val="000000"/>
          <w:sz w:val="24"/>
          <w:szCs w:val="24"/>
        </w:rPr>
      </w:pPr>
      <w:r>
        <w:rPr>
          <w:rFonts w:ascii="Tahoma" w:hAnsi="Tahoma" w:cs="Tahoma"/>
          <w:color w:val="000000"/>
          <w:sz w:val="10"/>
          <w:szCs w:val="10"/>
        </w:rPr>
        <w:br/>
      </w:r>
      <w:r w:rsidRPr="00135676">
        <w:rPr>
          <w:rFonts w:ascii="Arial" w:hAnsi="Arial" w:cs="Arial"/>
          <w:color w:val="000000"/>
          <w:sz w:val="24"/>
          <w:szCs w:val="24"/>
        </w:rPr>
        <w:t>Buenos días</w:t>
      </w:r>
      <w:r>
        <w:rPr>
          <w:rFonts w:ascii="Arial" w:hAnsi="Arial" w:cs="Arial"/>
          <w:color w:val="000000"/>
          <w:sz w:val="24"/>
          <w:szCs w:val="24"/>
        </w:rPr>
        <w:t>:</w:t>
      </w:r>
    </w:p>
    <w:p w:rsidR="00135676" w:rsidRDefault="00135676" w:rsidP="00862F48">
      <w:pPr>
        <w:spacing w:line="360" w:lineRule="auto"/>
        <w:jc w:val="both"/>
        <w:rPr>
          <w:rFonts w:ascii="Arial" w:hAnsi="Arial" w:cs="Arial"/>
          <w:color w:val="000000"/>
          <w:sz w:val="24"/>
          <w:szCs w:val="24"/>
        </w:rPr>
      </w:pPr>
      <w:r w:rsidRPr="00135676">
        <w:rPr>
          <w:rFonts w:ascii="Arial" w:hAnsi="Arial" w:cs="Arial"/>
          <w:color w:val="000000"/>
          <w:sz w:val="24"/>
          <w:szCs w:val="24"/>
        </w:rPr>
        <w:t>Nos solicitan desde el Servicio de Otorrino una solución de fenol para aplicarlo como anestésico local en la membrana timpánica. Nos gustaría saber si alguien dispone de referencias bibliográficas o experiencia respecto a la preparación, concentración que se prepara, conservación, estabilidad...</w:t>
      </w:r>
    </w:p>
    <w:p w:rsidR="00135676" w:rsidRDefault="00135676" w:rsidP="00862F48">
      <w:pPr>
        <w:spacing w:line="360" w:lineRule="auto"/>
        <w:jc w:val="both"/>
        <w:rPr>
          <w:rFonts w:ascii="Arial" w:hAnsi="Arial" w:cs="Arial"/>
          <w:color w:val="000000"/>
          <w:sz w:val="24"/>
          <w:szCs w:val="24"/>
        </w:rPr>
      </w:pPr>
      <w:r w:rsidRPr="00135676">
        <w:rPr>
          <w:rFonts w:ascii="Arial" w:hAnsi="Arial" w:cs="Arial"/>
          <w:color w:val="000000"/>
          <w:sz w:val="24"/>
          <w:szCs w:val="24"/>
        </w:rPr>
        <w:t>Gracias por vuestra colaboración.</w:t>
      </w:r>
    </w:p>
    <w:p w:rsidR="00EF7FDC" w:rsidRPr="007B0CE9" w:rsidRDefault="00135676" w:rsidP="00862F48">
      <w:pPr>
        <w:spacing w:line="360" w:lineRule="auto"/>
        <w:jc w:val="both"/>
        <w:rPr>
          <w:rFonts w:ascii="Arial" w:hAnsi="Arial" w:cs="Arial"/>
          <w:sz w:val="24"/>
          <w:szCs w:val="24"/>
        </w:rPr>
      </w:pPr>
      <w:r>
        <w:rPr>
          <w:rFonts w:ascii="Tahoma" w:hAnsi="Tahoma" w:cs="Tahoma"/>
          <w:color w:val="000000"/>
          <w:sz w:val="10"/>
          <w:szCs w:val="10"/>
        </w:rPr>
        <w:br/>
      </w:r>
      <w:r w:rsidR="00EF7FDC" w:rsidRPr="007B0CE9">
        <w:rPr>
          <w:rFonts w:ascii="Arial" w:hAnsi="Arial" w:cs="Arial"/>
          <w:sz w:val="24"/>
          <w:szCs w:val="24"/>
        </w:rPr>
        <w:t>Mensaje enviado por:</w:t>
      </w:r>
      <w:r>
        <w:rPr>
          <w:rFonts w:ascii="Arial" w:hAnsi="Arial" w:cs="Arial"/>
          <w:sz w:val="24"/>
          <w:szCs w:val="24"/>
        </w:rPr>
        <w:t xml:space="preserve"> FTPN</w:t>
      </w:r>
      <w:r w:rsidR="00862F48">
        <w:rPr>
          <w:rFonts w:ascii="Arial" w:hAnsi="Arial" w:cs="Arial"/>
          <w:sz w:val="24"/>
          <w:szCs w:val="24"/>
        </w:rPr>
        <w:t xml:space="preserve">. Servicio de Farmacia. </w:t>
      </w:r>
      <w:r w:rsidR="00695D6B" w:rsidRPr="00695D6B">
        <w:rPr>
          <w:rFonts w:ascii="Arial" w:hAnsi="Arial" w:cs="Arial"/>
          <w:sz w:val="24"/>
          <w:szCs w:val="24"/>
        </w:rPr>
        <w:t xml:space="preserve">Hospital General </w:t>
      </w:r>
      <w:r>
        <w:rPr>
          <w:rFonts w:ascii="Arial" w:hAnsi="Arial" w:cs="Arial"/>
          <w:sz w:val="24"/>
          <w:szCs w:val="24"/>
        </w:rPr>
        <w:t>de Almansa</w:t>
      </w:r>
    </w:p>
    <w:p w:rsidR="00EF7FDC" w:rsidRPr="00C95371" w:rsidRDefault="00EF7FDC" w:rsidP="00EF7FDC">
      <w:pPr>
        <w:spacing w:after="0" w:line="240" w:lineRule="auto"/>
        <w:rPr>
          <w:rFonts w:ascii="Arial" w:eastAsia="Times New Roman" w:hAnsi="Arial" w:cs="Arial"/>
          <w:sz w:val="24"/>
          <w:szCs w:val="24"/>
          <w:lang w:eastAsia="es-ES"/>
        </w:rPr>
      </w:pPr>
      <w:r w:rsidRPr="00C95371">
        <w:rPr>
          <w:rFonts w:ascii="Arial" w:eastAsia="Times New Roman" w:hAnsi="Arial" w:cs="Arial"/>
          <w:sz w:val="24"/>
          <w:szCs w:val="24"/>
          <w:lang w:eastAsia="es-ES"/>
        </w:rPr>
        <w:t xml:space="preserve">                        </w:t>
      </w:r>
    </w:p>
    <w:tbl>
      <w:tblPr>
        <w:tblStyle w:val="Tablaconcuadrcula"/>
        <w:tblW w:w="0" w:type="auto"/>
        <w:tblLook w:val="04A0" w:firstRow="1" w:lastRow="0" w:firstColumn="1" w:lastColumn="0" w:noHBand="0" w:noVBand="1"/>
      </w:tblPr>
      <w:tblGrid>
        <w:gridCol w:w="8644"/>
      </w:tblGrid>
      <w:tr w:rsidR="00EF7FDC" w:rsidRPr="00C95371" w:rsidTr="00F27CB2">
        <w:tc>
          <w:tcPr>
            <w:tcW w:w="8644" w:type="dxa"/>
            <w:shd w:val="clear" w:color="auto" w:fill="DEEAF6" w:themeFill="accent1" w:themeFillTint="33"/>
          </w:tcPr>
          <w:p w:rsidR="00EF7FDC" w:rsidRPr="00C95371" w:rsidRDefault="00EF7FDC" w:rsidP="00F27CB2">
            <w:pPr>
              <w:rPr>
                <w:rFonts w:ascii="Arial" w:eastAsia="Times New Roman" w:hAnsi="Arial" w:cs="Arial"/>
                <w:b/>
                <w:bCs/>
                <w:color w:val="000000"/>
                <w:sz w:val="24"/>
                <w:szCs w:val="24"/>
                <w:lang w:eastAsia="es-ES"/>
              </w:rPr>
            </w:pPr>
            <w:r w:rsidRPr="00C95371">
              <w:rPr>
                <w:rFonts w:ascii="Arial" w:eastAsia="Times New Roman" w:hAnsi="Arial" w:cs="Arial"/>
                <w:b/>
                <w:bCs/>
                <w:color w:val="000000"/>
                <w:sz w:val="24"/>
                <w:szCs w:val="24"/>
                <w:lang w:eastAsia="es-ES"/>
              </w:rPr>
              <w:t>Respuesta</w:t>
            </w:r>
            <w:r w:rsidR="00135676">
              <w:rPr>
                <w:rFonts w:ascii="Arial" w:eastAsia="Times New Roman" w:hAnsi="Arial" w:cs="Arial"/>
                <w:b/>
                <w:bCs/>
                <w:color w:val="000000"/>
                <w:sz w:val="24"/>
                <w:szCs w:val="24"/>
                <w:lang w:eastAsia="es-ES"/>
              </w:rPr>
              <w:t xml:space="preserve"> 1</w:t>
            </w:r>
          </w:p>
        </w:tc>
      </w:tr>
    </w:tbl>
    <w:p w:rsidR="00EF7FDC" w:rsidRDefault="00EF7FDC" w:rsidP="00EF7FDC">
      <w:pPr>
        <w:spacing w:after="0" w:line="240" w:lineRule="auto"/>
        <w:rPr>
          <w:rFonts w:ascii="Arial" w:eastAsia="Times New Roman" w:hAnsi="Arial" w:cs="Arial"/>
          <w:b/>
          <w:bCs/>
          <w:color w:val="000000"/>
          <w:sz w:val="24"/>
          <w:szCs w:val="24"/>
          <w:lang w:eastAsia="es-ES"/>
        </w:rPr>
      </w:pPr>
    </w:p>
    <w:p w:rsidR="00135676" w:rsidRDefault="00135676" w:rsidP="00932BAC">
      <w:pPr>
        <w:spacing w:after="0" w:line="360" w:lineRule="auto"/>
        <w:jc w:val="both"/>
        <w:rPr>
          <w:rFonts w:ascii="Arial" w:hAnsi="Arial" w:cs="Arial"/>
          <w:color w:val="000000"/>
          <w:sz w:val="24"/>
          <w:szCs w:val="24"/>
        </w:rPr>
      </w:pPr>
      <w:r>
        <w:rPr>
          <w:rFonts w:ascii="Arial" w:hAnsi="Arial" w:cs="Arial"/>
          <w:color w:val="000000"/>
          <w:sz w:val="24"/>
          <w:szCs w:val="24"/>
        </w:rPr>
        <w:t xml:space="preserve">Buenos </w:t>
      </w:r>
      <w:r w:rsidRPr="00135676">
        <w:rPr>
          <w:rFonts w:ascii="Arial" w:hAnsi="Arial" w:cs="Arial"/>
          <w:color w:val="000000"/>
          <w:sz w:val="24"/>
          <w:szCs w:val="24"/>
        </w:rPr>
        <w:t>días</w:t>
      </w:r>
      <w:r>
        <w:rPr>
          <w:rFonts w:ascii="Arial" w:hAnsi="Arial" w:cs="Arial"/>
          <w:color w:val="000000"/>
          <w:sz w:val="24"/>
          <w:szCs w:val="24"/>
        </w:rPr>
        <w:t xml:space="preserve">: </w:t>
      </w:r>
    </w:p>
    <w:p w:rsidR="00932BAC" w:rsidRPr="00135676" w:rsidRDefault="00135676" w:rsidP="00932BAC">
      <w:pPr>
        <w:spacing w:after="0" w:line="360" w:lineRule="auto"/>
        <w:jc w:val="both"/>
        <w:rPr>
          <w:rFonts w:ascii="Arial" w:eastAsia="Times New Roman" w:hAnsi="Arial" w:cs="Arial"/>
          <w:bCs/>
          <w:color w:val="000000"/>
          <w:sz w:val="24"/>
          <w:szCs w:val="24"/>
          <w:lang w:eastAsia="es-ES"/>
        </w:rPr>
      </w:pPr>
      <w:r w:rsidRPr="00135676">
        <w:rPr>
          <w:rFonts w:ascii="Arial" w:hAnsi="Arial" w:cs="Arial"/>
          <w:color w:val="000000"/>
          <w:sz w:val="24"/>
          <w:szCs w:val="24"/>
        </w:rPr>
        <w:br/>
        <w:t>En mi hospital preparamos una Sol acuosa de Fenol 88%.</w:t>
      </w:r>
      <w:r w:rsidRPr="00135676">
        <w:rPr>
          <w:rStyle w:val="apple-converted-space"/>
          <w:rFonts w:ascii="Arial" w:hAnsi="Arial" w:cs="Arial"/>
          <w:color w:val="000000"/>
          <w:sz w:val="24"/>
          <w:szCs w:val="24"/>
        </w:rPr>
        <w:t> </w:t>
      </w:r>
      <w:r w:rsidRPr="00135676">
        <w:rPr>
          <w:rFonts w:ascii="Arial" w:hAnsi="Arial" w:cs="Arial"/>
          <w:color w:val="000000"/>
          <w:sz w:val="24"/>
          <w:szCs w:val="24"/>
        </w:rPr>
        <w:br/>
        <w:t>Adjunto la ficha de preparación, espero sea útil.</w:t>
      </w:r>
      <w:r w:rsidRPr="00135676">
        <w:rPr>
          <w:rFonts w:ascii="Arial" w:hAnsi="Arial" w:cs="Arial"/>
          <w:color w:val="000000"/>
          <w:sz w:val="24"/>
          <w:szCs w:val="24"/>
        </w:rPr>
        <w:br/>
        <w:t>Un saludo,</w:t>
      </w:r>
    </w:p>
    <w:p w:rsidR="00932BAC" w:rsidRPr="00932BAC" w:rsidRDefault="00932BAC" w:rsidP="00932BAC">
      <w:pPr>
        <w:spacing w:after="0" w:line="240" w:lineRule="auto"/>
        <w:jc w:val="both"/>
        <w:rPr>
          <w:rFonts w:ascii="Arial" w:eastAsia="Times New Roman" w:hAnsi="Arial" w:cs="Arial"/>
          <w:bCs/>
          <w:color w:val="000000"/>
          <w:sz w:val="24"/>
          <w:szCs w:val="24"/>
          <w:lang w:eastAsia="es-ES"/>
        </w:rPr>
      </w:pPr>
    </w:p>
    <w:p w:rsidR="00932BAC" w:rsidRPr="00932BAC" w:rsidRDefault="00932BAC" w:rsidP="00932BAC">
      <w:pPr>
        <w:spacing w:after="0" w:line="240" w:lineRule="auto"/>
        <w:jc w:val="both"/>
        <w:rPr>
          <w:rFonts w:ascii="Arial" w:eastAsia="Times New Roman" w:hAnsi="Arial" w:cs="Arial"/>
          <w:bCs/>
          <w:color w:val="000000"/>
          <w:sz w:val="24"/>
          <w:szCs w:val="24"/>
          <w:lang w:eastAsia="es-ES"/>
        </w:rPr>
      </w:pPr>
      <w:r w:rsidRPr="00932BAC">
        <w:rPr>
          <w:rFonts w:ascii="Arial" w:eastAsia="Times New Roman" w:hAnsi="Arial" w:cs="Arial"/>
          <w:bCs/>
          <w:color w:val="000000"/>
          <w:sz w:val="24"/>
          <w:szCs w:val="24"/>
          <w:lang w:eastAsia="es-ES"/>
        </w:rPr>
        <w:t>Archivos adjuntos:</w:t>
      </w:r>
    </w:p>
    <w:p w:rsidR="00932BAC" w:rsidRPr="00932BAC" w:rsidRDefault="00932BAC" w:rsidP="00932BAC">
      <w:pPr>
        <w:spacing w:after="0" w:line="240" w:lineRule="auto"/>
        <w:jc w:val="both"/>
        <w:rPr>
          <w:rFonts w:ascii="Arial" w:eastAsia="Times New Roman" w:hAnsi="Arial" w:cs="Arial"/>
          <w:bCs/>
          <w:color w:val="000000"/>
          <w:sz w:val="24"/>
          <w:szCs w:val="24"/>
          <w:lang w:eastAsia="es-ES"/>
        </w:rPr>
      </w:pPr>
    </w:p>
    <w:p w:rsidR="00932BAC" w:rsidRPr="00135676" w:rsidRDefault="00E0017E" w:rsidP="00932BAC">
      <w:pPr>
        <w:spacing w:after="0" w:line="240" w:lineRule="auto"/>
        <w:jc w:val="both"/>
        <w:rPr>
          <w:rFonts w:ascii="Arial" w:eastAsia="Times New Roman" w:hAnsi="Arial" w:cs="Arial"/>
          <w:bCs/>
          <w:color w:val="000000"/>
          <w:sz w:val="24"/>
          <w:szCs w:val="24"/>
          <w:lang w:eastAsia="es-ES"/>
        </w:rPr>
      </w:pPr>
      <w:hyperlink r:id="rId5" w:tgtFrame="_blank" w:history="1">
        <w:r w:rsidR="00135676" w:rsidRPr="00135676">
          <w:rPr>
            <w:rStyle w:val="Hipervnculo"/>
            <w:rFonts w:ascii="Tahoma" w:hAnsi="Tahoma" w:cs="Tahoma"/>
            <w:sz w:val="24"/>
            <w:szCs w:val="24"/>
          </w:rPr>
          <w:t>http://www.sefh.es/fichadjuntos/FichaControlgotasoticasfenol88_.pdf</w:t>
        </w:r>
      </w:hyperlink>
    </w:p>
    <w:p w:rsidR="002F3733" w:rsidRPr="002F3733" w:rsidRDefault="002F3733" w:rsidP="002F3733">
      <w:pPr>
        <w:spacing w:after="0" w:line="240" w:lineRule="auto"/>
        <w:jc w:val="both"/>
        <w:rPr>
          <w:rFonts w:ascii="Arial" w:eastAsia="Times New Roman" w:hAnsi="Arial" w:cs="Arial"/>
          <w:bCs/>
          <w:color w:val="000000"/>
          <w:sz w:val="24"/>
          <w:szCs w:val="24"/>
          <w:lang w:eastAsia="es-ES"/>
        </w:rPr>
      </w:pPr>
    </w:p>
    <w:p w:rsidR="00BE5C60" w:rsidRPr="002F3733" w:rsidRDefault="00BE5C60" w:rsidP="002F3733">
      <w:pPr>
        <w:ind w:left="4248" w:firstLine="708"/>
        <w:jc w:val="both"/>
        <w:rPr>
          <w:rFonts w:ascii="Arial" w:hAnsi="Arial" w:cs="Arial"/>
          <w:sz w:val="24"/>
          <w:szCs w:val="24"/>
        </w:rPr>
      </w:pPr>
      <w:r w:rsidRPr="002F3733">
        <w:rPr>
          <w:rFonts w:ascii="Arial" w:hAnsi="Arial" w:cs="Arial"/>
          <w:sz w:val="24"/>
          <w:szCs w:val="24"/>
        </w:rPr>
        <w:t>[</w:t>
      </w:r>
      <w:r w:rsidR="00135676">
        <w:rPr>
          <w:rFonts w:ascii="Arial" w:hAnsi="Arial" w:cs="Arial"/>
          <w:sz w:val="24"/>
          <w:szCs w:val="24"/>
        </w:rPr>
        <w:t>Respuesta enviada</w:t>
      </w:r>
      <w:r w:rsidRPr="002F3733">
        <w:rPr>
          <w:rFonts w:ascii="Arial" w:hAnsi="Arial" w:cs="Arial"/>
          <w:sz w:val="24"/>
          <w:szCs w:val="24"/>
        </w:rPr>
        <w:t>:</w:t>
      </w:r>
      <w:r w:rsidR="00932BAC">
        <w:rPr>
          <w:rFonts w:ascii="Arial" w:hAnsi="Arial" w:cs="Arial"/>
          <w:sz w:val="24"/>
          <w:szCs w:val="24"/>
        </w:rPr>
        <w:t xml:space="preserve"> </w:t>
      </w:r>
      <w:r w:rsidR="00135676">
        <w:rPr>
          <w:rFonts w:ascii="Arial" w:hAnsi="Arial" w:cs="Arial"/>
          <w:sz w:val="24"/>
          <w:szCs w:val="24"/>
        </w:rPr>
        <w:t>1-10</w:t>
      </w:r>
      <w:r w:rsidR="002F3733">
        <w:rPr>
          <w:rFonts w:ascii="Arial" w:hAnsi="Arial" w:cs="Arial"/>
          <w:sz w:val="24"/>
          <w:szCs w:val="24"/>
        </w:rPr>
        <w:t>-2014</w:t>
      </w:r>
      <w:r w:rsidRPr="002F3733">
        <w:rPr>
          <w:rFonts w:ascii="Arial" w:hAnsi="Arial" w:cs="Arial"/>
          <w:sz w:val="24"/>
          <w:szCs w:val="24"/>
        </w:rPr>
        <w:t>]</w:t>
      </w:r>
    </w:p>
    <w:p w:rsidR="004F5062" w:rsidRDefault="00EF7FDC" w:rsidP="002F3733">
      <w:pPr>
        <w:jc w:val="both"/>
        <w:rPr>
          <w:rFonts w:ascii="Arial" w:hAnsi="Arial" w:cs="Arial"/>
          <w:sz w:val="24"/>
          <w:szCs w:val="24"/>
        </w:rPr>
      </w:pPr>
      <w:r w:rsidRPr="002F3733">
        <w:rPr>
          <w:rFonts w:ascii="Arial" w:hAnsi="Arial" w:cs="Arial"/>
          <w:sz w:val="24"/>
          <w:szCs w:val="24"/>
        </w:rPr>
        <w:t xml:space="preserve">Respuesta enviada por: </w:t>
      </w:r>
      <w:r w:rsidR="00135676">
        <w:rPr>
          <w:rFonts w:ascii="Arial" w:hAnsi="Arial" w:cs="Arial"/>
          <w:sz w:val="24"/>
          <w:szCs w:val="24"/>
        </w:rPr>
        <w:t>Elena Navas Armero (Complejo Hospitalario de Toledo)</w:t>
      </w:r>
    </w:p>
    <w:tbl>
      <w:tblPr>
        <w:tblStyle w:val="Tablaconcuadrcula"/>
        <w:tblW w:w="0" w:type="auto"/>
        <w:shd w:val="clear" w:color="auto" w:fill="DEEAF6" w:themeFill="accent1" w:themeFillTint="33"/>
        <w:tblLook w:val="04A0" w:firstRow="1" w:lastRow="0" w:firstColumn="1" w:lastColumn="0" w:noHBand="0" w:noVBand="1"/>
      </w:tblPr>
      <w:tblGrid>
        <w:gridCol w:w="8644"/>
      </w:tblGrid>
      <w:tr w:rsidR="00135676" w:rsidTr="00135676">
        <w:trPr>
          <w:trHeight w:val="340"/>
        </w:trPr>
        <w:tc>
          <w:tcPr>
            <w:tcW w:w="8644" w:type="dxa"/>
            <w:shd w:val="clear" w:color="auto" w:fill="DEEAF6" w:themeFill="accent1" w:themeFillTint="33"/>
          </w:tcPr>
          <w:p w:rsidR="00135676" w:rsidRDefault="00135676" w:rsidP="00135676">
            <w:pPr>
              <w:spacing w:after="160" w:line="259" w:lineRule="auto"/>
              <w:rPr>
                <w:rFonts w:ascii="Arial" w:hAnsi="Arial" w:cs="Arial"/>
                <w:sz w:val="24"/>
                <w:szCs w:val="24"/>
              </w:rPr>
            </w:pPr>
            <w:r w:rsidRPr="00C95371">
              <w:rPr>
                <w:rFonts w:ascii="Arial" w:eastAsia="Times New Roman" w:hAnsi="Arial" w:cs="Arial"/>
                <w:b/>
                <w:bCs/>
                <w:color w:val="000000"/>
                <w:sz w:val="24"/>
                <w:szCs w:val="24"/>
                <w:lang w:eastAsia="es-ES"/>
              </w:rPr>
              <w:t>Respuesta</w:t>
            </w:r>
            <w:r>
              <w:rPr>
                <w:rFonts w:ascii="Arial" w:eastAsia="Times New Roman" w:hAnsi="Arial" w:cs="Arial"/>
                <w:b/>
                <w:bCs/>
                <w:color w:val="000000"/>
                <w:sz w:val="24"/>
                <w:szCs w:val="24"/>
                <w:lang w:eastAsia="es-ES"/>
              </w:rPr>
              <w:t xml:space="preserve"> 2</w:t>
            </w:r>
          </w:p>
        </w:tc>
      </w:tr>
    </w:tbl>
    <w:p w:rsidR="00135676" w:rsidRDefault="00135676" w:rsidP="002F3733">
      <w:pPr>
        <w:jc w:val="both"/>
        <w:rPr>
          <w:rFonts w:ascii="Arial" w:hAnsi="Arial" w:cs="Arial"/>
          <w:sz w:val="24"/>
          <w:szCs w:val="24"/>
        </w:rPr>
      </w:pPr>
    </w:p>
    <w:p w:rsidR="00135676" w:rsidRDefault="00135676" w:rsidP="002F3733">
      <w:pPr>
        <w:jc w:val="both"/>
        <w:rPr>
          <w:rStyle w:val="apple-converted-space"/>
          <w:rFonts w:ascii="Arial" w:hAnsi="Arial" w:cs="Arial"/>
          <w:color w:val="000000"/>
          <w:sz w:val="24"/>
          <w:szCs w:val="24"/>
        </w:rPr>
      </w:pPr>
      <w:r>
        <w:rPr>
          <w:rFonts w:ascii="Tahoma" w:hAnsi="Tahoma" w:cs="Tahoma"/>
          <w:color w:val="000000"/>
          <w:sz w:val="10"/>
          <w:szCs w:val="10"/>
        </w:rPr>
        <w:br/>
      </w:r>
      <w:r w:rsidRPr="00135676">
        <w:rPr>
          <w:rFonts w:ascii="Arial" w:hAnsi="Arial" w:cs="Arial"/>
          <w:color w:val="000000"/>
          <w:sz w:val="24"/>
          <w:szCs w:val="24"/>
        </w:rPr>
        <w:t>El fenol se utiliza en terapéutica para indicaciones muy diversas como bloqu</w:t>
      </w:r>
      <w:r>
        <w:rPr>
          <w:rFonts w:ascii="Arial" w:hAnsi="Arial" w:cs="Arial"/>
          <w:color w:val="000000"/>
          <w:sz w:val="24"/>
          <w:szCs w:val="24"/>
        </w:rPr>
        <w:t xml:space="preserve">eo </w:t>
      </w:r>
      <w:proofErr w:type="spellStart"/>
      <w:r>
        <w:rPr>
          <w:rFonts w:ascii="Arial" w:hAnsi="Arial" w:cs="Arial"/>
          <w:color w:val="000000"/>
          <w:sz w:val="24"/>
          <w:szCs w:val="24"/>
        </w:rPr>
        <w:t>neurolítico</w:t>
      </w:r>
      <w:proofErr w:type="spellEnd"/>
      <w:r>
        <w:rPr>
          <w:rFonts w:ascii="Arial" w:hAnsi="Arial" w:cs="Arial"/>
          <w:color w:val="000000"/>
          <w:sz w:val="24"/>
          <w:szCs w:val="24"/>
        </w:rPr>
        <w:t xml:space="preserve">, exfoliación química, </w:t>
      </w:r>
      <w:proofErr w:type="spellStart"/>
      <w:r>
        <w:rPr>
          <w:rFonts w:ascii="Arial" w:hAnsi="Arial" w:cs="Arial"/>
          <w:color w:val="000000"/>
          <w:sz w:val="24"/>
          <w:szCs w:val="24"/>
        </w:rPr>
        <w:t>despigmentante</w:t>
      </w:r>
      <w:proofErr w:type="spellEnd"/>
      <w:r>
        <w:rPr>
          <w:rFonts w:ascii="Arial" w:hAnsi="Arial" w:cs="Arial"/>
          <w:color w:val="000000"/>
          <w:sz w:val="24"/>
          <w:szCs w:val="24"/>
        </w:rPr>
        <w:t xml:space="preserve"> en vitíligo</w:t>
      </w:r>
      <w:r w:rsidRPr="00135676">
        <w:rPr>
          <w:rFonts w:ascii="Arial" w:hAnsi="Arial" w:cs="Arial"/>
          <w:color w:val="000000"/>
          <w:sz w:val="24"/>
          <w:szCs w:val="24"/>
        </w:rPr>
        <w:t>,</w:t>
      </w:r>
      <w:r>
        <w:rPr>
          <w:rFonts w:ascii="Arial" w:hAnsi="Arial" w:cs="Arial"/>
          <w:color w:val="000000"/>
          <w:sz w:val="24"/>
          <w:szCs w:val="24"/>
        </w:rPr>
        <w:t xml:space="preserve"> </w:t>
      </w:r>
      <w:proofErr w:type="spellStart"/>
      <w:r w:rsidRPr="00135676">
        <w:rPr>
          <w:rFonts w:ascii="Arial" w:hAnsi="Arial" w:cs="Arial"/>
          <w:color w:val="000000"/>
          <w:sz w:val="24"/>
          <w:szCs w:val="24"/>
        </w:rPr>
        <w:t>matricectomía</w:t>
      </w:r>
      <w:proofErr w:type="spellEnd"/>
      <w:r w:rsidRPr="00135676">
        <w:rPr>
          <w:rFonts w:ascii="Arial" w:hAnsi="Arial" w:cs="Arial"/>
          <w:color w:val="000000"/>
          <w:sz w:val="24"/>
          <w:szCs w:val="24"/>
        </w:rPr>
        <w:t xml:space="preserve"> química en uña </w:t>
      </w:r>
      <w:proofErr w:type="spellStart"/>
      <w:r w:rsidRPr="00135676">
        <w:rPr>
          <w:rFonts w:ascii="Arial" w:hAnsi="Arial" w:cs="Arial"/>
          <w:color w:val="000000"/>
          <w:sz w:val="24"/>
          <w:szCs w:val="24"/>
        </w:rPr>
        <w:t>incarnada</w:t>
      </w:r>
      <w:proofErr w:type="spellEnd"/>
      <w:r w:rsidRPr="00135676">
        <w:rPr>
          <w:rFonts w:ascii="Arial" w:hAnsi="Arial" w:cs="Arial"/>
          <w:color w:val="000000"/>
          <w:sz w:val="24"/>
          <w:szCs w:val="24"/>
        </w:rPr>
        <w:t xml:space="preserve"> y como anestésico local en maniobras de ORL como para l</w:t>
      </w:r>
      <w:r>
        <w:rPr>
          <w:rFonts w:ascii="Arial" w:hAnsi="Arial" w:cs="Arial"/>
          <w:color w:val="000000"/>
          <w:sz w:val="24"/>
          <w:szCs w:val="24"/>
        </w:rPr>
        <w:t>a que se solicita información (</w:t>
      </w:r>
      <w:r w:rsidRPr="00135676">
        <w:rPr>
          <w:rFonts w:ascii="Arial" w:hAnsi="Arial" w:cs="Arial"/>
          <w:color w:val="000000"/>
          <w:sz w:val="24"/>
          <w:szCs w:val="24"/>
        </w:rPr>
        <w:t>membrana timpánica), entre otros.</w:t>
      </w:r>
      <w:r w:rsidRPr="00135676">
        <w:rPr>
          <w:rFonts w:ascii="Arial" w:hAnsi="Arial" w:cs="Arial"/>
          <w:color w:val="000000"/>
          <w:sz w:val="24"/>
          <w:szCs w:val="24"/>
        </w:rPr>
        <w:br/>
      </w:r>
      <w:r w:rsidRPr="00135676">
        <w:rPr>
          <w:rFonts w:ascii="Arial" w:hAnsi="Arial" w:cs="Arial"/>
          <w:color w:val="000000"/>
          <w:sz w:val="24"/>
          <w:szCs w:val="24"/>
        </w:rPr>
        <w:br/>
        <w:t>Adjuntamos algunas referenc</w:t>
      </w:r>
      <w:r>
        <w:rPr>
          <w:rFonts w:ascii="Arial" w:hAnsi="Arial" w:cs="Arial"/>
          <w:color w:val="000000"/>
          <w:sz w:val="24"/>
          <w:szCs w:val="24"/>
        </w:rPr>
        <w:t>ias bibliográficas, la concentración</w:t>
      </w:r>
      <w:r w:rsidRPr="00135676">
        <w:rPr>
          <w:rFonts w:ascii="Arial" w:hAnsi="Arial" w:cs="Arial"/>
          <w:color w:val="000000"/>
          <w:sz w:val="24"/>
          <w:szCs w:val="24"/>
        </w:rPr>
        <w:t xml:space="preserve"> más utilizada </w:t>
      </w:r>
      <w:r w:rsidRPr="00135676">
        <w:rPr>
          <w:rFonts w:ascii="Arial" w:hAnsi="Arial" w:cs="Arial"/>
          <w:color w:val="000000"/>
          <w:sz w:val="24"/>
          <w:szCs w:val="24"/>
        </w:rPr>
        <w:lastRenderedPageBreak/>
        <w:t>es al 88% aunque también está descrita al 50 %.</w:t>
      </w:r>
      <w:r w:rsidRPr="00135676">
        <w:rPr>
          <w:rFonts w:ascii="Arial" w:hAnsi="Arial" w:cs="Arial"/>
          <w:color w:val="000000"/>
          <w:sz w:val="24"/>
          <w:szCs w:val="24"/>
        </w:rPr>
        <w:br/>
        <w:t xml:space="preserve">Los laboratorios que distribuyen materias primas utilizan dos </w:t>
      </w:r>
      <w:proofErr w:type="gramStart"/>
      <w:r w:rsidRPr="00135676">
        <w:rPr>
          <w:rFonts w:ascii="Arial" w:hAnsi="Arial" w:cs="Arial"/>
          <w:color w:val="000000"/>
          <w:sz w:val="24"/>
          <w:szCs w:val="24"/>
        </w:rPr>
        <w:t>presentaciones :</w:t>
      </w:r>
      <w:proofErr w:type="gramEnd"/>
      <w:r w:rsidRPr="00135676">
        <w:rPr>
          <w:rFonts w:ascii="Arial" w:hAnsi="Arial" w:cs="Arial"/>
          <w:color w:val="000000"/>
          <w:sz w:val="24"/>
          <w:szCs w:val="24"/>
        </w:rPr>
        <w:t xml:space="preserve"> fenol y fenol 90%. El fenol se presenta cristalizado y para manejarlo se funde en baño termostático y se licúa. El fenol 90 % es líquido y es más fácilmente manipulable. Hay que tener en cuenta que la concentración se expresa en peso /peso, es decir 90 g de fenol en 100 g de solución y según</w:t>
      </w:r>
      <w:r>
        <w:rPr>
          <w:rFonts w:ascii="Arial" w:hAnsi="Arial" w:cs="Arial"/>
          <w:color w:val="000000"/>
          <w:sz w:val="24"/>
          <w:szCs w:val="24"/>
        </w:rPr>
        <w:t xml:space="preserve"> datos de boletín de análisis (</w:t>
      </w:r>
      <w:r w:rsidRPr="00135676">
        <w:rPr>
          <w:rFonts w:ascii="Arial" w:hAnsi="Arial" w:cs="Arial"/>
          <w:color w:val="000000"/>
          <w:sz w:val="24"/>
          <w:szCs w:val="24"/>
        </w:rPr>
        <w:t xml:space="preserve">nosotros utilizamos fenol 90% que suministra </w:t>
      </w:r>
      <w:proofErr w:type="spellStart"/>
      <w:r w:rsidRPr="00135676">
        <w:rPr>
          <w:rFonts w:ascii="Arial" w:hAnsi="Arial" w:cs="Arial"/>
          <w:color w:val="000000"/>
          <w:sz w:val="24"/>
          <w:szCs w:val="24"/>
        </w:rPr>
        <w:t>Acofarma</w:t>
      </w:r>
      <w:proofErr w:type="spellEnd"/>
      <w:r w:rsidRPr="00135676">
        <w:rPr>
          <w:rFonts w:ascii="Arial" w:hAnsi="Arial" w:cs="Arial"/>
          <w:color w:val="000000"/>
          <w:sz w:val="24"/>
          <w:szCs w:val="24"/>
        </w:rPr>
        <w:t xml:space="preserve">), 100 g de solución se corresponden con 93 </w:t>
      </w:r>
      <w:proofErr w:type="spellStart"/>
      <w:r w:rsidRPr="00135676">
        <w:rPr>
          <w:rFonts w:ascii="Arial" w:hAnsi="Arial" w:cs="Arial"/>
          <w:color w:val="000000"/>
          <w:sz w:val="24"/>
          <w:szCs w:val="24"/>
        </w:rPr>
        <w:t>mL</w:t>
      </w:r>
      <w:proofErr w:type="spellEnd"/>
      <w:r w:rsidRPr="00135676">
        <w:rPr>
          <w:rFonts w:ascii="Arial" w:hAnsi="Arial" w:cs="Arial"/>
          <w:color w:val="000000"/>
          <w:sz w:val="24"/>
          <w:szCs w:val="24"/>
        </w:rPr>
        <w:t>.</w:t>
      </w:r>
    </w:p>
    <w:p w:rsidR="00135676" w:rsidRDefault="00135676" w:rsidP="002F3733">
      <w:pPr>
        <w:jc w:val="both"/>
        <w:rPr>
          <w:rFonts w:ascii="Arial" w:hAnsi="Arial" w:cs="Arial"/>
          <w:color w:val="000000"/>
          <w:sz w:val="24"/>
          <w:szCs w:val="24"/>
        </w:rPr>
      </w:pPr>
      <w:r w:rsidRPr="00135676">
        <w:rPr>
          <w:rFonts w:ascii="Arial" w:hAnsi="Arial" w:cs="Arial"/>
          <w:color w:val="000000"/>
          <w:sz w:val="24"/>
          <w:szCs w:val="24"/>
        </w:rPr>
        <w:t>La manipulación del fenol es problemática puesto que es una sustancia muy tóxica, debe hacerse bajo campana extractora y usando mascarilla de seguridad apropiada para productos volátiles.</w:t>
      </w:r>
    </w:p>
    <w:p w:rsidR="00135676" w:rsidRDefault="00135676" w:rsidP="002F3733">
      <w:pPr>
        <w:jc w:val="both"/>
        <w:rPr>
          <w:rFonts w:ascii="Arial" w:hAnsi="Arial" w:cs="Arial"/>
          <w:color w:val="000000"/>
          <w:sz w:val="24"/>
          <w:szCs w:val="24"/>
        </w:rPr>
      </w:pPr>
      <w:r w:rsidRPr="00135676">
        <w:rPr>
          <w:rFonts w:ascii="Arial" w:hAnsi="Arial" w:cs="Arial"/>
          <w:color w:val="000000"/>
          <w:sz w:val="24"/>
          <w:szCs w:val="24"/>
        </w:rPr>
        <w:t xml:space="preserve">Adjunto PNT del Complexo Hospitalario Universitario de Pontevedra, donde se utiliza principalmente en dermatología y al 88% por si puede ser de utilidad. Para bloqueos </w:t>
      </w:r>
      <w:proofErr w:type="spellStart"/>
      <w:r w:rsidRPr="00135676">
        <w:rPr>
          <w:rFonts w:ascii="Arial" w:hAnsi="Arial" w:cs="Arial"/>
          <w:color w:val="000000"/>
          <w:sz w:val="24"/>
          <w:szCs w:val="24"/>
        </w:rPr>
        <w:t>neurolíticos</w:t>
      </w:r>
      <w:proofErr w:type="spellEnd"/>
      <w:r w:rsidRPr="00135676">
        <w:rPr>
          <w:rFonts w:ascii="Arial" w:hAnsi="Arial" w:cs="Arial"/>
          <w:color w:val="000000"/>
          <w:sz w:val="24"/>
          <w:szCs w:val="24"/>
        </w:rPr>
        <w:t xml:space="preserve"> u otro tipo de indicaciones por vía parenteral habría que elaborarlo en recipientes estériles y realizar las operaciones en una cabina de flujo laminar vertical una vez finalizado el resto de los tratamientos. Para establecer la caducidad se debe valorar el nivel de riesgo de la preparación y aplicar la matriz y recomendaciones que es establecen en la “Guía de buenas prácticas de preparación de medicamentos en los servicios de Farmacia Hospitalaria” recientemente publicada por el Ministerio de Sanidad.</w:t>
      </w:r>
      <w:r w:rsidRPr="00135676">
        <w:rPr>
          <w:rFonts w:ascii="Arial" w:hAnsi="Arial" w:cs="Arial"/>
          <w:color w:val="000000"/>
          <w:sz w:val="24"/>
          <w:szCs w:val="24"/>
        </w:rPr>
        <w:br/>
        <w:t>Sobre la estabilidad físico- química aunque no conozco estudios de estabilidad al 88</w:t>
      </w:r>
      <w:proofErr w:type="gramStart"/>
      <w:r w:rsidRPr="00135676">
        <w:rPr>
          <w:rFonts w:ascii="Arial" w:hAnsi="Arial" w:cs="Arial"/>
          <w:color w:val="000000"/>
          <w:sz w:val="24"/>
          <w:szCs w:val="24"/>
        </w:rPr>
        <w:t>% ,</w:t>
      </w:r>
      <w:proofErr w:type="gramEnd"/>
      <w:r w:rsidRPr="00135676">
        <w:rPr>
          <w:rFonts w:ascii="Arial" w:hAnsi="Arial" w:cs="Arial"/>
          <w:color w:val="000000"/>
          <w:sz w:val="24"/>
          <w:szCs w:val="24"/>
        </w:rPr>
        <w:t xml:space="preserve"> está comercializado al 90% lo que nos indica que es una solución muy estable y una buena base para establecer un período de validez razonable.</w:t>
      </w:r>
      <w:r w:rsidRPr="00135676">
        <w:rPr>
          <w:rFonts w:ascii="Arial" w:hAnsi="Arial" w:cs="Arial"/>
          <w:color w:val="000000"/>
          <w:sz w:val="24"/>
          <w:szCs w:val="24"/>
        </w:rPr>
        <w:br/>
      </w:r>
    </w:p>
    <w:p w:rsidR="00135676" w:rsidRDefault="00135676" w:rsidP="002F3733">
      <w:pPr>
        <w:jc w:val="both"/>
        <w:rPr>
          <w:rStyle w:val="apple-converted-space"/>
          <w:rFonts w:ascii="Arial" w:hAnsi="Arial" w:cs="Arial"/>
          <w:color w:val="000000"/>
          <w:sz w:val="24"/>
          <w:szCs w:val="24"/>
        </w:rPr>
      </w:pPr>
      <w:r w:rsidRPr="00135676">
        <w:rPr>
          <w:rFonts w:ascii="Arial" w:hAnsi="Arial" w:cs="Arial"/>
          <w:color w:val="000000"/>
          <w:sz w:val="24"/>
          <w:szCs w:val="24"/>
        </w:rPr>
        <w:t>Bibliografía:</w:t>
      </w:r>
      <w:r w:rsidRPr="00135676">
        <w:rPr>
          <w:rFonts w:ascii="Arial" w:hAnsi="Arial" w:cs="Arial"/>
          <w:color w:val="000000"/>
          <w:sz w:val="24"/>
          <w:szCs w:val="24"/>
        </w:rPr>
        <w:br/>
      </w:r>
      <w:r w:rsidRPr="00135676">
        <w:rPr>
          <w:rFonts w:ascii="Arial" w:hAnsi="Arial" w:cs="Arial"/>
          <w:b/>
          <w:color w:val="000000"/>
          <w:sz w:val="24"/>
          <w:szCs w:val="24"/>
        </w:rPr>
        <w:t>Fenol 80 %</w:t>
      </w:r>
      <w:r w:rsidRPr="00135676">
        <w:rPr>
          <w:rStyle w:val="apple-converted-space"/>
          <w:rFonts w:ascii="Arial" w:hAnsi="Arial" w:cs="Arial"/>
          <w:color w:val="000000"/>
          <w:sz w:val="24"/>
          <w:szCs w:val="24"/>
        </w:rPr>
        <w:t> </w:t>
      </w:r>
      <w:r>
        <w:rPr>
          <w:rStyle w:val="apple-converted-space"/>
          <w:rFonts w:ascii="Arial" w:hAnsi="Arial" w:cs="Arial"/>
          <w:color w:val="000000"/>
          <w:sz w:val="24"/>
          <w:szCs w:val="24"/>
        </w:rPr>
        <w:t xml:space="preserve"> </w:t>
      </w:r>
    </w:p>
    <w:p w:rsidR="00135676" w:rsidRDefault="00135676" w:rsidP="002F3733">
      <w:pPr>
        <w:jc w:val="both"/>
        <w:rPr>
          <w:rFonts w:ascii="Arial" w:hAnsi="Arial" w:cs="Arial"/>
          <w:color w:val="000000"/>
          <w:sz w:val="24"/>
          <w:szCs w:val="24"/>
        </w:rPr>
      </w:pPr>
      <w:proofErr w:type="spellStart"/>
      <w:r w:rsidRPr="00135676">
        <w:rPr>
          <w:rFonts w:ascii="Arial" w:hAnsi="Arial" w:cs="Arial"/>
          <w:color w:val="000000"/>
          <w:sz w:val="24"/>
          <w:szCs w:val="24"/>
        </w:rPr>
        <w:t>Herraiz</w:t>
      </w:r>
      <w:proofErr w:type="spellEnd"/>
      <w:r w:rsidRPr="00135676">
        <w:rPr>
          <w:rFonts w:ascii="Arial" w:hAnsi="Arial" w:cs="Arial"/>
          <w:color w:val="000000"/>
          <w:sz w:val="24"/>
          <w:szCs w:val="24"/>
        </w:rPr>
        <w:t xml:space="preserve">, C., Miguel Aparicio, J., &amp; Plaza, G. (2010). Vía </w:t>
      </w:r>
      <w:proofErr w:type="spellStart"/>
      <w:r w:rsidRPr="00135676">
        <w:rPr>
          <w:rFonts w:ascii="Arial" w:hAnsi="Arial" w:cs="Arial"/>
          <w:color w:val="000000"/>
          <w:sz w:val="24"/>
          <w:szCs w:val="24"/>
        </w:rPr>
        <w:t>intratimpánica</w:t>
      </w:r>
      <w:proofErr w:type="spellEnd"/>
      <w:r w:rsidRPr="00135676">
        <w:rPr>
          <w:rFonts w:ascii="Arial" w:hAnsi="Arial" w:cs="Arial"/>
          <w:color w:val="000000"/>
          <w:sz w:val="24"/>
          <w:szCs w:val="24"/>
        </w:rPr>
        <w:t xml:space="preserve"> en el tratamiento de patología de oído interno. Acta Otorrinolaringológica Española, 61(3), 225-232.</w:t>
      </w:r>
      <w:r>
        <w:rPr>
          <w:rFonts w:ascii="Arial" w:hAnsi="Arial" w:cs="Arial"/>
          <w:color w:val="000000"/>
          <w:sz w:val="24"/>
          <w:szCs w:val="24"/>
        </w:rPr>
        <w:t xml:space="preserve"> </w:t>
      </w:r>
    </w:p>
    <w:p w:rsidR="00135676" w:rsidRDefault="00135676" w:rsidP="002F3733">
      <w:pPr>
        <w:jc w:val="both"/>
        <w:rPr>
          <w:rStyle w:val="apple-converted-space"/>
          <w:rFonts w:ascii="Arial" w:hAnsi="Arial" w:cs="Arial"/>
          <w:color w:val="000000"/>
          <w:sz w:val="24"/>
          <w:szCs w:val="24"/>
        </w:rPr>
      </w:pPr>
      <w:r>
        <w:rPr>
          <w:rFonts w:ascii="Arial" w:hAnsi="Arial" w:cs="Arial"/>
          <w:color w:val="000000"/>
          <w:sz w:val="24"/>
          <w:szCs w:val="24"/>
        </w:rPr>
        <w:t>Disponible en</w:t>
      </w:r>
      <w:r w:rsidRPr="00135676">
        <w:rPr>
          <w:rFonts w:ascii="Arial" w:hAnsi="Arial" w:cs="Arial"/>
          <w:color w:val="000000"/>
          <w:sz w:val="24"/>
          <w:szCs w:val="24"/>
        </w:rPr>
        <w:t>:</w:t>
      </w:r>
      <w:r w:rsidRPr="00135676">
        <w:rPr>
          <w:rStyle w:val="apple-converted-space"/>
          <w:rFonts w:ascii="Arial" w:hAnsi="Arial" w:cs="Arial"/>
          <w:color w:val="000000"/>
          <w:sz w:val="24"/>
          <w:szCs w:val="24"/>
        </w:rPr>
        <w:t> </w:t>
      </w:r>
    </w:p>
    <w:p w:rsidR="00E0017E" w:rsidRDefault="00E0017E" w:rsidP="002F3733">
      <w:pPr>
        <w:jc w:val="both"/>
        <w:rPr>
          <w:rFonts w:ascii="Arial" w:hAnsi="Arial" w:cs="Arial"/>
          <w:color w:val="000000"/>
          <w:sz w:val="24"/>
          <w:szCs w:val="24"/>
        </w:rPr>
      </w:pPr>
      <w:hyperlink r:id="rId6" w:history="1">
        <w:r w:rsidRPr="0007538F">
          <w:rPr>
            <w:rStyle w:val="Hipervnculo"/>
            <w:rFonts w:ascii="Arial" w:hAnsi="Arial" w:cs="Arial"/>
            <w:sz w:val="24"/>
            <w:szCs w:val="24"/>
          </w:rPr>
          <w:t>http://zl.elsevier.es/es/revista/acta-otorrinolaringologica-espanola-102/via-intratimpanica-tratamiento-patologia-oido-interno-13150295-revision-2010?bd=1</w:t>
        </w:r>
      </w:hyperlink>
    </w:p>
    <w:p w:rsidR="00E0017E" w:rsidRDefault="00E0017E" w:rsidP="002F3733">
      <w:pPr>
        <w:jc w:val="both"/>
        <w:rPr>
          <w:rFonts w:ascii="Arial" w:hAnsi="Arial" w:cs="Arial"/>
          <w:color w:val="000000"/>
          <w:sz w:val="24"/>
          <w:szCs w:val="24"/>
        </w:rPr>
      </w:pPr>
      <w:r>
        <w:rPr>
          <w:rFonts w:ascii="Arial" w:hAnsi="Arial" w:cs="Arial"/>
          <w:color w:val="000000"/>
          <w:sz w:val="24"/>
          <w:szCs w:val="24"/>
        </w:rPr>
        <w:br/>
      </w:r>
      <w:hyperlink r:id="rId7" w:history="1">
        <w:r w:rsidRPr="0007538F">
          <w:rPr>
            <w:rStyle w:val="Hipervnculo"/>
            <w:rFonts w:ascii="Arial" w:hAnsi="Arial" w:cs="Arial"/>
            <w:sz w:val="24"/>
            <w:szCs w:val="24"/>
          </w:rPr>
          <w:t>http://www.imedicinas.com/pfw_files/cma/pdffiles/849567007/_20003770_1.his</w:t>
        </w:r>
      </w:hyperlink>
      <w:r w:rsidR="00135676" w:rsidRPr="00135676">
        <w:rPr>
          <w:rFonts w:ascii="Arial" w:hAnsi="Arial" w:cs="Arial"/>
          <w:color w:val="000000"/>
          <w:sz w:val="24"/>
          <w:szCs w:val="24"/>
        </w:rPr>
        <w:t>.</w:t>
      </w:r>
    </w:p>
    <w:p w:rsidR="00135676" w:rsidRDefault="00E0017E" w:rsidP="002F3733">
      <w:pPr>
        <w:jc w:val="both"/>
        <w:rPr>
          <w:rFonts w:ascii="Arial" w:hAnsi="Arial" w:cs="Arial"/>
          <w:color w:val="000000"/>
          <w:sz w:val="24"/>
          <w:szCs w:val="24"/>
        </w:rPr>
      </w:pPr>
      <w:r>
        <w:rPr>
          <w:rFonts w:ascii="Arial" w:hAnsi="Arial" w:cs="Arial"/>
          <w:color w:val="000000"/>
          <w:sz w:val="24"/>
          <w:szCs w:val="24"/>
        </w:rPr>
        <w:br/>
      </w:r>
      <w:r w:rsidR="00135676" w:rsidRPr="00135676">
        <w:rPr>
          <w:rFonts w:ascii="Arial" w:hAnsi="Arial" w:cs="Arial"/>
          <w:b/>
          <w:color w:val="000000"/>
          <w:sz w:val="24"/>
          <w:szCs w:val="24"/>
        </w:rPr>
        <w:t>Fenol 50 %</w:t>
      </w:r>
    </w:p>
    <w:p w:rsidR="00E0017E" w:rsidRDefault="00135676" w:rsidP="002F3733">
      <w:pPr>
        <w:jc w:val="both"/>
        <w:rPr>
          <w:rFonts w:ascii="Arial" w:hAnsi="Arial" w:cs="Arial"/>
          <w:color w:val="000000"/>
          <w:sz w:val="24"/>
          <w:szCs w:val="24"/>
        </w:rPr>
      </w:pPr>
      <w:proofErr w:type="spellStart"/>
      <w:r w:rsidRPr="00135676">
        <w:rPr>
          <w:rFonts w:ascii="Arial" w:hAnsi="Arial" w:cs="Arial"/>
          <w:color w:val="000000"/>
          <w:sz w:val="24"/>
          <w:szCs w:val="24"/>
        </w:rPr>
        <w:t>Miringoplastia</w:t>
      </w:r>
      <w:proofErr w:type="spellEnd"/>
      <w:r w:rsidRPr="00135676">
        <w:rPr>
          <w:rFonts w:ascii="Arial" w:hAnsi="Arial" w:cs="Arial"/>
          <w:color w:val="000000"/>
          <w:sz w:val="24"/>
          <w:szCs w:val="24"/>
        </w:rPr>
        <w:t xml:space="preserve"> con injerto de grasa. 2005. Medigraphic.com</w:t>
      </w:r>
      <w:r w:rsidRPr="00135676">
        <w:rPr>
          <w:rStyle w:val="apple-converted-space"/>
          <w:rFonts w:ascii="Arial" w:hAnsi="Arial" w:cs="Arial"/>
          <w:color w:val="000000"/>
          <w:sz w:val="24"/>
          <w:szCs w:val="24"/>
        </w:rPr>
        <w:t> </w:t>
      </w:r>
      <w:r w:rsidRPr="00135676">
        <w:rPr>
          <w:rFonts w:ascii="Arial" w:hAnsi="Arial" w:cs="Arial"/>
          <w:color w:val="000000"/>
          <w:sz w:val="24"/>
          <w:szCs w:val="24"/>
        </w:rPr>
        <w:br/>
      </w:r>
      <w:r>
        <w:rPr>
          <w:rFonts w:ascii="Arial" w:hAnsi="Arial" w:cs="Arial"/>
          <w:color w:val="000000"/>
          <w:sz w:val="24"/>
          <w:szCs w:val="24"/>
        </w:rPr>
        <w:t>Disponible en</w:t>
      </w:r>
      <w:r w:rsidRPr="00135676">
        <w:rPr>
          <w:rFonts w:ascii="Arial" w:hAnsi="Arial" w:cs="Arial"/>
          <w:color w:val="000000"/>
          <w:sz w:val="24"/>
          <w:szCs w:val="24"/>
        </w:rPr>
        <w:t xml:space="preserve">: </w:t>
      </w:r>
    </w:p>
    <w:p w:rsidR="00E0017E" w:rsidRDefault="00E0017E" w:rsidP="002F3733">
      <w:pPr>
        <w:jc w:val="both"/>
        <w:rPr>
          <w:rFonts w:ascii="Arial" w:hAnsi="Arial" w:cs="Arial"/>
          <w:color w:val="000000"/>
          <w:sz w:val="24"/>
          <w:szCs w:val="24"/>
        </w:rPr>
      </w:pPr>
    </w:p>
    <w:p w:rsidR="00E0017E" w:rsidRDefault="00135676" w:rsidP="002F3733">
      <w:pPr>
        <w:jc w:val="both"/>
        <w:rPr>
          <w:rFonts w:ascii="Arial" w:hAnsi="Arial" w:cs="Arial"/>
          <w:color w:val="000000"/>
          <w:sz w:val="24"/>
          <w:szCs w:val="24"/>
        </w:rPr>
      </w:pPr>
      <w:r w:rsidRPr="00135676">
        <w:rPr>
          <w:rFonts w:ascii="Arial" w:hAnsi="Arial" w:cs="Arial"/>
          <w:color w:val="000000"/>
          <w:sz w:val="24"/>
          <w:szCs w:val="24"/>
        </w:rPr>
        <w:t>http://www.medigraphic.com/pdfs/abc/bc-2005/bc052c.pdf</w:t>
      </w:r>
    </w:p>
    <w:p w:rsidR="00135676" w:rsidRDefault="00135676" w:rsidP="002F3733">
      <w:pPr>
        <w:jc w:val="both"/>
        <w:rPr>
          <w:rFonts w:ascii="Arial" w:hAnsi="Arial" w:cs="Arial"/>
          <w:color w:val="000000"/>
          <w:sz w:val="24"/>
          <w:szCs w:val="24"/>
        </w:rPr>
      </w:pPr>
      <w:bookmarkStart w:id="0" w:name="_GoBack"/>
      <w:bookmarkEnd w:id="0"/>
      <w:r w:rsidRPr="00135676">
        <w:rPr>
          <w:rFonts w:ascii="Arial" w:hAnsi="Arial" w:cs="Arial"/>
          <w:color w:val="000000"/>
          <w:sz w:val="24"/>
          <w:szCs w:val="24"/>
        </w:rPr>
        <w:lastRenderedPageBreak/>
        <w:br/>
      </w:r>
      <w:r w:rsidRPr="00135676">
        <w:rPr>
          <w:rFonts w:ascii="Arial" w:hAnsi="Arial" w:cs="Arial"/>
          <w:color w:val="000000"/>
          <w:sz w:val="24"/>
          <w:szCs w:val="24"/>
        </w:rPr>
        <w:br/>
        <w:t>Un saludo.</w:t>
      </w:r>
    </w:p>
    <w:p w:rsidR="00135676" w:rsidRPr="00135676" w:rsidRDefault="00135676" w:rsidP="002F3733">
      <w:pPr>
        <w:jc w:val="both"/>
        <w:rPr>
          <w:rFonts w:ascii="Arial" w:hAnsi="Arial" w:cs="Arial"/>
          <w:color w:val="000000"/>
          <w:sz w:val="24"/>
          <w:szCs w:val="24"/>
        </w:rPr>
      </w:pPr>
      <w:r>
        <w:rPr>
          <w:rFonts w:ascii="Tahoma" w:hAnsi="Tahoma" w:cs="Tahoma"/>
          <w:color w:val="000000"/>
          <w:sz w:val="10"/>
          <w:szCs w:val="10"/>
        </w:rPr>
        <w:br/>
      </w:r>
      <w:r>
        <w:rPr>
          <w:rFonts w:ascii="Tahoma" w:hAnsi="Tahoma" w:cs="Tahoma"/>
          <w:color w:val="000000"/>
          <w:sz w:val="10"/>
          <w:szCs w:val="10"/>
        </w:rPr>
        <w:br/>
      </w:r>
      <w:r>
        <w:rPr>
          <w:rFonts w:ascii="Tahoma" w:hAnsi="Tahoma" w:cs="Tahoma"/>
          <w:color w:val="000000"/>
          <w:sz w:val="10"/>
          <w:szCs w:val="10"/>
        </w:rPr>
        <w:br/>
      </w:r>
      <w:hyperlink r:id="rId8" w:tgtFrame="_blank" w:history="1">
        <w:r w:rsidRPr="00135676">
          <w:rPr>
            <w:rStyle w:val="Hipervnculo"/>
            <w:rFonts w:ascii="Arial" w:hAnsi="Arial" w:cs="Arial"/>
            <w:sz w:val="24"/>
            <w:szCs w:val="24"/>
          </w:rPr>
          <w:t>http://www.sefh.es/fichadjuntos/fenol88_topico.pdf</w:t>
        </w:r>
      </w:hyperlink>
      <w:r w:rsidRPr="00135676">
        <w:rPr>
          <w:rFonts w:ascii="Arial" w:hAnsi="Arial" w:cs="Arial"/>
          <w:color w:val="000000"/>
          <w:sz w:val="24"/>
          <w:szCs w:val="24"/>
        </w:rPr>
        <w:br/>
      </w:r>
      <w:hyperlink r:id="rId9" w:tgtFrame="_blank" w:history="1">
        <w:r w:rsidRPr="00135676">
          <w:rPr>
            <w:rStyle w:val="Hipervnculo"/>
            <w:rFonts w:ascii="Arial" w:hAnsi="Arial" w:cs="Arial"/>
            <w:sz w:val="24"/>
            <w:szCs w:val="24"/>
          </w:rPr>
          <w:t>http://www.sefh.es/fichadjuntos/Fenol.pdf</w:t>
        </w:r>
      </w:hyperlink>
    </w:p>
    <w:p w:rsidR="00135676" w:rsidRPr="002F3733" w:rsidRDefault="00135676" w:rsidP="00135676">
      <w:pPr>
        <w:ind w:left="4248" w:firstLine="708"/>
        <w:jc w:val="both"/>
        <w:rPr>
          <w:rFonts w:ascii="Arial" w:hAnsi="Arial" w:cs="Arial"/>
          <w:sz w:val="24"/>
          <w:szCs w:val="24"/>
        </w:rPr>
      </w:pPr>
      <w:r w:rsidRPr="002F3733">
        <w:rPr>
          <w:rFonts w:ascii="Arial" w:hAnsi="Arial" w:cs="Arial"/>
          <w:sz w:val="24"/>
          <w:szCs w:val="24"/>
        </w:rPr>
        <w:t>[</w:t>
      </w:r>
      <w:r>
        <w:rPr>
          <w:rFonts w:ascii="Arial" w:hAnsi="Arial" w:cs="Arial"/>
          <w:sz w:val="24"/>
          <w:szCs w:val="24"/>
        </w:rPr>
        <w:t>Respuesta enviada</w:t>
      </w:r>
      <w:r w:rsidRPr="002F3733">
        <w:rPr>
          <w:rFonts w:ascii="Arial" w:hAnsi="Arial" w:cs="Arial"/>
          <w:sz w:val="24"/>
          <w:szCs w:val="24"/>
        </w:rPr>
        <w:t>:</w:t>
      </w:r>
      <w:r>
        <w:rPr>
          <w:rFonts w:ascii="Arial" w:hAnsi="Arial" w:cs="Arial"/>
          <w:sz w:val="24"/>
          <w:szCs w:val="24"/>
        </w:rPr>
        <w:t xml:space="preserve"> 1-10-2014</w:t>
      </w:r>
      <w:r w:rsidRPr="002F3733">
        <w:rPr>
          <w:rFonts w:ascii="Arial" w:hAnsi="Arial" w:cs="Arial"/>
          <w:sz w:val="24"/>
          <w:szCs w:val="24"/>
        </w:rPr>
        <w:t>]</w:t>
      </w:r>
    </w:p>
    <w:p w:rsidR="00135676" w:rsidRDefault="00135676" w:rsidP="00135676">
      <w:pPr>
        <w:jc w:val="both"/>
        <w:rPr>
          <w:rFonts w:ascii="Arial" w:hAnsi="Arial" w:cs="Arial"/>
          <w:sz w:val="24"/>
          <w:szCs w:val="24"/>
        </w:rPr>
      </w:pPr>
      <w:r w:rsidRPr="002F3733">
        <w:rPr>
          <w:rFonts w:ascii="Arial" w:hAnsi="Arial" w:cs="Arial"/>
          <w:sz w:val="24"/>
          <w:szCs w:val="24"/>
        </w:rPr>
        <w:t>Respuesta enviada por: Grupo Trabajo Farmacotecnia SEFH</w:t>
      </w:r>
    </w:p>
    <w:p w:rsidR="00135676" w:rsidRPr="002F3733" w:rsidRDefault="00135676" w:rsidP="002F3733">
      <w:pPr>
        <w:jc w:val="both"/>
        <w:rPr>
          <w:rFonts w:ascii="Arial" w:hAnsi="Arial" w:cs="Arial"/>
          <w:sz w:val="24"/>
          <w:szCs w:val="24"/>
        </w:rPr>
      </w:pPr>
    </w:p>
    <w:sectPr w:rsidR="00135676" w:rsidRPr="002F3733" w:rsidSect="008B1C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E5"/>
    <w:rsid w:val="00000819"/>
    <w:rsid w:val="00002344"/>
    <w:rsid w:val="0000256D"/>
    <w:rsid w:val="00013ED6"/>
    <w:rsid w:val="000247D4"/>
    <w:rsid w:val="0003552C"/>
    <w:rsid w:val="00043A98"/>
    <w:rsid w:val="00051251"/>
    <w:rsid w:val="000533BF"/>
    <w:rsid w:val="00064BE3"/>
    <w:rsid w:val="000707B1"/>
    <w:rsid w:val="0007214F"/>
    <w:rsid w:val="00072A4A"/>
    <w:rsid w:val="000773AC"/>
    <w:rsid w:val="00077F62"/>
    <w:rsid w:val="00084C93"/>
    <w:rsid w:val="0008649C"/>
    <w:rsid w:val="00097283"/>
    <w:rsid w:val="000B0B44"/>
    <w:rsid w:val="000D5400"/>
    <w:rsid w:val="000D711F"/>
    <w:rsid w:val="000D7FC1"/>
    <w:rsid w:val="000E2F65"/>
    <w:rsid w:val="000F3742"/>
    <w:rsid w:val="001103F9"/>
    <w:rsid w:val="001166D0"/>
    <w:rsid w:val="00116C64"/>
    <w:rsid w:val="00116CEF"/>
    <w:rsid w:val="0011735C"/>
    <w:rsid w:val="00117A13"/>
    <w:rsid w:val="001216A9"/>
    <w:rsid w:val="00135676"/>
    <w:rsid w:val="00146965"/>
    <w:rsid w:val="00151633"/>
    <w:rsid w:val="00175028"/>
    <w:rsid w:val="00194490"/>
    <w:rsid w:val="00194C03"/>
    <w:rsid w:val="001A1F35"/>
    <w:rsid w:val="001A7FEF"/>
    <w:rsid w:val="001B4A21"/>
    <w:rsid w:val="001C276F"/>
    <w:rsid w:val="001C4134"/>
    <w:rsid w:val="001D7216"/>
    <w:rsid w:val="001D7D3A"/>
    <w:rsid w:val="001E5F61"/>
    <w:rsid w:val="001F39D0"/>
    <w:rsid w:val="001F4569"/>
    <w:rsid w:val="00203DF5"/>
    <w:rsid w:val="00206D7F"/>
    <w:rsid w:val="00217175"/>
    <w:rsid w:val="00236529"/>
    <w:rsid w:val="00257A38"/>
    <w:rsid w:val="00257DBC"/>
    <w:rsid w:val="00262AE4"/>
    <w:rsid w:val="002767AC"/>
    <w:rsid w:val="00296C22"/>
    <w:rsid w:val="002A7EBC"/>
    <w:rsid w:val="002B6B51"/>
    <w:rsid w:val="002E5DD6"/>
    <w:rsid w:val="002E7203"/>
    <w:rsid w:val="002F3733"/>
    <w:rsid w:val="002F54ED"/>
    <w:rsid w:val="0030771A"/>
    <w:rsid w:val="00320031"/>
    <w:rsid w:val="0032137A"/>
    <w:rsid w:val="00322210"/>
    <w:rsid w:val="00333C85"/>
    <w:rsid w:val="0033798C"/>
    <w:rsid w:val="00344227"/>
    <w:rsid w:val="00344627"/>
    <w:rsid w:val="00357363"/>
    <w:rsid w:val="0036093C"/>
    <w:rsid w:val="00364047"/>
    <w:rsid w:val="00370D29"/>
    <w:rsid w:val="00380517"/>
    <w:rsid w:val="0039746A"/>
    <w:rsid w:val="003A7E79"/>
    <w:rsid w:val="003B34BF"/>
    <w:rsid w:val="003B4693"/>
    <w:rsid w:val="003D27A8"/>
    <w:rsid w:val="003D45A9"/>
    <w:rsid w:val="003D57ED"/>
    <w:rsid w:val="00410C4C"/>
    <w:rsid w:val="004138E1"/>
    <w:rsid w:val="0042632E"/>
    <w:rsid w:val="00434D55"/>
    <w:rsid w:val="00436EBC"/>
    <w:rsid w:val="004410BF"/>
    <w:rsid w:val="00446608"/>
    <w:rsid w:val="00454060"/>
    <w:rsid w:val="004541A4"/>
    <w:rsid w:val="004654AA"/>
    <w:rsid w:val="00467502"/>
    <w:rsid w:val="00481E8D"/>
    <w:rsid w:val="00494059"/>
    <w:rsid w:val="00495D53"/>
    <w:rsid w:val="004A21F0"/>
    <w:rsid w:val="004A67E3"/>
    <w:rsid w:val="004B0EBA"/>
    <w:rsid w:val="004B38AC"/>
    <w:rsid w:val="004B41C8"/>
    <w:rsid w:val="004C1B4D"/>
    <w:rsid w:val="004C3272"/>
    <w:rsid w:val="004C3F3A"/>
    <w:rsid w:val="004E6AD1"/>
    <w:rsid w:val="004F4158"/>
    <w:rsid w:val="004F5062"/>
    <w:rsid w:val="00500692"/>
    <w:rsid w:val="0050600C"/>
    <w:rsid w:val="00506485"/>
    <w:rsid w:val="00530CC3"/>
    <w:rsid w:val="0054173C"/>
    <w:rsid w:val="0055197A"/>
    <w:rsid w:val="00555FA9"/>
    <w:rsid w:val="00565685"/>
    <w:rsid w:val="00572338"/>
    <w:rsid w:val="0058482A"/>
    <w:rsid w:val="00593BBE"/>
    <w:rsid w:val="005A2959"/>
    <w:rsid w:val="005B297C"/>
    <w:rsid w:val="005B452D"/>
    <w:rsid w:val="005C4AE5"/>
    <w:rsid w:val="005C74CB"/>
    <w:rsid w:val="005D2EAA"/>
    <w:rsid w:val="005E6341"/>
    <w:rsid w:val="005F2D52"/>
    <w:rsid w:val="00601223"/>
    <w:rsid w:val="006067A7"/>
    <w:rsid w:val="00623FD1"/>
    <w:rsid w:val="00630B52"/>
    <w:rsid w:val="0063397A"/>
    <w:rsid w:val="00650126"/>
    <w:rsid w:val="006525B0"/>
    <w:rsid w:val="00654168"/>
    <w:rsid w:val="006850DC"/>
    <w:rsid w:val="00693F9B"/>
    <w:rsid w:val="00695D6B"/>
    <w:rsid w:val="006966E8"/>
    <w:rsid w:val="006A52EF"/>
    <w:rsid w:val="006B5C6D"/>
    <w:rsid w:val="006B6926"/>
    <w:rsid w:val="006C5637"/>
    <w:rsid w:val="006D3F03"/>
    <w:rsid w:val="00710BE7"/>
    <w:rsid w:val="007155B6"/>
    <w:rsid w:val="00734542"/>
    <w:rsid w:val="00735DB9"/>
    <w:rsid w:val="00736E01"/>
    <w:rsid w:val="0074298A"/>
    <w:rsid w:val="007621A3"/>
    <w:rsid w:val="007702C1"/>
    <w:rsid w:val="007761F4"/>
    <w:rsid w:val="00776775"/>
    <w:rsid w:val="007A446F"/>
    <w:rsid w:val="007B0CE9"/>
    <w:rsid w:val="007C7EF9"/>
    <w:rsid w:val="007E0CB5"/>
    <w:rsid w:val="007E6FB5"/>
    <w:rsid w:val="007E78AF"/>
    <w:rsid w:val="007F02C8"/>
    <w:rsid w:val="008022E9"/>
    <w:rsid w:val="008120FA"/>
    <w:rsid w:val="00833738"/>
    <w:rsid w:val="008349BA"/>
    <w:rsid w:val="00840531"/>
    <w:rsid w:val="00841830"/>
    <w:rsid w:val="0084753A"/>
    <w:rsid w:val="00853F9C"/>
    <w:rsid w:val="00861ACE"/>
    <w:rsid w:val="00862F48"/>
    <w:rsid w:val="00863D18"/>
    <w:rsid w:val="00864476"/>
    <w:rsid w:val="00877F16"/>
    <w:rsid w:val="008843D6"/>
    <w:rsid w:val="008846F2"/>
    <w:rsid w:val="008908CF"/>
    <w:rsid w:val="008B1CBB"/>
    <w:rsid w:val="008B4266"/>
    <w:rsid w:val="008B4BD5"/>
    <w:rsid w:val="008C497F"/>
    <w:rsid w:val="008C778B"/>
    <w:rsid w:val="008D1680"/>
    <w:rsid w:val="008D7528"/>
    <w:rsid w:val="008F0EB3"/>
    <w:rsid w:val="008F3788"/>
    <w:rsid w:val="009175E5"/>
    <w:rsid w:val="00932BAC"/>
    <w:rsid w:val="00933AFC"/>
    <w:rsid w:val="00934479"/>
    <w:rsid w:val="00936FBB"/>
    <w:rsid w:val="00937884"/>
    <w:rsid w:val="00940210"/>
    <w:rsid w:val="00950480"/>
    <w:rsid w:val="00972093"/>
    <w:rsid w:val="00982A69"/>
    <w:rsid w:val="00987C5C"/>
    <w:rsid w:val="009933A1"/>
    <w:rsid w:val="0099375B"/>
    <w:rsid w:val="00993A93"/>
    <w:rsid w:val="009B1420"/>
    <w:rsid w:val="009B4C4F"/>
    <w:rsid w:val="009C5EE4"/>
    <w:rsid w:val="009D0C02"/>
    <w:rsid w:val="009D1A86"/>
    <w:rsid w:val="009D2AD7"/>
    <w:rsid w:val="009D3E4A"/>
    <w:rsid w:val="009E7900"/>
    <w:rsid w:val="009F603B"/>
    <w:rsid w:val="009F678E"/>
    <w:rsid w:val="00A209AD"/>
    <w:rsid w:val="00A20D34"/>
    <w:rsid w:val="00A23654"/>
    <w:rsid w:val="00A24FA0"/>
    <w:rsid w:val="00A27BC7"/>
    <w:rsid w:val="00A41849"/>
    <w:rsid w:val="00A532C9"/>
    <w:rsid w:val="00A56A2A"/>
    <w:rsid w:val="00A6372D"/>
    <w:rsid w:val="00A65DF1"/>
    <w:rsid w:val="00A72736"/>
    <w:rsid w:val="00A74B3E"/>
    <w:rsid w:val="00A8463B"/>
    <w:rsid w:val="00A84C18"/>
    <w:rsid w:val="00A85998"/>
    <w:rsid w:val="00A90FF9"/>
    <w:rsid w:val="00A929D2"/>
    <w:rsid w:val="00AA3EB8"/>
    <w:rsid w:val="00AB17CF"/>
    <w:rsid w:val="00AB5E59"/>
    <w:rsid w:val="00AC0075"/>
    <w:rsid w:val="00AE5A94"/>
    <w:rsid w:val="00AF26E4"/>
    <w:rsid w:val="00B01888"/>
    <w:rsid w:val="00B04C72"/>
    <w:rsid w:val="00B07EFD"/>
    <w:rsid w:val="00B23F47"/>
    <w:rsid w:val="00B242B9"/>
    <w:rsid w:val="00B56F26"/>
    <w:rsid w:val="00B653DE"/>
    <w:rsid w:val="00B73F27"/>
    <w:rsid w:val="00BA5ADA"/>
    <w:rsid w:val="00BB3E53"/>
    <w:rsid w:val="00BC1F9E"/>
    <w:rsid w:val="00BC2B90"/>
    <w:rsid w:val="00BD379D"/>
    <w:rsid w:val="00BE5C60"/>
    <w:rsid w:val="00BF250C"/>
    <w:rsid w:val="00BF79D0"/>
    <w:rsid w:val="00C30E06"/>
    <w:rsid w:val="00C30FDB"/>
    <w:rsid w:val="00C32B83"/>
    <w:rsid w:val="00C45197"/>
    <w:rsid w:val="00C45D36"/>
    <w:rsid w:val="00C473A4"/>
    <w:rsid w:val="00C623B3"/>
    <w:rsid w:val="00C63A4E"/>
    <w:rsid w:val="00C7243F"/>
    <w:rsid w:val="00C775F7"/>
    <w:rsid w:val="00C83A5E"/>
    <w:rsid w:val="00CE339C"/>
    <w:rsid w:val="00D010F2"/>
    <w:rsid w:val="00D055A4"/>
    <w:rsid w:val="00D16707"/>
    <w:rsid w:val="00D202F8"/>
    <w:rsid w:val="00D370AB"/>
    <w:rsid w:val="00D502C1"/>
    <w:rsid w:val="00D62D37"/>
    <w:rsid w:val="00D649CC"/>
    <w:rsid w:val="00D67739"/>
    <w:rsid w:val="00D814FC"/>
    <w:rsid w:val="00DA2A04"/>
    <w:rsid w:val="00DD0CAF"/>
    <w:rsid w:val="00DD3190"/>
    <w:rsid w:val="00DE5D6B"/>
    <w:rsid w:val="00DE5E93"/>
    <w:rsid w:val="00E0017E"/>
    <w:rsid w:val="00E01E97"/>
    <w:rsid w:val="00E059A5"/>
    <w:rsid w:val="00E16935"/>
    <w:rsid w:val="00E23303"/>
    <w:rsid w:val="00E32378"/>
    <w:rsid w:val="00E35708"/>
    <w:rsid w:val="00E46630"/>
    <w:rsid w:val="00E528EE"/>
    <w:rsid w:val="00E52F92"/>
    <w:rsid w:val="00E624FB"/>
    <w:rsid w:val="00E70118"/>
    <w:rsid w:val="00E733B7"/>
    <w:rsid w:val="00E76A1C"/>
    <w:rsid w:val="00E87B63"/>
    <w:rsid w:val="00E92A98"/>
    <w:rsid w:val="00ED133F"/>
    <w:rsid w:val="00EE3B95"/>
    <w:rsid w:val="00EE5ECA"/>
    <w:rsid w:val="00EF7F17"/>
    <w:rsid w:val="00EF7FDC"/>
    <w:rsid w:val="00F00D3F"/>
    <w:rsid w:val="00F052D5"/>
    <w:rsid w:val="00F126AB"/>
    <w:rsid w:val="00F27CB2"/>
    <w:rsid w:val="00F30751"/>
    <w:rsid w:val="00F328E3"/>
    <w:rsid w:val="00F64CBE"/>
    <w:rsid w:val="00F6590F"/>
    <w:rsid w:val="00FA55C5"/>
    <w:rsid w:val="00FA60BF"/>
    <w:rsid w:val="00FB376B"/>
    <w:rsid w:val="00FD527B"/>
    <w:rsid w:val="00FE07A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E4D1B-9777-4078-AB35-D913B242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C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F5062"/>
    <w:rPr>
      <w:color w:val="0563C1" w:themeColor="hyperlink"/>
      <w:u w:val="single"/>
    </w:rPr>
  </w:style>
  <w:style w:type="table" w:styleId="Tablaconcuadrcula">
    <w:name w:val="Table Grid"/>
    <w:basedOn w:val="Tablanormal"/>
    <w:uiPriority w:val="59"/>
    <w:rsid w:val="00EF7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EF7FDC"/>
    <w:rPr>
      <w:color w:val="954F72" w:themeColor="followedHyperlink"/>
      <w:u w:val="single"/>
    </w:rPr>
  </w:style>
  <w:style w:type="character" w:customStyle="1" w:styleId="apple-converted-space">
    <w:name w:val="apple-converted-space"/>
    <w:basedOn w:val="Fuentedeprrafopredeter"/>
    <w:rsid w:val="00135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eo.salud.madrid.org/owa/redir.aspx?C=oLWuaRhMjEuT3dJP-ZDiTAnSEWVBtdFIOJoytLKrSQsJttfQqksScHCJWYxKgPiQKknrGzNTkJs.&amp;URL=http%3a%2f%2fwww.sefh.es%2ffichadjuntos%2ffenol88_topico.pdf" TargetMode="External"/><Relationship Id="rId3" Type="http://schemas.openxmlformats.org/officeDocument/2006/relationships/settings" Target="settings.xml"/><Relationship Id="rId7" Type="http://schemas.openxmlformats.org/officeDocument/2006/relationships/hyperlink" Target="http://www.imedicinas.com/pfw_files/cma/pdffiles/849567007/_20003770_1.hi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l.elsevier.es/es/revista/acta-otorrinolaringologica-espanola-102/via-intratimpanica-tratamiento-patologia-oido-interno-13150295-revision-2010?bd=1" TargetMode="External"/><Relationship Id="rId11" Type="http://schemas.openxmlformats.org/officeDocument/2006/relationships/theme" Target="theme/theme1.xml"/><Relationship Id="rId5" Type="http://schemas.openxmlformats.org/officeDocument/2006/relationships/hyperlink" Target="https://correo.salud.madrid.org/owa/redir.aspx?C=oLWuaRhMjEuT3dJP-ZDiTAnSEWVBtdFIOJoytLKrSQsJttfQqksScHCJWYxKgPiQKknrGzNTkJs.&amp;URL=http%3a%2f%2fwww.sefh.es%2ffichadjuntos%2fFichaControlgotasoticasfenol88_.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rreo.salud.madrid.org/owa/redir.aspx?C=oLWuaRhMjEuT3dJP-ZDiTAnSEWVBtdFIOJoytLKrSQsJttfQqksScHCJWYxKgPiQKknrGzNTkJs.&amp;URL=http%3a%2f%2fwww.sefh.es%2ffichadjuntos%2fFeno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B716F-B663-44F2-8E99-2F9F9CCEC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3891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Mimia</dc:creator>
  <cp:lastModifiedBy>Mimia</cp:lastModifiedBy>
  <cp:revision>2</cp:revision>
  <dcterms:created xsi:type="dcterms:W3CDTF">2014-12-08T19:28:00Z</dcterms:created>
  <dcterms:modified xsi:type="dcterms:W3CDTF">2014-12-08T19:28:00Z</dcterms:modified>
</cp:coreProperties>
</file>